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C9" w:rsidRPr="00CB20C9" w:rsidRDefault="00CB20C9" w:rsidP="00CB20C9">
      <w:pPr>
        <w:pStyle w:val="Heading1"/>
        <w:keepNext w:val="0"/>
        <w:ind w:right="-422" w:hanging="385"/>
      </w:pPr>
    </w:p>
    <w:p w:rsidR="00CB20C9" w:rsidRPr="00CB20C9" w:rsidRDefault="00CB20C9" w:rsidP="00CB20C9">
      <w:pPr>
        <w:pStyle w:val="Heading1"/>
        <w:keepNext w:val="0"/>
        <w:ind w:right="-422" w:hanging="385"/>
      </w:pPr>
    </w:p>
    <w:p w:rsidR="00CB20C9" w:rsidRPr="00CB20C9" w:rsidRDefault="00CB20C9" w:rsidP="00CB20C9">
      <w:pPr>
        <w:pStyle w:val="Heading1"/>
        <w:keepNext w:val="0"/>
        <w:ind w:right="-422" w:hanging="385"/>
      </w:pPr>
    </w:p>
    <w:p w:rsidR="00CB20C9" w:rsidRPr="00CB20C9" w:rsidRDefault="00CB20C9" w:rsidP="00CB20C9">
      <w:pPr>
        <w:pStyle w:val="Heading1"/>
        <w:keepNext w:val="0"/>
        <w:ind w:right="-422" w:hanging="385"/>
      </w:pPr>
    </w:p>
    <w:p w:rsidR="00CB20C9" w:rsidRPr="00CB20C9" w:rsidRDefault="00CB20C9" w:rsidP="00CB20C9">
      <w:pPr>
        <w:pStyle w:val="Heading1"/>
        <w:keepNext w:val="0"/>
        <w:ind w:right="-422" w:hanging="385"/>
        <w:jc w:val="center"/>
        <w:rPr>
          <w:b/>
        </w:rPr>
      </w:pPr>
      <w:r w:rsidRPr="00CB20C9">
        <w:rPr>
          <w:b/>
        </w:rPr>
        <w:t>BEFORE THE WASHINGTON UTILITIES AND TRANSPORTATION COMMISSION</w:t>
      </w:r>
    </w:p>
    <w:p w:rsidR="00CB20C9" w:rsidRPr="00CB20C9" w:rsidRDefault="00CB20C9" w:rsidP="00CB20C9">
      <w:pPr>
        <w:widowControl w:val="0"/>
        <w:jc w:val="both"/>
        <w:rPr>
          <w:rFonts w:ascii="Times New Roman" w:hAnsi="Times New Roman"/>
          <w:b/>
          <w:sz w:val="24"/>
          <w:szCs w:val="24"/>
        </w:rPr>
      </w:pPr>
    </w:p>
    <w:p w:rsidR="00CB20C9" w:rsidRPr="00CB20C9" w:rsidRDefault="00CB20C9" w:rsidP="00CB20C9">
      <w:pPr>
        <w:jc w:val="both"/>
        <w:rPr>
          <w:rFonts w:ascii="Times New Roman" w:hAnsi="Times New Roman"/>
          <w:b/>
          <w:sz w:val="24"/>
          <w:szCs w:val="24"/>
        </w:rPr>
      </w:pPr>
    </w:p>
    <w:tbl>
      <w:tblPr>
        <w:tblW w:w="0" w:type="auto"/>
        <w:tblInd w:w="124" w:type="dxa"/>
        <w:tblLayout w:type="fixed"/>
        <w:tblCellMar>
          <w:left w:w="124" w:type="dxa"/>
          <w:right w:w="124" w:type="dxa"/>
        </w:tblCellMar>
        <w:tblLook w:val="0000"/>
      </w:tblPr>
      <w:tblGrid>
        <w:gridCol w:w="4590"/>
        <w:gridCol w:w="4590"/>
      </w:tblGrid>
      <w:tr w:rsidR="00CB20C9" w:rsidRPr="00CB20C9" w:rsidTr="00D122AA">
        <w:tc>
          <w:tcPr>
            <w:tcW w:w="4590" w:type="dxa"/>
            <w:tcBorders>
              <w:top w:val="single" w:sz="6" w:space="0" w:color="FFFFFF"/>
              <w:left w:val="single" w:sz="6" w:space="0" w:color="FFFFFF"/>
              <w:bottom w:val="single" w:sz="7" w:space="0" w:color="000000"/>
              <w:right w:val="single" w:sz="6" w:space="0" w:color="FFFFFF"/>
            </w:tcBorders>
          </w:tcPr>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 xml:space="preserve">WASHINGTON UTILITIES AND TRANSPORTATION COMMISSION, </w:t>
            </w:r>
          </w:p>
          <w:p w:rsidR="00CB20C9" w:rsidRPr="00CB20C9" w:rsidRDefault="00CB20C9" w:rsidP="00CB20C9">
            <w:pPr>
              <w:rPr>
                <w:rFonts w:ascii="Times New Roman" w:hAnsi="Times New Roman"/>
                <w:b/>
                <w:sz w:val="24"/>
                <w:szCs w:val="24"/>
              </w:rPr>
            </w:pP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t>Complainant,</w:t>
            </w:r>
          </w:p>
          <w:p w:rsidR="00CB20C9" w:rsidRPr="00CB20C9" w:rsidRDefault="00CB20C9" w:rsidP="00CB20C9">
            <w:pPr>
              <w:rPr>
                <w:rFonts w:ascii="Times New Roman" w:hAnsi="Times New Roman"/>
                <w:b/>
                <w:sz w:val="24"/>
                <w:szCs w:val="24"/>
              </w:rPr>
            </w:pP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v.</w:t>
            </w:r>
          </w:p>
          <w:p w:rsidR="00CB20C9" w:rsidRPr="00CB20C9" w:rsidRDefault="00CB20C9" w:rsidP="00CB20C9">
            <w:pPr>
              <w:rPr>
                <w:rFonts w:ascii="Times New Roman" w:hAnsi="Times New Roman"/>
                <w:b/>
                <w:sz w:val="24"/>
                <w:szCs w:val="24"/>
              </w:rPr>
            </w:pP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 xml:space="preserve">PUGET SOUND ENERGY, INC., </w:t>
            </w:r>
          </w:p>
          <w:p w:rsidR="00CB20C9" w:rsidRPr="00CB20C9" w:rsidRDefault="00CB20C9" w:rsidP="00CB20C9">
            <w:pPr>
              <w:rPr>
                <w:rFonts w:ascii="Times New Roman" w:hAnsi="Times New Roman"/>
                <w:b/>
                <w:sz w:val="24"/>
                <w:szCs w:val="24"/>
              </w:rPr>
            </w:pP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t xml:space="preserve">DOCKETS UE-090704 </w:t>
            </w: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t xml:space="preserve">and UG-090705 (consolidated) </w:t>
            </w:r>
          </w:p>
          <w:p w:rsidR="00CB20C9" w:rsidRPr="00CB20C9" w:rsidRDefault="00CB20C9" w:rsidP="00CB20C9">
            <w:pPr>
              <w:rPr>
                <w:rFonts w:ascii="Times New Roman" w:hAnsi="Times New Roman"/>
                <w:b/>
                <w:sz w:val="24"/>
                <w:szCs w:val="24"/>
              </w:rPr>
            </w:pPr>
          </w:p>
          <w:p w:rsidR="00CB20C9" w:rsidRPr="00CB20C9" w:rsidRDefault="00CB20C9" w:rsidP="00CB20C9">
            <w:pPr>
              <w:ind w:left="720"/>
              <w:rPr>
                <w:rFonts w:ascii="Times New Roman" w:hAnsi="Times New Roman"/>
                <w:b/>
                <w:sz w:val="24"/>
                <w:szCs w:val="24"/>
              </w:rPr>
            </w:pPr>
          </w:p>
        </w:tc>
      </w:tr>
    </w:tbl>
    <w:p w:rsidR="00CB20C9" w:rsidRPr="00CB20C9" w:rsidRDefault="00CB20C9" w:rsidP="00CB20C9">
      <w:pPr>
        <w:jc w:val="both"/>
        <w:rPr>
          <w:rFonts w:ascii="Times New Roman" w:hAnsi="Times New Roman"/>
          <w:sz w:val="24"/>
          <w:szCs w:val="24"/>
        </w:rPr>
      </w:pPr>
    </w:p>
    <w:p w:rsidR="00CB20C9" w:rsidRPr="00CB20C9" w:rsidRDefault="00CB20C9" w:rsidP="00CB20C9">
      <w:pPr>
        <w:jc w:val="both"/>
        <w:rPr>
          <w:rFonts w:ascii="Times New Roman" w:hAnsi="Times New Roman"/>
          <w:sz w:val="24"/>
          <w:szCs w:val="24"/>
        </w:rPr>
      </w:pPr>
    </w:p>
    <w:p w:rsidR="00CB20C9" w:rsidRPr="00CB20C9" w:rsidRDefault="00CB20C9" w:rsidP="00CB20C9">
      <w:pPr>
        <w:jc w:val="both"/>
        <w:rPr>
          <w:rFonts w:ascii="Times New Roman" w:hAnsi="Times New Roman"/>
          <w:sz w:val="24"/>
          <w:szCs w:val="24"/>
        </w:rPr>
      </w:pPr>
    </w:p>
    <w:p w:rsidR="00CB20C9" w:rsidRPr="00CB20C9" w:rsidRDefault="00CB20C9" w:rsidP="00CB20C9">
      <w:pPr>
        <w:jc w:val="both"/>
        <w:rPr>
          <w:rFonts w:ascii="Times New Roman" w:hAnsi="Times New Roman"/>
          <w:sz w:val="24"/>
          <w:szCs w:val="24"/>
        </w:rPr>
      </w:pPr>
    </w:p>
    <w:p w:rsidR="00CB20C9" w:rsidRPr="00CB20C9" w:rsidRDefault="00CB20C9" w:rsidP="00CB20C9">
      <w:pPr>
        <w:jc w:val="both"/>
        <w:rPr>
          <w:rFonts w:ascii="Times New Roman" w:hAnsi="Times New Roman"/>
          <w:sz w:val="24"/>
          <w:szCs w:val="24"/>
        </w:rPr>
      </w:pPr>
    </w:p>
    <w:p w:rsidR="00CB20C9" w:rsidRPr="00CB20C9" w:rsidRDefault="00D122AA" w:rsidP="00CB20C9">
      <w:pPr>
        <w:jc w:val="center"/>
        <w:rPr>
          <w:rFonts w:ascii="Times New Roman" w:hAnsi="Times New Roman"/>
          <w:b/>
          <w:bCs/>
          <w:sz w:val="24"/>
          <w:szCs w:val="24"/>
        </w:rPr>
      </w:pPr>
      <w:r>
        <w:rPr>
          <w:rFonts w:ascii="Times New Roman" w:hAnsi="Times New Roman"/>
          <w:b/>
          <w:bCs/>
          <w:sz w:val="24"/>
          <w:szCs w:val="24"/>
        </w:rPr>
        <w:t xml:space="preserve">INITIAL </w:t>
      </w:r>
      <w:r w:rsidR="00CB20C9" w:rsidRPr="00CB20C9">
        <w:rPr>
          <w:rFonts w:ascii="Times New Roman" w:hAnsi="Times New Roman"/>
          <w:b/>
          <w:bCs/>
          <w:sz w:val="24"/>
          <w:szCs w:val="24"/>
        </w:rPr>
        <w:t>BRIEF ON BEHALF OF COMMISSION STAFF</w:t>
      </w:r>
    </w:p>
    <w:p w:rsidR="00CB20C9" w:rsidRPr="00CB20C9" w:rsidRDefault="00CB20C9" w:rsidP="00CB20C9">
      <w:pPr>
        <w:rPr>
          <w:rFonts w:ascii="Times New Roman" w:hAnsi="Times New Roman"/>
          <w:b/>
          <w:bCs/>
          <w:sz w:val="24"/>
          <w:szCs w:val="24"/>
        </w:rPr>
      </w:pPr>
    </w:p>
    <w:p w:rsidR="00CB20C9" w:rsidRPr="00CB20C9" w:rsidRDefault="00CB20C9" w:rsidP="00CB20C9">
      <w:pPr>
        <w:rPr>
          <w:rFonts w:ascii="Times New Roman" w:hAnsi="Times New Roman"/>
          <w:b/>
          <w:bCs/>
          <w:sz w:val="24"/>
          <w:szCs w:val="24"/>
        </w:rPr>
      </w:pPr>
    </w:p>
    <w:p w:rsidR="00CB20C9" w:rsidRPr="00CB20C9" w:rsidRDefault="00CB20C9" w:rsidP="00CB20C9">
      <w:pPr>
        <w:ind w:left="3600" w:firstLine="720"/>
        <w:rPr>
          <w:rFonts w:ascii="Times New Roman" w:hAnsi="Times New Roman"/>
          <w:b/>
          <w:bCs/>
          <w:sz w:val="24"/>
          <w:szCs w:val="24"/>
        </w:rPr>
      </w:pPr>
      <w:r>
        <w:rPr>
          <w:rFonts w:ascii="Times New Roman" w:hAnsi="Times New Roman"/>
          <w:b/>
          <w:bCs/>
          <w:sz w:val="24"/>
          <w:szCs w:val="24"/>
        </w:rPr>
        <w:t>February 19, 2010</w:t>
      </w:r>
    </w:p>
    <w:p w:rsidR="00CB20C9" w:rsidRPr="00CB20C9" w:rsidRDefault="00CB20C9" w:rsidP="00CB20C9">
      <w:pPr>
        <w:rPr>
          <w:rFonts w:ascii="Times New Roman" w:hAnsi="Times New Roman"/>
          <w:b/>
          <w:bCs/>
          <w:sz w:val="24"/>
          <w:szCs w:val="24"/>
        </w:rPr>
      </w:pPr>
    </w:p>
    <w:p w:rsidR="00CB20C9" w:rsidRPr="00CB20C9" w:rsidRDefault="00CB20C9" w:rsidP="00CB20C9">
      <w:pPr>
        <w:rPr>
          <w:rFonts w:ascii="Times New Roman" w:hAnsi="Times New Roman"/>
          <w:b/>
          <w:bCs/>
          <w:sz w:val="24"/>
          <w:szCs w:val="24"/>
        </w:rPr>
      </w:pP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t>ROBERT M. MCKENNA</w:t>
      </w:r>
    </w:p>
    <w:p w:rsidR="00CB20C9" w:rsidRPr="00CB20C9" w:rsidRDefault="00CB20C9" w:rsidP="00CB20C9">
      <w:pPr>
        <w:rPr>
          <w:rFonts w:ascii="Times New Roman" w:hAnsi="Times New Roman"/>
          <w:b/>
          <w:bCs/>
          <w:sz w:val="24"/>
          <w:szCs w:val="24"/>
        </w:rPr>
      </w:pP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t xml:space="preserve">Attorney General </w:t>
      </w:r>
    </w:p>
    <w:p w:rsidR="00CB20C9" w:rsidRPr="00CB20C9" w:rsidRDefault="00CB20C9" w:rsidP="00CB20C9">
      <w:pPr>
        <w:rPr>
          <w:rFonts w:ascii="Times New Roman" w:hAnsi="Times New Roman"/>
          <w:b/>
          <w:bCs/>
          <w:sz w:val="24"/>
          <w:szCs w:val="24"/>
        </w:rPr>
      </w:pPr>
    </w:p>
    <w:p w:rsidR="00D122AA" w:rsidRDefault="00CB20C9" w:rsidP="00CB20C9">
      <w:pPr>
        <w:rPr>
          <w:rFonts w:ascii="Times New Roman" w:hAnsi="Times New Roman"/>
          <w:b/>
          <w:sz w:val="24"/>
          <w:szCs w:val="24"/>
        </w:rPr>
      </w:pP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Pr>
          <w:rFonts w:ascii="Times New Roman" w:hAnsi="Times New Roman"/>
          <w:b/>
          <w:sz w:val="24"/>
          <w:szCs w:val="24"/>
        </w:rPr>
        <w:t>ROBERT D. CEDARBAUM</w:t>
      </w:r>
    </w:p>
    <w:p w:rsidR="00CB20C9" w:rsidRPr="00CB20C9" w:rsidRDefault="00D122AA" w:rsidP="00CB20C9">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MICHAEL </w:t>
      </w:r>
      <w:r w:rsidR="00AF5E95">
        <w:rPr>
          <w:rFonts w:ascii="Times New Roman" w:hAnsi="Times New Roman"/>
          <w:b/>
          <w:sz w:val="24"/>
          <w:szCs w:val="24"/>
        </w:rPr>
        <w:t xml:space="preserve">A. </w:t>
      </w:r>
      <w:r>
        <w:rPr>
          <w:rFonts w:ascii="Times New Roman" w:hAnsi="Times New Roman"/>
          <w:b/>
          <w:sz w:val="24"/>
          <w:szCs w:val="24"/>
        </w:rPr>
        <w:t>FASSIO</w:t>
      </w:r>
      <w:r w:rsidR="00CB20C9">
        <w:rPr>
          <w:rFonts w:ascii="Times New Roman" w:hAnsi="Times New Roman"/>
          <w:b/>
          <w:sz w:val="24"/>
          <w:szCs w:val="24"/>
        </w:rPr>
        <w:t xml:space="preserve"> </w:t>
      </w: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Assistant Attorney</w:t>
      </w:r>
      <w:r w:rsidR="00D122AA">
        <w:rPr>
          <w:rFonts w:ascii="Times New Roman" w:hAnsi="Times New Roman"/>
          <w:b/>
          <w:sz w:val="24"/>
          <w:szCs w:val="24"/>
        </w:rPr>
        <w:t>s</w:t>
      </w:r>
      <w:r w:rsidRPr="00CB20C9">
        <w:rPr>
          <w:rFonts w:ascii="Times New Roman" w:hAnsi="Times New Roman"/>
          <w:b/>
          <w:sz w:val="24"/>
          <w:szCs w:val="24"/>
        </w:rPr>
        <w:t xml:space="preserve"> General </w:t>
      </w: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 xml:space="preserve">Office of the Attorney General </w:t>
      </w: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Utilities &amp; Transportation Division</w:t>
      </w: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 xml:space="preserve"> </w:t>
      </w: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 xml:space="preserve">1400 S Evergreen Park Drive SW </w:t>
      </w: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P.O. Box 40128</w:t>
      </w:r>
    </w:p>
    <w:p w:rsidR="00CB20C9" w:rsidRP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 xml:space="preserve">Olympia, WA  98504-0128 </w:t>
      </w:r>
    </w:p>
    <w:p w:rsidR="00CB20C9" w:rsidRDefault="00CB20C9" w:rsidP="00CB20C9">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(360) 664-</w:t>
      </w:r>
      <w:r>
        <w:rPr>
          <w:rFonts w:ascii="Times New Roman" w:hAnsi="Times New Roman"/>
          <w:b/>
          <w:sz w:val="24"/>
          <w:szCs w:val="24"/>
        </w:rPr>
        <w:t>1188</w:t>
      </w:r>
    </w:p>
    <w:p w:rsidR="00CB20C9" w:rsidRDefault="00CB20C9" w:rsidP="00CB20C9">
      <w:pPr>
        <w:rPr>
          <w:rFonts w:ascii="Times New Roman" w:hAnsi="Times New Roman"/>
          <w:b/>
          <w:sz w:val="24"/>
          <w:szCs w:val="24"/>
        </w:rPr>
      </w:pPr>
    </w:p>
    <w:p w:rsidR="00CB20C9" w:rsidRPr="00CB20C9" w:rsidRDefault="00CB20C9" w:rsidP="00CB20C9">
      <w:pPr>
        <w:rPr>
          <w:rFonts w:ascii="Times New Roman" w:hAnsi="Times New Roman"/>
          <w:b/>
          <w:bCs/>
          <w:sz w:val="24"/>
          <w:szCs w:val="24"/>
        </w:rPr>
      </w:pPr>
    </w:p>
    <w:p w:rsidR="00CB20C9" w:rsidRPr="00CB20C9" w:rsidRDefault="00CB20C9" w:rsidP="00CB20C9">
      <w:pPr>
        <w:rPr>
          <w:rFonts w:ascii="Times New Roman" w:hAnsi="Times New Roman"/>
          <w:sz w:val="24"/>
          <w:szCs w:val="24"/>
        </w:rPr>
        <w:sectPr w:rsidR="00CB20C9" w:rsidRPr="00CB20C9" w:rsidSect="00D122AA">
          <w:pgSz w:w="12240" w:h="15840" w:code="1"/>
          <w:pgMar w:top="1440" w:right="1440" w:bottom="1440" w:left="1872" w:header="720" w:footer="720" w:gutter="0"/>
          <w:cols w:space="720"/>
          <w:docGrid w:linePitch="360"/>
        </w:sectPr>
      </w:pPr>
    </w:p>
    <w:p w:rsidR="00CB20C9" w:rsidRPr="00CB20C9" w:rsidRDefault="00CB20C9" w:rsidP="00CB20C9">
      <w:pPr>
        <w:jc w:val="center"/>
        <w:rPr>
          <w:rFonts w:ascii="Times New Roman" w:hAnsi="Times New Roman"/>
          <w:sz w:val="24"/>
          <w:szCs w:val="24"/>
        </w:rPr>
      </w:pPr>
      <w:r w:rsidRPr="00CB20C9">
        <w:rPr>
          <w:rFonts w:ascii="Times New Roman" w:hAnsi="Times New Roman"/>
          <w:b/>
          <w:bCs/>
          <w:sz w:val="24"/>
          <w:szCs w:val="24"/>
        </w:rPr>
        <w:lastRenderedPageBreak/>
        <w:t>TABLE OF CONTENTS</w:t>
      </w:r>
    </w:p>
    <w:p w:rsidR="00CB20C9" w:rsidRPr="00CB20C9" w:rsidRDefault="00CB20C9" w:rsidP="00CB20C9">
      <w:pPr>
        <w:rPr>
          <w:rFonts w:ascii="Times New Roman" w:hAnsi="Times New Roman"/>
          <w:sz w:val="24"/>
          <w:szCs w:val="24"/>
        </w:rPr>
      </w:pPr>
    </w:p>
    <w:p w:rsidR="00CB20C9" w:rsidRPr="00CB20C9" w:rsidRDefault="00CB20C9" w:rsidP="00CB20C9">
      <w:pPr>
        <w:rPr>
          <w:rFonts w:ascii="Times New Roman" w:hAnsi="Times New Roman"/>
          <w:sz w:val="24"/>
          <w:szCs w:val="24"/>
        </w:rPr>
      </w:pPr>
    </w:p>
    <w:p w:rsidR="00A51CA1" w:rsidRPr="00ED50C5" w:rsidRDefault="00A51CA1" w:rsidP="00835BCB">
      <w:pPr>
        <w:pStyle w:val="ListParagraph"/>
        <w:tabs>
          <w:tab w:val="left" w:pos="720"/>
          <w:tab w:val="left" w:pos="1440"/>
          <w:tab w:val="left" w:pos="2160"/>
          <w:tab w:val="left" w:pos="2880"/>
          <w:tab w:val="right" w:leader="dot" w:pos="9000"/>
        </w:tabs>
        <w:ind w:left="0"/>
        <w:rPr>
          <w:rFonts w:ascii="Times New Roman" w:hAnsi="Times New Roman"/>
          <w:bCs/>
          <w:sz w:val="24"/>
          <w:szCs w:val="24"/>
        </w:rPr>
      </w:pPr>
      <w:r w:rsidRPr="00ED50C5">
        <w:rPr>
          <w:rFonts w:ascii="Times New Roman" w:hAnsi="Times New Roman"/>
          <w:bCs/>
          <w:sz w:val="24"/>
          <w:szCs w:val="24"/>
        </w:rPr>
        <w:t>I.</w:t>
      </w:r>
      <w:r w:rsidRPr="00ED50C5">
        <w:rPr>
          <w:rFonts w:ascii="Times New Roman" w:hAnsi="Times New Roman"/>
          <w:bCs/>
          <w:sz w:val="24"/>
          <w:szCs w:val="24"/>
        </w:rPr>
        <w:tab/>
        <w:t xml:space="preserve">INTRODUCTION </w:t>
      </w:r>
      <w:r w:rsidR="00835BCB">
        <w:rPr>
          <w:rFonts w:ascii="Times New Roman" w:hAnsi="Times New Roman"/>
          <w:bCs/>
          <w:sz w:val="24"/>
          <w:szCs w:val="24"/>
        </w:rPr>
        <w:tab/>
      </w:r>
      <w:r w:rsidR="00835BCB">
        <w:rPr>
          <w:rFonts w:ascii="Times New Roman" w:hAnsi="Times New Roman"/>
          <w:bCs/>
          <w:sz w:val="24"/>
          <w:szCs w:val="24"/>
        </w:rPr>
        <w:tab/>
      </w:r>
      <w:r w:rsidR="00961148">
        <w:rPr>
          <w:rFonts w:ascii="Times New Roman" w:hAnsi="Times New Roman"/>
          <w:bCs/>
          <w:sz w:val="24"/>
          <w:szCs w:val="24"/>
        </w:rPr>
        <w:t>1</w:t>
      </w:r>
    </w:p>
    <w:p w:rsidR="00A51CA1" w:rsidRPr="00ED50C5" w:rsidRDefault="00A51CA1" w:rsidP="00A51CA1">
      <w:pPr>
        <w:pStyle w:val="ListParagraph"/>
        <w:ind w:left="0"/>
        <w:rPr>
          <w:rFonts w:ascii="Times New Roman" w:hAnsi="Times New Roman"/>
          <w:bCs/>
          <w:sz w:val="24"/>
          <w:szCs w:val="24"/>
        </w:rPr>
      </w:pPr>
    </w:p>
    <w:p w:rsidR="00A51CA1" w:rsidRPr="00ED50C5" w:rsidRDefault="00A51CA1" w:rsidP="00835BCB">
      <w:pPr>
        <w:pStyle w:val="ListParagraph"/>
        <w:tabs>
          <w:tab w:val="left" w:pos="720"/>
          <w:tab w:val="left" w:pos="1440"/>
          <w:tab w:val="left" w:pos="2160"/>
          <w:tab w:val="right" w:leader="dot" w:pos="9000"/>
        </w:tabs>
        <w:ind w:left="0"/>
        <w:rPr>
          <w:rFonts w:ascii="Times New Roman" w:hAnsi="Times New Roman"/>
          <w:bCs/>
          <w:sz w:val="24"/>
          <w:szCs w:val="24"/>
        </w:rPr>
      </w:pPr>
      <w:r w:rsidRPr="00ED50C5">
        <w:rPr>
          <w:rFonts w:ascii="Times New Roman" w:hAnsi="Times New Roman"/>
          <w:bCs/>
          <w:sz w:val="24"/>
          <w:szCs w:val="24"/>
        </w:rPr>
        <w:t>II.</w:t>
      </w:r>
      <w:r w:rsidRPr="00ED50C5">
        <w:rPr>
          <w:rFonts w:ascii="Times New Roman" w:hAnsi="Times New Roman"/>
          <w:bCs/>
          <w:sz w:val="24"/>
          <w:szCs w:val="24"/>
        </w:rPr>
        <w:tab/>
        <w:t xml:space="preserve">COST OF CAPITAL </w:t>
      </w:r>
      <w:r w:rsidR="00835BCB">
        <w:rPr>
          <w:rFonts w:ascii="Times New Roman" w:hAnsi="Times New Roman"/>
          <w:bCs/>
          <w:sz w:val="24"/>
          <w:szCs w:val="24"/>
        </w:rPr>
        <w:tab/>
      </w:r>
      <w:r w:rsidR="00961148">
        <w:rPr>
          <w:rFonts w:ascii="Times New Roman" w:hAnsi="Times New Roman"/>
          <w:bCs/>
          <w:sz w:val="24"/>
          <w:szCs w:val="24"/>
        </w:rPr>
        <w:t>2</w:t>
      </w:r>
    </w:p>
    <w:p w:rsidR="00A51CA1" w:rsidRPr="00ED50C5" w:rsidRDefault="00A51CA1" w:rsidP="00A51CA1">
      <w:pPr>
        <w:pStyle w:val="ListParagraph"/>
        <w:ind w:left="0"/>
        <w:rPr>
          <w:rFonts w:ascii="Times New Roman" w:hAnsi="Times New Roman"/>
          <w:bCs/>
          <w:sz w:val="24"/>
          <w:szCs w:val="24"/>
        </w:rPr>
      </w:pPr>
    </w:p>
    <w:p w:rsidR="00A51CA1" w:rsidRPr="00ED50C5" w:rsidRDefault="00A51CA1" w:rsidP="00835BCB">
      <w:pPr>
        <w:pStyle w:val="ListParagraph"/>
        <w:tabs>
          <w:tab w:val="left" w:pos="720"/>
          <w:tab w:val="left" w:pos="1440"/>
          <w:tab w:val="left" w:pos="2160"/>
          <w:tab w:val="left" w:pos="2880"/>
          <w:tab w:val="right" w:leader="dot" w:pos="9000"/>
        </w:tabs>
        <w:ind w:left="0" w:firstLine="720"/>
        <w:rPr>
          <w:rFonts w:ascii="Times New Roman" w:hAnsi="Times New Roman"/>
          <w:bCs/>
          <w:sz w:val="24"/>
          <w:szCs w:val="24"/>
        </w:rPr>
      </w:pPr>
      <w:r w:rsidRPr="00ED50C5">
        <w:rPr>
          <w:rFonts w:ascii="Times New Roman" w:hAnsi="Times New Roman"/>
          <w:bCs/>
          <w:sz w:val="24"/>
          <w:szCs w:val="24"/>
        </w:rPr>
        <w:t>A.</w:t>
      </w:r>
      <w:r w:rsidRPr="00ED50C5">
        <w:rPr>
          <w:rFonts w:ascii="Times New Roman" w:hAnsi="Times New Roman"/>
          <w:bCs/>
          <w:sz w:val="24"/>
          <w:szCs w:val="24"/>
        </w:rPr>
        <w:tab/>
        <w:t xml:space="preserve">Capital Structure </w:t>
      </w:r>
      <w:r w:rsidR="00835BCB">
        <w:rPr>
          <w:rFonts w:ascii="Times New Roman" w:hAnsi="Times New Roman"/>
          <w:bCs/>
          <w:sz w:val="24"/>
          <w:szCs w:val="24"/>
        </w:rPr>
        <w:tab/>
      </w:r>
      <w:r w:rsidR="00961148">
        <w:rPr>
          <w:rFonts w:ascii="Times New Roman" w:hAnsi="Times New Roman"/>
          <w:bCs/>
          <w:sz w:val="24"/>
          <w:szCs w:val="24"/>
        </w:rPr>
        <w:t>2</w:t>
      </w:r>
    </w:p>
    <w:p w:rsidR="00A51CA1" w:rsidRPr="00ED50C5" w:rsidRDefault="00A51CA1" w:rsidP="00A51CA1">
      <w:pPr>
        <w:pStyle w:val="ListParagraph"/>
        <w:ind w:left="0" w:firstLine="720"/>
        <w:rPr>
          <w:rFonts w:ascii="Times New Roman" w:hAnsi="Times New Roman"/>
          <w:bCs/>
          <w:sz w:val="24"/>
          <w:szCs w:val="24"/>
        </w:rPr>
      </w:pPr>
    </w:p>
    <w:p w:rsidR="00A51CA1" w:rsidRPr="00ED50C5" w:rsidRDefault="00A51CA1" w:rsidP="00835BCB">
      <w:pPr>
        <w:tabs>
          <w:tab w:val="left" w:pos="720"/>
          <w:tab w:val="left" w:pos="1440"/>
          <w:tab w:val="left" w:pos="2160"/>
          <w:tab w:val="left" w:pos="2880"/>
          <w:tab w:val="left" w:pos="3600"/>
          <w:tab w:val="right" w:leader="dot" w:pos="9000"/>
        </w:tabs>
        <w:rPr>
          <w:rFonts w:ascii="Times New Roman" w:hAnsi="Times New Roman"/>
          <w:bCs/>
          <w:sz w:val="24"/>
          <w:szCs w:val="24"/>
        </w:rPr>
      </w:pPr>
      <w:r w:rsidRPr="00ED50C5">
        <w:rPr>
          <w:rFonts w:ascii="Times New Roman" w:hAnsi="Times New Roman"/>
          <w:sz w:val="24"/>
          <w:szCs w:val="24"/>
        </w:rPr>
        <w:tab/>
      </w:r>
      <w:r w:rsidRPr="00ED50C5">
        <w:rPr>
          <w:rFonts w:ascii="Times New Roman" w:hAnsi="Times New Roman"/>
          <w:bCs/>
          <w:sz w:val="24"/>
          <w:szCs w:val="24"/>
        </w:rPr>
        <w:t>B.</w:t>
      </w:r>
      <w:r w:rsidRPr="00ED50C5">
        <w:rPr>
          <w:rFonts w:ascii="Times New Roman" w:hAnsi="Times New Roman"/>
          <w:bCs/>
          <w:sz w:val="24"/>
          <w:szCs w:val="24"/>
        </w:rPr>
        <w:tab/>
        <w:t xml:space="preserve">Cost of Common Equity </w:t>
      </w:r>
      <w:r w:rsidR="00835BCB">
        <w:rPr>
          <w:rFonts w:ascii="Times New Roman" w:hAnsi="Times New Roman"/>
          <w:bCs/>
          <w:sz w:val="24"/>
          <w:szCs w:val="24"/>
        </w:rPr>
        <w:tab/>
      </w:r>
      <w:r w:rsidR="00961148">
        <w:rPr>
          <w:rFonts w:ascii="Times New Roman" w:hAnsi="Times New Roman"/>
          <w:bCs/>
          <w:sz w:val="24"/>
          <w:szCs w:val="24"/>
        </w:rPr>
        <w:t>4</w:t>
      </w:r>
    </w:p>
    <w:p w:rsidR="00A51CA1" w:rsidRPr="00ED50C5" w:rsidRDefault="00A51CA1" w:rsidP="00A51CA1">
      <w:pPr>
        <w:rPr>
          <w:rFonts w:ascii="Times New Roman" w:hAnsi="Times New Roman"/>
          <w:bCs/>
          <w:sz w:val="24"/>
          <w:szCs w:val="24"/>
        </w:rPr>
      </w:pPr>
    </w:p>
    <w:p w:rsidR="00A51CA1" w:rsidRPr="00ED50C5" w:rsidRDefault="00A51CA1" w:rsidP="00A51CA1">
      <w:pPr>
        <w:pStyle w:val="ListParagraph"/>
        <w:ind w:left="0"/>
        <w:rPr>
          <w:rFonts w:ascii="Times New Roman" w:hAnsi="Times New Roman"/>
          <w:bCs/>
          <w:sz w:val="24"/>
          <w:szCs w:val="24"/>
        </w:rPr>
      </w:pPr>
      <w:r w:rsidRPr="00ED50C5">
        <w:rPr>
          <w:rFonts w:ascii="Times New Roman" w:hAnsi="Times New Roman"/>
          <w:bCs/>
          <w:sz w:val="24"/>
          <w:szCs w:val="24"/>
        </w:rPr>
        <w:tab/>
      </w:r>
      <w:r w:rsidRPr="00ED50C5">
        <w:rPr>
          <w:rFonts w:ascii="Times New Roman" w:hAnsi="Times New Roman"/>
          <w:bCs/>
          <w:sz w:val="24"/>
          <w:szCs w:val="24"/>
        </w:rPr>
        <w:tab/>
        <w:t>1.</w:t>
      </w:r>
      <w:r w:rsidRPr="00ED50C5">
        <w:rPr>
          <w:rFonts w:ascii="Times New Roman" w:hAnsi="Times New Roman"/>
          <w:bCs/>
          <w:sz w:val="24"/>
          <w:szCs w:val="24"/>
        </w:rPr>
        <w:tab/>
        <w:t xml:space="preserve">Changes in the capital markets support Staff’s </w:t>
      </w:r>
    </w:p>
    <w:p w:rsidR="00A51CA1" w:rsidRPr="00ED50C5" w:rsidRDefault="007F6923" w:rsidP="00835BCB">
      <w:pPr>
        <w:pStyle w:val="ListParagraph"/>
        <w:tabs>
          <w:tab w:val="left" w:pos="720"/>
          <w:tab w:val="left" w:pos="1440"/>
          <w:tab w:val="left" w:pos="2160"/>
          <w:tab w:val="left" w:pos="2880"/>
          <w:tab w:val="left" w:pos="3600"/>
          <w:tab w:val="right" w:leader="dot" w:pos="9000"/>
        </w:tabs>
        <w:ind w:left="1440" w:firstLine="720"/>
        <w:rPr>
          <w:rFonts w:ascii="Times New Roman" w:hAnsi="Times New Roman"/>
          <w:bCs/>
          <w:sz w:val="24"/>
          <w:szCs w:val="24"/>
        </w:rPr>
      </w:pPr>
      <w:r>
        <w:rPr>
          <w:rFonts w:ascii="Times New Roman" w:hAnsi="Times New Roman"/>
          <w:bCs/>
          <w:sz w:val="24"/>
          <w:szCs w:val="24"/>
        </w:rPr>
        <w:t>recommendation to reduce the C</w:t>
      </w:r>
      <w:r w:rsidR="00A51CA1" w:rsidRPr="00ED50C5">
        <w:rPr>
          <w:rFonts w:ascii="Times New Roman" w:hAnsi="Times New Roman"/>
          <w:bCs/>
          <w:sz w:val="24"/>
          <w:szCs w:val="24"/>
        </w:rPr>
        <w:t xml:space="preserve">ompany’s cost of equity </w:t>
      </w:r>
      <w:r w:rsidR="00835BCB">
        <w:rPr>
          <w:rFonts w:ascii="Times New Roman" w:hAnsi="Times New Roman"/>
          <w:bCs/>
          <w:sz w:val="24"/>
          <w:szCs w:val="24"/>
        </w:rPr>
        <w:tab/>
      </w:r>
      <w:r w:rsidR="00961148">
        <w:rPr>
          <w:rFonts w:ascii="Times New Roman" w:hAnsi="Times New Roman"/>
          <w:bCs/>
          <w:sz w:val="24"/>
          <w:szCs w:val="24"/>
        </w:rPr>
        <w:t>5</w:t>
      </w:r>
    </w:p>
    <w:p w:rsidR="00A51CA1" w:rsidRPr="00ED50C5" w:rsidRDefault="00A51CA1" w:rsidP="00835BCB">
      <w:pPr>
        <w:pStyle w:val="ListParagraph"/>
        <w:tabs>
          <w:tab w:val="left" w:pos="720"/>
          <w:tab w:val="left" w:pos="1440"/>
          <w:tab w:val="left" w:pos="2160"/>
          <w:tab w:val="left" w:pos="2880"/>
          <w:tab w:val="left" w:pos="3600"/>
          <w:tab w:val="right" w:leader="dot" w:pos="9000"/>
        </w:tabs>
        <w:ind w:firstLine="720"/>
        <w:rPr>
          <w:rFonts w:ascii="Times New Roman" w:hAnsi="Times New Roman"/>
          <w:bCs/>
          <w:sz w:val="24"/>
          <w:szCs w:val="24"/>
        </w:rPr>
      </w:pPr>
      <w:r w:rsidRPr="00ED50C5">
        <w:rPr>
          <w:rFonts w:ascii="Times New Roman" w:hAnsi="Times New Roman"/>
          <w:bCs/>
          <w:sz w:val="24"/>
          <w:szCs w:val="24"/>
        </w:rPr>
        <w:t>2.</w:t>
      </w:r>
      <w:r w:rsidRPr="00ED50C5">
        <w:rPr>
          <w:rFonts w:ascii="Times New Roman" w:hAnsi="Times New Roman"/>
          <w:bCs/>
          <w:sz w:val="24"/>
          <w:szCs w:val="24"/>
        </w:rPr>
        <w:tab/>
        <w:t xml:space="preserve">Changes at the Company support Staff’s recommendation </w:t>
      </w:r>
    </w:p>
    <w:p w:rsidR="00A51CA1" w:rsidRPr="00ED50C5" w:rsidRDefault="00A51CA1" w:rsidP="00835BCB">
      <w:pPr>
        <w:pStyle w:val="ListParagraph"/>
        <w:tabs>
          <w:tab w:val="left" w:pos="720"/>
          <w:tab w:val="left" w:pos="1440"/>
          <w:tab w:val="left" w:pos="2160"/>
          <w:tab w:val="left" w:pos="2880"/>
          <w:tab w:val="left" w:pos="3600"/>
          <w:tab w:val="right" w:leader="dot" w:pos="9000"/>
        </w:tabs>
        <w:ind w:left="1440" w:firstLine="720"/>
        <w:rPr>
          <w:rFonts w:ascii="Times New Roman" w:hAnsi="Times New Roman"/>
          <w:bCs/>
          <w:sz w:val="24"/>
          <w:szCs w:val="24"/>
        </w:rPr>
      </w:pPr>
      <w:r w:rsidRPr="00ED50C5">
        <w:rPr>
          <w:rFonts w:ascii="Times New Roman" w:hAnsi="Times New Roman"/>
          <w:bCs/>
          <w:sz w:val="24"/>
          <w:szCs w:val="24"/>
        </w:rPr>
        <w:t>to reduce PSE’s cost of equity</w:t>
      </w:r>
      <w:r w:rsidR="00835BCB">
        <w:rPr>
          <w:rFonts w:ascii="Times New Roman" w:hAnsi="Times New Roman"/>
          <w:bCs/>
          <w:sz w:val="24"/>
          <w:szCs w:val="24"/>
        </w:rPr>
        <w:t xml:space="preserve"> </w:t>
      </w:r>
      <w:r w:rsidR="00835BCB">
        <w:rPr>
          <w:rFonts w:ascii="Times New Roman" w:hAnsi="Times New Roman"/>
          <w:bCs/>
          <w:sz w:val="24"/>
          <w:szCs w:val="24"/>
        </w:rPr>
        <w:tab/>
      </w:r>
      <w:r w:rsidR="00961148">
        <w:rPr>
          <w:rFonts w:ascii="Times New Roman" w:hAnsi="Times New Roman"/>
          <w:bCs/>
          <w:sz w:val="24"/>
          <w:szCs w:val="24"/>
        </w:rPr>
        <w:t>6</w:t>
      </w:r>
    </w:p>
    <w:p w:rsidR="00A51CA1" w:rsidRPr="00ED50C5" w:rsidRDefault="00A51CA1" w:rsidP="00A51CA1">
      <w:pPr>
        <w:pStyle w:val="ListParagraph"/>
        <w:ind w:left="0"/>
        <w:rPr>
          <w:rFonts w:ascii="Times New Roman" w:hAnsi="Times New Roman"/>
          <w:bCs/>
          <w:sz w:val="24"/>
          <w:szCs w:val="24"/>
        </w:rPr>
      </w:pPr>
      <w:r w:rsidRPr="00ED50C5">
        <w:rPr>
          <w:rFonts w:ascii="Times New Roman" w:hAnsi="Times New Roman"/>
          <w:bCs/>
          <w:sz w:val="24"/>
          <w:szCs w:val="24"/>
        </w:rPr>
        <w:tab/>
      </w:r>
      <w:r w:rsidRPr="00ED50C5">
        <w:rPr>
          <w:rFonts w:ascii="Times New Roman" w:hAnsi="Times New Roman"/>
          <w:bCs/>
          <w:sz w:val="24"/>
          <w:szCs w:val="24"/>
        </w:rPr>
        <w:tab/>
        <w:t>3.</w:t>
      </w:r>
      <w:r w:rsidRPr="00ED50C5">
        <w:rPr>
          <w:rFonts w:ascii="Times New Roman" w:hAnsi="Times New Roman"/>
          <w:bCs/>
          <w:sz w:val="24"/>
          <w:szCs w:val="24"/>
        </w:rPr>
        <w:tab/>
        <w:t xml:space="preserve">The analytical methods presented by all cost of capital </w:t>
      </w:r>
    </w:p>
    <w:p w:rsidR="00A51CA1" w:rsidRPr="00ED50C5" w:rsidRDefault="00A51CA1" w:rsidP="00A51CA1">
      <w:pPr>
        <w:pStyle w:val="ListParagraph"/>
        <w:ind w:left="1440" w:firstLine="720"/>
        <w:rPr>
          <w:rFonts w:ascii="Times New Roman" w:hAnsi="Times New Roman"/>
          <w:bCs/>
          <w:sz w:val="24"/>
          <w:szCs w:val="24"/>
        </w:rPr>
      </w:pPr>
      <w:r w:rsidRPr="00ED50C5">
        <w:rPr>
          <w:rFonts w:ascii="Times New Roman" w:hAnsi="Times New Roman"/>
          <w:bCs/>
          <w:sz w:val="24"/>
          <w:szCs w:val="24"/>
        </w:rPr>
        <w:t xml:space="preserve">witnesses support a reduction in the Company’s return </w:t>
      </w:r>
    </w:p>
    <w:p w:rsidR="00A51CA1" w:rsidRPr="00ED50C5" w:rsidRDefault="00A51CA1" w:rsidP="00835BCB">
      <w:pPr>
        <w:pStyle w:val="ListParagraph"/>
        <w:tabs>
          <w:tab w:val="left" w:pos="720"/>
          <w:tab w:val="left" w:pos="1440"/>
          <w:tab w:val="left" w:pos="2160"/>
          <w:tab w:val="left" w:pos="2880"/>
          <w:tab w:val="right" w:leader="dot" w:pos="9000"/>
        </w:tabs>
        <w:ind w:left="1440" w:firstLine="720"/>
        <w:rPr>
          <w:rFonts w:ascii="Times New Roman" w:hAnsi="Times New Roman"/>
          <w:bCs/>
          <w:sz w:val="24"/>
          <w:szCs w:val="24"/>
        </w:rPr>
      </w:pPr>
      <w:r w:rsidRPr="00ED50C5">
        <w:rPr>
          <w:rFonts w:ascii="Times New Roman" w:hAnsi="Times New Roman"/>
          <w:bCs/>
          <w:sz w:val="24"/>
          <w:szCs w:val="24"/>
        </w:rPr>
        <w:t>on equity</w:t>
      </w:r>
      <w:r w:rsidR="00835BCB">
        <w:rPr>
          <w:rFonts w:ascii="Times New Roman" w:hAnsi="Times New Roman"/>
          <w:bCs/>
          <w:sz w:val="24"/>
          <w:szCs w:val="24"/>
        </w:rPr>
        <w:t xml:space="preserve"> </w:t>
      </w:r>
      <w:r w:rsidR="00835BCB">
        <w:rPr>
          <w:rFonts w:ascii="Times New Roman" w:hAnsi="Times New Roman"/>
          <w:bCs/>
          <w:sz w:val="24"/>
          <w:szCs w:val="24"/>
        </w:rPr>
        <w:tab/>
      </w:r>
      <w:r w:rsidR="00961148">
        <w:rPr>
          <w:rFonts w:ascii="Times New Roman" w:hAnsi="Times New Roman"/>
          <w:bCs/>
          <w:sz w:val="24"/>
          <w:szCs w:val="24"/>
        </w:rPr>
        <w:t>8</w:t>
      </w:r>
    </w:p>
    <w:p w:rsidR="00A51CA1" w:rsidRPr="00ED50C5" w:rsidRDefault="00A51CA1" w:rsidP="00835BCB">
      <w:pPr>
        <w:tabs>
          <w:tab w:val="left" w:pos="720"/>
          <w:tab w:val="left" w:pos="1440"/>
          <w:tab w:val="left" w:pos="2160"/>
          <w:tab w:val="left" w:pos="2880"/>
          <w:tab w:val="left" w:pos="3600"/>
          <w:tab w:val="right" w:leader="dot" w:pos="9000"/>
        </w:tabs>
        <w:rPr>
          <w:rFonts w:ascii="Times New Roman" w:hAnsi="Times New Roman"/>
          <w:sz w:val="24"/>
          <w:szCs w:val="24"/>
        </w:rPr>
      </w:pPr>
      <w:r w:rsidRPr="00ED50C5">
        <w:rPr>
          <w:rFonts w:ascii="Times New Roman" w:hAnsi="Times New Roman"/>
          <w:bCs/>
          <w:sz w:val="24"/>
          <w:szCs w:val="24"/>
        </w:rPr>
        <w:tab/>
      </w:r>
      <w:r w:rsidRPr="00ED50C5">
        <w:rPr>
          <w:rFonts w:ascii="Times New Roman" w:hAnsi="Times New Roman"/>
          <w:bCs/>
          <w:sz w:val="24"/>
          <w:szCs w:val="24"/>
        </w:rPr>
        <w:tab/>
      </w:r>
      <w:r w:rsidRPr="00ED50C5">
        <w:rPr>
          <w:rFonts w:ascii="Times New Roman" w:hAnsi="Times New Roman"/>
          <w:sz w:val="24"/>
          <w:szCs w:val="24"/>
        </w:rPr>
        <w:t>4.</w:t>
      </w:r>
      <w:r w:rsidRPr="00ED50C5">
        <w:rPr>
          <w:rFonts w:ascii="Times New Roman" w:hAnsi="Times New Roman"/>
          <w:sz w:val="24"/>
          <w:szCs w:val="24"/>
        </w:rPr>
        <w:tab/>
        <w:t xml:space="preserve">Conclusion on the Cost of Equity </w:t>
      </w:r>
      <w:r w:rsidR="00835BCB">
        <w:rPr>
          <w:rFonts w:ascii="Times New Roman" w:hAnsi="Times New Roman"/>
          <w:sz w:val="24"/>
          <w:szCs w:val="24"/>
        </w:rPr>
        <w:tab/>
      </w:r>
      <w:r w:rsidR="00961148">
        <w:rPr>
          <w:rFonts w:ascii="Times New Roman" w:hAnsi="Times New Roman"/>
          <w:sz w:val="24"/>
          <w:szCs w:val="24"/>
        </w:rPr>
        <w:t>10</w:t>
      </w:r>
    </w:p>
    <w:p w:rsidR="00A51CA1" w:rsidRPr="00ED50C5" w:rsidRDefault="00A51CA1" w:rsidP="00A51CA1">
      <w:pPr>
        <w:rPr>
          <w:rFonts w:ascii="Times New Roman" w:hAnsi="Times New Roman"/>
          <w:sz w:val="24"/>
          <w:szCs w:val="24"/>
        </w:rPr>
      </w:pPr>
    </w:p>
    <w:p w:rsidR="00A51CA1" w:rsidRPr="00ED50C5" w:rsidRDefault="00A51CA1" w:rsidP="00835BCB">
      <w:pPr>
        <w:pStyle w:val="ListParagraph"/>
        <w:tabs>
          <w:tab w:val="left" w:pos="720"/>
          <w:tab w:val="left" w:pos="1440"/>
          <w:tab w:val="left" w:pos="2160"/>
          <w:tab w:val="left" w:pos="2880"/>
          <w:tab w:val="left" w:pos="3600"/>
          <w:tab w:val="right" w:leader="dot" w:pos="9000"/>
        </w:tabs>
        <w:ind w:left="0" w:firstLine="720"/>
        <w:rPr>
          <w:rFonts w:ascii="Times New Roman" w:hAnsi="Times New Roman"/>
          <w:bCs/>
          <w:sz w:val="24"/>
          <w:szCs w:val="24"/>
        </w:rPr>
      </w:pPr>
      <w:r w:rsidRPr="00ED50C5">
        <w:rPr>
          <w:rFonts w:ascii="Times New Roman" w:hAnsi="Times New Roman"/>
          <w:bCs/>
          <w:sz w:val="24"/>
          <w:szCs w:val="24"/>
        </w:rPr>
        <w:t>C.</w:t>
      </w:r>
      <w:r w:rsidRPr="00ED50C5">
        <w:rPr>
          <w:rFonts w:ascii="Times New Roman" w:hAnsi="Times New Roman"/>
          <w:bCs/>
          <w:sz w:val="24"/>
          <w:szCs w:val="24"/>
        </w:rPr>
        <w:tab/>
        <w:t xml:space="preserve">Cost of Long-Term Debt </w:t>
      </w:r>
      <w:r w:rsidR="00835BCB">
        <w:rPr>
          <w:rFonts w:ascii="Times New Roman" w:hAnsi="Times New Roman"/>
          <w:bCs/>
          <w:sz w:val="24"/>
          <w:szCs w:val="24"/>
        </w:rPr>
        <w:tab/>
      </w:r>
      <w:r w:rsidR="00961148">
        <w:rPr>
          <w:rFonts w:ascii="Times New Roman" w:hAnsi="Times New Roman"/>
          <w:bCs/>
          <w:sz w:val="24"/>
          <w:szCs w:val="24"/>
        </w:rPr>
        <w:t>11</w:t>
      </w:r>
    </w:p>
    <w:p w:rsidR="00A51CA1" w:rsidRPr="00ED50C5" w:rsidRDefault="00A51CA1" w:rsidP="00A51CA1">
      <w:pPr>
        <w:pStyle w:val="ListParagraph"/>
        <w:ind w:left="0" w:firstLine="720"/>
        <w:rPr>
          <w:rFonts w:ascii="Times New Roman" w:hAnsi="Times New Roman"/>
          <w:bCs/>
          <w:sz w:val="24"/>
          <w:szCs w:val="24"/>
        </w:rPr>
      </w:pPr>
    </w:p>
    <w:p w:rsidR="00A51CA1" w:rsidRPr="00ED50C5" w:rsidRDefault="00A51CA1" w:rsidP="00A51CA1">
      <w:pPr>
        <w:pStyle w:val="ListParagraph"/>
        <w:ind w:left="0" w:firstLine="720"/>
        <w:rPr>
          <w:rFonts w:ascii="Times New Roman" w:hAnsi="Times New Roman"/>
          <w:bCs/>
          <w:sz w:val="24"/>
          <w:szCs w:val="24"/>
        </w:rPr>
      </w:pPr>
      <w:r w:rsidRPr="00ED50C5">
        <w:rPr>
          <w:rFonts w:ascii="Times New Roman" w:hAnsi="Times New Roman"/>
          <w:bCs/>
          <w:sz w:val="24"/>
          <w:szCs w:val="24"/>
        </w:rPr>
        <w:t>D.</w:t>
      </w:r>
      <w:r w:rsidRPr="00ED50C5">
        <w:rPr>
          <w:rFonts w:ascii="Times New Roman" w:hAnsi="Times New Roman"/>
          <w:bCs/>
          <w:sz w:val="24"/>
          <w:szCs w:val="24"/>
        </w:rPr>
        <w:tab/>
        <w:t xml:space="preserve">Staff’s Overall Cost of Capital Will Maintain the Company’s </w:t>
      </w:r>
    </w:p>
    <w:p w:rsidR="00A51CA1" w:rsidRPr="00ED50C5" w:rsidRDefault="00A51CA1" w:rsidP="00835BCB">
      <w:pPr>
        <w:pStyle w:val="ListParagraph"/>
        <w:tabs>
          <w:tab w:val="left" w:pos="720"/>
          <w:tab w:val="left" w:pos="1440"/>
          <w:tab w:val="left" w:pos="2160"/>
          <w:tab w:val="left" w:pos="2880"/>
          <w:tab w:val="right" w:leader="dot" w:pos="9000"/>
        </w:tabs>
        <w:ind w:firstLine="720"/>
        <w:rPr>
          <w:rFonts w:ascii="Times New Roman" w:hAnsi="Times New Roman"/>
          <w:bCs/>
          <w:sz w:val="24"/>
          <w:szCs w:val="24"/>
        </w:rPr>
      </w:pPr>
      <w:r w:rsidRPr="00ED50C5">
        <w:rPr>
          <w:rFonts w:ascii="Times New Roman" w:hAnsi="Times New Roman"/>
          <w:bCs/>
          <w:sz w:val="24"/>
          <w:szCs w:val="24"/>
        </w:rPr>
        <w:t xml:space="preserve">Financial Integrity </w:t>
      </w:r>
      <w:r w:rsidR="00835BCB">
        <w:rPr>
          <w:rFonts w:ascii="Times New Roman" w:hAnsi="Times New Roman"/>
          <w:bCs/>
          <w:sz w:val="24"/>
          <w:szCs w:val="24"/>
        </w:rPr>
        <w:tab/>
      </w:r>
      <w:r w:rsidR="00961148">
        <w:rPr>
          <w:rFonts w:ascii="Times New Roman" w:hAnsi="Times New Roman"/>
          <w:bCs/>
          <w:sz w:val="24"/>
          <w:szCs w:val="24"/>
        </w:rPr>
        <w:t>11</w:t>
      </w:r>
    </w:p>
    <w:p w:rsidR="00A51CA1" w:rsidRPr="00ED50C5" w:rsidRDefault="00A51CA1" w:rsidP="00A51CA1">
      <w:pPr>
        <w:pStyle w:val="ListParagraph"/>
        <w:ind w:left="0"/>
        <w:rPr>
          <w:rFonts w:ascii="Times New Roman" w:hAnsi="Times New Roman"/>
          <w:bCs/>
          <w:sz w:val="24"/>
          <w:szCs w:val="24"/>
        </w:rPr>
      </w:pPr>
    </w:p>
    <w:p w:rsidR="00A51CA1" w:rsidRPr="00ED50C5" w:rsidRDefault="00A51CA1" w:rsidP="00835BC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III.</w:t>
      </w:r>
      <w:r w:rsidRPr="00ED50C5">
        <w:rPr>
          <w:rFonts w:ascii="Times New Roman" w:hAnsi="Times New Roman"/>
          <w:sz w:val="24"/>
        </w:rPr>
        <w:tab/>
        <w:t>RATEMAKING ADJUSTMENTS</w:t>
      </w:r>
      <w:r w:rsidR="00835BCB">
        <w:rPr>
          <w:rFonts w:ascii="Times New Roman" w:hAnsi="Times New Roman"/>
          <w:sz w:val="24"/>
        </w:rPr>
        <w:t xml:space="preserve"> </w:t>
      </w:r>
      <w:r w:rsidR="00835BCB">
        <w:rPr>
          <w:rFonts w:ascii="Times New Roman" w:hAnsi="Times New Roman"/>
          <w:sz w:val="24"/>
        </w:rPr>
        <w:tab/>
      </w:r>
      <w:r w:rsidR="00961148">
        <w:rPr>
          <w:rFonts w:ascii="Times New Roman" w:hAnsi="Times New Roman"/>
          <w:sz w:val="24"/>
        </w:rPr>
        <w:t>12</w:t>
      </w:r>
    </w:p>
    <w:p w:rsidR="00A51CA1" w:rsidRPr="00ED50C5" w:rsidRDefault="00A51CA1" w:rsidP="00A51CA1">
      <w:pPr>
        <w:tabs>
          <w:tab w:val="left" w:pos="-1440"/>
        </w:tabs>
        <w:rPr>
          <w:rFonts w:ascii="Times New Roman" w:hAnsi="Times New Roman"/>
          <w:sz w:val="24"/>
        </w:rPr>
      </w:pPr>
    </w:p>
    <w:p w:rsidR="00A51CA1" w:rsidRPr="00ED50C5" w:rsidRDefault="00A51CA1" w:rsidP="00835BC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t>A.</w:t>
      </w:r>
      <w:r w:rsidRPr="00ED50C5">
        <w:rPr>
          <w:rFonts w:ascii="Times New Roman" w:hAnsi="Times New Roman"/>
          <w:sz w:val="24"/>
        </w:rPr>
        <w:tab/>
        <w:t xml:space="preserve">Actual Results of Operations for the 2008 Test Year </w:t>
      </w:r>
      <w:r w:rsidR="00835BCB">
        <w:rPr>
          <w:rFonts w:ascii="Times New Roman" w:hAnsi="Times New Roman"/>
          <w:sz w:val="24"/>
        </w:rPr>
        <w:tab/>
      </w:r>
      <w:r w:rsidR="00961148">
        <w:rPr>
          <w:rFonts w:ascii="Times New Roman" w:hAnsi="Times New Roman"/>
          <w:sz w:val="24"/>
        </w:rPr>
        <w:t>12</w:t>
      </w:r>
    </w:p>
    <w:p w:rsidR="00A51CA1" w:rsidRPr="00ED50C5" w:rsidRDefault="00A51CA1" w:rsidP="00A51CA1">
      <w:pPr>
        <w:tabs>
          <w:tab w:val="left" w:pos="-1440"/>
        </w:tabs>
        <w:rPr>
          <w:rFonts w:ascii="Times New Roman" w:hAnsi="Times New Roman"/>
          <w:sz w:val="24"/>
        </w:rPr>
      </w:pPr>
    </w:p>
    <w:p w:rsidR="00A51CA1" w:rsidRPr="00ED50C5" w:rsidRDefault="00A51CA1" w:rsidP="00835BC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t>B.</w:t>
      </w:r>
      <w:r w:rsidRPr="00ED50C5">
        <w:rPr>
          <w:rFonts w:ascii="Times New Roman" w:hAnsi="Times New Roman"/>
          <w:sz w:val="24"/>
        </w:rPr>
        <w:tab/>
        <w:t xml:space="preserve">Uncontested Ratemaking Adjustments </w:t>
      </w:r>
      <w:r w:rsidR="00835BCB">
        <w:rPr>
          <w:rFonts w:ascii="Times New Roman" w:hAnsi="Times New Roman"/>
          <w:sz w:val="24"/>
        </w:rPr>
        <w:tab/>
      </w:r>
      <w:r w:rsidR="00961148">
        <w:rPr>
          <w:rFonts w:ascii="Times New Roman" w:hAnsi="Times New Roman"/>
          <w:sz w:val="24"/>
        </w:rPr>
        <w:t>13</w:t>
      </w:r>
    </w:p>
    <w:p w:rsidR="00A51CA1" w:rsidRPr="00ED50C5" w:rsidRDefault="00A51CA1" w:rsidP="00A51CA1">
      <w:pPr>
        <w:tabs>
          <w:tab w:val="left" w:pos="-1440"/>
        </w:tabs>
        <w:rPr>
          <w:rFonts w:ascii="Times New Roman" w:hAnsi="Times New Roman"/>
          <w:sz w:val="24"/>
        </w:rPr>
      </w:pPr>
    </w:p>
    <w:p w:rsidR="00A51CA1" w:rsidRPr="00ED50C5" w:rsidRDefault="00A51CA1" w:rsidP="00835BC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t>C.</w:t>
      </w:r>
      <w:r w:rsidRPr="00ED50C5">
        <w:rPr>
          <w:rFonts w:ascii="Times New Roman" w:hAnsi="Times New Roman"/>
          <w:sz w:val="24"/>
        </w:rPr>
        <w:tab/>
        <w:t xml:space="preserve">Contested Ratemaking Adjustments </w:t>
      </w:r>
      <w:r w:rsidR="00835BCB">
        <w:rPr>
          <w:rFonts w:ascii="Times New Roman" w:hAnsi="Times New Roman"/>
          <w:sz w:val="24"/>
        </w:rPr>
        <w:tab/>
      </w:r>
      <w:r w:rsidR="00961148">
        <w:rPr>
          <w:rFonts w:ascii="Times New Roman" w:hAnsi="Times New Roman"/>
          <w:sz w:val="24"/>
        </w:rPr>
        <w:t>14</w:t>
      </w:r>
    </w:p>
    <w:p w:rsidR="00A51CA1" w:rsidRPr="00ED50C5" w:rsidRDefault="00A51CA1" w:rsidP="00A51CA1">
      <w:pPr>
        <w:tabs>
          <w:tab w:val="left" w:pos="-1440"/>
        </w:tabs>
        <w:rPr>
          <w:rFonts w:ascii="Times New Roman" w:hAnsi="Times New Roman"/>
          <w:sz w:val="24"/>
        </w:rPr>
      </w:pPr>
    </w:p>
    <w:p w:rsidR="00A51CA1" w:rsidRPr="00ED50C5" w:rsidRDefault="00A51CA1" w:rsidP="00835BC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t>1.</w:t>
      </w:r>
      <w:r w:rsidRPr="00ED50C5">
        <w:rPr>
          <w:rFonts w:ascii="Times New Roman" w:hAnsi="Times New Roman"/>
          <w:sz w:val="24"/>
        </w:rPr>
        <w:tab/>
        <w:t>Contested Electricity and Natural Gas Adjustments</w:t>
      </w:r>
      <w:r w:rsidR="00835BCB">
        <w:rPr>
          <w:rFonts w:ascii="Times New Roman" w:hAnsi="Times New Roman"/>
          <w:sz w:val="24"/>
        </w:rPr>
        <w:t xml:space="preserve"> </w:t>
      </w:r>
      <w:r w:rsidR="00835BCB">
        <w:rPr>
          <w:rFonts w:ascii="Times New Roman" w:hAnsi="Times New Roman"/>
          <w:sz w:val="24"/>
        </w:rPr>
        <w:tab/>
      </w:r>
      <w:r w:rsidR="00961148">
        <w:rPr>
          <w:rFonts w:ascii="Times New Roman" w:hAnsi="Times New Roman"/>
          <w:sz w:val="24"/>
        </w:rPr>
        <w:t>17</w:t>
      </w:r>
    </w:p>
    <w:p w:rsidR="00A51CA1" w:rsidRPr="00ED50C5" w:rsidRDefault="00A51CA1" w:rsidP="00A51CA1">
      <w:pPr>
        <w:tabs>
          <w:tab w:val="left" w:pos="-1440"/>
        </w:tabs>
        <w:rPr>
          <w:rFonts w:ascii="Times New Roman" w:hAnsi="Times New Roman"/>
          <w:sz w:val="24"/>
        </w:rPr>
      </w:pPr>
    </w:p>
    <w:p w:rsidR="00A51CA1" w:rsidRPr="00ED50C5" w:rsidRDefault="00A51CA1" w:rsidP="00835BCB">
      <w:pPr>
        <w:pStyle w:val="ListParagraph"/>
        <w:tabs>
          <w:tab w:val="left" w:pos="-1440"/>
          <w:tab w:val="left" w:pos="720"/>
          <w:tab w:val="left" w:pos="1440"/>
          <w:tab w:val="left" w:pos="2160"/>
          <w:tab w:val="left" w:pos="2880"/>
          <w:tab w:val="left" w:pos="3600"/>
          <w:tab w:val="right" w:leader="dot" w:pos="9000"/>
        </w:tabs>
        <w:ind w:left="0"/>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a.</w:t>
      </w:r>
      <w:r w:rsidRPr="00ED50C5">
        <w:rPr>
          <w:rFonts w:ascii="Times New Roman" w:hAnsi="Times New Roman"/>
          <w:sz w:val="24"/>
        </w:rPr>
        <w:tab/>
        <w:t>10.02 and 9.02, Revenues and Expenses</w:t>
      </w:r>
      <w:r w:rsidR="00835BCB">
        <w:rPr>
          <w:rFonts w:ascii="Times New Roman" w:hAnsi="Times New Roman"/>
          <w:sz w:val="24"/>
        </w:rPr>
        <w:t xml:space="preserve"> </w:t>
      </w:r>
      <w:r w:rsidR="00835BCB">
        <w:rPr>
          <w:rFonts w:ascii="Times New Roman" w:hAnsi="Times New Roman"/>
          <w:sz w:val="24"/>
        </w:rPr>
        <w:tab/>
      </w:r>
      <w:r w:rsidR="00961148">
        <w:rPr>
          <w:rFonts w:ascii="Times New Roman" w:hAnsi="Times New Roman"/>
          <w:sz w:val="24"/>
        </w:rPr>
        <w:t>17</w:t>
      </w:r>
    </w:p>
    <w:p w:rsidR="00A51CA1" w:rsidRPr="00ED50C5" w:rsidRDefault="00A51CA1" w:rsidP="00A51CA1">
      <w:pPr>
        <w:tabs>
          <w:tab w:val="left" w:pos="-144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i.</w:t>
      </w:r>
      <w:r w:rsidRPr="00ED50C5">
        <w:rPr>
          <w:rFonts w:ascii="Times New Roman" w:hAnsi="Times New Roman"/>
          <w:sz w:val="24"/>
        </w:rPr>
        <w:tab/>
        <w:t>The Conse</w:t>
      </w:r>
      <w:r w:rsidR="007F6923">
        <w:rPr>
          <w:rFonts w:ascii="Times New Roman" w:hAnsi="Times New Roman"/>
          <w:sz w:val="24"/>
        </w:rPr>
        <w:t>rvation Phase-in Proposal</w:t>
      </w:r>
      <w:r w:rsidRPr="00ED50C5">
        <w:rPr>
          <w:rFonts w:ascii="Times New Roman" w:hAnsi="Times New Roman"/>
          <w:sz w:val="24"/>
        </w:rPr>
        <w:t xml:space="preserve"> </w:t>
      </w:r>
    </w:p>
    <w:p w:rsidR="00A51CA1" w:rsidRPr="00ED50C5" w:rsidRDefault="00A51CA1" w:rsidP="00A51CA1">
      <w:pPr>
        <w:tabs>
          <w:tab w:val="left" w:pos="-144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 xml:space="preserve">fails to properly annualize the effects of </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 xml:space="preserve">energy savings </w:t>
      </w:r>
      <w:r w:rsidR="000B7ADB">
        <w:rPr>
          <w:rFonts w:ascii="Times New Roman" w:hAnsi="Times New Roman"/>
          <w:sz w:val="24"/>
        </w:rPr>
        <w:tab/>
      </w:r>
      <w:r w:rsidR="00961148">
        <w:rPr>
          <w:rFonts w:ascii="Times New Roman" w:hAnsi="Times New Roman"/>
          <w:sz w:val="24"/>
        </w:rPr>
        <w:t>17</w:t>
      </w:r>
    </w:p>
    <w:p w:rsidR="00A51CA1" w:rsidRPr="00ED50C5" w:rsidRDefault="00A51CA1" w:rsidP="00A51CA1">
      <w:pPr>
        <w:tabs>
          <w:tab w:val="left" w:pos="-144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007F6923">
        <w:rPr>
          <w:rFonts w:ascii="Times New Roman" w:hAnsi="Times New Roman"/>
          <w:sz w:val="24"/>
        </w:rPr>
        <w:tab/>
        <w:t>ii.</w:t>
      </w:r>
      <w:r w:rsidR="007F6923">
        <w:rPr>
          <w:rFonts w:ascii="Times New Roman" w:hAnsi="Times New Roman"/>
          <w:sz w:val="24"/>
        </w:rPr>
        <w:tab/>
        <w:t>The Conservation Phase-In P</w:t>
      </w:r>
      <w:r w:rsidRPr="00ED50C5">
        <w:rPr>
          <w:rFonts w:ascii="Times New Roman" w:hAnsi="Times New Roman"/>
          <w:sz w:val="24"/>
        </w:rPr>
        <w:t xml:space="preserve">roposal is not </w:t>
      </w:r>
    </w:p>
    <w:p w:rsidR="00A51CA1" w:rsidRPr="00ED50C5" w:rsidRDefault="007F6923" w:rsidP="00A51CA1">
      <w:pPr>
        <w:tabs>
          <w:tab w:val="left" w:pos="-144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a proper pro </w:t>
      </w:r>
      <w:r w:rsidR="00A51CA1" w:rsidRPr="00ED50C5">
        <w:rPr>
          <w:rFonts w:ascii="Times New Roman" w:hAnsi="Times New Roman"/>
          <w:sz w:val="24"/>
        </w:rPr>
        <w:t xml:space="preserve">forma adjustment because it </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 xml:space="preserve">uses unverified savings </w:t>
      </w:r>
      <w:r w:rsidR="000B7ADB">
        <w:rPr>
          <w:rFonts w:ascii="Times New Roman" w:hAnsi="Times New Roman"/>
          <w:sz w:val="24"/>
        </w:rPr>
        <w:tab/>
      </w:r>
      <w:r w:rsidR="00961148">
        <w:rPr>
          <w:rFonts w:ascii="Times New Roman" w:hAnsi="Times New Roman"/>
          <w:sz w:val="24"/>
        </w:rPr>
        <w:t>18</w:t>
      </w:r>
    </w:p>
    <w:p w:rsidR="00A51CA1" w:rsidRPr="00ED50C5" w:rsidRDefault="00A51CA1" w:rsidP="00A51CA1">
      <w:pPr>
        <w:tabs>
          <w:tab w:val="left" w:pos="-1440"/>
          <w:tab w:val="left" w:pos="2160"/>
          <w:tab w:val="left" w:pos="288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t>iii.</w:t>
      </w:r>
      <w:r w:rsidRPr="00ED50C5">
        <w:rPr>
          <w:rFonts w:ascii="Times New Roman" w:hAnsi="Times New Roman"/>
          <w:sz w:val="24"/>
        </w:rPr>
        <w:tab/>
        <w:t>The Conservation Ph</w:t>
      </w:r>
      <w:r w:rsidR="007F6923">
        <w:rPr>
          <w:rFonts w:ascii="Times New Roman" w:hAnsi="Times New Roman"/>
          <w:sz w:val="24"/>
        </w:rPr>
        <w:t>ase-In P</w:t>
      </w:r>
      <w:r w:rsidRPr="00ED50C5">
        <w:rPr>
          <w:rFonts w:ascii="Times New Roman" w:hAnsi="Times New Roman"/>
          <w:sz w:val="24"/>
        </w:rPr>
        <w:t xml:space="preserve">roposal is not </w:t>
      </w:r>
    </w:p>
    <w:p w:rsidR="00961148" w:rsidRDefault="00A51CA1" w:rsidP="007F6923">
      <w:pPr>
        <w:tabs>
          <w:tab w:val="left" w:pos="-1440"/>
          <w:tab w:val="left" w:pos="2160"/>
          <w:tab w:val="left" w:pos="2880"/>
        </w:tabs>
        <w:ind w:left="3600"/>
        <w:rPr>
          <w:rFonts w:ascii="Times New Roman" w:hAnsi="Times New Roman"/>
          <w:sz w:val="24"/>
        </w:rPr>
      </w:pPr>
      <w:r w:rsidRPr="00ED50C5">
        <w:rPr>
          <w:rFonts w:ascii="Times New Roman" w:hAnsi="Times New Roman"/>
          <w:sz w:val="24"/>
        </w:rPr>
        <w:t>a proper pro forma adjustment because it</w:t>
      </w:r>
      <w:r w:rsidR="007F6923">
        <w:rPr>
          <w:rFonts w:ascii="Times New Roman" w:hAnsi="Times New Roman"/>
          <w:sz w:val="24"/>
        </w:rPr>
        <w:t xml:space="preserve"> </w:t>
      </w:r>
      <w:r w:rsidRPr="00ED50C5">
        <w:rPr>
          <w:rFonts w:ascii="Times New Roman" w:hAnsi="Times New Roman"/>
          <w:sz w:val="24"/>
        </w:rPr>
        <w:t xml:space="preserve">does not </w:t>
      </w:r>
    </w:p>
    <w:p w:rsidR="00A51CA1" w:rsidRPr="00ED50C5" w:rsidRDefault="00A51CA1" w:rsidP="00961148">
      <w:pPr>
        <w:tabs>
          <w:tab w:val="left" w:pos="-1440"/>
          <w:tab w:val="left" w:pos="720"/>
          <w:tab w:val="left" w:pos="1440"/>
          <w:tab w:val="left" w:pos="2160"/>
          <w:tab w:val="left" w:pos="2880"/>
          <w:tab w:val="left" w:pos="3600"/>
          <w:tab w:val="right" w:leader="dot" w:pos="9000"/>
        </w:tabs>
        <w:ind w:firstLine="3600"/>
        <w:rPr>
          <w:rFonts w:ascii="Times New Roman" w:hAnsi="Times New Roman"/>
          <w:sz w:val="24"/>
        </w:rPr>
      </w:pPr>
      <w:r w:rsidRPr="00ED50C5">
        <w:rPr>
          <w:rFonts w:ascii="Times New Roman" w:hAnsi="Times New Roman"/>
          <w:sz w:val="24"/>
        </w:rPr>
        <w:t xml:space="preserve">address other factors that affect energy sales </w:t>
      </w:r>
      <w:r w:rsidR="000B7ADB">
        <w:rPr>
          <w:rFonts w:ascii="Times New Roman" w:hAnsi="Times New Roman"/>
          <w:sz w:val="24"/>
        </w:rPr>
        <w:tab/>
      </w:r>
      <w:r w:rsidR="00961148">
        <w:rPr>
          <w:rFonts w:ascii="Times New Roman" w:hAnsi="Times New Roman"/>
          <w:sz w:val="24"/>
        </w:rPr>
        <w:t>20</w:t>
      </w:r>
    </w:p>
    <w:p w:rsidR="00A51CA1" w:rsidRPr="00ED50C5" w:rsidRDefault="00A51CA1" w:rsidP="00A51CA1">
      <w:pPr>
        <w:keepNext/>
        <w:keepLines/>
        <w:tabs>
          <w:tab w:val="left" w:pos="-1440"/>
        </w:tabs>
        <w:rPr>
          <w:rFonts w:ascii="Times New Roman" w:hAnsi="Times New Roman"/>
          <w:sz w:val="24"/>
        </w:rPr>
      </w:pPr>
      <w:r w:rsidRPr="00ED50C5">
        <w:rPr>
          <w:rFonts w:ascii="Times New Roman" w:hAnsi="Times New Roman"/>
          <w:sz w:val="24"/>
        </w:rPr>
        <w:lastRenderedPageBreak/>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iv.</w:t>
      </w:r>
      <w:r w:rsidRPr="00ED50C5">
        <w:rPr>
          <w:rFonts w:ascii="Times New Roman" w:hAnsi="Times New Roman"/>
          <w:sz w:val="24"/>
        </w:rPr>
        <w:tab/>
        <w:t xml:space="preserve">The Conservation Phase-In Proposal attempts </w:t>
      </w:r>
    </w:p>
    <w:p w:rsidR="00A51CA1" w:rsidRPr="00ED50C5" w:rsidRDefault="00A51CA1" w:rsidP="00A51CA1">
      <w:pPr>
        <w:keepNext/>
        <w:keepLines/>
        <w:tabs>
          <w:tab w:val="left" w:pos="-144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to address an issue that has not been shown</w:t>
      </w:r>
    </w:p>
    <w:p w:rsidR="00A51CA1" w:rsidRPr="00ED50C5" w:rsidRDefault="00A51CA1" w:rsidP="000B7ADB">
      <w:pPr>
        <w:keepNext/>
        <w:keepLines/>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 xml:space="preserve">to be material </w:t>
      </w:r>
      <w:r w:rsidR="000B7ADB">
        <w:rPr>
          <w:rFonts w:ascii="Times New Roman" w:hAnsi="Times New Roman"/>
          <w:sz w:val="24"/>
        </w:rPr>
        <w:tab/>
      </w:r>
      <w:r w:rsidR="00097D7B">
        <w:rPr>
          <w:rFonts w:ascii="Times New Roman" w:hAnsi="Times New Roman"/>
          <w:sz w:val="24"/>
        </w:rPr>
        <w:t>21</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b.</w:t>
      </w:r>
      <w:r w:rsidRPr="00ED50C5">
        <w:rPr>
          <w:rFonts w:ascii="Times New Roman" w:hAnsi="Times New Roman"/>
          <w:sz w:val="24"/>
        </w:rPr>
        <w:tab/>
        <w:t xml:space="preserve">10.05 and 9.05, Tax Benefits of Pro Forma Interest </w:t>
      </w:r>
      <w:r w:rsidR="000B7ADB">
        <w:rPr>
          <w:rFonts w:ascii="Times New Roman" w:hAnsi="Times New Roman"/>
          <w:sz w:val="24"/>
        </w:rPr>
        <w:tab/>
      </w:r>
      <w:r w:rsidR="00097D7B">
        <w:rPr>
          <w:rFonts w:ascii="Times New Roman" w:hAnsi="Times New Roman"/>
          <w:sz w:val="24"/>
        </w:rPr>
        <w:t>22</w:t>
      </w:r>
    </w:p>
    <w:p w:rsidR="00A51CA1" w:rsidRPr="00ED50C5" w:rsidRDefault="00A51CA1" w:rsidP="000B7ADB">
      <w:pPr>
        <w:pStyle w:val="ListParagraph"/>
        <w:tabs>
          <w:tab w:val="left" w:pos="-1440"/>
          <w:tab w:val="left" w:pos="720"/>
          <w:tab w:val="left" w:pos="1440"/>
          <w:tab w:val="left" w:pos="2160"/>
          <w:tab w:val="left" w:pos="2880"/>
          <w:tab w:val="left" w:pos="3600"/>
          <w:tab w:val="right" w:leader="dot" w:pos="9000"/>
        </w:tabs>
        <w:ind w:left="0"/>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c.</w:t>
      </w:r>
      <w:r w:rsidRPr="00ED50C5">
        <w:rPr>
          <w:rFonts w:ascii="Times New Roman" w:hAnsi="Times New Roman"/>
          <w:sz w:val="24"/>
        </w:rPr>
        <w:tab/>
        <w:t xml:space="preserve">10.15 and 9.10, Property Tax </w:t>
      </w:r>
      <w:r w:rsidR="000B7ADB">
        <w:rPr>
          <w:rFonts w:ascii="Times New Roman" w:hAnsi="Times New Roman"/>
          <w:sz w:val="24"/>
        </w:rPr>
        <w:tab/>
      </w:r>
      <w:r w:rsidR="00097D7B">
        <w:rPr>
          <w:rFonts w:ascii="Times New Roman" w:hAnsi="Times New Roman"/>
          <w:sz w:val="24"/>
        </w:rPr>
        <w:t>22</w:t>
      </w:r>
    </w:p>
    <w:p w:rsidR="00A51CA1" w:rsidRPr="00ED50C5" w:rsidRDefault="000A26FD"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d.</w:t>
      </w:r>
      <w:r>
        <w:rPr>
          <w:rFonts w:ascii="Times New Roman" w:hAnsi="Times New Roman"/>
          <w:sz w:val="24"/>
        </w:rPr>
        <w:tab/>
      </w:r>
      <w:r w:rsidR="00A51CA1" w:rsidRPr="00ED50C5">
        <w:rPr>
          <w:rFonts w:ascii="Times New Roman" w:hAnsi="Times New Roman"/>
          <w:sz w:val="24"/>
        </w:rPr>
        <w:t xml:space="preserve">10.17 and 9.12, D&amp;O Insurance </w:t>
      </w:r>
      <w:r w:rsidR="000B7ADB">
        <w:rPr>
          <w:rFonts w:ascii="Times New Roman" w:hAnsi="Times New Roman"/>
          <w:sz w:val="24"/>
        </w:rPr>
        <w:tab/>
      </w:r>
      <w:r w:rsidR="00097D7B">
        <w:rPr>
          <w:rFonts w:ascii="Times New Roman" w:hAnsi="Times New Roman"/>
          <w:sz w:val="24"/>
        </w:rPr>
        <w:t>23</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e.</w:t>
      </w:r>
      <w:r w:rsidRPr="00ED50C5">
        <w:rPr>
          <w:rFonts w:ascii="Times New Roman" w:hAnsi="Times New Roman"/>
          <w:sz w:val="24"/>
        </w:rPr>
        <w:tab/>
        <w:t xml:space="preserve">10.25 and 9.18, Wage Increase </w:t>
      </w:r>
      <w:r w:rsidR="000B7ADB">
        <w:rPr>
          <w:rFonts w:ascii="Times New Roman" w:hAnsi="Times New Roman"/>
          <w:sz w:val="24"/>
        </w:rPr>
        <w:tab/>
      </w:r>
      <w:r w:rsidR="00097D7B">
        <w:rPr>
          <w:rFonts w:ascii="Times New Roman" w:hAnsi="Times New Roman"/>
          <w:sz w:val="24"/>
        </w:rPr>
        <w:t>24</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f.</w:t>
      </w:r>
      <w:r w:rsidRPr="00ED50C5">
        <w:rPr>
          <w:rFonts w:ascii="Times New Roman" w:hAnsi="Times New Roman"/>
          <w:sz w:val="24"/>
        </w:rPr>
        <w:tab/>
        <w:t xml:space="preserve">10.26 and 9.19, Investment Plan </w:t>
      </w:r>
      <w:r w:rsidR="000B7ADB">
        <w:rPr>
          <w:rFonts w:ascii="Times New Roman" w:hAnsi="Times New Roman"/>
          <w:sz w:val="24"/>
        </w:rPr>
        <w:tab/>
      </w:r>
      <w:r w:rsidR="00097D7B">
        <w:rPr>
          <w:rFonts w:ascii="Times New Roman" w:hAnsi="Times New Roman"/>
          <w:sz w:val="24"/>
        </w:rPr>
        <w:t>25</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g.</w:t>
      </w:r>
      <w:r w:rsidRPr="00ED50C5">
        <w:rPr>
          <w:rFonts w:ascii="Times New Roman" w:hAnsi="Times New Roman"/>
          <w:sz w:val="24"/>
        </w:rPr>
        <w:tab/>
        <w:t xml:space="preserve">10.27 and 9.20, Employee Insurance </w:t>
      </w:r>
      <w:r w:rsidR="000B7ADB">
        <w:rPr>
          <w:rFonts w:ascii="Times New Roman" w:hAnsi="Times New Roman"/>
          <w:sz w:val="24"/>
        </w:rPr>
        <w:tab/>
      </w:r>
      <w:r w:rsidR="00097D7B">
        <w:rPr>
          <w:rFonts w:ascii="Times New Roman" w:hAnsi="Times New Roman"/>
          <w:sz w:val="24"/>
        </w:rPr>
        <w:t>25</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h.</w:t>
      </w:r>
      <w:r w:rsidRPr="00ED50C5">
        <w:rPr>
          <w:rFonts w:ascii="Times New Roman" w:hAnsi="Times New Roman"/>
          <w:sz w:val="24"/>
        </w:rPr>
        <w:tab/>
        <w:t xml:space="preserve">10.36 and 9.03, Net Interest Paid to IRS </w:t>
      </w:r>
      <w:r w:rsidR="000B7ADB">
        <w:rPr>
          <w:rFonts w:ascii="Times New Roman" w:hAnsi="Times New Roman"/>
          <w:sz w:val="24"/>
        </w:rPr>
        <w:tab/>
      </w:r>
      <w:r w:rsidR="00097D7B">
        <w:rPr>
          <w:rFonts w:ascii="Times New Roman" w:hAnsi="Times New Roman"/>
          <w:sz w:val="24"/>
        </w:rPr>
        <w:t>26</w:t>
      </w:r>
    </w:p>
    <w:p w:rsidR="00A51CA1" w:rsidRPr="00ED50C5" w:rsidRDefault="00A51CA1" w:rsidP="00A51CA1">
      <w:pPr>
        <w:tabs>
          <w:tab w:val="left" w:pos="-1440"/>
        </w:tabs>
        <w:rPr>
          <w:rFonts w:ascii="Times New Roman" w:hAnsi="Times New Roman"/>
          <w:sz w:val="24"/>
        </w:rPr>
      </w:pP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t>2.</w:t>
      </w:r>
      <w:r w:rsidRPr="00ED50C5">
        <w:rPr>
          <w:rFonts w:ascii="Times New Roman" w:hAnsi="Times New Roman"/>
          <w:sz w:val="24"/>
        </w:rPr>
        <w:tab/>
        <w:t xml:space="preserve">Contested Electricity-Only Adjustments </w:t>
      </w:r>
      <w:r w:rsidR="000B7ADB">
        <w:rPr>
          <w:rFonts w:ascii="Times New Roman" w:hAnsi="Times New Roman"/>
          <w:sz w:val="24"/>
        </w:rPr>
        <w:tab/>
      </w:r>
      <w:r w:rsidR="00097D7B">
        <w:rPr>
          <w:rFonts w:ascii="Times New Roman" w:hAnsi="Times New Roman"/>
          <w:sz w:val="24"/>
        </w:rPr>
        <w:t>28</w:t>
      </w:r>
    </w:p>
    <w:p w:rsidR="00A51CA1" w:rsidRPr="00ED50C5" w:rsidRDefault="00A51CA1" w:rsidP="000B7ADB">
      <w:pPr>
        <w:pStyle w:val="ListParagraph"/>
        <w:tabs>
          <w:tab w:val="left" w:pos="-1440"/>
          <w:tab w:val="left" w:pos="720"/>
          <w:tab w:val="left" w:pos="1440"/>
          <w:tab w:val="left" w:pos="2160"/>
          <w:tab w:val="left" w:pos="2880"/>
          <w:tab w:val="left" w:pos="3600"/>
          <w:tab w:val="right" w:leader="dot" w:pos="9000"/>
        </w:tabs>
        <w:ind w:left="0"/>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a.</w:t>
      </w:r>
      <w:r w:rsidRPr="00ED50C5">
        <w:rPr>
          <w:rFonts w:ascii="Times New Roman" w:hAnsi="Times New Roman"/>
          <w:sz w:val="24"/>
        </w:rPr>
        <w:tab/>
        <w:t xml:space="preserve">10.03, Power Costs </w:t>
      </w:r>
      <w:r w:rsidR="000B7ADB">
        <w:rPr>
          <w:rFonts w:ascii="Times New Roman" w:hAnsi="Times New Roman"/>
          <w:sz w:val="24"/>
        </w:rPr>
        <w:tab/>
      </w:r>
      <w:r w:rsidR="00097D7B">
        <w:rPr>
          <w:rFonts w:ascii="Times New Roman" w:hAnsi="Times New Roman"/>
          <w:sz w:val="24"/>
        </w:rPr>
        <w:t>28</w:t>
      </w:r>
    </w:p>
    <w:p w:rsidR="00A51CA1" w:rsidRPr="00ED50C5" w:rsidRDefault="00A51CA1" w:rsidP="000B7ADB">
      <w:pPr>
        <w:pStyle w:val="ListParagraph"/>
        <w:tabs>
          <w:tab w:val="left" w:pos="-1440"/>
          <w:tab w:val="left" w:pos="720"/>
          <w:tab w:val="left" w:pos="1440"/>
          <w:tab w:val="left" w:pos="2160"/>
          <w:tab w:val="left" w:pos="2880"/>
          <w:tab w:val="left" w:pos="3600"/>
          <w:tab w:val="right" w:leader="dot" w:pos="9000"/>
        </w:tabs>
        <w:ind w:left="0"/>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i.</w:t>
      </w:r>
      <w:r w:rsidRPr="00ED50C5">
        <w:rPr>
          <w:rFonts w:ascii="Times New Roman" w:hAnsi="Times New Roman"/>
          <w:sz w:val="24"/>
        </w:rPr>
        <w:tab/>
        <w:t xml:space="preserve">The Commission should reject PSE’s proposal </w:t>
      </w:r>
    </w:p>
    <w:p w:rsidR="00A51CA1" w:rsidRPr="00ED50C5" w:rsidRDefault="00A51CA1" w:rsidP="00A51CA1">
      <w:pPr>
        <w:pStyle w:val="ListParagraph"/>
        <w:tabs>
          <w:tab w:val="left" w:pos="-1440"/>
        </w:tabs>
        <w:ind w:left="0"/>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 xml:space="preserve">to establish a regulatory asset for the expense of </w:t>
      </w:r>
    </w:p>
    <w:p w:rsidR="00A51CA1" w:rsidRPr="00ED50C5" w:rsidRDefault="00A51CA1" w:rsidP="000B7ADB">
      <w:pPr>
        <w:pStyle w:val="ListParagraph"/>
        <w:tabs>
          <w:tab w:val="left" w:pos="-1440"/>
          <w:tab w:val="left" w:pos="720"/>
          <w:tab w:val="left" w:pos="1440"/>
          <w:tab w:val="left" w:pos="2160"/>
          <w:tab w:val="left" w:pos="2880"/>
          <w:tab w:val="left" w:pos="3600"/>
          <w:tab w:val="right" w:leader="dot" w:pos="9000"/>
        </w:tabs>
        <w:ind w:left="0"/>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 xml:space="preserve">each event of major maintenance </w:t>
      </w:r>
      <w:r w:rsidR="000B7ADB">
        <w:rPr>
          <w:rFonts w:ascii="Times New Roman" w:hAnsi="Times New Roman"/>
          <w:sz w:val="24"/>
        </w:rPr>
        <w:tab/>
      </w:r>
      <w:r w:rsidR="00097D7B">
        <w:rPr>
          <w:rFonts w:ascii="Times New Roman" w:hAnsi="Times New Roman"/>
          <w:sz w:val="24"/>
        </w:rPr>
        <w:t>28</w:t>
      </w:r>
    </w:p>
    <w:p w:rsidR="00A51CA1" w:rsidRPr="00ED50C5" w:rsidRDefault="00A51CA1" w:rsidP="00A51CA1">
      <w:pPr>
        <w:pStyle w:val="ListParagraph"/>
        <w:tabs>
          <w:tab w:val="left" w:pos="-1440"/>
        </w:tabs>
        <w:ind w:left="0"/>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ii.</w:t>
      </w:r>
      <w:r w:rsidRPr="00ED50C5">
        <w:rPr>
          <w:rFonts w:ascii="Times New Roman" w:hAnsi="Times New Roman"/>
          <w:sz w:val="24"/>
        </w:rPr>
        <w:tab/>
        <w:t xml:space="preserve">Staff’s adjustment for production O&amp;M </w:t>
      </w:r>
    </w:p>
    <w:p w:rsidR="00A51CA1" w:rsidRPr="00ED50C5" w:rsidRDefault="00A51CA1" w:rsidP="00A51CA1">
      <w:pPr>
        <w:pStyle w:val="ListParagraph"/>
        <w:tabs>
          <w:tab w:val="left" w:pos="-1440"/>
        </w:tabs>
        <w:ind w:left="0"/>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 xml:space="preserve">expense is based upon fundamental principles </w:t>
      </w:r>
    </w:p>
    <w:p w:rsidR="00A51CA1" w:rsidRPr="00ED50C5" w:rsidRDefault="00A51CA1" w:rsidP="000B7ADB">
      <w:pPr>
        <w:pStyle w:val="ListParagraph"/>
        <w:tabs>
          <w:tab w:val="left" w:pos="-1440"/>
          <w:tab w:val="left" w:pos="720"/>
          <w:tab w:val="left" w:pos="1440"/>
          <w:tab w:val="left" w:pos="2160"/>
          <w:tab w:val="left" w:pos="2880"/>
          <w:tab w:val="left" w:pos="3600"/>
          <w:tab w:val="right" w:leader="dot" w:pos="9000"/>
        </w:tabs>
        <w:ind w:left="0"/>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of historical test year ratemaking</w:t>
      </w:r>
      <w:r w:rsidR="000B7ADB">
        <w:rPr>
          <w:rFonts w:ascii="Times New Roman" w:hAnsi="Times New Roman"/>
          <w:sz w:val="24"/>
        </w:rPr>
        <w:t xml:space="preserve"> </w:t>
      </w:r>
      <w:r w:rsidR="000B7ADB">
        <w:rPr>
          <w:rFonts w:ascii="Times New Roman" w:hAnsi="Times New Roman"/>
          <w:sz w:val="24"/>
        </w:rPr>
        <w:tab/>
      </w:r>
      <w:r w:rsidR="00097D7B">
        <w:rPr>
          <w:rFonts w:ascii="Times New Roman" w:hAnsi="Times New Roman"/>
          <w:sz w:val="24"/>
        </w:rPr>
        <w:t>30</w:t>
      </w:r>
    </w:p>
    <w:p w:rsidR="00A51CA1" w:rsidRPr="00ED50C5" w:rsidRDefault="00A51CA1" w:rsidP="00A51CA1">
      <w:pPr>
        <w:tabs>
          <w:tab w:val="left" w:pos="-144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b.</w:t>
      </w:r>
      <w:r w:rsidRPr="00ED50C5">
        <w:rPr>
          <w:rFonts w:ascii="Times New Roman" w:hAnsi="Times New Roman"/>
          <w:sz w:val="24"/>
        </w:rPr>
        <w:tab/>
        <w:t xml:space="preserve">10.06, Hopkins Ridge Infill; 10.09, Sumas; and 10.10, </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 xml:space="preserve">Whitehorn </w:t>
      </w:r>
      <w:r w:rsidR="000B7ADB">
        <w:rPr>
          <w:rFonts w:ascii="Times New Roman" w:hAnsi="Times New Roman"/>
          <w:sz w:val="24"/>
        </w:rPr>
        <w:tab/>
      </w:r>
      <w:r w:rsidR="00097D7B">
        <w:rPr>
          <w:rFonts w:ascii="Times New Roman" w:hAnsi="Times New Roman"/>
          <w:sz w:val="24"/>
        </w:rPr>
        <w:t>33</w:t>
      </w:r>
    </w:p>
    <w:p w:rsidR="00A51CA1" w:rsidRPr="00ED50C5" w:rsidRDefault="00A51CA1" w:rsidP="000B7ADB">
      <w:pPr>
        <w:tabs>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c.</w:t>
      </w:r>
      <w:r w:rsidRPr="00ED50C5">
        <w:rPr>
          <w:rFonts w:ascii="Times New Roman" w:hAnsi="Times New Roman"/>
          <w:sz w:val="24"/>
        </w:rPr>
        <w:tab/>
        <w:t xml:space="preserve">10.07, Wild Horse Expansion </w:t>
      </w:r>
      <w:r w:rsidR="000B7ADB">
        <w:rPr>
          <w:rFonts w:ascii="Times New Roman" w:hAnsi="Times New Roman"/>
          <w:sz w:val="24"/>
        </w:rPr>
        <w:tab/>
      </w:r>
      <w:r w:rsidR="00097D7B">
        <w:rPr>
          <w:rFonts w:ascii="Times New Roman" w:hAnsi="Times New Roman"/>
          <w:sz w:val="24"/>
        </w:rPr>
        <w:t>33</w:t>
      </w:r>
    </w:p>
    <w:p w:rsidR="00A51CA1" w:rsidRPr="00ED50C5" w:rsidRDefault="00A51CA1" w:rsidP="000B7ADB">
      <w:pPr>
        <w:pStyle w:val="ListParagraph"/>
        <w:tabs>
          <w:tab w:val="left" w:pos="-1440"/>
          <w:tab w:val="left" w:pos="720"/>
          <w:tab w:val="left" w:pos="1440"/>
          <w:tab w:val="left" w:pos="2160"/>
          <w:tab w:val="left" w:pos="2880"/>
          <w:tab w:val="left" w:pos="3600"/>
          <w:tab w:val="right" w:leader="dot" w:pos="9000"/>
        </w:tabs>
        <w:ind w:left="0"/>
        <w:rPr>
          <w:rFonts w:ascii="Times New Roman" w:hAnsi="Times New Roman"/>
          <w:sz w:val="24"/>
        </w:rPr>
      </w:pPr>
      <w:r w:rsidRPr="00ED50C5">
        <w:rPr>
          <w:rFonts w:ascii="Times New Roman" w:hAnsi="Times New Roman"/>
          <w:sz w:val="24"/>
          <w:szCs w:val="24"/>
        </w:rPr>
        <w:tab/>
      </w:r>
      <w:r w:rsidRPr="00ED50C5">
        <w:rPr>
          <w:rFonts w:ascii="Times New Roman" w:hAnsi="Times New Roman"/>
          <w:sz w:val="24"/>
          <w:szCs w:val="24"/>
        </w:rPr>
        <w:tab/>
      </w:r>
      <w:r w:rsidRPr="00ED50C5">
        <w:rPr>
          <w:rFonts w:ascii="Times New Roman" w:hAnsi="Times New Roman"/>
          <w:sz w:val="24"/>
          <w:szCs w:val="24"/>
        </w:rPr>
        <w:tab/>
        <w:t>d.</w:t>
      </w:r>
      <w:r w:rsidRPr="00ED50C5">
        <w:rPr>
          <w:rFonts w:ascii="Times New Roman" w:hAnsi="Times New Roman"/>
          <w:sz w:val="24"/>
          <w:szCs w:val="24"/>
        </w:rPr>
        <w:tab/>
        <w:t>10.0</w:t>
      </w:r>
      <w:r w:rsidRPr="00ED50C5">
        <w:rPr>
          <w:rFonts w:ascii="Times New Roman" w:hAnsi="Times New Roman"/>
          <w:sz w:val="24"/>
        </w:rPr>
        <w:t xml:space="preserve">8, Mint Farm </w:t>
      </w:r>
      <w:r w:rsidR="000B7ADB">
        <w:rPr>
          <w:rFonts w:ascii="Times New Roman" w:hAnsi="Times New Roman"/>
          <w:sz w:val="24"/>
        </w:rPr>
        <w:tab/>
      </w:r>
      <w:r w:rsidR="00097D7B">
        <w:rPr>
          <w:rFonts w:ascii="Times New Roman" w:hAnsi="Times New Roman"/>
          <w:sz w:val="24"/>
        </w:rPr>
        <w:t>34</w:t>
      </w:r>
    </w:p>
    <w:p w:rsidR="00A51CA1" w:rsidRPr="00ED50C5" w:rsidRDefault="00A51CA1" w:rsidP="000B7ADB">
      <w:pPr>
        <w:pStyle w:val="NoSpacing"/>
        <w:tabs>
          <w:tab w:val="left" w:pos="720"/>
          <w:tab w:val="left" w:pos="1440"/>
          <w:tab w:val="left" w:pos="2160"/>
          <w:tab w:val="left" w:pos="2880"/>
          <w:tab w:val="left" w:pos="3600"/>
          <w:tab w:val="right" w:leader="dot" w:pos="9000"/>
        </w:tabs>
      </w:pPr>
      <w:r w:rsidRPr="00ED50C5">
        <w:tab/>
      </w:r>
      <w:r w:rsidRPr="00ED50C5">
        <w:tab/>
      </w:r>
      <w:r w:rsidRPr="00ED50C5">
        <w:tab/>
        <w:t>e.</w:t>
      </w:r>
      <w:r w:rsidRPr="00ED50C5">
        <w:tab/>
        <w:t xml:space="preserve">10.11, Baker Hydro Relicense </w:t>
      </w:r>
      <w:r w:rsidR="000B7ADB">
        <w:tab/>
      </w:r>
      <w:r w:rsidR="003734F3">
        <w:t>35</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f.</w:t>
      </w:r>
      <w:r w:rsidRPr="00ED50C5">
        <w:rPr>
          <w:rFonts w:ascii="Times New Roman" w:hAnsi="Times New Roman"/>
          <w:sz w:val="24"/>
        </w:rPr>
        <w:tab/>
        <w:t xml:space="preserve">10.31, Regulatory Assets &amp; Liabilities </w:t>
      </w:r>
      <w:r w:rsidR="000B7ADB">
        <w:rPr>
          <w:rFonts w:ascii="Times New Roman" w:hAnsi="Times New Roman"/>
          <w:sz w:val="24"/>
        </w:rPr>
        <w:tab/>
      </w:r>
      <w:r w:rsidR="003734F3">
        <w:rPr>
          <w:rFonts w:ascii="Times New Roman" w:hAnsi="Times New Roman"/>
          <w:sz w:val="24"/>
        </w:rPr>
        <w:t>36</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i.</w:t>
      </w:r>
      <w:r w:rsidRPr="00ED50C5">
        <w:rPr>
          <w:rFonts w:ascii="Times New Roman" w:hAnsi="Times New Roman"/>
          <w:sz w:val="24"/>
        </w:rPr>
        <w:tab/>
        <w:t xml:space="preserve">West Coast Pipeline Capacity Payment </w:t>
      </w:r>
      <w:r w:rsidR="000B7ADB">
        <w:rPr>
          <w:rFonts w:ascii="Times New Roman" w:hAnsi="Times New Roman"/>
          <w:sz w:val="24"/>
        </w:rPr>
        <w:tab/>
      </w:r>
      <w:r w:rsidR="003734F3">
        <w:rPr>
          <w:rFonts w:ascii="Times New Roman" w:hAnsi="Times New Roman"/>
          <w:sz w:val="24"/>
        </w:rPr>
        <w:t>36</w:t>
      </w:r>
    </w:p>
    <w:p w:rsidR="00A51CA1" w:rsidRPr="00ED50C5" w:rsidRDefault="00A51CA1" w:rsidP="000B7ADB">
      <w:pPr>
        <w:tabs>
          <w:tab w:val="left" w:pos="720"/>
          <w:tab w:val="left" w:pos="1440"/>
          <w:tab w:val="left" w:pos="2160"/>
          <w:tab w:val="left" w:pos="2880"/>
          <w:tab w:val="left" w:pos="3600"/>
          <w:tab w:val="right" w:leader="dot" w:pos="9000"/>
        </w:tabs>
        <w:rPr>
          <w:rFonts w:ascii="Times New Roman" w:hAnsi="Times New Roman"/>
          <w:sz w:val="24"/>
          <w:szCs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szCs w:val="24"/>
        </w:rPr>
        <w:tab/>
      </w:r>
      <w:r w:rsidRPr="00ED50C5">
        <w:rPr>
          <w:rFonts w:ascii="Times New Roman" w:hAnsi="Times New Roman"/>
          <w:sz w:val="24"/>
          <w:szCs w:val="24"/>
        </w:rPr>
        <w:tab/>
        <w:t>ii.</w:t>
      </w:r>
      <w:r w:rsidRPr="00ED50C5">
        <w:rPr>
          <w:rFonts w:ascii="Times New Roman" w:hAnsi="Times New Roman"/>
          <w:sz w:val="24"/>
          <w:szCs w:val="24"/>
        </w:rPr>
        <w:tab/>
        <w:t xml:space="preserve">White River Proceeds </w:t>
      </w:r>
      <w:r w:rsidR="000B7ADB">
        <w:rPr>
          <w:rFonts w:ascii="Times New Roman" w:hAnsi="Times New Roman"/>
          <w:sz w:val="24"/>
          <w:szCs w:val="24"/>
        </w:rPr>
        <w:tab/>
      </w:r>
      <w:r w:rsidR="003734F3">
        <w:rPr>
          <w:rFonts w:ascii="Times New Roman" w:hAnsi="Times New Roman"/>
          <w:sz w:val="24"/>
          <w:szCs w:val="24"/>
        </w:rPr>
        <w:t>37</w:t>
      </w:r>
    </w:p>
    <w:p w:rsidR="00A51CA1" w:rsidRPr="00ED50C5" w:rsidRDefault="00A51CA1" w:rsidP="000B7ADB">
      <w:pPr>
        <w:pStyle w:val="ListParagraph"/>
        <w:tabs>
          <w:tab w:val="left" w:pos="720"/>
          <w:tab w:val="left" w:pos="1440"/>
          <w:tab w:val="left" w:pos="2160"/>
          <w:tab w:val="left" w:pos="2880"/>
          <w:tab w:val="left" w:pos="3600"/>
          <w:tab w:val="right" w:leader="dot" w:pos="9000"/>
        </w:tabs>
        <w:ind w:left="0"/>
        <w:rPr>
          <w:rFonts w:ascii="Times New Roman" w:hAnsi="Times New Roman"/>
          <w:sz w:val="24"/>
          <w:szCs w:val="24"/>
        </w:rPr>
      </w:pPr>
      <w:r w:rsidRPr="00ED50C5">
        <w:rPr>
          <w:rFonts w:ascii="Times New Roman" w:hAnsi="Times New Roman"/>
          <w:sz w:val="24"/>
          <w:szCs w:val="24"/>
        </w:rPr>
        <w:tab/>
      </w:r>
      <w:r w:rsidRPr="00ED50C5">
        <w:rPr>
          <w:rFonts w:ascii="Times New Roman" w:hAnsi="Times New Roman"/>
          <w:sz w:val="24"/>
          <w:szCs w:val="24"/>
        </w:rPr>
        <w:tab/>
      </w:r>
      <w:r w:rsidRPr="00ED50C5">
        <w:rPr>
          <w:rFonts w:ascii="Times New Roman" w:hAnsi="Times New Roman"/>
          <w:sz w:val="24"/>
          <w:szCs w:val="24"/>
        </w:rPr>
        <w:tab/>
      </w:r>
      <w:r w:rsidRPr="00ED50C5">
        <w:rPr>
          <w:rFonts w:ascii="Times New Roman" w:hAnsi="Times New Roman"/>
          <w:sz w:val="24"/>
          <w:szCs w:val="24"/>
        </w:rPr>
        <w:tab/>
        <w:t>iii.</w:t>
      </w:r>
      <w:r w:rsidRPr="00ED50C5">
        <w:rPr>
          <w:rFonts w:ascii="Times New Roman" w:hAnsi="Times New Roman"/>
          <w:sz w:val="24"/>
          <w:szCs w:val="24"/>
        </w:rPr>
        <w:tab/>
        <w:t xml:space="preserve">Colstrip Settlement Payment </w:t>
      </w:r>
      <w:r w:rsidR="000B7ADB">
        <w:rPr>
          <w:rFonts w:ascii="Times New Roman" w:hAnsi="Times New Roman"/>
          <w:sz w:val="24"/>
          <w:szCs w:val="24"/>
        </w:rPr>
        <w:tab/>
      </w:r>
      <w:r w:rsidR="003734F3">
        <w:rPr>
          <w:rFonts w:ascii="Times New Roman" w:hAnsi="Times New Roman"/>
          <w:sz w:val="24"/>
          <w:szCs w:val="24"/>
        </w:rPr>
        <w:t>38</w:t>
      </w:r>
    </w:p>
    <w:p w:rsidR="00A51CA1" w:rsidRPr="00ED50C5" w:rsidRDefault="00A51CA1" w:rsidP="000B7ADB">
      <w:pPr>
        <w:pStyle w:val="ListParagraph"/>
        <w:tabs>
          <w:tab w:val="left" w:pos="-1440"/>
          <w:tab w:val="left" w:pos="720"/>
          <w:tab w:val="left" w:pos="1440"/>
          <w:tab w:val="left" w:pos="2160"/>
          <w:tab w:val="left" w:pos="2880"/>
          <w:tab w:val="left" w:pos="3600"/>
          <w:tab w:val="right" w:leader="dot" w:pos="9000"/>
        </w:tabs>
        <w:ind w:left="0"/>
        <w:rPr>
          <w:rFonts w:ascii="Times New Roman" w:hAnsi="Times New Roman"/>
          <w:sz w:val="24"/>
          <w:szCs w:val="24"/>
        </w:rPr>
      </w:pPr>
      <w:r w:rsidRPr="00ED50C5">
        <w:rPr>
          <w:rFonts w:ascii="Times New Roman" w:hAnsi="Times New Roman"/>
          <w:sz w:val="24"/>
          <w:szCs w:val="24"/>
        </w:rPr>
        <w:tab/>
      </w:r>
      <w:r w:rsidRPr="00ED50C5">
        <w:rPr>
          <w:rFonts w:ascii="Times New Roman" w:hAnsi="Times New Roman"/>
          <w:sz w:val="24"/>
          <w:szCs w:val="24"/>
        </w:rPr>
        <w:tab/>
      </w:r>
      <w:r w:rsidRPr="00ED50C5">
        <w:rPr>
          <w:rFonts w:ascii="Times New Roman" w:hAnsi="Times New Roman"/>
          <w:sz w:val="24"/>
          <w:szCs w:val="24"/>
        </w:rPr>
        <w:tab/>
        <w:t>g.</w:t>
      </w:r>
      <w:r w:rsidRPr="00ED50C5">
        <w:rPr>
          <w:rFonts w:ascii="Times New Roman" w:hAnsi="Times New Roman"/>
          <w:sz w:val="24"/>
          <w:szCs w:val="24"/>
        </w:rPr>
        <w:tab/>
        <w:t xml:space="preserve">10.33, Fredonia Power Plant </w:t>
      </w:r>
      <w:r w:rsidR="000B7ADB">
        <w:rPr>
          <w:rFonts w:ascii="Times New Roman" w:hAnsi="Times New Roman"/>
          <w:sz w:val="24"/>
          <w:szCs w:val="24"/>
        </w:rPr>
        <w:tab/>
      </w:r>
      <w:r w:rsidR="003734F3">
        <w:rPr>
          <w:rFonts w:ascii="Times New Roman" w:hAnsi="Times New Roman"/>
          <w:sz w:val="24"/>
          <w:szCs w:val="24"/>
        </w:rPr>
        <w:t>39</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h.</w:t>
      </w:r>
      <w:r w:rsidRPr="00ED50C5">
        <w:rPr>
          <w:rFonts w:ascii="Times New Roman" w:hAnsi="Times New Roman"/>
          <w:sz w:val="24"/>
        </w:rPr>
        <w:tab/>
        <w:t xml:space="preserve">10.34, Mint Farm Deferred Cost </w:t>
      </w:r>
      <w:r w:rsidR="000B7ADB">
        <w:rPr>
          <w:rFonts w:ascii="Times New Roman" w:hAnsi="Times New Roman"/>
          <w:sz w:val="24"/>
        </w:rPr>
        <w:tab/>
      </w:r>
      <w:r w:rsidR="003734F3">
        <w:rPr>
          <w:rFonts w:ascii="Times New Roman" w:hAnsi="Times New Roman"/>
          <w:sz w:val="24"/>
        </w:rPr>
        <w:t>39</w:t>
      </w:r>
    </w:p>
    <w:p w:rsidR="00A51CA1" w:rsidRPr="00ED50C5" w:rsidRDefault="00A51CA1" w:rsidP="00A51CA1">
      <w:pPr>
        <w:tabs>
          <w:tab w:val="left" w:pos="-144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i.</w:t>
      </w:r>
      <w:r w:rsidRPr="00ED50C5">
        <w:rPr>
          <w:rFonts w:ascii="Times New Roman" w:hAnsi="Times New Roman"/>
          <w:sz w:val="24"/>
        </w:rPr>
        <w:tab/>
        <w:t xml:space="preserve">The Commission should not suspend </w:t>
      </w:r>
    </w:p>
    <w:p w:rsidR="00A51CA1" w:rsidRPr="00ED50C5" w:rsidRDefault="00A51CA1" w:rsidP="000B7ADB">
      <w:pPr>
        <w:tabs>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 xml:space="preserve">PCA Exhibit G </w:t>
      </w:r>
      <w:r w:rsidR="000B7ADB">
        <w:rPr>
          <w:rFonts w:ascii="Times New Roman" w:hAnsi="Times New Roman"/>
          <w:sz w:val="24"/>
        </w:rPr>
        <w:tab/>
      </w:r>
      <w:r w:rsidR="003734F3">
        <w:rPr>
          <w:rFonts w:ascii="Times New Roman" w:hAnsi="Times New Roman"/>
          <w:sz w:val="24"/>
        </w:rPr>
        <w:t>40</w:t>
      </w:r>
    </w:p>
    <w:p w:rsidR="00A51CA1" w:rsidRPr="00ED50C5" w:rsidRDefault="00A51CA1" w:rsidP="000B7ADB">
      <w:pPr>
        <w:pStyle w:val="BodyTextIndent"/>
        <w:tabs>
          <w:tab w:val="left" w:pos="720"/>
          <w:tab w:val="left" w:pos="1440"/>
          <w:tab w:val="left" w:pos="2160"/>
          <w:tab w:val="left" w:pos="2880"/>
          <w:tab w:val="left" w:pos="3600"/>
          <w:tab w:val="right" w:leader="dot" w:pos="9000"/>
        </w:tabs>
        <w:spacing w:after="0"/>
        <w:ind w:left="3600" w:right="648" w:hanging="720"/>
        <w:rPr>
          <w:rFonts w:ascii="Times New Roman" w:hAnsi="Times New Roman"/>
          <w:sz w:val="24"/>
          <w:szCs w:val="24"/>
        </w:rPr>
      </w:pPr>
      <w:r w:rsidRPr="00ED50C5">
        <w:rPr>
          <w:rFonts w:ascii="Times New Roman" w:hAnsi="Times New Roman"/>
          <w:sz w:val="24"/>
          <w:szCs w:val="24"/>
        </w:rPr>
        <w:t>ii.</w:t>
      </w:r>
      <w:r w:rsidRPr="00ED50C5">
        <w:rPr>
          <w:rFonts w:ascii="Times New Roman" w:hAnsi="Times New Roman"/>
          <w:sz w:val="24"/>
          <w:szCs w:val="24"/>
        </w:rPr>
        <w:tab/>
        <w:t xml:space="preserve">The Commission should not authorize carrying costs on Mint Farm deferrals </w:t>
      </w:r>
      <w:r w:rsidR="000B7ADB">
        <w:rPr>
          <w:rFonts w:ascii="Times New Roman" w:hAnsi="Times New Roman"/>
          <w:sz w:val="24"/>
          <w:szCs w:val="24"/>
        </w:rPr>
        <w:tab/>
      </w:r>
      <w:r w:rsidR="003734F3">
        <w:rPr>
          <w:rFonts w:ascii="Times New Roman" w:hAnsi="Times New Roman"/>
          <w:sz w:val="24"/>
          <w:szCs w:val="24"/>
        </w:rPr>
        <w:t>41</w:t>
      </w:r>
    </w:p>
    <w:p w:rsidR="00A51CA1" w:rsidRPr="00ED50C5" w:rsidRDefault="00A51CA1" w:rsidP="000B7ADB">
      <w:pPr>
        <w:pStyle w:val="BodyTextIndent"/>
        <w:tabs>
          <w:tab w:val="left" w:pos="720"/>
          <w:tab w:val="left" w:pos="1440"/>
          <w:tab w:val="left" w:pos="2160"/>
          <w:tab w:val="left" w:pos="2880"/>
          <w:tab w:val="left" w:pos="3600"/>
          <w:tab w:val="right" w:leader="dot" w:pos="9000"/>
        </w:tabs>
        <w:spacing w:after="0"/>
        <w:ind w:left="3600" w:right="648" w:hanging="720"/>
        <w:rPr>
          <w:rFonts w:ascii="Times New Roman" w:hAnsi="Times New Roman"/>
          <w:sz w:val="24"/>
          <w:szCs w:val="24"/>
        </w:rPr>
      </w:pPr>
      <w:r w:rsidRPr="00ED50C5">
        <w:rPr>
          <w:rFonts w:ascii="Times New Roman" w:hAnsi="Times New Roman"/>
          <w:sz w:val="24"/>
          <w:szCs w:val="24"/>
        </w:rPr>
        <w:t>iii.</w:t>
      </w:r>
      <w:r w:rsidRPr="00ED50C5">
        <w:rPr>
          <w:rFonts w:ascii="Times New Roman" w:hAnsi="Times New Roman"/>
          <w:sz w:val="24"/>
          <w:szCs w:val="24"/>
        </w:rPr>
        <w:tab/>
        <w:t xml:space="preserve">The Commission should authorize a 15-year amortization of Mint Farm deferred costs </w:t>
      </w:r>
      <w:r w:rsidR="000B7ADB">
        <w:rPr>
          <w:rFonts w:ascii="Times New Roman" w:hAnsi="Times New Roman"/>
          <w:sz w:val="24"/>
          <w:szCs w:val="24"/>
        </w:rPr>
        <w:tab/>
      </w:r>
      <w:r w:rsidR="003734F3">
        <w:rPr>
          <w:rFonts w:ascii="Times New Roman" w:hAnsi="Times New Roman"/>
          <w:sz w:val="24"/>
          <w:szCs w:val="24"/>
        </w:rPr>
        <w:t>42</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i.</w:t>
      </w:r>
      <w:r w:rsidRPr="00ED50C5">
        <w:rPr>
          <w:rFonts w:ascii="Times New Roman" w:hAnsi="Times New Roman"/>
          <w:sz w:val="24"/>
        </w:rPr>
        <w:tab/>
        <w:t xml:space="preserve">10.38, Wild Horse Deferred Cost </w:t>
      </w:r>
      <w:r w:rsidR="000B7ADB">
        <w:rPr>
          <w:rFonts w:ascii="Times New Roman" w:hAnsi="Times New Roman"/>
          <w:sz w:val="24"/>
        </w:rPr>
        <w:tab/>
      </w:r>
      <w:r w:rsidR="003734F3">
        <w:rPr>
          <w:rFonts w:ascii="Times New Roman" w:hAnsi="Times New Roman"/>
          <w:sz w:val="24"/>
        </w:rPr>
        <w:t>43</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r>
      <w:r w:rsidRPr="00ED50C5">
        <w:rPr>
          <w:rFonts w:ascii="Times New Roman" w:hAnsi="Times New Roman"/>
          <w:sz w:val="24"/>
        </w:rPr>
        <w:tab/>
        <w:t>j.</w:t>
      </w:r>
      <w:r w:rsidRPr="00ED50C5">
        <w:rPr>
          <w:rFonts w:ascii="Times New Roman" w:hAnsi="Times New Roman"/>
          <w:sz w:val="24"/>
        </w:rPr>
        <w:tab/>
        <w:t xml:space="preserve">10.37, Production Adjustment </w:t>
      </w:r>
      <w:r w:rsidR="000B7ADB">
        <w:rPr>
          <w:rFonts w:ascii="Times New Roman" w:hAnsi="Times New Roman"/>
          <w:sz w:val="24"/>
        </w:rPr>
        <w:tab/>
      </w:r>
      <w:r w:rsidR="003734F3">
        <w:rPr>
          <w:rFonts w:ascii="Times New Roman" w:hAnsi="Times New Roman"/>
          <w:sz w:val="24"/>
        </w:rPr>
        <w:t>44</w:t>
      </w:r>
    </w:p>
    <w:p w:rsidR="00A51CA1" w:rsidRPr="00ED50C5" w:rsidRDefault="00A51CA1" w:rsidP="00A51CA1">
      <w:pPr>
        <w:tabs>
          <w:tab w:val="left" w:pos="-1440"/>
        </w:tabs>
        <w:rPr>
          <w:rFonts w:ascii="Times New Roman" w:hAnsi="Times New Roman"/>
          <w:sz w:val="24"/>
        </w:rPr>
      </w:pP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r>
      <w:r w:rsidRPr="00ED50C5">
        <w:rPr>
          <w:rFonts w:ascii="Times New Roman" w:hAnsi="Times New Roman"/>
          <w:sz w:val="24"/>
        </w:rPr>
        <w:tab/>
        <w:t>3.</w:t>
      </w:r>
      <w:r w:rsidRPr="00ED50C5">
        <w:rPr>
          <w:rFonts w:ascii="Times New Roman" w:hAnsi="Times New Roman"/>
          <w:sz w:val="24"/>
        </w:rPr>
        <w:tab/>
        <w:t xml:space="preserve">Natural Gas Contested Adjustment:  9.24, Jackson Prairie Plant </w:t>
      </w:r>
      <w:r w:rsidR="000B7ADB">
        <w:rPr>
          <w:rFonts w:ascii="Times New Roman" w:hAnsi="Times New Roman"/>
          <w:sz w:val="24"/>
        </w:rPr>
        <w:tab/>
      </w:r>
      <w:r w:rsidR="003734F3">
        <w:rPr>
          <w:rFonts w:ascii="Times New Roman" w:hAnsi="Times New Roman"/>
          <w:sz w:val="24"/>
        </w:rPr>
        <w:t>45</w:t>
      </w:r>
    </w:p>
    <w:p w:rsidR="00A51CA1" w:rsidRPr="00ED50C5" w:rsidRDefault="00A51CA1" w:rsidP="00A51CA1">
      <w:pPr>
        <w:tabs>
          <w:tab w:val="left" w:pos="-1440"/>
        </w:tabs>
        <w:rPr>
          <w:rFonts w:ascii="Times New Roman" w:hAnsi="Times New Roman"/>
          <w:sz w:val="24"/>
        </w:rPr>
      </w:pPr>
    </w:p>
    <w:p w:rsidR="00A51CA1" w:rsidRPr="00ED50C5" w:rsidRDefault="00A51CA1" w:rsidP="000B7ADB">
      <w:pPr>
        <w:tabs>
          <w:tab w:val="left" w:pos="-1440"/>
          <w:tab w:val="left" w:pos="720"/>
          <w:tab w:val="left" w:pos="1440"/>
          <w:tab w:val="left" w:pos="2160"/>
          <w:tab w:val="left" w:pos="2880"/>
          <w:tab w:val="right" w:leader="dot" w:pos="9000"/>
        </w:tabs>
        <w:rPr>
          <w:rFonts w:ascii="Times New Roman" w:hAnsi="Times New Roman"/>
          <w:bCs/>
          <w:sz w:val="24"/>
          <w:szCs w:val="24"/>
        </w:rPr>
      </w:pPr>
      <w:r w:rsidRPr="00ED50C5">
        <w:rPr>
          <w:rFonts w:ascii="Times New Roman" w:hAnsi="Times New Roman"/>
          <w:bCs/>
          <w:sz w:val="24"/>
          <w:szCs w:val="24"/>
        </w:rPr>
        <w:t>IV.</w:t>
      </w:r>
      <w:r w:rsidRPr="00ED50C5">
        <w:rPr>
          <w:rFonts w:ascii="Times New Roman" w:hAnsi="Times New Roman"/>
          <w:bCs/>
          <w:sz w:val="24"/>
          <w:szCs w:val="24"/>
        </w:rPr>
        <w:tab/>
        <w:t xml:space="preserve">MINT FARM PRUDENCE </w:t>
      </w:r>
      <w:r w:rsidR="000B7ADB">
        <w:rPr>
          <w:rFonts w:ascii="Times New Roman" w:hAnsi="Times New Roman"/>
          <w:bCs/>
          <w:sz w:val="24"/>
          <w:szCs w:val="24"/>
        </w:rPr>
        <w:tab/>
      </w:r>
      <w:r w:rsidR="003734F3">
        <w:rPr>
          <w:rFonts w:ascii="Times New Roman" w:hAnsi="Times New Roman"/>
          <w:bCs/>
          <w:sz w:val="24"/>
          <w:szCs w:val="24"/>
        </w:rPr>
        <w:t>45</w:t>
      </w:r>
    </w:p>
    <w:p w:rsidR="00A51CA1" w:rsidRPr="00ED50C5" w:rsidRDefault="00A51CA1" w:rsidP="00A51CA1">
      <w:pPr>
        <w:tabs>
          <w:tab w:val="left" w:pos="-1440"/>
        </w:tabs>
        <w:rPr>
          <w:rFonts w:ascii="Times New Roman" w:hAnsi="Times New Roman"/>
          <w:sz w:val="24"/>
          <w:szCs w:val="24"/>
        </w:rPr>
      </w:pPr>
    </w:p>
    <w:p w:rsidR="00A51CA1" w:rsidRPr="00ED50C5" w:rsidRDefault="00A51CA1" w:rsidP="00A51CA1">
      <w:pPr>
        <w:tabs>
          <w:tab w:val="left" w:pos="-1440"/>
        </w:tabs>
        <w:rPr>
          <w:rFonts w:ascii="Times New Roman" w:hAnsi="Times New Roman"/>
          <w:sz w:val="24"/>
          <w:szCs w:val="24"/>
        </w:rPr>
      </w:pPr>
      <w:r w:rsidRPr="00ED50C5">
        <w:rPr>
          <w:rFonts w:ascii="Times New Roman" w:hAnsi="Times New Roman"/>
          <w:sz w:val="24"/>
          <w:szCs w:val="24"/>
        </w:rPr>
        <w:tab/>
        <w:t>A.</w:t>
      </w:r>
      <w:r w:rsidRPr="00ED50C5">
        <w:rPr>
          <w:rFonts w:ascii="Times New Roman" w:hAnsi="Times New Roman"/>
          <w:sz w:val="24"/>
          <w:szCs w:val="24"/>
        </w:rPr>
        <w:tab/>
        <w:t xml:space="preserve">The Company Met Its Burden To Prove That The Acquisition </w:t>
      </w:r>
    </w:p>
    <w:p w:rsidR="00A51CA1" w:rsidRPr="00ED50C5" w:rsidRDefault="00A51CA1" w:rsidP="00A51CA1">
      <w:pPr>
        <w:tabs>
          <w:tab w:val="left" w:pos="-1440"/>
        </w:tabs>
        <w:rPr>
          <w:rFonts w:ascii="Times New Roman" w:hAnsi="Times New Roman"/>
          <w:sz w:val="24"/>
          <w:szCs w:val="24"/>
        </w:rPr>
      </w:pPr>
      <w:r w:rsidRPr="00ED50C5">
        <w:rPr>
          <w:rFonts w:ascii="Times New Roman" w:hAnsi="Times New Roman"/>
          <w:sz w:val="24"/>
          <w:szCs w:val="24"/>
        </w:rPr>
        <w:tab/>
      </w:r>
      <w:r w:rsidRPr="00ED50C5">
        <w:rPr>
          <w:rFonts w:ascii="Times New Roman" w:hAnsi="Times New Roman"/>
          <w:sz w:val="24"/>
          <w:szCs w:val="24"/>
        </w:rPr>
        <w:tab/>
        <w:t xml:space="preserve">Of The Mint Farm Energy Center Satisfies Commission Prudence </w:t>
      </w:r>
    </w:p>
    <w:p w:rsidR="00A51CA1" w:rsidRPr="00ED50C5" w:rsidRDefault="00A51CA1" w:rsidP="000B7ADB">
      <w:pPr>
        <w:tabs>
          <w:tab w:val="left" w:pos="-1440"/>
          <w:tab w:val="left" w:pos="720"/>
          <w:tab w:val="left" w:pos="1440"/>
          <w:tab w:val="left" w:pos="2160"/>
          <w:tab w:val="right" w:leader="dot" w:pos="9000"/>
        </w:tabs>
        <w:rPr>
          <w:rFonts w:ascii="Times New Roman" w:hAnsi="Times New Roman"/>
          <w:sz w:val="24"/>
          <w:szCs w:val="24"/>
        </w:rPr>
      </w:pPr>
      <w:r w:rsidRPr="00ED50C5">
        <w:rPr>
          <w:rFonts w:ascii="Times New Roman" w:hAnsi="Times New Roman"/>
          <w:sz w:val="24"/>
          <w:szCs w:val="24"/>
        </w:rPr>
        <w:tab/>
      </w:r>
      <w:r w:rsidRPr="00ED50C5">
        <w:rPr>
          <w:rFonts w:ascii="Times New Roman" w:hAnsi="Times New Roman"/>
          <w:sz w:val="24"/>
          <w:szCs w:val="24"/>
        </w:rPr>
        <w:tab/>
        <w:t xml:space="preserve">Standards </w:t>
      </w:r>
      <w:r w:rsidR="000B7ADB">
        <w:rPr>
          <w:rFonts w:ascii="Times New Roman" w:hAnsi="Times New Roman"/>
          <w:sz w:val="24"/>
          <w:szCs w:val="24"/>
        </w:rPr>
        <w:tab/>
      </w:r>
      <w:r w:rsidR="003734F3">
        <w:rPr>
          <w:rFonts w:ascii="Times New Roman" w:hAnsi="Times New Roman"/>
          <w:sz w:val="24"/>
          <w:szCs w:val="24"/>
        </w:rPr>
        <w:t>45</w:t>
      </w:r>
    </w:p>
    <w:p w:rsidR="00A51CA1" w:rsidRPr="00ED50C5" w:rsidRDefault="00A51CA1" w:rsidP="00A51CA1">
      <w:pPr>
        <w:tabs>
          <w:tab w:val="left" w:pos="-1440"/>
        </w:tabs>
        <w:rPr>
          <w:rFonts w:ascii="Times New Roman" w:hAnsi="Times New Roman"/>
          <w:sz w:val="24"/>
          <w:szCs w:val="24"/>
        </w:rPr>
      </w:pPr>
    </w:p>
    <w:p w:rsidR="00A51CA1" w:rsidRPr="00ED50C5" w:rsidRDefault="00A51CA1" w:rsidP="00A51CA1">
      <w:pPr>
        <w:tabs>
          <w:tab w:val="left" w:pos="-1440"/>
          <w:tab w:val="left" w:pos="720"/>
        </w:tabs>
        <w:rPr>
          <w:rFonts w:ascii="Times New Roman" w:hAnsi="Times New Roman"/>
          <w:bCs/>
          <w:kern w:val="24"/>
          <w:sz w:val="24"/>
          <w:szCs w:val="24"/>
        </w:rPr>
      </w:pPr>
      <w:r w:rsidRPr="00ED50C5">
        <w:rPr>
          <w:rFonts w:ascii="Times New Roman" w:hAnsi="Times New Roman"/>
          <w:sz w:val="24"/>
          <w:szCs w:val="24"/>
        </w:rPr>
        <w:tab/>
      </w:r>
      <w:r w:rsidRPr="00ED50C5">
        <w:rPr>
          <w:rFonts w:ascii="Times New Roman" w:hAnsi="Times New Roman"/>
          <w:sz w:val="24"/>
          <w:szCs w:val="24"/>
        </w:rPr>
        <w:tab/>
        <w:t>1.</w:t>
      </w:r>
      <w:r w:rsidRPr="00ED50C5">
        <w:rPr>
          <w:rFonts w:ascii="Times New Roman" w:hAnsi="Times New Roman"/>
          <w:sz w:val="24"/>
          <w:szCs w:val="24"/>
        </w:rPr>
        <w:tab/>
        <w:t xml:space="preserve">PSE </w:t>
      </w:r>
      <w:r w:rsidRPr="00ED50C5">
        <w:rPr>
          <w:rFonts w:ascii="Times New Roman" w:hAnsi="Times New Roman"/>
          <w:bCs/>
          <w:kern w:val="24"/>
          <w:sz w:val="24"/>
          <w:szCs w:val="24"/>
        </w:rPr>
        <w:t xml:space="preserve">performed the appropriate analyses, decision-making </w:t>
      </w:r>
    </w:p>
    <w:p w:rsidR="00A51CA1" w:rsidRPr="00ED50C5" w:rsidRDefault="00A51CA1" w:rsidP="00A51CA1">
      <w:pPr>
        <w:tabs>
          <w:tab w:val="left" w:pos="-1440"/>
          <w:tab w:val="left" w:pos="720"/>
        </w:tabs>
        <w:rPr>
          <w:rFonts w:ascii="Times New Roman" w:hAnsi="Times New Roman"/>
          <w:bCs/>
          <w:kern w:val="24"/>
          <w:sz w:val="24"/>
          <w:szCs w:val="24"/>
        </w:rPr>
      </w:pPr>
      <w:r w:rsidRPr="00ED50C5">
        <w:rPr>
          <w:rFonts w:ascii="Times New Roman" w:hAnsi="Times New Roman"/>
          <w:bCs/>
          <w:kern w:val="24"/>
          <w:sz w:val="24"/>
          <w:szCs w:val="24"/>
        </w:rPr>
        <w:tab/>
      </w:r>
      <w:r w:rsidRPr="00ED50C5">
        <w:rPr>
          <w:rFonts w:ascii="Times New Roman" w:hAnsi="Times New Roman"/>
          <w:bCs/>
          <w:kern w:val="24"/>
          <w:sz w:val="24"/>
          <w:szCs w:val="24"/>
        </w:rPr>
        <w:tab/>
      </w:r>
      <w:r w:rsidRPr="00ED50C5">
        <w:rPr>
          <w:rFonts w:ascii="Times New Roman" w:hAnsi="Times New Roman"/>
          <w:bCs/>
          <w:kern w:val="24"/>
          <w:sz w:val="24"/>
          <w:szCs w:val="24"/>
        </w:rPr>
        <w:tab/>
        <w:t xml:space="preserve">and documentation to satisfy the Commission’s test for </w:t>
      </w:r>
    </w:p>
    <w:p w:rsidR="00A51CA1" w:rsidRPr="00ED50C5" w:rsidRDefault="00A51CA1" w:rsidP="000B7ADB">
      <w:pPr>
        <w:tabs>
          <w:tab w:val="left" w:pos="-1440"/>
          <w:tab w:val="left" w:pos="720"/>
          <w:tab w:val="left" w:pos="1440"/>
          <w:tab w:val="left" w:pos="2160"/>
          <w:tab w:val="left" w:pos="2880"/>
          <w:tab w:val="right" w:leader="dot" w:pos="9000"/>
        </w:tabs>
        <w:rPr>
          <w:rFonts w:ascii="Times New Roman" w:hAnsi="Times New Roman"/>
          <w:bCs/>
          <w:kern w:val="24"/>
          <w:sz w:val="24"/>
          <w:szCs w:val="24"/>
        </w:rPr>
      </w:pPr>
      <w:r w:rsidRPr="00ED50C5">
        <w:rPr>
          <w:rFonts w:ascii="Times New Roman" w:hAnsi="Times New Roman"/>
          <w:bCs/>
          <w:kern w:val="24"/>
          <w:sz w:val="24"/>
          <w:szCs w:val="24"/>
        </w:rPr>
        <w:tab/>
      </w:r>
      <w:r w:rsidRPr="00ED50C5">
        <w:rPr>
          <w:rFonts w:ascii="Times New Roman" w:hAnsi="Times New Roman"/>
          <w:bCs/>
          <w:kern w:val="24"/>
          <w:sz w:val="24"/>
          <w:szCs w:val="24"/>
        </w:rPr>
        <w:tab/>
      </w:r>
      <w:r w:rsidRPr="00ED50C5">
        <w:rPr>
          <w:rFonts w:ascii="Times New Roman" w:hAnsi="Times New Roman"/>
          <w:bCs/>
          <w:kern w:val="24"/>
          <w:sz w:val="24"/>
          <w:szCs w:val="24"/>
        </w:rPr>
        <w:tab/>
        <w:t xml:space="preserve">prudence </w:t>
      </w:r>
      <w:r w:rsidR="000B7ADB">
        <w:rPr>
          <w:rFonts w:ascii="Times New Roman" w:hAnsi="Times New Roman"/>
          <w:bCs/>
          <w:kern w:val="24"/>
          <w:sz w:val="24"/>
          <w:szCs w:val="24"/>
        </w:rPr>
        <w:tab/>
      </w:r>
      <w:r w:rsidR="00541D3C">
        <w:rPr>
          <w:rFonts w:ascii="Times New Roman" w:hAnsi="Times New Roman"/>
          <w:bCs/>
          <w:kern w:val="24"/>
          <w:sz w:val="24"/>
          <w:szCs w:val="24"/>
        </w:rPr>
        <w:t>46</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bCs/>
          <w:kern w:val="24"/>
          <w:sz w:val="24"/>
          <w:szCs w:val="24"/>
        </w:rPr>
      </w:pPr>
      <w:r w:rsidRPr="00ED50C5">
        <w:rPr>
          <w:rFonts w:ascii="Times New Roman" w:hAnsi="Times New Roman"/>
          <w:sz w:val="24"/>
          <w:szCs w:val="24"/>
        </w:rPr>
        <w:tab/>
      </w:r>
      <w:r w:rsidRPr="00ED50C5">
        <w:rPr>
          <w:rFonts w:ascii="Times New Roman" w:hAnsi="Times New Roman"/>
          <w:sz w:val="24"/>
          <w:szCs w:val="24"/>
        </w:rPr>
        <w:tab/>
      </w:r>
      <w:r w:rsidRPr="00ED50C5">
        <w:rPr>
          <w:rFonts w:ascii="Times New Roman" w:hAnsi="Times New Roman"/>
          <w:bCs/>
          <w:kern w:val="24"/>
          <w:sz w:val="24"/>
          <w:szCs w:val="24"/>
        </w:rPr>
        <w:tab/>
        <w:t>a.</w:t>
      </w:r>
      <w:r w:rsidRPr="00ED50C5">
        <w:rPr>
          <w:rFonts w:ascii="Times New Roman" w:hAnsi="Times New Roman"/>
          <w:bCs/>
          <w:kern w:val="24"/>
          <w:sz w:val="24"/>
          <w:szCs w:val="24"/>
        </w:rPr>
        <w:tab/>
        <w:t xml:space="preserve">PSE established a need for new resources </w:t>
      </w:r>
      <w:r w:rsidR="000B7ADB">
        <w:rPr>
          <w:rFonts w:ascii="Times New Roman" w:hAnsi="Times New Roman"/>
          <w:bCs/>
          <w:kern w:val="24"/>
          <w:sz w:val="24"/>
          <w:szCs w:val="24"/>
        </w:rPr>
        <w:tab/>
      </w:r>
      <w:r w:rsidR="00541D3C">
        <w:rPr>
          <w:rFonts w:ascii="Times New Roman" w:hAnsi="Times New Roman"/>
          <w:bCs/>
          <w:kern w:val="24"/>
          <w:sz w:val="24"/>
          <w:szCs w:val="24"/>
        </w:rPr>
        <w:t>47</w:t>
      </w:r>
    </w:p>
    <w:p w:rsidR="00A51CA1" w:rsidRPr="00ED50C5" w:rsidRDefault="00A51CA1" w:rsidP="00A51CA1">
      <w:pPr>
        <w:ind w:left="1440" w:firstLine="720"/>
        <w:rPr>
          <w:rFonts w:ascii="Times New Roman" w:hAnsi="Times New Roman"/>
          <w:sz w:val="24"/>
          <w:szCs w:val="24"/>
        </w:rPr>
      </w:pPr>
      <w:r w:rsidRPr="00ED50C5">
        <w:rPr>
          <w:rFonts w:ascii="Times New Roman" w:hAnsi="Times New Roman"/>
          <w:sz w:val="24"/>
          <w:szCs w:val="24"/>
        </w:rPr>
        <w:t>b.</w:t>
      </w:r>
      <w:r w:rsidRPr="00ED50C5">
        <w:rPr>
          <w:rFonts w:ascii="Times New Roman" w:hAnsi="Times New Roman"/>
          <w:sz w:val="24"/>
          <w:szCs w:val="24"/>
        </w:rPr>
        <w:tab/>
        <w:t xml:space="preserve">PSE engaged in a comprehensive evaluation of </w:t>
      </w:r>
    </w:p>
    <w:p w:rsidR="00A51CA1" w:rsidRPr="00ED50C5" w:rsidRDefault="00A51CA1" w:rsidP="000B7ADB">
      <w:pPr>
        <w:tabs>
          <w:tab w:val="left" w:pos="720"/>
          <w:tab w:val="left" w:pos="1440"/>
          <w:tab w:val="left" w:pos="2160"/>
          <w:tab w:val="left" w:pos="2880"/>
          <w:tab w:val="left" w:pos="3600"/>
          <w:tab w:val="right" w:leader="dot" w:pos="9000"/>
        </w:tabs>
        <w:ind w:left="2160" w:firstLine="720"/>
        <w:rPr>
          <w:rFonts w:ascii="Times New Roman" w:hAnsi="Times New Roman"/>
          <w:sz w:val="24"/>
          <w:szCs w:val="24"/>
        </w:rPr>
      </w:pPr>
      <w:r w:rsidRPr="00ED50C5">
        <w:rPr>
          <w:rFonts w:ascii="Times New Roman" w:hAnsi="Times New Roman"/>
          <w:sz w:val="24"/>
          <w:szCs w:val="24"/>
        </w:rPr>
        <w:t xml:space="preserve">resource alternatives </w:t>
      </w:r>
      <w:r w:rsidR="000B7ADB">
        <w:rPr>
          <w:rFonts w:ascii="Times New Roman" w:hAnsi="Times New Roman"/>
          <w:sz w:val="24"/>
          <w:szCs w:val="24"/>
        </w:rPr>
        <w:tab/>
      </w:r>
      <w:r w:rsidR="00541D3C">
        <w:rPr>
          <w:rFonts w:ascii="Times New Roman" w:hAnsi="Times New Roman"/>
          <w:sz w:val="24"/>
          <w:szCs w:val="24"/>
        </w:rPr>
        <w:t>47</w:t>
      </w:r>
    </w:p>
    <w:p w:rsidR="00A51CA1" w:rsidRPr="00ED50C5" w:rsidRDefault="00A51CA1" w:rsidP="00A51CA1">
      <w:pPr>
        <w:tabs>
          <w:tab w:val="left" w:pos="-1440"/>
          <w:tab w:val="left" w:pos="720"/>
        </w:tabs>
        <w:rPr>
          <w:rFonts w:ascii="Times New Roman" w:hAnsi="Times New Roman"/>
          <w:bCs/>
          <w:kern w:val="24"/>
          <w:sz w:val="24"/>
          <w:szCs w:val="24"/>
        </w:rPr>
      </w:pPr>
      <w:r w:rsidRPr="00ED50C5">
        <w:rPr>
          <w:rFonts w:ascii="Times New Roman" w:hAnsi="Times New Roman"/>
          <w:bCs/>
          <w:kern w:val="24"/>
          <w:sz w:val="24"/>
          <w:szCs w:val="24"/>
        </w:rPr>
        <w:t xml:space="preserve"> </w:t>
      </w:r>
      <w:r w:rsidRPr="00ED50C5">
        <w:rPr>
          <w:rFonts w:ascii="Times New Roman" w:hAnsi="Times New Roman"/>
          <w:bCs/>
          <w:kern w:val="24"/>
          <w:sz w:val="24"/>
          <w:szCs w:val="24"/>
        </w:rPr>
        <w:tab/>
      </w:r>
      <w:r w:rsidRPr="00ED50C5">
        <w:rPr>
          <w:rFonts w:ascii="Times New Roman" w:hAnsi="Times New Roman"/>
          <w:bCs/>
          <w:kern w:val="24"/>
          <w:sz w:val="24"/>
          <w:szCs w:val="24"/>
        </w:rPr>
        <w:tab/>
      </w:r>
      <w:r w:rsidRPr="00ED50C5">
        <w:rPr>
          <w:rFonts w:ascii="Times New Roman" w:hAnsi="Times New Roman"/>
          <w:bCs/>
          <w:kern w:val="24"/>
          <w:sz w:val="24"/>
          <w:szCs w:val="24"/>
        </w:rPr>
        <w:tab/>
        <w:t>c.</w:t>
      </w:r>
      <w:r w:rsidRPr="00ED50C5">
        <w:rPr>
          <w:rFonts w:ascii="Times New Roman" w:hAnsi="Times New Roman"/>
          <w:bCs/>
          <w:kern w:val="24"/>
          <w:sz w:val="24"/>
          <w:szCs w:val="24"/>
        </w:rPr>
        <w:tab/>
        <w:t xml:space="preserve">PSE demonstrated that Mint Farm complies </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bCs/>
          <w:kern w:val="24"/>
          <w:sz w:val="24"/>
          <w:szCs w:val="24"/>
        </w:rPr>
      </w:pPr>
      <w:r w:rsidRPr="00ED50C5">
        <w:rPr>
          <w:rFonts w:ascii="Times New Roman" w:hAnsi="Times New Roman"/>
          <w:bCs/>
          <w:kern w:val="24"/>
          <w:sz w:val="24"/>
          <w:szCs w:val="24"/>
        </w:rPr>
        <w:tab/>
      </w:r>
      <w:r w:rsidRPr="00ED50C5">
        <w:rPr>
          <w:rFonts w:ascii="Times New Roman" w:hAnsi="Times New Roman"/>
          <w:bCs/>
          <w:kern w:val="24"/>
          <w:sz w:val="24"/>
          <w:szCs w:val="24"/>
        </w:rPr>
        <w:tab/>
      </w:r>
      <w:r w:rsidRPr="00ED50C5">
        <w:rPr>
          <w:rFonts w:ascii="Times New Roman" w:hAnsi="Times New Roman"/>
          <w:bCs/>
          <w:kern w:val="24"/>
          <w:sz w:val="24"/>
          <w:szCs w:val="24"/>
        </w:rPr>
        <w:tab/>
      </w:r>
      <w:r w:rsidRPr="00ED50C5">
        <w:rPr>
          <w:rFonts w:ascii="Times New Roman" w:hAnsi="Times New Roman"/>
          <w:bCs/>
          <w:kern w:val="24"/>
          <w:sz w:val="24"/>
          <w:szCs w:val="24"/>
        </w:rPr>
        <w:tab/>
        <w:t xml:space="preserve">with the GHG Standard </w:t>
      </w:r>
      <w:r w:rsidR="000B7ADB">
        <w:rPr>
          <w:rFonts w:ascii="Times New Roman" w:hAnsi="Times New Roman"/>
          <w:bCs/>
          <w:kern w:val="24"/>
          <w:sz w:val="24"/>
          <w:szCs w:val="24"/>
        </w:rPr>
        <w:tab/>
      </w:r>
      <w:r w:rsidR="00541D3C">
        <w:rPr>
          <w:rFonts w:ascii="Times New Roman" w:hAnsi="Times New Roman"/>
          <w:bCs/>
          <w:kern w:val="24"/>
          <w:sz w:val="24"/>
          <w:szCs w:val="24"/>
        </w:rPr>
        <w:t>49</w:t>
      </w:r>
    </w:p>
    <w:p w:rsidR="00A51CA1" w:rsidRPr="00ED50C5" w:rsidRDefault="00A51CA1" w:rsidP="00A51CA1">
      <w:pPr>
        <w:tabs>
          <w:tab w:val="left" w:pos="-1440"/>
          <w:tab w:val="left" w:pos="720"/>
        </w:tabs>
        <w:rPr>
          <w:rFonts w:ascii="Times New Roman" w:hAnsi="Times New Roman"/>
          <w:bCs/>
          <w:kern w:val="24"/>
          <w:sz w:val="24"/>
          <w:szCs w:val="24"/>
        </w:rPr>
      </w:pPr>
    </w:p>
    <w:p w:rsidR="00A51CA1" w:rsidRPr="00ED50C5" w:rsidRDefault="00A51CA1" w:rsidP="00A51CA1">
      <w:pPr>
        <w:tabs>
          <w:tab w:val="left" w:pos="-1440"/>
        </w:tabs>
        <w:rPr>
          <w:rFonts w:ascii="Times New Roman" w:hAnsi="Times New Roman"/>
          <w:sz w:val="24"/>
          <w:szCs w:val="24"/>
        </w:rPr>
      </w:pPr>
      <w:r w:rsidRPr="00ED50C5">
        <w:rPr>
          <w:rFonts w:ascii="Times New Roman" w:hAnsi="Times New Roman"/>
          <w:sz w:val="24"/>
          <w:szCs w:val="24"/>
        </w:rPr>
        <w:tab/>
      </w:r>
      <w:r w:rsidRPr="00ED50C5">
        <w:rPr>
          <w:rFonts w:ascii="Times New Roman" w:hAnsi="Times New Roman"/>
          <w:sz w:val="24"/>
          <w:szCs w:val="24"/>
        </w:rPr>
        <w:tab/>
        <w:t>2.</w:t>
      </w:r>
      <w:r w:rsidRPr="00ED50C5">
        <w:rPr>
          <w:rFonts w:ascii="Times New Roman" w:hAnsi="Times New Roman"/>
          <w:sz w:val="24"/>
          <w:szCs w:val="24"/>
        </w:rPr>
        <w:tab/>
        <w:t xml:space="preserve">Public Counsel’s criticisms of the Mint Farm acquisition </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szCs w:val="24"/>
        </w:rPr>
      </w:pPr>
      <w:r w:rsidRPr="00ED50C5">
        <w:rPr>
          <w:rFonts w:ascii="Times New Roman" w:hAnsi="Times New Roman"/>
          <w:sz w:val="24"/>
          <w:szCs w:val="24"/>
        </w:rPr>
        <w:tab/>
      </w:r>
      <w:r w:rsidRPr="00ED50C5">
        <w:rPr>
          <w:rFonts w:ascii="Times New Roman" w:hAnsi="Times New Roman"/>
          <w:sz w:val="24"/>
          <w:szCs w:val="24"/>
        </w:rPr>
        <w:tab/>
      </w:r>
      <w:r w:rsidRPr="00ED50C5">
        <w:rPr>
          <w:rFonts w:ascii="Times New Roman" w:hAnsi="Times New Roman"/>
          <w:sz w:val="24"/>
          <w:szCs w:val="24"/>
        </w:rPr>
        <w:tab/>
        <w:t xml:space="preserve">should be rejected </w:t>
      </w:r>
      <w:r w:rsidR="000B7ADB">
        <w:rPr>
          <w:rFonts w:ascii="Times New Roman" w:hAnsi="Times New Roman"/>
          <w:sz w:val="24"/>
          <w:szCs w:val="24"/>
        </w:rPr>
        <w:tab/>
      </w:r>
      <w:r w:rsidR="00541D3C">
        <w:rPr>
          <w:rFonts w:ascii="Times New Roman" w:hAnsi="Times New Roman"/>
          <w:sz w:val="24"/>
          <w:szCs w:val="24"/>
        </w:rPr>
        <w:t>50</w:t>
      </w:r>
    </w:p>
    <w:p w:rsidR="00A51CA1" w:rsidRPr="00ED50C5" w:rsidRDefault="00A51CA1" w:rsidP="00A51CA1">
      <w:pPr>
        <w:ind w:left="1440" w:firstLine="720"/>
        <w:rPr>
          <w:rFonts w:ascii="Times New Roman" w:hAnsi="Times New Roman"/>
          <w:sz w:val="24"/>
          <w:szCs w:val="24"/>
        </w:rPr>
      </w:pPr>
      <w:r w:rsidRPr="00ED50C5">
        <w:rPr>
          <w:rFonts w:ascii="Times New Roman" w:hAnsi="Times New Roman"/>
          <w:sz w:val="24"/>
          <w:szCs w:val="24"/>
        </w:rPr>
        <w:t>a.</w:t>
      </w:r>
      <w:r w:rsidRPr="00ED50C5">
        <w:rPr>
          <w:rFonts w:ascii="Times New Roman" w:hAnsi="Times New Roman"/>
          <w:sz w:val="24"/>
          <w:szCs w:val="24"/>
        </w:rPr>
        <w:tab/>
        <w:t xml:space="preserve">Mint Farm is prudent even though it creates </w:t>
      </w:r>
    </w:p>
    <w:p w:rsidR="00A51CA1" w:rsidRPr="00ED50C5" w:rsidRDefault="00A51CA1" w:rsidP="00A51CA1">
      <w:pPr>
        <w:ind w:left="2160" w:firstLine="720"/>
        <w:rPr>
          <w:rFonts w:ascii="Times New Roman" w:hAnsi="Times New Roman"/>
          <w:sz w:val="24"/>
          <w:szCs w:val="24"/>
        </w:rPr>
      </w:pPr>
      <w:r w:rsidRPr="00ED50C5">
        <w:rPr>
          <w:rFonts w:ascii="Times New Roman" w:hAnsi="Times New Roman"/>
          <w:sz w:val="24"/>
          <w:szCs w:val="24"/>
        </w:rPr>
        <w:t xml:space="preserve">short-term surplus capacity according to the </w:t>
      </w:r>
    </w:p>
    <w:p w:rsidR="00A51CA1" w:rsidRPr="00ED50C5" w:rsidRDefault="00A51CA1" w:rsidP="000B7ADB">
      <w:pPr>
        <w:tabs>
          <w:tab w:val="left" w:pos="720"/>
          <w:tab w:val="left" w:pos="1440"/>
          <w:tab w:val="left" w:pos="2160"/>
          <w:tab w:val="left" w:pos="2880"/>
          <w:tab w:val="left" w:pos="3600"/>
          <w:tab w:val="right" w:leader="dot" w:pos="9000"/>
        </w:tabs>
        <w:ind w:left="2160" w:firstLine="720"/>
        <w:rPr>
          <w:rFonts w:ascii="Times New Roman" w:hAnsi="Times New Roman"/>
          <w:sz w:val="24"/>
          <w:szCs w:val="24"/>
        </w:rPr>
      </w:pPr>
      <w:r w:rsidRPr="00ED50C5">
        <w:rPr>
          <w:rFonts w:ascii="Times New Roman" w:hAnsi="Times New Roman"/>
          <w:sz w:val="24"/>
          <w:szCs w:val="24"/>
        </w:rPr>
        <w:t xml:space="preserve">2007 IRP </w:t>
      </w:r>
      <w:r w:rsidR="000B7ADB">
        <w:rPr>
          <w:rFonts w:ascii="Times New Roman" w:hAnsi="Times New Roman"/>
          <w:sz w:val="24"/>
          <w:szCs w:val="24"/>
        </w:rPr>
        <w:tab/>
      </w:r>
      <w:r w:rsidR="00541D3C">
        <w:rPr>
          <w:rFonts w:ascii="Times New Roman" w:hAnsi="Times New Roman"/>
          <w:sz w:val="24"/>
          <w:szCs w:val="24"/>
        </w:rPr>
        <w:t>50</w:t>
      </w:r>
    </w:p>
    <w:p w:rsidR="00A51CA1" w:rsidRPr="00ED50C5" w:rsidRDefault="00A51CA1" w:rsidP="00A51CA1">
      <w:pPr>
        <w:rPr>
          <w:rFonts w:ascii="Times New Roman" w:hAnsi="Times New Roman"/>
          <w:sz w:val="24"/>
          <w:szCs w:val="24"/>
        </w:rPr>
      </w:pPr>
      <w:r w:rsidRPr="00ED50C5">
        <w:rPr>
          <w:rFonts w:ascii="Times New Roman" w:hAnsi="Times New Roman"/>
          <w:sz w:val="24"/>
          <w:szCs w:val="24"/>
        </w:rPr>
        <w:tab/>
      </w:r>
      <w:r w:rsidRPr="00ED50C5">
        <w:rPr>
          <w:rFonts w:ascii="Times New Roman" w:hAnsi="Times New Roman"/>
          <w:sz w:val="24"/>
          <w:szCs w:val="24"/>
        </w:rPr>
        <w:tab/>
      </w:r>
      <w:r w:rsidRPr="00ED50C5">
        <w:rPr>
          <w:rFonts w:ascii="Times New Roman" w:hAnsi="Times New Roman"/>
          <w:sz w:val="24"/>
          <w:szCs w:val="24"/>
        </w:rPr>
        <w:tab/>
        <w:t>b.</w:t>
      </w:r>
      <w:r w:rsidRPr="00ED50C5">
        <w:rPr>
          <w:rFonts w:ascii="Times New Roman" w:hAnsi="Times New Roman"/>
          <w:sz w:val="24"/>
          <w:szCs w:val="24"/>
        </w:rPr>
        <w:tab/>
        <w:t xml:space="preserve">Public Counsel inadequately considers all </w:t>
      </w:r>
    </w:p>
    <w:p w:rsidR="00A51CA1" w:rsidRPr="00ED50C5" w:rsidRDefault="00A51CA1" w:rsidP="00A51CA1">
      <w:pPr>
        <w:ind w:left="2160" w:firstLine="720"/>
        <w:rPr>
          <w:rFonts w:ascii="Times New Roman" w:hAnsi="Times New Roman"/>
          <w:sz w:val="24"/>
          <w:szCs w:val="24"/>
        </w:rPr>
      </w:pPr>
      <w:r w:rsidRPr="00ED50C5">
        <w:rPr>
          <w:rFonts w:ascii="Times New Roman" w:hAnsi="Times New Roman"/>
          <w:sz w:val="24"/>
          <w:szCs w:val="24"/>
        </w:rPr>
        <w:t xml:space="preserve">quantitative and qualitative measures employed </w:t>
      </w:r>
    </w:p>
    <w:p w:rsidR="00A51CA1" w:rsidRPr="00ED50C5" w:rsidRDefault="00A51CA1" w:rsidP="000B7ADB">
      <w:pPr>
        <w:tabs>
          <w:tab w:val="left" w:pos="720"/>
          <w:tab w:val="left" w:pos="1440"/>
          <w:tab w:val="left" w:pos="2160"/>
          <w:tab w:val="left" w:pos="2880"/>
          <w:tab w:val="left" w:pos="3600"/>
          <w:tab w:val="right" w:leader="dot" w:pos="9000"/>
        </w:tabs>
        <w:ind w:left="2160" w:firstLine="720"/>
        <w:rPr>
          <w:rFonts w:ascii="Times New Roman" w:hAnsi="Times New Roman"/>
          <w:sz w:val="24"/>
          <w:szCs w:val="24"/>
        </w:rPr>
      </w:pPr>
      <w:r w:rsidRPr="00ED50C5">
        <w:rPr>
          <w:rFonts w:ascii="Times New Roman" w:hAnsi="Times New Roman"/>
          <w:sz w:val="24"/>
          <w:szCs w:val="24"/>
        </w:rPr>
        <w:t xml:space="preserve">by PSE to assess the Mint Farm acquisition </w:t>
      </w:r>
      <w:r w:rsidR="000B7ADB">
        <w:rPr>
          <w:rFonts w:ascii="Times New Roman" w:hAnsi="Times New Roman"/>
          <w:sz w:val="24"/>
          <w:szCs w:val="24"/>
        </w:rPr>
        <w:tab/>
      </w:r>
      <w:r w:rsidR="00541D3C">
        <w:rPr>
          <w:rFonts w:ascii="Times New Roman" w:hAnsi="Times New Roman"/>
          <w:sz w:val="24"/>
          <w:szCs w:val="24"/>
        </w:rPr>
        <w:t>51</w:t>
      </w:r>
    </w:p>
    <w:p w:rsidR="00A51CA1" w:rsidRPr="00ED50C5" w:rsidRDefault="00A51CA1" w:rsidP="00A51CA1">
      <w:pPr>
        <w:rPr>
          <w:rFonts w:ascii="Times New Roman" w:hAnsi="Times New Roman"/>
          <w:sz w:val="24"/>
          <w:szCs w:val="24"/>
        </w:rPr>
      </w:pPr>
    </w:p>
    <w:p w:rsidR="00A51CA1" w:rsidRPr="00ED50C5" w:rsidRDefault="00A51CA1" w:rsidP="00A51CA1">
      <w:pPr>
        <w:tabs>
          <w:tab w:val="left" w:pos="-1440"/>
        </w:tabs>
        <w:rPr>
          <w:rFonts w:ascii="Times New Roman" w:hAnsi="Times New Roman"/>
          <w:sz w:val="24"/>
          <w:szCs w:val="24"/>
        </w:rPr>
      </w:pPr>
      <w:r w:rsidRPr="00ED50C5">
        <w:rPr>
          <w:rFonts w:ascii="Times New Roman" w:hAnsi="Times New Roman"/>
          <w:sz w:val="24"/>
          <w:szCs w:val="24"/>
        </w:rPr>
        <w:tab/>
      </w:r>
      <w:r w:rsidRPr="00ED50C5">
        <w:rPr>
          <w:rFonts w:ascii="Times New Roman" w:hAnsi="Times New Roman"/>
          <w:sz w:val="24"/>
          <w:szCs w:val="24"/>
        </w:rPr>
        <w:tab/>
        <w:t>3.</w:t>
      </w:r>
      <w:r w:rsidRPr="00ED50C5">
        <w:rPr>
          <w:rFonts w:ascii="Times New Roman" w:hAnsi="Times New Roman"/>
          <w:sz w:val="24"/>
          <w:szCs w:val="24"/>
        </w:rPr>
        <w:tab/>
        <w:t xml:space="preserve">PSE should be required to assess the dike system around </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szCs w:val="24"/>
        </w:rPr>
      </w:pPr>
      <w:r w:rsidRPr="00ED50C5">
        <w:rPr>
          <w:rFonts w:ascii="Times New Roman" w:hAnsi="Times New Roman"/>
          <w:sz w:val="24"/>
          <w:szCs w:val="24"/>
        </w:rPr>
        <w:tab/>
      </w:r>
      <w:r w:rsidRPr="00ED50C5">
        <w:rPr>
          <w:rFonts w:ascii="Times New Roman" w:hAnsi="Times New Roman"/>
          <w:sz w:val="24"/>
          <w:szCs w:val="24"/>
        </w:rPr>
        <w:tab/>
      </w:r>
      <w:r w:rsidRPr="00ED50C5">
        <w:rPr>
          <w:rFonts w:ascii="Times New Roman" w:hAnsi="Times New Roman"/>
          <w:sz w:val="24"/>
          <w:szCs w:val="24"/>
        </w:rPr>
        <w:tab/>
        <w:t xml:space="preserve">Mint Farm and develop a flood contingency plan </w:t>
      </w:r>
      <w:r w:rsidR="000B7ADB">
        <w:rPr>
          <w:rFonts w:ascii="Times New Roman" w:hAnsi="Times New Roman"/>
          <w:sz w:val="24"/>
          <w:szCs w:val="24"/>
        </w:rPr>
        <w:tab/>
      </w:r>
      <w:r w:rsidR="00541D3C">
        <w:rPr>
          <w:rFonts w:ascii="Times New Roman" w:hAnsi="Times New Roman"/>
          <w:sz w:val="24"/>
          <w:szCs w:val="24"/>
        </w:rPr>
        <w:t>52</w:t>
      </w:r>
    </w:p>
    <w:p w:rsidR="00A51CA1" w:rsidRPr="00ED50C5" w:rsidRDefault="00A51CA1" w:rsidP="00A51CA1">
      <w:pPr>
        <w:tabs>
          <w:tab w:val="left" w:pos="-1440"/>
        </w:tabs>
        <w:rPr>
          <w:rFonts w:ascii="Times New Roman" w:hAnsi="Times New Roman"/>
          <w:sz w:val="24"/>
        </w:rPr>
      </w:pPr>
    </w:p>
    <w:p w:rsidR="00541D3C" w:rsidRDefault="00A51CA1" w:rsidP="00541D3C">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V.</w:t>
      </w:r>
      <w:r w:rsidRPr="00ED50C5">
        <w:rPr>
          <w:rFonts w:ascii="Times New Roman" w:hAnsi="Times New Roman"/>
          <w:sz w:val="24"/>
        </w:rPr>
        <w:tab/>
      </w:r>
      <w:r w:rsidR="00541D3C">
        <w:rPr>
          <w:rFonts w:ascii="Times New Roman" w:hAnsi="Times New Roman"/>
          <w:sz w:val="24"/>
        </w:rPr>
        <w:t xml:space="preserve">RATE SPREAD AND RATE DESIGN </w:t>
      </w:r>
      <w:r w:rsidR="00541D3C">
        <w:rPr>
          <w:rFonts w:ascii="Times New Roman" w:hAnsi="Times New Roman"/>
          <w:sz w:val="24"/>
        </w:rPr>
        <w:tab/>
        <w:t>53</w:t>
      </w:r>
    </w:p>
    <w:p w:rsidR="00541D3C" w:rsidRDefault="00541D3C" w:rsidP="00A51CA1">
      <w:pPr>
        <w:tabs>
          <w:tab w:val="left" w:pos="-1440"/>
        </w:tabs>
        <w:rPr>
          <w:rFonts w:ascii="Times New Roman" w:hAnsi="Times New Roman"/>
          <w:sz w:val="24"/>
        </w:rPr>
      </w:pPr>
    </w:p>
    <w:p w:rsidR="00A51CA1" w:rsidRPr="00ED50C5" w:rsidRDefault="00541D3C" w:rsidP="00A51CA1">
      <w:pPr>
        <w:tabs>
          <w:tab w:val="left" w:pos="-1440"/>
        </w:tabs>
        <w:rPr>
          <w:rFonts w:ascii="Times New Roman" w:hAnsi="Times New Roman"/>
          <w:sz w:val="24"/>
        </w:rPr>
      </w:pPr>
      <w:r>
        <w:rPr>
          <w:rFonts w:ascii="Times New Roman" w:hAnsi="Times New Roman"/>
          <w:sz w:val="24"/>
        </w:rPr>
        <w:t>VI.</w:t>
      </w:r>
      <w:r>
        <w:rPr>
          <w:rFonts w:ascii="Times New Roman" w:hAnsi="Times New Roman"/>
          <w:sz w:val="24"/>
        </w:rPr>
        <w:tab/>
      </w:r>
      <w:r w:rsidR="00A51CA1" w:rsidRPr="00ED50C5">
        <w:rPr>
          <w:rFonts w:ascii="Times New Roman" w:hAnsi="Times New Roman"/>
          <w:sz w:val="24"/>
        </w:rPr>
        <w:t xml:space="preserve">THE COMMISSION HAS LEGAL AUTHORITY TO ORDER </w:t>
      </w:r>
    </w:p>
    <w:p w:rsidR="00A51CA1" w:rsidRPr="00ED50C5" w:rsidRDefault="00A51CA1" w:rsidP="00A51CA1">
      <w:pPr>
        <w:tabs>
          <w:tab w:val="left" w:pos="-1440"/>
        </w:tabs>
        <w:rPr>
          <w:rFonts w:ascii="Times New Roman" w:hAnsi="Times New Roman"/>
          <w:sz w:val="24"/>
        </w:rPr>
      </w:pPr>
      <w:r w:rsidRPr="00ED50C5">
        <w:rPr>
          <w:rFonts w:ascii="Times New Roman" w:hAnsi="Times New Roman"/>
          <w:sz w:val="24"/>
        </w:rPr>
        <w:tab/>
        <w:t xml:space="preserve">AN INCREASE IN </w:t>
      </w:r>
      <w:r w:rsidR="00B979F7">
        <w:rPr>
          <w:rFonts w:ascii="Times New Roman" w:hAnsi="Times New Roman"/>
          <w:sz w:val="24"/>
        </w:rPr>
        <w:t xml:space="preserve">NATURAL GAS </w:t>
      </w:r>
      <w:r w:rsidRPr="00ED50C5">
        <w:rPr>
          <w:rFonts w:ascii="Times New Roman" w:hAnsi="Times New Roman"/>
          <w:sz w:val="24"/>
        </w:rPr>
        <w:t xml:space="preserve">REVENUES ABOVE THE AMOUNT </w:t>
      </w:r>
    </w:p>
    <w:p w:rsidR="00A51CA1" w:rsidRPr="00ED50C5" w:rsidRDefault="00A51CA1" w:rsidP="000B7ADB">
      <w:pPr>
        <w:tabs>
          <w:tab w:val="left" w:pos="-1440"/>
          <w:tab w:val="left" w:pos="720"/>
          <w:tab w:val="left" w:pos="1440"/>
          <w:tab w:val="left" w:pos="2160"/>
          <w:tab w:val="left" w:pos="2880"/>
          <w:tab w:val="left" w:pos="3600"/>
          <w:tab w:val="right" w:leader="dot" w:pos="9000"/>
        </w:tabs>
        <w:rPr>
          <w:rFonts w:ascii="Times New Roman" w:hAnsi="Times New Roman"/>
          <w:sz w:val="24"/>
        </w:rPr>
      </w:pPr>
      <w:r w:rsidRPr="00ED50C5">
        <w:rPr>
          <w:rFonts w:ascii="Times New Roman" w:hAnsi="Times New Roman"/>
          <w:sz w:val="24"/>
        </w:rPr>
        <w:tab/>
        <w:t xml:space="preserve">PRODUCED BY THE FILED TARIFFS </w:t>
      </w:r>
      <w:r w:rsidR="000B7ADB">
        <w:rPr>
          <w:rFonts w:ascii="Times New Roman" w:hAnsi="Times New Roman"/>
          <w:sz w:val="24"/>
        </w:rPr>
        <w:tab/>
      </w:r>
      <w:r w:rsidR="00541D3C">
        <w:rPr>
          <w:rFonts w:ascii="Times New Roman" w:hAnsi="Times New Roman"/>
          <w:sz w:val="24"/>
        </w:rPr>
        <w:t>54</w:t>
      </w:r>
    </w:p>
    <w:p w:rsidR="00A51CA1" w:rsidRPr="00ED50C5" w:rsidRDefault="00A51CA1" w:rsidP="00A51CA1">
      <w:pPr>
        <w:tabs>
          <w:tab w:val="left" w:pos="-1440"/>
        </w:tabs>
        <w:rPr>
          <w:rFonts w:ascii="Times New Roman" w:hAnsi="Times New Roman"/>
          <w:sz w:val="24"/>
        </w:rPr>
      </w:pPr>
    </w:p>
    <w:p w:rsidR="00EC17A4" w:rsidRDefault="00EC17A4" w:rsidP="00CB20C9">
      <w:pPr>
        <w:rPr>
          <w:rFonts w:ascii="Times New Roman" w:hAnsi="Times New Roman"/>
          <w:sz w:val="24"/>
          <w:szCs w:val="24"/>
        </w:rPr>
      </w:pPr>
    </w:p>
    <w:p w:rsidR="00A51CA1" w:rsidRDefault="00A51CA1" w:rsidP="00CB20C9">
      <w:pPr>
        <w:rPr>
          <w:rFonts w:ascii="Times New Roman" w:hAnsi="Times New Roman"/>
          <w:sz w:val="24"/>
          <w:szCs w:val="24"/>
        </w:rPr>
      </w:pPr>
    </w:p>
    <w:p w:rsidR="00EC17A4" w:rsidRDefault="00EC17A4">
      <w:pPr>
        <w:rPr>
          <w:rFonts w:ascii="Times New Roman" w:hAnsi="Times New Roman"/>
          <w:sz w:val="24"/>
          <w:szCs w:val="24"/>
        </w:rPr>
      </w:pPr>
      <w:r>
        <w:rPr>
          <w:rFonts w:ascii="Times New Roman" w:hAnsi="Times New Roman"/>
          <w:sz w:val="24"/>
          <w:szCs w:val="24"/>
        </w:rPr>
        <w:br w:type="page"/>
      </w:r>
    </w:p>
    <w:p w:rsidR="00F54CE7" w:rsidRPr="003E02E6" w:rsidRDefault="00F54CE7" w:rsidP="00F54CE7">
      <w:pPr>
        <w:jc w:val="center"/>
        <w:rPr>
          <w:rFonts w:ascii="Times New Roman" w:hAnsi="Times New Roman"/>
          <w:sz w:val="24"/>
          <w:szCs w:val="24"/>
        </w:rPr>
      </w:pPr>
      <w:r w:rsidRPr="003E02E6">
        <w:rPr>
          <w:rFonts w:ascii="Times New Roman" w:hAnsi="Times New Roman"/>
          <w:b/>
          <w:bCs/>
          <w:sz w:val="24"/>
          <w:szCs w:val="24"/>
        </w:rPr>
        <w:lastRenderedPageBreak/>
        <w:t>TABLE OF AUTHORITIES</w:t>
      </w:r>
    </w:p>
    <w:p w:rsidR="00F54CE7" w:rsidRDefault="00F54CE7" w:rsidP="00F54CE7">
      <w:pPr>
        <w:rPr>
          <w:rFonts w:ascii="Times New Roman" w:hAnsi="Times New Roman"/>
          <w:sz w:val="24"/>
          <w:szCs w:val="24"/>
        </w:rPr>
      </w:pPr>
    </w:p>
    <w:p w:rsidR="000570C1" w:rsidRDefault="000570C1" w:rsidP="00F54CE7">
      <w:pPr>
        <w:rPr>
          <w:rFonts w:ascii="Times New Roman" w:hAnsi="Times New Roman"/>
          <w:sz w:val="24"/>
          <w:szCs w:val="24"/>
        </w:rPr>
      </w:pPr>
    </w:p>
    <w:p w:rsidR="00F54CE7" w:rsidRPr="00900C1A" w:rsidRDefault="00F54CE7" w:rsidP="00F54CE7">
      <w:pPr>
        <w:jc w:val="center"/>
        <w:rPr>
          <w:rFonts w:ascii="Times New Roman" w:hAnsi="Times New Roman"/>
          <w:b/>
          <w:sz w:val="24"/>
          <w:szCs w:val="24"/>
        </w:rPr>
      </w:pPr>
      <w:r w:rsidRPr="00900C1A">
        <w:rPr>
          <w:rFonts w:ascii="Times New Roman" w:hAnsi="Times New Roman"/>
          <w:b/>
          <w:i/>
          <w:sz w:val="24"/>
          <w:szCs w:val="24"/>
        </w:rPr>
        <w:t>Cases</w:t>
      </w:r>
      <w:r w:rsidRPr="00900C1A">
        <w:rPr>
          <w:rFonts w:ascii="Times New Roman" w:hAnsi="Times New Roman"/>
          <w:b/>
          <w:sz w:val="24"/>
          <w:szCs w:val="24"/>
        </w:rPr>
        <w:t xml:space="preserve"> </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Bluefield Water Works and Improvement Co. v. Pub. Serv. Comm’n of West Virginia</w:t>
      </w:r>
      <w:r w:rsidRPr="003E02E6">
        <w:rPr>
          <w:rFonts w:ascii="Times New Roman" w:hAnsi="Times New Roman"/>
          <w:sz w:val="24"/>
          <w:szCs w:val="24"/>
        </w:rPr>
        <w:t xml:space="preserve">, </w:t>
      </w:r>
    </w:p>
    <w:p w:rsidR="00F54CE7" w:rsidRDefault="00777353" w:rsidP="00777353">
      <w:pPr>
        <w:tabs>
          <w:tab w:val="left" w:pos="720"/>
          <w:tab w:val="left" w:pos="1440"/>
          <w:tab w:val="left" w:pos="2160"/>
          <w:tab w:val="right" w:leader="dot" w:pos="9000"/>
        </w:tabs>
        <w:ind w:firstLine="720"/>
        <w:rPr>
          <w:rFonts w:ascii="Times New Roman" w:hAnsi="Times New Roman"/>
          <w:sz w:val="24"/>
          <w:szCs w:val="24"/>
        </w:rPr>
      </w:pPr>
      <w:r>
        <w:rPr>
          <w:rFonts w:ascii="Times New Roman" w:hAnsi="Times New Roman"/>
          <w:sz w:val="24"/>
          <w:szCs w:val="24"/>
        </w:rPr>
        <w:t>262 U.S. 679</w:t>
      </w:r>
      <w:r w:rsidR="00F54CE7">
        <w:rPr>
          <w:rFonts w:ascii="Times New Roman" w:hAnsi="Times New Roman"/>
          <w:sz w:val="24"/>
          <w:szCs w:val="24"/>
        </w:rPr>
        <w:t xml:space="preserve"> (1923)</w:t>
      </w:r>
      <w:r w:rsidR="00F54CE7" w:rsidRPr="003E02E6">
        <w:rPr>
          <w:rFonts w:ascii="Times New Roman" w:hAnsi="Times New Roman"/>
          <w:sz w:val="24"/>
          <w:szCs w:val="24"/>
        </w:rPr>
        <w:t xml:space="preserve"> </w:t>
      </w:r>
      <w:r w:rsidR="00F54CE7">
        <w:rPr>
          <w:rFonts w:ascii="Times New Roman" w:hAnsi="Times New Roman"/>
          <w:sz w:val="24"/>
          <w:szCs w:val="24"/>
        </w:rPr>
        <w:tab/>
      </w:r>
      <w:r w:rsidR="00B3571E">
        <w:rPr>
          <w:rFonts w:ascii="Times New Roman" w:hAnsi="Times New Roman"/>
          <w:sz w:val="24"/>
          <w:szCs w:val="24"/>
        </w:rPr>
        <w:t>6</w:t>
      </w:r>
    </w:p>
    <w:p w:rsidR="00F54CE7" w:rsidRDefault="00F54CE7" w:rsidP="00F54CE7">
      <w:pPr>
        <w:rPr>
          <w:rFonts w:ascii="Times New Roman" w:hAnsi="Times New Roman"/>
          <w:sz w:val="24"/>
          <w:szCs w:val="24"/>
        </w:rPr>
      </w:pPr>
    </w:p>
    <w:p w:rsidR="000570C1" w:rsidRDefault="000570C1" w:rsidP="00F54CE7">
      <w:pPr>
        <w:rPr>
          <w:rFonts w:ascii="Times New Roman" w:hAnsi="Times New Roman"/>
          <w:sz w:val="24"/>
          <w:szCs w:val="24"/>
        </w:rPr>
      </w:pPr>
    </w:p>
    <w:p w:rsidR="00F54CE7" w:rsidRPr="00900C1A" w:rsidRDefault="00F54CE7" w:rsidP="00F54CE7">
      <w:pPr>
        <w:jc w:val="center"/>
        <w:rPr>
          <w:rFonts w:ascii="Times New Roman" w:hAnsi="Times New Roman"/>
          <w:b/>
          <w:i/>
          <w:sz w:val="24"/>
          <w:szCs w:val="24"/>
        </w:rPr>
      </w:pPr>
      <w:r w:rsidRPr="00900C1A">
        <w:rPr>
          <w:rFonts w:ascii="Times New Roman" w:hAnsi="Times New Roman"/>
          <w:b/>
          <w:i/>
          <w:sz w:val="24"/>
          <w:szCs w:val="24"/>
        </w:rPr>
        <w:t>Administrative Authorities</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i/>
          <w:iCs/>
          <w:sz w:val="24"/>
          <w:szCs w:val="24"/>
        </w:rPr>
      </w:pPr>
      <w:r w:rsidRPr="003E02E6">
        <w:rPr>
          <w:rFonts w:ascii="Times New Roman" w:hAnsi="Times New Roman"/>
          <w:i/>
          <w:iCs/>
          <w:sz w:val="24"/>
          <w:szCs w:val="24"/>
        </w:rPr>
        <w:t xml:space="preserve">Re Connecticut Light and Power Co., </w:t>
      </w:r>
    </w:p>
    <w:p w:rsidR="00F54CE7" w:rsidRPr="003E02E6" w:rsidRDefault="0074118B" w:rsidP="00F54CE7">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Pr>
          <w:rFonts w:ascii="Times New Roman" w:hAnsi="Times New Roman"/>
          <w:sz w:val="24"/>
          <w:szCs w:val="24"/>
        </w:rPr>
        <w:t>124 P.U.R. 4th 532</w:t>
      </w:r>
      <w:r w:rsidR="00F54CE7" w:rsidRPr="003E02E6">
        <w:rPr>
          <w:rFonts w:ascii="Times New Roman" w:hAnsi="Times New Roman"/>
          <w:sz w:val="24"/>
          <w:szCs w:val="24"/>
        </w:rPr>
        <w:t xml:space="preserve"> (Conn. D.P.U.C. 1991)</w:t>
      </w:r>
      <w:r w:rsidR="00F54CE7">
        <w:rPr>
          <w:rFonts w:ascii="Times New Roman" w:hAnsi="Times New Roman"/>
          <w:sz w:val="24"/>
          <w:szCs w:val="24"/>
        </w:rPr>
        <w:t xml:space="preserve"> </w:t>
      </w:r>
      <w:r w:rsidR="00F54CE7">
        <w:rPr>
          <w:rFonts w:ascii="Times New Roman" w:hAnsi="Times New Roman"/>
          <w:sz w:val="24"/>
          <w:szCs w:val="24"/>
        </w:rPr>
        <w:tab/>
      </w:r>
      <w:r>
        <w:rPr>
          <w:rFonts w:ascii="Times New Roman" w:hAnsi="Times New Roman"/>
          <w:sz w:val="24"/>
          <w:szCs w:val="24"/>
        </w:rPr>
        <w:t>23</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In re The United Illuminating Co</w:t>
      </w:r>
      <w:r w:rsidRPr="003E02E6">
        <w:rPr>
          <w:rFonts w:ascii="Times New Roman" w:hAnsi="Times New Roman"/>
          <w:sz w:val="24"/>
          <w:szCs w:val="24"/>
        </w:rPr>
        <w:t xml:space="preserve">., </w:t>
      </w:r>
    </w:p>
    <w:p w:rsidR="00F54CE7" w:rsidRPr="003E02E6" w:rsidRDefault="00F54CE7" w:rsidP="00F54CE7">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246 P.U.R. 4</w:t>
      </w:r>
      <w:r w:rsidRPr="003E02E6">
        <w:rPr>
          <w:rFonts w:ascii="Times New Roman" w:hAnsi="Times New Roman"/>
          <w:sz w:val="24"/>
          <w:szCs w:val="24"/>
          <w:vertAlign w:val="superscript"/>
        </w:rPr>
        <w:t>th</w:t>
      </w:r>
      <w:r w:rsidRPr="003E02E6">
        <w:rPr>
          <w:rFonts w:ascii="Times New Roman" w:hAnsi="Times New Roman"/>
          <w:sz w:val="24"/>
          <w:szCs w:val="24"/>
        </w:rPr>
        <w:t xml:space="preserve"> 3</w:t>
      </w:r>
      <w:r w:rsidR="0074118B">
        <w:rPr>
          <w:rFonts w:ascii="Times New Roman" w:hAnsi="Times New Roman"/>
          <w:sz w:val="24"/>
          <w:szCs w:val="24"/>
        </w:rPr>
        <w:t>57</w:t>
      </w:r>
      <w:r>
        <w:rPr>
          <w:rFonts w:ascii="Times New Roman" w:hAnsi="Times New Roman"/>
          <w:sz w:val="24"/>
          <w:szCs w:val="24"/>
        </w:rPr>
        <w:t xml:space="preserve"> (Conn. D.P.U.C. 2006) </w:t>
      </w:r>
      <w:r>
        <w:rPr>
          <w:rFonts w:ascii="Times New Roman" w:hAnsi="Times New Roman"/>
          <w:sz w:val="24"/>
          <w:szCs w:val="24"/>
        </w:rPr>
        <w:tab/>
      </w:r>
      <w:r w:rsidR="0074118B">
        <w:rPr>
          <w:rFonts w:ascii="Times New Roman" w:hAnsi="Times New Roman"/>
          <w:sz w:val="24"/>
          <w:szCs w:val="24"/>
        </w:rPr>
        <w:t>23</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i/>
          <w:iCs/>
          <w:sz w:val="24"/>
          <w:szCs w:val="24"/>
        </w:rPr>
      </w:pPr>
      <w:r w:rsidRPr="003E02E6">
        <w:rPr>
          <w:rFonts w:ascii="Times New Roman" w:hAnsi="Times New Roman"/>
          <w:i/>
          <w:iCs/>
          <w:sz w:val="24"/>
          <w:szCs w:val="24"/>
        </w:rPr>
        <w:t xml:space="preserve">Re CenterPoint Arkla, a Division of CenterPoint Energy Resources Corp.,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245 P.U.R. 4th 384 (Ark. P.S.C. 2005)</w:t>
      </w:r>
      <w:r w:rsidR="00777353">
        <w:rPr>
          <w:rFonts w:ascii="Times New Roman" w:hAnsi="Times New Roman"/>
          <w:sz w:val="24"/>
          <w:szCs w:val="24"/>
        </w:rPr>
        <w:t xml:space="preserve"> </w:t>
      </w:r>
      <w:r w:rsidR="00777353">
        <w:rPr>
          <w:rFonts w:ascii="Times New Roman" w:hAnsi="Times New Roman"/>
          <w:sz w:val="24"/>
          <w:szCs w:val="24"/>
        </w:rPr>
        <w:tab/>
      </w:r>
      <w:r w:rsidR="0074118B">
        <w:rPr>
          <w:rFonts w:ascii="Times New Roman" w:hAnsi="Times New Roman"/>
          <w:sz w:val="24"/>
          <w:szCs w:val="24"/>
        </w:rPr>
        <w:t>23</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In the Matter of the Joint Application of Puget Holdings LLC and Puget Sound Energy, Inc.,</w:t>
      </w:r>
      <w:r w:rsidRPr="003E02E6">
        <w:rPr>
          <w:rFonts w:ascii="Times New Roman" w:hAnsi="Times New Roman"/>
          <w:sz w:val="24"/>
          <w:szCs w:val="24"/>
        </w:rPr>
        <w:t xml:space="preserve"> </w:t>
      </w:r>
    </w:p>
    <w:p w:rsidR="00F54CE7" w:rsidRPr="003E02E6" w:rsidRDefault="00F54CE7" w:rsidP="00777353">
      <w:pPr>
        <w:tabs>
          <w:tab w:val="left" w:pos="720"/>
          <w:tab w:val="left" w:pos="1440"/>
          <w:tab w:val="left" w:pos="2160"/>
          <w:tab w:val="left" w:pos="2880"/>
          <w:tab w:val="left" w:pos="3600"/>
          <w:tab w:val="right" w:leader="dot" w:pos="9000"/>
        </w:tabs>
        <w:rPr>
          <w:rFonts w:ascii="Times New Roman" w:hAnsi="Times New Roman"/>
          <w:sz w:val="24"/>
          <w:szCs w:val="24"/>
        </w:rPr>
      </w:pPr>
      <w:r>
        <w:rPr>
          <w:rFonts w:ascii="Times New Roman" w:hAnsi="Times New Roman"/>
          <w:sz w:val="24"/>
          <w:szCs w:val="24"/>
        </w:rPr>
        <w:tab/>
      </w:r>
      <w:r w:rsidRPr="003E02E6">
        <w:rPr>
          <w:rFonts w:ascii="Times New Roman" w:hAnsi="Times New Roman"/>
          <w:sz w:val="24"/>
          <w:szCs w:val="24"/>
        </w:rPr>
        <w:t>Docket U-072375, Order 08 (December</w:t>
      </w:r>
      <w:r w:rsidR="00CA50A2">
        <w:rPr>
          <w:rFonts w:ascii="Times New Roman" w:hAnsi="Times New Roman"/>
          <w:sz w:val="24"/>
          <w:szCs w:val="24"/>
        </w:rPr>
        <w:t xml:space="preserve"> 30, 2008)</w:t>
      </w:r>
      <w:r w:rsidR="00777353">
        <w:rPr>
          <w:rFonts w:ascii="Times New Roman" w:hAnsi="Times New Roman"/>
          <w:sz w:val="24"/>
          <w:szCs w:val="24"/>
        </w:rPr>
        <w:t xml:space="preserve"> </w:t>
      </w:r>
      <w:r w:rsidR="00777353">
        <w:rPr>
          <w:rFonts w:ascii="Times New Roman" w:hAnsi="Times New Roman"/>
          <w:sz w:val="24"/>
          <w:szCs w:val="24"/>
        </w:rPr>
        <w:tab/>
      </w:r>
      <w:r w:rsidR="0074118B">
        <w:rPr>
          <w:rFonts w:ascii="Times New Roman" w:hAnsi="Times New Roman"/>
          <w:sz w:val="24"/>
          <w:szCs w:val="24"/>
        </w:rPr>
        <w:t>1, 21</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WUTC v. Avista Corporation, d/b/a Avista Util</w:t>
      </w:r>
      <w:r w:rsidR="00777353">
        <w:rPr>
          <w:rFonts w:ascii="Times New Roman" w:hAnsi="Times New Roman"/>
          <w:i/>
          <w:sz w:val="24"/>
          <w:szCs w:val="24"/>
        </w:rPr>
        <w:t>i</w:t>
      </w:r>
      <w:r w:rsidRPr="003E02E6">
        <w:rPr>
          <w:rFonts w:ascii="Times New Roman" w:hAnsi="Times New Roman"/>
          <w:i/>
          <w:sz w:val="24"/>
          <w:szCs w:val="24"/>
        </w:rPr>
        <w:t>ties</w:t>
      </w:r>
      <w:r w:rsidRPr="003E02E6">
        <w:rPr>
          <w:rFonts w:ascii="Times New Roman" w:hAnsi="Times New Roman"/>
          <w:sz w:val="24"/>
          <w:szCs w:val="24"/>
        </w:rPr>
        <w:t>,</w:t>
      </w:r>
    </w:p>
    <w:p w:rsidR="0074118B" w:rsidRDefault="00F54CE7" w:rsidP="00EA0762">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 xml:space="preserve">Dockets UE-090134 and UG-090135, Order 10 </w:t>
      </w:r>
    </w:p>
    <w:p w:rsidR="00F54CE7" w:rsidRPr="003E02E6" w:rsidRDefault="00F54CE7" w:rsidP="0074118B">
      <w:pPr>
        <w:tabs>
          <w:tab w:val="left" w:pos="720"/>
          <w:tab w:val="left" w:pos="1440"/>
          <w:tab w:val="left" w:pos="2160"/>
          <w:tab w:val="right" w:leader="dot" w:pos="9000"/>
        </w:tabs>
        <w:ind w:firstLine="720"/>
        <w:rPr>
          <w:rFonts w:ascii="Times New Roman" w:hAnsi="Times New Roman"/>
          <w:sz w:val="24"/>
          <w:szCs w:val="24"/>
        </w:rPr>
      </w:pPr>
      <w:r w:rsidRPr="003E02E6">
        <w:rPr>
          <w:rFonts w:ascii="Times New Roman" w:hAnsi="Times New Roman"/>
          <w:sz w:val="24"/>
          <w:szCs w:val="24"/>
        </w:rPr>
        <w:t xml:space="preserve">(December 22, 2009) </w:t>
      </w:r>
      <w:r w:rsidR="00777353">
        <w:rPr>
          <w:rFonts w:ascii="Times New Roman" w:hAnsi="Times New Roman"/>
          <w:sz w:val="24"/>
          <w:szCs w:val="24"/>
        </w:rPr>
        <w:tab/>
      </w:r>
      <w:r w:rsidR="0074118B">
        <w:rPr>
          <w:rFonts w:ascii="Times New Roman" w:hAnsi="Times New Roman"/>
          <w:sz w:val="24"/>
          <w:szCs w:val="24"/>
        </w:rPr>
        <w:t>1, 4, 15-17, 19, 21-24, 44</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WUTC v. PacifiCorp, d/b/a Pacific Power &amp; Light Co</w:t>
      </w:r>
      <w:r w:rsidRPr="003E02E6">
        <w:rPr>
          <w:rFonts w:ascii="Times New Roman" w:hAnsi="Times New Roman"/>
          <w:sz w:val="24"/>
          <w:szCs w:val="24"/>
        </w:rPr>
        <w:t xml:space="preserve">.,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 xml:space="preserve">Docket UE-090205, Order </w:t>
      </w:r>
      <w:r w:rsidR="00777353">
        <w:rPr>
          <w:rFonts w:ascii="Times New Roman" w:hAnsi="Times New Roman"/>
          <w:sz w:val="24"/>
          <w:szCs w:val="24"/>
        </w:rPr>
        <w:t xml:space="preserve">09 (December 16, 2009) </w:t>
      </w:r>
      <w:r w:rsidR="00777353">
        <w:rPr>
          <w:rFonts w:ascii="Times New Roman" w:hAnsi="Times New Roman"/>
          <w:sz w:val="24"/>
          <w:szCs w:val="24"/>
        </w:rPr>
        <w:tab/>
      </w:r>
      <w:r w:rsidR="0074118B">
        <w:rPr>
          <w:rFonts w:ascii="Times New Roman" w:hAnsi="Times New Roman"/>
          <w:sz w:val="24"/>
          <w:szCs w:val="24"/>
        </w:rPr>
        <w:t>4, 46, 49, 51</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iCs/>
          <w:sz w:val="24"/>
          <w:szCs w:val="24"/>
        </w:rPr>
        <w:t>Re Pacific Power &amp; Light Co</w:t>
      </w:r>
      <w:r w:rsidRPr="003E02E6">
        <w:rPr>
          <w:rFonts w:ascii="Times New Roman" w:hAnsi="Times New Roman"/>
          <w:sz w:val="24"/>
          <w:szCs w:val="24"/>
        </w:rPr>
        <w:t xml:space="preserve">.,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Cause Nos. U-82-12 and U-82-35, 4</w:t>
      </w:r>
      <w:r w:rsidRPr="003E02E6">
        <w:rPr>
          <w:rFonts w:ascii="Times New Roman" w:hAnsi="Times New Roman"/>
          <w:sz w:val="24"/>
          <w:szCs w:val="24"/>
          <w:vertAlign w:val="superscript"/>
        </w:rPr>
        <w:t>th</w:t>
      </w:r>
      <w:r w:rsidRPr="003E02E6">
        <w:rPr>
          <w:rFonts w:ascii="Times New Roman" w:hAnsi="Times New Roman"/>
          <w:sz w:val="24"/>
          <w:szCs w:val="24"/>
        </w:rPr>
        <w:t xml:space="preserve"> Supp. Order (</w:t>
      </w:r>
      <w:r w:rsidR="001F3967">
        <w:rPr>
          <w:rFonts w:ascii="Times New Roman" w:hAnsi="Times New Roman"/>
          <w:sz w:val="24"/>
          <w:szCs w:val="24"/>
        </w:rPr>
        <w:t xml:space="preserve">February 1, </w:t>
      </w:r>
      <w:r w:rsidRPr="003E02E6">
        <w:rPr>
          <w:rFonts w:ascii="Times New Roman" w:hAnsi="Times New Roman"/>
          <w:sz w:val="24"/>
          <w:szCs w:val="24"/>
        </w:rPr>
        <w:t>1983)</w:t>
      </w:r>
      <w:r w:rsidR="00777353">
        <w:rPr>
          <w:rFonts w:ascii="Times New Roman" w:hAnsi="Times New Roman"/>
          <w:sz w:val="24"/>
          <w:szCs w:val="24"/>
        </w:rPr>
        <w:t xml:space="preserve"> </w:t>
      </w:r>
      <w:r w:rsidR="00777353">
        <w:rPr>
          <w:rFonts w:ascii="Times New Roman" w:hAnsi="Times New Roman"/>
          <w:sz w:val="24"/>
          <w:szCs w:val="24"/>
        </w:rPr>
        <w:tab/>
      </w:r>
      <w:r w:rsidR="0074118B">
        <w:rPr>
          <w:rFonts w:ascii="Times New Roman" w:hAnsi="Times New Roman"/>
          <w:sz w:val="24"/>
          <w:szCs w:val="24"/>
        </w:rPr>
        <w:t>29</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iCs/>
          <w:sz w:val="24"/>
          <w:szCs w:val="24"/>
        </w:rPr>
        <w:t>Re Puget Sound Power &amp; Light Co</w:t>
      </w:r>
      <w:r w:rsidRPr="003E02E6">
        <w:rPr>
          <w:rFonts w:ascii="Times New Roman" w:hAnsi="Times New Roman"/>
          <w:sz w:val="24"/>
          <w:szCs w:val="24"/>
        </w:rPr>
        <w:t xml:space="preserve">., </w:t>
      </w:r>
    </w:p>
    <w:p w:rsidR="001F3967"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 xml:space="preserve">Dockets UE-920433, 920499 and 921262,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11</w:t>
      </w:r>
      <w:r w:rsidRPr="003E02E6">
        <w:rPr>
          <w:rFonts w:ascii="Times New Roman" w:hAnsi="Times New Roman"/>
          <w:sz w:val="24"/>
          <w:szCs w:val="24"/>
          <w:vertAlign w:val="superscript"/>
        </w:rPr>
        <w:t>th</w:t>
      </w:r>
      <w:r w:rsidRPr="003E02E6">
        <w:rPr>
          <w:rFonts w:ascii="Times New Roman" w:hAnsi="Times New Roman"/>
          <w:sz w:val="24"/>
          <w:szCs w:val="24"/>
        </w:rPr>
        <w:t xml:space="preserve"> Supp. Order (</w:t>
      </w:r>
      <w:r w:rsidR="001F3967">
        <w:rPr>
          <w:rFonts w:ascii="Times New Roman" w:hAnsi="Times New Roman"/>
          <w:sz w:val="24"/>
          <w:szCs w:val="24"/>
        </w:rPr>
        <w:t xml:space="preserve">September 21, </w:t>
      </w:r>
      <w:r w:rsidRPr="003E02E6">
        <w:rPr>
          <w:rFonts w:ascii="Times New Roman" w:hAnsi="Times New Roman"/>
          <w:sz w:val="24"/>
          <w:szCs w:val="24"/>
        </w:rPr>
        <w:t xml:space="preserve">1993) </w:t>
      </w:r>
      <w:r w:rsidR="00777353">
        <w:rPr>
          <w:rFonts w:ascii="Times New Roman" w:hAnsi="Times New Roman"/>
          <w:sz w:val="24"/>
          <w:szCs w:val="24"/>
        </w:rPr>
        <w:tab/>
      </w:r>
      <w:r w:rsidR="0074118B">
        <w:rPr>
          <w:rFonts w:ascii="Times New Roman" w:hAnsi="Times New Roman"/>
          <w:sz w:val="24"/>
          <w:szCs w:val="24"/>
        </w:rPr>
        <w:t>29</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i/>
          <w:sz w:val="24"/>
          <w:szCs w:val="24"/>
        </w:rPr>
      </w:pPr>
      <w:r w:rsidRPr="003E02E6">
        <w:rPr>
          <w:rFonts w:ascii="Times New Roman" w:hAnsi="Times New Roman"/>
          <w:i/>
          <w:sz w:val="24"/>
          <w:szCs w:val="24"/>
        </w:rPr>
        <w:t xml:space="preserve">WUTC v. Puget Sound Power &amp; Light Co., </w:t>
      </w:r>
    </w:p>
    <w:p w:rsidR="0074118B"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Docket</w:t>
      </w:r>
      <w:r w:rsidR="00CA50A2">
        <w:rPr>
          <w:rFonts w:ascii="Times New Roman" w:hAnsi="Times New Roman"/>
          <w:sz w:val="24"/>
          <w:szCs w:val="24"/>
        </w:rPr>
        <w:t>s</w:t>
      </w:r>
      <w:r w:rsidRPr="003E02E6">
        <w:rPr>
          <w:rFonts w:ascii="Times New Roman" w:hAnsi="Times New Roman"/>
          <w:sz w:val="24"/>
          <w:szCs w:val="24"/>
        </w:rPr>
        <w:t xml:space="preserve"> </w:t>
      </w:r>
      <w:r w:rsidR="00CA50A2" w:rsidRPr="003E02E6">
        <w:rPr>
          <w:rFonts w:ascii="Times New Roman" w:hAnsi="Times New Roman"/>
          <w:sz w:val="24"/>
          <w:szCs w:val="24"/>
        </w:rPr>
        <w:t xml:space="preserve">UE-920433, 920499 and </w:t>
      </w:r>
      <w:r w:rsidRPr="003E02E6">
        <w:rPr>
          <w:rFonts w:ascii="Times New Roman" w:hAnsi="Times New Roman"/>
          <w:sz w:val="24"/>
          <w:szCs w:val="24"/>
        </w:rPr>
        <w:t>UE-921262</w:t>
      </w:r>
      <w:r w:rsidRPr="003E02E6">
        <w:rPr>
          <w:rFonts w:ascii="Times New Roman" w:hAnsi="Times New Roman"/>
          <w:i/>
          <w:sz w:val="24"/>
          <w:szCs w:val="24"/>
        </w:rPr>
        <w:t>, et al.,</w:t>
      </w:r>
      <w:r w:rsidRPr="003E02E6">
        <w:rPr>
          <w:rFonts w:ascii="Times New Roman" w:hAnsi="Times New Roman"/>
          <w:sz w:val="24"/>
          <w:szCs w:val="24"/>
        </w:rPr>
        <w:t xml:space="preserve"> </w:t>
      </w:r>
    </w:p>
    <w:p w:rsidR="00F54CE7" w:rsidRPr="003E02E6" w:rsidRDefault="00F54CE7" w:rsidP="0074118B">
      <w:pPr>
        <w:tabs>
          <w:tab w:val="left" w:pos="720"/>
          <w:tab w:val="left" w:pos="1440"/>
          <w:tab w:val="left" w:pos="2160"/>
          <w:tab w:val="left" w:pos="2880"/>
          <w:tab w:val="right" w:leader="dot" w:pos="9000"/>
        </w:tabs>
        <w:ind w:firstLine="720"/>
        <w:rPr>
          <w:rFonts w:ascii="Times New Roman" w:hAnsi="Times New Roman"/>
          <w:sz w:val="24"/>
          <w:szCs w:val="24"/>
        </w:rPr>
      </w:pPr>
      <w:r w:rsidRPr="003E02E6">
        <w:rPr>
          <w:rFonts w:ascii="Times New Roman" w:hAnsi="Times New Roman"/>
          <w:sz w:val="24"/>
          <w:szCs w:val="24"/>
        </w:rPr>
        <w:t>1</w:t>
      </w:r>
      <w:r w:rsidR="00CA50A2">
        <w:rPr>
          <w:rFonts w:ascii="Times New Roman" w:hAnsi="Times New Roman"/>
          <w:sz w:val="24"/>
          <w:szCs w:val="24"/>
        </w:rPr>
        <w:t>9th Suppl. Order (</w:t>
      </w:r>
      <w:r w:rsidR="0074118B">
        <w:rPr>
          <w:rFonts w:ascii="Times New Roman" w:hAnsi="Times New Roman"/>
          <w:sz w:val="24"/>
          <w:szCs w:val="24"/>
        </w:rPr>
        <w:t xml:space="preserve">September 27, </w:t>
      </w:r>
      <w:r w:rsidRPr="003E02E6">
        <w:rPr>
          <w:rFonts w:ascii="Times New Roman" w:hAnsi="Times New Roman"/>
          <w:sz w:val="24"/>
          <w:szCs w:val="24"/>
        </w:rPr>
        <w:t>199</w:t>
      </w:r>
      <w:r w:rsidR="00777353">
        <w:rPr>
          <w:rFonts w:ascii="Times New Roman" w:hAnsi="Times New Roman"/>
          <w:sz w:val="24"/>
          <w:szCs w:val="24"/>
        </w:rPr>
        <w:t xml:space="preserve">4) </w:t>
      </w:r>
      <w:r w:rsidR="00777353">
        <w:rPr>
          <w:rFonts w:ascii="Times New Roman" w:hAnsi="Times New Roman"/>
          <w:sz w:val="24"/>
          <w:szCs w:val="24"/>
        </w:rPr>
        <w:tab/>
      </w:r>
      <w:r w:rsidR="0074118B">
        <w:rPr>
          <w:rFonts w:ascii="Times New Roman" w:hAnsi="Times New Roman"/>
          <w:sz w:val="24"/>
          <w:szCs w:val="24"/>
        </w:rPr>
        <w:t>46</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Pr>
          <w:rFonts w:ascii="Times New Roman" w:hAnsi="Times New Roman"/>
          <w:i/>
          <w:sz w:val="24"/>
          <w:szCs w:val="24"/>
        </w:rPr>
        <w:t xml:space="preserve">In </w:t>
      </w:r>
      <w:r w:rsidRPr="003E02E6">
        <w:rPr>
          <w:rFonts w:ascii="Times New Roman" w:hAnsi="Times New Roman"/>
          <w:i/>
          <w:sz w:val="24"/>
          <w:szCs w:val="24"/>
        </w:rPr>
        <w:t>the Matter of the Petition of Puget Sound Energy, Inc</w:t>
      </w:r>
      <w:r w:rsidRPr="003E02E6">
        <w:rPr>
          <w:rFonts w:ascii="Times New Roman" w:hAnsi="Times New Roman"/>
          <w:sz w:val="24"/>
          <w:szCs w:val="24"/>
        </w:rPr>
        <w:t xml:space="preserve">., </w:t>
      </w:r>
    </w:p>
    <w:p w:rsidR="00F54CE7" w:rsidRPr="003E02E6" w:rsidRDefault="00777353"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Pr>
          <w:rFonts w:ascii="Times New Roman" w:hAnsi="Times New Roman"/>
          <w:sz w:val="24"/>
          <w:szCs w:val="24"/>
        </w:rPr>
        <w:t>Docket UE-031389, Order 04</w:t>
      </w:r>
      <w:r w:rsidR="00F54CE7" w:rsidRPr="003E02E6">
        <w:rPr>
          <w:rFonts w:ascii="Times New Roman" w:hAnsi="Times New Roman"/>
          <w:sz w:val="24"/>
          <w:szCs w:val="24"/>
        </w:rPr>
        <w:t xml:space="preserve"> </w:t>
      </w:r>
      <w:r>
        <w:rPr>
          <w:rFonts w:ascii="Times New Roman" w:hAnsi="Times New Roman"/>
          <w:sz w:val="24"/>
          <w:szCs w:val="24"/>
        </w:rPr>
        <w:t xml:space="preserve">(January 14, 2004) </w:t>
      </w:r>
      <w:r>
        <w:rPr>
          <w:rFonts w:ascii="Times New Roman" w:hAnsi="Times New Roman"/>
          <w:sz w:val="24"/>
          <w:szCs w:val="24"/>
        </w:rPr>
        <w:tab/>
      </w:r>
      <w:r w:rsidR="0074118B">
        <w:rPr>
          <w:rFonts w:ascii="Times New Roman" w:hAnsi="Times New Roman"/>
          <w:sz w:val="24"/>
          <w:szCs w:val="24"/>
        </w:rPr>
        <w:t>36</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WUTC v. Puget Sound Energy, Inc.,</w:t>
      </w:r>
      <w:r w:rsidRPr="003E02E6">
        <w:rPr>
          <w:rFonts w:ascii="Times New Roman" w:hAnsi="Times New Roman"/>
          <w:sz w:val="24"/>
          <w:szCs w:val="24"/>
        </w:rPr>
        <w:t xml:space="preserve">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Docket UE-031725, Ord</w:t>
      </w:r>
      <w:r w:rsidR="00777353">
        <w:rPr>
          <w:rFonts w:ascii="Times New Roman" w:hAnsi="Times New Roman"/>
          <w:sz w:val="24"/>
          <w:szCs w:val="24"/>
        </w:rPr>
        <w:t xml:space="preserve">er 12 (April 7, 2004) </w:t>
      </w:r>
      <w:r w:rsidR="00777353">
        <w:rPr>
          <w:rFonts w:ascii="Times New Roman" w:hAnsi="Times New Roman"/>
          <w:sz w:val="24"/>
          <w:szCs w:val="24"/>
        </w:rPr>
        <w:tab/>
      </w:r>
      <w:r w:rsidR="0074118B">
        <w:rPr>
          <w:rFonts w:ascii="Times New Roman" w:hAnsi="Times New Roman"/>
          <w:sz w:val="24"/>
          <w:szCs w:val="24"/>
        </w:rPr>
        <w:t>46</w:t>
      </w:r>
    </w:p>
    <w:p w:rsidR="00F54CE7" w:rsidRPr="003E02E6" w:rsidRDefault="00F54CE7" w:rsidP="00F54CE7">
      <w:pPr>
        <w:rPr>
          <w:rFonts w:ascii="Times New Roman" w:hAnsi="Times New Roman"/>
          <w:sz w:val="24"/>
          <w:szCs w:val="24"/>
        </w:rPr>
      </w:pPr>
    </w:p>
    <w:p w:rsidR="00F54CE7" w:rsidRDefault="00F54CE7" w:rsidP="00777353">
      <w:pPr>
        <w:keepNext/>
        <w:rPr>
          <w:rFonts w:ascii="Times New Roman" w:hAnsi="Times New Roman"/>
          <w:i/>
          <w:sz w:val="24"/>
          <w:szCs w:val="24"/>
        </w:rPr>
      </w:pPr>
      <w:r w:rsidRPr="003E02E6">
        <w:rPr>
          <w:rFonts w:ascii="Times New Roman" w:hAnsi="Times New Roman"/>
          <w:i/>
          <w:sz w:val="24"/>
          <w:szCs w:val="24"/>
        </w:rPr>
        <w:t>In the Matter of the Petition</w:t>
      </w:r>
      <w:r w:rsidR="00B979F7">
        <w:rPr>
          <w:rFonts w:ascii="Times New Roman" w:hAnsi="Times New Roman"/>
          <w:i/>
          <w:sz w:val="24"/>
          <w:szCs w:val="24"/>
        </w:rPr>
        <w:t xml:space="preserve"> of Puget Sound Energy, Inc.,</w:t>
      </w:r>
    </w:p>
    <w:p w:rsidR="00F54CE7" w:rsidRPr="003E02E6" w:rsidRDefault="00777353"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Pr>
          <w:rFonts w:ascii="Times New Roman" w:hAnsi="Times New Roman"/>
          <w:sz w:val="24"/>
          <w:szCs w:val="24"/>
        </w:rPr>
        <w:t xml:space="preserve">Docket UE-032043, Order 06 (February 18, 2005) </w:t>
      </w:r>
      <w:r>
        <w:rPr>
          <w:rFonts w:ascii="Times New Roman" w:hAnsi="Times New Roman"/>
          <w:sz w:val="24"/>
          <w:szCs w:val="24"/>
        </w:rPr>
        <w:tab/>
      </w:r>
      <w:r w:rsidR="0074118B">
        <w:rPr>
          <w:rFonts w:ascii="Times New Roman" w:hAnsi="Times New Roman"/>
          <w:sz w:val="24"/>
          <w:szCs w:val="24"/>
        </w:rPr>
        <w:t>38</w:t>
      </w:r>
    </w:p>
    <w:p w:rsidR="00F54CE7" w:rsidRPr="003E02E6" w:rsidRDefault="00F54CE7" w:rsidP="00F54CE7">
      <w:pPr>
        <w:rPr>
          <w:rFonts w:ascii="Times New Roman" w:hAnsi="Times New Roman"/>
          <w:sz w:val="24"/>
          <w:szCs w:val="24"/>
        </w:rPr>
      </w:pPr>
    </w:p>
    <w:p w:rsidR="00F54CE7" w:rsidRDefault="00F54CE7" w:rsidP="006A6034">
      <w:pPr>
        <w:keepNext/>
        <w:rPr>
          <w:rFonts w:ascii="Times New Roman" w:hAnsi="Times New Roman"/>
          <w:sz w:val="24"/>
          <w:szCs w:val="24"/>
        </w:rPr>
      </w:pPr>
      <w:r w:rsidRPr="003E02E6">
        <w:rPr>
          <w:rFonts w:ascii="Times New Roman" w:hAnsi="Times New Roman"/>
          <w:i/>
          <w:sz w:val="24"/>
          <w:szCs w:val="24"/>
        </w:rPr>
        <w:t>WUTC v. Puget Sound Energy, Inc.</w:t>
      </w:r>
      <w:r w:rsidRPr="003E02E6">
        <w:rPr>
          <w:rFonts w:ascii="Times New Roman" w:hAnsi="Times New Roman"/>
          <w:sz w:val="24"/>
          <w:szCs w:val="24"/>
        </w:rPr>
        <w:t xml:space="preserve">,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Dockets UE-040641</w:t>
      </w:r>
      <w:r>
        <w:rPr>
          <w:rFonts w:ascii="Times New Roman" w:hAnsi="Times New Roman"/>
          <w:sz w:val="24"/>
          <w:szCs w:val="24"/>
        </w:rPr>
        <w:t xml:space="preserve"> and UG-040640, Order 06 </w:t>
      </w:r>
      <w:r w:rsidR="00777353">
        <w:rPr>
          <w:rFonts w:ascii="Times New Roman" w:hAnsi="Times New Roman"/>
          <w:sz w:val="24"/>
          <w:szCs w:val="24"/>
        </w:rPr>
        <w:t xml:space="preserve">(February 18, 2007) </w:t>
      </w:r>
      <w:r w:rsidR="00777353">
        <w:rPr>
          <w:rFonts w:ascii="Times New Roman" w:hAnsi="Times New Roman"/>
          <w:sz w:val="24"/>
          <w:szCs w:val="24"/>
        </w:rPr>
        <w:tab/>
      </w:r>
      <w:r w:rsidR="00C7320E">
        <w:rPr>
          <w:rFonts w:ascii="Times New Roman" w:hAnsi="Times New Roman"/>
          <w:sz w:val="24"/>
          <w:szCs w:val="24"/>
        </w:rPr>
        <w:t>4, 9, 26, 27</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i/>
          <w:sz w:val="24"/>
          <w:szCs w:val="24"/>
        </w:rPr>
      </w:pPr>
      <w:r w:rsidRPr="003E02E6">
        <w:rPr>
          <w:rFonts w:ascii="Times New Roman" w:hAnsi="Times New Roman"/>
          <w:i/>
          <w:sz w:val="24"/>
          <w:szCs w:val="24"/>
        </w:rPr>
        <w:t>In the Matter of the Petition of Puget Sound Energy,</w:t>
      </w:r>
      <w:r w:rsidR="00B979F7">
        <w:rPr>
          <w:rFonts w:ascii="Times New Roman" w:hAnsi="Times New Roman"/>
          <w:i/>
          <w:sz w:val="24"/>
          <w:szCs w:val="24"/>
        </w:rPr>
        <w:t xml:space="preserve"> Inc.,</w:t>
      </w:r>
      <w:r w:rsidRPr="003E02E6">
        <w:rPr>
          <w:rFonts w:ascii="Times New Roman" w:hAnsi="Times New Roman"/>
          <w:i/>
          <w:sz w:val="24"/>
          <w:szCs w:val="24"/>
        </w:rPr>
        <w:t xml:space="preserve">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Dockets UE-051527 and UG-051528, Order No. 01 (October 26, 2005)</w:t>
      </w:r>
      <w:r w:rsidR="00777353">
        <w:rPr>
          <w:rFonts w:ascii="Times New Roman" w:hAnsi="Times New Roman"/>
          <w:sz w:val="24"/>
          <w:szCs w:val="24"/>
        </w:rPr>
        <w:t xml:space="preserve"> </w:t>
      </w:r>
      <w:r w:rsidR="00777353">
        <w:rPr>
          <w:rFonts w:ascii="Times New Roman" w:hAnsi="Times New Roman"/>
          <w:sz w:val="24"/>
          <w:szCs w:val="24"/>
        </w:rPr>
        <w:tab/>
      </w:r>
      <w:r w:rsidR="00C7320E">
        <w:rPr>
          <w:rFonts w:ascii="Times New Roman" w:hAnsi="Times New Roman"/>
          <w:sz w:val="24"/>
          <w:szCs w:val="24"/>
        </w:rPr>
        <w:t>27</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WUTC v. Puget Sound Energy, Inc</w:t>
      </w:r>
      <w:r w:rsidRPr="003E02E6">
        <w:rPr>
          <w:rFonts w:ascii="Times New Roman" w:hAnsi="Times New Roman"/>
          <w:sz w:val="24"/>
          <w:szCs w:val="24"/>
        </w:rPr>
        <w:t xml:space="preserve">.,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Dockets UE-060266</w:t>
      </w:r>
      <w:r>
        <w:rPr>
          <w:rFonts w:ascii="Times New Roman" w:hAnsi="Times New Roman"/>
          <w:sz w:val="24"/>
          <w:szCs w:val="24"/>
        </w:rPr>
        <w:t xml:space="preserve"> and UG-060267, Order 08 </w:t>
      </w:r>
      <w:r w:rsidRPr="003E02E6">
        <w:rPr>
          <w:rFonts w:ascii="Times New Roman" w:hAnsi="Times New Roman"/>
          <w:sz w:val="24"/>
          <w:szCs w:val="24"/>
        </w:rPr>
        <w:t>(January 5, 2007)</w:t>
      </w:r>
      <w:r w:rsidR="00777353">
        <w:rPr>
          <w:rFonts w:ascii="Times New Roman" w:hAnsi="Times New Roman"/>
          <w:sz w:val="24"/>
          <w:szCs w:val="24"/>
        </w:rPr>
        <w:t xml:space="preserve"> </w:t>
      </w:r>
      <w:r w:rsidR="00777353">
        <w:rPr>
          <w:rFonts w:ascii="Times New Roman" w:hAnsi="Times New Roman"/>
          <w:sz w:val="24"/>
          <w:szCs w:val="24"/>
        </w:rPr>
        <w:tab/>
      </w:r>
      <w:r w:rsidR="00C7320E">
        <w:rPr>
          <w:rFonts w:ascii="Times New Roman" w:hAnsi="Times New Roman"/>
          <w:sz w:val="24"/>
          <w:szCs w:val="24"/>
        </w:rPr>
        <w:t>4, 27</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WUTC v. Puget Sound Energy, Inc.</w:t>
      </w:r>
      <w:r w:rsidRPr="003E02E6">
        <w:rPr>
          <w:rFonts w:ascii="Times New Roman" w:hAnsi="Times New Roman"/>
          <w:sz w:val="24"/>
          <w:szCs w:val="24"/>
        </w:rPr>
        <w:t xml:space="preserve">,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Dockets UE-072300</w:t>
      </w:r>
      <w:r>
        <w:rPr>
          <w:rFonts w:ascii="Times New Roman" w:hAnsi="Times New Roman"/>
          <w:sz w:val="24"/>
          <w:szCs w:val="24"/>
        </w:rPr>
        <w:t xml:space="preserve"> and UG-072301, Order 12</w:t>
      </w:r>
      <w:r w:rsidR="00777353">
        <w:rPr>
          <w:rFonts w:ascii="Times New Roman" w:hAnsi="Times New Roman"/>
          <w:sz w:val="24"/>
          <w:szCs w:val="24"/>
        </w:rPr>
        <w:t xml:space="preserve"> (October 8, 2008) </w:t>
      </w:r>
      <w:r w:rsidR="00777353">
        <w:rPr>
          <w:rFonts w:ascii="Times New Roman" w:hAnsi="Times New Roman"/>
          <w:sz w:val="24"/>
          <w:szCs w:val="24"/>
        </w:rPr>
        <w:tab/>
      </w:r>
      <w:r w:rsidR="00C7320E">
        <w:rPr>
          <w:rFonts w:ascii="Times New Roman" w:hAnsi="Times New Roman"/>
          <w:sz w:val="24"/>
          <w:szCs w:val="24"/>
        </w:rPr>
        <w:t>4</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WUTC v. Puget Sound Energy, Inc</w:t>
      </w:r>
      <w:r w:rsidRPr="003E02E6">
        <w:rPr>
          <w:rFonts w:ascii="Times New Roman" w:hAnsi="Times New Roman"/>
          <w:sz w:val="24"/>
          <w:szCs w:val="24"/>
        </w:rPr>
        <w:t xml:space="preserve">.,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Dockets UE-072300 and UG-0723</w:t>
      </w:r>
      <w:r w:rsidR="00777353">
        <w:rPr>
          <w:rFonts w:ascii="Times New Roman" w:hAnsi="Times New Roman"/>
          <w:sz w:val="24"/>
          <w:szCs w:val="24"/>
        </w:rPr>
        <w:t xml:space="preserve">01, Order 13 (January 15, 2009) </w:t>
      </w:r>
      <w:r w:rsidR="00777353">
        <w:rPr>
          <w:rFonts w:ascii="Times New Roman" w:hAnsi="Times New Roman"/>
          <w:sz w:val="24"/>
          <w:szCs w:val="24"/>
        </w:rPr>
        <w:tab/>
      </w:r>
      <w:r w:rsidR="00C7320E">
        <w:rPr>
          <w:rFonts w:ascii="Times New Roman" w:hAnsi="Times New Roman"/>
          <w:sz w:val="24"/>
          <w:szCs w:val="24"/>
        </w:rPr>
        <w:t>41</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i/>
          <w:sz w:val="24"/>
          <w:szCs w:val="24"/>
        </w:rPr>
      </w:pPr>
      <w:r w:rsidRPr="003E02E6">
        <w:rPr>
          <w:rFonts w:ascii="Times New Roman" w:hAnsi="Times New Roman"/>
          <w:i/>
          <w:sz w:val="24"/>
          <w:szCs w:val="24"/>
        </w:rPr>
        <w:t xml:space="preserve">In the Matter of the Application of Puget Sound Energy, Inc., </w:t>
      </w:r>
    </w:p>
    <w:p w:rsidR="00F54CE7" w:rsidRPr="003E02E6" w:rsidRDefault="00F54CE7"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sidRPr="003E02E6">
        <w:rPr>
          <w:rFonts w:ascii="Times New Roman" w:hAnsi="Times New Roman"/>
          <w:sz w:val="24"/>
          <w:szCs w:val="24"/>
        </w:rPr>
        <w:t>Docket UE-090399,</w:t>
      </w:r>
      <w:r w:rsidR="00777353">
        <w:rPr>
          <w:rFonts w:ascii="Times New Roman" w:hAnsi="Times New Roman"/>
          <w:sz w:val="24"/>
          <w:szCs w:val="24"/>
        </w:rPr>
        <w:t xml:space="preserve"> Order 01 (May 14, 2009) </w:t>
      </w:r>
      <w:r w:rsidR="00777353">
        <w:rPr>
          <w:rFonts w:ascii="Times New Roman" w:hAnsi="Times New Roman"/>
          <w:sz w:val="24"/>
          <w:szCs w:val="24"/>
        </w:rPr>
        <w:tab/>
      </w:r>
      <w:r w:rsidR="00C7320E">
        <w:rPr>
          <w:rFonts w:ascii="Times New Roman" w:hAnsi="Times New Roman"/>
          <w:sz w:val="24"/>
          <w:szCs w:val="24"/>
        </w:rPr>
        <w:t>38</w:t>
      </w:r>
    </w:p>
    <w:p w:rsidR="00F54CE7" w:rsidRPr="003E02E6" w:rsidRDefault="00F54CE7" w:rsidP="00F54CE7">
      <w:pPr>
        <w:rPr>
          <w:rFonts w:ascii="Times New Roman" w:hAnsi="Times New Roman"/>
          <w:sz w:val="24"/>
          <w:szCs w:val="24"/>
        </w:rPr>
      </w:pPr>
    </w:p>
    <w:p w:rsidR="00F54CE7" w:rsidRDefault="00F54CE7" w:rsidP="00F54CE7">
      <w:pPr>
        <w:rPr>
          <w:rFonts w:ascii="Times New Roman" w:hAnsi="Times New Roman"/>
          <w:sz w:val="24"/>
          <w:szCs w:val="24"/>
        </w:rPr>
      </w:pPr>
      <w:r w:rsidRPr="003E02E6">
        <w:rPr>
          <w:rFonts w:ascii="Times New Roman" w:hAnsi="Times New Roman"/>
          <w:i/>
          <w:sz w:val="24"/>
          <w:szCs w:val="24"/>
        </w:rPr>
        <w:t>WUTC v. Puget Sound Energy, Inc</w:t>
      </w:r>
      <w:r w:rsidRPr="003E02E6">
        <w:rPr>
          <w:rFonts w:ascii="Times New Roman" w:hAnsi="Times New Roman"/>
          <w:sz w:val="24"/>
          <w:szCs w:val="24"/>
        </w:rPr>
        <w:t xml:space="preserve">., </w:t>
      </w:r>
    </w:p>
    <w:p w:rsidR="00F54CE7" w:rsidRPr="003E02E6" w:rsidRDefault="00CA50A2" w:rsidP="00777353">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Pr>
          <w:rFonts w:ascii="Times New Roman" w:hAnsi="Times New Roman"/>
          <w:sz w:val="24"/>
          <w:szCs w:val="24"/>
        </w:rPr>
        <w:t xml:space="preserve">Docket </w:t>
      </w:r>
      <w:r w:rsidR="00F54CE7" w:rsidRPr="003E02E6">
        <w:rPr>
          <w:rFonts w:ascii="Times New Roman" w:hAnsi="Times New Roman"/>
          <w:sz w:val="24"/>
          <w:szCs w:val="24"/>
        </w:rPr>
        <w:t>UG-</w:t>
      </w:r>
      <w:r w:rsidR="00777353">
        <w:rPr>
          <w:rFonts w:ascii="Times New Roman" w:hAnsi="Times New Roman"/>
          <w:sz w:val="24"/>
          <w:szCs w:val="24"/>
        </w:rPr>
        <w:t xml:space="preserve">090705, Order 01 (May 28, 2009) </w:t>
      </w:r>
      <w:r w:rsidR="00777353">
        <w:rPr>
          <w:rFonts w:ascii="Times New Roman" w:hAnsi="Times New Roman"/>
          <w:sz w:val="24"/>
          <w:szCs w:val="24"/>
        </w:rPr>
        <w:tab/>
      </w:r>
      <w:r w:rsidR="00C7320E">
        <w:rPr>
          <w:rFonts w:ascii="Times New Roman" w:hAnsi="Times New Roman"/>
          <w:sz w:val="24"/>
          <w:szCs w:val="24"/>
        </w:rPr>
        <w:t>54</w:t>
      </w:r>
    </w:p>
    <w:p w:rsidR="00F54CE7" w:rsidRDefault="00F54CE7" w:rsidP="00F54CE7">
      <w:pPr>
        <w:rPr>
          <w:rFonts w:ascii="Times New Roman" w:hAnsi="Times New Roman"/>
          <w:sz w:val="24"/>
          <w:szCs w:val="24"/>
        </w:rPr>
      </w:pPr>
    </w:p>
    <w:p w:rsidR="000570C1" w:rsidRPr="003E02E6" w:rsidRDefault="000570C1" w:rsidP="00F54CE7">
      <w:pPr>
        <w:rPr>
          <w:rFonts w:ascii="Times New Roman" w:hAnsi="Times New Roman"/>
          <w:sz w:val="24"/>
          <w:szCs w:val="24"/>
        </w:rPr>
      </w:pPr>
    </w:p>
    <w:p w:rsidR="00F54CE7" w:rsidRPr="00900C1A" w:rsidRDefault="00F54CE7" w:rsidP="00F54CE7">
      <w:pPr>
        <w:jc w:val="center"/>
        <w:rPr>
          <w:rFonts w:ascii="Times New Roman" w:hAnsi="Times New Roman"/>
          <w:b/>
          <w:i/>
          <w:sz w:val="24"/>
          <w:szCs w:val="24"/>
        </w:rPr>
      </w:pPr>
      <w:r w:rsidRPr="00900C1A">
        <w:rPr>
          <w:rFonts w:ascii="Times New Roman" w:hAnsi="Times New Roman"/>
          <w:b/>
          <w:i/>
          <w:sz w:val="24"/>
          <w:szCs w:val="24"/>
        </w:rPr>
        <w:t>Statutes and Rules</w:t>
      </w:r>
    </w:p>
    <w:p w:rsidR="00F54CE7" w:rsidRPr="003E02E6" w:rsidRDefault="00F54CE7" w:rsidP="00F54CE7">
      <w:pPr>
        <w:rPr>
          <w:rFonts w:ascii="Times New Roman" w:hAnsi="Times New Roman"/>
          <w:sz w:val="24"/>
          <w:szCs w:val="24"/>
        </w:rPr>
      </w:pPr>
    </w:p>
    <w:p w:rsidR="006A6034" w:rsidRDefault="00C7320E" w:rsidP="006A6034">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80.28.020 </w:t>
      </w:r>
      <w:r>
        <w:rPr>
          <w:rFonts w:ascii="Times New Roman" w:hAnsi="Times New Roman"/>
          <w:sz w:val="24"/>
          <w:szCs w:val="24"/>
        </w:rPr>
        <w:tab/>
        <w:t>54</w:t>
      </w:r>
    </w:p>
    <w:p w:rsidR="006A6034" w:rsidRDefault="006A6034" w:rsidP="006A6034">
      <w:pPr>
        <w:tabs>
          <w:tab w:val="left" w:pos="720"/>
          <w:tab w:val="left" w:pos="1440"/>
          <w:tab w:val="right" w:leader="dot" w:pos="9000"/>
        </w:tabs>
        <w:rPr>
          <w:rFonts w:ascii="Times New Roman" w:hAnsi="Times New Roman"/>
          <w:sz w:val="24"/>
          <w:szCs w:val="24"/>
        </w:rPr>
      </w:pPr>
    </w:p>
    <w:p w:rsidR="006A6034" w:rsidRDefault="00C7320E" w:rsidP="006A6034">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80.28.060 </w:t>
      </w:r>
      <w:r>
        <w:rPr>
          <w:rFonts w:ascii="Times New Roman" w:hAnsi="Times New Roman"/>
          <w:sz w:val="24"/>
          <w:szCs w:val="24"/>
        </w:rPr>
        <w:tab/>
        <w:t>54</w:t>
      </w:r>
    </w:p>
    <w:p w:rsidR="007F426D" w:rsidRDefault="007F426D" w:rsidP="006A6034">
      <w:pPr>
        <w:tabs>
          <w:tab w:val="left" w:pos="720"/>
          <w:tab w:val="left" w:pos="1440"/>
          <w:tab w:val="right" w:leader="dot" w:pos="9000"/>
        </w:tabs>
        <w:rPr>
          <w:rFonts w:ascii="Times New Roman" w:hAnsi="Times New Roman"/>
          <w:sz w:val="24"/>
          <w:szCs w:val="24"/>
        </w:rPr>
      </w:pPr>
    </w:p>
    <w:p w:rsidR="007F426D" w:rsidRDefault="00C7320E" w:rsidP="006A6034">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80.80.010(4) </w:t>
      </w:r>
      <w:r>
        <w:rPr>
          <w:rFonts w:ascii="Times New Roman" w:hAnsi="Times New Roman"/>
          <w:sz w:val="24"/>
          <w:szCs w:val="24"/>
        </w:rPr>
        <w:tab/>
        <w:t>49</w:t>
      </w:r>
    </w:p>
    <w:p w:rsidR="006A6034" w:rsidRDefault="006A6034" w:rsidP="006A6034">
      <w:pPr>
        <w:tabs>
          <w:tab w:val="left" w:pos="720"/>
          <w:tab w:val="left" w:pos="1440"/>
          <w:tab w:val="right" w:leader="dot" w:pos="9000"/>
        </w:tabs>
        <w:rPr>
          <w:rFonts w:ascii="Times New Roman" w:hAnsi="Times New Roman"/>
          <w:sz w:val="24"/>
          <w:szCs w:val="24"/>
        </w:rPr>
      </w:pPr>
    </w:p>
    <w:p w:rsidR="00F54CE7" w:rsidRDefault="00777353" w:rsidP="00777353">
      <w:pPr>
        <w:tabs>
          <w:tab w:val="left" w:pos="720"/>
          <w:tab w:val="left" w:pos="1440"/>
          <w:tab w:val="left" w:pos="2160"/>
          <w:tab w:val="right" w:leader="dot" w:pos="9000"/>
        </w:tabs>
        <w:rPr>
          <w:rFonts w:ascii="Times New Roman" w:hAnsi="Times New Roman"/>
          <w:sz w:val="24"/>
          <w:szCs w:val="24"/>
        </w:rPr>
      </w:pPr>
      <w:r>
        <w:rPr>
          <w:rFonts w:ascii="Times New Roman" w:hAnsi="Times New Roman"/>
          <w:sz w:val="24"/>
          <w:szCs w:val="24"/>
        </w:rPr>
        <w:t xml:space="preserve">RCW 80.80.040(1)(a) </w:t>
      </w:r>
      <w:r>
        <w:rPr>
          <w:rFonts w:ascii="Times New Roman" w:hAnsi="Times New Roman"/>
          <w:sz w:val="24"/>
          <w:szCs w:val="24"/>
        </w:rPr>
        <w:tab/>
      </w:r>
      <w:r w:rsidR="00C7320E">
        <w:rPr>
          <w:rFonts w:ascii="Times New Roman" w:hAnsi="Times New Roman"/>
          <w:sz w:val="24"/>
          <w:szCs w:val="24"/>
        </w:rPr>
        <w:t>49</w:t>
      </w:r>
    </w:p>
    <w:p w:rsidR="006A6034" w:rsidRDefault="006A6034" w:rsidP="00777353">
      <w:pPr>
        <w:tabs>
          <w:tab w:val="left" w:pos="720"/>
          <w:tab w:val="left" w:pos="1440"/>
          <w:tab w:val="left" w:pos="2160"/>
          <w:tab w:val="right" w:leader="dot" w:pos="9000"/>
        </w:tabs>
        <w:rPr>
          <w:rFonts w:ascii="Times New Roman" w:hAnsi="Times New Roman"/>
          <w:sz w:val="24"/>
          <w:szCs w:val="24"/>
        </w:rPr>
      </w:pPr>
    </w:p>
    <w:p w:rsidR="006A6034" w:rsidRDefault="00C7320E" w:rsidP="006A6034">
      <w:pPr>
        <w:tabs>
          <w:tab w:val="left" w:pos="720"/>
          <w:tab w:val="right" w:leader="dot" w:pos="9000"/>
        </w:tabs>
        <w:rPr>
          <w:rFonts w:ascii="Times New Roman" w:hAnsi="Times New Roman"/>
          <w:sz w:val="24"/>
          <w:szCs w:val="24"/>
        </w:rPr>
      </w:pPr>
      <w:r>
        <w:rPr>
          <w:rFonts w:ascii="Times New Roman" w:hAnsi="Times New Roman"/>
          <w:sz w:val="24"/>
          <w:szCs w:val="24"/>
        </w:rPr>
        <w:t xml:space="preserve">RCW 80.80 </w:t>
      </w:r>
      <w:r>
        <w:rPr>
          <w:rFonts w:ascii="Times New Roman" w:hAnsi="Times New Roman"/>
          <w:sz w:val="24"/>
          <w:szCs w:val="24"/>
        </w:rPr>
        <w:tab/>
        <w:t>44, 46</w:t>
      </w:r>
    </w:p>
    <w:p w:rsidR="006A6034" w:rsidRDefault="006A6034" w:rsidP="006A6034">
      <w:pPr>
        <w:tabs>
          <w:tab w:val="left" w:pos="720"/>
          <w:tab w:val="right" w:leader="dot" w:pos="9000"/>
        </w:tabs>
        <w:rPr>
          <w:rFonts w:ascii="Times New Roman" w:hAnsi="Times New Roman"/>
          <w:sz w:val="24"/>
          <w:szCs w:val="24"/>
        </w:rPr>
      </w:pPr>
    </w:p>
    <w:p w:rsidR="006A6034" w:rsidRDefault="00C7320E" w:rsidP="006A6034">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80.80.060 </w:t>
      </w:r>
      <w:r>
        <w:rPr>
          <w:rFonts w:ascii="Times New Roman" w:hAnsi="Times New Roman"/>
          <w:sz w:val="24"/>
          <w:szCs w:val="24"/>
        </w:rPr>
        <w:tab/>
        <w:t>54</w:t>
      </w:r>
    </w:p>
    <w:p w:rsidR="006A6034" w:rsidRDefault="006A6034" w:rsidP="006A6034">
      <w:pPr>
        <w:tabs>
          <w:tab w:val="left" w:pos="720"/>
          <w:tab w:val="left" w:pos="1440"/>
          <w:tab w:val="right" w:leader="dot" w:pos="9000"/>
        </w:tabs>
        <w:rPr>
          <w:rFonts w:ascii="Times New Roman" w:hAnsi="Times New Roman"/>
          <w:sz w:val="24"/>
          <w:szCs w:val="24"/>
        </w:rPr>
      </w:pPr>
    </w:p>
    <w:p w:rsidR="006A6034" w:rsidRDefault="00C7320E" w:rsidP="006A6034">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80.060(1) </w:t>
      </w:r>
      <w:r>
        <w:rPr>
          <w:rFonts w:ascii="Times New Roman" w:hAnsi="Times New Roman"/>
          <w:sz w:val="24"/>
          <w:szCs w:val="24"/>
        </w:rPr>
        <w:tab/>
        <w:t>49, 50</w:t>
      </w:r>
    </w:p>
    <w:p w:rsidR="006A6034" w:rsidRDefault="006A6034" w:rsidP="006A6034">
      <w:pPr>
        <w:tabs>
          <w:tab w:val="left" w:pos="720"/>
          <w:tab w:val="left" w:pos="1440"/>
          <w:tab w:val="right" w:leader="dot" w:pos="9000"/>
        </w:tabs>
        <w:rPr>
          <w:rFonts w:ascii="Times New Roman" w:hAnsi="Times New Roman"/>
          <w:sz w:val="24"/>
          <w:szCs w:val="24"/>
        </w:rPr>
      </w:pPr>
    </w:p>
    <w:p w:rsidR="006A6034" w:rsidRDefault="00C7320E" w:rsidP="006A6034">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RCW 80</w:t>
      </w:r>
      <w:r w:rsidR="00072AAE">
        <w:rPr>
          <w:rFonts w:ascii="Times New Roman" w:hAnsi="Times New Roman"/>
          <w:sz w:val="24"/>
          <w:szCs w:val="24"/>
        </w:rPr>
        <w:t>.</w:t>
      </w:r>
      <w:r>
        <w:rPr>
          <w:rFonts w:ascii="Times New Roman" w:hAnsi="Times New Roman"/>
          <w:sz w:val="24"/>
          <w:szCs w:val="24"/>
        </w:rPr>
        <w:t xml:space="preserve">80.060(6) </w:t>
      </w:r>
      <w:r>
        <w:rPr>
          <w:rFonts w:ascii="Times New Roman" w:hAnsi="Times New Roman"/>
          <w:sz w:val="24"/>
          <w:szCs w:val="24"/>
        </w:rPr>
        <w:tab/>
        <w:t>41-43</w:t>
      </w:r>
    </w:p>
    <w:p w:rsidR="009E649E" w:rsidRDefault="009E649E" w:rsidP="006A6034">
      <w:pPr>
        <w:tabs>
          <w:tab w:val="left" w:pos="720"/>
          <w:tab w:val="left" w:pos="1440"/>
          <w:tab w:val="right" w:leader="dot" w:pos="9000"/>
        </w:tabs>
        <w:rPr>
          <w:rFonts w:ascii="Times New Roman" w:hAnsi="Times New Roman"/>
          <w:sz w:val="24"/>
          <w:szCs w:val="24"/>
        </w:rPr>
      </w:pPr>
    </w:p>
    <w:p w:rsidR="009E649E" w:rsidRPr="003E02E6" w:rsidRDefault="009E649E" w:rsidP="009E649E">
      <w:pPr>
        <w:keepNext/>
        <w:tabs>
          <w:tab w:val="left" w:pos="720"/>
          <w:tab w:val="left" w:pos="1440"/>
          <w:tab w:val="right" w:leader="dot" w:pos="9000"/>
        </w:tabs>
        <w:rPr>
          <w:rFonts w:ascii="Times New Roman" w:hAnsi="Times New Roman"/>
          <w:sz w:val="24"/>
          <w:szCs w:val="24"/>
        </w:rPr>
      </w:pPr>
      <w:r>
        <w:rPr>
          <w:rFonts w:ascii="Times New Roman" w:hAnsi="Times New Roman"/>
          <w:sz w:val="24"/>
          <w:szCs w:val="24"/>
        </w:rPr>
        <w:lastRenderedPageBreak/>
        <w:t xml:space="preserve">WAC 480-07-510(3)(iii) </w:t>
      </w:r>
      <w:r>
        <w:rPr>
          <w:rFonts w:ascii="Times New Roman" w:hAnsi="Times New Roman"/>
          <w:sz w:val="24"/>
          <w:szCs w:val="24"/>
        </w:rPr>
        <w:tab/>
        <w:t>14</w:t>
      </w:r>
    </w:p>
    <w:p w:rsidR="00F54CE7" w:rsidRPr="003E02E6" w:rsidRDefault="00F54CE7" w:rsidP="009E649E">
      <w:pPr>
        <w:keepNext/>
        <w:rPr>
          <w:rFonts w:ascii="Times New Roman" w:hAnsi="Times New Roman"/>
          <w:sz w:val="24"/>
          <w:szCs w:val="24"/>
        </w:rPr>
      </w:pPr>
    </w:p>
    <w:p w:rsidR="00F54CE7" w:rsidRDefault="00777353" w:rsidP="00F41DF1">
      <w:pPr>
        <w:keepNext/>
        <w:tabs>
          <w:tab w:val="left" w:pos="720"/>
          <w:tab w:val="left" w:pos="1440"/>
          <w:tab w:val="left" w:pos="2160"/>
          <w:tab w:val="right" w:leader="dot" w:pos="9000"/>
        </w:tabs>
        <w:rPr>
          <w:rFonts w:ascii="Times New Roman" w:hAnsi="Times New Roman"/>
          <w:sz w:val="24"/>
          <w:szCs w:val="24"/>
        </w:rPr>
      </w:pPr>
      <w:r>
        <w:rPr>
          <w:rFonts w:ascii="Times New Roman" w:hAnsi="Times New Roman"/>
          <w:sz w:val="24"/>
          <w:szCs w:val="24"/>
        </w:rPr>
        <w:t xml:space="preserve">WAC 480-90-194(4)(h) </w:t>
      </w:r>
      <w:r>
        <w:rPr>
          <w:rFonts w:ascii="Times New Roman" w:hAnsi="Times New Roman"/>
          <w:sz w:val="24"/>
          <w:szCs w:val="24"/>
        </w:rPr>
        <w:tab/>
      </w:r>
      <w:r w:rsidR="00C7320E">
        <w:rPr>
          <w:rFonts w:ascii="Times New Roman" w:hAnsi="Times New Roman"/>
          <w:sz w:val="24"/>
          <w:szCs w:val="24"/>
        </w:rPr>
        <w:t>55</w:t>
      </w:r>
    </w:p>
    <w:p w:rsidR="00F41DF1" w:rsidRDefault="00F41DF1" w:rsidP="00F41DF1">
      <w:pPr>
        <w:keepNext/>
        <w:tabs>
          <w:tab w:val="left" w:pos="720"/>
          <w:tab w:val="left" w:pos="1440"/>
          <w:tab w:val="left" w:pos="2160"/>
          <w:tab w:val="right" w:leader="dot" w:pos="9000"/>
        </w:tabs>
        <w:rPr>
          <w:rFonts w:ascii="Times New Roman" w:hAnsi="Times New Roman"/>
          <w:sz w:val="24"/>
          <w:szCs w:val="24"/>
        </w:rPr>
      </w:pPr>
    </w:p>
    <w:p w:rsidR="00F41DF1" w:rsidRDefault="00F41DF1" w:rsidP="00F41DF1">
      <w:pPr>
        <w:tabs>
          <w:tab w:val="left" w:pos="720"/>
          <w:tab w:val="left" w:pos="1440"/>
          <w:tab w:val="right" w:leader="dot" w:pos="9000"/>
        </w:tabs>
        <w:rPr>
          <w:rFonts w:ascii="Times New Roman" w:hAnsi="Times New Roman"/>
          <w:sz w:val="24"/>
          <w:szCs w:val="24"/>
        </w:rPr>
      </w:pPr>
      <w:r w:rsidRPr="003E02E6">
        <w:rPr>
          <w:rFonts w:ascii="Times New Roman" w:hAnsi="Times New Roman"/>
          <w:sz w:val="24"/>
          <w:szCs w:val="24"/>
        </w:rPr>
        <w:t>WAC 480-90</w:t>
      </w:r>
      <w:r w:rsidR="00C7320E">
        <w:rPr>
          <w:rFonts w:ascii="Times New Roman" w:hAnsi="Times New Roman"/>
          <w:sz w:val="24"/>
          <w:szCs w:val="24"/>
        </w:rPr>
        <w:t xml:space="preserve">-197 </w:t>
      </w:r>
      <w:r w:rsidR="00C7320E">
        <w:rPr>
          <w:rFonts w:ascii="Times New Roman" w:hAnsi="Times New Roman"/>
          <w:sz w:val="24"/>
          <w:szCs w:val="24"/>
        </w:rPr>
        <w:tab/>
        <w:t>55</w:t>
      </w:r>
    </w:p>
    <w:p w:rsidR="00F54CE7" w:rsidRDefault="00F54CE7" w:rsidP="00F54CE7">
      <w:pPr>
        <w:rPr>
          <w:rFonts w:ascii="Times New Roman" w:hAnsi="Times New Roman"/>
          <w:sz w:val="24"/>
          <w:szCs w:val="24"/>
        </w:rPr>
      </w:pPr>
    </w:p>
    <w:p w:rsidR="000570C1" w:rsidRDefault="000570C1" w:rsidP="00F54CE7">
      <w:pPr>
        <w:rPr>
          <w:rFonts w:ascii="Times New Roman" w:hAnsi="Times New Roman"/>
          <w:sz w:val="24"/>
          <w:szCs w:val="24"/>
        </w:rPr>
      </w:pPr>
    </w:p>
    <w:p w:rsidR="00F54CE7" w:rsidRPr="00900C1A" w:rsidRDefault="00F54CE7" w:rsidP="000570C1">
      <w:pPr>
        <w:keepNext/>
        <w:jc w:val="center"/>
        <w:rPr>
          <w:rFonts w:ascii="Times New Roman" w:hAnsi="Times New Roman"/>
          <w:b/>
          <w:i/>
          <w:sz w:val="24"/>
          <w:szCs w:val="24"/>
        </w:rPr>
      </w:pPr>
      <w:r w:rsidRPr="00900C1A">
        <w:rPr>
          <w:rFonts w:ascii="Times New Roman" w:hAnsi="Times New Roman"/>
          <w:b/>
          <w:i/>
          <w:sz w:val="24"/>
          <w:szCs w:val="24"/>
        </w:rPr>
        <w:t xml:space="preserve">Other Authorities </w:t>
      </w:r>
    </w:p>
    <w:p w:rsidR="00F54CE7" w:rsidRDefault="00F54CE7" w:rsidP="000570C1">
      <w:pPr>
        <w:keepNext/>
        <w:rPr>
          <w:rFonts w:ascii="Times New Roman" w:hAnsi="Times New Roman"/>
          <w:i/>
          <w:sz w:val="24"/>
          <w:szCs w:val="24"/>
        </w:rPr>
      </w:pPr>
    </w:p>
    <w:p w:rsidR="00F54CE7" w:rsidRPr="003E02E6" w:rsidRDefault="00F54CE7" w:rsidP="00777353">
      <w:pPr>
        <w:tabs>
          <w:tab w:val="left" w:pos="720"/>
          <w:tab w:val="left" w:pos="1440"/>
          <w:tab w:val="left" w:pos="2160"/>
          <w:tab w:val="left" w:pos="2880"/>
          <w:tab w:val="left" w:pos="3600"/>
          <w:tab w:val="right" w:leader="dot" w:pos="9000"/>
        </w:tabs>
        <w:rPr>
          <w:rFonts w:ascii="Times New Roman" w:hAnsi="Times New Roman"/>
          <w:sz w:val="24"/>
          <w:szCs w:val="24"/>
        </w:rPr>
      </w:pPr>
      <w:r w:rsidRPr="003E02E6">
        <w:rPr>
          <w:rFonts w:ascii="Times New Roman" w:hAnsi="Times New Roman"/>
          <w:sz w:val="24"/>
          <w:szCs w:val="24"/>
        </w:rPr>
        <w:t xml:space="preserve">Robert L. Hahne and Gregory E. Aliff, </w:t>
      </w:r>
      <w:r w:rsidRPr="003E02E6">
        <w:rPr>
          <w:rFonts w:ascii="Times New Roman" w:hAnsi="Times New Roman"/>
          <w:i/>
          <w:sz w:val="24"/>
          <w:szCs w:val="24"/>
        </w:rPr>
        <w:t>Accounting for Public Utilities</w:t>
      </w:r>
      <w:r w:rsidRPr="003E02E6">
        <w:rPr>
          <w:rFonts w:ascii="Times New Roman" w:hAnsi="Times New Roman"/>
          <w:sz w:val="24"/>
          <w:szCs w:val="24"/>
        </w:rPr>
        <w:t>, §7.05 (2006)</w:t>
      </w:r>
      <w:r w:rsidR="00777353">
        <w:rPr>
          <w:rFonts w:ascii="Times New Roman" w:hAnsi="Times New Roman"/>
          <w:sz w:val="24"/>
          <w:szCs w:val="24"/>
        </w:rPr>
        <w:t xml:space="preserve"> </w:t>
      </w:r>
      <w:r w:rsidR="00777353">
        <w:rPr>
          <w:rFonts w:ascii="Times New Roman" w:hAnsi="Times New Roman"/>
          <w:sz w:val="24"/>
          <w:szCs w:val="24"/>
        </w:rPr>
        <w:tab/>
      </w:r>
      <w:r w:rsidR="00C7320E">
        <w:rPr>
          <w:rFonts w:ascii="Times New Roman" w:hAnsi="Times New Roman"/>
          <w:sz w:val="24"/>
          <w:szCs w:val="24"/>
        </w:rPr>
        <w:t>18</w:t>
      </w:r>
    </w:p>
    <w:p w:rsidR="00F54CE7" w:rsidRPr="003E02E6" w:rsidRDefault="00F54CE7" w:rsidP="00F54CE7">
      <w:pPr>
        <w:rPr>
          <w:rFonts w:ascii="Times New Roman" w:hAnsi="Times New Roman"/>
          <w:sz w:val="24"/>
          <w:szCs w:val="24"/>
        </w:rPr>
      </w:pPr>
    </w:p>
    <w:p w:rsidR="00F54CE7" w:rsidRPr="003E02E6" w:rsidRDefault="00F54CE7" w:rsidP="00F54CE7">
      <w:pPr>
        <w:rPr>
          <w:rFonts w:ascii="Times New Roman" w:hAnsi="Times New Roman"/>
          <w:i/>
          <w:sz w:val="24"/>
          <w:szCs w:val="24"/>
        </w:rPr>
      </w:pPr>
    </w:p>
    <w:p w:rsidR="00CB20C9" w:rsidRPr="00CB20C9" w:rsidRDefault="00CB20C9" w:rsidP="00CB20C9">
      <w:pPr>
        <w:rPr>
          <w:rFonts w:ascii="Times New Roman" w:hAnsi="Times New Roman"/>
          <w:sz w:val="24"/>
          <w:szCs w:val="24"/>
        </w:rPr>
      </w:pPr>
    </w:p>
    <w:p w:rsidR="00CB20C9" w:rsidRPr="00CB20C9" w:rsidRDefault="00CB20C9" w:rsidP="00CB20C9">
      <w:pPr>
        <w:rPr>
          <w:rFonts w:ascii="Times New Roman" w:hAnsi="Times New Roman"/>
          <w:sz w:val="24"/>
          <w:szCs w:val="24"/>
        </w:rPr>
        <w:sectPr w:rsidR="00CB20C9" w:rsidRPr="00CB20C9" w:rsidSect="00D122AA">
          <w:footerReference w:type="default" r:id="rId8"/>
          <w:pgSz w:w="12240" w:h="15840" w:code="1"/>
          <w:pgMar w:top="1440" w:right="1440" w:bottom="1440" w:left="1872" w:header="720" w:footer="720" w:gutter="0"/>
          <w:pgNumType w:fmt="lowerRoman" w:start="1"/>
          <w:cols w:space="720"/>
          <w:docGrid w:linePitch="360"/>
        </w:sectPr>
      </w:pPr>
    </w:p>
    <w:p w:rsidR="00D122AA" w:rsidRDefault="00803D18" w:rsidP="00803D18">
      <w:pPr>
        <w:pStyle w:val="ListParagraph"/>
        <w:spacing w:line="480" w:lineRule="auto"/>
        <w:ind w:left="0"/>
        <w:jc w:val="center"/>
        <w:rPr>
          <w:rFonts w:ascii="Times New Roman" w:hAnsi="Times New Roman"/>
          <w:b/>
          <w:bCs/>
          <w:sz w:val="24"/>
          <w:szCs w:val="24"/>
        </w:rPr>
      </w:pPr>
      <w:r>
        <w:rPr>
          <w:rFonts w:ascii="Times New Roman" w:hAnsi="Times New Roman"/>
          <w:b/>
          <w:bCs/>
          <w:sz w:val="24"/>
          <w:szCs w:val="24"/>
        </w:rPr>
        <w:lastRenderedPageBreak/>
        <w:t xml:space="preserve">I.  </w:t>
      </w:r>
      <w:r w:rsidR="00CB20C9" w:rsidRPr="00A0582A">
        <w:rPr>
          <w:rFonts w:ascii="Times New Roman" w:hAnsi="Times New Roman"/>
          <w:b/>
          <w:bCs/>
          <w:sz w:val="24"/>
          <w:szCs w:val="24"/>
        </w:rPr>
        <w:t>INTRODUCTION</w:t>
      </w:r>
    </w:p>
    <w:p w:rsidR="00F358F7"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F358F7" w:rsidRPr="00803D18">
        <w:rPr>
          <w:rFonts w:ascii="Times New Roman" w:hAnsi="Times New Roman"/>
          <w:sz w:val="24"/>
          <w:szCs w:val="24"/>
        </w:rPr>
        <w:t>Puget Sound Energy, Inc. (“PSE” or “the Company”) seeks to increase electric and natural gas</w:t>
      </w:r>
      <w:r w:rsidR="00C871DE" w:rsidRPr="00803D18">
        <w:rPr>
          <w:rFonts w:ascii="Times New Roman" w:hAnsi="Times New Roman"/>
          <w:sz w:val="24"/>
          <w:szCs w:val="24"/>
        </w:rPr>
        <w:t xml:space="preserve"> revenues by $112</w:t>
      </w:r>
      <w:r w:rsidR="000C2680" w:rsidRPr="00803D18">
        <w:rPr>
          <w:rFonts w:ascii="Times New Roman" w:hAnsi="Times New Roman"/>
          <w:sz w:val="24"/>
          <w:szCs w:val="24"/>
        </w:rPr>
        <w:t>.</w:t>
      </w:r>
      <w:r w:rsidR="00AC4D24" w:rsidRPr="00803D18">
        <w:rPr>
          <w:rFonts w:ascii="Times New Roman" w:hAnsi="Times New Roman"/>
          <w:sz w:val="24"/>
          <w:szCs w:val="24"/>
        </w:rPr>
        <w:t xml:space="preserve">7 million (5.6 </w:t>
      </w:r>
      <w:r w:rsidR="00F358F7" w:rsidRPr="00803D18">
        <w:rPr>
          <w:rFonts w:ascii="Times New Roman" w:hAnsi="Times New Roman"/>
          <w:sz w:val="24"/>
          <w:szCs w:val="24"/>
        </w:rPr>
        <w:t>percent) and $</w:t>
      </w:r>
      <w:r w:rsidR="000C2680" w:rsidRPr="00803D18">
        <w:rPr>
          <w:rFonts w:ascii="Times New Roman" w:hAnsi="Times New Roman"/>
          <w:sz w:val="24"/>
          <w:szCs w:val="24"/>
        </w:rPr>
        <w:t xml:space="preserve">28.3 </w:t>
      </w:r>
      <w:r w:rsidR="00AC4D24" w:rsidRPr="00803D18">
        <w:rPr>
          <w:rFonts w:ascii="Times New Roman" w:hAnsi="Times New Roman"/>
          <w:sz w:val="24"/>
          <w:szCs w:val="24"/>
        </w:rPr>
        <w:t xml:space="preserve">million (2.3 </w:t>
      </w:r>
      <w:r w:rsidR="000C2680" w:rsidRPr="00803D18">
        <w:rPr>
          <w:rFonts w:ascii="Times New Roman" w:hAnsi="Times New Roman"/>
          <w:sz w:val="24"/>
          <w:szCs w:val="24"/>
        </w:rPr>
        <w:t>percent</w:t>
      </w:r>
      <w:r w:rsidR="00F358F7" w:rsidRPr="00803D18">
        <w:rPr>
          <w:rFonts w:ascii="Times New Roman" w:hAnsi="Times New Roman"/>
          <w:sz w:val="24"/>
          <w:szCs w:val="24"/>
        </w:rPr>
        <w:t>), respectively.</w:t>
      </w:r>
      <w:r w:rsidR="00F358F7" w:rsidRPr="00F358F7">
        <w:rPr>
          <w:rStyle w:val="FootnoteReference"/>
          <w:rFonts w:ascii="Times New Roman" w:hAnsi="Times New Roman"/>
          <w:sz w:val="24"/>
          <w:szCs w:val="24"/>
        </w:rPr>
        <w:footnoteReference w:id="1"/>
      </w:r>
      <w:r w:rsidR="00F358F7" w:rsidRPr="00803D18">
        <w:rPr>
          <w:rFonts w:ascii="Times New Roman" w:hAnsi="Times New Roman"/>
          <w:sz w:val="24"/>
          <w:szCs w:val="24"/>
        </w:rPr>
        <w:t xml:space="preserve">  Commission Staff recommends a</w:t>
      </w:r>
      <w:r w:rsidR="000C2680" w:rsidRPr="00803D18">
        <w:rPr>
          <w:rFonts w:ascii="Times New Roman" w:hAnsi="Times New Roman"/>
          <w:sz w:val="24"/>
          <w:szCs w:val="24"/>
        </w:rPr>
        <w:t>n incre</w:t>
      </w:r>
      <w:r w:rsidR="008A1F46" w:rsidRPr="00803D18">
        <w:rPr>
          <w:rFonts w:ascii="Times New Roman" w:hAnsi="Times New Roman"/>
          <w:sz w:val="24"/>
          <w:szCs w:val="24"/>
        </w:rPr>
        <w:t>ase in electr</w:t>
      </w:r>
      <w:r w:rsidR="00AC4D24" w:rsidRPr="00803D18">
        <w:rPr>
          <w:rFonts w:ascii="Times New Roman" w:hAnsi="Times New Roman"/>
          <w:sz w:val="24"/>
          <w:szCs w:val="24"/>
        </w:rPr>
        <w:t xml:space="preserve">ic revenues of $10.4 million (.5 </w:t>
      </w:r>
      <w:r w:rsidR="000C2680" w:rsidRPr="00803D18">
        <w:rPr>
          <w:rFonts w:ascii="Times New Roman" w:hAnsi="Times New Roman"/>
          <w:sz w:val="24"/>
          <w:szCs w:val="24"/>
        </w:rPr>
        <w:t>percent</w:t>
      </w:r>
      <w:r w:rsidR="00F358F7" w:rsidRPr="00803D18">
        <w:rPr>
          <w:rFonts w:ascii="Times New Roman" w:hAnsi="Times New Roman"/>
          <w:sz w:val="24"/>
          <w:szCs w:val="24"/>
        </w:rPr>
        <w:t>) and an</w:t>
      </w:r>
      <w:r w:rsidR="000C2680" w:rsidRPr="00803D18">
        <w:rPr>
          <w:rFonts w:ascii="Times New Roman" w:hAnsi="Times New Roman"/>
          <w:sz w:val="24"/>
          <w:szCs w:val="24"/>
        </w:rPr>
        <w:t xml:space="preserve"> </w:t>
      </w:r>
      <w:r w:rsidR="008A1F46" w:rsidRPr="00803D18">
        <w:rPr>
          <w:rFonts w:ascii="Times New Roman" w:hAnsi="Times New Roman"/>
          <w:sz w:val="24"/>
          <w:szCs w:val="24"/>
        </w:rPr>
        <w:t>increase in gas revenues of $9.2</w:t>
      </w:r>
      <w:r w:rsidR="00F358F7" w:rsidRPr="00803D18">
        <w:rPr>
          <w:rFonts w:ascii="Times New Roman" w:hAnsi="Times New Roman"/>
          <w:sz w:val="24"/>
          <w:szCs w:val="24"/>
        </w:rPr>
        <w:t xml:space="preserve"> million (</w:t>
      </w:r>
      <w:r w:rsidR="00AC4D24" w:rsidRPr="00803D18">
        <w:rPr>
          <w:rFonts w:ascii="Times New Roman" w:hAnsi="Times New Roman"/>
          <w:sz w:val="24"/>
          <w:szCs w:val="24"/>
        </w:rPr>
        <w:t xml:space="preserve">.8 </w:t>
      </w:r>
      <w:r w:rsidR="000C2680" w:rsidRPr="00803D18">
        <w:rPr>
          <w:rFonts w:ascii="Times New Roman" w:hAnsi="Times New Roman"/>
          <w:sz w:val="24"/>
          <w:szCs w:val="24"/>
        </w:rPr>
        <w:t>percent</w:t>
      </w:r>
      <w:r w:rsidR="00F358F7" w:rsidRPr="00803D18">
        <w:rPr>
          <w:rFonts w:ascii="Times New Roman" w:hAnsi="Times New Roman"/>
          <w:sz w:val="24"/>
          <w:szCs w:val="24"/>
        </w:rPr>
        <w:t>).</w:t>
      </w:r>
      <w:r w:rsidR="000C2680">
        <w:rPr>
          <w:rStyle w:val="FootnoteReference"/>
          <w:rFonts w:ascii="Times New Roman" w:hAnsi="Times New Roman"/>
          <w:sz w:val="24"/>
          <w:szCs w:val="24"/>
        </w:rPr>
        <w:footnoteReference w:id="2"/>
      </w:r>
    </w:p>
    <w:p w:rsidR="008173A5"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947407" w:rsidRPr="00803D18">
        <w:rPr>
          <w:rFonts w:ascii="Times New Roman" w:hAnsi="Times New Roman"/>
          <w:sz w:val="24"/>
          <w:szCs w:val="24"/>
        </w:rPr>
        <w:t>Th</w:t>
      </w:r>
      <w:r w:rsidR="00F22195" w:rsidRPr="00803D18">
        <w:rPr>
          <w:rFonts w:ascii="Times New Roman" w:hAnsi="Times New Roman"/>
          <w:sz w:val="24"/>
          <w:szCs w:val="24"/>
        </w:rPr>
        <w:t>re</w:t>
      </w:r>
      <w:r w:rsidR="00947407" w:rsidRPr="00803D18">
        <w:rPr>
          <w:rFonts w:ascii="Times New Roman" w:hAnsi="Times New Roman"/>
          <w:sz w:val="24"/>
          <w:szCs w:val="24"/>
        </w:rPr>
        <w:t>e</w:t>
      </w:r>
      <w:r w:rsidR="008173A5" w:rsidRPr="00803D18">
        <w:rPr>
          <w:rFonts w:ascii="Times New Roman" w:hAnsi="Times New Roman"/>
          <w:sz w:val="24"/>
          <w:szCs w:val="24"/>
        </w:rPr>
        <w:t xml:space="preserve"> </w:t>
      </w:r>
      <w:r w:rsidR="005A17F0" w:rsidRPr="00803D18">
        <w:rPr>
          <w:rFonts w:ascii="Times New Roman" w:hAnsi="Times New Roman"/>
          <w:sz w:val="24"/>
          <w:szCs w:val="24"/>
        </w:rPr>
        <w:t xml:space="preserve">factors explain this </w:t>
      </w:r>
      <w:r w:rsidR="008173A5" w:rsidRPr="00803D18">
        <w:rPr>
          <w:rFonts w:ascii="Times New Roman" w:hAnsi="Times New Roman"/>
          <w:sz w:val="24"/>
          <w:szCs w:val="24"/>
        </w:rPr>
        <w:t>significant</w:t>
      </w:r>
      <w:r w:rsidR="00A35F98" w:rsidRPr="00803D18">
        <w:rPr>
          <w:rFonts w:ascii="Times New Roman" w:hAnsi="Times New Roman"/>
          <w:sz w:val="24"/>
          <w:szCs w:val="24"/>
        </w:rPr>
        <w:t xml:space="preserve"> di</w:t>
      </w:r>
      <w:r w:rsidR="005A17F0" w:rsidRPr="00803D18">
        <w:rPr>
          <w:rFonts w:ascii="Times New Roman" w:hAnsi="Times New Roman"/>
          <w:sz w:val="24"/>
          <w:szCs w:val="24"/>
        </w:rPr>
        <w:t>sparity</w:t>
      </w:r>
      <w:r w:rsidR="00A35F98" w:rsidRPr="00803D18">
        <w:rPr>
          <w:rFonts w:ascii="Times New Roman" w:hAnsi="Times New Roman"/>
          <w:sz w:val="24"/>
          <w:szCs w:val="24"/>
        </w:rPr>
        <w:t>.</w:t>
      </w:r>
      <w:r w:rsidR="006A1E53" w:rsidRPr="00803D18">
        <w:rPr>
          <w:rFonts w:ascii="Times New Roman" w:hAnsi="Times New Roman"/>
          <w:sz w:val="24"/>
          <w:szCs w:val="24"/>
        </w:rPr>
        <w:t xml:space="preserve">  First, </w:t>
      </w:r>
      <w:r w:rsidR="008173A5" w:rsidRPr="00803D18">
        <w:rPr>
          <w:rFonts w:ascii="Times New Roman" w:hAnsi="Times New Roman"/>
          <w:sz w:val="24"/>
          <w:szCs w:val="24"/>
        </w:rPr>
        <w:t>Staff</w:t>
      </w:r>
      <w:r w:rsidR="00FA4352" w:rsidRPr="00803D18">
        <w:rPr>
          <w:rFonts w:ascii="Times New Roman" w:hAnsi="Times New Roman"/>
          <w:sz w:val="24"/>
          <w:szCs w:val="24"/>
        </w:rPr>
        <w:t>’s</w:t>
      </w:r>
      <w:r w:rsidR="008173A5" w:rsidRPr="00803D18">
        <w:rPr>
          <w:rFonts w:ascii="Times New Roman" w:hAnsi="Times New Roman"/>
          <w:sz w:val="24"/>
          <w:szCs w:val="24"/>
        </w:rPr>
        <w:t xml:space="preserve"> presentation is a straightforward applic</w:t>
      </w:r>
      <w:r w:rsidR="00553444" w:rsidRPr="00803D18">
        <w:rPr>
          <w:rFonts w:ascii="Times New Roman" w:hAnsi="Times New Roman"/>
          <w:sz w:val="24"/>
          <w:szCs w:val="24"/>
        </w:rPr>
        <w:t xml:space="preserve">ation of </w:t>
      </w:r>
      <w:r w:rsidR="008308D5" w:rsidRPr="00803D18">
        <w:rPr>
          <w:rFonts w:ascii="Times New Roman" w:hAnsi="Times New Roman"/>
          <w:sz w:val="24"/>
          <w:szCs w:val="24"/>
        </w:rPr>
        <w:t xml:space="preserve">ratemaking </w:t>
      </w:r>
      <w:r w:rsidR="00030449" w:rsidRPr="00803D18">
        <w:rPr>
          <w:rFonts w:ascii="Times New Roman" w:hAnsi="Times New Roman"/>
          <w:sz w:val="24"/>
          <w:szCs w:val="24"/>
        </w:rPr>
        <w:t xml:space="preserve">via </w:t>
      </w:r>
      <w:r w:rsidR="008308D5" w:rsidRPr="00803D18">
        <w:rPr>
          <w:rFonts w:ascii="Times New Roman" w:hAnsi="Times New Roman"/>
          <w:sz w:val="24"/>
          <w:szCs w:val="24"/>
        </w:rPr>
        <w:t xml:space="preserve">an historic test year, </w:t>
      </w:r>
      <w:r w:rsidR="00E211C2" w:rsidRPr="00803D18">
        <w:rPr>
          <w:rFonts w:ascii="Times New Roman" w:hAnsi="Times New Roman"/>
          <w:sz w:val="24"/>
          <w:szCs w:val="24"/>
        </w:rPr>
        <w:t>with pro forma adjustments</w:t>
      </w:r>
      <w:r w:rsidR="008308D5" w:rsidRPr="00803D18">
        <w:rPr>
          <w:rFonts w:ascii="Times New Roman" w:hAnsi="Times New Roman"/>
          <w:sz w:val="24"/>
          <w:szCs w:val="24"/>
        </w:rPr>
        <w:t xml:space="preserve"> for known and measurable changes that are not offset by other factors</w:t>
      </w:r>
      <w:r w:rsidR="008173A5" w:rsidRPr="00803D18">
        <w:rPr>
          <w:rFonts w:ascii="Times New Roman" w:hAnsi="Times New Roman"/>
          <w:sz w:val="24"/>
          <w:szCs w:val="24"/>
        </w:rPr>
        <w:t xml:space="preserve">.  </w:t>
      </w:r>
      <w:r w:rsidR="0063076A" w:rsidRPr="00803D18">
        <w:rPr>
          <w:rFonts w:ascii="Times New Roman" w:hAnsi="Times New Roman"/>
          <w:sz w:val="24"/>
          <w:szCs w:val="24"/>
        </w:rPr>
        <w:t>The Commission has recently</w:t>
      </w:r>
      <w:r w:rsidR="008173A5" w:rsidRPr="00803D18">
        <w:rPr>
          <w:rFonts w:ascii="Times New Roman" w:hAnsi="Times New Roman"/>
          <w:sz w:val="24"/>
          <w:szCs w:val="24"/>
        </w:rPr>
        <w:t xml:space="preserve"> reaffi</w:t>
      </w:r>
      <w:r w:rsidR="00AF6927" w:rsidRPr="00803D18">
        <w:rPr>
          <w:rFonts w:ascii="Times New Roman" w:hAnsi="Times New Roman"/>
          <w:sz w:val="24"/>
          <w:szCs w:val="24"/>
        </w:rPr>
        <w:t xml:space="preserve">rmed </w:t>
      </w:r>
      <w:r w:rsidR="0063076A" w:rsidRPr="00803D18">
        <w:rPr>
          <w:rFonts w:ascii="Times New Roman" w:hAnsi="Times New Roman"/>
          <w:sz w:val="24"/>
          <w:szCs w:val="24"/>
        </w:rPr>
        <w:t>t</w:t>
      </w:r>
      <w:r w:rsidR="008308D5" w:rsidRPr="00803D18">
        <w:rPr>
          <w:rFonts w:ascii="Times New Roman" w:hAnsi="Times New Roman"/>
          <w:sz w:val="24"/>
          <w:szCs w:val="24"/>
        </w:rPr>
        <w:t>hat</w:t>
      </w:r>
      <w:r w:rsidR="00030449" w:rsidRPr="00803D18">
        <w:rPr>
          <w:rFonts w:ascii="Times New Roman" w:hAnsi="Times New Roman"/>
          <w:sz w:val="24"/>
          <w:szCs w:val="24"/>
        </w:rPr>
        <w:t xml:space="preserve"> </w:t>
      </w:r>
      <w:r w:rsidR="00E211C2" w:rsidRPr="00803D18">
        <w:rPr>
          <w:rFonts w:ascii="Times New Roman" w:hAnsi="Times New Roman"/>
          <w:sz w:val="24"/>
          <w:szCs w:val="24"/>
        </w:rPr>
        <w:t>practice by adopting</w:t>
      </w:r>
      <w:r w:rsidR="00030449" w:rsidRPr="00803D18">
        <w:rPr>
          <w:rFonts w:ascii="Times New Roman" w:hAnsi="Times New Roman"/>
          <w:sz w:val="24"/>
          <w:szCs w:val="24"/>
        </w:rPr>
        <w:t xml:space="preserve"> </w:t>
      </w:r>
      <w:r w:rsidR="00E211C2" w:rsidRPr="00803D18">
        <w:rPr>
          <w:rFonts w:ascii="Times New Roman" w:hAnsi="Times New Roman"/>
          <w:sz w:val="24"/>
          <w:szCs w:val="24"/>
        </w:rPr>
        <w:t xml:space="preserve">Staff adjustments </w:t>
      </w:r>
      <w:r w:rsidR="005012D8" w:rsidRPr="00803D18">
        <w:rPr>
          <w:rFonts w:ascii="Times New Roman" w:hAnsi="Times New Roman"/>
          <w:sz w:val="24"/>
          <w:szCs w:val="24"/>
        </w:rPr>
        <w:t>that use</w:t>
      </w:r>
      <w:r w:rsidR="00E211C2" w:rsidRPr="00803D18">
        <w:rPr>
          <w:rFonts w:ascii="Times New Roman" w:hAnsi="Times New Roman"/>
          <w:sz w:val="24"/>
          <w:szCs w:val="24"/>
        </w:rPr>
        <w:t xml:space="preserve"> </w:t>
      </w:r>
      <w:r w:rsidR="009660B6" w:rsidRPr="00803D18">
        <w:rPr>
          <w:rFonts w:ascii="Times New Roman" w:hAnsi="Times New Roman"/>
          <w:sz w:val="24"/>
          <w:szCs w:val="24"/>
        </w:rPr>
        <w:t xml:space="preserve">verified, actual </w:t>
      </w:r>
      <w:r w:rsidR="00E211C2" w:rsidRPr="00803D18">
        <w:rPr>
          <w:rFonts w:ascii="Times New Roman" w:hAnsi="Times New Roman"/>
          <w:sz w:val="24"/>
          <w:szCs w:val="24"/>
        </w:rPr>
        <w:t xml:space="preserve">data rather than </w:t>
      </w:r>
      <w:r w:rsidR="005A17F0" w:rsidRPr="00803D18">
        <w:rPr>
          <w:rFonts w:ascii="Times New Roman" w:hAnsi="Times New Roman"/>
          <w:sz w:val="24"/>
          <w:szCs w:val="24"/>
        </w:rPr>
        <w:t>budget projections</w:t>
      </w:r>
      <w:r w:rsidR="009660B6" w:rsidRPr="00803D18">
        <w:rPr>
          <w:rFonts w:ascii="Times New Roman" w:hAnsi="Times New Roman"/>
          <w:sz w:val="24"/>
          <w:szCs w:val="24"/>
        </w:rPr>
        <w:t xml:space="preserve"> like </w:t>
      </w:r>
      <w:r w:rsidR="00947407" w:rsidRPr="00803D18">
        <w:rPr>
          <w:rFonts w:ascii="Times New Roman" w:hAnsi="Times New Roman"/>
          <w:sz w:val="24"/>
          <w:szCs w:val="24"/>
        </w:rPr>
        <w:t>those used by</w:t>
      </w:r>
      <w:r w:rsidR="00341F57" w:rsidRPr="00803D18">
        <w:rPr>
          <w:rFonts w:ascii="Times New Roman" w:hAnsi="Times New Roman"/>
          <w:sz w:val="24"/>
          <w:szCs w:val="24"/>
        </w:rPr>
        <w:t xml:space="preserve"> PSE</w:t>
      </w:r>
      <w:r w:rsidR="009660B6" w:rsidRPr="00803D18">
        <w:rPr>
          <w:rFonts w:ascii="Times New Roman" w:hAnsi="Times New Roman"/>
          <w:sz w:val="24"/>
          <w:szCs w:val="24"/>
        </w:rPr>
        <w:t xml:space="preserve"> in this case</w:t>
      </w:r>
      <w:r w:rsidR="00AF6927" w:rsidRPr="00803D18">
        <w:rPr>
          <w:rFonts w:ascii="Times New Roman" w:hAnsi="Times New Roman"/>
          <w:sz w:val="24"/>
          <w:szCs w:val="24"/>
        </w:rPr>
        <w:t>.</w:t>
      </w:r>
      <w:r w:rsidR="000D4128">
        <w:rPr>
          <w:rStyle w:val="FootnoteReference"/>
          <w:rFonts w:ascii="Times New Roman" w:hAnsi="Times New Roman"/>
          <w:sz w:val="24"/>
          <w:szCs w:val="24"/>
        </w:rPr>
        <w:footnoteReference w:id="3"/>
      </w:r>
    </w:p>
    <w:p w:rsidR="00AF6927"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391A1F" w:rsidRPr="00803D18">
        <w:rPr>
          <w:rFonts w:ascii="Times New Roman" w:hAnsi="Times New Roman"/>
          <w:sz w:val="24"/>
          <w:szCs w:val="24"/>
        </w:rPr>
        <w:t xml:space="preserve">Second, this </w:t>
      </w:r>
      <w:r w:rsidR="00F81150" w:rsidRPr="00803D18">
        <w:rPr>
          <w:rFonts w:ascii="Times New Roman" w:hAnsi="Times New Roman"/>
          <w:sz w:val="24"/>
          <w:szCs w:val="24"/>
        </w:rPr>
        <w:t xml:space="preserve">proceeding </w:t>
      </w:r>
      <w:r w:rsidR="00AF6927" w:rsidRPr="00803D18">
        <w:rPr>
          <w:rFonts w:ascii="Times New Roman" w:hAnsi="Times New Roman"/>
          <w:sz w:val="24"/>
          <w:szCs w:val="24"/>
        </w:rPr>
        <w:t xml:space="preserve">comes in the wake of </w:t>
      </w:r>
      <w:r w:rsidR="00E902B0" w:rsidRPr="00803D18">
        <w:rPr>
          <w:rFonts w:ascii="Times New Roman" w:hAnsi="Times New Roman"/>
          <w:sz w:val="24"/>
          <w:szCs w:val="24"/>
        </w:rPr>
        <w:t xml:space="preserve">the 2008 </w:t>
      </w:r>
      <w:r w:rsidR="002B1721" w:rsidRPr="00803D18">
        <w:rPr>
          <w:rFonts w:ascii="Times New Roman" w:hAnsi="Times New Roman"/>
          <w:sz w:val="24"/>
          <w:szCs w:val="24"/>
        </w:rPr>
        <w:t>financial crisis</w:t>
      </w:r>
      <w:r w:rsidR="00AF6927" w:rsidRPr="00803D18">
        <w:rPr>
          <w:rFonts w:ascii="Times New Roman" w:hAnsi="Times New Roman"/>
          <w:sz w:val="24"/>
          <w:szCs w:val="24"/>
        </w:rPr>
        <w:t>.</w:t>
      </w:r>
      <w:r w:rsidR="008D5933" w:rsidRPr="00803D18">
        <w:rPr>
          <w:rFonts w:ascii="Times New Roman" w:hAnsi="Times New Roman"/>
          <w:sz w:val="24"/>
          <w:szCs w:val="24"/>
        </w:rPr>
        <w:t xml:space="preserve"> Staff’s recommendation to reduce the Company’s authorized return on equity reflects the lower cost of capital that the crisis engendered.  In contrast, PSE’s proposal to increase its authorized return on equity disregards the undisputed consequences of the crisis.</w:t>
      </w:r>
    </w:p>
    <w:p w:rsidR="006779C6"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1D405C" w:rsidRPr="00803D18">
        <w:rPr>
          <w:rFonts w:ascii="Times New Roman" w:hAnsi="Times New Roman"/>
          <w:sz w:val="24"/>
          <w:szCs w:val="24"/>
        </w:rPr>
        <w:t xml:space="preserve">Finally, </w:t>
      </w:r>
      <w:r w:rsidR="006A1E53" w:rsidRPr="00803D18">
        <w:rPr>
          <w:rFonts w:ascii="Times New Roman" w:hAnsi="Times New Roman"/>
          <w:sz w:val="24"/>
          <w:szCs w:val="24"/>
        </w:rPr>
        <w:t xml:space="preserve">this </w:t>
      </w:r>
      <w:r w:rsidR="001D405C" w:rsidRPr="00803D18">
        <w:rPr>
          <w:rFonts w:ascii="Times New Roman" w:hAnsi="Times New Roman"/>
          <w:sz w:val="24"/>
          <w:szCs w:val="24"/>
        </w:rPr>
        <w:t xml:space="preserve">proceeding </w:t>
      </w:r>
      <w:r w:rsidR="001B12FF" w:rsidRPr="00803D18">
        <w:rPr>
          <w:rFonts w:ascii="Times New Roman" w:hAnsi="Times New Roman"/>
          <w:sz w:val="24"/>
          <w:szCs w:val="24"/>
        </w:rPr>
        <w:t xml:space="preserve">is </w:t>
      </w:r>
      <w:r w:rsidR="006779C6" w:rsidRPr="00803D18">
        <w:rPr>
          <w:rFonts w:ascii="Times New Roman" w:hAnsi="Times New Roman"/>
          <w:sz w:val="24"/>
          <w:szCs w:val="24"/>
        </w:rPr>
        <w:t>PSE</w:t>
      </w:r>
      <w:r w:rsidR="001B12FF" w:rsidRPr="00803D18">
        <w:rPr>
          <w:rFonts w:ascii="Times New Roman" w:hAnsi="Times New Roman"/>
          <w:sz w:val="24"/>
          <w:szCs w:val="24"/>
        </w:rPr>
        <w:t>’s first</w:t>
      </w:r>
      <w:r w:rsidR="006779C6" w:rsidRPr="00803D18">
        <w:rPr>
          <w:rFonts w:ascii="Times New Roman" w:hAnsi="Times New Roman"/>
          <w:sz w:val="24"/>
          <w:szCs w:val="24"/>
        </w:rPr>
        <w:t xml:space="preserve"> rate </w:t>
      </w:r>
      <w:r w:rsidR="001D405C" w:rsidRPr="00803D18">
        <w:rPr>
          <w:rFonts w:ascii="Times New Roman" w:hAnsi="Times New Roman"/>
          <w:sz w:val="24"/>
          <w:szCs w:val="24"/>
        </w:rPr>
        <w:t>case</w:t>
      </w:r>
      <w:r w:rsidR="00C2214C" w:rsidRPr="00803D18">
        <w:rPr>
          <w:rFonts w:ascii="Times New Roman" w:hAnsi="Times New Roman"/>
          <w:sz w:val="24"/>
          <w:szCs w:val="24"/>
        </w:rPr>
        <w:t xml:space="preserve"> </w:t>
      </w:r>
      <w:r w:rsidR="008D5933" w:rsidRPr="00803D18">
        <w:rPr>
          <w:rFonts w:ascii="Times New Roman" w:hAnsi="Times New Roman"/>
          <w:sz w:val="24"/>
          <w:szCs w:val="24"/>
        </w:rPr>
        <w:t xml:space="preserve">since its </w:t>
      </w:r>
      <w:r w:rsidR="006A1E53" w:rsidRPr="00803D18">
        <w:rPr>
          <w:rFonts w:ascii="Times New Roman" w:hAnsi="Times New Roman"/>
          <w:sz w:val="24"/>
          <w:szCs w:val="24"/>
        </w:rPr>
        <w:t>2008 acquis</w:t>
      </w:r>
      <w:r w:rsidR="008D5933" w:rsidRPr="00803D18">
        <w:rPr>
          <w:rFonts w:ascii="Times New Roman" w:hAnsi="Times New Roman"/>
          <w:sz w:val="24"/>
          <w:szCs w:val="24"/>
        </w:rPr>
        <w:t xml:space="preserve">ition </w:t>
      </w:r>
      <w:r w:rsidR="006A1E53" w:rsidRPr="00803D18">
        <w:rPr>
          <w:rFonts w:ascii="Times New Roman" w:hAnsi="Times New Roman"/>
          <w:sz w:val="24"/>
          <w:szCs w:val="24"/>
        </w:rPr>
        <w:t>by an Investor Consortium.</w:t>
      </w:r>
      <w:r w:rsidR="006A1E53">
        <w:rPr>
          <w:rStyle w:val="FootnoteReference"/>
          <w:rFonts w:ascii="Times New Roman" w:hAnsi="Times New Roman"/>
          <w:sz w:val="24"/>
          <w:szCs w:val="24"/>
        </w:rPr>
        <w:footnoteReference w:id="4"/>
      </w:r>
      <w:r w:rsidR="006779C6" w:rsidRPr="00803D18">
        <w:rPr>
          <w:rFonts w:ascii="Times New Roman" w:hAnsi="Times New Roman"/>
          <w:sz w:val="24"/>
          <w:szCs w:val="24"/>
        </w:rPr>
        <w:t xml:space="preserve">  </w:t>
      </w:r>
      <w:r w:rsidR="00DC08AA" w:rsidRPr="00803D18">
        <w:rPr>
          <w:rFonts w:ascii="Times New Roman" w:hAnsi="Times New Roman"/>
          <w:sz w:val="24"/>
          <w:szCs w:val="24"/>
        </w:rPr>
        <w:t>Staff</w:t>
      </w:r>
      <w:r w:rsidR="00422275" w:rsidRPr="00803D18">
        <w:rPr>
          <w:rFonts w:ascii="Times New Roman" w:hAnsi="Times New Roman"/>
          <w:sz w:val="24"/>
          <w:szCs w:val="24"/>
        </w:rPr>
        <w:t xml:space="preserve"> proposes</w:t>
      </w:r>
      <w:r w:rsidR="0093650E" w:rsidRPr="00803D18">
        <w:rPr>
          <w:rFonts w:ascii="Times New Roman" w:hAnsi="Times New Roman"/>
          <w:sz w:val="24"/>
          <w:szCs w:val="24"/>
        </w:rPr>
        <w:t xml:space="preserve"> </w:t>
      </w:r>
      <w:r w:rsidR="00422275" w:rsidRPr="00803D18">
        <w:rPr>
          <w:rFonts w:ascii="Times New Roman" w:hAnsi="Times New Roman"/>
          <w:sz w:val="24"/>
          <w:szCs w:val="24"/>
        </w:rPr>
        <w:t xml:space="preserve">a </w:t>
      </w:r>
      <w:r w:rsidR="00930C61" w:rsidRPr="00803D18">
        <w:rPr>
          <w:rFonts w:ascii="Times New Roman" w:hAnsi="Times New Roman"/>
          <w:sz w:val="24"/>
          <w:szCs w:val="24"/>
        </w:rPr>
        <w:t xml:space="preserve">capital structure </w:t>
      </w:r>
      <w:r w:rsidR="00422275" w:rsidRPr="00803D18">
        <w:rPr>
          <w:rFonts w:ascii="Times New Roman" w:hAnsi="Times New Roman"/>
          <w:sz w:val="24"/>
          <w:szCs w:val="24"/>
        </w:rPr>
        <w:t xml:space="preserve">that </w:t>
      </w:r>
      <w:r w:rsidR="00881F56" w:rsidRPr="00803D18">
        <w:rPr>
          <w:rFonts w:ascii="Times New Roman" w:hAnsi="Times New Roman"/>
          <w:sz w:val="24"/>
          <w:szCs w:val="24"/>
        </w:rPr>
        <w:t>satisfies the Commission’s standard to balance safety and economy</w:t>
      </w:r>
      <w:r w:rsidR="00F81150" w:rsidRPr="00803D18">
        <w:rPr>
          <w:rFonts w:ascii="Times New Roman" w:hAnsi="Times New Roman"/>
          <w:sz w:val="24"/>
          <w:szCs w:val="24"/>
        </w:rPr>
        <w:t xml:space="preserve">, </w:t>
      </w:r>
      <w:r w:rsidR="00881F56" w:rsidRPr="00803D18">
        <w:rPr>
          <w:rFonts w:ascii="Times New Roman" w:hAnsi="Times New Roman"/>
          <w:sz w:val="24"/>
          <w:szCs w:val="24"/>
        </w:rPr>
        <w:t>ensuring</w:t>
      </w:r>
      <w:r w:rsidR="00930C61" w:rsidRPr="00803D18">
        <w:rPr>
          <w:rFonts w:ascii="Times New Roman" w:hAnsi="Times New Roman"/>
          <w:sz w:val="24"/>
          <w:szCs w:val="24"/>
        </w:rPr>
        <w:t xml:space="preserve"> that</w:t>
      </w:r>
      <w:r w:rsidR="001B12FF" w:rsidRPr="00803D18">
        <w:rPr>
          <w:rFonts w:ascii="Times New Roman" w:hAnsi="Times New Roman"/>
          <w:sz w:val="24"/>
          <w:szCs w:val="24"/>
        </w:rPr>
        <w:t xml:space="preserve"> the </w:t>
      </w:r>
      <w:r w:rsidR="00422275" w:rsidRPr="00803D18">
        <w:rPr>
          <w:rFonts w:ascii="Times New Roman" w:hAnsi="Times New Roman"/>
          <w:sz w:val="24"/>
          <w:szCs w:val="24"/>
        </w:rPr>
        <w:t xml:space="preserve">new owners are fairly </w:t>
      </w:r>
      <w:r w:rsidR="00881F56" w:rsidRPr="00803D18">
        <w:rPr>
          <w:rFonts w:ascii="Times New Roman" w:hAnsi="Times New Roman"/>
          <w:sz w:val="24"/>
          <w:szCs w:val="24"/>
        </w:rPr>
        <w:t xml:space="preserve">compensated </w:t>
      </w:r>
      <w:r w:rsidR="00930C61" w:rsidRPr="00803D18">
        <w:rPr>
          <w:rFonts w:ascii="Times New Roman" w:hAnsi="Times New Roman"/>
          <w:sz w:val="24"/>
          <w:szCs w:val="24"/>
        </w:rPr>
        <w:t>for their equity investment in PSE</w:t>
      </w:r>
      <w:r w:rsidR="00C2214C" w:rsidRPr="00803D18">
        <w:rPr>
          <w:rFonts w:ascii="Times New Roman" w:hAnsi="Times New Roman"/>
          <w:sz w:val="24"/>
          <w:szCs w:val="24"/>
        </w:rPr>
        <w:t>.</w:t>
      </w:r>
      <w:r w:rsidR="006779C6" w:rsidRPr="00803D18">
        <w:rPr>
          <w:rFonts w:ascii="Times New Roman" w:hAnsi="Times New Roman"/>
          <w:sz w:val="24"/>
          <w:szCs w:val="24"/>
        </w:rPr>
        <w:t xml:space="preserve">  </w:t>
      </w:r>
      <w:r w:rsidR="00422275" w:rsidRPr="00803D18">
        <w:rPr>
          <w:rFonts w:ascii="Times New Roman" w:hAnsi="Times New Roman"/>
          <w:sz w:val="24"/>
          <w:szCs w:val="24"/>
        </w:rPr>
        <w:t>PSE</w:t>
      </w:r>
      <w:r w:rsidR="001D405C" w:rsidRPr="00803D18">
        <w:rPr>
          <w:rFonts w:ascii="Times New Roman" w:hAnsi="Times New Roman"/>
          <w:sz w:val="24"/>
          <w:szCs w:val="24"/>
        </w:rPr>
        <w:t>’s proposed capital structure</w:t>
      </w:r>
      <w:r w:rsidR="00881F56" w:rsidRPr="00803D18">
        <w:rPr>
          <w:rFonts w:ascii="Times New Roman" w:hAnsi="Times New Roman"/>
          <w:sz w:val="24"/>
          <w:szCs w:val="24"/>
        </w:rPr>
        <w:t xml:space="preserve"> </w:t>
      </w:r>
      <w:r w:rsidR="0063076A" w:rsidRPr="00803D18">
        <w:rPr>
          <w:rFonts w:ascii="Times New Roman" w:hAnsi="Times New Roman"/>
          <w:sz w:val="24"/>
          <w:szCs w:val="24"/>
        </w:rPr>
        <w:t xml:space="preserve">requires </w:t>
      </w:r>
      <w:r w:rsidR="00F81150" w:rsidRPr="00803D18">
        <w:rPr>
          <w:rFonts w:ascii="Times New Roman" w:hAnsi="Times New Roman"/>
          <w:sz w:val="24"/>
          <w:szCs w:val="24"/>
        </w:rPr>
        <w:t>customer</w:t>
      </w:r>
      <w:r w:rsidR="001D405C" w:rsidRPr="00803D18">
        <w:rPr>
          <w:rFonts w:ascii="Times New Roman" w:hAnsi="Times New Roman"/>
          <w:sz w:val="24"/>
          <w:szCs w:val="24"/>
        </w:rPr>
        <w:t xml:space="preserve">s to </w:t>
      </w:r>
      <w:r w:rsidR="001B12FF" w:rsidRPr="00803D18">
        <w:rPr>
          <w:rFonts w:ascii="Times New Roman" w:hAnsi="Times New Roman"/>
          <w:sz w:val="24"/>
          <w:szCs w:val="24"/>
        </w:rPr>
        <w:t>pay for</w:t>
      </w:r>
      <w:r w:rsidR="00881F56" w:rsidRPr="00803D18">
        <w:rPr>
          <w:rFonts w:ascii="Times New Roman" w:hAnsi="Times New Roman"/>
          <w:sz w:val="24"/>
          <w:szCs w:val="24"/>
        </w:rPr>
        <w:t xml:space="preserve"> an excessive equity ratio that </w:t>
      </w:r>
      <w:r w:rsidR="00F81150" w:rsidRPr="00803D18">
        <w:rPr>
          <w:rFonts w:ascii="Times New Roman" w:hAnsi="Times New Roman"/>
          <w:sz w:val="24"/>
          <w:szCs w:val="24"/>
        </w:rPr>
        <w:t>violates that</w:t>
      </w:r>
      <w:r w:rsidR="00881F56" w:rsidRPr="00803D18">
        <w:rPr>
          <w:rFonts w:ascii="Times New Roman" w:hAnsi="Times New Roman"/>
          <w:sz w:val="24"/>
          <w:szCs w:val="24"/>
        </w:rPr>
        <w:t xml:space="preserve"> standard.</w:t>
      </w:r>
    </w:p>
    <w:p w:rsidR="007A3AF8" w:rsidRPr="00803D18" w:rsidRDefault="00803D18" w:rsidP="00803D18">
      <w:pPr>
        <w:keepNext/>
        <w:spacing w:line="480" w:lineRule="auto"/>
        <w:jc w:val="center"/>
        <w:rPr>
          <w:rFonts w:ascii="Times New Roman" w:hAnsi="Times New Roman"/>
          <w:b/>
          <w:bCs/>
          <w:sz w:val="24"/>
          <w:szCs w:val="24"/>
        </w:rPr>
      </w:pPr>
      <w:r>
        <w:rPr>
          <w:rFonts w:ascii="Times New Roman" w:hAnsi="Times New Roman"/>
          <w:b/>
          <w:bCs/>
          <w:sz w:val="24"/>
          <w:szCs w:val="24"/>
        </w:rPr>
        <w:lastRenderedPageBreak/>
        <w:t xml:space="preserve">II.  </w:t>
      </w:r>
      <w:r w:rsidR="00A0582A" w:rsidRPr="00803D18">
        <w:rPr>
          <w:rFonts w:ascii="Times New Roman" w:hAnsi="Times New Roman"/>
          <w:b/>
          <w:bCs/>
          <w:sz w:val="24"/>
          <w:szCs w:val="24"/>
        </w:rPr>
        <w:t>COST OF CAPITAL</w:t>
      </w:r>
    </w:p>
    <w:p w:rsidR="007A3AF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7A3AF8" w:rsidRPr="007A3AF8">
        <w:rPr>
          <w:rFonts w:ascii="Times New Roman" w:hAnsi="Times New Roman"/>
          <w:sz w:val="24"/>
          <w:szCs w:val="24"/>
        </w:rPr>
        <w:t xml:space="preserve">The cost of capital for PSE is one of the most contentious issues in this proceeding. </w:t>
      </w:r>
      <w:r w:rsidR="00137437">
        <w:rPr>
          <w:rFonts w:ascii="Times New Roman" w:hAnsi="Times New Roman"/>
          <w:sz w:val="24"/>
          <w:szCs w:val="24"/>
        </w:rPr>
        <w:t xml:space="preserve"> </w:t>
      </w:r>
      <w:r w:rsidR="00F65570" w:rsidRPr="007A3AF8">
        <w:rPr>
          <w:rFonts w:ascii="Times New Roman" w:hAnsi="Times New Roman"/>
          <w:sz w:val="24"/>
          <w:szCs w:val="24"/>
        </w:rPr>
        <w:t xml:space="preserve"> </w:t>
      </w:r>
      <w:r w:rsidR="007A3AF8" w:rsidRPr="007A3AF8">
        <w:rPr>
          <w:rFonts w:ascii="Times New Roman" w:hAnsi="Times New Roman"/>
          <w:sz w:val="24"/>
          <w:szCs w:val="24"/>
        </w:rPr>
        <w:t>T</w:t>
      </w:r>
      <w:r w:rsidR="00137437">
        <w:rPr>
          <w:rFonts w:ascii="Times New Roman" w:hAnsi="Times New Roman"/>
          <w:sz w:val="24"/>
          <w:szCs w:val="24"/>
        </w:rPr>
        <w:t xml:space="preserve">hree parties </w:t>
      </w:r>
      <w:r w:rsidR="00702B8D">
        <w:rPr>
          <w:rFonts w:ascii="Times New Roman" w:hAnsi="Times New Roman"/>
          <w:sz w:val="24"/>
          <w:szCs w:val="24"/>
        </w:rPr>
        <w:t xml:space="preserve">presented witnesses </w:t>
      </w:r>
      <w:r w:rsidR="0063076A">
        <w:rPr>
          <w:rFonts w:ascii="Times New Roman" w:hAnsi="Times New Roman"/>
          <w:sz w:val="24"/>
          <w:szCs w:val="24"/>
        </w:rPr>
        <w:t>addressing</w:t>
      </w:r>
      <w:r w:rsidR="00F65570">
        <w:rPr>
          <w:rFonts w:ascii="Times New Roman" w:hAnsi="Times New Roman"/>
          <w:sz w:val="24"/>
          <w:szCs w:val="24"/>
        </w:rPr>
        <w:t xml:space="preserve"> the issue</w:t>
      </w:r>
      <w:r w:rsidR="00E36EE4">
        <w:rPr>
          <w:rFonts w:ascii="Times New Roman" w:hAnsi="Times New Roman"/>
          <w:sz w:val="24"/>
          <w:szCs w:val="24"/>
        </w:rPr>
        <w:t>:  Mr. David Parcell for Staff,</w:t>
      </w:r>
      <w:r w:rsidR="00702B8D">
        <w:rPr>
          <w:rFonts w:ascii="Times New Roman" w:hAnsi="Times New Roman"/>
          <w:sz w:val="24"/>
          <w:szCs w:val="24"/>
        </w:rPr>
        <w:t xml:space="preserve"> Dr. Roger Morin and Mr. Donald Gaines for PSE, and Mr. Steven Hill for Public Counsel.</w:t>
      </w:r>
      <w:r w:rsidR="007A3AF8" w:rsidRPr="007A3AF8">
        <w:rPr>
          <w:rFonts w:ascii="Times New Roman" w:hAnsi="Times New Roman"/>
          <w:sz w:val="24"/>
          <w:szCs w:val="24"/>
        </w:rPr>
        <w:t xml:space="preserve">  In turn, there are three contested components of the cost of capital calcul</w:t>
      </w:r>
      <w:r w:rsidR="00F65570">
        <w:rPr>
          <w:rFonts w:ascii="Times New Roman" w:hAnsi="Times New Roman"/>
          <w:sz w:val="24"/>
          <w:szCs w:val="24"/>
        </w:rPr>
        <w:t>ation</w:t>
      </w:r>
      <w:r w:rsidR="007A3AF8" w:rsidRPr="007A3AF8">
        <w:rPr>
          <w:rFonts w:ascii="Times New Roman" w:hAnsi="Times New Roman"/>
          <w:sz w:val="24"/>
          <w:szCs w:val="24"/>
        </w:rPr>
        <w:t>:</w:t>
      </w:r>
    </w:p>
    <w:p w:rsidR="00137437" w:rsidRPr="002F05E6" w:rsidRDefault="00137437" w:rsidP="00137437">
      <w:pPr>
        <w:spacing w:line="480" w:lineRule="auto"/>
        <w:rPr>
          <w:rFonts w:ascii="Times New Roman" w:hAnsi="Times New Roman"/>
          <w:sz w:val="24"/>
          <w:szCs w:val="24"/>
        </w:rPr>
      </w:pPr>
      <w:r>
        <w:rPr>
          <w:rFonts w:ascii="Times New Roman" w:hAnsi="Times New Roman"/>
          <w:sz w:val="24"/>
          <w:szCs w:val="24"/>
        </w:rPr>
        <w:tab/>
      </w:r>
      <w:r w:rsidRPr="002F05E6">
        <w:rPr>
          <w:rFonts w:ascii="Times New Roman" w:hAnsi="Times New Roman"/>
          <w:sz w:val="24"/>
          <w:szCs w:val="24"/>
          <w:u w:val="single"/>
        </w:rPr>
        <w:t>Issue</w:t>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u w:val="single"/>
        </w:rPr>
        <w:t>PSE</w:t>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u w:val="single"/>
        </w:rPr>
        <w:t>Staff</w:t>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u w:val="single"/>
        </w:rPr>
        <w:t>Public Counsel</w:t>
      </w:r>
    </w:p>
    <w:p w:rsidR="00137437" w:rsidRPr="00137437" w:rsidRDefault="00137437" w:rsidP="00341F57">
      <w:pPr>
        <w:rPr>
          <w:rFonts w:ascii="Times New Roman" w:hAnsi="Times New Roman"/>
          <w:sz w:val="24"/>
          <w:szCs w:val="24"/>
        </w:rPr>
      </w:pPr>
      <w:r w:rsidRPr="00137437">
        <w:rPr>
          <w:rFonts w:ascii="Times New Roman" w:hAnsi="Times New Roman"/>
          <w:sz w:val="24"/>
          <w:szCs w:val="24"/>
        </w:rPr>
        <w:t>Common Equity Ratio</w:t>
      </w:r>
      <w:r w:rsidRPr="00137437">
        <w:rPr>
          <w:rFonts w:ascii="Times New Roman" w:hAnsi="Times New Roman"/>
          <w:sz w:val="24"/>
          <w:szCs w:val="24"/>
        </w:rPr>
        <w:tab/>
      </w:r>
      <w:r w:rsidRPr="00137437">
        <w:rPr>
          <w:rFonts w:ascii="Times New Roman" w:hAnsi="Times New Roman"/>
          <w:sz w:val="24"/>
          <w:szCs w:val="24"/>
        </w:rPr>
        <w:tab/>
      </w:r>
      <w:r>
        <w:rPr>
          <w:rFonts w:ascii="Times New Roman" w:hAnsi="Times New Roman"/>
          <w:sz w:val="24"/>
          <w:szCs w:val="24"/>
        </w:rPr>
        <w:tab/>
      </w:r>
      <w:r w:rsidRPr="00137437">
        <w:rPr>
          <w:rFonts w:ascii="Times New Roman" w:hAnsi="Times New Roman"/>
          <w:sz w:val="24"/>
          <w:szCs w:val="24"/>
        </w:rPr>
        <w:t>48.0%</w:t>
      </w:r>
      <w:r w:rsidRPr="00137437">
        <w:rPr>
          <w:rFonts w:ascii="Times New Roman" w:hAnsi="Times New Roman"/>
          <w:sz w:val="24"/>
          <w:szCs w:val="24"/>
        </w:rPr>
        <w:tab/>
      </w:r>
      <w:r w:rsidRPr="00137437">
        <w:rPr>
          <w:rFonts w:ascii="Times New Roman" w:hAnsi="Times New Roman"/>
          <w:sz w:val="24"/>
          <w:szCs w:val="24"/>
        </w:rPr>
        <w:tab/>
        <w:t>45.0%</w:t>
      </w:r>
      <w:r w:rsidRPr="00137437">
        <w:rPr>
          <w:rFonts w:ascii="Times New Roman" w:hAnsi="Times New Roman"/>
          <w:sz w:val="24"/>
          <w:szCs w:val="24"/>
        </w:rPr>
        <w:tab/>
      </w:r>
      <w:r w:rsidRPr="00137437">
        <w:rPr>
          <w:rFonts w:ascii="Times New Roman" w:hAnsi="Times New Roman"/>
          <w:sz w:val="24"/>
          <w:szCs w:val="24"/>
        </w:rPr>
        <w:tab/>
        <w:t>43.0%</w:t>
      </w:r>
    </w:p>
    <w:p w:rsidR="00137437" w:rsidRPr="00137437" w:rsidRDefault="00137437" w:rsidP="00341F57">
      <w:pPr>
        <w:rPr>
          <w:rFonts w:ascii="Times New Roman" w:hAnsi="Times New Roman"/>
          <w:sz w:val="24"/>
          <w:szCs w:val="24"/>
        </w:rPr>
      </w:pPr>
      <w:r>
        <w:rPr>
          <w:rFonts w:ascii="Times New Roman" w:hAnsi="Times New Roman"/>
          <w:sz w:val="24"/>
          <w:szCs w:val="24"/>
        </w:rPr>
        <w:t>Cost of Long-Term Debt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7437">
        <w:rPr>
          <w:rFonts w:ascii="Times New Roman" w:hAnsi="Times New Roman"/>
          <w:sz w:val="24"/>
          <w:szCs w:val="24"/>
        </w:rPr>
        <w:t>6.70%</w:t>
      </w:r>
      <w:r w:rsidRPr="00137437">
        <w:rPr>
          <w:rFonts w:ascii="Times New Roman" w:hAnsi="Times New Roman"/>
          <w:sz w:val="24"/>
          <w:szCs w:val="24"/>
        </w:rPr>
        <w:tab/>
      </w:r>
      <w:r w:rsidRPr="00137437">
        <w:rPr>
          <w:rFonts w:ascii="Times New Roman" w:hAnsi="Times New Roman"/>
          <w:sz w:val="24"/>
          <w:szCs w:val="24"/>
        </w:rPr>
        <w:tab/>
        <w:t>6.48%</w:t>
      </w:r>
      <w:r w:rsidRPr="00137437">
        <w:rPr>
          <w:rFonts w:ascii="Times New Roman" w:hAnsi="Times New Roman"/>
          <w:sz w:val="24"/>
          <w:szCs w:val="24"/>
        </w:rPr>
        <w:tab/>
      </w:r>
      <w:r w:rsidRPr="00137437">
        <w:rPr>
          <w:rFonts w:ascii="Times New Roman" w:hAnsi="Times New Roman"/>
          <w:sz w:val="24"/>
          <w:szCs w:val="24"/>
        </w:rPr>
        <w:tab/>
        <w:t>6.82%</w:t>
      </w:r>
    </w:p>
    <w:p w:rsidR="00137437" w:rsidRPr="00137437" w:rsidRDefault="00137437" w:rsidP="00341F57">
      <w:pPr>
        <w:rPr>
          <w:rFonts w:ascii="Times New Roman" w:hAnsi="Times New Roman"/>
          <w:sz w:val="24"/>
          <w:szCs w:val="24"/>
        </w:rPr>
      </w:pPr>
      <w:r w:rsidRPr="00137437">
        <w:rPr>
          <w:rFonts w:ascii="Times New Roman" w:hAnsi="Times New Roman"/>
          <w:sz w:val="24"/>
          <w:szCs w:val="24"/>
        </w:rPr>
        <w:t>Cost of Commo</w:t>
      </w:r>
      <w:r>
        <w:rPr>
          <w:rFonts w:ascii="Times New Roman" w:hAnsi="Times New Roman"/>
          <w:sz w:val="24"/>
          <w:szCs w:val="24"/>
        </w:rPr>
        <w:t>n Equity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7437">
        <w:rPr>
          <w:rFonts w:ascii="Times New Roman" w:hAnsi="Times New Roman"/>
          <w:sz w:val="24"/>
          <w:szCs w:val="24"/>
        </w:rPr>
        <w:t>10.7%</w:t>
      </w:r>
      <w:r w:rsidRPr="00137437">
        <w:rPr>
          <w:rFonts w:ascii="Times New Roman" w:hAnsi="Times New Roman"/>
          <w:sz w:val="24"/>
          <w:szCs w:val="24"/>
        </w:rPr>
        <w:tab/>
      </w:r>
      <w:r w:rsidRPr="00137437">
        <w:rPr>
          <w:rFonts w:ascii="Times New Roman" w:hAnsi="Times New Roman"/>
          <w:sz w:val="24"/>
          <w:szCs w:val="24"/>
        </w:rPr>
        <w:tab/>
        <w:t>10.0%</w:t>
      </w:r>
      <w:r w:rsidRPr="00137437">
        <w:rPr>
          <w:rFonts w:ascii="Times New Roman" w:hAnsi="Times New Roman"/>
          <w:sz w:val="24"/>
          <w:szCs w:val="24"/>
        </w:rPr>
        <w:tab/>
      </w:r>
      <w:r w:rsidRPr="00137437">
        <w:rPr>
          <w:rFonts w:ascii="Times New Roman" w:hAnsi="Times New Roman"/>
          <w:sz w:val="24"/>
          <w:szCs w:val="24"/>
        </w:rPr>
        <w:tab/>
        <w:t>9.5%</w:t>
      </w:r>
    </w:p>
    <w:p w:rsidR="00341F57" w:rsidRDefault="00137437" w:rsidP="00341F57">
      <w:pPr>
        <w:spacing w:line="276" w:lineRule="auto"/>
        <w:rPr>
          <w:rFonts w:ascii="Times New Roman" w:hAnsi="Times New Roman"/>
          <w:sz w:val="24"/>
          <w:szCs w:val="24"/>
        </w:rPr>
      </w:pPr>
      <w:r>
        <w:rPr>
          <w:rFonts w:ascii="Times New Roman" w:hAnsi="Times New Roman"/>
          <w:sz w:val="24"/>
          <w:szCs w:val="24"/>
        </w:rPr>
        <w:t>Total Cost of Capital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7437">
        <w:rPr>
          <w:rFonts w:ascii="Times New Roman" w:hAnsi="Times New Roman"/>
          <w:sz w:val="24"/>
          <w:szCs w:val="24"/>
        </w:rPr>
        <w:t>8.50%</w:t>
      </w:r>
      <w:r w:rsidRPr="00137437">
        <w:rPr>
          <w:rFonts w:ascii="Times New Roman" w:hAnsi="Times New Roman"/>
          <w:sz w:val="24"/>
          <w:szCs w:val="24"/>
        </w:rPr>
        <w:tab/>
      </w:r>
      <w:r w:rsidRPr="00137437">
        <w:rPr>
          <w:rFonts w:ascii="Times New Roman" w:hAnsi="Times New Roman"/>
          <w:sz w:val="24"/>
          <w:szCs w:val="24"/>
        </w:rPr>
        <w:tab/>
        <w:t>7.91%</w:t>
      </w:r>
      <w:r w:rsidRPr="00137437">
        <w:rPr>
          <w:rFonts w:ascii="Times New Roman" w:hAnsi="Times New Roman"/>
          <w:sz w:val="24"/>
          <w:szCs w:val="24"/>
        </w:rPr>
        <w:tab/>
      </w:r>
      <w:r w:rsidRPr="00137437">
        <w:rPr>
          <w:rFonts w:ascii="Times New Roman" w:hAnsi="Times New Roman"/>
          <w:sz w:val="24"/>
          <w:szCs w:val="24"/>
        </w:rPr>
        <w:tab/>
        <w:t>7.73%</w:t>
      </w:r>
    </w:p>
    <w:p w:rsidR="00341F57" w:rsidRDefault="00702B8D" w:rsidP="00341F57">
      <w:pPr>
        <w:spacing w:line="276" w:lineRule="auto"/>
        <w:rPr>
          <w:rFonts w:ascii="Times New Roman" w:hAnsi="Times New Roman"/>
          <w:bCs/>
          <w:sz w:val="24"/>
          <w:szCs w:val="24"/>
        </w:rPr>
      </w:pPr>
      <w:r>
        <w:rPr>
          <w:rFonts w:ascii="Times New Roman" w:hAnsi="Times New Roman"/>
          <w:bCs/>
          <w:sz w:val="24"/>
          <w:szCs w:val="24"/>
        </w:rPr>
        <w:tab/>
      </w:r>
    </w:p>
    <w:p w:rsidR="00341F57" w:rsidRDefault="00803D18" w:rsidP="00C61B17">
      <w:pPr>
        <w:pStyle w:val="ListParagraph"/>
        <w:numPr>
          <w:ilvl w:val="0"/>
          <w:numId w:val="11"/>
        </w:numPr>
        <w:spacing w:line="480" w:lineRule="auto"/>
        <w:rPr>
          <w:rFonts w:ascii="Times New Roman" w:hAnsi="Times New Roman"/>
          <w:b/>
          <w:bCs/>
          <w:sz w:val="24"/>
          <w:szCs w:val="24"/>
        </w:rPr>
      </w:pPr>
      <w:r>
        <w:rPr>
          <w:rFonts w:ascii="Times New Roman" w:hAnsi="Times New Roman"/>
          <w:bCs/>
          <w:sz w:val="24"/>
          <w:szCs w:val="24"/>
        </w:rPr>
        <w:tab/>
      </w:r>
      <w:r w:rsidR="00F65570">
        <w:rPr>
          <w:rFonts w:ascii="Times New Roman" w:hAnsi="Times New Roman"/>
          <w:bCs/>
          <w:sz w:val="24"/>
          <w:szCs w:val="24"/>
        </w:rPr>
        <w:t xml:space="preserve">For the reasons set forth below, </w:t>
      </w:r>
      <w:r w:rsidR="00725721">
        <w:rPr>
          <w:rFonts w:ascii="Times New Roman" w:hAnsi="Times New Roman"/>
          <w:bCs/>
          <w:sz w:val="24"/>
          <w:szCs w:val="24"/>
        </w:rPr>
        <w:t xml:space="preserve">the </w:t>
      </w:r>
      <w:r w:rsidR="00137437" w:rsidRPr="00137437">
        <w:rPr>
          <w:rFonts w:ascii="Times New Roman" w:hAnsi="Times New Roman"/>
          <w:sz w:val="24"/>
          <w:szCs w:val="24"/>
        </w:rPr>
        <w:t>Commission should find that the</w:t>
      </w:r>
      <w:r w:rsidR="00725721">
        <w:rPr>
          <w:rFonts w:ascii="Times New Roman" w:hAnsi="Times New Roman"/>
          <w:sz w:val="24"/>
          <w:szCs w:val="24"/>
        </w:rPr>
        <w:t xml:space="preserve"> </w:t>
      </w:r>
      <w:r w:rsidR="00AF7A37">
        <w:rPr>
          <w:rFonts w:ascii="Times New Roman" w:hAnsi="Times New Roman"/>
          <w:sz w:val="24"/>
          <w:szCs w:val="24"/>
        </w:rPr>
        <w:t xml:space="preserve">total </w:t>
      </w:r>
      <w:r w:rsidR="00725721">
        <w:rPr>
          <w:rFonts w:ascii="Times New Roman" w:hAnsi="Times New Roman"/>
          <w:sz w:val="24"/>
          <w:szCs w:val="24"/>
        </w:rPr>
        <w:t xml:space="preserve">cost of capital for PSE is </w:t>
      </w:r>
      <w:r w:rsidR="00702B8D">
        <w:rPr>
          <w:rFonts w:ascii="Times New Roman" w:hAnsi="Times New Roman"/>
          <w:sz w:val="24"/>
          <w:szCs w:val="24"/>
        </w:rPr>
        <w:t>Mr. Parcell</w:t>
      </w:r>
      <w:r w:rsidR="00FF3E5D">
        <w:rPr>
          <w:rFonts w:ascii="Times New Roman" w:hAnsi="Times New Roman"/>
          <w:sz w:val="24"/>
          <w:szCs w:val="24"/>
        </w:rPr>
        <w:t xml:space="preserve">’s </w:t>
      </w:r>
      <w:r w:rsidR="009B02A0">
        <w:rPr>
          <w:rFonts w:ascii="Times New Roman" w:hAnsi="Times New Roman"/>
          <w:sz w:val="24"/>
          <w:szCs w:val="24"/>
        </w:rPr>
        <w:t>7.91 percent</w:t>
      </w:r>
      <w:r w:rsidR="00137437" w:rsidRPr="00137437">
        <w:rPr>
          <w:rFonts w:ascii="Times New Roman" w:hAnsi="Times New Roman"/>
          <w:sz w:val="24"/>
          <w:szCs w:val="24"/>
        </w:rPr>
        <w:t>:</w:t>
      </w:r>
      <w:r w:rsidR="00421694">
        <w:rPr>
          <w:rStyle w:val="FootnoteReference"/>
          <w:rFonts w:ascii="Times New Roman" w:hAnsi="Times New Roman"/>
          <w:sz w:val="24"/>
          <w:szCs w:val="24"/>
        </w:rPr>
        <w:footnoteReference w:id="5"/>
      </w:r>
    </w:p>
    <w:p w:rsidR="00864C65" w:rsidRDefault="00341F57" w:rsidP="00864C65">
      <w:pPr>
        <w:pStyle w:val="ListParagraph"/>
        <w:spacing w:line="480" w:lineRule="auto"/>
        <w:ind w:left="0"/>
        <w:rPr>
          <w:rFonts w:ascii="Times New Roman" w:hAnsi="Times New Roman"/>
          <w:b/>
          <w:bCs/>
          <w:sz w:val="24"/>
          <w:szCs w:val="24"/>
        </w:rPr>
      </w:pPr>
      <w:r>
        <w:rPr>
          <w:rFonts w:ascii="Times New Roman" w:hAnsi="Times New Roman"/>
          <w:b/>
          <w:bCs/>
          <w:sz w:val="24"/>
          <w:szCs w:val="24"/>
        </w:rPr>
        <w:t>A</w:t>
      </w:r>
      <w:r w:rsidR="00864C65">
        <w:rPr>
          <w:rFonts w:ascii="Times New Roman" w:hAnsi="Times New Roman"/>
          <w:b/>
          <w:bCs/>
          <w:sz w:val="24"/>
          <w:szCs w:val="24"/>
        </w:rPr>
        <w:t>.</w:t>
      </w:r>
      <w:r w:rsidR="00864C65">
        <w:rPr>
          <w:rFonts w:ascii="Times New Roman" w:hAnsi="Times New Roman"/>
          <w:b/>
          <w:bCs/>
          <w:sz w:val="24"/>
          <w:szCs w:val="24"/>
        </w:rPr>
        <w:tab/>
        <w:t>Capital Structure</w:t>
      </w:r>
    </w:p>
    <w:p w:rsidR="00864C65"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864C65" w:rsidRPr="00803D18">
        <w:rPr>
          <w:rFonts w:ascii="Times New Roman" w:hAnsi="Times New Roman"/>
          <w:sz w:val="24"/>
          <w:szCs w:val="24"/>
        </w:rPr>
        <w:t>The Commission should reject the Company’</w:t>
      </w:r>
      <w:r w:rsidR="00422275" w:rsidRPr="00803D18">
        <w:rPr>
          <w:rFonts w:ascii="Times New Roman" w:hAnsi="Times New Roman"/>
          <w:sz w:val="24"/>
          <w:szCs w:val="24"/>
        </w:rPr>
        <w:t xml:space="preserve">s proposed capital structure with </w:t>
      </w:r>
      <w:r w:rsidR="00864C65" w:rsidRPr="00803D18">
        <w:rPr>
          <w:rFonts w:ascii="Times New Roman" w:hAnsi="Times New Roman"/>
          <w:sz w:val="24"/>
          <w:szCs w:val="24"/>
        </w:rPr>
        <w:t>a 48.0 percent common equity r</w:t>
      </w:r>
      <w:r w:rsidR="00FF3E5D" w:rsidRPr="00803D18">
        <w:rPr>
          <w:rFonts w:ascii="Times New Roman" w:hAnsi="Times New Roman"/>
          <w:sz w:val="24"/>
          <w:szCs w:val="24"/>
        </w:rPr>
        <w:t xml:space="preserve">atio.  </w:t>
      </w:r>
      <w:r w:rsidR="00864C65" w:rsidRPr="00803D18">
        <w:rPr>
          <w:rFonts w:ascii="Times New Roman" w:hAnsi="Times New Roman"/>
          <w:sz w:val="24"/>
          <w:szCs w:val="24"/>
        </w:rPr>
        <w:t>P</w:t>
      </w:r>
      <w:r w:rsidR="00422275" w:rsidRPr="00803D18">
        <w:rPr>
          <w:rFonts w:ascii="Times New Roman" w:hAnsi="Times New Roman"/>
          <w:sz w:val="24"/>
          <w:szCs w:val="24"/>
        </w:rPr>
        <w:t>SE has a long-history of seeking</w:t>
      </w:r>
      <w:r w:rsidR="00864C65" w:rsidRPr="00803D18">
        <w:rPr>
          <w:rFonts w:ascii="Times New Roman" w:hAnsi="Times New Roman"/>
          <w:sz w:val="24"/>
          <w:szCs w:val="24"/>
        </w:rPr>
        <w:t xml:space="preserve"> hypothetical capital structures that exceed its actual common equity ratios.  PSE requested a 45 percent common equity ratio in its </w:t>
      </w:r>
      <w:r w:rsidR="00DC08AA" w:rsidRPr="00803D18">
        <w:rPr>
          <w:rFonts w:ascii="Times New Roman" w:hAnsi="Times New Roman"/>
          <w:sz w:val="24"/>
          <w:szCs w:val="24"/>
        </w:rPr>
        <w:t>last five</w:t>
      </w:r>
      <w:r w:rsidR="00864C65" w:rsidRPr="00803D18">
        <w:rPr>
          <w:rFonts w:ascii="Times New Roman" w:hAnsi="Times New Roman"/>
          <w:sz w:val="24"/>
          <w:szCs w:val="24"/>
        </w:rPr>
        <w:t xml:space="preserve"> cases,</w:t>
      </w:r>
      <w:r w:rsidR="00422275" w:rsidRPr="00803D18">
        <w:rPr>
          <w:rFonts w:ascii="Times New Roman" w:hAnsi="Times New Roman"/>
          <w:sz w:val="24"/>
          <w:szCs w:val="24"/>
        </w:rPr>
        <w:t xml:space="preserve"> despite year-end </w:t>
      </w:r>
      <w:r w:rsidR="00864C65" w:rsidRPr="00803D18">
        <w:rPr>
          <w:rFonts w:ascii="Times New Roman" w:hAnsi="Times New Roman"/>
          <w:sz w:val="24"/>
          <w:szCs w:val="24"/>
        </w:rPr>
        <w:t>actu</w:t>
      </w:r>
      <w:r w:rsidR="00422275" w:rsidRPr="00803D18">
        <w:rPr>
          <w:rFonts w:ascii="Times New Roman" w:hAnsi="Times New Roman"/>
          <w:sz w:val="24"/>
          <w:szCs w:val="24"/>
        </w:rPr>
        <w:t xml:space="preserve">al common equity ratios of </w:t>
      </w:r>
      <w:r w:rsidR="00836F87" w:rsidRPr="00803D18">
        <w:rPr>
          <w:rFonts w:ascii="Times New Roman" w:hAnsi="Times New Roman"/>
          <w:sz w:val="24"/>
          <w:szCs w:val="24"/>
        </w:rPr>
        <w:t>40.11 percent (2004), 43.84 percent (2005), 39.81 percent (2006), and 39.58 percent (2007).</w:t>
      </w:r>
      <w:r w:rsidR="00864C65">
        <w:rPr>
          <w:rStyle w:val="FootnoteReference"/>
          <w:rFonts w:ascii="Times New Roman" w:hAnsi="Times New Roman"/>
          <w:sz w:val="24"/>
          <w:szCs w:val="24"/>
        </w:rPr>
        <w:footnoteReference w:id="6"/>
      </w:r>
      <w:r w:rsidR="00864C65" w:rsidRPr="00803D18">
        <w:rPr>
          <w:rFonts w:ascii="Times New Roman" w:hAnsi="Times New Roman"/>
          <w:sz w:val="24"/>
          <w:szCs w:val="24"/>
        </w:rPr>
        <w:t xml:space="preserve">  </w:t>
      </w:r>
    </w:p>
    <w:p w:rsidR="00864C65"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FF3E5D" w:rsidRPr="00803D18">
        <w:rPr>
          <w:rFonts w:ascii="Times New Roman" w:hAnsi="Times New Roman"/>
          <w:sz w:val="24"/>
          <w:szCs w:val="24"/>
        </w:rPr>
        <w:t>T</w:t>
      </w:r>
      <w:r w:rsidR="00864C65" w:rsidRPr="00803D18">
        <w:rPr>
          <w:rFonts w:ascii="Times New Roman" w:hAnsi="Times New Roman"/>
          <w:sz w:val="24"/>
          <w:szCs w:val="24"/>
        </w:rPr>
        <w:t>he Commission has</w:t>
      </w:r>
      <w:r w:rsidR="00FF3E5D" w:rsidRPr="00803D18">
        <w:rPr>
          <w:rFonts w:ascii="Times New Roman" w:hAnsi="Times New Roman"/>
          <w:sz w:val="24"/>
          <w:szCs w:val="24"/>
        </w:rPr>
        <w:t xml:space="preserve"> also typically </w:t>
      </w:r>
      <w:r w:rsidR="00864C65" w:rsidRPr="00803D18">
        <w:rPr>
          <w:rFonts w:ascii="Times New Roman" w:hAnsi="Times New Roman"/>
          <w:sz w:val="24"/>
          <w:szCs w:val="24"/>
        </w:rPr>
        <w:t xml:space="preserve">adopted a lower common equity ratio than </w:t>
      </w:r>
      <w:r w:rsidR="00FF3E5D" w:rsidRPr="00803D18">
        <w:rPr>
          <w:rFonts w:ascii="Times New Roman" w:hAnsi="Times New Roman"/>
          <w:sz w:val="24"/>
          <w:szCs w:val="24"/>
        </w:rPr>
        <w:t xml:space="preserve">the 45 percent </w:t>
      </w:r>
      <w:r w:rsidR="00864C65" w:rsidRPr="00803D18">
        <w:rPr>
          <w:rFonts w:ascii="Times New Roman" w:hAnsi="Times New Roman"/>
          <w:sz w:val="24"/>
          <w:szCs w:val="24"/>
        </w:rPr>
        <w:t>PSE requested:</w:t>
      </w:r>
      <w:r w:rsidR="00836F87" w:rsidRPr="00803D18">
        <w:rPr>
          <w:rFonts w:ascii="Times New Roman" w:hAnsi="Times New Roman"/>
          <w:sz w:val="24"/>
          <w:szCs w:val="24"/>
        </w:rPr>
        <w:t xml:space="preserve">  40.0% (Dockets UE-011570/UG-011571); 43.0% (Dockets UE-</w:t>
      </w:r>
      <w:r w:rsidR="00836F87" w:rsidRPr="00803D18">
        <w:rPr>
          <w:rFonts w:ascii="Times New Roman" w:hAnsi="Times New Roman"/>
          <w:sz w:val="24"/>
          <w:szCs w:val="24"/>
        </w:rPr>
        <w:lastRenderedPageBreak/>
        <w:t>040641/UG-040640); 44.0% (Dockets UE-060266/UG-060267); and 46.0% (Dockets UE-072300/UG-072301).</w:t>
      </w:r>
      <w:r w:rsidR="00864C65">
        <w:rPr>
          <w:rStyle w:val="FootnoteReference"/>
          <w:rFonts w:ascii="Times New Roman" w:hAnsi="Times New Roman"/>
          <w:sz w:val="24"/>
          <w:szCs w:val="24"/>
        </w:rPr>
        <w:footnoteReference w:id="7"/>
      </w:r>
      <w:r>
        <w:rPr>
          <w:rFonts w:ascii="Times New Roman" w:hAnsi="Times New Roman"/>
          <w:sz w:val="24"/>
          <w:szCs w:val="24"/>
        </w:rPr>
        <w:tab/>
      </w:r>
    </w:p>
    <w:p w:rsidR="00864C65"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864C65" w:rsidRPr="00803D18">
        <w:rPr>
          <w:rFonts w:ascii="Times New Roman" w:hAnsi="Times New Roman"/>
          <w:sz w:val="24"/>
          <w:szCs w:val="24"/>
        </w:rPr>
        <w:t>More to the point</w:t>
      </w:r>
      <w:r w:rsidR="00836F87" w:rsidRPr="00803D18">
        <w:rPr>
          <w:rFonts w:ascii="Times New Roman" w:hAnsi="Times New Roman"/>
          <w:sz w:val="24"/>
          <w:szCs w:val="24"/>
        </w:rPr>
        <w:t xml:space="preserve">, </w:t>
      </w:r>
      <w:r w:rsidR="001D1F32" w:rsidRPr="00803D18">
        <w:rPr>
          <w:rFonts w:ascii="Times New Roman" w:hAnsi="Times New Roman"/>
          <w:sz w:val="24"/>
          <w:szCs w:val="24"/>
        </w:rPr>
        <w:t xml:space="preserve">it is not proper </w:t>
      </w:r>
      <w:r w:rsidR="00864C65" w:rsidRPr="00803D18">
        <w:rPr>
          <w:rFonts w:ascii="Times New Roman" w:hAnsi="Times New Roman"/>
          <w:sz w:val="24"/>
          <w:szCs w:val="24"/>
        </w:rPr>
        <w:t>to increase PSE’s common equity ratio to 48 percent.  This is in part due to the impact of the 2008 Acquisition on PSE’s capital additions.  PSE claims that its actual common equity ratio has increased since the transaction was completed.</w:t>
      </w:r>
      <w:r w:rsidR="00864C65">
        <w:rPr>
          <w:rStyle w:val="FootnoteReference"/>
          <w:rFonts w:ascii="Times New Roman" w:hAnsi="Times New Roman"/>
          <w:sz w:val="24"/>
          <w:szCs w:val="24"/>
        </w:rPr>
        <w:footnoteReference w:id="8"/>
      </w:r>
      <w:r w:rsidR="00FF3E5D" w:rsidRPr="00803D18">
        <w:rPr>
          <w:rFonts w:ascii="Times New Roman" w:hAnsi="Times New Roman"/>
          <w:sz w:val="24"/>
          <w:szCs w:val="24"/>
        </w:rPr>
        <w:t xml:space="preserve">  However, it is </w:t>
      </w:r>
      <w:r w:rsidR="00864C65" w:rsidRPr="00803D18">
        <w:rPr>
          <w:rFonts w:ascii="Times New Roman" w:hAnsi="Times New Roman"/>
          <w:sz w:val="24"/>
          <w:szCs w:val="24"/>
        </w:rPr>
        <w:t xml:space="preserve">clear that the decision to infuse equity at PSE was driven by the interests of the new owners to maximize </w:t>
      </w:r>
      <w:r w:rsidR="00C313E1" w:rsidRPr="00803D18">
        <w:rPr>
          <w:rFonts w:ascii="Times New Roman" w:hAnsi="Times New Roman"/>
          <w:sz w:val="24"/>
          <w:szCs w:val="24"/>
        </w:rPr>
        <w:t xml:space="preserve">their </w:t>
      </w:r>
      <w:r w:rsidR="00864C65" w:rsidRPr="00803D18">
        <w:rPr>
          <w:rFonts w:ascii="Times New Roman" w:hAnsi="Times New Roman"/>
          <w:sz w:val="24"/>
          <w:szCs w:val="24"/>
        </w:rPr>
        <w:t xml:space="preserve">profits </w:t>
      </w:r>
      <w:r w:rsidR="00AF3A1C" w:rsidRPr="00803D18">
        <w:rPr>
          <w:rFonts w:ascii="Times New Roman" w:hAnsi="Times New Roman"/>
          <w:sz w:val="24"/>
          <w:szCs w:val="24"/>
        </w:rPr>
        <w:t>by financing PSE equity with</w:t>
      </w:r>
      <w:r w:rsidR="00864C65" w:rsidRPr="00803D18">
        <w:rPr>
          <w:rFonts w:ascii="Times New Roman" w:hAnsi="Times New Roman"/>
          <w:sz w:val="24"/>
          <w:szCs w:val="24"/>
        </w:rPr>
        <w:t xml:space="preserve"> less expensive parent debt.</w:t>
      </w:r>
      <w:r w:rsidR="00864C65">
        <w:rPr>
          <w:rStyle w:val="FootnoteReference"/>
          <w:rFonts w:ascii="Times New Roman" w:hAnsi="Times New Roman"/>
          <w:sz w:val="24"/>
          <w:szCs w:val="24"/>
        </w:rPr>
        <w:footnoteReference w:id="9"/>
      </w:r>
      <w:r w:rsidR="00864C65" w:rsidRPr="00803D18">
        <w:rPr>
          <w:rFonts w:ascii="Times New Roman" w:hAnsi="Times New Roman"/>
          <w:sz w:val="24"/>
          <w:szCs w:val="24"/>
        </w:rPr>
        <w:t xml:space="preserve">  It is unreasonable for PSE to expect ratepayers to </w:t>
      </w:r>
      <w:r w:rsidR="00AF3A1C" w:rsidRPr="00803D18">
        <w:rPr>
          <w:rFonts w:ascii="Times New Roman" w:hAnsi="Times New Roman"/>
          <w:sz w:val="24"/>
          <w:szCs w:val="24"/>
        </w:rPr>
        <w:t>support an excessive equity ratio for the</w:t>
      </w:r>
      <w:r w:rsidR="00836F87" w:rsidRPr="00803D18">
        <w:rPr>
          <w:rFonts w:ascii="Times New Roman" w:hAnsi="Times New Roman"/>
          <w:sz w:val="24"/>
          <w:szCs w:val="24"/>
        </w:rPr>
        <w:t xml:space="preserve"> </w:t>
      </w:r>
      <w:r w:rsidR="00864C65" w:rsidRPr="00803D18">
        <w:rPr>
          <w:rFonts w:ascii="Times New Roman" w:hAnsi="Times New Roman"/>
          <w:sz w:val="24"/>
          <w:szCs w:val="24"/>
        </w:rPr>
        <w:t>bene</w:t>
      </w:r>
      <w:r w:rsidR="00AF3A1C" w:rsidRPr="00803D18">
        <w:rPr>
          <w:rFonts w:ascii="Times New Roman" w:hAnsi="Times New Roman"/>
          <w:sz w:val="24"/>
          <w:szCs w:val="24"/>
        </w:rPr>
        <w:t>fit</w:t>
      </w:r>
      <w:r w:rsidR="00836F87" w:rsidRPr="00803D18">
        <w:rPr>
          <w:rFonts w:ascii="Times New Roman" w:hAnsi="Times New Roman"/>
          <w:sz w:val="24"/>
          <w:szCs w:val="24"/>
        </w:rPr>
        <w:t xml:space="preserve"> </w:t>
      </w:r>
      <w:r w:rsidR="00DC08AA" w:rsidRPr="00803D18">
        <w:rPr>
          <w:rFonts w:ascii="Times New Roman" w:hAnsi="Times New Roman"/>
          <w:sz w:val="24"/>
          <w:szCs w:val="24"/>
        </w:rPr>
        <w:t xml:space="preserve">of </w:t>
      </w:r>
      <w:r w:rsidR="00836F87" w:rsidRPr="00803D18">
        <w:rPr>
          <w:rFonts w:ascii="Times New Roman" w:hAnsi="Times New Roman"/>
          <w:sz w:val="24"/>
          <w:szCs w:val="24"/>
        </w:rPr>
        <w:t>the new owners</w:t>
      </w:r>
      <w:r w:rsidR="00864C65" w:rsidRPr="00803D18">
        <w:rPr>
          <w:rFonts w:ascii="Times New Roman" w:hAnsi="Times New Roman"/>
          <w:sz w:val="24"/>
          <w:szCs w:val="24"/>
        </w:rPr>
        <w:t>.</w:t>
      </w:r>
    </w:p>
    <w:p w:rsidR="00864C65"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864C65" w:rsidRPr="00803D18">
        <w:rPr>
          <w:rFonts w:ascii="Times New Roman" w:hAnsi="Times New Roman"/>
          <w:sz w:val="24"/>
          <w:szCs w:val="24"/>
        </w:rPr>
        <w:t>Additionally, the adoption of a 48 percent equity ratio after the leveraged buy-out</w:t>
      </w:r>
      <w:r w:rsidR="0093650E" w:rsidRPr="00803D18">
        <w:rPr>
          <w:rFonts w:ascii="Times New Roman" w:hAnsi="Times New Roman"/>
          <w:sz w:val="24"/>
          <w:szCs w:val="24"/>
        </w:rPr>
        <w:t>, compared to</w:t>
      </w:r>
      <w:r w:rsidR="00864C65" w:rsidRPr="00803D18">
        <w:rPr>
          <w:rFonts w:ascii="Times New Roman" w:hAnsi="Times New Roman"/>
          <w:sz w:val="24"/>
          <w:szCs w:val="24"/>
        </w:rPr>
        <w:t xml:space="preserve"> t</w:t>
      </w:r>
      <w:r w:rsidR="002B1721" w:rsidRPr="00803D18">
        <w:rPr>
          <w:rFonts w:ascii="Times New Roman" w:hAnsi="Times New Roman"/>
          <w:sz w:val="24"/>
          <w:szCs w:val="24"/>
        </w:rPr>
        <w:t xml:space="preserve">he 45 percent ratio PSE </w:t>
      </w:r>
      <w:r w:rsidR="00864C65" w:rsidRPr="00803D18">
        <w:rPr>
          <w:rFonts w:ascii="Times New Roman" w:hAnsi="Times New Roman"/>
          <w:sz w:val="24"/>
          <w:szCs w:val="24"/>
        </w:rPr>
        <w:t>has requested before the buy-out, provides an appearance of manipulation of PSE’s capital structure by the parent.</w:t>
      </w:r>
      <w:r w:rsidR="00864C65">
        <w:rPr>
          <w:rStyle w:val="FootnoteReference"/>
          <w:rFonts w:ascii="Times New Roman" w:hAnsi="Times New Roman"/>
          <w:sz w:val="24"/>
          <w:szCs w:val="24"/>
        </w:rPr>
        <w:footnoteReference w:id="10"/>
      </w:r>
      <w:r w:rsidR="00864C65" w:rsidRPr="00803D18">
        <w:rPr>
          <w:rFonts w:ascii="Times New Roman" w:hAnsi="Times New Roman"/>
          <w:sz w:val="24"/>
          <w:szCs w:val="24"/>
        </w:rPr>
        <w:t xml:space="preserve">  This is</w:t>
      </w:r>
      <w:r w:rsidR="002B1721" w:rsidRPr="00803D18">
        <w:rPr>
          <w:rFonts w:ascii="Times New Roman" w:hAnsi="Times New Roman"/>
          <w:sz w:val="24"/>
          <w:szCs w:val="24"/>
        </w:rPr>
        <w:t xml:space="preserve"> also </w:t>
      </w:r>
      <w:r w:rsidR="00864C65" w:rsidRPr="00803D18">
        <w:rPr>
          <w:rFonts w:ascii="Times New Roman" w:hAnsi="Times New Roman"/>
          <w:sz w:val="24"/>
          <w:szCs w:val="24"/>
        </w:rPr>
        <w:t>apparent from the significant de</w:t>
      </w:r>
      <w:r w:rsidR="002B1721" w:rsidRPr="00803D18">
        <w:rPr>
          <w:rFonts w:ascii="Times New Roman" w:hAnsi="Times New Roman"/>
          <w:sz w:val="24"/>
          <w:szCs w:val="24"/>
        </w:rPr>
        <w:t xml:space="preserve">bt at the parent level that is </w:t>
      </w:r>
      <w:r w:rsidR="00864C65" w:rsidRPr="00803D18">
        <w:rPr>
          <w:rFonts w:ascii="Times New Roman" w:hAnsi="Times New Roman"/>
          <w:sz w:val="24"/>
          <w:szCs w:val="24"/>
        </w:rPr>
        <w:t>used as a source of equity for PSE.</w:t>
      </w:r>
      <w:r w:rsidR="00864C65">
        <w:rPr>
          <w:rStyle w:val="FootnoteReference"/>
          <w:rFonts w:ascii="Times New Roman" w:hAnsi="Times New Roman"/>
          <w:sz w:val="24"/>
          <w:szCs w:val="24"/>
        </w:rPr>
        <w:footnoteReference w:id="11"/>
      </w:r>
      <w:r w:rsidR="00864C65" w:rsidRPr="00803D18">
        <w:rPr>
          <w:rFonts w:ascii="Times New Roman" w:hAnsi="Times New Roman"/>
          <w:sz w:val="24"/>
          <w:szCs w:val="24"/>
        </w:rPr>
        <w:t xml:space="preserve"> </w:t>
      </w:r>
    </w:p>
    <w:p w:rsidR="00864C65"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864C65" w:rsidRPr="00803D18">
        <w:rPr>
          <w:rFonts w:ascii="Times New Roman" w:hAnsi="Times New Roman"/>
          <w:sz w:val="24"/>
          <w:szCs w:val="24"/>
        </w:rPr>
        <w:t xml:space="preserve">Staff maintains that Mr. </w:t>
      </w:r>
      <w:r w:rsidR="00FF3E5D" w:rsidRPr="00803D18">
        <w:rPr>
          <w:rFonts w:ascii="Times New Roman" w:hAnsi="Times New Roman"/>
          <w:sz w:val="24"/>
          <w:szCs w:val="24"/>
        </w:rPr>
        <w:t xml:space="preserve">Parcell’s recommended </w:t>
      </w:r>
      <w:r w:rsidR="00864C65" w:rsidRPr="00803D18">
        <w:rPr>
          <w:rFonts w:ascii="Times New Roman" w:hAnsi="Times New Roman"/>
          <w:sz w:val="24"/>
          <w:szCs w:val="24"/>
        </w:rPr>
        <w:t xml:space="preserve">45 percent common equity ratio is reasonable and proper.  It is consistent </w:t>
      </w:r>
      <w:r w:rsidR="00F81150" w:rsidRPr="00803D18">
        <w:rPr>
          <w:rFonts w:ascii="Times New Roman" w:hAnsi="Times New Roman"/>
          <w:sz w:val="24"/>
          <w:szCs w:val="24"/>
        </w:rPr>
        <w:t>with PSE requests in prior case</w:t>
      </w:r>
      <w:r w:rsidR="00864C65" w:rsidRPr="00803D18">
        <w:rPr>
          <w:rFonts w:ascii="Times New Roman" w:hAnsi="Times New Roman"/>
          <w:sz w:val="24"/>
          <w:szCs w:val="24"/>
        </w:rPr>
        <w:t>s.</w:t>
      </w:r>
      <w:r w:rsidR="00864C65">
        <w:rPr>
          <w:rStyle w:val="FootnoteReference"/>
          <w:rFonts w:ascii="Times New Roman" w:hAnsi="Times New Roman"/>
          <w:sz w:val="24"/>
          <w:szCs w:val="24"/>
        </w:rPr>
        <w:footnoteReference w:id="12"/>
      </w:r>
      <w:r w:rsidR="00864C65" w:rsidRPr="00803D18">
        <w:rPr>
          <w:rFonts w:ascii="Times New Roman" w:hAnsi="Times New Roman"/>
          <w:sz w:val="24"/>
          <w:szCs w:val="24"/>
        </w:rPr>
        <w:t xml:space="preserve">  It is consistent with common equity ratios of publicly-traded electric utilities.</w:t>
      </w:r>
      <w:r w:rsidR="00864C65">
        <w:rPr>
          <w:rStyle w:val="FootnoteReference"/>
          <w:rFonts w:ascii="Times New Roman" w:hAnsi="Times New Roman"/>
          <w:sz w:val="24"/>
          <w:szCs w:val="24"/>
        </w:rPr>
        <w:footnoteReference w:id="13"/>
      </w:r>
      <w:r w:rsidR="00864C65" w:rsidRPr="00803D18">
        <w:rPr>
          <w:rFonts w:ascii="Times New Roman" w:hAnsi="Times New Roman"/>
          <w:sz w:val="24"/>
          <w:szCs w:val="24"/>
        </w:rPr>
        <w:t xml:space="preserve">  And, it meets the Commission’s long-standing policy that a proper capital structure should balance safety (the </w:t>
      </w:r>
      <w:r w:rsidR="00864C65" w:rsidRPr="00803D18">
        <w:rPr>
          <w:rFonts w:ascii="Times New Roman" w:hAnsi="Times New Roman"/>
          <w:sz w:val="24"/>
          <w:szCs w:val="24"/>
        </w:rPr>
        <w:lastRenderedPageBreak/>
        <w:t>preservation of investment quality credit ratings and access to capital) against economy (the lowest overall cost to attract and maintain capital).</w:t>
      </w:r>
      <w:r w:rsidR="00864C65">
        <w:rPr>
          <w:rStyle w:val="FootnoteReference"/>
          <w:rFonts w:ascii="Times New Roman" w:hAnsi="Times New Roman"/>
          <w:sz w:val="24"/>
          <w:szCs w:val="24"/>
        </w:rPr>
        <w:footnoteReference w:id="14"/>
      </w:r>
      <w:r w:rsidR="00AF3A1C" w:rsidRPr="00803D18">
        <w:rPr>
          <w:rFonts w:ascii="Times New Roman" w:hAnsi="Times New Roman"/>
          <w:sz w:val="24"/>
          <w:szCs w:val="24"/>
        </w:rPr>
        <w:t xml:space="preserve">  PSE</w:t>
      </w:r>
      <w:r w:rsidR="00F81150" w:rsidRPr="00803D18">
        <w:rPr>
          <w:rFonts w:ascii="Times New Roman" w:hAnsi="Times New Roman"/>
          <w:sz w:val="24"/>
          <w:szCs w:val="24"/>
        </w:rPr>
        <w:t xml:space="preserve"> </w:t>
      </w:r>
      <w:r w:rsidR="00864C65" w:rsidRPr="00803D18">
        <w:rPr>
          <w:rFonts w:ascii="Times New Roman" w:hAnsi="Times New Roman"/>
          <w:sz w:val="24"/>
          <w:szCs w:val="24"/>
        </w:rPr>
        <w:t>does not even acknowledge that standard.</w:t>
      </w:r>
      <w:r w:rsidR="00F81150" w:rsidRPr="00803D18">
        <w:rPr>
          <w:rFonts w:ascii="Times New Roman" w:hAnsi="Times New Roman"/>
          <w:sz w:val="24"/>
          <w:szCs w:val="24"/>
        </w:rPr>
        <w:t xml:space="preserve">  Nor does it </w:t>
      </w:r>
      <w:r w:rsidR="00AF3A1C" w:rsidRPr="00803D18">
        <w:rPr>
          <w:rFonts w:ascii="Times New Roman" w:hAnsi="Times New Roman"/>
          <w:sz w:val="24"/>
          <w:szCs w:val="24"/>
        </w:rPr>
        <w:t>show how ratepayers benefit from increasing PSE’s equity ratio.</w:t>
      </w:r>
    </w:p>
    <w:p w:rsidR="00D47727" w:rsidRDefault="00864C65" w:rsidP="00246EBB">
      <w:pPr>
        <w:pStyle w:val="ListParagraph"/>
        <w:spacing w:line="480" w:lineRule="auto"/>
        <w:ind w:left="0"/>
        <w:rPr>
          <w:rFonts w:ascii="Times New Roman" w:hAnsi="Times New Roman"/>
          <w:bCs/>
          <w:sz w:val="24"/>
          <w:szCs w:val="24"/>
        </w:rPr>
      </w:pPr>
      <w:r>
        <w:rPr>
          <w:rFonts w:ascii="Times New Roman" w:hAnsi="Times New Roman"/>
          <w:b/>
          <w:bCs/>
          <w:sz w:val="24"/>
          <w:szCs w:val="24"/>
        </w:rPr>
        <w:t>B</w:t>
      </w:r>
      <w:r w:rsidR="007F1519">
        <w:rPr>
          <w:rFonts w:ascii="Times New Roman" w:hAnsi="Times New Roman"/>
          <w:b/>
          <w:bCs/>
          <w:sz w:val="24"/>
          <w:szCs w:val="24"/>
        </w:rPr>
        <w:t>.</w:t>
      </w:r>
      <w:r w:rsidR="007F1519">
        <w:rPr>
          <w:rFonts w:ascii="Times New Roman" w:hAnsi="Times New Roman"/>
          <w:b/>
          <w:bCs/>
          <w:sz w:val="24"/>
          <w:szCs w:val="24"/>
        </w:rPr>
        <w:tab/>
        <w:t>Cost o</w:t>
      </w:r>
      <w:r w:rsidR="00780804">
        <w:rPr>
          <w:rFonts w:ascii="Times New Roman" w:hAnsi="Times New Roman"/>
          <w:b/>
          <w:bCs/>
          <w:sz w:val="24"/>
          <w:szCs w:val="24"/>
        </w:rPr>
        <w:t>f Common Equity</w:t>
      </w:r>
    </w:p>
    <w:p w:rsidR="00660BC5" w:rsidRDefault="00803D1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F65570">
        <w:rPr>
          <w:rFonts w:ascii="Times New Roman" w:hAnsi="Times New Roman"/>
          <w:bCs/>
          <w:sz w:val="24"/>
          <w:szCs w:val="24"/>
        </w:rPr>
        <w:t>The Company’s current authorized return on equity is 10.15 percent.</w:t>
      </w:r>
      <w:r w:rsidR="00F65570">
        <w:rPr>
          <w:rStyle w:val="FootnoteReference"/>
          <w:rFonts w:ascii="Times New Roman" w:hAnsi="Times New Roman"/>
          <w:bCs/>
          <w:sz w:val="24"/>
          <w:szCs w:val="24"/>
        </w:rPr>
        <w:footnoteReference w:id="15"/>
      </w:r>
      <w:r w:rsidR="00F65570">
        <w:rPr>
          <w:rFonts w:ascii="Times New Roman" w:hAnsi="Times New Roman"/>
          <w:bCs/>
          <w:sz w:val="24"/>
          <w:szCs w:val="24"/>
        </w:rPr>
        <w:t xml:space="preserve">  </w:t>
      </w:r>
      <w:r w:rsidR="00702B8D">
        <w:rPr>
          <w:rFonts w:ascii="Times New Roman" w:hAnsi="Times New Roman"/>
          <w:bCs/>
          <w:sz w:val="24"/>
          <w:szCs w:val="24"/>
        </w:rPr>
        <w:t xml:space="preserve">PSE </w:t>
      </w:r>
      <w:r w:rsidR="00AF3A1C">
        <w:rPr>
          <w:rFonts w:ascii="Times New Roman" w:hAnsi="Times New Roman"/>
          <w:bCs/>
          <w:sz w:val="24"/>
          <w:szCs w:val="24"/>
        </w:rPr>
        <w:t>now seeks</w:t>
      </w:r>
      <w:r w:rsidR="006B62FF">
        <w:rPr>
          <w:rFonts w:ascii="Times New Roman" w:hAnsi="Times New Roman"/>
          <w:bCs/>
          <w:sz w:val="24"/>
          <w:szCs w:val="24"/>
        </w:rPr>
        <w:t xml:space="preserve"> to </w:t>
      </w:r>
      <w:r w:rsidR="003F70F4">
        <w:rPr>
          <w:rFonts w:ascii="Times New Roman" w:hAnsi="Times New Roman"/>
          <w:bCs/>
          <w:sz w:val="24"/>
          <w:szCs w:val="24"/>
        </w:rPr>
        <w:t>increase the return to</w:t>
      </w:r>
      <w:r w:rsidR="009B02A0">
        <w:rPr>
          <w:rFonts w:ascii="Times New Roman" w:hAnsi="Times New Roman"/>
          <w:bCs/>
          <w:sz w:val="24"/>
          <w:szCs w:val="24"/>
        </w:rPr>
        <w:t xml:space="preserve"> 10.8 percent</w:t>
      </w:r>
      <w:r w:rsidR="006B62FF">
        <w:rPr>
          <w:rFonts w:ascii="Times New Roman" w:hAnsi="Times New Roman"/>
          <w:bCs/>
          <w:sz w:val="24"/>
          <w:szCs w:val="24"/>
        </w:rPr>
        <w:t xml:space="preserve">.  </w:t>
      </w:r>
      <w:r w:rsidR="00E40DE6">
        <w:rPr>
          <w:rFonts w:ascii="Times New Roman" w:hAnsi="Times New Roman"/>
          <w:bCs/>
          <w:sz w:val="24"/>
          <w:szCs w:val="24"/>
        </w:rPr>
        <w:t xml:space="preserve">This request exceeds the 10.7 percent </w:t>
      </w:r>
      <w:r w:rsidR="00C313E1">
        <w:rPr>
          <w:rFonts w:ascii="Times New Roman" w:hAnsi="Times New Roman"/>
          <w:bCs/>
          <w:sz w:val="24"/>
          <w:szCs w:val="24"/>
        </w:rPr>
        <w:t>proposal of</w:t>
      </w:r>
      <w:r w:rsidR="008A79C8">
        <w:rPr>
          <w:rFonts w:ascii="Times New Roman" w:hAnsi="Times New Roman"/>
          <w:bCs/>
          <w:sz w:val="24"/>
          <w:szCs w:val="24"/>
        </w:rPr>
        <w:t xml:space="preserve"> the </w:t>
      </w:r>
      <w:r w:rsidR="003F70F4">
        <w:rPr>
          <w:rFonts w:ascii="Times New Roman" w:hAnsi="Times New Roman"/>
          <w:bCs/>
          <w:sz w:val="24"/>
          <w:szCs w:val="24"/>
        </w:rPr>
        <w:t>Company’s own witness, Dr. Morin</w:t>
      </w:r>
      <w:r w:rsidR="00E40DE6">
        <w:rPr>
          <w:rFonts w:ascii="Times New Roman" w:hAnsi="Times New Roman"/>
          <w:bCs/>
          <w:sz w:val="24"/>
          <w:szCs w:val="24"/>
        </w:rPr>
        <w:t>.</w:t>
      </w:r>
      <w:r w:rsidR="00E40DE6">
        <w:rPr>
          <w:rStyle w:val="FootnoteReference"/>
          <w:rFonts w:ascii="Times New Roman" w:hAnsi="Times New Roman"/>
          <w:bCs/>
          <w:sz w:val="24"/>
          <w:szCs w:val="24"/>
        </w:rPr>
        <w:footnoteReference w:id="16"/>
      </w:r>
      <w:r w:rsidR="00E40DE6">
        <w:rPr>
          <w:rFonts w:ascii="Times New Roman" w:hAnsi="Times New Roman"/>
          <w:bCs/>
          <w:sz w:val="24"/>
          <w:szCs w:val="24"/>
        </w:rPr>
        <w:t xml:space="preserve">  PSE’s</w:t>
      </w:r>
      <w:r w:rsidR="006E6E0D">
        <w:rPr>
          <w:rFonts w:ascii="Times New Roman" w:hAnsi="Times New Roman"/>
          <w:bCs/>
          <w:sz w:val="24"/>
          <w:szCs w:val="24"/>
        </w:rPr>
        <w:t xml:space="preserve"> request </w:t>
      </w:r>
      <w:r w:rsidR="003F70F4">
        <w:rPr>
          <w:rFonts w:ascii="Times New Roman" w:hAnsi="Times New Roman"/>
          <w:bCs/>
          <w:sz w:val="24"/>
          <w:szCs w:val="24"/>
        </w:rPr>
        <w:t xml:space="preserve">also </w:t>
      </w:r>
      <w:r w:rsidR="009F3AB4">
        <w:rPr>
          <w:rFonts w:ascii="Times New Roman" w:hAnsi="Times New Roman"/>
          <w:bCs/>
          <w:sz w:val="24"/>
          <w:szCs w:val="24"/>
        </w:rPr>
        <w:t xml:space="preserve">far </w:t>
      </w:r>
      <w:r w:rsidR="009B02A0">
        <w:rPr>
          <w:rFonts w:ascii="Times New Roman" w:hAnsi="Times New Roman"/>
          <w:bCs/>
          <w:sz w:val="24"/>
          <w:szCs w:val="24"/>
        </w:rPr>
        <w:t>exceeds the 10.2 percent</w:t>
      </w:r>
      <w:r w:rsidR="004935A1">
        <w:rPr>
          <w:rFonts w:ascii="Times New Roman" w:hAnsi="Times New Roman"/>
          <w:bCs/>
          <w:sz w:val="24"/>
          <w:szCs w:val="24"/>
        </w:rPr>
        <w:t xml:space="preserve"> retu</w:t>
      </w:r>
      <w:r w:rsidR="00FE052B">
        <w:rPr>
          <w:rFonts w:ascii="Times New Roman" w:hAnsi="Times New Roman"/>
          <w:bCs/>
          <w:sz w:val="24"/>
          <w:szCs w:val="24"/>
        </w:rPr>
        <w:t>r</w:t>
      </w:r>
      <w:r w:rsidR="00092A15">
        <w:rPr>
          <w:rFonts w:ascii="Times New Roman" w:hAnsi="Times New Roman"/>
          <w:bCs/>
          <w:sz w:val="24"/>
          <w:szCs w:val="24"/>
        </w:rPr>
        <w:t xml:space="preserve">n on equity the Commission </w:t>
      </w:r>
      <w:r w:rsidR="00F0752B">
        <w:rPr>
          <w:rFonts w:ascii="Times New Roman" w:hAnsi="Times New Roman"/>
          <w:bCs/>
          <w:sz w:val="24"/>
          <w:szCs w:val="24"/>
        </w:rPr>
        <w:t xml:space="preserve">just </w:t>
      </w:r>
      <w:r w:rsidR="004935A1">
        <w:rPr>
          <w:rFonts w:ascii="Times New Roman" w:hAnsi="Times New Roman"/>
          <w:bCs/>
          <w:sz w:val="24"/>
          <w:szCs w:val="24"/>
        </w:rPr>
        <w:t>authorize</w:t>
      </w:r>
      <w:r w:rsidR="00FE052B">
        <w:rPr>
          <w:rFonts w:ascii="Times New Roman" w:hAnsi="Times New Roman"/>
          <w:bCs/>
          <w:sz w:val="24"/>
          <w:szCs w:val="24"/>
        </w:rPr>
        <w:t xml:space="preserve">d </w:t>
      </w:r>
      <w:r w:rsidR="007A0015">
        <w:rPr>
          <w:rFonts w:ascii="Times New Roman" w:hAnsi="Times New Roman"/>
          <w:bCs/>
          <w:sz w:val="24"/>
          <w:szCs w:val="24"/>
        </w:rPr>
        <w:t xml:space="preserve">for Avista </w:t>
      </w:r>
      <w:r w:rsidR="004935A1">
        <w:rPr>
          <w:rFonts w:ascii="Times New Roman" w:hAnsi="Times New Roman"/>
          <w:bCs/>
          <w:sz w:val="24"/>
          <w:szCs w:val="24"/>
        </w:rPr>
        <w:t>and PacifiCorp.</w:t>
      </w:r>
      <w:r w:rsidR="004935A1">
        <w:rPr>
          <w:rStyle w:val="FootnoteReference"/>
          <w:rFonts w:ascii="Times New Roman" w:hAnsi="Times New Roman"/>
          <w:bCs/>
          <w:sz w:val="24"/>
          <w:szCs w:val="24"/>
        </w:rPr>
        <w:footnoteReference w:id="17"/>
      </w:r>
      <w:r w:rsidR="00AF7A37">
        <w:rPr>
          <w:rFonts w:ascii="Times New Roman" w:hAnsi="Times New Roman"/>
          <w:bCs/>
          <w:sz w:val="24"/>
          <w:szCs w:val="24"/>
        </w:rPr>
        <w:t xml:space="preserve">  </w:t>
      </w:r>
      <w:r w:rsidR="00702B8D">
        <w:rPr>
          <w:rFonts w:ascii="Times New Roman" w:hAnsi="Times New Roman"/>
          <w:bCs/>
          <w:sz w:val="24"/>
          <w:szCs w:val="24"/>
        </w:rPr>
        <w:t xml:space="preserve">In contrast, </w:t>
      </w:r>
      <w:r w:rsidR="00660BC5">
        <w:rPr>
          <w:rFonts w:ascii="Times New Roman" w:hAnsi="Times New Roman"/>
          <w:bCs/>
          <w:sz w:val="24"/>
          <w:szCs w:val="24"/>
        </w:rPr>
        <w:t>Mr. Parcell</w:t>
      </w:r>
      <w:r w:rsidR="00AF7A37">
        <w:rPr>
          <w:rFonts w:ascii="Times New Roman" w:hAnsi="Times New Roman"/>
          <w:bCs/>
          <w:sz w:val="24"/>
          <w:szCs w:val="24"/>
        </w:rPr>
        <w:t>’s 10.0 percent cost of equity</w:t>
      </w:r>
      <w:r w:rsidR="00660BC5">
        <w:rPr>
          <w:rFonts w:ascii="Times New Roman" w:hAnsi="Times New Roman"/>
          <w:bCs/>
          <w:sz w:val="24"/>
          <w:szCs w:val="24"/>
        </w:rPr>
        <w:t xml:space="preserve"> represents the approximate mid-p</w:t>
      </w:r>
      <w:r w:rsidR="008A79C8">
        <w:rPr>
          <w:rFonts w:ascii="Times New Roman" w:hAnsi="Times New Roman"/>
          <w:bCs/>
          <w:sz w:val="24"/>
          <w:szCs w:val="24"/>
        </w:rPr>
        <w:t xml:space="preserve">oint between Dr. Morin’s </w:t>
      </w:r>
      <w:r w:rsidR="003F70F4">
        <w:rPr>
          <w:rFonts w:ascii="Times New Roman" w:hAnsi="Times New Roman"/>
          <w:bCs/>
          <w:sz w:val="24"/>
          <w:szCs w:val="24"/>
        </w:rPr>
        <w:t>recommendation and Mr. Hill’s</w:t>
      </w:r>
      <w:r w:rsidR="008A79C8">
        <w:rPr>
          <w:rFonts w:ascii="Times New Roman" w:hAnsi="Times New Roman"/>
          <w:bCs/>
          <w:sz w:val="24"/>
          <w:szCs w:val="24"/>
        </w:rPr>
        <w:t xml:space="preserve"> </w:t>
      </w:r>
      <w:r w:rsidR="00660BC5">
        <w:rPr>
          <w:rFonts w:ascii="Times New Roman" w:hAnsi="Times New Roman"/>
          <w:bCs/>
          <w:sz w:val="24"/>
          <w:szCs w:val="24"/>
        </w:rPr>
        <w:t>retu</w:t>
      </w:r>
      <w:r w:rsidR="00702B8D">
        <w:rPr>
          <w:rFonts w:ascii="Times New Roman" w:hAnsi="Times New Roman"/>
          <w:bCs/>
          <w:sz w:val="24"/>
          <w:szCs w:val="24"/>
        </w:rPr>
        <w:t>rn on equity of 9.5 percent</w:t>
      </w:r>
      <w:r w:rsidR="00660BC5">
        <w:rPr>
          <w:rFonts w:ascii="Times New Roman" w:hAnsi="Times New Roman"/>
          <w:bCs/>
          <w:sz w:val="24"/>
          <w:szCs w:val="24"/>
        </w:rPr>
        <w:t>.</w:t>
      </w:r>
    </w:p>
    <w:p w:rsidR="00FE052B" w:rsidRDefault="00803D1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AF7A37">
        <w:rPr>
          <w:rFonts w:ascii="Times New Roman" w:hAnsi="Times New Roman"/>
          <w:bCs/>
          <w:sz w:val="24"/>
          <w:szCs w:val="24"/>
        </w:rPr>
        <w:t xml:space="preserve">Mr. Parcell’s </w:t>
      </w:r>
      <w:r w:rsidR="001E77A1">
        <w:rPr>
          <w:rFonts w:ascii="Times New Roman" w:hAnsi="Times New Roman"/>
          <w:bCs/>
          <w:sz w:val="24"/>
          <w:szCs w:val="24"/>
        </w:rPr>
        <w:t>10</w:t>
      </w:r>
      <w:r w:rsidR="003F70F4">
        <w:rPr>
          <w:rFonts w:ascii="Times New Roman" w:hAnsi="Times New Roman"/>
          <w:bCs/>
          <w:sz w:val="24"/>
          <w:szCs w:val="24"/>
        </w:rPr>
        <w:t>.0</w:t>
      </w:r>
      <w:r w:rsidR="001E77A1">
        <w:rPr>
          <w:rFonts w:ascii="Times New Roman" w:hAnsi="Times New Roman"/>
          <w:bCs/>
          <w:sz w:val="24"/>
          <w:szCs w:val="24"/>
        </w:rPr>
        <w:t xml:space="preserve"> percent </w:t>
      </w:r>
      <w:r w:rsidR="00AF7A37">
        <w:rPr>
          <w:rFonts w:ascii="Times New Roman" w:hAnsi="Times New Roman"/>
          <w:bCs/>
          <w:sz w:val="24"/>
          <w:szCs w:val="24"/>
        </w:rPr>
        <w:t xml:space="preserve">return on equity is </w:t>
      </w:r>
      <w:r w:rsidR="003F70F4">
        <w:rPr>
          <w:rFonts w:ascii="Times New Roman" w:hAnsi="Times New Roman"/>
          <w:bCs/>
          <w:sz w:val="24"/>
          <w:szCs w:val="24"/>
        </w:rPr>
        <w:t xml:space="preserve">also </w:t>
      </w:r>
      <w:r w:rsidR="00AF7A37">
        <w:rPr>
          <w:rFonts w:ascii="Times New Roman" w:hAnsi="Times New Roman"/>
          <w:bCs/>
          <w:sz w:val="24"/>
          <w:szCs w:val="24"/>
        </w:rPr>
        <w:t xml:space="preserve">supported by </w:t>
      </w:r>
      <w:r w:rsidR="00AF3A1C">
        <w:rPr>
          <w:rFonts w:ascii="Times New Roman" w:hAnsi="Times New Roman"/>
          <w:bCs/>
          <w:sz w:val="24"/>
          <w:szCs w:val="24"/>
        </w:rPr>
        <w:t xml:space="preserve">evidence of </w:t>
      </w:r>
      <w:r w:rsidR="008A79C8">
        <w:rPr>
          <w:rFonts w:ascii="Times New Roman" w:hAnsi="Times New Roman"/>
          <w:bCs/>
          <w:sz w:val="24"/>
          <w:szCs w:val="24"/>
        </w:rPr>
        <w:t>s</w:t>
      </w:r>
      <w:r w:rsidR="00AF7A37">
        <w:rPr>
          <w:rFonts w:ascii="Times New Roman" w:hAnsi="Times New Roman"/>
          <w:bCs/>
          <w:sz w:val="24"/>
          <w:szCs w:val="24"/>
        </w:rPr>
        <w:t>ignificant changes in</w:t>
      </w:r>
      <w:r w:rsidR="00AF3A1C">
        <w:rPr>
          <w:rFonts w:ascii="Times New Roman" w:hAnsi="Times New Roman"/>
          <w:bCs/>
          <w:sz w:val="24"/>
          <w:szCs w:val="24"/>
        </w:rPr>
        <w:t xml:space="preserve"> the capital markets that have lowered PSE </w:t>
      </w:r>
      <w:r w:rsidR="00AF7A37">
        <w:rPr>
          <w:rFonts w:ascii="Times New Roman" w:hAnsi="Times New Roman"/>
          <w:bCs/>
          <w:sz w:val="24"/>
          <w:szCs w:val="24"/>
        </w:rPr>
        <w:t xml:space="preserve">’s cost of capital </w:t>
      </w:r>
      <w:r w:rsidR="001E77A1">
        <w:rPr>
          <w:rFonts w:ascii="Times New Roman" w:hAnsi="Times New Roman"/>
          <w:bCs/>
          <w:sz w:val="24"/>
          <w:szCs w:val="24"/>
        </w:rPr>
        <w:t xml:space="preserve">since the Commission </w:t>
      </w:r>
      <w:r w:rsidR="002F6FFD">
        <w:rPr>
          <w:rFonts w:ascii="Times New Roman" w:hAnsi="Times New Roman"/>
          <w:bCs/>
          <w:sz w:val="24"/>
          <w:szCs w:val="24"/>
        </w:rPr>
        <w:t xml:space="preserve">last </w:t>
      </w:r>
      <w:r w:rsidR="001E77A1">
        <w:rPr>
          <w:rFonts w:ascii="Times New Roman" w:hAnsi="Times New Roman"/>
          <w:bCs/>
          <w:sz w:val="24"/>
          <w:szCs w:val="24"/>
        </w:rPr>
        <w:t xml:space="preserve">set </w:t>
      </w:r>
      <w:r w:rsidR="00AF7A37">
        <w:rPr>
          <w:rFonts w:ascii="Times New Roman" w:hAnsi="Times New Roman"/>
          <w:bCs/>
          <w:sz w:val="24"/>
          <w:szCs w:val="24"/>
        </w:rPr>
        <w:t>P</w:t>
      </w:r>
      <w:r w:rsidR="008A79C8">
        <w:rPr>
          <w:rFonts w:ascii="Times New Roman" w:hAnsi="Times New Roman"/>
          <w:bCs/>
          <w:sz w:val="24"/>
          <w:szCs w:val="24"/>
        </w:rPr>
        <w:t xml:space="preserve">SE’s </w:t>
      </w:r>
      <w:r w:rsidR="003F70F4">
        <w:rPr>
          <w:rFonts w:ascii="Times New Roman" w:hAnsi="Times New Roman"/>
          <w:bCs/>
          <w:sz w:val="24"/>
          <w:szCs w:val="24"/>
        </w:rPr>
        <w:t>return on equity</w:t>
      </w:r>
      <w:r w:rsidR="00AF7A37">
        <w:rPr>
          <w:rFonts w:ascii="Times New Roman" w:hAnsi="Times New Roman"/>
          <w:bCs/>
          <w:sz w:val="24"/>
          <w:szCs w:val="24"/>
        </w:rPr>
        <w:t>.</w:t>
      </w:r>
      <w:r w:rsidR="00967839">
        <w:rPr>
          <w:rStyle w:val="FootnoteReference"/>
          <w:rFonts w:ascii="Times New Roman" w:hAnsi="Times New Roman"/>
          <w:bCs/>
          <w:sz w:val="24"/>
          <w:szCs w:val="24"/>
        </w:rPr>
        <w:footnoteReference w:id="18"/>
      </w:r>
      <w:r w:rsidR="00AF7A37">
        <w:rPr>
          <w:rFonts w:ascii="Times New Roman" w:hAnsi="Times New Roman"/>
          <w:bCs/>
          <w:sz w:val="24"/>
          <w:szCs w:val="24"/>
        </w:rPr>
        <w:t xml:space="preserve">  A decrease in the authorized r</w:t>
      </w:r>
      <w:r w:rsidR="003F70F4">
        <w:rPr>
          <w:rFonts w:ascii="Times New Roman" w:hAnsi="Times New Roman"/>
          <w:bCs/>
          <w:sz w:val="24"/>
          <w:szCs w:val="24"/>
        </w:rPr>
        <w:t xml:space="preserve">eturn of equity </w:t>
      </w:r>
      <w:r w:rsidR="00AF7A37">
        <w:rPr>
          <w:rFonts w:ascii="Times New Roman" w:hAnsi="Times New Roman"/>
          <w:bCs/>
          <w:sz w:val="24"/>
          <w:szCs w:val="24"/>
        </w:rPr>
        <w:t xml:space="preserve">is also supported by the </w:t>
      </w:r>
      <w:r w:rsidR="008A79C8">
        <w:rPr>
          <w:rFonts w:ascii="Times New Roman" w:hAnsi="Times New Roman"/>
          <w:bCs/>
          <w:sz w:val="24"/>
          <w:szCs w:val="24"/>
        </w:rPr>
        <w:t xml:space="preserve">analytical methods of </w:t>
      </w:r>
      <w:r w:rsidR="00AF7A37">
        <w:rPr>
          <w:rFonts w:ascii="Times New Roman" w:hAnsi="Times New Roman"/>
          <w:bCs/>
          <w:sz w:val="24"/>
          <w:szCs w:val="24"/>
        </w:rPr>
        <w:t>all cost</w:t>
      </w:r>
      <w:r w:rsidR="008A79C8">
        <w:rPr>
          <w:rFonts w:ascii="Times New Roman" w:hAnsi="Times New Roman"/>
          <w:bCs/>
          <w:sz w:val="24"/>
          <w:szCs w:val="24"/>
        </w:rPr>
        <w:t xml:space="preserve"> of capital witnesses </w:t>
      </w:r>
      <w:r w:rsidR="00AF7A37">
        <w:rPr>
          <w:rFonts w:ascii="Times New Roman" w:hAnsi="Times New Roman"/>
          <w:bCs/>
          <w:sz w:val="24"/>
          <w:szCs w:val="24"/>
        </w:rPr>
        <w:t xml:space="preserve">in this case. </w:t>
      </w:r>
    </w:p>
    <w:p w:rsidR="00BF50D0" w:rsidRDefault="00BF50D0" w:rsidP="00803D18">
      <w:pPr>
        <w:pStyle w:val="ListParagraph"/>
        <w:keepNext/>
        <w:ind w:left="1440" w:hanging="720"/>
        <w:rPr>
          <w:rFonts w:ascii="Times New Roman" w:hAnsi="Times New Roman"/>
          <w:b/>
          <w:bCs/>
          <w:sz w:val="24"/>
          <w:szCs w:val="24"/>
        </w:rPr>
      </w:pPr>
      <w:r w:rsidRPr="00BF50D0">
        <w:rPr>
          <w:rFonts w:ascii="Times New Roman" w:hAnsi="Times New Roman"/>
          <w:b/>
          <w:bCs/>
          <w:sz w:val="24"/>
          <w:szCs w:val="24"/>
        </w:rPr>
        <w:lastRenderedPageBreak/>
        <w:t>1.</w:t>
      </w:r>
      <w:r w:rsidR="007F1519">
        <w:rPr>
          <w:rFonts w:ascii="Times New Roman" w:hAnsi="Times New Roman"/>
          <w:b/>
          <w:bCs/>
          <w:sz w:val="24"/>
          <w:szCs w:val="24"/>
        </w:rPr>
        <w:tab/>
        <w:t>Changes i</w:t>
      </w:r>
      <w:r w:rsidR="00FD765D">
        <w:rPr>
          <w:rFonts w:ascii="Times New Roman" w:hAnsi="Times New Roman"/>
          <w:b/>
          <w:bCs/>
          <w:sz w:val="24"/>
          <w:szCs w:val="24"/>
        </w:rPr>
        <w:t xml:space="preserve">n </w:t>
      </w:r>
      <w:r w:rsidR="007F1519">
        <w:rPr>
          <w:rFonts w:ascii="Times New Roman" w:hAnsi="Times New Roman"/>
          <w:b/>
          <w:bCs/>
          <w:sz w:val="24"/>
          <w:szCs w:val="24"/>
        </w:rPr>
        <w:t>t</w:t>
      </w:r>
      <w:r w:rsidR="00FD765D">
        <w:rPr>
          <w:rFonts w:ascii="Times New Roman" w:hAnsi="Times New Roman"/>
          <w:b/>
          <w:bCs/>
          <w:sz w:val="24"/>
          <w:szCs w:val="24"/>
        </w:rPr>
        <w:t xml:space="preserve">he </w:t>
      </w:r>
      <w:r w:rsidR="007F1519">
        <w:rPr>
          <w:rFonts w:ascii="Times New Roman" w:hAnsi="Times New Roman"/>
          <w:b/>
          <w:bCs/>
          <w:sz w:val="24"/>
          <w:szCs w:val="24"/>
        </w:rPr>
        <w:t>c</w:t>
      </w:r>
      <w:r w:rsidR="00FD765D">
        <w:rPr>
          <w:rFonts w:ascii="Times New Roman" w:hAnsi="Times New Roman"/>
          <w:b/>
          <w:bCs/>
          <w:sz w:val="24"/>
          <w:szCs w:val="24"/>
        </w:rPr>
        <w:t xml:space="preserve">apital </w:t>
      </w:r>
      <w:r w:rsidR="007F1519">
        <w:rPr>
          <w:rFonts w:ascii="Times New Roman" w:hAnsi="Times New Roman"/>
          <w:b/>
          <w:bCs/>
          <w:sz w:val="24"/>
          <w:szCs w:val="24"/>
        </w:rPr>
        <w:t>m</w:t>
      </w:r>
      <w:r w:rsidR="00FD765D">
        <w:rPr>
          <w:rFonts w:ascii="Times New Roman" w:hAnsi="Times New Roman"/>
          <w:b/>
          <w:bCs/>
          <w:sz w:val="24"/>
          <w:szCs w:val="24"/>
        </w:rPr>
        <w:t xml:space="preserve">arkets </w:t>
      </w:r>
      <w:r w:rsidR="007F1519">
        <w:rPr>
          <w:rFonts w:ascii="Times New Roman" w:hAnsi="Times New Roman"/>
          <w:b/>
          <w:bCs/>
          <w:sz w:val="24"/>
          <w:szCs w:val="24"/>
        </w:rPr>
        <w:t>support S</w:t>
      </w:r>
      <w:r w:rsidR="00C36248">
        <w:rPr>
          <w:rFonts w:ascii="Times New Roman" w:hAnsi="Times New Roman"/>
          <w:b/>
          <w:bCs/>
          <w:sz w:val="24"/>
          <w:szCs w:val="24"/>
        </w:rPr>
        <w:t>taff</w:t>
      </w:r>
      <w:r w:rsidR="0045728F">
        <w:rPr>
          <w:rFonts w:ascii="Times New Roman" w:hAnsi="Times New Roman"/>
          <w:b/>
          <w:bCs/>
          <w:sz w:val="24"/>
          <w:szCs w:val="24"/>
        </w:rPr>
        <w:t xml:space="preserve">’s </w:t>
      </w:r>
      <w:r w:rsidR="007F1519">
        <w:rPr>
          <w:rFonts w:ascii="Times New Roman" w:hAnsi="Times New Roman"/>
          <w:b/>
          <w:bCs/>
          <w:sz w:val="24"/>
          <w:szCs w:val="24"/>
        </w:rPr>
        <w:t>r</w:t>
      </w:r>
      <w:r w:rsidR="00882C2C">
        <w:rPr>
          <w:rFonts w:ascii="Times New Roman" w:hAnsi="Times New Roman"/>
          <w:b/>
          <w:bCs/>
          <w:sz w:val="24"/>
          <w:szCs w:val="24"/>
        </w:rPr>
        <w:t xml:space="preserve">ecommendation </w:t>
      </w:r>
      <w:r w:rsidR="007F1519">
        <w:rPr>
          <w:rFonts w:ascii="Times New Roman" w:hAnsi="Times New Roman"/>
          <w:b/>
          <w:bCs/>
          <w:sz w:val="24"/>
          <w:szCs w:val="24"/>
        </w:rPr>
        <w:t>to reduce t</w:t>
      </w:r>
      <w:r w:rsidR="00882C2C">
        <w:rPr>
          <w:rFonts w:ascii="Times New Roman" w:hAnsi="Times New Roman"/>
          <w:b/>
          <w:bCs/>
          <w:sz w:val="24"/>
          <w:szCs w:val="24"/>
        </w:rPr>
        <w:t xml:space="preserve">he </w:t>
      </w:r>
      <w:r w:rsidR="007F1519">
        <w:rPr>
          <w:rFonts w:ascii="Times New Roman" w:hAnsi="Times New Roman"/>
          <w:b/>
          <w:bCs/>
          <w:sz w:val="24"/>
          <w:szCs w:val="24"/>
        </w:rPr>
        <w:t>company’s cost of e</w:t>
      </w:r>
      <w:r w:rsidR="0045728F">
        <w:rPr>
          <w:rFonts w:ascii="Times New Roman" w:hAnsi="Times New Roman"/>
          <w:b/>
          <w:bCs/>
          <w:sz w:val="24"/>
          <w:szCs w:val="24"/>
        </w:rPr>
        <w:t>quity</w:t>
      </w:r>
    </w:p>
    <w:p w:rsidR="00FD765D" w:rsidRDefault="00FD765D" w:rsidP="00803D18">
      <w:pPr>
        <w:pStyle w:val="ListParagraph"/>
        <w:keepNext/>
        <w:ind w:left="0"/>
        <w:rPr>
          <w:rFonts w:ascii="Times New Roman" w:hAnsi="Times New Roman"/>
          <w:b/>
          <w:bCs/>
          <w:sz w:val="24"/>
          <w:szCs w:val="24"/>
        </w:rPr>
      </w:pPr>
    </w:p>
    <w:p w:rsidR="00F61FC9"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1E77A1" w:rsidRPr="00803D18">
        <w:rPr>
          <w:rFonts w:ascii="Times New Roman" w:hAnsi="Times New Roman"/>
          <w:sz w:val="24"/>
          <w:szCs w:val="24"/>
        </w:rPr>
        <w:t xml:space="preserve">As </w:t>
      </w:r>
      <w:r w:rsidR="00FD765D" w:rsidRPr="00803D18">
        <w:rPr>
          <w:rFonts w:ascii="Times New Roman" w:hAnsi="Times New Roman"/>
          <w:sz w:val="24"/>
          <w:szCs w:val="24"/>
        </w:rPr>
        <w:t>Mr. Parcell</w:t>
      </w:r>
      <w:r w:rsidR="001E77A1" w:rsidRPr="00803D18">
        <w:rPr>
          <w:rFonts w:ascii="Times New Roman" w:hAnsi="Times New Roman"/>
          <w:sz w:val="24"/>
          <w:szCs w:val="24"/>
        </w:rPr>
        <w:t xml:space="preserve"> indicated</w:t>
      </w:r>
      <w:r w:rsidR="00FD765D" w:rsidRPr="00803D18">
        <w:rPr>
          <w:rFonts w:ascii="Times New Roman" w:hAnsi="Times New Roman"/>
          <w:sz w:val="24"/>
          <w:szCs w:val="24"/>
        </w:rPr>
        <w:t xml:space="preserve">, the cost of capital for utilities </w:t>
      </w:r>
      <w:r w:rsidR="00287B47" w:rsidRPr="00803D18">
        <w:rPr>
          <w:rFonts w:ascii="Times New Roman" w:hAnsi="Times New Roman"/>
          <w:sz w:val="24"/>
          <w:szCs w:val="24"/>
        </w:rPr>
        <w:t xml:space="preserve">such as PSE </w:t>
      </w:r>
      <w:r w:rsidR="00FD765D" w:rsidRPr="00803D18">
        <w:rPr>
          <w:rFonts w:ascii="Times New Roman" w:hAnsi="Times New Roman"/>
          <w:sz w:val="24"/>
          <w:szCs w:val="24"/>
        </w:rPr>
        <w:t>has declined over the past two years.</w:t>
      </w:r>
      <w:r w:rsidR="00FD765D">
        <w:rPr>
          <w:rStyle w:val="FootnoteReference"/>
          <w:rFonts w:ascii="Times New Roman" w:hAnsi="Times New Roman"/>
          <w:sz w:val="24"/>
          <w:szCs w:val="24"/>
        </w:rPr>
        <w:footnoteReference w:id="19"/>
      </w:r>
      <w:r w:rsidR="00FD765D" w:rsidRPr="00803D18">
        <w:rPr>
          <w:rFonts w:ascii="Times New Roman" w:hAnsi="Times New Roman"/>
          <w:sz w:val="24"/>
          <w:szCs w:val="24"/>
        </w:rPr>
        <w:t xml:space="preserve">  This is apparent from several perspectives.  </w:t>
      </w:r>
    </w:p>
    <w:p w:rsidR="00356DA6"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FD765D" w:rsidRPr="00803D18">
        <w:rPr>
          <w:rFonts w:ascii="Times New Roman" w:hAnsi="Times New Roman"/>
          <w:sz w:val="24"/>
          <w:szCs w:val="24"/>
        </w:rPr>
        <w:t>First, beginning in September 200</w:t>
      </w:r>
      <w:r w:rsidR="00F61FC9" w:rsidRPr="00803D18">
        <w:rPr>
          <w:rFonts w:ascii="Times New Roman" w:hAnsi="Times New Roman"/>
          <w:sz w:val="24"/>
          <w:szCs w:val="24"/>
        </w:rPr>
        <w:t xml:space="preserve">8 </w:t>
      </w:r>
      <w:r w:rsidR="00FD765D" w:rsidRPr="00803D18">
        <w:rPr>
          <w:rFonts w:ascii="Times New Roman" w:hAnsi="Times New Roman"/>
          <w:sz w:val="24"/>
          <w:szCs w:val="24"/>
        </w:rPr>
        <w:t xml:space="preserve">and lasting through March 2009, the </w:t>
      </w:r>
      <w:r w:rsidR="00006B51" w:rsidRPr="00803D18">
        <w:rPr>
          <w:rFonts w:ascii="Times New Roman" w:hAnsi="Times New Roman"/>
          <w:sz w:val="24"/>
          <w:szCs w:val="24"/>
        </w:rPr>
        <w:t xml:space="preserve">U.S. and global economies and capital markets </w:t>
      </w:r>
      <w:r w:rsidR="00F61FC9" w:rsidRPr="00803D18">
        <w:rPr>
          <w:rFonts w:ascii="Times New Roman" w:hAnsi="Times New Roman"/>
          <w:sz w:val="24"/>
          <w:szCs w:val="24"/>
        </w:rPr>
        <w:t>were</w:t>
      </w:r>
      <w:r w:rsidR="00FD765D" w:rsidRPr="00803D18">
        <w:rPr>
          <w:rFonts w:ascii="Times New Roman" w:hAnsi="Times New Roman"/>
          <w:sz w:val="24"/>
          <w:szCs w:val="24"/>
        </w:rPr>
        <w:t xml:space="preserve"> </w:t>
      </w:r>
      <w:r w:rsidR="00F61FC9" w:rsidRPr="00803D18">
        <w:rPr>
          <w:rFonts w:ascii="Times New Roman" w:hAnsi="Times New Roman"/>
          <w:sz w:val="24"/>
          <w:szCs w:val="24"/>
        </w:rPr>
        <w:t xml:space="preserve">highly </w:t>
      </w:r>
      <w:r w:rsidR="00297259" w:rsidRPr="00803D18">
        <w:rPr>
          <w:rFonts w:ascii="Times New Roman" w:hAnsi="Times New Roman"/>
          <w:sz w:val="24"/>
          <w:szCs w:val="24"/>
        </w:rPr>
        <w:t>volatile.  C</w:t>
      </w:r>
      <w:r w:rsidR="00FD765D" w:rsidRPr="00803D18">
        <w:rPr>
          <w:rFonts w:ascii="Times New Roman" w:hAnsi="Times New Roman"/>
          <w:sz w:val="24"/>
          <w:szCs w:val="24"/>
        </w:rPr>
        <w:t>apital markets practically came to a halt, as investors shied away from stocks and corporate bonds</w:t>
      </w:r>
      <w:r w:rsidR="00F61FC9" w:rsidRPr="00803D18">
        <w:rPr>
          <w:rFonts w:ascii="Times New Roman" w:hAnsi="Times New Roman"/>
          <w:sz w:val="24"/>
          <w:szCs w:val="24"/>
        </w:rPr>
        <w:t>,</w:t>
      </w:r>
      <w:r w:rsidR="00DA167C" w:rsidRPr="00803D18">
        <w:rPr>
          <w:rFonts w:ascii="Times New Roman" w:hAnsi="Times New Roman"/>
          <w:sz w:val="24"/>
          <w:szCs w:val="24"/>
        </w:rPr>
        <w:t xml:space="preserve"> and invested </w:t>
      </w:r>
      <w:r w:rsidR="00FD765D" w:rsidRPr="00803D18">
        <w:rPr>
          <w:rFonts w:ascii="Times New Roman" w:hAnsi="Times New Roman"/>
          <w:sz w:val="24"/>
          <w:szCs w:val="24"/>
        </w:rPr>
        <w:t>in the safest of investments – U.S. Treasury securities.  As a result of this “flight to safety,” rates on U.S. Treasur</w:t>
      </w:r>
      <w:r w:rsidR="00DA167C" w:rsidRPr="00803D18">
        <w:rPr>
          <w:rFonts w:ascii="Times New Roman" w:hAnsi="Times New Roman"/>
          <w:sz w:val="24"/>
          <w:szCs w:val="24"/>
        </w:rPr>
        <w:t>ies fell to unprecedented lows</w:t>
      </w:r>
      <w:r w:rsidR="00FD765D" w:rsidRPr="00803D18">
        <w:rPr>
          <w:rFonts w:ascii="Times New Roman" w:hAnsi="Times New Roman"/>
          <w:sz w:val="24"/>
          <w:szCs w:val="24"/>
        </w:rPr>
        <w:t xml:space="preserve">.  In turn, stock prices fell dramatically and corporate bond yields rose.  </w:t>
      </w:r>
      <w:r w:rsidR="00DA167C" w:rsidRPr="00803D18">
        <w:rPr>
          <w:rFonts w:ascii="Times New Roman" w:hAnsi="Times New Roman"/>
          <w:sz w:val="24"/>
          <w:szCs w:val="24"/>
        </w:rPr>
        <w:t>The yield on Baa-rated utility bonds was about</w:t>
      </w:r>
      <w:r w:rsidR="002F6FFD" w:rsidRPr="00803D18">
        <w:rPr>
          <w:rFonts w:ascii="Times New Roman" w:hAnsi="Times New Roman"/>
          <w:sz w:val="24"/>
          <w:szCs w:val="24"/>
        </w:rPr>
        <w:t xml:space="preserve"> 7 percent in June to </w:t>
      </w:r>
      <w:r w:rsidR="00DA167C" w:rsidRPr="00803D18">
        <w:rPr>
          <w:rFonts w:ascii="Times New Roman" w:hAnsi="Times New Roman"/>
          <w:sz w:val="24"/>
          <w:szCs w:val="24"/>
        </w:rPr>
        <w:t>September 2008, the time-frame of PSE’s last rate case.</w:t>
      </w:r>
      <w:r w:rsidR="00DA167C">
        <w:rPr>
          <w:rStyle w:val="FootnoteReference"/>
          <w:rFonts w:ascii="Times New Roman" w:hAnsi="Times New Roman"/>
          <w:sz w:val="24"/>
          <w:szCs w:val="24"/>
        </w:rPr>
        <w:footnoteReference w:id="20"/>
      </w:r>
      <w:r w:rsidR="00DA167C" w:rsidRPr="00803D18">
        <w:rPr>
          <w:rFonts w:ascii="Times New Roman" w:hAnsi="Times New Roman"/>
          <w:sz w:val="24"/>
          <w:szCs w:val="24"/>
        </w:rPr>
        <w:t xml:space="preserve">  Rates rose to nearly 9 percent in late 2008 and remained around 8 percent through April of 2009.</w:t>
      </w:r>
    </w:p>
    <w:p w:rsidR="00356DA6"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356DA6" w:rsidRPr="00803D18">
        <w:rPr>
          <w:rFonts w:ascii="Times New Roman" w:hAnsi="Times New Roman"/>
          <w:sz w:val="24"/>
          <w:szCs w:val="24"/>
        </w:rPr>
        <w:t>However, o</w:t>
      </w:r>
      <w:r w:rsidR="00FD765D" w:rsidRPr="00803D18">
        <w:rPr>
          <w:rFonts w:ascii="Times New Roman" w:hAnsi="Times New Roman"/>
          <w:sz w:val="24"/>
          <w:szCs w:val="24"/>
        </w:rPr>
        <w:t>v</w:t>
      </w:r>
      <w:r w:rsidR="00006B51" w:rsidRPr="00803D18">
        <w:rPr>
          <w:rFonts w:ascii="Times New Roman" w:hAnsi="Times New Roman"/>
          <w:sz w:val="24"/>
          <w:szCs w:val="24"/>
        </w:rPr>
        <w:t xml:space="preserve">er the past several months, </w:t>
      </w:r>
      <w:r w:rsidR="00FD765D" w:rsidRPr="00803D18">
        <w:rPr>
          <w:rFonts w:ascii="Times New Roman" w:hAnsi="Times New Roman"/>
          <w:sz w:val="24"/>
          <w:szCs w:val="24"/>
        </w:rPr>
        <w:t>capit</w:t>
      </w:r>
      <w:r w:rsidR="00F61FC9" w:rsidRPr="00803D18">
        <w:rPr>
          <w:rFonts w:ascii="Times New Roman" w:hAnsi="Times New Roman"/>
          <w:sz w:val="24"/>
          <w:szCs w:val="24"/>
        </w:rPr>
        <w:t>al markets have largely stabilized</w:t>
      </w:r>
      <w:r w:rsidR="00FD765D" w:rsidRPr="00803D18">
        <w:rPr>
          <w:rFonts w:ascii="Times New Roman" w:hAnsi="Times New Roman"/>
          <w:sz w:val="24"/>
          <w:szCs w:val="24"/>
        </w:rPr>
        <w:t xml:space="preserve"> such that the current yields on long-term corporate bonds h</w:t>
      </w:r>
      <w:r w:rsidR="00F50EA0" w:rsidRPr="00803D18">
        <w:rPr>
          <w:rFonts w:ascii="Times New Roman" w:hAnsi="Times New Roman"/>
          <w:sz w:val="24"/>
          <w:szCs w:val="24"/>
        </w:rPr>
        <w:t>ave declined to levels below</w:t>
      </w:r>
      <w:r w:rsidR="00FD765D" w:rsidRPr="00803D18">
        <w:rPr>
          <w:rFonts w:ascii="Times New Roman" w:hAnsi="Times New Roman"/>
          <w:sz w:val="24"/>
          <w:szCs w:val="24"/>
        </w:rPr>
        <w:t xml:space="preserve"> those that existed prior to the crisis.</w:t>
      </w:r>
      <w:r w:rsidR="00DA167C" w:rsidRPr="00803D18">
        <w:rPr>
          <w:rFonts w:ascii="Times New Roman" w:hAnsi="Times New Roman"/>
          <w:sz w:val="24"/>
          <w:szCs w:val="24"/>
        </w:rPr>
        <w:t xml:space="preserve">  R</w:t>
      </w:r>
      <w:r w:rsidR="00006B51" w:rsidRPr="00803D18">
        <w:rPr>
          <w:rFonts w:ascii="Times New Roman" w:hAnsi="Times New Roman"/>
          <w:sz w:val="24"/>
          <w:szCs w:val="24"/>
        </w:rPr>
        <w:t xml:space="preserve">ates </w:t>
      </w:r>
      <w:r w:rsidR="003C0221" w:rsidRPr="00803D18">
        <w:rPr>
          <w:rFonts w:ascii="Times New Roman" w:hAnsi="Times New Roman"/>
          <w:sz w:val="24"/>
          <w:szCs w:val="24"/>
        </w:rPr>
        <w:t xml:space="preserve">declined to </w:t>
      </w:r>
      <w:r w:rsidR="00C36248" w:rsidRPr="00803D18">
        <w:rPr>
          <w:rFonts w:ascii="Times New Roman" w:hAnsi="Times New Roman"/>
          <w:sz w:val="24"/>
          <w:szCs w:val="24"/>
        </w:rPr>
        <w:t>6 percent in September-</w:t>
      </w:r>
      <w:r w:rsidR="003C0221" w:rsidRPr="00803D18">
        <w:rPr>
          <w:rFonts w:ascii="Times New Roman" w:hAnsi="Times New Roman"/>
          <w:sz w:val="24"/>
          <w:szCs w:val="24"/>
        </w:rPr>
        <w:t xml:space="preserve">October </w:t>
      </w:r>
      <w:r w:rsidR="00006B51" w:rsidRPr="00803D18">
        <w:rPr>
          <w:rFonts w:ascii="Times New Roman" w:hAnsi="Times New Roman"/>
          <w:sz w:val="24"/>
          <w:szCs w:val="24"/>
        </w:rPr>
        <w:t xml:space="preserve">2009, </w:t>
      </w:r>
      <w:r w:rsidR="00356DA6" w:rsidRPr="00803D18">
        <w:rPr>
          <w:rFonts w:ascii="Times New Roman" w:hAnsi="Times New Roman"/>
          <w:sz w:val="24"/>
          <w:szCs w:val="24"/>
        </w:rPr>
        <w:t>nearly 100 basis points below the</w:t>
      </w:r>
      <w:r w:rsidR="00006B51" w:rsidRPr="00803D18">
        <w:rPr>
          <w:rFonts w:ascii="Times New Roman" w:hAnsi="Times New Roman"/>
          <w:sz w:val="24"/>
          <w:szCs w:val="24"/>
        </w:rPr>
        <w:t xml:space="preserve"> level that prevailed during </w:t>
      </w:r>
      <w:r w:rsidR="00356DA6" w:rsidRPr="00803D18">
        <w:rPr>
          <w:rFonts w:ascii="Times New Roman" w:hAnsi="Times New Roman"/>
          <w:sz w:val="24"/>
          <w:szCs w:val="24"/>
        </w:rPr>
        <w:t>PSE’s last rate case.  This reductio</w:t>
      </w:r>
      <w:r w:rsidR="007E72D2" w:rsidRPr="00803D18">
        <w:rPr>
          <w:rFonts w:ascii="Times New Roman" w:hAnsi="Times New Roman"/>
          <w:sz w:val="24"/>
          <w:szCs w:val="24"/>
        </w:rPr>
        <w:t xml:space="preserve">n in utility bond rates is </w:t>
      </w:r>
      <w:r w:rsidR="00356DA6" w:rsidRPr="00803D18">
        <w:rPr>
          <w:rFonts w:ascii="Times New Roman" w:hAnsi="Times New Roman"/>
          <w:sz w:val="24"/>
          <w:szCs w:val="24"/>
        </w:rPr>
        <w:t>reflected in PSE’s most recent sale of new debt</w:t>
      </w:r>
      <w:r w:rsidR="001E77A1" w:rsidRPr="00803D18">
        <w:rPr>
          <w:rFonts w:ascii="Times New Roman" w:hAnsi="Times New Roman"/>
          <w:sz w:val="24"/>
          <w:szCs w:val="24"/>
        </w:rPr>
        <w:t xml:space="preserve"> at 5.757 percent</w:t>
      </w:r>
      <w:r w:rsidR="00356DA6" w:rsidRPr="00803D18">
        <w:rPr>
          <w:rFonts w:ascii="Times New Roman" w:hAnsi="Times New Roman"/>
          <w:sz w:val="24"/>
          <w:szCs w:val="24"/>
        </w:rPr>
        <w:t>, which</w:t>
      </w:r>
      <w:r w:rsidR="001E77A1" w:rsidRPr="00803D18">
        <w:rPr>
          <w:rFonts w:ascii="Times New Roman" w:hAnsi="Times New Roman"/>
          <w:sz w:val="24"/>
          <w:szCs w:val="24"/>
        </w:rPr>
        <w:t xml:space="preserve"> </w:t>
      </w:r>
      <w:r w:rsidR="00356DA6" w:rsidRPr="00803D18">
        <w:rPr>
          <w:rFonts w:ascii="Times New Roman" w:hAnsi="Times New Roman"/>
          <w:sz w:val="24"/>
          <w:szCs w:val="24"/>
        </w:rPr>
        <w:t>was the “lowest coupon that PSE ever received on a 30-year senior unsecured note issue.”</w:t>
      </w:r>
      <w:r w:rsidR="00356DA6">
        <w:rPr>
          <w:rStyle w:val="FootnoteReference"/>
          <w:rFonts w:ascii="Times New Roman" w:hAnsi="Times New Roman"/>
          <w:sz w:val="24"/>
          <w:szCs w:val="24"/>
        </w:rPr>
        <w:footnoteReference w:id="21"/>
      </w:r>
      <w:r w:rsidR="00356DA6" w:rsidRPr="00803D18">
        <w:rPr>
          <w:rFonts w:ascii="Times New Roman" w:hAnsi="Times New Roman"/>
          <w:sz w:val="24"/>
          <w:szCs w:val="24"/>
        </w:rPr>
        <w:t xml:space="preserve"> </w:t>
      </w:r>
    </w:p>
    <w:p w:rsidR="00FD765D"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006B51" w:rsidRPr="00803D18">
        <w:rPr>
          <w:rFonts w:ascii="Times New Roman" w:hAnsi="Times New Roman"/>
          <w:sz w:val="24"/>
          <w:szCs w:val="24"/>
        </w:rPr>
        <w:t>I</w:t>
      </w:r>
      <w:r w:rsidR="00FD765D" w:rsidRPr="00803D18">
        <w:rPr>
          <w:rFonts w:ascii="Times New Roman" w:hAnsi="Times New Roman"/>
          <w:sz w:val="24"/>
          <w:szCs w:val="24"/>
        </w:rPr>
        <w:t xml:space="preserve">t is </w:t>
      </w:r>
      <w:r w:rsidR="00297259" w:rsidRPr="00803D18">
        <w:rPr>
          <w:rFonts w:ascii="Times New Roman" w:hAnsi="Times New Roman"/>
          <w:sz w:val="24"/>
          <w:szCs w:val="24"/>
        </w:rPr>
        <w:t xml:space="preserve">also </w:t>
      </w:r>
      <w:r w:rsidR="00992915" w:rsidRPr="00803D18">
        <w:rPr>
          <w:rFonts w:ascii="Times New Roman" w:hAnsi="Times New Roman"/>
          <w:sz w:val="24"/>
          <w:szCs w:val="24"/>
        </w:rPr>
        <w:t xml:space="preserve">apparent that </w:t>
      </w:r>
      <w:r w:rsidR="00FD765D" w:rsidRPr="00803D18">
        <w:rPr>
          <w:rFonts w:ascii="Times New Roman" w:hAnsi="Times New Roman"/>
          <w:sz w:val="24"/>
          <w:szCs w:val="24"/>
        </w:rPr>
        <w:t xml:space="preserve">the recent financial crisis affected virtually all sectors of the economy – households, small businesses, </w:t>
      </w:r>
      <w:r w:rsidR="00287B47" w:rsidRPr="00803D18">
        <w:rPr>
          <w:rFonts w:ascii="Times New Roman" w:hAnsi="Times New Roman"/>
          <w:sz w:val="24"/>
          <w:szCs w:val="24"/>
        </w:rPr>
        <w:t xml:space="preserve">and </w:t>
      </w:r>
      <w:r w:rsidR="00FD765D" w:rsidRPr="00803D18">
        <w:rPr>
          <w:rFonts w:ascii="Times New Roman" w:hAnsi="Times New Roman"/>
          <w:sz w:val="24"/>
          <w:szCs w:val="24"/>
        </w:rPr>
        <w:t>larger commercial and industrial</w:t>
      </w:r>
      <w:r w:rsidR="00297259" w:rsidRPr="00803D18">
        <w:rPr>
          <w:rFonts w:ascii="Times New Roman" w:hAnsi="Times New Roman"/>
          <w:sz w:val="24"/>
          <w:szCs w:val="24"/>
        </w:rPr>
        <w:t xml:space="preserve"> enterprise</w:t>
      </w:r>
      <w:r w:rsidR="00F61FC9" w:rsidRPr="00803D18">
        <w:rPr>
          <w:rFonts w:ascii="Times New Roman" w:hAnsi="Times New Roman"/>
          <w:sz w:val="24"/>
          <w:szCs w:val="24"/>
        </w:rPr>
        <w:t>s.  I</w:t>
      </w:r>
      <w:r w:rsidR="00FD765D" w:rsidRPr="00803D18">
        <w:rPr>
          <w:rFonts w:ascii="Times New Roman" w:hAnsi="Times New Roman"/>
          <w:sz w:val="24"/>
          <w:szCs w:val="24"/>
        </w:rPr>
        <w:t>n most cases</w:t>
      </w:r>
      <w:r w:rsidR="00F61FC9" w:rsidRPr="00803D18">
        <w:rPr>
          <w:rFonts w:ascii="Times New Roman" w:hAnsi="Times New Roman"/>
          <w:sz w:val="24"/>
          <w:szCs w:val="24"/>
        </w:rPr>
        <w:t>, the impact on those sectors was</w:t>
      </w:r>
      <w:r w:rsidR="00FD765D" w:rsidRPr="00803D18">
        <w:rPr>
          <w:rFonts w:ascii="Times New Roman" w:hAnsi="Times New Roman"/>
          <w:sz w:val="24"/>
          <w:szCs w:val="24"/>
        </w:rPr>
        <w:t xml:space="preserve"> </w:t>
      </w:r>
      <w:r w:rsidR="00006B51" w:rsidRPr="00803D18">
        <w:rPr>
          <w:rFonts w:ascii="Times New Roman" w:hAnsi="Times New Roman"/>
          <w:sz w:val="24"/>
          <w:szCs w:val="24"/>
        </w:rPr>
        <w:t xml:space="preserve">greater than </w:t>
      </w:r>
      <w:r w:rsidR="001E77A1" w:rsidRPr="00803D18">
        <w:rPr>
          <w:rFonts w:ascii="Times New Roman" w:hAnsi="Times New Roman"/>
          <w:sz w:val="24"/>
          <w:szCs w:val="24"/>
        </w:rPr>
        <w:t xml:space="preserve">for PSE </w:t>
      </w:r>
      <w:r w:rsidR="00006B51" w:rsidRPr="00803D18">
        <w:rPr>
          <w:rFonts w:ascii="Times New Roman" w:hAnsi="Times New Roman"/>
          <w:sz w:val="24"/>
          <w:szCs w:val="24"/>
        </w:rPr>
        <w:t xml:space="preserve">because PSE </w:t>
      </w:r>
      <w:r w:rsidR="00FD765D" w:rsidRPr="00803D18">
        <w:rPr>
          <w:rFonts w:ascii="Times New Roman" w:hAnsi="Times New Roman"/>
          <w:sz w:val="24"/>
          <w:szCs w:val="24"/>
        </w:rPr>
        <w:t xml:space="preserve">is a </w:t>
      </w:r>
      <w:r w:rsidR="00FD765D" w:rsidRPr="00803D18">
        <w:rPr>
          <w:rFonts w:ascii="Times New Roman" w:hAnsi="Times New Roman"/>
          <w:sz w:val="24"/>
          <w:szCs w:val="24"/>
        </w:rPr>
        <w:lastRenderedPageBreak/>
        <w:t>regulated utilit</w:t>
      </w:r>
      <w:r w:rsidR="00287B47" w:rsidRPr="00803D18">
        <w:rPr>
          <w:rFonts w:ascii="Times New Roman" w:hAnsi="Times New Roman"/>
          <w:sz w:val="24"/>
          <w:szCs w:val="24"/>
        </w:rPr>
        <w:t>y that sells a</w:t>
      </w:r>
      <w:r w:rsidR="000F606D" w:rsidRPr="00803D18">
        <w:rPr>
          <w:rFonts w:ascii="Times New Roman" w:hAnsi="Times New Roman"/>
          <w:sz w:val="24"/>
          <w:szCs w:val="24"/>
        </w:rPr>
        <w:t>n essential</w:t>
      </w:r>
      <w:r w:rsidR="00287B47" w:rsidRPr="00803D18">
        <w:rPr>
          <w:rFonts w:ascii="Times New Roman" w:hAnsi="Times New Roman"/>
          <w:sz w:val="24"/>
          <w:szCs w:val="24"/>
        </w:rPr>
        <w:t xml:space="preserve"> product with </w:t>
      </w:r>
      <w:r w:rsidR="00FD765D" w:rsidRPr="00803D18">
        <w:rPr>
          <w:rFonts w:ascii="Times New Roman" w:hAnsi="Times New Roman"/>
          <w:sz w:val="24"/>
          <w:szCs w:val="24"/>
        </w:rPr>
        <w:t xml:space="preserve">few </w:t>
      </w:r>
      <w:r w:rsidR="00006B51" w:rsidRPr="00803D18">
        <w:rPr>
          <w:rFonts w:ascii="Times New Roman" w:hAnsi="Times New Roman"/>
          <w:sz w:val="24"/>
          <w:szCs w:val="24"/>
        </w:rPr>
        <w:t>close su</w:t>
      </w:r>
      <w:r w:rsidR="00C313E1" w:rsidRPr="00803D18">
        <w:rPr>
          <w:rFonts w:ascii="Times New Roman" w:hAnsi="Times New Roman"/>
          <w:sz w:val="24"/>
          <w:szCs w:val="24"/>
        </w:rPr>
        <w:t>bstitutes.  As such, PSE was</w:t>
      </w:r>
      <w:r w:rsidR="00FD765D" w:rsidRPr="00803D18">
        <w:rPr>
          <w:rFonts w:ascii="Times New Roman" w:hAnsi="Times New Roman"/>
          <w:sz w:val="24"/>
          <w:szCs w:val="24"/>
        </w:rPr>
        <w:t xml:space="preserve"> partially, if not largely, insulated from the impacts of </w:t>
      </w:r>
      <w:r w:rsidR="00882C2C" w:rsidRPr="00803D18">
        <w:rPr>
          <w:rFonts w:ascii="Times New Roman" w:hAnsi="Times New Roman"/>
          <w:sz w:val="24"/>
          <w:szCs w:val="24"/>
        </w:rPr>
        <w:t xml:space="preserve">the </w:t>
      </w:r>
      <w:r w:rsidR="00FD765D" w:rsidRPr="00803D18">
        <w:rPr>
          <w:rFonts w:ascii="Times New Roman" w:hAnsi="Times New Roman"/>
          <w:sz w:val="24"/>
          <w:szCs w:val="24"/>
        </w:rPr>
        <w:t xml:space="preserve">depressed economic conditions. </w:t>
      </w:r>
    </w:p>
    <w:p w:rsidR="00FD765D"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006B51" w:rsidRPr="00803D18">
        <w:rPr>
          <w:rFonts w:ascii="Times New Roman" w:hAnsi="Times New Roman"/>
          <w:sz w:val="24"/>
          <w:szCs w:val="24"/>
        </w:rPr>
        <w:t>Third</w:t>
      </w:r>
      <w:r w:rsidR="00FD765D" w:rsidRPr="00803D18">
        <w:rPr>
          <w:rFonts w:ascii="Times New Roman" w:hAnsi="Times New Roman"/>
          <w:sz w:val="24"/>
          <w:szCs w:val="24"/>
        </w:rPr>
        <w:t xml:space="preserve">, the major impact </w:t>
      </w:r>
      <w:r w:rsidR="00CD44D7" w:rsidRPr="00803D18">
        <w:rPr>
          <w:rFonts w:ascii="Times New Roman" w:hAnsi="Times New Roman"/>
          <w:sz w:val="24"/>
          <w:szCs w:val="24"/>
        </w:rPr>
        <w:t xml:space="preserve">of the recession </w:t>
      </w:r>
      <w:r w:rsidR="00882C2C" w:rsidRPr="00803D18">
        <w:rPr>
          <w:rFonts w:ascii="Times New Roman" w:hAnsi="Times New Roman"/>
          <w:sz w:val="24"/>
          <w:szCs w:val="24"/>
        </w:rPr>
        <w:t xml:space="preserve">was </w:t>
      </w:r>
      <w:r w:rsidR="00FD765D" w:rsidRPr="00803D18">
        <w:rPr>
          <w:rFonts w:ascii="Times New Roman" w:hAnsi="Times New Roman"/>
          <w:sz w:val="24"/>
          <w:szCs w:val="24"/>
        </w:rPr>
        <w:t xml:space="preserve">to depress the profits of most enterprises.  </w:t>
      </w:r>
      <w:r w:rsidR="00CD44D7" w:rsidRPr="00803D18">
        <w:rPr>
          <w:rFonts w:ascii="Times New Roman" w:hAnsi="Times New Roman"/>
          <w:sz w:val="24"/>
          <w:szCs w:val="24"/>
        </w:rPr>
        <w:t xml:space="preserve">As a result, </w:t>
      </w:r>
      <w:r w:rsidR="00FD765D" w:rsidRPr="00803D18">
        <w:rPr>
          <w:rFonts w:ascii="Times New Roman" w:hAnsi="Times New Roman"/>
          <w:sz w:val="24"/>
          <w:szCs w:val="24"/>
        </w:rPr>
        <w:t>capi</w:t>
      </w:r>
      <w:r w:rsidR="00453422" w:rsidRPr="00803D18">
        <w:rPr>
          <w:rFonts w:ascii="Times New Roman" w:hAnsi="Times New Roman"/>
          <w:sz w:val="24"/>
          <w:szCs w:val="24"/>
        </w:rPr>
        <w:t xml:space="preserve">tal costs decreased </w:t>
      </w:r>
      <w:r w:rsidR="001E77A1" w:rsidRPr="00803D18">
        <w:rPr>
          <w:rFonts w:ascii="Times New Roman" w:hAnsi="Times New Roman"/>
          <w:sz w:val="24"/>
          <w:szCs w:val="24"/>
        </w:rPr>
        <w:t xml:space="preserve">in the wake of the recession.  </w:t>
      </w:r>
      <w:r w:rsidR="00453422" w:rsidRPr="00803D18">
        <w:rPr>
          <w:rFonts w:ascii="Times New Roman" w:hAnsi="Times New Roman"/>
          <w:sz w:val="24"/>
          <w:szCs w:val="24"/>
        </w:rPr>
        <w:t>T</w:t>
      </w:r>
      <w:r w:rsidR="00FD765D" w:rsidRPr="00803D18">
        <w:rPr>
          <w:rFonts w:ascii="Times New Roman" w:hAnsi="Times New Roman"/>
          <w:sz w:val="24"/>
          <w:szCs w:val="24"/>
        </w:rPr>
        <w:t>here is no</w:t>
      </w:r>
      <w:r w:rsidR="00CD44D7" w:rsidRPr="00803D18">
        <w:rPr>
          <w:rFonts w:ascii="Times New Roman" w:hAnsi="Times New Roman"/>
          <w:sz w:val="24"/>
          <w:szCs w:val="24"/>
        </w:rPr>
        <w:t xml:space="preserve"> justification to increase</w:t>
      </w:r>
      <w:r w:rsidR="00FD765D" w:rsidRPr="00803D18">
        <w:rPr>
          <w:rFonts w:ascii="Times New Roman" w:hAnsi="Times New Roman"/>
          <w:sz w:val="24"/>
          <w:szCs w:val="24"/>
        </w:rPr>
        <w:t xml:space="preserve"> the profit level of a regulated utility such as PSE at the same time that other enterprises are experiencing lower profits and lower cost of capital.</w:t>
      </w:r>
      <w:r w:rsidR="002B7D54">
        <w:rPr>
          <w:rStyle w:val="FootnoteReference"/>
          <w:rFonts w:ascii="Times New Roman" w:hAnsi="Times New Roman"/>
          <w:sz w:val="24"/>
          <w:szCs w:val="24"/>
        </w:rPr>
        <w:footnoteReference w:id="22"/>
      </w:r>
      <w:r w:rsidR="00FD765D" w:rsidRPr="00803D18">
        <w:rPr>
          <w:rFonts w:ascii="Times New Roman" w:hAnsi="Times New Roman"/>
          <w:sz w:val="24"/>
          <w:szCs w:val="24"/>
        </w:rPr>
        <w:t xml:space="preserve"> </w:t>
      </w:r>
    </w:p>
    <w:p w:rsidR="00FD765D"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006B51" w:rsidRPr="00803D18">
        <w:rPr>
          <w:rFonts w:ascii="Times New Roman" w:hAnsi="Times New Roman"/>
          <w:sz w:val="24"/>
          <w:szCs w:val="24"/>
        </w:rPr>
        <w:t>Finally</w:t>
      </w:r>
      <w:r w:rsidR="00FD765D" w:rsidRPr="00803D18">
        <w:rPr>
          <w:rFonts w:ascii="Times New Roman" w:hAnsi="Times New Roman"/>
          <w:sz w:val="24"/>
          <w:szCs w:val="24"/>
        </w:rPr>
        <w:t>, the United</w:t>
      </w:r>
      <w:r w:rsidR="00006B51" w:rsidRPr="00803D18">
        <w:rPr>
          <w:rFonts w:ascii="Times New Roman" w:hAnsi="Times New Roman"/>
          <w:sz w:val="24"/>
          <w:szCs w:val="24"/>
        </w:rPr>
        <w:t xml:space="preserve"> States and other</w:t>
      </w:r>
      <w:r w:rsidR="00FD765D" w:rsidRPr="00803D18">
        <w:rPr>
          <w:rFonts w:ascii="Times New Roman" w:hAnsi="Times New Roman"/>
          <w:sz w:val="24"/>
          <w:szCs w:val="24"/>
        </w:rPr>
        <w:t xml:space="preserve"> governments have</w:t>
      </w:r>
      <w:r w:rsidR="00287B47" w:rsidRPr="00803D18">
        <w:rPr>
          <w:rFonts w:ascii="Times New Roman" w:hAnsi="Times New Roman"/>
          <w:sz w:val="24"/>
          <w:szCs w:val="24"/>
        </w:rPr>
        <w:t xml:space="preserve"> taken</w:t>
      </w:r>
      <w:r w:rsidR="00FD765D" w:rsidRPr="00803D18">
        <w:rPr>
          <w:rFonts w:ascii="Times New Roman" w:hAnsi="Times New Roman"/>
          <w:sz w:val="24"/>
          <w:szCs w:val="24"/>
        </w:rPr>
        <w:t>, and are continuing to take</w:t>
      </w:r>
      <w:r w:rsidR="00287B47" w:rsidRPr="00803D18">
        <w:rPr>
          <w:rFonts w:ascii="Times New Roman" w:hAnsi="Times New Roman"/>
          <w:sz w:val="24"/>
          <w:szCs w:val="24"/>
        </w:rPr>
        <w:t>,</w:t>
      </w:r>
      <w:r w:rsidR="00FD765D" w:rsidRPr="00803D18">
        <w:rPr>
          <w:rFonts w:ascii="Times New Roman" w:hAnsi="Times New Roman"/>
          <w:sz w:val="24"/>
          <w:szCs w:val="24"/>
        </w:rPr>
        <w:t xml:space="preserve"> extraordinary measures to a</w:t>
      </w:r>
      <w:r w:rsidR="00CD44D7" w:rsidRPr="00803D18">
        <w:rPr>
          <w:rFonts w:ascii="Times New Roman" w:hAnsi="Times New Roman"/>
          <w:sz w:val="24"/>
          <w:szCs w:val="24"/>
        </w:rPr>
        <w:t xml:space="preserve">void a </w:t>
      </w:r>
      <w:r w:rsidR="00F61FC9" w:rsidRPr="00803D18">
        <w:rPr>
          <w:rFonts w:ascii="Times New Roman" w:hAnsi="Times New Roman"/>
          <w:sz w:val="24"/>
          <w:szCs w:val="24"/>
        </w:rPr>
        <w:t xml:space="preserve">worsening of </w:t>
      </w:r>
      <w:r w:rsidR="00CD44D7" w:rsidRPr="00803D18">
        <w:rPr>
          <w:rFonts w:ascii="Times New Roman" w:hAnsi="Times New Roman"/>
          <w:sz w:val="24"/>
          <w:szCs w:val="24"/>
        </w:rPr>
        <w:t>market conditions</w:t>
      </w:r>
      <w:r w:rsidR="00FD765D" w:rsidRPr="00803D18">
        <w:rPr>
          <w:rFonts w:ascii="Times New Roman" w:hAnsi="Times New Roman"/>
          <w:sz w:val="24"/>
          <w:szCs w:val="24"/>
        </w:rPr>
        <w:t xml:space="preserve">.  </w:t>
      </w:r>
      <w:r w:rsidR="00D06CC0" w:rsidRPr="00803D18">
        <w:rPr>
          <w:rFonts w:ascii="Times New Roman" w:hAnsi="Times New Roman"/>
          <w:sz w:val="24"/>
          <w:szCs w:val="24"/>
        </w:rPr>
        <w:t>T</w:t>
      </w:r>
      <w:r w:rsidR="00882C2C" w:rsidRPr="00803D18">
        <w:rPr>
          <w:rFonts w:ascii="Times New Roman" w:hAnsi="Times New Roman"/>
          <w:sz w:val="24"/>
          <w:szCs w:val="24"/>
        </w:rPr>
        <w:t xml:space="preserve">he Federal Reserve </w:t>
      </w:r>
      <w:r w:rsidR="00356DA6" w:rsidRPr="00803D18">
        <w:rPr>
          <w:rFonts w:ascii="Times New Roman" w:hAnsi="Times New Roman"/>
          <w:sz w:val="24"/>
          <w:szCs w:val="24"/>
        </w:rPr>
        <w:t>reduced interest rates to historically low levels and is expected to keep them there.</w:t>
      </w:r>
      <w:r w:rsidR="00356DA6">
        <w:rPr>
          <w:rStyle w:val="FootnoteReference"/>
          <w:rFonts w:ascii="Times New Roman" w:hAnsi="Times New Roman"/>
          <w:sz w:val="24"/>
          <w:szCs w:val="24"/>
        </w:rPr>
        <w:footnoteReference w:id="23"/>
      </w:r>
      <w:r w:rsidR="00356DA6" w:rsidRPr="00803D18">
        <w:rPr>
          <w:rFonts w:ascii="Times New Roman" w:hAnsi="Times New Roman"/>
          <w:sz w:val="24"/>
          <w:szCs w:val="24"/>
        </w:rPr>
        <w:t xml:space="preserve">  </w:t>
      </w:r>
      <w:r w:rsidR="00882C2C" w:rsidRPr="00803D18">
        <w:rPr>
          <w:rFonts w:ascii="Times New Roman" w:hAnsi="Times New Roman"/>
          <w:sz w:val="24"/>
          <w:szCs w:val="24"/>
        </w:rPr>
        <w:t xml:space="preserve">PSE </w:t>
      </w:r>
      <w:r w:rsidR="00FD765D" w:rsidRPr="00803D18">
        <w:rPr>
          <w:rFonts w:ascii="Times New Roman" w:hAnsi="Times New Roman"/>
          <w:sz w:val="24"/>
          <w:szCs w:val="24"/>
        </w:rPr>
        <w:t>benefit</w:t>
      </w:r>
      <w:r w:rsidR="00882C2C" w:rsidRPr="00803D18">
        <w:rPr>
          <w:rFonts w:ascii="Times New Roman" w:hAnsi="Times New Roman"/>
          <w:sz w:val="24"/>
          <w:szCs w:val="24"/>
        </w:rPr>
        <w:t>s</w:t>
      </w:r>
      <w:r w:rsidR="00FD765D" w:rsidRPr="00803D18">
        <w:rPr>
          <w:rFonts w:ascii="Times New Roman" w:hAnsi="Times New Roman"/>
          <w:sz w:val="24"/>
          <w:szCs w:val="24"/>
        </w:rPr>
        <w:t xml:space="preserve"> from these measures.  Likewise, PSE’s ratepa</w:t>
      </w:r>
      <w:r w:rsidR="0090377C" w:rsidRPr="00803D18">
        <w:rPr>
          <w:rFonts w:ascii="Times New Roman" w:hAnsi="Times New Roman"/>
          <w:sz w:val="24"/>
          <w:szCs w:val="24"/>
        </w:rPr>
        <w:t xml:space="preserve">yers should </w:t>
      </w:r>
      <w:r w:rsidR="00FD765D" w:rsidRPr="00803D18">
        <w:rPr>
          <w:rFonts w:ascii="Times New Roman" w:hAnsi="Times New Roman"/>
          <w:sz w:val="24"/>
          <w:szCs w:val="24"/>
        </w:rPr>
        <w:t xml:space="preserve">pay rates recognizing the lower cost of capital resulting from these measures. </w:t>
      </w:r>
    </w:p>
    <w:p w:rsidR="00FD765D"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AF3A1C" w:rsidRPr="00803D18">
        <w:rPr>
          <w:rFonts w:ascii="Times New Roman" w:hAnsi="Times New Roman"/>
          <w:sz w:val="24"/>
          <w:szCs w:val="24"/>
        </w:rPr>
        <w:t xml:space="preserve">Given the fact that </w:t>
      </w:r>
      <w:r w:rsidR="00FD765D" w:rsidRPr="00803D18">
        <w:rPr>
          <w:rFonts w:ascii="Times New Roman" w:hAnsi="Times New Roman"/>
          <w:sz w:val="24"/>
          <w:szCs w:val="24"/>
        </w:rPr>
        <w:t>opportunity costs, as well a</w:t>
      </w:r>
      <w:r w:rsidR="00CD44D7" w:rsidRPr="00803D18">
        <w:rPr>
          <w:rFonts w:ascii="Times New Roman" w:hAnsi="Times New Roman"/>
          <w:sz w:val="24"/>
          <w:szCs w:val="24"/>
        </w:rPr>
        <w:t>s interest rates, have</w:t>
      </w:r>
      <w:r w:rsidR="00FD765D" w:rsidRPr="00803D18">
        <w:rPr>
          <w:rFonts w:ascii="Times New Roman" w:hAnsi="Times New Roman"/>
          <w:sz w:val="24"/>
          <w:szCs w:val="24"/>
        </w:rPr>
        <w:t xml:space="preserve"> declined </w:t>
      </w:r>
      <w:r w:rsidR="00882C2C" w:rsidRPr="00803D18">
        <w:rPr>
          <w:rFonts w:ascii="Times New Roman" w:hAnsi="Times New Roman"/>
          <w:sz w:val="24"/>
          <w:szCs w:val="24"/>
        </w:rPr>
        <w:t xml:space="preserve">since PSE’s current </w:t>
      </w:r>
      <w:r w:rsidR="00CD44D7" w:rsidRPr="00803D18">
        <w:rPr>
          <w:rFonts w:ascii="Times New Roman" w:hAnsi="Times New Roman"/>
          <w:sz w:val="24"/>
          <w:szCs w:val="24"/>
        </w:rPr>
        <w:t xml:space="preserve">return on equity was set </w:t>
      </w:r>
      <w:r w:rsidR="00DA433C" w:rsidRPr="00803D18">
        <w:rPr>
          <w:rFonts w:ascii="Times New Roman" w:hAnsi="Times New Roman"/>
          <w:sz w:val="24"/>
          <w:szCs w:val="24"/>
        </w:rPr>
        <w:t>and are expected to continue their decline</w:t>
      </w:r>
      <w:r w:rsidR="00FD765D" w:rsidRPr="00803D18">
        <w:rPr>
          <w:rFonts w:ascii="Times New Roman" w:hAnsi="Times New Roman"/>
          <w:sz w:val="24"/>
          <w:szCs w:val="24"/>
        </w:rPr>
        <w:t xml:space="preserve">, the Commission should </w:t>
      </w:r>
      <w:r w:rsidR="00992915" w:rsidRPr="00803D18">
        <w:rPr>
          <w:rFonts w:ascii="Times New Roman" w:hAnsi="Times New Roman"/>
          <w:sz w:val="24"/>
          <w:szCs w:val="24"/>
        </w:rPr>
        <w:t xml:space="preserve">reduce the </w:t>
      </w:r>
      <w:r w:rsidR="00287B47" w:rsidRPr="00803D18">
        <w:rPr>
          <w:rFonts w:ascii="Times New Roman" w:hAnsi="Times New Roman"/>
          <w:sz w:val="24"/>
          <w:szCs w:val="24"/>
        </w:rPr>
        <w:t>Company</w:t>
      </w:r>
      <w:r w:rsidR="00453422" w:rsidRPr="00803D18">
        <w:rPr>
          <w:rFonts w:ascii="Times New Roman" w:hAnsi="Times New Roman"/>
          <w:sz w:val="24"/>
          <w:szCs w:val="24"/>
        </w:rPr>
        <w:t>’s</w:t>
      </w:r>
      <w:r w:rsidR="00992915" w:rsidRPr="00803D18">
        <w:rPr>
          <w:rFonts w:ascii="Times New Roman" w:hAnsi="Times New Roman"/>
          <w:sz w:val="24"/>
          <w:szCs w:val="24"/>
        </w:rPr>
        <w:t xml:space="preserve"> cost of equity to </w:t>
      </w:r>
      <w:r w:rsidR="00FD765D" w:rsidRPr="00803D18">
        <w:rPr>
          <w:rFonts w:ascii="Times New Roman" w:hAnsi="Times New Roman"/>
          <w:sz w:val="24"/>
          <w:szCs w:val="24"/>
        </w:rPr>
        <w:t xml:space="preserve">10.0 percent.  </w:t>
      </w:r>
      <w:r w:rsidR="00BA1CFE" w:rsidRPr="00803D18">
        <w:rPr>
          <w:rFonts w:ascii="Times New Roman" w:hAnsi="Times New Roman"/>
          <w:bCs/>
          <w:sz w:val="24"/>
          <w:szCs w:val="24"/>
        </w:rPr>
        <w:t>This is consistent with the United States Supreme Court’s decision that “[a] rate of return may be reasonable at one time, and becomes too high or too low by changes affecting opportunities for investment, the money market, and business conditions generally.”</w:t>
      </w:r>
      <w:r w:rsidR="00BA1CFE">
        <w:rPr>
          <w:rStyle w:val="FootnoteReference"/>
          <w:rFonts w:ascii="Times New Roman" w:hAnsi="Times New Roman"/>
          <w:bCs/>
          <w:sz w:val="24"/>
          <w:szCs w:val="24"/>
        </w:rPr>
        <w:footnoteReference w:id="24"/>
      </w:r>
    </w:p>
    <w:p w:rsidR="00FE3E3A" w:rsidRDefault="00FE3E3A" w:rsidP="00882C2C">
      <w:pPr>
        <w:pStyle w:val="ListParagraph"/>
        <w:ind w:left="1440" w:hanging="720"/>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ab/>
      </w:r>
      <w:r w:rsidR="00882C2C">
        <w:rPr>
          <w:rFonts w:ascii="Times New Roman" w:hAnsi="Times New Roman"/>
          <w:b/>
          <w:bCs/>
          <w:sz w:val="24"/>
          <w:szCs w:val="24"/>
        </w:rPr>
        <w:t xml:space="preserve">Changes </w:t>
      </w:r>
      <w:r w:rsidR="007F1519">
        <w:rPr>
          <w:rFonts w:ascii="Times New Roman" w:hAnsi="Times New Roman"/>
          <w:b/>
          <w:bCs/>
          <w:sz w:val="24"/>
          <w:szCs w:val="24"/>
        </w:rPr>
        <w:t>a</w:t>
      </w:r>
      <w:r w:rsidR="00882C2C">
        <w:rPr>
          <w:rFonts w:ascii="Times New Roman" w:hAnsi="Times New Roman"/>
          <w:b/>
          <w:bCs/>
          <w:sz w:val="24"/>
          <w:szCs w:val="24"/>
        </w:rPr>
        <w:t xml:space="preserve">t </w:t>
      </w:r>
      <w:r w:rsidR="007F1519">
        <w:rPr>
          <w:rFonts w:ascii="Times New Roman" w:hAnsi="Times New Roman"/>
          <w:b/>
          <w:bCs/>
          <w:sz w:val="24"/>
          <w:szCs w:val="24"/>
        </w:rPr>
        <w:t>t</w:t>
      </w:r>
      <w:r w:rsidR="00882C2C">
        <w:rPr>
          <w:rFonts w:ascii="Times New Roman" w:hAnsi="Times New Roman"/>
          <w:b/>
          <w:bCs/>
          <w:sz w:val="24"/>
          <w:szCs w:val="24"/>
        </w:rPr>
        <w:t xml:space="preserve">he Company </w:t>
      </w:r>
      <w:r w:rsidR="007F1519">
        <w:rPr>
          <w:rFonts w:ascii="Times New Roman" w:hAnsi="Times New Roman"/>
          <w:b/>
          <w:bCs/>
          <w:sz w:val="24"/>
          <w:szCs w:val="24"/>
        </w:rPr>
        <w:t>s</w:t>
      </w:r>
      <w:r w:rsidR="00C36248">
        <w:rPr>
          <w:rFonts w:ascii="Times New Roman" w:hAnsi="Times New Roman"/>
          <w:b/>
          <w:bCs/>
          <w:sz w:val="24"/>
          <w:szCs w:val="24"/>
        </w:rPr>
        <w:t xml:space="preserve">upport Staff’s </w:t>
      </w:r>
      <w:r w:rsidR="007F1519">
        <w:rPr>
          <w:rFonts w:ascii="Times New Roman" w:hAnsi="Times New Roman"/>
          <w:b/>
          <w:bCs/>
          <w:sz w:val="24"/>
          <w:szCs w:val="24"/>
        </w:rPr>
        <w:t>r</w:t>
      </w:r>
      <w:r w:rsidR="0045728F">
        <w:rPr>
          <w:rFonts w:ascii="Times New Roman" w:hAnsi="Times New Roman"/>
          <w:b/>
          <w:bCs/>
          <w:sz w:val="24"/>
          <w:szCs w:val="24"/>
        </w:rPr>
        <w:t xml:space="preserve">ecommendation </w:t>
      </w:r>
      <w:r w:rsidR="007F1519">
        <w:rPr>
          <w:rFonts w:ascii="Times New Roman" w:hAnsi="Times New Roman"/>
          <w:b/>
          <w:bCs/>
          <w:sz w:val="24"/>
          <w:szCs w:val="24"/>
        </w:rPr>
        <w:t>t</w:t>
      </w:r>
      <w:r w:rsidR="0045728F">
        <w:rPr>
          <w:rFonts w:ascii="Times New Roman" w:hAnsi="Times New Roman"/>
          <w:b/>
          <w:bCs/>
          <w:sz w:val="24"/>
          <w:szCs w:val="24"/>
        </w:rPr>
        <w:t xml:space="preserve">o </w:t>
      </w:r>
      <w:r w:rsidR="007F1519">
        <w:rPr>
          <w:rFonts w:ascii="Times New Roman" w:hAnsi="Times New Roman"/>
          <w:b/>
          <w:bCs/>
          <w:sz w:val="24"/>
          <w:szCs w:val="24"/>
        </w:rPr>
        <w:t>r</w:t>
      </w:r>
      <w:r w:rsidR="00C36248">
        <w:rPr>
          <w:rFonts w:ascii="Times New Roman" w:hAnsi="Times New Roman"/>
          <w:b/>
          <w:bCs/>
          <w:sz w:val="24"/>
          <w:szCs w:val="24"/>
        </w:rPr>
        <w:t>educe PSE</w:t>
      </w:r>
      <w:r w:rsidR="007F1519">
        <w:rPr>
          <w:rFonts w:ascii="Times New Roman" w:hAnsi="Times New Roman"/>
          <w:b/>
          <w:bCs/>
          <w:sz w:val="24"/>
          <w:szCs w:val="24"/>
        </w:rPr>
        <w:t>’s cost of e</w:t>
      </w:r>
      <w:r w:rsidR="0045728F">
        <w:rPr>
          <w:rFonts w:ascii="Times New Roman" w:hAnsi="Times New Roman"/>
          <w:b/>
          <w:bCs/>
          <w:sz w:val="24"/>
          <w:szCs w:val="24"/>
        </w:rPr>
        <w:t>quity</w:t>
      </w:r>
    </w:p>
    <w:p w:rsidR="0045728F" w:rsidRPr="00BF50D0" w:rsidRDefault="0045728F" w:rsidP="0045728F">
      <w:pPr>
        <w:pStyle w:val="ListParagraph"/>
        <w:ind w:left="0"/>
        <w:rPr>
          <w:rFonts w:ascii="Times New Roman" w:hAnsi="Times New Roman"/>
          <w:b/>
          <w:bCs/>
          <w:sz w:val="24"/>
          <w:szCs w:val="24"/>
        </w:rPr>
      </w:pPr>
    </w:p>
    <w:p w:rsidR="005D7210" w:rsidRDefault="00803D1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CD44D7">
        <w:rPr>
          <w:rFonts w:ascii="Times New Roman" w:hAnsi="Times New Roman"/>
          <w:bCs/>
          <w:sz w:val="24"/>
          <w:szCs w:val="24"/>
        </w:rPr>
        <w:t>Mr. Parcell’s recommenda</w:t>
      </w:r>
      <w:r w:rsidR="003C0221">
        <w:rPr>
          <w:rFonts w:ascii="Times New Roman" w:hAnsi="Times New Roman"/>
          <w:bCs/>
          <w:sz w:val="24"/>
          <w:szCs w:val="24"/>
        </w:rPr>
        <w:t>tion to reduce PSE</w:t>
      </w:r>
      <w:r w:rsidR="00CD44D7">
        <w:rPr>
          <w:rFonts w:ascii="Times New Roman" w:hAnsi="Times New Roman"/>
          <w:bCs/>
          <w:sz w:val="24"/>
          <w:szCs w:val="24"/>
        </w:rPr>
        <w:t xml:space="preserve">’s return on equity to 10.0 percent is also supported by substantial evidence </w:t>
      </w:r>
      <w:r w:rsidR="005D7210">
        <w:rPr>
          <w:rFonts w:ascii="Times New Roman" w:hAnsi="Times New Roman"/>
          <w:bCs/>
          <w:sz w:val="24"/>
          <w:szCs w:val="24"/>
        </w:rPr>
        <w:t xml:space="preserve">of </w:t>
      </w:r>
      <w:r w:rsidR="00BF50D0">
        <w:rPr>
          <w:rFonts w:ascii="Times New Roman" w:hAnsi="Times New Roman"/>
          <w:bCs/>
          <w:sz w:val="24"/>
          <w:szCs w:val="24"/>
        </w:rPr>
        <w:t xml:space="preserve">changes at PSE </w:t>
      </w:r>
      <w:r w:rsidR="005D7210">
        <w:rPr>
          <w:rFonts w:ascii="Times New Roman" w:hAnsi="Times New Roman"/>
          <w:bCs/>
          <w:sz w:val="24"/>
          <w:szCs w:val="24"/>
        </w:rPr>
        <w:t>since its last general</w:t>
      </w:r>
      <w:r w:rsidR="00CD44D7">
        <w:rPr>
          <w:rFonts w:ascii="Times New Roman" w:hAnsi="Times New Roman"/>
          <w:bCs/>
          <w:sz w:val="24"/>
          <w:szCs w:val="24"/>
        </w:rPr>
        <w:t xml:space="preserve"> rate case.  </w:t>
      </w:r>
    </w:p>
    <w:p w:rsidR="003C0221" w:rsidRDefault="00803D1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lastRenderedPageBreak/>
        <w:tab/>
      </w:r>
      <w:r w:rsidR="00EF4A96">
        <w:rPr>
          <w:rFonts w:ascii="Times New Roman" w:hAnsi="Times New Roman"/>
          <w:bCs/>
          <w:sz w:val="24"/>
          <w:szCs w:val="24"/>
        </w:rPr>
        <w:t xml:space="preserve">First, </w:t>
      </w:r>
      <w:r w:rsidR="00B9250A">
        <w:rPr>
          <w:rFonts w:ascii="Times New Roman" w:hAnsi="Times New Roman"/>
          <w:bCs/>
          <w:sz w:val="24"/>
          <w:szCs w:val="24"/>
        </w:rPr>
        <w:t xml:space="preserve">since the 2008 Acquisition, Standard &amp; Poor’s </w:t>
      </w:r>
      <w:r w:rsidR="00CD44D7">
        <w:rPr>
          <w:rFonts w:ascii="Times New Roman" w:hAnsi="Times New Roman"/>
          <w:bCs/>
          <w:sz w:val="24"/>
          <w:szCs w:val="24"/>
        </w:rPr>
        <w:t xml:space="preserve">(“S&amp;P”) </w:t>
      </w:r>
      <w:r w:rsidR="00414094">
        <w:rPr>
          <w:rFonts w:ascii="Times New Roman" w:hAnsi="Times New Roman"/>
          <w:bCs/>
          <w:sz w:val="24"/>
          <w:szCs w:val="24"/>
        </w:rPr>
        <w:t>has removed all of PSE</w:t>
      </w:r>
      <w:r w:rsidR="00B9250A">
        <w:rPr>
          <w:rFonts w:ascii="Times New Roman" w:hAnsi="Times New Roman"/>
          <w:bCs/>
          <w:sz w:val="24"/>
          <w:szCs w:val="24"/>
        </w:rPr>
        <w:t xml:space="preserve">’s ratings from Credit Watch with negative implications and has upgraded </w:t>
      </w:r>
      <w:r w:rsidR="00C36248">
        <w:rPr>
          <w:rFonts w:ascii="Times New Roman" w:hAnsi="Times New Roman"/>
          <w:bCs/>
          <w:sz w:val="24"/>
          <w:szCs w:val="24"/>
        </w:rPr>
        <w:t>the PSE</w:t>
      </w:r>
      <w:r w:rsidR="00EF4A96">
        <w:rPr>
          <w:rFonts w:ascii="Times New Roman" w:hAnsi="Times New Roman"/>
          <w:bCs/>
          <w:sz w:val="24"/>
          <w:szCs w:val="24"/>
        </w:rPr>
        <w:t>’s corpora</w:t>
      </w:r>
      <w:r w:rsidR="00B9250A">
        <w:rPr>
          <w:rFonts w:ascii="Times New Roman" w:hAnsi="Times New Roman"/>
          <w:bCs/>
          <w:sz w:val="24"/>
          <w:szCs w:val="24"/>
        </w:rPr>
        <w:t>te credit rating from BBB-</w:t>
      </w:r>
      <w:r w:rsidR="005D7210">
        <w:rPr>
          <w:rFonts w:ascii="Times New Roman" w:hAnsi="Times New Roman"/>
          <w:bCs/>
          <w:sz w:val="24"/>
          <w:szCs w:val="24"/>
        </w:rPr>
        <w:t xml:space="preserve"> to </w:t>
      </w:r>
      <w:r w:rsidR="00B9250A">
        <w:rPr>
          <w:rFonts w:ascii="Times New Roman" w:hAnsi="Times New Roman"/>
          <w:bCs/>
          <w:sz w:val="24"/>
          <w:szCs w:val="24"/>
        </w:rPr>
        <w:t>BBB</w:t>
      </w:r>
      <w:r w:rsidR="00FF1CE2">
        <w:rPr>
          <w:rFonts w:ascii="Times New Roman" w:hAnsi="Times New Roman"/>
          <w:bCs/>
          <w:sz w:val="24"/>
          <w:szCs w:val="24"/>
        </w:rPr>
        <w:t xml:space="preserve"> and its senior secured credit rating from BBB+ to A-</w:t>
      </w:r>
      <w:r w:rsidR="00EF4A96">
        <w:rPr>
          <w:rFonts w:ascii="Times New Roman" w:hAnsi="Times New Roman"/>
          <w:bCs/>
          <w:sz w:val="24"/>
          <w:szCs w:val="24"/>
        </w:rPr>
        <w:t>.</w:t>
      </w:r>
      <w:r w:rsidR="00EF4A96">
        <w:rPr>
          <w:rStyle w:val="FootnoteReference"/>
          <w:rFonts w:ascii="Times New Roman" w:hAnsi="Times New Roman"/>
          <w:bCs/>
          <w:sz w:val="24"/>
          <w:szCs w:val="24"/>
        </w:rPr>
        <w:footnoteReference w:id="25"/>
      </w:r>
      <w:r w:rsidR="00FF1CE2">
        <w:rPr>
          <w:rFonts w:ascii="Times New Roman" w:hAnsi="Times New Roman"/>
          <w:bCs/>
          <w:sz w:val="24"/>
          <w:szCs w:val="24"/>
        </w:rPr>
        <w:t xml:space="preserve">  These </w:t>
      </w:r>
      <w:r w:rsidR="005D7210">
        <w:rPr>
          <w:rFonts w:ascii="Times New Roman" w:hAnsi="Times New Roman"/>
          <w:bCs/>
          <w:sz w:val="24"/>
          <w:szCs w:val="24"/>
        </w:rPr>
        <w:t>upgrade</w:t>
      </w:r>
      <w:r w:rsidR="00FF1CE2">
        <w:rPr>
          <w:rFonts w:ascii="Times New Roman" w:hAnsi="Times New Roman"/>
          <w:bCs/>
          <w:sz w:val="24"/>
          <w:szCs w:val="24"/>
        </w:rPr>
        <w:t>s</w:t>
      </w:r>
      <w:r w:rsidR="00EF4A96">
        <w:rPr>
          <w:rFonts w:ascii="Times New Roman" w:hAnsi="Times New Roman"/>
          <w:bCs/>
          <w:sz w:val="24"/>
          <w:szCs w:val="24"/>
        </w:rPr>
        <w:t xml:space="preserve"> occurred despite </w:t>
      </w:r>
      <w:r w:rsidR="00CD44D7">
        <w:rPr>
          <w:rFonts w:ascii="Times New Roman" w:hAnsi="Times New Roman"/>
          <w:bCs/>
          <w:sz w:val="24"/>
          <w:szCs w:val="24"/>
        </w:rPr>
        <w:t xml:space="preserve">PSE </w:t>
      </w:r>
      <w:r w:rsidR="002F20F5">
        <w:rPr>
          <w:rFonts w:ascii="Times New Roman" w:hAnsi="Times New Roman"/>
          <w:bCs/>
          <w:sz w:val="24"/>
          <w:szCs w:val="24"/>
        </w:rPr>
        <w:t xml:space="preserve">claims of </w:t>
      </w:r>
      <w:r w:rsidR="0090377C">
        <w:rPr>
          <w:rFonts w:ascii="Times New Roman" w:hAnsi="Times New Roman"/>
          <w:bCs/>
          <w:sz w:val="24"/>
          <w:szCs w:val="24"/>
        </w:rPr>
        <w:t xml:space="preserve">added risk </w:t>
      </w:r>
      <w:r w:rsidR="00414094">
        <w:rPr>
          <w:rFonts w:ascii="Times New Roman" w:hAnsi="Times New Roman"/>
          <w:bCs/>
          <w:sz w:val="24"/>
          <w:szCs w:val="24"/>
        </w:rPr>
        <w:t xml:space="preserve">due to </w:t>
      </w:r>
      <w:r w:rsidR="002F20F5">
        <w:rPr>
          <w:rFonts w:ascii="Times New Roman" w:hAnsi="Times New Roman"/>
          <w:bCs/>
          <w:sz w:val="24"/>
          <w:szCs w:val="24"/>
        </w:rPr>
        <w:t>s</w:t>
      </w:r>
      <w:r w:rsidR="00414094">
        <w:rPr>
          <w:rFonts w:ascii="Times New Roman" w:hAnsi="Times New Roman"/>
          <w:bCs/>
          <w:sz w:val="24"/>
          <w:szCs w:val="24"/>
        </w:rPr>
        <w:t xml:space="preserve">ignificant needs to invest in and maintain its energy production and delivery systems, </w:t>
      </w:r>
      <w:r w:rsidR="002F20F5">
        <w:rPr>
          <w:rFonts w:ascii="Times New Roman" w:hAnsi="Times New Roman"/>
          <w:bCs/>
          <w:sz w:val="24"/>
          <w:szCs w:val="24"/>
        </w:rPr>
        <w:t xml:space="preserve">and despite </w:t>
      </w:r>
      <w:r w:rsidR="00CD44D7">
        <w:rPr>
          <w:rFonts w:ascii="Times New Roman" w:hAnsi="Times New Roman"/>
          <w:bCs/>
          <w:sz w:val="24"/>
          <w:szCs w:val="24"/>
        </w:rPr>
        <w:t xml:space="preserve">earned returns on equity </w:t>
      </w:r>
      <w:r w:rsidR="00414094">
        <w:rPr>
          <w:rFonts w:ascii="Times New Roman" w:hAnsi="Times New Roman"/>
          <w:bCs/>
          <w:sz w:val="24"/>
          <w:szCs w:val="24"/>
        </w:rPr>
        <w:t xml:space="preserve">PSE says are </w:t>
      </w:r>
      <w:r w:rsidR="001E77A1">
        <w:rPr>
          <w:rFonts w:ascii="Times New Roman" w:hAnsi="Times New Roman"/>
          <w:bCs/>
          <w:sz w:val="24"/>
          <w:szCs w:val="24"/>
        </w:rPr>
        <w:t>significant</w:t>
      </w:r>
      <w:r w:rsidR="00642E2D">
        <w:rPr>
          <w:rFonts w:ascii="Times New Roman" w:hAnsi="Times New Roman"/>
          <w:bCs/>
          <w:sz w:val="24"/>
          <w:szCs w:val="24"/>
        </w:rPr>
        <w:t xml:space="preserve"> and continually </w:t>
      </w:r>
      <w:r w:rsidR="00EF4A96">
        <w:rPr>
          <w:rFonts w:ascii="Times New Roman" w:hAnsi="Times New Roman"/>
          <w:bCs/>
          <w:sz w:val="24"/>
          <w:szCs w:val="24"/>
        </w:rPr>
        <w:t>below authorized returns.</w:t>
      </w:r>
      <w:r w:rsidR="00EF4A96">
        <w:rPr>
          <w:rStyle w:val="FootnoteReference"/>
          <w:rFonts w:ascii="Times New Roman" w:hAnsi="Times New Roman"/>
          <w:bCs/>
          <w:sz w:val="24"/>
          <w:szCs w:val="24"/>
        </w:rPr>
        <w:footnoteReference w:id="26"/>
      </w:r>
    </w:p>
    <w:p w:rsidR="003B4456" w:rsidRDefault="00803D1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3C0221">
        <w:rPr>
          <w:rFonts w:ascii="Times New Roman" w:hAnsi="Times New Roman"/>
          <w:bCs/>
          <w:sz w:val="24"/>
          <w:szCs w:val="24"/>
        </w:rPr>
        <w:t xml:space="preserve">PSE’s claims of higher relative construction risk are </w:t>
      </w:r>
      <w:r w:rsidR="00D06CC0">
        <w:rPr>
          <w:rFonts w:ascii="Times New Roman" w:hAnsi="Times New Roman"/>
          <w:bCs/>
          <w:sz w:val="24"/>
          <w:szCs w:val="24"/>
        </w:rPr>
        <w:t xml:space="preserve">also </w:t>
      </w:r>
      <w:r w:rsidR="003C0221">
        <w:rPr>
          <w:rFonts w:ascii="Times New Roman" w:hAnsi="Times New Roman"/>
          <w:bCs/>
          <w:sz w:val="24"/>
          <w:szCs w:val="24"/>
        </w:rPr>
        <w:t>unfounded.  All utilities are in a bui</w:t>
      </w:r>
      <w:r w:rsidR="00F81150">
        <w:rPr>
          <w:rFonts w:ascii="Times New Roman" w:hAnsi="Times New Roman"/>
          <w:bCs/>
          <w:sz w:val="24"/>
          <w:szCs w:val="24"/>
        </w:rPr>
        <w:t xml:space="preserve">lding phase and must access </w:t>
      </w:r>
      <w:r w:rsidR="003C0221">
        <w:rPr>
          <w:rFonts w:ascii="Times New Roman" w:hAnsi="Times New Roman"/>
          <w:bCs/>
          <w:sz w:val="24"/>
          <w:szCs w:val="24"/>
        </w:rPr>
        <w:t>capital markets to finance construction.</w:t>
      </w:r>
      <w:r w:rsidR="003C0221">
        <w:rPr>
          <w:rStyle w:val="FootnoteReference"/>
          <w:rFonts w:ascii="Times New Roman" w:hAnsi="Times New Roman"/>
          <w:bCs/>
          <w:sz w:val="24"/>
          <w:szCs w:val="24"/>
        </w:rPr>
        <w:footnoteReference w:id="27"/>
      </w:r>
      <w:r w:rsidR="003C0221">
        <w:rPr>
          <w:rFonts w:ascii="Times New Roman" w:hAnsi="Times New Roman"/>
          <w:bCs/>
          <w:sz w:val="24"/>
          <w:szCs w:val="24"/>
        </w:rPr>
        <w:t xml:space="preserve">  Thus, any risk associated with construction financing is reflected in the </w:t>
      </w:r>
      <w:r w:rsidR="007F4BD8">
        <w:rPr>
          <w:rFonts w:ascii="Times New Roman" w:hAnsi="Times New Roman"/>
          <w:bCs/>
          <w:sz w:val="24"/>
          <w:szCs w:val="24"/>
        </w:rPr>
        <w:t xml:space="preserve">proxy companies used in </w:t>
      </w:r>
      <w:r w:rsidR="003C0221">
        <w:rPr>
          <w:rFonts w:ascii="Times New Roman" w:hAnsi="Times New Roman"/>
          <w:bCs/>
          <w:sz w:val="24"/>
          <w:szCs w:val="24"/>
        </w:rPr>
        <w:t>cost of cap</w:t>
      </w:r>
      <w:r w:rsidR="007F4BD8">
        <w:rPr>
          <w:rFonts w:ascii="Times New Roman" w:hAnsi="Times New Roman"/>
          <w:bCs/>
          <w:sz w:val="24"/>
          <w:szCs w:val="24"/>
        </w:rPr>
        <w:t>ital analysis</w:t>
      </w:r>
      <w:r w:rsidR="003C0221">
        <w:rPr>
          <w:rFonts w:ascii="Times New Roman" w:hAnsi="Times New Roman"/>
          <w:bCs/>
          <w:sz w:val="24"/>
          <w:szCs w:val="24"/>
        </w:rPr>
        <w:t>.</w:t>
      </w:r>
      <w:r w:rsidR="003C0221">
        <w:rPr>
          <w:rStyle w:val="FootnoteReference"/>
          <w:rFonts w:ascii="Times New Roman" w:hAnsi="Times New Roman"/>
          <w:bCs/>
          <w:sz w:val="24"/>
          <w:szCs w:val="24"/>
        </w:rPr>
        <w:footnoteReference w:id="28"/>
      </w:r>
      <w:r w:rsidR="003C0221">
        <w:rPr>
          <w:rFonts w:ascii="Times New Roman" w:hAnsi="Times New Roman"/>
          <w:bCs/>
          <w:sz w:val="24"/>
          <w:szCs w:val="24"/>
        </w:rPr>
        <w:t xml:space="preserve">  </w:t>
      </w:r>
    </w:p>
    <w:p w:rsidR="00FE17ED" w:rsidRDefault="00803D1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D06CC0">
        <w:rPr>
          <w:rFonts w:ascii="Times New Roman" w:hAnsi="Times New Roman"/>
          <w:bCs/>
          <w:sz w:val="24"/>
          <w:szCs w:val="24"/>
        </w:rPr>
        <w:t>In any event</w:t>
      </w:r>
      <w:r w:rsidR="003C0221">
        <w:rPr>
          <w:rFonts w:ascii="Times New Roman" w:hAnsi="Times New Roman"/>
          <w:bCs/>
          <w:sz w:val="24"/>
          <w:szCs w:val="24"/>
        </w:rPr>
        <w:t xml:space="preserve">, </w:t>
      </w:r>
      <w:r w:rsidR="00FE17ED">
        <w:rPr>
          <w:rFonts w:ascii="Times New Roman" w:hAnsi="Times New Roman"/>
          <w:bCs/>
          <w:sz w:val="24"/>
          <w:szCs w:val="24"/>
        </w:rPr>
        <w:t>PSE actually is not concerned with its abi</w:t>
      </w:r>
      <w:r w:rsidR="00C93F4D">
        <w:rPr>
          <w:rFonts w:ascii="Times New Roman" w:hAnsi="Times New Roman"/>
          <w:bCs/>
          <w:sz w:val="24"/>
          <w:szCs w:val="24"/>
        </w:rPr>
        <w:t xml:space="preserve">lity to fund its </w:t>
      </w:r>
      <w:r w:rsidR="00414094">
        <w:rPr>
          <w:rFonts w:ascii="Times New Roman" w:hAnsi="Times New Roman"/>
          <w:bCs/>
          <w:sz w:val="24"/>
          <w:szCs w:val="24"/>
        </w:rPr>
        <w:t xml:space="preserve">capital </w:t>
      </w:r>
      <w:r w:rsidR="00FE17ED">
        <w:rPr>
          <w:rFonts w:ascii="Times New Roman" w:hAnsi="Times New Roman"/>
          <w:bCs/>
          <w:sz w:val="24"/>
          <w:szCs w:val="24"/>
        </w:rPr>
        <w:t>construction budget.</w:t>
      </w:r>
      <w:r w:rsidR="00FE17ED">
        <w:rPr>
          <w:rStyle w:val="FootnoteReference"/>
          <w:rFonts w:ascii="Times New Roman" w:hAnsi="Times New Roman"/>
          <w:bCs/>
          <w:sz w:val="24"/>
          <w:szCs w:val="24"/>
        </w:rPr>
        <w:footnoteReference w:id="29"/>
      </w:r>
      <w:r w:rsidR="00FE17ED">
        <w:rPr>
          <w:rFonts w:ascii="Times New Roman" w:hAnsi="Times New Roman"/>
          <w:bCs/>
          <w:sz w:val="24"/>
          <w:szCs w:val="24"/>
        </w:rPr>
        <w:t xml:space="preserve">  There is good reason for that attitude.  </w:t>
      </w:r>
      <w:r w:rsidR="00D06CC0">
        <w:rPr>
          <w:rFonts w:ascii="Times New Roman" w:hAnsi="Times New Roman"/>
          <w:bCs/>
          <w:sz w:val="24"/>
          <w:szCs w:val="24"/>
        </w:rPr>
        <w:t>Credit facilities already are in place from the 2008 Acquisition to finance the $1 billion of equity PSE needs to finance construction.</w:t>
      </w:r>
      <w:r w:rsidR="00D06CC0">
        <w:rPr>
          <w:rStyle w:val="FootnoteReference"/>
          <w:rFonts w:ascii="Times New Roman" w:hAnsi="Times New Roman"/>
          <w:bCs/>
          <w:sz w:val="24"/>
          <w:szCs w:val="24"/>
        </w:rPr>
        <w:footnoteReference w:id="30"/>
      </w:r>
      <w:r w:rsidR="00DC08AA">
        <w:rPr>
          <w:rFonts w:ascii="Times New Roman" w:hAnsi="Times New Roman"/>
          <w:bCs/>
          <w:sz w:val="24"/>
          <w:szCs w:val="24"/>
        </w:rPr>
        <w:t xml:space="preserve">  </w:t>
      </w:r>
      <w:r w:rsidR="00992915">
        <w:rPr>
          <w:rFonts w:ascii="Times New Roman" w:hAnsi="Times New Roman"/>
          <w:bCs/>
          <w:sz w:val="24"/>
          <w:szCs w:val="24"/>
        </w:rPr>
        <w:t xml:space="preserve">As stated above, </w:t>
      </w:r>
      <w:r w:rsidR="00C93F4D">
        <w:rPr>
          <w:rFonts w:ascii="Times New Roman" w:hAnsi="Times New Roman"/>
          <w:bCs/>
          <w:sz w:val="24"/>
          <w:szCs w:val="24"/>
        </w:rPr>
        <w:t>PSE</w:t>
      </w:r>
      <w:r w:rsidR="00FE17ED">
        <w:rPr>
          <w:rFonts w:ascii="Times New Roman" w:hAnsi="Times New Roman"/>
          <w:bCs/>
          <w:sz w:val="24"/>
          <w:szCs w:val="24"/>
        </w:rPr>
        <w:t xml:space="preserve"> issued debt </w:t>
      </w:r>
      <w:r w:rsidR="00992915">
        <w:rPr>
          <w:rFonts w:ascii="Times New Roman" w:hAnsi="Times New Roman"/>
          <w:bCs/>
          <w:sz w:val="24"/>
          <w:szCs w:val="24"/>
        </w:rPr>
        <w:t xml:space="preserve">in September 2009 </w:t>
      </w:r>
      <w:r w:rsidR="00FE17ED">
        <w:rPr>
          <w:rFonts w:ascii="Times New Roman" w:hAnsi="Times New Roman"/>
          <w:bCs/>
          <w:sz w:val="24"/>
          <w:szCs w:val="24"/>
        </w:rPr>
        <w:t>at a coupon rate of 5.757 percent</w:t>
      </w:r>
      <w:r w:rsidR="00C93F4D">
        <w:rPr>
          <w:rFonts w:ascii="Times New Roman" w:hAnsi="Times New Roman"/>
          <w:bCs/>
          <w:sz w:val="24"/>
          <w:szCs w:val="24"/>
        </w:rPr>
        <w:t xml:space="preserve">, </w:t>
      </w:r>
      <w:r w:rsidR="00FE17ED">
        <w:rPr>
          <w:rFonts w:ascii="Times New Roman" w:hAnsi="Times New Roman"/>
          <w:bCs/>
          <w:sz w:val="24"/>
          <w:szCs w:val="24"/>
        </w:rPr>
        <w:t>the lowest rate the Company has experienced in 30 years.</w:t>
      </w:r>
      <w:r w:rsidR="00FE17ED">
        <w:rPr>
          <w:rStyle w:val="FootnoteReference"/>
          <w:rFonts w:ascii="Times New Roman" w:hAnsi="Times New Roman"/>
          <w:bCs/>
          <w:sz w:val="24"/>
          <w:szCs w:val="24"/>
        </w:rPr>
        <w:footnoteReference w:id="31"/>
      </w:r>
      <w:r w:rsidR="007F1519">
        <w:rPr>
          <w:rFonts w:ascii="Times New Roman" w:hAnsi="Times New Roman"/>
          <w:bCs/>
          <w:sz w:val="24"/>
          <w:szCs w:val="24"/>
        </w:rPr>
        <w:t xml:space="preserve">  </w:t>
      </w:r>
    </w:p>
    <w:p w:rsidR="001B318B" w:rsidRDefault="00803D18" w:rsidP="001B318B">
      <w:pPr>
        <w:spacing w:line="480" w:lineRule="auto"/>
        <w:rPr>
          <w:rFonts w:ascii="Times New Roman" w:hAnsi="Times New Roman"/>
          <w:bCs/>
          <w:sz w:val="24"/>
          <w:szCs w:val="24"/>
        </w:rPr>
      </w:pPr>
      <w:r>
        <w:rPr>
          <w:rFonts w:ascii="Times New Roman" w:hAnsi="Times New Roman"/>
          <w:bCs/>
          <w:sz w:val="24"/>
          <w:szCs w:val="24"/>
        </w:rPr>
        <w:tab/>
      </w:r>
      <w:r w:rsidR="00FE17ED">
        <w:rPr>
          <w:rFonts w:ascii="Times New Roman" w:hAnsi="Times New Roman"/>
          <w:bCs/>
          <w:sz w:val="24"/>
          <w:szCs w:val="24"/>
        </w:rPr>
        <w:t>It is true that</w:t>
      </w:r>
      <w:r w:rsidR="00882C2C">
        <w:rPr>
          <w:rFonts w:ascii="Times New Roman" w:hAnsi="Times New Roman"/>
          <w:bCs/>
          <w:sz w:val="24"/>
          <w:szCs w:val="24"/>
        </w:rPr>
        <w:t>,</w:t>
      </w:r>
      <w:r w:rsidR="00FE17ED">
        <w:rPr>
          <w:rFonts w:ascii="Times New Roman" w:hAnsi="Times New Roman"/>
          <w:bCs/>
          <w:sz w:val="24"/>
          <w:szCs w:val="24"/>
        </w:rPr>
        <w:t xml:space="preserve"> </w:t>
      </w:r>
      <w:r w:rsidR="002A284F">
        <w:rPr>
          <w:rFonts w:ascii="Times New Roman" w:hAnsi="Times New Roman"/>
          <w:bCs/>
          <w:sz w:val="24"/>
          <w:szCs w:val="24"/>
        </w:rPr>
        <w:t>going forward</w:t>
      </w:r>
      <w:r w:rsidR="00882C2C">
        <w:rPr>
          <w:rFonts w:ascii="Times New Roman" w:hAnsi="Times New Roman"/>
          <w:bCs/>
          <w:sz w:val="24"/>
          <w:szCs w:val="24"/>
        </w:rPr>
        <w:t>,</w:t>
      </w:r>
      <w:r w:rsidR="002A284F">
        <w:rPr>
          <w:rFonts w:ascii="Times New Roman" w:hAnsi="Times New Roman"/>
          <w:bCs/>
          <w:sz w:val="24"/>
          <w:szCs w:val="24"/>
        </w:rPr>
        <w:t xml:space="preserve"> </w:t>
      </w:r>
      <w:r w:rsidR="007F4BD8">
        <w:rPr>
          <w:rFonts w:ascii="Times New Roman" w:hAnsi="Times New Roman"/>
          <w:bCs/>
          <w:sz w:val="24"/>
          <w:szCs w:val="24"/>
        </w:rPr>
        <w:t xml:space="preserve">PSE will </w:t>
      </w:r>
      <w:r w:rsidR="00FE17ED">
        <w:rPr>
          <w:rFonts w:ascii="Times New Roman" w:hAnsi="Times New Roman"/>
          <w:bCs/>
          <w:sz w:val="24"/>
          <w:szCs w:val="24"/>
        </w:rPr>
        <w:t>issue new debt and refinance maturing debt.</w:t>
      </w:r>
      <w:r w:rsidR="00FE17ED">
        <w:rPr>
          <w:rStyle w:val="FootnoteReference"/>
          <w:rFonts w:ascii="Times New Roman" w:hAnsi="Times New Roman"/>
          <w:bCs/>
          <w:sz w:val="24"/>
          <w:szCs w:val="24"/>
        </w:rPr>
        <w:footnoteReference w:id="32"/>
      </w:r>
      <w:r w:rsidR="007F4BD8">
        <w:rPr>
          <w:rFonts w:ascii="Times New Roman" w:hAnsi="Times New Roman"/>
          <w:bCs/>
          <w:sz w:val="24"/>
          <w:szCs w:val="24"/>
        </w:rPr>
        <w:t xml:space="preserve">  However, there is </w:t>
      </w:r>
      <w:r w:rsidR="00FE17ED">
        <w:rPr>
          <w:rFonts w:ascii="Times New Roman" w:hAnsi="Times New Roman"/>
          <w:bCs/>
          <w:sz w:val="24"/>
          <w:szCs w:val="24"/>
        </w:rPr>
        <w:t>agreement that capital ma</w:t>
      </w:r>
      <w:r w:rsidR="007F1519">
        <w:rPr>
          <w:rFonts w:ascii="Times New Roman" w:hAnsi="Times New Roman"/>
          <w:bCs/>
          <w:sz w:val="24"/>
          <w:szCs w:val="24"/>
        </w:rPr>
        <w:t>rkets have stabilized</w:t>
      </w:r>
      <w:r w:rsidR="00FE17ED">
        <w:rPr>
          <w:rFonts w:ascii="Times New Roman" w:hAnsi="Times New Roman"/>
          <w:bCs/>
          <w:sz w:val="24"/>
          <w:szCs w:val="24"/>
        </w:rPr>
        <w:t>.</w:t>
      </w:r>
      <w:r w:rsidR="00FE17ED">
        <w:rPr>
          <w:rStyle w:val="FootnoteReference"/>
          <w:rFonts w:ascii="Times New Roman" w:hAnsi="Times New Roman"/>
          <w:bCs/>
          <w:sz w:val="24"/>
          <w:szCs w:val="24"/>
        </w:rPr>
        <w:footnoteReference w:id="33"/>
      </w:r>
      <w:r w:rsidR="00013BF1">
        <w:rPr>
          <w:rFonts w:ascii="Times New Roman" w:hAnsi="Times New Roman"/>
          <w:bCs/>
          <w:sz w:val="24"/>
          <w:szCs w:val="24"/>
        </w:rPr>
        <w:t xml:space="preserve">  This </w:t>
      </w:r>
      <w:r w:rsidR="00FE17ED">
        <w:rPr>
          <w:rFonts w:ascii="Times New Roman" w:hAnsi="Times New Roman"/>
          <w:bCs/>
          <w:sz w:val="24"/>
          <w:szCs w:val="24"/>
        </w:rPr>
        <w:t xml:space="preserve">will allow PSE to </w:t>
      </w:r>
    </w:p>
    <w:p w:rsidR="001B318B" w:rsidRDefault="001B318B">
      <w:pPr>
        <w:rPr>
          <w:rFonts w:ascii="Times New Roman" w:hAnsi="Times New Roman"/>
          <w:bCs/>
          <w:sz w:val="24"/>
          <w:szCs w:val="24"/>
        </w:rPr>
      </w:pPr>
      <w:r>
        <w:rPr>
          <w:rFonts w:ascii="Times New Roman" w:hAnsi="Times New Roman"/>
          <w:bCs/>
          <w:sz w:val="24"/>
          <w:szCs w:val="24"/>
        </w:rPr>
        <w:br w:type="page"/>
      </w:r>
    </w:p>
    <w:p w:rsidR="0016587C" w:rsidRDefault="00FE17ED" w:rsidP="001B318B">
      <w:pPr>
        <w:pStyle w:val="ListParagraph"/>
        <w:spacing w:line="480" w:lineRule="auto"/>
        <w:ind w:left="0"/>
        <w:rPr>
          <w:rFonts w:ascii="Times New Roman" w:hAnsi="Times New Roman"/>
          <w:bCs/>
          <w:sz w:val="24"/>
          <w:szCs w:val="24"/>
        </w:rPr>
      </w:pPr>
      <w:r>
        <w:rPr>
          <w:rFonts w:ascii="Times New Roman" w:hAnsi="Times New Roman"/>
          <w:bCs/>
          <w:sz w:val="24"/>
          <w:szCs w:val="24"/>
        </w:rPr>
        <w:lastRenderedPageBreak/>
        <w:t>issue and refinance debt under reasonable terms and conditions.</w:t>
      </w:r>
      <w:r>
        <w:rPr>
          <w:rStyle w:val="FootnoteReference"/>
          <w:rFonts w:ascii="Times New Roman" w:hAnsi="Times New Roman"/>
          <w:bCs/>
          <w:sz w:val="24"/>
          <w:szCs w:val="24"/>
        </w:rPr>
        <w:footnoteReference w:id="34"/>
      </w:r>
      <w:r w:rsidR="00803D18">
        <w:rPr>
          <w:rFonts w:ascii="Times New Roman" w:hAnsi="Times New Roman"/>
          <w:bCs/>
          <w:sz w:val="24"/>
          <w:szCs w:val="24"/>
        </w:rPr>
        <w:t xml:space="preserve">  </w:t>
      </w:r>
    </w:p>
    <w:p w:rsidR="00FE3E3A" w:rsidRDefault="0045728F" w:rsidP="00803D18">
      <w:pPr>
        <w:pStyle w:val="ListParagraph"/>
        <w:ind w:left="1440" w:hanging="720"/>
        <w:rPr>
          <w:rFonts w:ascii="Times New Roman" w:hAnsi="Times New Roman"/>
          <w:b/>
          <w:bCs/>
          <w:sz w:val="24"/>
          <w:szCs w:val="24"/>
        </w:rPr>
      </w:pPr>
      <w:r>
        <w:rPr>
          <w:rFonts w:ascii="Times New Roman" w:hAnsi="Times New Roman"/>
          <w:b/>
          <w:bCs/>
          <w:sz w:val="24"/>
          <w:szCs w:val="24"/>
        </w:rPr>
        <w:t>3.</w:t>
      </w:r>
      <w:r>
        <w:rPr>
          <w:rFonts w:ascii="Times New Roman" w:hAnsi="Times New Roman"/>
          <w:b/>
          <w:bCs/>
          <w:sz w:val="24"/>
          <w:szCs w:val="24"/>
        </w:rPr>
        <w:tab/>
        <w:t xml:space="preserve">The </w:t>
      </w:r>
      <w:r w:rsidR="007F1519">
        <w:rPr>
          <w:rFonts w:ascii="Times New Roman" w:hAnsi="Times New Roman"/>
          <w:b/>
          <w:bCs/>
          <w:sz w:val="24"/>
          <w:szCs w:val="24"/>
        </w:rPr>
        <w:t>a</w:t>
      </w:r>
      <w:r>
        <w:rPr>
          <w:rFonts w:ascii="Times New Roman" w:hAnsi="Times New Roman"/>
          <w:b/>
          <w:bCs/>
          <w:sz w:val="24"/>
          <w:szCs w:val="24"/>
        </w:rPr>
        <w:t xml:space="preserve">nalytical </w:t>
      </w:r>
      <w:r w:rsidR="007F1519">
        <w:rPr>
          <w:rFonts w:ascii="Times New Roman" w:hAnsi="Times New Roman"/>
          <w:b/>
          <w:bCs/>
          <w:sz w:val="24"/>
          <w:szCs w:val="24"/>
        </w:rPr>
        <w:t>m</w:t>
      </w:r>
      <w:r>
        <w:rPr>
          <w:rFonts w:ascii="Times New Roman" w:hAnsi="Times New Roman"/>
          <w:b/>
          <w:bCs/>
          <w:sz w:val="24"/>
          <w:szCs w:val="24"/>
        </w:rPr>
        <w:t xml:space="preserve">ethods </w:t>
      </w:r>
      <w:r w:rsidR="007F1519">
        <w:rPr>
          <w:rFonts w:ascii="Times New Roman" w:hAnsi="Times New Roman"/>
          <w:b/>
          <w:bCs/>
          <w:sz w:val="24"/>
          <w:szCs w:val="24"/>
        </w:rPr>
        <w:t>p</w:t>
      </w:r>
      <w:r>
        <w:rPr>
          <w:rFonts w:ascii="Times New Roman" w:hAnsi="Times New Roman"/>
          <w:b/>
          <w:bCs/>
          <w:sz w:val="24"/>
          <w:szCs w:val="24"/>
        </w:rPr>
        <w:t xml:space="preserve">resented </w:t>
      </w:r>
      <w:r w:rsidR="007F1519">
        <w:rPr>
          <w:rFonts w:ascii="Times New Roman" w:hAnsi="Times New Roman"/>
          <w:b/>
          <w:bCs/>
          <w:sz w:val="24"/>
          <w:szCs w:val="24"/>
        </w:rPr>
        <w:t>by a</w:t>
      </w:r>
      <w:r>
        <w:rPr>
          <w:rFonts w:ascii="Times New Roman" w:hAnsi="Times New Roman"/>
          <w:b/>
          <w:bCs/>
          <w:sz w:val="24"/>
          <w:szCs w:val="24"/>
        </w:rPr>
        <w:t xml:space="preserve">ll </w:t>
      </w:r>
      <w:r w:rsidR="007F1519">
        <w:rPr>
          <w:rFonts w:ascii="Times New Roman" w:hAnsi="Times New Roman"/>
          <w:b/>
          <w:bCs/>
          <w:sz w:val="24"/>
          <w:szCs w:val="24"/>
        </w:rPr>
        <w:t>c</w:t>
      </w:r>
      <w:r>
        <w:rPr>
          <w:rFonts w:ascii="Times New Roman" w:hAnsi="Times New Roman"/>
          <w:b/>
          <w:bCs/>
          <w:sz w:val="24"/>
          <w:szCs w:val="24"/>
        </w:rPr>
        <w:t xml:space="preserve">ost </w:t>
      </w:r>
      <w:r w:rsidR="007F1519">
        <w:rPr>
          <w:rFonts w:ascii="Times New Roman" w:hAnsi="Times New Roman"/>
          <w:b/>
          <w:bCs/>
          <w:sz w:val="24"/>
          <w:szCs w:val="24"/>
        </w:rPr>
        <w:t>o</w:t>
      </w:r>
      <w:r>
        <w:rPr>
          <w:rFonts w:ascii="Times New Roman" w:hAnsi="Times New Roman"/>
          <w:b/>
          <w:bCs/>
          <w:sz w:val="24"/>
          <w:szCs w:val="24"/>
        </w:rPr>
        <w:t xml:space="preserve">f </w:t>
      </w:r>
      <w:r w:rsidR="007F1519">
        <w:rPr>
          <w:rFonts w:ascii="Times New Roman" w:hAnsi="Times New Roman"/>
          <w:b/>
          <w:bCs/>
          <w:sz w:val="24"/>
          <w:szCs w:val="24"/>
        </w:rPr>
        <w:t>c</w:t>
      </w:r>
      <w:r>
        <w:rPr>
          <w:rFonts w:ascii="Times New Roman" w:hAnsi="Times New Roman"/>
          <w:b/>
          <w:bCs/>
          <w:sz w:val="24"/>
          <w:szCs w:val="24"/>
        </w:rPr>
        <w:t xml:space="preserve">apital </w:t>
      </w:r>
      <w:r w:rsidR="00803D18">
        <w:rPr>
          <w:rFonts w:ascii="Times New Roman" w:hAnsi="Times New Roman"/>
          <w:b/>
          <w:bCs/>
          <w:sz w:val="24"/>
          <w:szCs w:val="24"/>
        </w:rPr>
        <w:t xml:space="preserve">witnesses </w:t>
      </w:r>
      <w:r w:rsidR="007F1519">
        <w:rPr>
          <w:rFonts w:ascii="Times New Roman" w:hAnsi="Times New Roman"/>
          <w:b/>
          <w:bCs/>
          <w:sz w:val="24"/>
          <w:szCs w:val="24"/>
        </w:rPr>
        <w:t>s</w:t>
      </w:r>
      <w:r>
        <w:rPr>
          <w:rFonts w:ascii="Times New Roman" w:hAnsi="Times New Roman"/>
          <w:b/>
          <w:bCs/>
          <w:sz w:val="24"/>
          <w:szCs w:val="24"/>
        </w:rPr>
        <w:t xml:space="preserve">upport </w:t>
      </w:r>
      <w:r w:rsidR="007F1519">
        <w:rPr>
          <w:rFonts w:ascii="Times New Roman" w:hAnsi="Times New Roman"/>
          <w:b/>
          <w:bCs/>
          <w:sz w:val="24"/>
          <w:szCs w:val="24"/>
        </w:rPr>
        <w:t>a reduction i</w:t>
      </w:r>
      <w:r>
        <w:rPr>
          <w:rFonts w:ascii="Times New Roman" w:hAnsi="Times New Roman"/>
          <w:b/>
          <w:bCs/>
          <w:sz w:val="24"/>
          <w:szCs w:val="24"/>
        </w:rPr>
        <w:t xml:space="preserve">n </w:t>
      </w:r>
      <w:r w:rsidR="007F1519">
        <w:rPr>
          <w:rFonts w:ascii="Times New Roman" w:hAnsi="Times New Roman"/>
          <w:b/>
          <w:bCs/>
          <w:sz w:val="24"/>
          <w:szCs w:val="24"/>
        </w:rPr>
        <w:t>t</w:t>
      </w:r>
      <w:r>
        <w:rPr>
          <w:rFonts w:ascii="Times New Roman" w:hAnsi="Times New Roman"/>
          <w:b/>
          <w:bCs/>
          <w:sz w:val="24"/>
          <w:szCs w:val="24"/>
        </w:rPr>
        <w:t xml:space="preserve">he </w:t>
      </w:r>
      <w:r w:rsidR="007F1519">
        <w:rPr>
          <w:rFonts w:ascii="Times New Roman" w:hAnsi="Times New Roman"/>
          <w:b/>
          <w:bCs/>
          <w:sz w:val="24"/>
          <w:szCs w:val="24"/>
        </w:rPr>
        <w:t>C</w:t>
      </w:r>
      <w:r>
        <w:rPr>
          <w:rFonts w:ascii="Times New Roman" w:hAnsi="Times New Roman"/>
          <w:b/>
          <w:bCs/>
          <w:sz w:val="24"/>
          <w:szCs w:val="24"/>
        </w:rPr>
        <w:t xml:space="preserve">ompany’s </w:t>
      </w:r>
      <w:r w:rsidR="007F1519">
        <w:rPr>
          <w:rFonts w:ascii="Times New Roman" w:hAnsi="Times New Roman"/>
          <w:b/>
          <w:bCs/>
          <w:sz w:val="24"/>
          <w:szCs w:val="24"/>
        </w:rPr>
        <w:t>r</w:t>
      </w:r>
      <w:r>
        <w:rPr>
          <w:rFonts w:ascii="Times New Roman" w:hAnsi="Times New Roman"/>
          <w:b/>
          <w:bCs/>
          <w:sz w:val="24"/>
          <w:szCs w:val="24"/>
        </w:rPr>
        <w:t xml:space="preserve">eturn </w:t>
      </w:r>
      <w:r w:rsidR="007F1519">
        <w:rPr>
          <w:rFonts w:ascii="Times New Roman" w:hAnsi="Times New Roman"/>
          <w:b/>
          <w:bCs/>
          <w:sz w:val="24"/>
          <w:szCs w:val="24"/>
        </w:rPr>
        <w:t>o</w:t>
      </w:r>
      <w:r>
        <w:rPr>
          <w:rFonts w:ascii="Times New Roman" w:hAnsi="Times New Roman"/>
          <w:b/>
          <w:bCs/>
          <w:sz w:val="24"/>
          <w:szCs w:val="24"/>
        </w:rPr>
        <w:t xml:space="preserve">n </w:t>
      </w:r>
      <w:r w:rsidR="007F1519">
        <w:rPr>
          <w:rFonts w:ascii="Times New Roman" w:hAnsi="Times New Roman"/>
          <w:b/>
          <w:bCs/>
          <w:sz w:val="24"/>
          <w:szCs w:val="24"/>
        </w:rPr>
        <w:t>e</w:t>
      </w:r>
      <w:r>
        <w:rPr>
          <w:rFonts w:ascii="Times New Roman" w:hAnsi="Times New Roman"/>
          <w:b/>
          <w:bCs/>
          <w:sz w:val="24"/>
          <w:szCs w:val="24"/>
        </w:rPr>
        <w:t>quity</w:t>
      </w:r>
    </w:p>
    <w:p w:rsidR="0045728F" w:rsidRPr="00FE3E3A" w:rsidRDefault="0045728F" w:rsidP="0045728F">
      <w:pPr>
        <w:pStyle w:val="ListParagraph"/>
        <w:ind w:left="0"/>
        <w:rPr>
          <w:rFonts w:ascii="Times New Roman" w:hAnsi="Times New Roman"/>
          <w:b/>
          <w:bCs/>
          <w:sz w:val="24"/>
          <w:szCs w:val="24"/>
        </w:rPr>
      </w:pPr>
    </w:p>
    <w:p w:rsidR="00CA02EB" w:rsidRPr="00803D18" w:rsidRDefault="00803D18" w:rsidP="00C61B17">
      <w:pPr>
        <w:pStyle w:val="ListParagraph"/>
        <w:numPr>
          <w:ilvl w:val="0"/>
          <w:numId w:val="11"/>
        </w:numPr>
        <w:spacing w:line="480" w:lineRule="auto"/>
        <w:rPr>
          <w:rFonts w:ascii="Times New Roman" w:hAnsi="Times New Roman"/>
          <w:bCs/>
          <w:sz w:val="24"/>
          <w:szCs w:val="24"/>
        </w:rPr>
      </w:pPr>
      <w:r>
        <w:rPr>
          <w:rFonts w:ascii="Times New Roman" w:hAnsi="Times New Roman"/>
          <w:sz w:val="24"/>
          <w:szCs w:val="24"/>
        </w:rPr>
        <w:tab/>
      </w:r>
      <w:r w:rsidR="003E4D13" w:rsidRPr="00803D18">
        <w:rPr>
          <w:rFonts w:ascii="Times New Roman" w:hAnsi="Times New Roman"/>
          <w:sz w:val="24"/>
          <w:szCs w:val="24"/>
        </w:rPr>
        <w:t xml:space="preserve">It is </w:t>
      </w:r>
      <w:r w:rsidR="00BA1CFE" w:rsidRPr="00803D18">
        <w:rPr>
          <w:rFonts w:ascii="Times New Roman" w:hAnsi="Times New Roman"/>
          <w:sz w:val="24"/>
          <w:szCs w:val="24"/>
        </w:rPr>
        <w:t xml:space="preserve">noteworthy that </w:t>
      </w:r>
      <w:r w:rsidR="003E4D13" w:rsidRPr="00803D18">
        <w:rPr>
          <w:rFonts w:ascii="Times New Roman" w:hAnsi="Times New Roman"/>
          <w:sz w:val="24"/>
          <w:szCs w:val="24"/>
        </w:rPr>
        <w:t xml:space="preserve">Mr. Parcell’s conclusion that </w:t>
      </w:r>
      <w:r w:rsidR="00BA1CFE" w:rsidRPr="00803D18">
        <w:rPr>
          <w:rFonts w:ascii="Times New Roman" w:hAnsi="Times New Roman"/>
          <w:sz w:val="24"/>
          <w:szCs w:val="24"/>
        </w:rPr>
        <w:t xml:space="preserve">PSE’s cost of equity </w:t>
      </w:r>
      <w:r w:rsidR="003E4D13" w:rsidRPr="00803D18">
        <w:rPr>
          <w:rFonts w:ascii="Times New Roman" w:hAnsi="Times New Roman"/>
          <w:sz w:val="24"/>
          <w:szCs w:val="24"/>
        </w:rPr>
        <w:t xml:space="preserve">has declined </w:t>
      </w:r>
      <w:r w:rsidR="00BA1CFE" w:rsidRPr="00803D18">
        <w:rPr>
          <w:rFonts w:ascii="Times New Roman" w:hAnsi="Times New Roman"/>
          <w:sz w:val="24"/>
          <w:szCs w:val="24"/>
        </w:rPr>
        <w:t>is a pos</w:t>
      </w:r>
      <w:r w:rsidR="0045728F" w:rsidRPr="00803D18">
        <w:rPr>
          <w:rFonts w:ascii="Times New Roman" w:hAnsi="Times New Roman"/>
          <w:sz w:val="24"/>
          <w:szCs w:val="24"/>
        </w:rPr>
        <w:t xml:space="preserve">ition </w:t>
      </w:r>
      <w:r w:rsidR="001F249B" w:rsidRPr="00803D18">
        <w:rPr>
          <w:rFonts w:ascii="Times New Roman" w:hAnsi="Times New Roman"/>
          <w:sz w:val="24"/>
          <w:szCs w:val="24"/>
        </w:rPr>
        <w:t>with which</w:t>
      </w:r>
      <w:r w:rsidR="00C93F4D" w:rsidRPr="00803D18">
        <w:rPr>
          <w:rFonts w:ascii="Times New Roman" w:hAnsi="Times New Roman"/>
          <w:sz w:val="24"/>
          <w:szCs w:val="24"/>
        </w:rPr>
        <w:t xml:space="preserve"> Dr. Morin</w:t>
      </w:r>
      <w:r w:rsidR="001F249B" w:rsidRPr="00803D18">
        <w:rPr>
          <w:rFonts w:ascii="Times New Roman" w:hAnsi="Times New Roman"/>
          <w:sz w:val="24"/>
          <w:szCs w:val="24"/>
        </w:rPr>
        <w:t xml:space="preserve"> implicitly agrees</w:t>
      </w:r>
      <w:r w:rsidR="00804EA4" w:rsidRPr="00803D18">
        <w:rPr>
          <w:rFonts w:ascii="Times New Roman" w:hAnsi="Times New Roman"/>
          <w:sz w:val="24"/>
          <w:szCs w:val="24"/>
        </w:rPr>
        <w:t xml:space="preserve">.  </w:t>
      </w:r>
      <w:r w:rsidR="00CA02EB" w:rsidRPr="00803D18">
        <w:rPr>
          <w:rFonts w:ascii="Times New Roman" w:hAnsi="Times New Roman"/>
          <w:sz w:val="24"/>
          <w:szCs w:val="24"/>
        </w:rPr>
        <w:t xml:space="preserve">Dr. Morin’s </w:t>
      </w:r>
      <w:r w:rsidR="001F249B" w:rsidRPr="00803D18">
        <w:rPr>
          <w:rFonts w:ascii="Times New Roman" w:hAnsi="Times New Roman"/>
          <w:sz w:val="24"/>
          <w:szCs w:val="24"/>
        </w:rPr>
        <w:t xml:space="preserve">original cost of equity </w:t>
      </w:r>
      <w:r w:rsidR="00CA02EB" w:rsidRPr="00803D18">
        <w:rPr>
          <w:rFonts w:ascii="Times New Roman" w:hAnsi="Times New Roman"/>
          <w:sz w:val="24"/>
          <w:szCs w:val="24"/>
        </w:rPr>
        <w:t>was in the upper portion of a range of 11.0 to 11.5 percent.</w:t>
      </w:r>
      <w:r w:rsidR="00CA02EB">
        <w:rPr>
          <w:rStyle w:val="FootnoteReference"/>
          <w:rFonts w:ascii="Times New Roman" w:hAnsi="Times New Roman"/>
          <w:sz w:val="24"/>
          <w:szCs w:val="24"/>
        </w:rPr>
        <w:footnoteReference w:id="35"/>
      </w:r>
      <w:r w:rsidR="00CA02EB" w:rsidRPr="00803D18">
        <w:rPr>
          <w:rFonts w:ascii="Times New Roman" w:hAnsi="Times New Roman"/>
          <w:sz w:val="24"/>
          <w:szCs w:val="24"/>
        </w:rPr>
        <w:t xml:space="preserve">  His rebuttal recommendation, however, appeared to be 10.95 percent, but ac</w:t>
      </w:r>
      <w:r w:rsidR="001F249B" w:rsidRPr="00803D18">
        <w:rPr>
          <w:rFonts w:ascii="Times New Roman" w:hAnsi="Times New Roman"/>
          <w:sz w:val="24"/>
          <w:szCs w:val="24"/>
        </w:rPr>
        <w:t xml:space="preserve">tually had dropped </w:t>
      </w:r>
      <w:r w:rsidR="00CA02EB" w:rsidRPr="00803D18">
        <w:rPr>
          <w:rFonts w:ascii="Times New Roman" w:hAnsi="Times New Roman"/>
          <w:sz w:val="24"/>
          <w:szCs w:val="24"/>
        </w:rPr>
        <w:t>to 10.7 percent.</w:t>
      </w:r>
      <w:r w:rsidR="00CA02EB">
        <w:rPr>
          <w:rStyle w:val="FootnoteReference"/>
          <w:rFonts w:ascii="Times New Roman" w:hAnsi="Times New Roman"/>
          <w:sz w:val="24"/>
          <w:szCs w:val="24"/>
        </w:rPr>
        <w:footnoteReference w:id="36"/>
      </w:r>
    </w:p>
    <w:p w:rsidR="00BA1CFE"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CA02EB" w:rsidRPr="00803D18">
        <w:rPr>
          <w:rFonts w:ascii="Times New Roman" w:hAnsi="Times New Roman"/>
          <w:sz w:val="24"/>
          <w:szCs w:val="24"/>
        </w:rPr>
        <w:t>That Dr. Morin agrees implicitly that PSE</w:t>
      </w:r>
      <w:r w:rsidR="00882C2C" w:rsidRPr="00803D18">
        <w:rPr>
          <w:rFonts w:ascii="Times New Roman" w:hAnsi="Times New Roman"/>
          <w:sz w:val="24"/>
          <w:szCs w:val="24"/>
        </w:rPr>
        <w:t>’s</w:t>
      </w:r>
      <w:r w:rsidR="00CA02EB" w:rsidRPr="00803D18">
        <w:rPr>
          <w:rFonts w:ascii="Times New Roman" w:hAnsi="Times New Roman"/>
          <w:sz w:val="24"/>
          <w:szCs w:val="24"/>
        </w:rPr>
        <w:t xml:space="preserve"> cost of capital has declined</w:t>
      </w:r>
      <w:r w:rsidR="00804EA4" w:rsidRPr="00803D18">
        <w:rPr>
          <w:rFonts w:ascii="Times New Roman" w:hAnsi="Times New Roman"/>
          <w:sz w:val="24"/>
          <w:szCs w:val="24"/>
        </w:rPr>
        <w:t xml:space="preserve"> is </w:t>
      </w:r>
      <w:r w:rsidR="00CA02EB" w:rsidRPr="00803D18">
        <w:rPr>
          <w:rFonts w:ascii="Times New Roman" w:hAnsi="Times New Roman"/>
          <w:sz w:val="24"/>
          <w:szCs w:val="24"/>
        </w:rPr>
        <w:t xml:space="preserve">also </w:t>
      </w:r>
      <w:r w:rsidR="00804EA4" w:rsidRPr="00803D18">
        <w:rPr>
          <w:rFonts w:ascii="Times New Roman" w:hAnsi="Times New Roman"/>
          <w:sz w:val="24"/>
          <w:szCs w:val="24"/>
        </w:rPr>
        <w:t xml:space="preserve">evident by comparing </w:t>
      </w:r>
      <w:r w:rsidR="003C0221" w:rsidRPr="00803D18">
        <w:rPr>
          <w:rFonts w:ascii="Times New Roman" w:hAnsi="Times New Roman"/>
          <w:sz w:val="24"/>
          <w:szCs w:val="24"/>
        </w:rPr>
        <w:t xml:space="preserve">his </w:t>
      </w:r>
      <w:r w:rsidR="003E4D13" w:rsidRPr="00803D18">
        <w:rPr>
          <w:rFonts w:ascii="Times New Roman" w:hAnsi="Times New Roman"/>
          <w:sz w:val="24"/>
          <w:szCs w:val="24"/>
        </w:rPr>
        <w:t xml:space="preserve">cost of </w:t>
      </w:r>
      <w:r w:rsidR="00804EA4" w:rsidRPr="00803D18">
        <w:rPr>
          <w:rFonts w:ascii="Times New Roman" w:hAnsi="Times New Roman"/>
          <w:sz w:val="24"/>
          <w:szCs w:val="24"/>
        </w:rPr>
        <w:t xml:space="preserve">equity results </w:t>
      </w:r>
      <w:r w:rsidR="003C0221" w:rsidRPr="00803D18">
        <w:rPr>
          <w:rFonts w:ascii="Times New Roman" w:hAnsi="Times New Roman"/>
          <w:sz w:val="24"/>
          <w:szCs w:val="24"/>
        </w:rPr>
        <w:t xml:space="preserve">from </w:t>
      </w:r>
      <w:r w:rsidR="008D2E7A" w:rsidRPr="00803D18">
        <w:rPr>
          <w:rFonts w:ascii="Times New Roman" w:hAnsi="Times New Roman"/>
          <w:sz w:val="24"/>
          <w:szCs w:val="24"/>
        </w:rPr>
        <w:t xml:space="preserve">his </w:t>
      </w:r>
      <w:r w:rsidR="00804EA4" w:rsidRPr="00803D18">
        <w:rPr>
          <w:rFonts w:ascii="Times New Roman" w:hAnsi="Times New Roman"/>
          <w:sz w:val="24"/>
          <w:szCs w:val="24"/>
        </w:rPr>
        <w:t>direct testimony with his results using</w:t>
      </w:r>
      <w:r w:rsidR="00A90494" w:rsidRPr="00803D18">
        <w:rPr>
          <w:rFonts w:ascii="Times New Roman" w:hAnsi="Times New Roman"/>
          <w:sz w:val="24"/>
          <w:szCs w:val="24"/>
        </w:rPr>
        <w:t xml:space="preserve"> the same </w:t>
      </w:r>
      <w:r w:rsidR="001F249B" w:rsidRPr="00803D18">
        <w:rPr>
          <w:rFonts w:ascii="Times New Roman" w:hAnsi="Times New Roman"/>
          <w:sz w:val="24"/>
          <w:szCs w:val="24"/>
        </w:rPr>
        <w:t xml:space="preserve">analytical </w:t>
      </w:r>
      <w:r w:rsidR="00A90494" w:rsidRPr="00803D18">
        <w:rPr>
          <w:rFonts w:ascii="Times New Roman" w:hAnsi="Times New Roman"/>
          <w:sz w:val="24"/>
          <w:szCs w:val="24"/>
        </w:rPr>
        <w:t xml:space="preserve">methods during </w:t>
      </w:r>
      <w:r w:rsidR="008D2E7A" w:rsidRPr="00803D18">
        <w:rPr>
          <w:rFonts w:ascii="Times New Roman" w:hAnsi="Times New Roman"/>
          <w:sz w:val="24"/>
          <w:szCs w:val="24"/>
        </w:rPr>
        <w:t xml:space="preserve">the hearings </w:t>
      </w:r>
      <w:r w:rsidR="002F05E6" w:rsidRPr="00803D18">
        <w:rPr>
          <w:rFonts w:ascii="Times New Roman" w:hAnsi="Times New Roman"/>
          <w:sz w:val="24"/>
          <w:szCs w:val="24"/>
        </w:rPr>
        <w:t>(all numbers exclude flotation costs)</w:t>
      </w:r>
      <w:r w:rsidR="00BA1CFE" w:rsidRPr="00803D18">
        <w:rPr>
          <w:rFonts w:ascii="Times New Roman" w:hAnsi="Times New Roman"/>
          <w:sz w:val="24"/>
          <w:szCs w:val="24"/>
        </w:rPr>
        <w:t>:</w:t>
      </w:r>
    </w:p>
    <w:p w:rsidR="00BA1CFE" w:rsidRPr="0045728F" w:rsidRDefault="00BA1CFE" w:rsidP="00C36248">
      <w:pPr>
        <w:rPr>
          <w:rFonts w:ascii="Times New Roman" w:hAnsi="Times New Roman"/>
          <w:sz w:val="24"/>
          <w:szCs w:val="24"/>
          <w:u w:val="single"/>
        </w:rPr>
      </w:pPr>
      <w:r w:rsidRPr="0045728F">
        <w:rPr>
          <w:rFonts w:ascii="Times New Roman" w:hAnsi="Times New Roman"/>
          <w:sz w:val="24"/>
          <w:szCs w:val="24"/>
          <w:u w:val="single"/>
        </w:rPr>
        <w:t>Study</w:t>
      </w:r>
      <w:r w:rsidRPr="0045728F">
        <w:rPr>
          <w:rFonts w:ascii="Times New Roman" w:hAnsi="Times New Roman"/>
          <w:sz w:val="24"/>
          <w:szCs w:val="24"/>
        </w:rPr>
        <w:tab/>
      </w:r>
      <w:r w:rsidRPr="0045728F">
        <w:rPr>
          <w:rFonts w:ascii="Times New Roman" w:hAnsi="Times New Roman"/>
          <w:sz w:val="24"/>
          <w:szCs w:val="24"/>
        </w:rPr>
        <w:tab/>
      </w:r>
      <w:r w:rsidRPr="0045728F">
        <w:rPr>
          <w:rFonts w:ascii="Times New Roman" w:hAnsi="Times New Roman"/>
          <w:sz w:val="24"/>
          <w:szCs w:val="24"/>
        </w:rPr>
        <w:tab/>
      </w:r>
      <w:r w:rsidRPr="0045728F">
        <w:rPr>
          <w:rFonts w:ascii="Times New Roman" w:hAnsi="Times New Roman"/>
          <w:sz w:val="24"/>
          <w:szCs w:val="24"/>
        </w:rPr>
        <w:tab/>
      </w:r>
      <w:r w:rsidR="003C0DB7" w:rsidRPr="003C0DB7">
        <w:rPr>
          <w:rFonts w:ascii="Times New Roman" w:hAnsi="Times New Roman"/>
          <w:sz w:val="24"/>
          <w:szCs w:val="24"/>
          <w:u w:val="single"/>
        </w:rPr>
        <w:t>Direct</w:t>
      </w:r>
      <w:r w:rsidRPr="0045728F">
        <w:rPr>
          <w:rFonts w:ascii="Times New Roman" w:hAnsi="Times New Roman"/>
          <w:sz w:val="24"/>
          <w:szCs w:val="24"/>
        </w:rPr>
        <w:tab/>
      </w:r>
      <w:r w:rsidRPr="0045728F">
        <w:rPr>
          <w:rFonts w:ascii="Times New Roman" w:hAnsi="Times New Roman"/>
          <w:sz w:val="24"/>
          <w:szCs w:val="24"/>
        </w:rPr>
        <w:tab/>
      </w:r>
      <w:r w:rsidRPr="0045728F">
        <w:rPr>
          <w:rFonts w:ascii="Times New Roman" w:hAnsi="Times New Roman"/>
          <w:sz w:val="24"/>
          <w:szCs w:val="24"/>
        </w:rPr>
        <w:tab/>
      </w:r>
      <w:r w:rsidRPr="0045728F">
        <w:rPr>
          <w:rFonts w:ascii="Times New Roman" w:hAnsi="Times New Roman"/>
          <w:sz w:val="24"/>
          <w:szCs w:val="24"/>
          <w:u w:val="single"/>
        </w:rPr>
        <w:t>Update</w:t>
      </w:r>
      <w:r w:rsidRPr="0045728F">
        <w:rPr>
          <w:rFonts w:ascii="Times New Roman" w:hAnsi="Times New Roman"/>
          <w:sz w:val="24"/>
          <w:szCs w:val="24"/>
        </w:rPr>
        <w:tab/>
      </w:r>
      <w:r w:rsidRPr="0045728F">
        <w:rPr>
          <w:rFonts w:ascii="Times New Roman" w:hAnsi="Times New Roman"/>
          <w:sz w:val="24"/>
          <w:szCs w:val="24"/>
        </w:rPr>
        <w:tab/>
      </w:r>
      <w:r w:rsidRPr="0045728F">
        <w:rPr>
          <w:rFonts w:ascii="Times New Roman" w:hAnsi="Times New Roman"/>
          <w:sz w:val="24"/>
          <w:szCs w:val="24"/>
        </w:rPr>
        <w:tab/>
      </w:r>
      <w:r w:rsidRPr="0045728F">
        <w:rPr>
          <w:rFonts w:ascii="Times New Roman" w:hAnsi="Times New Roman"/>
          <w:sz w:val="24"/>
          <w:szCs w:val="24"/>
          <w:u w:val="single"/>
        </w:rPr>
        <w:t>Change</w:t>
      </w:r>
    </w:p>
    <w:p w:rsidR="003E4D13" w:rsidRDefault="00A90494" w:rsidP="00C36248">
      <w:pPr>
        <w:rPr>
          <w:rFonts w:ascii="Times New Roman" w:hAnsi="Times New Roman"/>
          <w:sz w:val="24"/>
          <w:szCs w:val="24"/>
        </w:rPr>
      </w:pPr>
      <w:r>
        <w:rPr>
          <w:rFonts w:ascii="Times New Roman" w:hAnsi="Times New Roman"/>
          <w:sz w:val="24"/>
          <w:szCs w:val="24"/>
        </w:rPr>
        <w:tab/>
      </w:r>
      <w:r w:rsidR="00CD272B">
        <w:rPr>
          <w:rFonts w:ascii="Times New Roman" w:hAnsi="Times New Roman"/>
          <w:sz w:val="24"/>
          <w:szCs w:val="24"/>
        </w:rPr>
        <w:tab/>
      </w:r>
      <w:r w:rsidR="00CD272B">
        <w:rPr>
          <w:rFonts w:ascii="Times New Roman" w:hAnsi="Times New Roman"/>
          <w:sz w:val="24"/>
          <w:szCs w:val="24"/>
        </w:rPr>
        <w:tab/>
      </w:r>
      <w:r w:rsidR="00CD272B">
        <w:rPr>
          <w:rFonts w:ascii="Times New Roman" w:hAnsi="Times New Roman"/>
          <w:sz w:val="24"/>
          <w:szCs w:val="24"/>
        </w:rPr>
        <w:tab/>
      </w:r>
      <w:r w:rsidR="003E4D13">
        <w:rPr>
          <w:rFonts w:ascii="Times New Roman" w:hAnsi="Times New Roman"/>
          <w:sz w:val="24"/>
          <w:szCs w:val="24"/>
        </w:rPr>
        <w:t xml:space="preserve">Exhibit No. </w:t>
      </w:r>
      <w:r w:rsidR="00804EA4">
        <w:rPr>
          <w:rFonts w:ascii="Times New Roman" w:hAnsi="Times New Roman"/>
          <w:sz w:val="24"/>
          <w:szCs w:val="24"/>
        </w:rPr>
        <w:tab/>
      </w:r>
      <w:r w:rsidR="00804EA4">
        <w:rPr>
          <w:rFonts w:ascii="Times New Roman" w:hAnsi="Times New Roman"/>
          <w:sz w:val="24"/>
          <w:szCs w:val="24"/>
        </w:rPr>
        <w:tab/>
        <w:t>Bench Request</w:t>
      </w:r>
    </w:p>
    <w:p w:rsidR="00BA1CFE" w:rsidRPr="0045728F" w:rsidRDefault="00CD272B" w:rsidP="00C3624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2659B">
        <w:rPr>
          <w:rFonts w:ascii="Times New Roman" w:hAnsi="Times New Roman"/>
          <w:sz w:val="24"/>
          <w:szCs w:val="24"/>
        </w:rPr>
        <w:t xml:space="preserve">RAM-1T at </w:t>
      </w:r>
      <w:r w:rsidR="00804EA4">
        <w:rPr>
          <w:rFonts w:ascii="Times New Roman" w:hAnsi="Times New Roman"/>
          <w:sz w:val="24"/>
          <w:szCs w:val="24"/>
        </w:rPr>
        <w:tab/>
      </w:r>
      <w:r w:rsidR="00804EA4">
        <w:rPr>
          <w:rFonts w:ascii="Times New Roman" w:hAnsi="Times New Roman"/>
          <w:sz w:val="24"/>
          <w:szCs w:val="24"/>
        </w:rPr>
        <w:tab/>
        <w:t>No. 7</w:t>
      </w:r>
    </w:p>
    <w:p w:rsidR="00BA1CFE" w:rsidRDefault="00CD272B" w:rsidP="00C3624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2659B">
        <w:rPr>
          <w:rFonts w:ascii="Times New Roman" w:hAnsi="Times New Roman"/>
          <w:sz w:val="24"/>
          <w:szCs w:val="24"/>
        </w:rPr>
        <w:t>37, 41 and 53</w:t>
      </w:r>
      <w:r w:rsidR="00804EA4">
        <w:rPr>
          <w:rFonts w:ascii="Times New Roman" w:hAnsi="Times New Roman"/>
          <w:sz w:val="24"/>
          <w:szCs w:val="24"/>
        </w:rPr>
        <w:tab/>
      </w:r>
      <w:r w:rsidR="00804EA4">
        <w:rPr>
          <w:rFonts w:ascii="Times New Roman" w:hAnsi="Times New Roman"/>
          <w:sz w:val="24"/>
          <w:szCs w:val="24"/>
        </w:rPr>
        <w:tab/>
      </w:r>
    </w:p>
    <w:p w:rsidR="003E4D13" w:rsidRPr="0045728F" w:rsidRDefault="003E4D13" w:rsidP="00C36248">
      <w:pPr>
        <w:rPr>
          <w:rFonts w:ascii="Times New Roman" w:hAnsi="Times New Roman"/>
          <w:sz w:val="24"/>
          <w:szCs w:val="24"/>
        </w:rPr>
      </w:pPr>
    </w:p>
    <w:p w:rsidR="00BA1CFE" w:rsidRPr="0045728F" w:rsidRDefault="0052659B" w:rsidP="00C36248">
      <w:pPr>
        <w:rPr>
          <w:rFonts w:ascii="Times New Roman" w:hAnsi="Times New Roman"/>
          <w:sz w:val="24"/>
          <w:szCs w:val="24"/>
        </w:rPr>
      </w:pPr>
      <w:r>
        <w:rPr>
          <w:rFonts w:ascii="Times New Roman" w:hAnsi="Times New Roman"/>
          <w:sz w:val="24"/>
          <w:szCs w:val="24"/>
        </w:rPr>
        <w:t>CAPM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8.50</w:t>
      </w:r>
      <w:r w:rsidR="00BA1CFE" w:rsidRPr="0045728F">
        <w:rPr>
          <w:rFonts w:ascii="Times New Roman" w:hAnsi="Times New Roman"/>
          <w:sz w:val="24"/>
          <w:szCs w:val="24"/>
        </w:rPr>
        <w:t>%</w:t>
      </w:r>
      <w:r w:rsidR="00BA1CFE" w:rsidRPr="0045728F">
        <w:rPr>
          <w:rFonts w:ascii="Times New Roman" w:hAnsi="Times New Roman"/>
          <w:sz w:val="24"/>
          <w:szCs w:val="24"/>
        </w:rPr>
        <w:tab/>
      </w:r>
      <w:r w:rsidR="00BA1CFE" w:rsidRPr="0045728F">
        <w:rPr>
          <w:rFonts w:ascii="Times New Roman" w:hAnsi="Times New Roman"/>
          <w:sz w:val="24"/>
          <w:szCs w:val="24"/>
        </w:rPr>
        <w:tab/>
      </w:r>
      <w:r w:rsidR="00BA1CFE" w:rsidRPr="0045728F">
        <w:rPr>
          <w:rFonts w:ascii="Times New Roman" w:hAnsi="Times New Roman"/>
          <w:sz w:val="24"/>
          <w:szCs w:val="24"/>
        </w:rPr>
        <w:tab/>
        <w:t>9.30%</w:t>
      </w:r>
      <w:r w:rsidR="00BA1CFE" w:rsidRPr="0045728F">
        <w:rPr>
          <w:rFonts w:ascii="Times New Roman" w:hAnsi="Times New Roman"/>
          <w:sz w:val="24"/>
          <w:szCs w:val="24"/>
        </w:rPr>
        <w:tab/>
      </w:r>
      <w:r w:rsidR="00BA1CFE" w:rsidRPr="0045728F">
        <w:rPr>
          <w:rFonts w:ascii="Times New Roman" w:hAnsi="Times New Roman"/>
          <w:sz w:val="24"/>
          <w:szCs w:val="24"/>
        </w:rPr>
        <w:tab/>
      </w:r>
      <w:r w:rsidR="00BA1CFE" w:rsidRPr="0045728F">
        <w:rPr>
          <w:rFonts w:ascii="Times New Roman" w:hAnsi="Times New Roman"/>
          <w:sz w:val="24"/>
          <w:szCs w:val="24"/>
        </w:rPr>
        <w:tab/>
        <w:t>+0.8%</w:t>
      </w:r>
    </w:p>
    <w:p w:rsidR="00BA1CFE" w:rsidRPr="0045728F" w:rsidRDefault="0052659B" w:rsidP="00C36248">
      <w:pPr>
        <w:rPr>
          <w:rFonts w:ascii="Times New Roman" w:hAnsi="Times New Roman"/>
          <w:sz w:val="24"/>
          <w:szCs w:val="24"/>
        </w:rPr>
      </w:pPr>
      <w:r>
        <w:rPr>
          <w:rFonts w:ascii="Times New Roman" w:hAnsi="Times New Roman"/>
          <w:sz w:val="24"/>
          <w:szCs w:val="24"/>
        </w:rPr>
        <w:t>Empirical CAPM</w:t>
      </w:r>
      <w:r>
        <w:rPr>
          <w:rFonts w:ascii="Times New Roman" w:hAnsi="Times New Roman"/>
          <w:sz w:val="24"/>
          <w:szCs w:val="24"/>
        </w:rPr>
        <w:tab/>
      </w:r>
      <w:r>
        <w:rPr>
          <w:rFonts w:ascii="Times New Roman" w:hAnsi="Times New Roman"/>
          <w:sz w:val="24"/>
          <w:szCs w:val="24"/>
        </w:rPr>
        <w:tab/>
        <w:t>8.90</w:t>
      </w:r>
      <w:r w:rsidR="00BA1CFE" w:rsidRPr="0045728F">
        <w:rPr>
          <w:rFonts w:ascii="Times New Roman" w:hAnsi="Times New Roman"/>
          <w:sz w:val="24"/>
          <w:szCs w:val="24"/>
        </w:rPr>
        <w:t>%</w:t>
      </w:r>
      <w:r w:rsidR="00BA1CFE" w:rsidRPr="0045728F">
        <w:rPr>
          <w:rFonts w:ascii="Times New Roman" w:hAnsi="Times New Roman"/>
          <w:sz w:val="24"/>
          <w:szCs w:val="24"/>
        </w:rPr>
        <w:tab/>
      </w:r>
      <w:r w:rsidR="00BA1CFE" w:rsidRPr="0045728F">
        <w:rPr>
          <w:rFonts w:ascii="Times New Roman" w:hAnsi="Times New Roman"/>
          <w:sz w:val="24"/>
          <w:szCs w:val="24"/>
        </w:rPr>
        <w:tab/>
      </w:r>
      <w:r w:rsidR="00BA1CFE" w:rsidRPr="0045728F">
        <w:rPr>
          <w:rFonts w:ascii="Times New Roman" w:hAnsi="Times New Roman"/>
          <w:sz w:val="24"/>
          <w:szCs w:val="24"/>
        </w:rPr>
        <w:tab/>
        <w:t>9.70%</w:t>
      </w:r>
      <w:r w:rsidR="00BA1CFE" w:rsidRPr="0045728F">
        <w:rPr>
          <w:rFonts w:ascii="Times New Roman" w:hAnsi="Times New Roman"/>
          <w:sz w:val="24"/>
          <w:szCs w:val="24"/>
        </w:rPr>
        <w:tab/>
      </w:r>
      <w:r w:rsidR="00BA1CFE" w:rsidRPr="0045728F">
        <w:rPr>
          <w:rFonts w:ascii="Times New Roman" w:hAnsi="Times New Roman"/>
          <w:sz w:val="24"/>
          <w:szCs w:val="24"/>
        </w:rPr>
        <w:tab/>
      </w:r>
      <w:r w:rsidR="00BA1CFE" w:rsidRPr="0045728F">
        <w:rPr>
          <w:rFonts w:ascii="Times New Roman" w:hAnsi="Times New Roman"/>
          <w:sz w:val="24"/>
          <w:szCs w:val="24"/>
        </w:rPr>
        <w:tab/>
        <w:t>+0.8%</w:t>
      </w:r>
    </w:p>
    <w:p w:rsidR="00BA1CFE" w:rsidRPr="0045728F" w:rsidRDefault="0052659B" w:rsidP="00C36248">
      <w:pPr>
        <w:rPr>
          <w:rFonts w:ascii="Times New Roman" w:hAnsi="Times New Roman"/>
          <w:sz w:val="24"/>
          <w:szCs w:val="24"/>
        </w:rPr>
      </w:pPr>
      <w:r>
        <w:rPr>
          <w:rFonts w:ascii="Times New Roman" w:hAnsi="Times New Roman"/>
          <w:sz w:val="24"/>
          <w:szCs w:val="24"/>
        </w:rPr>
        <w:t>Risk Premium Electric</w:t>
      </w:r>
      <w:r>
        <w:rPr>
          <w:rFonts w:ascii="Times New Roman" w:hAnsi="Times New Roman"/>
          <w:sz w:val="24"/>
          <w:szCs w:val="24"/>
        </w:rPr>
        <w:tab/>
        <w:t>11.10</w:t>
      </w:r>
      <w:r w:rsidR="00CD272B">
        <w:rPr>
          <w:rFonts w:ascii="Times New Roman" w:hAnsi="Times New Roman"/>
          <w:sz w:val="24"/>
          <w:szCs w:val="24"/>
        </w:rPr>
        <w:t>%</w:t>
      </w:r>
      <w:r w:rsidR="00CD272B">
        <w:rPr>
          <w:rFonts w:ascii="Times New Roman" w:hAnsi="Times New Roman"/>
          <w:sz w:val="24"/>
          <w:szCs w:val="24"/>
        </w:rPr>
        <w:tab/>
      </w:r>
      <w:r w:rsidR="00CD272B">
        <w:rPr>
          <w:rFonts w:ascii="Times New Roman" w:hAnsi="Times New Roman"/>
          <w:sz w:val="24"/>
          <w:szCs w:val="24"/>
        </w:rPr>
        <w:tab/>
      </w:r>
      <w:r w:rsidR="00BA1CFE" w:rsidRPr="0045728F">
        <w:rPr>
          <w:rFonts w:ascii="Times New Roman" w:hAnsi="Times New Roman"/>
          <w:sz w:val="24"/>
          <w:szCs w:val="24"/>
        </w:rPr>
        <w:t>10.34%</w:t>
      </w:r>
      <w:r w:rsidR="00BA1CFE" w:rsidRPr="0045728F">
        <w:rPr>
          <w:rFonts w:ascii="Times New Roman" w:hAnsi="Times New Roman"/>
          <w:sz w:val="24"/>
          <w:szCs w:val="24"/>
        </w:rPr>
        <w:tab/>
      </w:r>
      <w:r w:rsidR="00BA1CFE" w:rsidRPr="0045728F">
        <w:rPr>
          <w:rFonts w:ascii="Times New Roman" w:hAnsi="Times New Roman"/>
          <w:sz w:val="24"/>
          <w:szCs w:val="24"/>
        </w:rPr>
        <w:tab/>
        <w:t>-.76%</w:t>
      </w:r>
    </w:p>
    <w:p w:rsidR="00BA1CFE" w:rsidRPr="0045728F" w:rsidRDefault="00BA1CFE" w:rsidP="00C36248">
      <w:pPr>
        <w:rPr>
          <w:rFonts w:ascii="Times New Roman" w:hAnsi="Times New Roman"/>
          <w:sz w:val="24"/>
          <w:szCs w:val="24"/>
        </w:rPr>
      </w:pPr>
      <w:r w:rsidRPr="0045728F">
        <w:rPr>
          <w:rFonts w:ascii="Times New Roman" w:hAnsi="Times New Roman"/>
          <w:sz w:val="24"/>
          <w:szCs w:val="24"/>
        </w:rPr>
        <w:t>DCF Vert Int Value</w:t>
      </w:r>
      <w:r w:rsidR="00CD272B">
        <w:rPr>
          <w:rFonts w:ascii="Times New Roman" w:hAnsi="Times New Roman"/>
          <w:sz w:val="24"/>
          <w:szCs w:val="24"/>
        </w:rPr>
        <w:t xml:space="preserve"> Lin</w:t>
      </w:r>
      <w:r w:rsidR="003C0DB7">
        <w:rPr>
          <w:rFonts w:ascii="Times New Roman" w:hAnsi="Times New Roman"/>
          <w:sz w:val="24"/>
          <w:szCs w:val="24"/>
        </w:rPr>
        <w:t>e</w:t>
      </w:r>
      <w:r w:rsidR="003C0DB7">
        <w:rPr>
          <w:rFonts w:ascii="Times New Roman" w:hAnsi="Times New Roman"/>
          <w:sz w:val="24"/>
          <w:szCs w:val="24"/>
        </w:rPr>
        <w:tab/>
        <w:t>12.10</w:t>
      </w:r>
      <w:r w:rsidR="00CD272B">
        <w:rPr>
          <w:rFonts w:ascii="Times New Roman" w:hAnsi="Times New Roman"/>
          <w:sz w:val="24"/>
          <w:szCs w:val="24"/>
        </w:rPr>
        <w:t>%</w:t>
      </w:r>
      <w:r w:rsidR="00CD272B">
        <w:rPr>
          <w:rFonts w:ascii="Times New Roman" w:hAnsi="Times New Roman"/>
          <w:sz w:val="24"/>
          <w:szCs w:val="24"/>
        </w:rPr>
        <w:tab/>
      </w:r>
      <w:r w:rsidR="00CD272B">
        <w:rPr>
          <w:rFonts w:ascii="Times New Roman" w:hAnsi="Times New Roman"/>
          <w:sz w:val="24"/>
          <w:szCs w:val="24"/>
        </w:rPr>
        <w:tab/>
      </w:r>
      <w:r w:rsidR="00492DF2">
        <w:rPr>
          <w:rFonts w:ascii="Times New Roman" w:hAnsi="Times New Roman"/>
          <w:sz w:val="24"/>
          <w:szCs w:val="24"/>
        </w:rPr>
        <w:t>10.80%</w:t>
      </w:r>
      <w:r w:rsidR="00492DF2">
        <w:rPr>
          <w:rFonts w:ascii="Times New Roman" w:hAnsi="Times New Roman"/>
          <w:sz w:val="24"/>
          <w:szCs w:val="24"/>
        </w:rPr>
        <w:tab/>
      </w:r>
      <w:r w:rsidR="00492DF2">
        <w:rPr>
          <w:rFonts w:ascii="Times New Roman" w:hAnsi="Times New Roman"/>
          <w:sz w:val="24"/>
          <w:szCs w:val="24"/>
        </w:rPr>
        <w:tab/>
        <w:t>-1.3</w:t>
      </w:r>
      <w:r w:rsidRPr="0045728F">
        <w:rPr>
          <w:rFonts w:ascii="Times New Roman" w:hAnsi="Times New Roman"/>
          <w:sz w:val="24"/>
          <w:szCs w:val="24"/>
        </w:rPr>
        <w:t>0%</w:t>
      </w:r>
      <w:r w:rsidRPr="0045728F">
        <w:rPr>
          <w:rFonts w:ascii="Times New Roman" w:hAnsi="Times New Roman"/>
          <w:sz w:val="24"/>
          <w:szCs w:val="24"/>
        </w:rPr>
        <w:tab/>
      </w:r>
    </w:p>
    <w:p w:rsidR="00BA1CFE" w:rsidRPr="0045728F" w:rsidRDefault="0052659B" w:rsidP="00C36248">
      <w:pPr>
        <w:rPr>
          <w:rFonts w:ascii="Times New Roman" w:hAnsi="Times New Roman"/>
          <w:sz w:val="24"/>
          <w:szCs w:val="24"/>
        </w:rPr>
      </w:pPr>
      <w:r>
        <w:rPr>
          <w:rFonts w:ascii="Times New Roman" w:hAnsi="Times New Roman"/>
          <w:sz w:val="24"/>
          <w:szCs w:val="24"/>
        </w:rPr>
        <w:t>DCF Vert Int Zacks</w:t>
      </w:r>
      <w:r>
        <w:rPr>
          <w:rFonts w:ascii="Times New Roman" w:hAnsi="Times New Roman"/>
          <w:sz w:val="24"/>
          <w:szCs w:val="24"/>
        </w:rPr>
        <w:tab/>
      </w:r>
      <w:r>
        <w:rPr>
          <w:rFonts w:ascii="Times New Roman" w:hAnsi="Times New Roman"/>
          <w:sz w:val="24"/>
          <w:szCs w:val="24"/>
        </w:rPr>
        <w:tab/>
        <w:t>11.9</w:t>
      </w:r>
      <w:r w:rsidR="003C0DB7">
        <w:rPr>
          <w:rFonts w:ascii="Times New Roman" w:hAnsi="Times New Roman"/>
          <w:sz w:val="24"/>
          <w:szCs w:val="24"/>
        </w:rPr>
        <w:t>0</w:t>
      </w:r>
      <w:r w:rsidR="00CD272B">
        <w:rPr>
          <w:rFonts w:ascii="Times New Roman" w:hAnsi="Times New Roman"/>
          <w:sz w:val="24"/>
          <w:szCs w:val="24"/>
        </w:rPr>
        <w:t>%</w:t>
      </w:r>
      <w:r w:rsidR="00CD272B">
        <w:rPr>
          <w:rFonts w:ascii="Times New Roman" w:hAnsi="Times New Roman"/>
          <w:sz w:val="24"/>
          <w:szCs w:val="24"/>
        </w:rPr>
        <w:tab/>
      </w:r>
      <w:r w:rsidR="00CD272B">
        <w:rPr>
          <w:rFonts w:ascii="Times New Roman" w:hAnsi="Times New Roman"/>
          <w:sz w:val="24"/>
          <w:szCs w:val="24"/>
        </w:rPr>
        <w:tab/>
      </w:r>
      <w:r w:rsidR="00BA1CFE" w:rsidRPr="0045728F">
        <w:rPr>
          <w:rFonts w:ascii="Times New Roman" w:hAnsi="Times New Roman"/>
          <w:sz w:val="24"/>
          <w:szCs w:val="24"/>
        </w:rPr>
        <w:t>10.80%</w:t>
      </w:r>
      <w:r w:rsidR="00BA1CFE" w:rsidRPr="0045728F">
        <w:rPr>
          <w:rFonts w:ascii="Times New Roman" w:hAnsi="Times New Roman"/>
          <w:sz w:val="24"/>
          <w:szCs w:val="24"/>
        </w:rPr>
        <w:tab/>
      </w:r>
      <w:r w:rsidR="00BA1CFE" w:rsidRPr="0045728F">
        <w:rPr>
          <w:rFonts w:ascii="Times New Roman" w:hAnsi="Times New Roman"/>
          <w:sz w:val="24"/>
          <w:szCs w:val="24"/>
        </w:rPr>
        <w:tab/>
        <w:t>-1.30%</w:t>
      </w:r>
    </w:p>
    <w:p w:rsidR="00BA1CFE" w:rsidRPr="0045728F" w:rsidRDefault="003C0DB7" w:rsidP="00C36248">
      <w:pPr>
        <w:rPr>
          <w:rFonts w:ascii="Times New Roman" w:hAnsi="Times New Roman"/>
          <w:sz w:val="24"/>
          <w:szCs w:val="24"/>
        </w:rPr>
      </w:pPr>
      <w:r>
        <w:rPr>
          <w:rFonts w:ascii="Times New Roman" w:hAnsi="Times New Roman"/>
          <w:sz w:val="24"/>
          <w:szCs w:val="24"/>
        </w:rPr>
        <w:t>DCF S&amp;P Value Line</w:t>
      </w:r>
      <w:r>
        <w:rPr>
          <w:rFonts w:ascii="Times New Roman" w:hAnsi="Times New Roman"/>
          <w:sz w:val="24"/>
          <w:szCs w:val="24"/>
        </w:rPr>
        <w:tab/>
      </w:r>
      <w:r>
        <w:rPr>
          <w:rFonts w:ascii="Times New Roman" w:hAnsi="Times New Roman"/>
          <w:sz w:val="24"/>
          <w:szCs w:val="24"/>
        </w:rPr>
        <w:tab/>
        <w:t>11.90</w:t>
      </w:r>
      <w:r w:rsidR="00CD272B">
        <w:rPr>
          <w:rFonts w:ascii="Times New Roman" w:hAnsi="Times New Roman"/>
          <w:sz w:val="24"/>
          <w:szCs w:val="24"/>
        </w:rPr>
        <w:t>%</w:t>
      </w:r>
      <w:r w:rsidR="00CD272B">
        <w:rPr>
          <w:rFonts w:ascii="Times New Roman" w:hAnsi="Times New Roman"/>
          <w:sz w:val="24"/>
          <w:szCs w:val="24"/>
        </w:rPr>
        <w:tab/>
      </w:r>
      <w:r w:rsidR="00CD272B">
        <w:rPr>
          <w:rFonts w:ascii="Times New Roman" w:hAnsi="Times New Roman"/>
          <w:sz w:val="24"/>
          <w:szCs w:val="24"/>
        </w:rPr>
        <w:tab/>
      </w:r>
      <w:r w:rsidR="00BA1CFE" w:rsidRPr="0045728F">
        <w:rPr>
          <w:rFonts w:ascii="Times New Roman" w:hAnsi="Times New Roman"/>
          <w:sz w:val="24"/>
          <w:szCs w:val="24"/>
        </w:rPr>
        <w:t>10.30%</w:t>
      </w:r>
      <w:r w:rsidR="00BA1CFE" w:rsidRPr="0045728F">
        <w:rPr>
          <w:rFonts w:ascii="Times New Roman" w:hAnsi="Times New Roman"/>
          <w:sz w:val="24"/>
          <w:szCs w:val="24"/>
        </w:rPr>
        <w:tab/>
      </w:r>
      <w:r w:rsidR="00BA1CFE" w:rsidRPr="0045728F">
        <w:rPr>
          <w:rFonts w:ascii="Times New Roman" w:hAnsi="Times New Roman"/>
          <w:sz w:val="24"/>
          <w:szCs w:val="24"/>
        </w:rPr>
        <w:tab/>
      </w:r>
      <w:r w:rsidR="00BC5EE0">
        <w:rPr>
          <w:rFonts w:ascii="Times New Roman" w:hAnsi="Times New Roman"/>
          <w:sz w:val="24"/>
          <w:szCs w:val="24"/>
        </w:rPr>
        <w:t>-1.6</w:t>
      </w:r>
      <w:r w:rsidR="00BA1CFE" w:rsidRPr="0045728F">
        <w:rPr>
          <w:rFonts w:ascii="Times New Roman" w:hAnsi="Times New Roman"/>
          <w:sz w:val="24"/>
          <w:szCs w:val="24"/>
        </w:rPr>
        <w:t>0%</w:t>
      </w:r>
    </w:p>
    <w:p w:rsidR="00BA1CFE" w:rsidRDefault="003C0DB7" w:rsidP="00C36248">
      <w:pPr>
        <w:rPr>
          <w:rFonts w:ascii="Times New Roman" w:hAnsi="Times New Roman"/>
          <w:sz w:val="24"/>
          <w:szCs w:val="24"/>
        </w:rPr>
      </w:pPr>
      <w:r>
        <w:rPr>
          <w:rFonts w:ascii="Times New Roman" w:hAnsi="Times New Roman"/>
          <w:sz w:val="24"/>
          <w:szCs w:val="24"/>
        </w:rPr>
        <w:t>DCF S&amp;P Zacks</w:t>
      </w:r>
      <w:r>
        <w:rPr>
          <w:rFonts w:ascii="Times New Roman" w:hAnsi="Times New Roman"/>
          <w:sz w:val="24"/>
          <w:szCs w:val="24"/>
        </w:rPr>
        <w:tab/>
      </w:r>
      <w:r>
        <w:rPr>
          <w:rFonts w:ascii="Times New Roman" w:hAnsi="Times New Roman"/>
          <w:sz w:val="24"/>
          <w:szCs w:val="24"/>
        </w:rPr>
        <w:tab/>
        <w:t>12.00</w:t>
      </w:r>
      <w:r w:rsidR="00CD272B">
        <w:rPr>
          <w:rFonts w:ascii="Times New Roman" w:hAnsi="Times New Roman"/>
          <w:sz w:val="24"/>
          <w:szCs w:val="24"/>
        </w:rPr>
        <w:t>%</w:t>
      </w:r>
      <w:r w:rsidR="00CD272B">
        <w:rPr>
          <w:rFonts w:ascii="Times New Roman" w:hAnsi="Times New Roman"/>
          <w:sz w:val="24"/>
          <w:szCs w:val="24"/>
        </w:rPr>
        <w:tab/>
      </w:r>
      <w:r w:rsidR="00CD272B">
        <w:rPr>
          <w:rFonts w:ascii="Times New Roman" w:hAnsi="Times New Roman"/>
          <w:sz w:val="24"/>
          <w:szCs w:val="24"/>
        </w:rPr>
        <w:tab/>
      </w:r>
      <w:r w:rsidR="00BA1CFE" w:rsidRPr="0045728F">
        <w:rPr>
          <w:rFonts w:ascii="Times New Roman" w:hAnsi="Times New Roman"/>
          <w:sz w:val="24"/>
          <w:szCs w:val="24"/>
        </w:rPr>
        <w:t>11.30%</w:t>
      </w:r>
      <w:r w:rsidR="00BA1CFE" w:rsidRPr="0045728F">
        <w:rPr>
          <w:rFonts w:ascii="Times New Roman" w:hAnsi="Times New Roman"/>
          <w:sz w:val="24"/>
          <w:szCs w:val="24"/>
        </w:rPr>
        <w:tab/>
      </w:r>
      <w:r w:rsidR="00BA1CFE" w:rsidRPr="0045728F">
        <w:rPr>
          <w:rFonts w:ascii="Times New Roman" w:hAnsi="Times New Roman"/>
          <w:sz w:val="24"/>
          <w:szCs w:val="24"/>
        </w:rPr>
        <w:tab/>
        <w:t>-</w:t>
      </w:r>
      <w:r w:rsidR="00BC5EE0">
        <w:rPr>
          <w:rFonts w:ascii="Times New Roman" w:hAnsi="Times New Roman"/>
          <w:sz w:val="24"/>
          <w:szCs w:val="24"/>
        </w:rPr>
        <w:t>.70</w:t>
      </w:r>
      <w:r w:rsidR="00BA1CFE" w:rsidRPr="0045728F">
        <w:rPr>
          <w:rFonts w:ascii="Times New Roman" w:hAnsi="Times New Roman"/>
          <w:sz w:val="24"/>
          <w:szCs w:val="24"/>
        </w:rPr>
        <w:t>%</w:t>
      </w:r>
      <w:r w:rsidR="00BA1CFE" w:rsidRPr="0045728F">
        <w:rPr>
          <w:rFonts w:ascii="Times New Roman" w:hAnsi="Times New Roman"/>
          <w:sz w:val="24"/>
          <w:szCs w:val="24"/>
        </w:rPr>
        <w:tab/>
      </w:r>
    </w:p>
    <w:p w:rsidR="007F4BD8" w:rsidRPr="0045728F" w:rsidRDefault="007F4BD8" w:rsidP="00C36248">
      <w:pPr>
        <w:rPr>
          <w:rFonts w:ascii="Times New Roman" w:hAnsi="Times New Roman"/>
          <w:sz w:val="24"/>
          <w:szCs w:val="24"/>
        </w:rPr>
      </w:pPr>
    </w:p>
    <w:p w:rsidR="00BA1CFE" w:rsidRPr="0045728F" w:rsidRDefault="00804EA4" w:rsidP="0045728F">
      <w:pPr>
        <w:spacing w:line="480" w:lineRule="auto"/>
        <w:rPr>
          <w:rFonts w:ascii="Times New Roman" w:hAnsi="Times New Roman"/>
          <w:sz w:val="24"/>
          <w:szCs w:val="24"/>
        </w:rPr>
      </w:pPr>
      <w:r>
        <w:rPr>
          <w:rFonts w:ascii="Times New Roman" w:hAnsi="Times New Roman"/>
          <w:sz w:val="24"/>
          <w:szCs w:val="24"/>
        </w:rPr>
        <w:t>Dr. Morin places little</w:t>
      </w:r>
      <w:r w:rsidR="00BA1CFE" w:rsidRPr="0045728F">
        <w:rPr>
          <w:rFonts w:ascii="Times New Roman" w:hAnsi="Times New Roman"/>
          <w:sz w:val="24"/>
          <w:szCs w:val="24"/>
        </w:rPr>
        <w:t xml:space="preserve"> weight on</w:t>
      </w:r>
      <w:r w:rsidR="00127EA2">
        <w:rPr>
          <w:rFonts w:ascii="Times New Roman" w:hAnsi="Times New Roman"/>
          <w:sz w:val="24"/>
          <w:szCs w:val="24"/>
        </w:rPr>
        <w:t xml:space="preserve"> </w:t>
      </w:r>
      <w:r>
        <w:rPr>
          <w:rFonts w:ascii="Times New Roman" w:hAnsi="Times New Roman"/>
          <w:sz w:val="24"/>
          <w:szCs w:val="24"/>
        </w:rPr>
        <w:t>C</w:t>
      </w:r>
      <w:r w:rsidR="00B30BB3">
        <w:rPr>
          <w:rFonts w:ascii="Times New Roman" w:hAnsi="Times New Roman"/>
          <w:sz w:val="24"/>
          <w:szCs w:val="24"/>
        </w:rPr>
        <w:t>apital Asset Pricing Model (“C</w:t>
      </w:r>
      <w:r>
        <w:rPr>
          <w:rFonts w:ascii="Times New Roman" w:hAnsi="Times New Roman"/>
          <w:sz w:val="24"/>
          <w:szCs w:val="24"/>
        </w:rPr>
        <w:t>APM</w:t>
      </w:r>
      <w:r w:rsidR="00B30BB3">
        <w:rPr>
          <w:rFonts w:ascii="Times New Roman" w:hAnsi="Times New Roman"/>
          <w:sz w:val="24"/>
          <w:szCs w:val="24"/>
        </w:rPr>
        <w:t>”</w:t>
      </w:r>
      <w:r w:rsidR="00F509D7">
        <w:rPr>
          <w:rFonts w:ascii="Times New Roman" w:hAnsi="Times New Roman"/>
          <w:sz w:val="24"/>
          <w:szCs w:val="24"/>
        </w:rPr>
        <w:t>)</w:t>
      </w:r>
      <w:r>
        <w:rPr>
          <w:rFonts w:ascii="Times New Roman" w:hAnsi="Times New Roman"/>
          <w:sz w:val="24"/>
          <w:szCs w:val="24"/>
        </w:rPr>
        <w:t xml:space="preserve"> results</w:t>
      </w:r>
      <w:r w:rsidR="00BA1CFE" w:rsidRPr="0045728F">
        <w:rPr>
          <w:rFonts w:ascii="Times New Roman" w:hAnsi="Times New Roman"/>
          <w:sz w:val="24"/>
          <w:szCs w:val="24"/>
        </w:rPr>
        <w:t>,</w:t>
      </w:r>
      <w:r>
        <w:rPr>
          <w:rStyle w:val="FootnoteReference"/>
          <w:rFonts w:ascii="Times New Roman" w:hAnsi="Times New Roman"/>
          <w:sz w:val="24"/>
          <w:szCs w:val="24"/>
        </w:rPr>
        <w:footnoteReference w:id="37"/>
      </w:r>
      <w:r w:rsidR="00BA1CFE" w:rsidRPr="0045728F">
        <w:rPr>
          <w:rFonts w:ascii="Times New Roman" w:hAnsi="Times New Roman"/>
          <w:sz w:val="24"/>
          <w:szCs w:val="24"/>
        </w:rPr>
        <w:t xml:space="preserve"> so the </w:t>
      </w:r>
      <w:r w:rsidR="00B30BB3">
        <w:rPr>
          <w:rFonts w:ascii="Times New Roman" w:hAnsi="Times New Roman"/>
          <w:sz w:val="24"/>
          <w:szCs w:val="24"/>
        </w:rPr>
        <w:t xml:space="preserve">Discounted Cash Flow (“DCF”) and </w:t>
      </w:r>
      <w:r w:rsidR="000140AF">
        <w:rPr>
          <w:rFonts w:ascii="Times New Roman" w:hAnsi="Times New Roman"/>
          <w:sz w:val="24"/>
          <w:szCs w:val="24"/>
        </w:rPr>
        <w:t xml:space="preserve">other </w:t>
      </w:r>
      <w:r w:rsidR="00BA1CFE" w:rsidRPr="0045728F">
        <w:rPr>
          <w:rFonts w:ascii="Times New Roman" w:hAnsi="Times New Roman"/>
          <w:sz w:val="24"/>
          <w:szCs w:val="24"/>
        </w:rPr>
        <w:t xml:space="preserve">methods he does </w:t>
      </w:r>
      <w:r w:rsidR="000140AF">
        <w:rPr>
          <w:rFonts w:ascii="Times New Roman" w:hAnsi="Times New Roman"/>
          <w:sz w:val="24"/>
          <w:szCs w:val="24"/>
        </w:rPr>
        <w:t>advocate</w:t>
      </w:r>
      <w:r w:rsidR="00BA1CFE" w:rsidRPr="0045728F">
        <w:rPr>
          <w:rFonts w:ascii="Times New Roman" w:hAnsi="Times New Roman"/>
          <w:sz w:val="24"/>
          <w:szCs w:val="24"/>
        </w:rPr>
        <w:t xml:space="preserve"> indicate significant </w:t>
      </w:r>
      <w:r w:rsidR="000140AF">
        <w:rPr>
          <w:rFonts w:ascii="Times New Roman" w:hAnsi="Times New Roman"/>
          <w:sz w:val="24"/>
          <w:szCs w:val="24"/>
        </w:rPr>
        <w:t xml:space="preserve">equity cost </w:t>
      </w:r>
      <w:r w:rsidR="00BA1CFE" w:rsidRPr="0045728F">
        <w:rPr>
          <w:rFonts w:ascii="Times New Roman" w:hAnsi="Times New Roman"/>
          <w:sz w:val="24"/>
          <w:szCs w:val="24"/>
        </w:rPr>
        <w:t>declines sin</w:t>
      </w:r>
      <w:r w:rsidR="005D3A2B">
        <w:rPr>
          <w:rFonts w:ascii="Times New Roman" w:hAnsi="Times New Roman"/>
          <w:sz w:val="24"/>
          <w:szCs w:val="24"/>
        </w:rPr>
        <w:t xml:space="preserve">ce this case was </w:t>
      </w:r>
      <w:r w:rsidR="009F4FFB">
        <w:rPr>
          <w:rFonts w:ascii="Times New Roman" w:hAnsi="Times New Roman"/>
          <w:sz w:val="24"/>
          <w:szCs w:val="24"/>
        </w:rPr>
        <w:t xml:space="preserve">first </w:t>
      </w:r>
      <w:r w:rsidR="005D3A2B">
        <w:rPr>
          <w:rFonts w:ascii="Times New Roman" w:hAnsi="Times New Roman"/>
          <w:sz w:val="24"/>
          <w:szCs w:val="24"/>
        </w:rPr>
        <w:t>in</w:t>
      </w:r>
      <w:r w:rsidR="009F4FFB">
        <w:rPr>
          <w:rFonts w:ascii="Times New Roman" w:hAnsi="Times New Roman"/>
          <w:sz w:val="24"/>
          <w:szCs w:val="24"/>
        </w:rPr>
        <w:t>itiated</w:t>
      </w:r>
      <w:r w:rsidR="00BA1CFE" w:rsidRPr="0045728F">
        <w:rPr>
          <w:rFonts w:ascii="Times New Roman" w:hAnsi="Times New Roman"/>
          <w:sz w:val="24"/>
          <w:szCs w:val="24"/>
        </w:rPr>
        <w:t>.</w:t>
      </w:r>
    </w:p>
    <w:p w:rsidR="000140AF" w:rsidRPr="00803D18" w:rsidRDefault="00803D1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BA1CFE" w:rsidRPr="00803D18">
        <w:rPr>
          <w:rFonts w:ascii="Times New Roman" w:hAnsi="Times New Roman"/>
          <w:sz w:val="24"/>
          <w:szCs w:val="24"/>
        </w:rPr>
        <w:t>It is also evident</w:t>
      </w:r>
      <w:r w:rsidR="009F4FFB" w:rsidRPr="00803D18">
        <w:rPr>
          <w:rFonts w:ascii="Times New Roman" w:hAnsi="Times New Roman"/>
          <w:sz w:val="24"/>
          <w:szCs w:val="24"/>
        </w:rPr>
        <w:t xml:space="preserve"> that the </w:t>
      </w:r>
      <w:r w:rsidR="000140AF" w:rsidRPr="00803D18">
        <w:rPr>
          <w:rFonts w:ascii="Times New Roman" w:hAnsi="Times New Roman"/>
          <w:sz w:val="24"/>
          <w:szCs w:val="24"/>
        </w:rPr>
        <w:t>10.0 percent</w:t>
      </w:r>
      <w:r w:rsidR="009F4FFB" w:rsidRPr="00803D18">
        <w:rPr>
          <w:rFonts w:ascii="Times New Roman" w:hAnsi="Times New Roman"/>
          <w:sz w:val="24"/>
          <w:szCs w:val="24"/>
        </w:rPr>
        <w:t xml:space="preserve"> </w:t>
      </w:r>
      <w:r w:rsidR="00BA1CFE" w:rsidRPr="00803D18">
        <w:rPr>
          <w:rFonts w:ascii="Times New Roman" w:hAnsi="Times New Roman"/>
          <w:sz w:val="24"/>
          <w:szCs w:val="24"/>
        </w:rPr>
        <w:t>equit</w:t>
      </w:r>
      <w:r w:rsidR="009F4FFB" w:rsidRPr="00803D18">
        <w:rPr>
          <w:rFonts w:ascii="Times New Roman" w:hAnsi="Times New Roman"/>
          <w:sz w:val="24"/>
          <w:szCs w:val="24"/>
        </w:rPr>
        <w:t xml:space="preserve">y cost </w:t>
      </w:r>
      <w:r w:rsidR="000140AF" w:rsidRPr="00803D18">
        <w:rPr>
          <w:rFonts w:ascii="Times New Roman" w:hAnsi="Times New Roman"/>
          <w:sz w:val="24"/>
          <w:szCs w:val="24"/>
        </w:rPr>
        <w:t xml:space="preserve">proposed </w:t>
      </w:r>
      <w:r w:rsidR="009F4FFB" w:rsidRPr="00803D18">
        <w:rPr>
          <w:rFonts w:ascii="Times New Roman" w:hAnsi="Times New Roman"/>
          <w:sz w:val="24"/>
          <w:szCs w:val="24"/>
        </w:rPr>
        <w:t xml:space="preserve">by </w:t>
      </w:r>
      <w:r w:rsidR="000140AF" w:rsidRPr="00803D18">
        <w:rPr>
          <w:rFonts w:ascii="Times New Roman" w:hAnsi="Times New Roman"/>
          <w:sz w:val="24"/>
          <w:szCs w:val="24"/>
        </w:rPr>
        <w:t xml:space="preserve">Mr. </w:t>
      </w:r>
      <w:r w:rsidR="009F4FFB" w:rsidRPr="00803D18">
        <w:rPr>
          <w:rFonts w:ascii="Times New Roman" w:hAnsi="Times New Roman"/>
          <w:sz w:val="24"/>
          <w:szCs w:val="24"/>
        </w:rPr>
        <w:t xml:space="preserve">Parcell </w:t>
      </w:r>
      <w:r w:rsidR="00BA1CFE" w:rsidRPr="00803D18">
        <w:rPr>
          <w:rFonts w:ascii="Times New Roman" w:hAnsi="Times New Roman"/>
          <w:sz w:val="24"/>
          <w:szCs w:val="24"/>
        </w:rPr>
        <w:t>pr</w:t>
      </w:r>
      <w:r w:rsidR="002A0FDE" w:rsidRPr="00803D18">
        <w:rPr>
          <w:rFonts w:ascii="Times New Roman" w:hAnsi="Times New Roman"/>
          <w:sz w:val="24"/>
          <w:szCs w:val="24"/>
        </w:rPr>
        <w:t xml:space="preserve">operly reflects </w:t>
      </w:r>
      <w:r w:rsidR="00BA1CFE" w:rsidRPr="00803D18">
        <w:rPr>
          <w:rFonts w:ascii="Times New Roman" w:hAnsi="Times New Roman"/>
          <w:sz w:val="24"/>
          <w:szCs w:val="24"/>
        </w:rPr>
        <w:t xml:space="preserve">the current cost of equity for PSE.  </w:t>
      </w:r>
      <w:r w:rsidR="005D3A2B" w:rsidRPr="00803D18">
        <w:rPr>
          <w:rFonts w:ascii="Times New Roman" w:hAnsi="Times New Roman"/>
          <w:sz w:val="24"/>
          <w:szCs w:val="24"/>
        </w:rPr>
        <w:t xml:space="preserve">First, </w:t>
      </w:r>
      <w:r w:rsidR="00C36248" w:rsidRPr="00803D18">
        <w:rPr>
          <w:rFonts w:ascii="Times New Roman" w:hAnsi="Times New Roman"/>
          <w:sz w:val="24"/>
          <w:szCs w:val="24"/>
        </w:rPr>
        <w:t xml:space="preserve">Mr. Parcell </w:t>
      </w:r>
      <w:r w:rsidR="00BA1CFE" w:rsidRPr="00803D18">
        <w:rPr>
          <w:rFonts w:ascii="Times New Roman" w:hAnsi="Times New Roman"/>
          <w:sz w:val="24"/>
          <w:szCs w:val="24"/>
        </w:rPr>
        <w:t xml:space="preserve">places primary reliance on </w:t>
      </w:r>
      <w:r w:rsidR="000140AF" w:rsidRPr="00803D18">
        <w:rPr>
          <w:rFonts w:ascii="Times New Roman" w:hAnsi="Times New Roman"/>
          <w:sz w:val="24"/>
          <w:szCs w:val="24"/>
        </w:rPr>
        <w:t xml:space="preserve">the </w:t>
      </w:r>
      <w:r w:rsidR="009F4FFB" w:rsidRPr="00803D18">
        <w:rPr>
          <w:rFonts w:ascii="Times New Roman" w:hAnsi="Times New Roman"/>
          <w:sz w:val="24"/>
          <w:szCs w:val="24"/>
        </w:rPr>
        <w:lastRenderedPageBreak/>
        <w:t xml:space="preserve">DCF model, which reflects Commission </w:t>
      </w:r>
      <w:r w:rsidR="00BA1CFE" w:rsidRPr="00803D18">
        <w:rPr>
          <w:rFonts w:ascii="Times New Roman" w:hAnsi="Times New Roman"/>
          <w:sz w:val="24"/>
          <w:szCs w:val="24"/>
        </w:rPr>
        <w:t>historical preference</w:t>
      </w:r>
      <w:r w:rsidR="000140AF" w:rsidRPr="00803D18">
        <w:rPr>
          <w:rFonts w:ascii="Times New Roman" w:hAnsi="Times New Roman"/>
          <w:sz w:val="24"/>
          <w:szCs w:val="24"/>
        </w:rPr>
        <w:t>.</w:t>
      </w:r>
      <w:r w:rsidR="000140AF">
        <w:rPr>
          <w:rStyle w:val="FootnoteReference"/>
          <w:rFonts w:ascii="Times New Roman" w:hAnsi="Times New Roman"/>
          <w:sz w:val="24"/>
          <w:szCs w:val="24"/>
        </w:rPr>
        <w:footnoteReference w:id="38"/>
      </w:r>
      <w:r w:rsidR="000140AF" w:rsidRPr="00803D18">
        <w:rPr>
          <w:rFonts w:ascii="Times New Roman" w:hAnsi="Times New Roman"/>
          <w:sz w:val="24"/>
          <w:szCs w:val="24"/>
        </w:rPr>
        <w:t xml:space="preserve">  T</w:t>
      </w:r>
      <w:r w:rsidR="00BA1CFE" w:rsidRPr="00803D18">
        <w:rPr>
          <w:rFonts w:ascii="Times New Roman" w:hAnsi="Times New Roman"/>
          <w:sz w:val="24"/>
          <w:szCs w:val="24"/>
        </w:rPr>
        <w:t xml:space="preserve">he DCF model is </w:t>
      </w:r>
      <w:r w:rsidR="00492DF2" w:rsidRPr="00803D18">
        <w:rPr>
          <w:rFonts w:ascii="Times New Roman" w:hAnsi="Times New Roman"/>
          <w:sz w:val="24"/>
          <w:szCs w:val="24"/>
        </w:rPr>
        <w:t xml:space="preserve">also the </w:t>
      </w:r>
      <w:r w:rsidR="00013BF1" w:rsidRPr="00803D18">
        <w:rPr>
          <w:rFonts w:ascii="Times New Roman" w:hAnsi="Times New Roman"/>
          <w:sz w:val="24"/>
          <w:szCs w:val="24"/>
        </w:rPr>
        <w:t xml:space="preserve">preferred </w:t>
      </w:r>
      <w:r w:rsidR="00492DF2" w:rsidRPr="00803D18">
        <w:rPr>
          <w:rFonts w:ascii="Times New Roman" w:hAnsi="Times New Roman"/>
          <w:sz w:val="24"/>
          <w:szCs w:val="24"/>
        </w:rPr>
        <w:t xml:space="preserve">model </w:t>
      </w:r>
      <w:r w:rsidR="00013BF1" w:rsidRPr="00803D18">
        <w:rPr>
          <w:rFonts w:ascii="Times New Roman" w:hAnsi="Times New Roman"/>
          <w:sz w:val="24"/>
          <w:szCs w:val="24"/>
        </w:rPr>
        <w:t xml:space="preserve">of </w:t>
      </w:r>
      <w:r w:rsidR="00493842" w:rsidRPr="00803D18">
        <w:rPr>
          <w:rFonts w:ascii="Times New Roman" w:hAnsi="Times New Roman"/>
          <w:sz w:val="24"/>
          <w:szCs w:val="24"/>
        </w:rPr>
        <w:t xml:space="preserve">all </w:t>
      </w:r>
      <w:r w:rsidR="00013BF1" w:rsidRPr="00803D18">
        <w:rPr>
          <w:rFonts w:ascii="Times New Roman" w:hAnsi="Times New Roman"/>
          <w:sz w:val="24"/>
          <w:szCs w:val="24"/>
        </w:rPr>
        <w:t>other witnesses</w:t>
      </w:r>
      <w:r w:rsidR="00493842" w:rsidRPr="00803D18">
        <w:rPr>
          <w:rFonts w:ascii="Times New Roman" w:hAnsi="Times New Roman"/>
          <w:sz w:val="24"/>
          <w:szCs w:val="24"/>
        </w:rPr>
        <w:t>.</w:t>
      </w:r>
      <w:r w:rsidR="000140AF">
        <w:rPr>
          <w:rStyle w:val="FootnoteReference"/>
          <w:rFonts w:ascii="Times New Roman" w:hAnsi="Times New Roman"/>
          <w:sz w:val="24"/>
          <w:szCs w:val="24"/>
        </w:rPr>
        <w:footnoteReference w:id="39"/>
      </w:r>
      <w:r w:rsidR="00BA1CFE" w:rsidRPr="00803D18">
        <w:rPr>
          <w:rFonts w:ascii="Times New Roman" w:hAnsi="Times New Roman"/>
          <w:sz w:val="24"/>
          <w:szCs w:val="24"/>
        </w:rPr>
        <w:t xml:space="preserve">   </w:t>
      </w:r>
    </w:p>
    <w:p w:rsidR="00493842" w:rsidRPr="00DA20F8" w:rsidRDefault="00DA20F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493842" w:rsidRPr="00DA20F8">
        <w:rPr>
          <w:rFonts w:ascii="Times New Roman" w:hAnsi="Times New Roman"/>
          <w:sz w:val="24"/>
          <w:szCs w:val="24"/>
        </w:rPr>
        <w:t>Mr</w:t>
      </w:r>
      <w:r w:rsidR="008D310C" w:rsidRPr="00DA20F8">
        <w:rPr>
          <w:rFonts w:ascii="Times New Roman" w:hAnsi="Times New Roman"/>
          <w:sz w:val="24"/>
          <w:szCs w:val="24"/>
        </w:rPr>
        <w:t>. Parcell’s DCF analyses employed</w:t>
      </w:r>
      <w:r w:rsidR="00493842" w:rsidRPr="00DA20F8">
        <w:rPr>
          <w:rFonts w:ascii="Times New Roman" w:hAnsi="Times New Roman"/>
          <w:sz w:val="24"/>
          <w:szCs w:val="24"/>
        </w:rPr>
        <w:t xml:space="preserve"> the constant growth DCF model, which</w:t>
      </w:r>
      <w:r w:rsidR="009F0115" w:rsidRPr="00DA20F8">
        <w:rPr>
          <w:rFonts w:ascii="Times New Roman" w:hAnsi="Times New Roman"/>
          <w:sz w:val="24"/>
          <w:szCs w:val="24"/>
        </w:rPr>
        <w:t xml:space="preserve"> combines</w:t>
      </w:r>
      <w:r w:rsidR="00493842" w:rsidRPr="00DA20F8">
        <w:rPr>
          <w:rFonts w:ascii="Times New Roman" w:hAnsi="Times New Roman"/>
          <w:sz w:val="24"/>
          <w:szCs w:val="24"/>
        </w:rPr>
        <w:t xml:space="preserve"> the current dividend yield for each group of proxy utility stocks with several indicators of expected dividend growth.</w:t>
      </w:r>
      <w:r w:rsidR="00493842">
        <w:rPr>
          <w:rStyle w:val="FootnoteReference"/>
          <w:rFonts w:ascii="Times New Roman" w:hAnsi="Times New Roman"/>
          <w:sz w:val="24"/>
          <w:szCs w:val="24"/>
        </w:rPr>
        <w:footnoteReference w:id="40"/>
      </w:r>
      <w:r w:rsidR="00493842" w:rsidRPr="00DA20F8">
        <w:rPr>
          <w:rFonts w:ascii="Times New Roman" w:hAnsi="Times New Roman"/>
          <w:sz w:val="24"/>
          <w:szCs w:val="24"/>
        </w:rPr>
        <w:t xml:space="preserve">  </w:t>
      </w:r>
      <w:r w:rsidR="009F0115" w:rsidRPr="00DA20F8">
        <w:rPr>
          <w:rFonts w:ascii="Times New Roman" w:hAnsi="Times New Roman"/>
          <w:sz w:val="24"/>
          <w:szCs w:val="24"/>
        </w:rPr>
        <w:t>His dividend yield component used this</w:t>
      </w:r>
      <w:r w:rsidR="00493842" w:rsidRPr="00DA20F8">
        <w:rPr>
          <w:rFonts w:ascii="Times New Roman" w:hAnsi="Times New Roman"/>
          <w:sz w:val="24"/>
          <w:szCs w:val="24"/>
        </w:rPr>
        <w:t xml:space="preserve"> formula:</w:t>
      </w:r>
    </w:p>
    <w:p w:rsidR="00493842" w:rsidRPr="00493842" w:rsidRDefault="00493842" w:rsidP="00493842">
      <w:pPr>
        <w:spacing w:line="480" w:lineRule="auto"/>
        <w:rPr>
          <w:rFonts w:ascii="Times New Roman" w:hAnsi="Times New Roman"/>
          <w:sz w:val="24"/>
          <w:szCs w:val="24"/>
        </w:rPr>
      </w:pPr>
      <m:oMathPara>
        <m:oMath>
          <m:r>
            <w:rPr>
              <w:rFonts w:ascii="Cambria Math" w:hAnsi="Cambria Math"/>
              <w:sz w:val="24"/>
              <w:szCs w:val="24"/>
            </w:rPr>
            <m:t>Yield</m:t>
          </m:r>
          <m:r>
            <w:rPr>
              <w:rFonts w:ascii="Cambria Math" w:hAnsi="Times New Roman"/>
              <w:sz w:val="24"/>
              <w:szCs w:val="24"/>
            </w:rPr>
            <m:t>=</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D</m:t>
                  </m:r>
                </m:e>
                <m:sub>
                  <m:r>
                    <w:rPr>
                      <w:rFonts w:ascii="Cambria Math" w:hAnsi="Cambria Math"/>
                      <w:sz w:val="24"/>
                      <w:szCs w:val="24"/>
                    </w:rPr>
                    <m:t>o</m:t>
                  </m:r>
                </m:sub>
              </m:sSub>
              <m:r>
                <w:rPr>
                  <w:rFonts w:ascii="Cambria Math" w:hAnsi="Times New Roman"/>
                  <w:sz w:val="24"/>
                  <w:szCs w:val="24"/>
                </w:rPr>
                <m:t>(1+0.5</m:t>
              </m:r>
              <m:r>
                <w:rPr>
                  <w:rFonts w:ascii="Cambria Math" w:hAnsi="Cambria Math"/>
                  <w:sz w:val="24"/>
                  <w:szCs w:val="24"/>
                </w:rPr>
                <m:t>g</m:t>
              </m:r>
              <m:r>
                <w:rPr>
                  <w:rFonts w:ascii="Cambria Math" w:hAnsi="Times New Roman"/>
                  <w:sz w:val="24"/>
                  <w:szCs w:val="24"/>
                </w:rPr>
                <m:t>)</m:t>
              </m:r>
            </m:num>
            <m:den>
              <m:sSub>
                <m:sSubPr>
                  <m:ctrlPr>
                    <w:rPr>
                      <w:rFonts w:ascii="Cambria Math" w:hAnsi="Times New Roman"/>
                      <w:i/>
                      <w:sz w:val="24"/>
                      <w:szCs w:val="24"/>
                    </w:rPr>
                  </m:ctrlPr>
                </m:sSubPr>
                <m:e>
                  <m:r>
                    <w:rPr>
                      <w:rFonts w:ascii="Cambria Math" w:hAnsi="Cambria Math"/>
                      <w:sz w:val="24"/>
                      <w:szCs w:val="24"/>
                    </w:rPr>
                    <m:t>P</m:t>
                  </m:r>
                </m:e>
                <m:sub>
                  <m:r>
                    <w:rPr>
                      <w:rFonts w:ascii="Cambria Math" w:hAnsi="Cambria Math"/>
                      <w:sz w:val="24"/>
                      <w:szCs w:val="24"/>
                    </w:rPr>
                    <m:t>o</m:t>
                  </m:r>
                </m:sub>
              </m:sSub>
            </m:den>
          </m:f>
        </m:oMath>
      </m:oMathPara>
    </w:p>
    <w:p w:rsidR="00493842" w:rsidRPr="00493842" w:rsidRDefault="00493842" w:rsidP="00493842">
      <w:pPr>
        <w:spacing w:line="480" w:lineRule="auto"/>
        <w:rPr>
          <w:rFonts w:ascii="Times New Roman" w:hAnsi="Times New Roman"/>
          <w:sz w:val="24"/>
          <w:szCs w:val="24"/>
        </w:rPr>
      </w:pPr>
      <w:r>
        <w:rPr>
          <w:rFonts w:ascii="Times New Roman" w:hAnsi="Times New Roman"/>
          <w:sz w:val="24"/>
          <w:szCs w:val="24"/>
        </w:rPr>
        <w:t xml:space="preserve">This </w:t>
      </w:r>
      <w:r w:rsidRPr="00493842">
        <w:rPr>
          <w:rFonts w:ascii="Times New Roman" w:hAnsi="Times New Roman"/>
          <w:sz w:val="24"/>
          <w:szCs w:val="24"/>
        </w:rPr>
        <w:t>recognizes the timing of dividend payments and dividend increases.  The P</w:t>
      </w:r>
      <w:r w:rsidRPr="00493842">
        <w:rPr>
          <w:rFonts w:ascii="Times New Roman" w:hAnsi="Times New Roman"/>
          <w:sz w:val="24"/>
          <w:szCs w:val="24"/>
          <w:vertAlign w:val="subscript"/>
        </w:rPr>
        <w:t>o</w:t>
      </w:r>
      <w:r w:rsidRPr="00493842">
        <w:rPr>
          <w:rFonts w:ascii="Times New Roman" w:hAnsi="Times New Roman"/>
          <w:sz w:val="24"/>
          <w:szCs w:val="24"/>
        </w:rPr>
        <w:t xml:space="preserve"> in his yield calculation is the average (of high and low) stock price for each pr</w:t>
      </w:r>
      <w:r w:rsidR="009F0115">
        <w:rPr>
          <w:rFonts w:ascii="Times New Roman" w:hAnsi="Times New Roman"/>
          <w:sz w:val="24"/>
          <w:szCs w:val="24"/>
        </w:rPr>
        <w:t xml:space="preserve">oxy company in </w:t>
      </w:r>
      <w:r w:rsidR="00213EBE">
        <w:rPr>
          <w:rFonts w:ascii="Times New Roman" w:hAnsi="Times New Roman"/>
          <w:sz w:val="24"/>
          <w:szCs w:val="24"/>
        </w:rPr>
        <w:t>August-October 2009</w:t>
      </w:r>
      <w:r w:rsidRPr="00493842">
        <w:rPr>
          <w:rFonts w:ascii="Times New Roman" w:hAnsi="Times New Roman"/>
          <w:sz w:val="24"/>
          <w:szCs w:val="24"/>
        </w:rPr>
        <w:t>.  The D</w:t>
      </w:r>
      <w:r w:rsidRPr="00493842">
        <w:rPr>
          <w:rFonts w:ascii="Times New Roman" w:hAnsi="Times New Roman"/>
          <w:sz w:val="24"/>
          <w:szCs w:val="24"/>
          <w:vertAlign w:val="subscript"/>
        </w:rPr>
        <w:t>o</w:t>
      </w:r>
      <w:r w:rsidRPr="00493842">
        <w:rPr>
          <w:rFonts w:ascii="Times New Roman" w:hAnsi="Times New Roman"/>
          <w:sz w:val="24"/>
          <w:szCs w:val="24"/>
        </w:rPr>
        <w:t xml:space="preserve"> is the current annualized dividend rate for each proxy company.</w:t>
      </w:r>
      <w:r w:rsidR="008D310C">
        <w:rPr>
          <w:rStyle w:val="FootnoteReference"/>
          <w:rFonts w:ascii="Times New Roman" w:hAnsi="Times New Roman"/>
          <w:sz w:val="24"/>
          <w:szCs w:val="24"/>
        </w:rPr>
        <w:footnoteReference w:id="41"/>
      </w:r>
    </w:p>
    <w:p w:rsidR="00493842" w:rsidRPr="00493842" w:rsidRDefault="00493842" w:rsidP="00493842">
      <w:pPr>
        <w:spacing w:line="480" w:lineRule="auto"/>
        <w:rPr>
          <w:rFonts w:ascii="Times New Roman" w:hAnsi="Times New Roman"/>
          <w:sz w:val="24"/>
          <w:szCs w:val="24"/>
        </w:rPr>
      </w:pPr>
      <w:r>
        <w:rPr>
          <w:rFonts w:ascii="Times New Roman" w:hAnsi="Times New Roman"/>
          <w:sz w:val="24"/>
          <w:szCs w:val="24"/>
        </w:rPr>
        <w:tab/>
      </w:r>
      <w:r w:rsidRPr="00493842">
        <w:rPr>
          <w:rFonts w:ascii="Times New Roman" w:hAnsi="Times New Roman"/>
          <w:sz w:val="24"/>
          <w:szCs w:val="24"/>
        </w:rPr>
        <w:t xml:space="preserve">Mr. Parcell </w:t>
      </w:r>
      <w:r w:rsidR="00013BF1">
        <w:rPr>
          <w:rFonts w:ascii="Times New Roman" w:hAnsi="Times New Roman"/>
          <w:sz w:val="24"/>
          <w:szCs w:val="24"/>
        </w:rPr>
        <w:t xml:space="preserve">then </w:t>
      </w:r>
      <w:r w:rsidRPr="00493842">
        <w:rPr>
          <w:rFonts w:ascii="Times New Roman" w:hAnsi="Times New Roman"/>
          <w:sz w:val="24"/>
          <w:szCs w:val="24"/>
        </w:rPr>
        <w:t>considered five indicators of growth</w:t>
      </w:r>
      <w:r>
        <w:rPr>
          <w:rFonts w:ascii="Times New Roman" w:hAnsi="Times New Roman"/>
          <w:sz w:val="24"/>
          <w:szCs w:val="24"/>
        </w:rPr>
        <w:t xml:space="preserve"> in his DCF analyses</w:t>
      </w:r>
      <w:r w:rsidRPr="00493842">
        <w:rPr>
          <w:rFonts w:ascii="Times New Roman" w:hAnsi="Times New Roman"/>
          <w:sz w:val="24"/>
          <w:szCs w:val="24"/>
        </w:rPr>
        <w:t>:</w:t>
      </w:r>
    </w:p>
    <w:p w:rsidR="00493842" w:rsidRPr="00493842" w:rsidRDefault="00493842" w:rsidP="00C61B17">
      <w:pPr>
        <w:pStyle w:val="ListParagraph"/>
        <w:numPr>
          <w:ilvl w:val="0"/>
          <w:numId w:val="4"/>
        </w:numPr>
        <w:rPr>
          <w:rFonts w:ascii="Times New Roman" w:hAnsi="Times New Roman"/>
          <w:sz w:val="24"/>
          <w:szCs w:val="24"/>
        </w:rPr>
      </w:pPr>
      <w:r w:rsidRPr="00493842">
        <w:rPr>
          <w:rFonts w:ascii="Times New Roman" w:hAnsi="Times New Roman"/>
          <w:sz w:val="24"/>
          <w:szCs w:val="24"/>
        </w:rPr>
        <w:t>2004-2008 (5-year average) earnings retention, or fundamental growth (per Value Line)</w:t>
      </w:r>
    </w:p>
    <w:p w:rsidR="00493842" w:rsidRPr="00493842" w:rsidRDefault="00493842" w:rsidP="00493842">
      <w:pPr>
        <w:pStyle w:val="ListParagraph"/>
        <w:ind w:left="1080"/>
        <w:rPr>
          <w:rFonts w:ascii="Times New Roman" w:hAnsi="Times New Roman"/>
          <w:sz w:val="24"/>
          <w:szCs w:val="24"/>
        </w:rPr>
      </w:pPr>
    </w:p>
    <w:p w:rsidR="00493842" w:rsidRPr="00493842" w:rsidRDefault="00493842" w:rsidP="00C61B17">
      <w:pPr>
        <w:pStyle w:val="ListParagraph"/>
        <w:numPr>
          <w:ilvl w:val="0"/>
          <w:numId w:val="4"/>
        </w:numPr>
        <w:rPr>
          <w:rFonts w:ascii="Times New Roman" w:hAnsi="Times New Roman"/>
          <w:sz w:val="24"/>
          <w:szCs w:val="24"/>
        </w:rPr>
      </w:pPr>
      <w:r w:rsidRPr="00493842">
        <w:rPr>
          <w:rFonts w:ascii="Times New Roman" w:hAnsi="Times New Roman"/>
          <w:sz w:val="24"/>
          <w:szCs w:val="24"/>
        </w:rPr>
        <w:t>5-year average of historic growth in earnings per share (“EPS”), dividends per share (“DPS”), and book value per share (“BVPS”) (per Value Line);</w:t>
      </w:r>
    </w:p>
    <w:p w:rsidR="00493842" w:rsidRPr="00493842" w:rsidRDefault="00493842" w:rsidP="00493842">
      <w:pPr>
        <w:rPr>
          <w:rFonts w:ascii="Times New Roman" w:hAnsi="Times New Roman"/>
          <w:sz w:val="24"/>
          <w:szCs w:val="24"/>
        </w:rPr>
      </w:pPr>
    </w:p>
    <w:p w:rsidR="00493842" w:rsidRDefault="00493842" w:rsidP="00C61B17">
      <w:pPr>
        <w:pStyle w:val="ListParagraph"/>
        <w:numPr>
          <w:ilvl w:val="0"/>
          <w:numId w:val="4"/>
        </w:numPr>
        <w:rPr>
          <w:rFonts w:ascii="Times New Roman" w:hAnsi="Times New Roman"/>
          <w:sz w:val="24"/>
          <w:szCs w:val="24"/>
        </w:rPr>
      </w:pPr>
      <w:r w:rsidRPr="00493842">
        <w:rPr>
          <w:rFonts w:ascii="Times New Roman" w:hAnsi="Times New Roman"/>
          <w:sz w:val="24"/>
          <w:szCs w:val="24"/>
        </w:rPr>
        <w:t>2009, 2010, and 2012-2014 projections of earnings retention growth (per Value Line);</w:t>
      </w:r>
    </w:p>
    <w:p w:rsidR="00C36248" w:rsidRPr="00C36248" w:rsidRDefault="00C36248" w:rsidP="00C36248">
      <w:pPr>
        <w:rPr>
          <w:rFonts w:ascii="Times New Roman" w:hAnsi="Times New Roman"/>
          <w:sz w:val="24"/>
          <w:szCs w:val="24"/>
        </w:rPr>
      </w:pPr>
    </w:p>
    <w:p w:rsidR="00493842" w:rsidRPr="00493842" w:rsidRDefault="00493842" w:rsidP="00C61B17">
      <w:pPr>
        <w:pStyle w:val="ListParagraph"/>
        <w:numPr>
          <w:ilvl w:val="0"/>
          <w:numId w:val="4"/>
        </w:numPr>
        <w:rPr>
          <w:rFonts w:ascii="Times New Roman" w:hAnsi="Times New Roman"/>
          <w:sz w:val="24"/>
          <w:szCs w:val="24"/>
        </w:rPr>
      </w:pPr>
      <w:r w:rsidRPr="00493842">
        <w:rPr>
          <w:rFonts w:ascii="Times New Roman" w:hAnsi="Times New Roman"/>
          <w:sz w:val="24"/>
          <w:szCs w:val="24"/>
        </w:rPr>
        <w:t>2006-2008 to 2012-2014 projections of EPS, DPS, and BVPS (per Value Line); and,</w:t>
      </w:r>
    </w:p>
    <w:p w:rsidR="00493842" w:rsidRPr="00493842" w:rsidRDefault="00493842" w:rsidP="00493842">
      <w:pPr>
        <w:pStyle w:val="ListParagraph"/>
        <w:ind w:left="1080"/>
        <w:rPr>
          <w:rFonts w:ascii="Times New Roman" w:hAnsi="Times New Roman"/>
          <w:sz w:val="24"/>
          <w:szCs w:val="24"/>
        </w:rPr>
      </w:pPr>
    </w:p>
    <w:p w:rsidR="00493842" w:rsidRPr="00493842" w:rsidRDefault="00493842" w:rsidP="00C61B17">
      <w:pPr>
        <w:pStyle w:val="ListParagraph"/>
        <w:numPr>
          <w:ilvl w:val="0"/>
          <w:numId w:val="4"/>
        </w:numPr>
        <w:rPr>
          <w:rFonts w:ascii="Times New Roman" w:hAnsi="Times New Roman"/>
          <w:sz w:val="24"/>
          <w:szCs w:val="24"/>
        </w:rPr>
      </w:pPr>
      <w:r w:rsidRPr="00493842">
        <w:rPr>
          <w:rFonts w:ascii="Times New Roman" w:hAnsi="Times New Roman"/>
          <w:sz w:val="24"/>
          <w:szCs w:val="24"/>
        </w:rPr>
        <w:t>5-year projections of EPS growth as reported in First Call (Per Yahoo! Finance).</w:t>
      </w:r>
    </w:p>
    <w:p w:rsidR="00493842" w:rsidRPr="00493842" w:rsidRDefault="00493842" w:rsidP="00493842">
      <w:pPr>
        <w:pStyle w:val="ListParagraph"/>
        <w:ind w:left="1080"/>
        <w:rPr>
          <w:rFonts w:ascii="Times New Roman" w:hAnsi="Times New Roman"/>
          <w:sz w:val="24"/>
          <w:szCs w:val="24"/>
        </w:rPr>
      </w:pPr>
    </w:p>
    <w:p w:rsidR="00493842" w:rsidRPr="00493842" w:rsidRDefault="008D310C" w:rsidP="00493842">
      <w:pPr>
        <w:spacing w:line="480" w:lineRule="auto"/>
        <w:rPr>
          <w:rFonts w:ascii="Times New Roman" w:hAnsi="Times New Roman"/>
          <w:sz w:val="24"/>
          <w:szCs w:val="24"/>
        </w:rPr>
      </w:pPr>
      <w:r>
        <w:rPr>
          <w:rFonts w:ascii="Times New Roman" w:hAnsi="Times New Roman"/>
          <w:sz w:val="24"/>
          <w:szCs w:val="24"/>
        </w:rPr>
        <w:t>T</w:t>
      </w:r>
      <w:r w:rsidR="00493842" w:rsidRPr="00493842">
        <w:rPr>
          <w:rFonts w:ascii="Times New Roman" w:hAnsi="Times New Roman"/>
          <w:sz w:val="24"/>
          <w:szCs w:val="24"/>
        </w:rPr>
        <w:t>his combination of growth indicators is a</w:t>
      </w:r>
      <w:r w:rsidR="00C36248">
        <w:rPr>
          <w:rFonts w:ascii="Times New Roman" w:hAnsi="Times New Roman"/>
          <w:sz w:val="24"/>
          <w:szCs w:val="24"/>
        </w:rPr>
        <w:t xml:space="preserve"> representative set </w:t>
      </w:r>
      <w:r>
        <w:rPr>
          <w:rFonts w:ascii="Times New Roman" w:hAnsi="Times New Roman"/>
          <w:sz w:val="24"/>
          <w:szCs w:val="24"/>
        </w:rPr>
        <w:t>to estimate</w:t>
      </w:r>
      <w:r w:rsidR="00493842" w:rsidRPr="00493842">
        <w:rPr>
          <w:rFonts w:ascii="Times New Roman" w:hAnsi="Times New Roman"/>
          <w:sz w:val="24"/>
          <w:szCs w:val="24"/>
        </w:rPr>
        <w:t xml:space="preserve"> investor expectati</w:t>
      </w:r>
      <w:r w:rsidR="009F4FFB">
        <w:rPr>
          <w:rFonts w:ascii="Times New Roman" w:hAnsi="Times New Roman"/>
          <w:sz w:val="24"/>
          <w:szCs w:val="24"/>
        </w:rPr>
        <w:t xml:space="preserve">ons </w:t>
      </w:r>
      <w:r>
        <w:rPr>
          <w:rFonts w:ascii="Times New Roman" w:hAnsi="Times New Roman"/>
          <w:sz w:val="24"/>
          <w:szCs w:val="24"/>
        </w:rPr>
        <w:t>for the proxy companies.  T</w:t>
      </w:r>
      <w:r w:rsidR="00C36248">
        <w:rPr>
          <w:rFonts w:ascii="Times New Roman" w:hAnsi="Times New Roman"/>
          <w:sz w:val="24"/>
          <w:szCs w:val="24"/>
        </w:rPr>
        <w:t xml:space="preserve">hey </w:t>
      </w:r>
      <w:r>
        <w:rPr>
          <w:rFonts w:ascii="Times New Roman" w:hAnsi="Times New Roman"/>
          <w:sz w:val="24"/>
          <w:szCs w:val="24"/>
        </w:rPr>
        <w:t xml:space="preserve">also </w:t>
      </w:r>
      <w:r w:rsidR="00493842" w:rsidRPr="00493842">
        <w:rPr>
          <w:rFonts w:ascii="Times New Roman" w:hAnsi="Times New Roman"/>
          <w:sz w:val="24"/>
          <w:szCs w:val="24"/>
        </w:rPr>
        <w:t>reflect the types of information that investors consider in making their investment decisions.</w:t>
      </w:r>
      <w:r>
        <w:rPr>
          <w:rStyle w:val="FootnoteReference"/>
          <w:rFonts w:ascii="Times New Roman" w:hAnsi="Times New Roman"/>
          <w:sz w:val="24"/>
          <w:szCs w:val="24"/>
        </w:rPr>
        <w:footnoteReference w:id="42"/>
      </w:r>
    </w:p>
    <w:p w:rsidR="00493842" w:rsidRPr="00DA20F8" w:rsidRDefault="00DA20F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lastRenderedPageBreak/>
        <w:tab/>
      </w:r>
      <w:r w:rsidR="00493842" w:rsidRPr="00DA20F8">
        <w:rPr>
          <w:rFonts w:ascii="Times New Roman" w:hAnsi="Times New Roman"/>
          <w:sz w:val="24"/>
          <w:szCs w:val="24"/>
        </w:rPr>
        <w:t>Mr. Parcell’s DCF results indicate</w:t>
      </w:r>
      <w:r w:rsidR="008D310C" w:rsidRPr="00DA20F8">
        <w:rPr>
          <w:rFonts w:ascii="Times New Roman" w:hAnsi="Times New Roman"/>
          <w:sz w:val="24"/>
          <w:szCs w:val="24"/>
        </w:rPr>
        <w:t xml:space="preserve">d average (mean and median) </w:t>
      </w:r>
      <w:r w:rsidR="00493842" w:rsidRPr="00DA20F8">
        <w:rPr>
          <w:rFonts w:ascii="Times New Roman" w:hAnsi="Times New Roman"/>
          <w:sz w:val="24"/>
          <w:szCs w:val="24"/>
        </w:rPr>
        <w:t>cost rates of 9.6 perce</w:t>
      </w:r>
      <w:r w:rsidR="00213EBE" w:rsidRPr="00DA20F8">
        <w:rPr>
          <w:rFonts w:ascii="Times New Roman" w:hAnsi="Times New Roman"/>
          <w:sz w:val="24"/>
          <w:szCs w:val="24"/>
        </w:rPr>
        <w:t>nt to 11.3 percent</w:t>
      </w:r>
      <w:r w:rsidR="00493842" w:rsidRPr="00DA20F8">
        <w:rPr>
          <w:rFonts w:ascii="Times New Roman" w:hAnsi="Times New Roman"/>
          <w:sz w:val="24"/>
          <w:szCs w:val="24"/>
        </w:rPr>
        <w:t>.</w:t>
      </w:r>
      <w:r w:rsidR="008D310C">
        <w:rPr>
          <w:rStyle w:val="FootnoteReference"/>
          <w:rFonts w:ascii="Times New Roman" w:hAnsi="Times New Roman"/>
          <w:sz w:val="24"/>
          <w:szCs w:val="24"/>
        </w:rPr>
        <w:footnoteReference w:id="43"/>
      </w:r>
      <w:r w:rsidR="00213EBE" w:rsidRPr="00DA20F8">
        <w:rPr>
          <w:rFonts w:ascii="Times New Roman" w:hAnsi="Times New Roman"/>
          <w:sz w:val="24"/>
          <w:szCs w:val="24"/>
        </w:rPr>
        <w:t xml:space="preserve">  </w:t>
      </w:r>
      <w:r w:rsidR="008D310C" w:rsidRPr="00DA20F8">
        <w:rPr>
          <w:rFonts w:ascii="Times New Roman" w:hAnsi="Times New Roman"/>
          <w:sz w:val="24"/>
          <w:szCs w:val="24"/>
        </w:rPr>
        <w:t>Mr. Parcell concluded</w:t>
      </w:r>
      <w:r w:rsidR="00493842" w:rsidRPr="00DA20F8">
        <w:rPr>
          <w:rFonts w:ascii="Times New Roman" w:hAnsi="Times New Roman"/>
          <w:sz w:val="24"/>
          <w:szCs w:val="24"/>
        </w:rPr>
        <w:t xml:space="preserve"> that the lower portion of </w:t>
      </w:r>
      <w:r w:rsidR="00213EBE" w:rsidRPr="00DA20F8">
        <w:rPr>
          <w:rFonts w:ascii="Times New Roman" w:hAnsi="Times New Roman"/>
          <w:sz w:val="24"/>
          <w:szCs w:val="24"/>
        </w:rPr>
        <w:t xml:space="preserve">this range </w:t>
      </w:r>
      <w:r w:rsidR="00493842" w:rsidRPr="00DA20F8">
        <w:rPr>
          <w:rFonts w:ascii="Times New Roman" w:hAnsi="Times New Roman"/>
          <w:sz w:val="24"/>
          <w:szCs w:val="24"/>
        </w:rPr>
        <w:t xml:space="preserve">reflects </w:t>
      </w:r>
      <w:r w:rsidR="007F4BD8" w:rsidRPr="00DA20F8">
        <w:rPr>
          <w:rFonts w:ascii="Times New Roman" w:hAnsi="Times New Roman"/>
          <w:sz w:val="24"/>
          <w:szCs w:val="24"/>
        </w:rPr>
        <w:t xml:space="preserve">the proper equity </w:t>
      </w:r>
      <w:r w:rsidR="00493842" w:rsidRPr="00DA20F8">
        <w:rPr>
          <w:rFonts w:ascii="Times New Roman" w:hAnsi="Times New Roman"/>
          <w:sz w:val="24"/>
          <w:szCs w:val="24"/>
        </w:rPr>
        <w:t>cost for PSE.</w:t>
      </w:r>
      <w:r w:rsidR="00213EBE">
        <w:rPr>
          <w:rStyle w:val="FootnoteReference"/>
          <w:rFonts w:ascii="Times New Roman" w:hAnsi="Times New Roman"/>
          <w:sz w:val="24"/>
          <w:szCs w:val="24"/>
        </w:rPr>
        <w:footnoteReference w:id="44"/>
      </w:r>
      <w:r w:rsidR="00493842" w:rsidRPr="00DA20F8">
        <w:rPr>
          <w:rFonts w:ascii="Times New Roman" w:hAnsi="Times New Roman"/>
          <w:sz w:val="24"/>
          <w:szCs w:val="24"/>
        </w:rPr>
        <w:t xml:space="preserve">  He specifically recommends </w:t>
      </w:r>
      <w:r w:rsidR="00A448C6" w:rsidRPr="00DA20F8">
        <w:rPr>
          <w:rFonts w:ascii="Times New Roman" w:hAnsi="Times New Roman"/>
          <w:sz w:val="24"/>
          <w:szCs w:val="24"/>
        </w:rPr>
        <w:t xml:space="preserve">a </w:t>
      </w:r>
      <w:r w:rsidR="00493842" w:rsidRPr="00DA20F8">
        <w:rPr>
          <w:rFonts w:ascii="Times New Roman" w:hAnsi="Times New Roman"/>
          <w:sz w:val="24"/>
          <w:szCs w:val="24"/>
        </w:rPr>
        <w:t>10.0 percent</w:t>
      </w:r>
      <w:r w:rsidR="00A448C6" w:rsidRPr="00DA20F8">
        <w:rPr>
          <w:rFonts w:ascii="Times New Roman" w:hAnsi="Times New Roman"/>
          <w:sz w:val="24"/>
          <w:szCs w:val="24"/>
        </w:rPr>
        <w:t xml:space="preserve"> return on equity for the Company.</w:t>
      </w:r>
    </w:p>
    <w:p w:rsidR="00BA1CFE" w:rsidRPr="00DA20F8" w:rsidRDefault="00DA20F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BE4499" w:rsidRPr="00DA20F8">
        <w:rPr>
          <w:rFonts w:ascii="Times New Roman" w:hAnsi="Times New Roman"/>
          <w:sz w:val="24"/>
          <w:szCs w:val="24"/>
        </w:rPr>
        <w:t xml:space="preserve">It is clear that </w:t>
      </w:r>
      <w:r w:rsidR="00BA1CFE" w:rsidRPr="00DA20F8">
        <w:rPr>
          <w:rFonts w:ascii="Times New Roman" w:hAnsi="Times New Roman"/>
          <w:sz w:val="24"/>
          <w:szCs w:val="24"/>
        </w:rPr>
        <w:t>Mr. Parcell’s DCF conclusions are more appropriate than Dr. Morin’s</w:t>
      </w:r>
      <w:r w:rsidR="00FD795B" w:rsidRPr="00DA20F8">
        <w:rPr>
          <w:rFonts w:ascii="Times New Roman" w:hAnsi="Times New Roman"/>
          <w:sz w:val="24"/>
          <w:szCs w:val="24"/>
        </w:rPr>
        <w:t xml:space="preserve"> DCF results of 10.8 to 11.3 percent.  This is largely </w:t>
      </w:r>
      <w:r w:rsidR="00013BF1" w:rsidRPr="00DA20F8">
        <w:rPr>
          <w:rFonts w:ascii="Times New Roman" w:hAnsi="Times New Roman"/>
          <w:sz w:val="24"/>
          <w:szCs w:val="24"/>
        </w:rPr>
        <w:t xml:space="preserve">because Mr. Parcell considers </w:t>
      </w:r>
      <w:r w:rsidR="009F4FFB" w:rsidRPr="00DA20F8">
        <w:rPr>
          <w:rFonts w:ascii="Times New Roman" w:hAnsi="Times New Roman"/>
          <w:sz w:val="24"/>
          <w:szCs w:val="24"/>
        </w:rPr>
        <w:t>multiple measures of growth</w:t>
      </w:r>
      <w:r w:rsidR="00BA1CFE" w:rsidRPr="00DA20F8">
        <w:rPr>
          <w:rFonts w:ascii="Times New Roman" w:hAnsi="Times New Roman"/>
          <w:sz w:val="24"/>
          <w:szCs w:val="24"/>
        </w:rPr>
        <w:t xml:space="preserve"> whereas </w:t>
      </w:r>
      <w:r w:rsidR="00FD795B" w:rsidRPr="00DA20F8">
        <w:rPr>
          <w:rFonts w:ascii="Times New Roman" w:hAnsi="Times New Roman"/>
          <w:sz w:val="24"/>
          <w:szCs w:val="24"/>
        </w:rPr>
        <w:t xml:space="preserve">Dr. </w:t>
      </w:r>
      <w:r w:rsidR="009F0115" w:rsidRPr="00DA20F8">
        <w:rPr>
          <w:rFonts w:ascii="Times New Roman" w:hAnsi="Times New Roman"/>
          <w:sz w:val="24"/>
          <w:szCs w:val="24"/>
        </w:rPr>
        <w:t xml:space="preserve">Morin uses only one:  </w:t>
      </w:r>
      <w:r w:rsidR="00BA1CFE" w:rsidRPr="00DA20F8">
        <w:rPr>
          <w:rFonts w:ascii="Times New Roman" w:hAnsi="Times New Roman"/>
          <w:sz w:val="24"/>
          <w:szCs w:val="24"/>
        </w:rPr>
        <w:t>analysts’ es</w:t>
      </w:r>
      <w:r w:rsidR="00FD795B" w:rsidRPr="00DA20F8">
        <w:rPr>
          <w:rFonts w:ascii="Times New Roman" w:hAnsi="Times New Roman"/>
          <w:sz w:val="24"/>
          <w:szCs w:val="24"/>
        </w:rPr>
        <w:t>timates of EPS</w:t>
      </w:r>
      <w:r w:rsidR="00BA1CFE" w:rsidRPr="00DA20F8">
        <w:rPr>
          <w:rFonts w:ascii="Times New Roman" w:hAnsi="Times New Roman"/>
          <w:sz w:val="24"/>
          <w:szCs w:val="24"/>
        </w:rPr>
        <w:t xml:space="preserve">.  </w:t>
      </w:r>
      <w:r w:rsidR="00FD795B" w:rsidRPr="00DA20F8">
        <w:rPr>
          <w:rFonts w:ascii="Times New Roman" w:hAnsi="Times New Roman"/>
          <w:sz w:val="24"/>
          <w:szCs w:val="24"/>
        </w:rPr>
        <w:t xml:space="preserve">As Mr. Parcell indicated, </w:t>
      </w:r>
      <w:r w:rsidR="00BA1CFE" w:rsidRPr="00DA20F8">
        <w:rPr>
          <w:rFonts w:ascii="Times New Roman" w:hAnsi="Times New Roman"/>
          <w:sz w:val="24"/>
          <w:szCs w:val="24"/>
        </w:rPr>
        <w:t>it is not proper to rely excl</w:t>
      </w:r>
      <w:r w:rsidR="00693CD8" w:rsidRPr="00DA20F8">
        <w:rPr>
          <w:rFonts w:ascii="Times New Roman" w:hAnsi="Times New Roman"/>
          <w:sz w:val="24"/>
          <w:szCs w:val="24"/>
        </w:rPr>
        <w:t>usively on EPS growth forecasts since</w:t>
      </w:r>
      <w:r w:rsidR="00BE4499" w:rsidRPr="00DA20F8">
        <w:rPr>
          <w:rFonts w:ascii="Times New Roman" w:hAnsi="Times New Roman"/>
          <w:sz w:val="24"/>
          <w:szCs w:val="24"/>
        </w:rPr>
        <w:t xml:space="preserve"> investors routinely consider </w:t>
      </w:r>
      <w:r w:rsidR="00492DF2" w:rsidRPr="00DA20F8">
        <w:rPr>
          <w:rFonts w:ascii="Times New Roman" w:hAnsi="Times New Roman"/>
          <w:sz w:val="24"/>
          <w:szCs w:val="24"/>
        </w:rPr>
        <w:t xml:space="preserve">other </w:t>
      </w:r>
      <w:r w:rsidR="009F0115" w:rsidRPr="00DA20F8">
        <w:rPr>
          <w:rFonts w:ascii="Times New Roman" w:hAnsi="Times New Roman"/>
          <w:sz w:val="24"/>
          <w:szCs w:val="24"/>
        </w:rPr>
        <w:t>information</w:t>
      </w:r>
      <w:r w:rsidR="008F0950">
        <w:rPr>
          <w:rFonts w:ascii="Times New Roman" w:hAnsi="Times New Roman"/>
          <w:sz w:val="24"/>
          <w:szCs w:val="24"/>
        </w:rPr>
        <w:t>, such as that provided by Value Line,</w:t>
      </w:r>
      <w:r w:rsidR="009F0115" w:rsidRPr="00DA20F8">
        <w:rPr>
          <w:rFonts w:ascii="Times New Roman" w:hAnsi="Times New Roman"/>
          <w:sz w:val="24"/>
          <w:szCs w:val="24"/>
        </w:rPr>
        <w:t xml:space="preserve"> </w:t>
      </w:r>
      <w:r w:rsidR="00BE4499" w:rsidRPr="00DA20F8">
        <w:rPr>
          <w:rFonts w:ascii="Times New Roman" w:hAnsi="Times New Roman"/>
          <w:sz w:val="24"/>
          <w:szCs w:val="24"/>
        </w:rPr>
        <w:t>regarding alternative measures of growth.</w:t>
      </w:r>
      <w:r w:rsidR="00BE4499">
        <w:rPr>
          <w:rStyle w:val="FootnoteReference"/>
          <w:rFonts w:ascii="Times New Roman" w:hAnsi="Times New Roman"/>
          <w:sz w:val="24"/>
          <w:szCs w:val="24"/>
        </w:rPr>
        <w:footnoteReference w:id="45"/>
      </w:r>
    </w:p>
    <w:p w:rsidR="00BA1CFE" w:rsidRPr="00DA20F8" w:rsidRDefault="00DA20F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BA1CFE" w:rsidRPr="00DA20F8">
        <w:rPr>
          <w:rFonts w:ascii="Times New Roman" w:hAnsi="Times New Roman"/>
          <w:sz w:val="24"/>
          <w:szCs w:val="24"/>
        </w:rPr>
        <w:t>Mr. Parcell also noted that current DCF results are upwardly impacted by recent financial circumstances, in a similar manner that current CAPM results are downwardly impacte</w:t>
      </w:r>
      <w:r w:rsidR="00FD795B" w:rsidRPr="00DA20F8">
        <w:rPr>
          <w:rFonts w:ascii="Times New Roman" w:hAnsi="Times New Roman"/>
          <w:sz w:val="24"/>
          <w:szCs w:val="24"/>
        </w:rPr>
        <w:t>d</w:t>
      </w:r>
      <w:r w:rsidR="00BA1CFE" w:rsidRPr="00DA20F8">
        <w:rPr>
          <w:rFonts w:ascii="Times New Roman" w:hAnsi="Times New Roman"/>
          <w:sz w:val="24"/>
          <w:szCs w:val="24"/>
        </w:rPr>
        <w:t>.</w:t>
      </w:r>
      <w:r w:rsidR="00FD795B">
        <w:rPr>
          <w:rStyle w:val="FootnoteReference"/>
          <w:rFonts w:ascii="Times New Roman" w:hAnsi="Times New Roman"/>
          <w:sz w:val="24"/>
          <w:szCs w:val="24"/>
        </w:rPr>
        <w:footnoteReference w:id="46"/>
      </w:r>
      <w:r w:rsidR="00BA1CFE" w:rsidRPr="00DA20F8">
        <w:rPr>
          <w:rFonts w:ascii="Times New Roman" w:hAnsi="Times New Roman"/>
          <w:sz w:val="24"/>
          <w:szCs w:val="24"/>
        </w:rPr>
        <w:t xml:space="preserve"> </w:t>
      </w:r>
      <w:r w:rsidR="00693CD8" w:rsidRPr="00DA20F8">
        <w:rPr>
          <w:rFonts w:ascii="Times New Roman" w:hAnsi="Times New Roman"/>
          <w:sz w:val="24"/>
          <w:szCs w:val="24"/>
        </w:rPr>
        <w:t xml:space="preserve"> Thus</w:t>
      </w:r>
      <w:r w:rsidR="00BA1CFE" w:rsidRPr="00DA20F8">
        <w:rPr>
          <w:rFonts w:ascii="Times New Roman" w:hAnsi="Times New Roman"/>
          <w:sz w:val="24"/>
          <w:szCs w:val="24"/>
        </w:rPr>
        <w:t xml:space="preserve">, </w:t>
      </w:r>
      <w:r w:rsidR="00BE4499" w:rsidRPr="00DA20F8">
        <w:rPr>
          <w:rFonts w:ascii="Times New Roman" w:hAnsi="Times New Roman"/>
          <w:sz w:val="24"/>
          <w:szCs w:val="24"/>
        </w:rPr>
        <w:t xml:space="preserve">it is proper to set the </w:t>
      </w:r>
      <w:r w:rsidR="00693CD8" w:rsidRPr="00DA20F8">
        <w:rPr>
          <w:rFonts w:ascii="Times New Roman" w:hAnsi="Times New Roman"/>
          <w:sz w:val="24"/>
          <w:szCs w:val="24"/>
        </w:rPr>
        <w:t xml:space="preserve">equity return </w:t>
      </w:r>
      <w:r w:rsidR="00BE4499" w:rsidRPr="00DA20F8">
        <w:rPr>
          <w:rFonts w:ascii="Times New Roman" w:hAnsi="Times New Roman"/>
          <w:sz w:val="24"/>
          <w:szCs w:val="24"/>
        </w:rPr>
        <w:t xml:space="preserve">at </w:t>
      </w:r>
      <w:r w:rsidR="00BA1CFE" w:rsidRPr="00DA20F8">
        <w:rPr>
          <w:rFonts w:ascii="Times New Roman" w:hAnsi="Times New Roman"/>
          <w:sz w:val="24"/>
          <w:szCs w:val="24"/>
        </w:rPr>
        <w:t>the low p</w:t>
      </w:r>
      <w:r w:rsidR="002A0FDE" w:rsidRPr="00DA20F8">
        <w:rPr>
          <w:rFonts w:ascii="Times New Roman" w:hAnsi="Times New Roman"/>
          <w:sz w:val="24"/>
          <w:szCs w:val="24"/>
        </w:rPr>
        <w:t>ortion of the DCF results</w:t>
      </w:r>
      <w:r w:rsidR="00D744A5" w:rsidRPr="00DA20F8">
        <w:rPr>
          <w:rFonts w:ascii="Times New Roman" w:hAnsi="Times New Roman"/>
          <w:sz w:val="24"/>
          <w:szCs w:val="24"/>
        </w:rPr>
        <w:t>.</w:t>
      </w:r>
      <w:r w:rsidR="00D744A5">
        <w:rPr>
          <w:rStyle w:val="FootnoteReference"/>
          <w:rFonts w:ascii="Times New Roman" w:hAnsi="Times New Roman"/>
          <w:sz w:val="24"/>
          <w:szCs w:val="24"/>
        </w:rPr>
        <w:footnoteReference w:id="47"/>
      </w:r>
    </w:p>
    <w:p w:rsidR="00FE052B" w:rsidRPr="00DA20F8" w:rsidRDefault="00DA20F8"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FD795B" w:rsidRPr="00DA20F8">
        <w:rPr>
          <w:rFonts w:ascii="Times New Roman" w:hAnsi="Times New Roman"/>
          <w:sz w:val="24"/>
          <w:szCs w:val="24"/>
        </w:rPr>
        <w:t xml:space="preserve">Finally, Mr. Parcell’s </w:t>
      </w:r>
      <w:r w:rsidR="00D744A5" w:rsidRPr="00DA20F8">
        <w:rPr>
          <w:rFonts w:ascii="Times New Roman" w:hAnsi="Times New Roman"/>
          <w:sz w:val="24"/>
          <w:szCs w:val="24"/>
        </w:rPr>
        <w:t xml:space="preserve">10.0% cost of equity is </w:t>
      </w:r>
      <w:r w:rsidR="00BA1CFE" w:rsidRPr="00DA20F8">
        <w:rPr>
          <w:rFonts w:ascii="Times New Roman" w:hAnsi="Times New Roman"/>
          <w:sz w:val="24"/>
          <w:szCs w:val="24"/>
        </w:rPr>
        <w:t xml:space="preserve">supported by </w:t>
      </w:r>
      <w:r w:rsidR="00D744A5" w:rsidRPr="00DA20F8">
        <w:rPr>
          <w:rFonts w:ascii="Times New Roman" w:hAnsi="Times New Roman"/>
          <w:sz w:val="24"/>
          <w:szCs w:val="24"/>
        </w:rPr>
        <w:t>his Comparable Earnings cost of equity of 9.5 percent to 10.5 percent</w:t>
      </w:r>
      <w:r w:rsidR="00BA1CFE" w:rsidRPr="00DA20F8">
        <w:rPr>
          <w:rFonts w:ascii="Times New Roman" w:hAnsi="Times New Roman"/>
          <w:sz w:val="24"/>
          <w:szCs w:val="24"/>
        </w:rPr>
        <w:t>.</w:t>
      </w:r>
      <w:r w:rsidR="00D744A5">
        <w:rPr>
          <w:rStyle w:val="FootnoteReference"/>
          <w:rFonts w:ascii="Times New Roman" w:hAnsi="Times New Roman"/>
          <w:sz w:val="24"/>
          <w:szCs w:val="24"/>
        </w:rPr>
        <w:footnoteReference w:id="48"/>
      </w:r>
      <w:r w:rsidR="00213EBE" w:rsidRPr="00DA20F8">
        <w:rPr>
          <w:rFonts w:ascii="Times New Roman" w:hAnsi="Times New Roman"/>
          <w:sz w:val="24"/>
          <w:szCs w:val="24"/>
        </w:rPr>
        <w:t xml:space="preserve">  </w:t>
      </w:r>
      <w:r w:rsidR="00D744A5" w:rsidRPr="00DA20F8">
        <w:rPr>
          <w:rFonts w:ascii="Times New Roman" w:hAnsi="Times New Roman"/>
          <w:sz w:val="24"/>
          <w:szCs w:val="24"/>
        </w:rPr>
        <w:t xml:space="preserve">Mr. Parcell’s recommendation is </w:t>
      </w:r>
      <w:r w:rsidR="00213EBE" w:rsidRPr="00DA20F8">
        <w:rPr>
          <w:rFonts w:ascii="Times New Roman" w:hAnsi="Times New Roman"/>
          <w:sz w:val="24"/>
          <w:szCs w:val="24"/>
        </w:rPr>
        <w:t xml:space="preserve">also </w:t>
      </w:r>
      <w:r w:rsidR="00D744A5" w:rsidRPr="00DA20F8">
        <w:rPr>
          <w:rFonts w:ascii="Times New Roman" w:hAnsi="Times New Roman"/>
          <w:sz w:val="24"/>
          <w:szCs w:val="24"/>
        </w:rPr>
        <w:t>supported by the</w:t>
      </w:r>
      <w:r w:rsidR="00BA1CFE" w:rsidRPr="00DA20F8">
        <w:rPr>
          <w:rFonts w:ascii="Times New Roman" w:hAnsi="Times New Roman"/>
          <w:sz w:val="24"/>
          <w:szCs w:val="24"/>
        </w:rPr>
        <w:t xml:space="preserve"> </w:t>
      </w:r>
      <w:r w:rsidR="00D744A5" w:rsidRPr="00DA20F8">
        <w:rPr>
          <w:rFonts w:ascii="Times New Roman" w:hAnsi="Times New Roman"/>
          <w:sz w:val="24"/>
          <w:szCs w:val="24"/>
        </w:rPr>
        <w:t xml:space="preserve">9.5 percent </w:t>
      </w:r>
      <w:r w:rsidR="00BA1CFE" w:rsidRPr="00DA20F8">
        <w:rPr>
          <w:rFonts w:ascii="Times New Roman" w:hAnsi="Times New Roman"/>
          <w:sz w:val="24"/>
          <w:szCs w:val="24"/>
        </w:rPr>
        <w:t>return</w:t>
      </w:r>
      <w:r w:rsidR="00D744A5" w:rsidRPr="00DA20F8">
        <w:rPr>
          <w:rFonts w:ascii="Times New Roman" w:hAnsi="Times New Roman"/>
          <w:sz w:val="24"/>
          <w:szCs w:val="24"/>
        </w:rPr>
        <w:t xml:space="preserve"> on equity proposed by Mr. Hill.</w:t>
      </w:r>
    </w:p>
    <w:p w:rsidR="00124864" w:rsidRDefault="007F1519" w:rsidP="005D3A2B">
      <w:pPr>
        <w:spacing w:line="480" w:lineRule="auto"/>
        <w:rPr>
          <w:rFonts w:ascii="Times New Roman" w:hAnsi="Times New Roman"/>
          <w:b/>
          <w:sz w:val="24"/>
          <w:szCs w:val="24"/>
        </w:rPr>
      </w:pPr>
      <w:r>
        <w:rPr>
          <w:rFonts w:ascii="Times New Roman" w:hAnsi="Times New Roman"/>
          <w:b/>
          <w:sz w:val="24"/>
          <w:szCs w:val="24"/>
        </w:rPr>
        <w:tab/>
        <w:t>4.</w:t>
      </w:r>
      <w:r>
        <w:rPr>
          <w:rFonts w:ascii="Times New Roman" w:hAnsi="Times New Roman"/>
          <w:b/>
          <w:sz w:val="24"/>
          <w:szCs w:val="24"/>
        </w:rPr>
        <w:tab/>
        <w:t>Conclusion on the Cost o</w:t>
      </w:r>
      <w:r w:rsidR="00124864" w:rsidRPr="00124864">
        <w:rPr>
          <w:rFonts w:ascii="Times New Roman" w:hAnsi="Times New Roman"/>
          <w:b/>
          <w:sz w:val="24"/>
          <w:szCs w:val="24"/>
        </w:rPr>
        <w:t>f Equity</w:t>
      </w:r>
    </w:p>
    <w:p w:rsidR="00124864" w:rsidRPr="00DA20F8" w:rsidRDefault="00DA20F8" w:rsidP="00C61B17">
      <w:pPr>
        <w:pStyle w:val="ListParagraph"/>
        <w:numPr>
          <w:ilvl w:val="0"/>
          <w:numId w:val="11"/>
        </w:numPr>
        <w:spacing w:line="480" w:lineRule="auto"/>
        <w:rPr>
          <w:rFonts w:ascii="Times New Roman" w:hAnsi="Times New Roman"/>
          <w:bCs/>
          <w:sz w:val="24"/>
          <w:szCs w:val="24"/>
        </w:rPr>
      </w:pPr>
      <w:r>
        <w:rPr>
          <w:rFonts w:ascii="Times New Roman" w:hAnsi="Times New Roman"/>
          <w:sz w:val="24"/>
          <w:szCs w:val="24"/>
        </w:rPr>
        <w:tab/>
      </w:r>
      <w:r w:rsidR="00693CD8" w:rsidRPr="00DA20F8">
        <w:rPr>
          <w:rFonts w:ascii="Times New Roman" w:hAnsi="Times New Roman"/>
          <w:sz w:val="24"/>
          <w:szCs w:val="24"/>
        </w:rPr>
        <w:t>There is no dispute among the cost of capital</w:t>
      </w:r>
      <w:r w:rsidR="00255E4A" w:rsidRPr="00DA20F8">
        <w:rPr>
          <w:rFonts w:ascii="Times New Roman" w:hAnsi="Times New Roman"/>
          <w:sz w:val="24"/>
          <w:szCs w:val="24"/>
        </w:rPr>
        <w:t xml:space="preserve"> witnesses </w:t>
      </w:r>
      <w:r w:rsidR="00FF133E" w:rsidRPr="00DA20F8">
        <w:rPr>
          <w:rFonts w:ascii="Times New Roman" w:hAnsi="Times New Roman"/>
          <w:sz w:val="24"/>
          <w:szCs w:val="24"/>
        </w:rPr>
        <w:t xml:space="preserve">that PSE’s </w:t>
      </w:r>
      <w:r w:rsidR="00693CD8" w:rsidRPr="00DA20F8">
        <w:rPr>
          <w:rFonts w:ascii="Times New Roman" w:hAnsi="Times New Roman"/>
          <w:sz w:val="24"/>
          <w:szCs w:val="24"/>
        </w:rPr>
        <w:t>capital costs</w:t>
      </w:r>
      <w:r w:rsidR="00FF133E" w:rsidRPr="00DA20F8">
        <w:rPr>
          <w:rFonts w:ascii="Times New Roman" w:hAnsi="Times New Roman"/>
          <w:sz w:val="24"/>
          <w:szCs w:val="24"/>
        </w:rPr>
        <w:t xml:space="preserve"> are declining</w:t>
      </w:r>
      <w:r w:rsidR="00693CD8" w:rsidRPr="00DA20F8">
        <w:rPr>
          <w:rFonts w:ascii="Times New Roman" w:hAnsi="Times New Roman"/>
          <w:sz w:val="24"/>
          <w:szCs w:val="24"/>
        </w:rPr>
        <w:t xml:space="preserve">. </w:t>
      </w:r>
      <w:r w:rsidR="00255E4A" w:rsidRPr="00DA20F8">
        <w:rPr>
          <w:rFonts w:ascii="Times New Roman" w:hAnsi="Times New Roman"/>
          <w:sz w:val="24"/>
          <w:szCs w:val="24"/>
        </w:rPr>
        <w:t xml:space="preserve"> </w:t>
      </w:r>
      <w:r w:rsidR="00693CD8" w:rsidRPr="00DA20F8">
        <w:rPr>
          <w:rFonts w:ascii="Times New Roman" w:hAnsi="Times New Roman"/>
          <w:sz w:val="24"/>
          <w:szCs w:val="24"/>
        </w:rPr>
        <w:t xml:space="preserve">The issue for the Commission is to </w:t>
      </w:r>
      <w:r w:rsidR="00255E4A" w:rsidRPr="00DA20F8">
        <w:rPr>
          <w:rFonts w:ascii="Times New Roman" w:hAnsi="Times New Roman"/>
          <w:sz w:val="24"/>
          <w:szCs w:val="24"/>
        </w:rPr>
        <w:t>determine in that</w:t>
      </w:r>
      <w:r w:rsidR="00C60073" w:rsidRPr="00DA20F8">
        <w:rPr>
          <w:rFonts w:ascii="Times New Roman" w:hAnsi="Times New Roman"/>
          <w:sz w:val="24"/>
          <w:szCs w:val="24"/>
        </w:rPr>
        <w:t xml:space="preserve"> environ</w:t>
      </w:r>
      <w:r w:rsidR="00255E4A" w:rsidRPr="00DA20F8">
        <w:rPr>
          <w:rFonts w:ascii="Times New Roman" w:hAnsi="Times New Roman"/>
          <w:sz w:val="24"/>
          <w:szCs w:val="24"/>
        </w:rPr>
        <w:t xml:space="preserve">ment </w:t>
      </w:r>
      <w:r w:rsidR="00C60073" w:rsidRPr="00DA20F8">
        <w:rPr>
          <w:rFonts w:ascii="Times New Roman" w:hAnsi="Times New Roman"/>
          <w:sz w:val="24"/>
          <w:szCs w:val="24"/>
        </w:rPr>
        <w:t xml:space="preserve">the degree to which the Company’s new owners should be compensated for providing equity capital to </w:t>
      </w:r>
      <w:r w:rsidR="00C60073" w:rsidRPr="00DA20F8">
        <w:rPr>
          <w:rFonts w:ascii="Times New Roman" w:hAnsi="Times New Roman"/>
          <w:sz w:val="24"/>
          <w:szCs w:val="24"/>
        </w:rPr>
        <w:lastRenderedPageBreak/>
        <w:t>PSE.  Staff submits tha</w:t>
      </w:r>
      <w:r w:rsidR="00FF133E" w:rsidRPr="00DA20F8">
        <w:rPr>
          <w:rFonts w:ascii="Times New Roman" w:hAnsi="Times New Roman"/>
          <w:sz w:val="24"/>
          <w:szCs w:val="24"/>
        </w:rPr>
        <w:t xml:space="preserve">t </w:t>
      </w:r>
      <w:r w:rsidR="00C60073" w:rsidRPr="00DA20F8">
        <w:rPr>
          <w:rFonts w:ascii="Times New Roman" w:hAnsi="Times New Roman"/>
          <w:sz w:val="24"/>
          <w:szCs w:val="24"/>
        </w:rPr>
        <w:t>sufficient compensation wil</w:t>
      </w:r>
      <w:r w:rsidR="008D2E7A" w:rsidRPr="00DA20F8">
        <w:rPr>
          <w:rFonts w:ascii="Times New Roman" w:hAnsi="Times New Roman"/>
          <w:sz w:val="24"/>
          <w:szCs w:val="24"/>
        </w:rPr>
        <w:t xml:space="preserve">l be paid to the new owners </w:t>
      </w:r>
      <w:r w:rsidR="002A0FDE" w:rsidRPr="00DA20F8">
        <w:rPr>
          <w:rFonts w:ascii="Times New Roman" w:hAnsi="Times New Roman"/>
          <w:sz w:val="24"/>
          <w:szCs w:val="24"/>
        </w:rPr>
        <w:t xml:space="preserve">using </w:t>
      </w:r>
      <w:r w:rsidR="00C60073" w:rsidRPr="00DA20F8">
        <w:rPr>
          <w:rFonts w:ascii="Times New Roman" w:hAnsi="Times New Roman"/>
          <w:sz w:val="24"/>
          <w:szCs w:val="24"/>
        </w:rPr>
        <w:t>a 10.0 percent return on equity.</w:t>
      </w:r>
      <w:r w:rsidR="00FF133E" w:rsidRPr="00DA20F8">
        <w:rPr>
          <w:rFonts w:ascii="Times New Roman" w:hAnsi="Times New Roman"/>
          <w:sz w:val="24"/>
          <w:szCs w:val="24"/>
        </w:rPr>
        <w:t xml:space="preserve">  The record clearly supports Staff’s conclusion.</w:t>
      </w:r>
      <w:r w:rsidR="00124864" w:rsidRPr="00DA20F8">
        <w:rPr>
          <w:rFonts w:ascii="Times New Roman" w:hAnsi="Times New Roman"/>
          <w:sz w:val="24"/>
          <w:szCs w:val="24"/>
        </w:rPr>
        <w:tab/>
      </w:r>
    </w:p>
    <w:p w:rsidR="00780804" w:rsidRDefault="002B1721" w:rsidP="00246EBB">
      <w:pPr>
        <w:pStyle w:val="ListParagraph"/>
        <w:spacing w:line="480" w:lineRule="auto"/>
        <w:ind w:left="0"/>
        <w:rPr>
          <w:rFonts w:ascii="Times New Roman" w:hAnsi="Times New Roman"/>
          <w:b/>
          <w:bCs/>
          <w:sz w:val="24"/>
          <w:szCs w:val="24"/>
        </w:rPr>
      </w:pPr>
      <w:r>
        <w:rPr>
          <w:rFonts w:ascii="Times New Roman" w:hAnsi="Times New Roman"/>
          <w:b/>
          <w:bCs/>
          <w:sz w:val="24"/>
          <w:szCs w:val="24"/>
        </w:rPr>
        <w:t>C.</w:t>
      </w:r>
      <w:r>
        <w:rPr>
          <w:rFonts w:ascii="Times New Roman" w:hAnsi="Times New Roman"/>
          <w:b/>
          <w:bCs/>
          <w:sz w:val="24"/>
          <w:szCs w:val="24"/>
        </w:rPr>
        <w:tab/>
        <w:t xml:space="preserve">Cost </w:t>
      </w:r>
      <w:r w:rsidR="007F1519">
        <w:rPr>
          <w:rFonts w:ascii="Times New Roman" w:hAnsi="Times New Roman"/>
          <w:b/>
          <w:bCs/>
          <w:sz w:val="24"/>
          <w:szCs w:val="24"/>
        </w:rPr>
        <w:t>o</w:t>
      </w:r>
      <w:r w:rsidR="00780804">
        <w:rPr>
          <w:rFonts w:ascii="Times New Roman" w:hAnsi="Times New Roman"/>
          <w:b/>
          <w:bCs/>
          <w:sz w:val="24"/>
          <w:szCs w:val="24"/>
        </w:rPr>
        <w:t>f Long-Term Debt</w:t>
      </w:r>
    </w:p>
    <w:p w:rsidR="00263577" w:rsidRDefault="00DA20F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263577">
        <w:rPr>
          <w:rFonts w:ascii="Times New Roman" w:hAnsi="Times New Roman"/>
          <w:bCs/>
          <w:sz w:val="24"/>
          <w:szCs w:val="24"/>
        </w:rPr>
        <w:t>In its origina</w:t>
      </w:r>
      <w:r w:rsidR="00726A51">
        <w:rPr>
          <w:rFonts w:ascii="Times New Roman" w:hAnsi="Times New Roman"/>
          <w:bCs/>
          <w:sz w:val="24"/>
          <w:szCs w:val="24"/>
        </w:rPr>
        <w:t xml:space="preserve">l filing, PSE </w:t>
      </w:r>
      <w:r w:rsidR="009F0115">
        <w:rPr>
          <w:rFonts w:ascii="Times New Roman" w:hAnsi="Times New Roman"/>
          <w:bCs/>
          <w:sz w:val="24"/>
          <w:szCs w:val="24"/>
        </w:rPr>
        <w:t xml:space="preserve">proposed </w:t>
      </w:r>
      <w:r w:rsidR="003E5C65">
        <w:rPr>
          <w:rFonts w:ascii="Times New Roman" w:hAnsi="Times New Roman"/>
          <w:bCs/>
          <w:sz w:val="24"/>
          <w:szCs w:val="24"/>
        </w:rPr>
        <w:t>a cost of long-</w:t>
      </w:r>
      <w:r w:rsidR="00BF46DE">
        <w:rPr>
          <w:rFonts w:ascii="Times New Roman" w:hAnsi="Times New Roman"/>
          <w:bCs/>
          <w:sz w:val="24"/>
          <w:szCs w:val="24"/>
        </w:rPr>
        <w:t>term d</w:t>
      </w:r>
      <w:r w:rsidR="00013BF1">
        <w:rPr>
          <w:rFonts w:ascii="Times New Roman" w:hAnsi="Times New Roman"/>
          <w:bCs/>
          <w:sz w:val="24"/>
          <w:szCs w:val="24"/>
        </w:rPr>
        <w:t xml:space="preserve">ebt of 6.82 percent.  That </w:t>
      </w:r>
      <w:r w:rsidR="009F0115">
        <w:rPr>
          <w:rFonts w:ascii="Times New Roman" w:hAnsi="Times New Roman"/>
          <w:bCs/>
          <w:sz w:val="24"/>
          <w:szCs w:val="24"/>
        </w:rPr>
        <w:t xml:space="preserve">rate was an </w:t>
      </w:r>
      <w:r w:rsidR="00013BF1">
        <w:rPr>
          <w:rFonts w:ascii="Times New Roman" w:hAnsi="Times New Roman"/>
          <w:bCs/>
          <w:sz w:val="24"/>
          <w:szCs w:val="24"/>
        </w:rPr>
        <w:t xml:space="preserve">estimate </w:t>
      </w:r>
      <w:r w:rsidR="00661B9E">
        <w:rPr>
          <w:rFonts w:ascii="Times New Roman" w:hAnsi="Times New Roman"/>
          <w:bCs/>
          <w:sz w:val="24"/>
          <w:szCs w:val="24"/>
        </w:rPr>
        <w:t xml:space="preserve">based upon </w:t>
      </w:r>
      <w:r w:rsidR="00726A51">
        <w:rPr>
          <w:rFonts w:ascii="Times New Roman" w:hAnsi="Times New Roman"/>
          <w:bCs/>
          <w:sz w:val="24"/>
          <w:szCs w:val="24"/>
        </w:rPr>
        <w:t xml:space="preserve">projected costs for three </w:t>
      </w:r>
      <w:r w:rsidR="003E5C65">
        <w:rPr>
          <w:rFonts w:ascii="Times New Roman" w:hAnsi="Times New Roman"/>
          <w:bCs/>
          <w:sz w:val="24"/>
          <w:szCs w:val="24"/>
        </w:rPr>
        <w:t>issuances in September 2009 (6.90 percent), March 2010 (6.72 percent), and September 2010 (6.86 percent).</w:t>
      </w:r>
      <w:r w:rsidR="003E5C65">
        <w:rPr>
          <w:rStyle w:val="FootnoteReference"/>
          <w:rFonts w:ascii="Times New Roman" w:hAnsi="Times New Roman"/>
          <w:bCs/>
          <w:sz w:val="24"/>
          <w:szCs w:val="24"/>
        </w:rPr>
        <w:footnoteReference w:id="49"/>
      </w:r>
    </w:p>
    <w:p w:rsidR="008B2D84" w:rsidRDefault="00DA20F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726A51">
        <w:rPr>
          <w:rFonts w:ascii="Times New Roman" w:hAnsi="Times New Roman"/>
          <w:bCs/>
          <w:sz w:val="24"/>
          <w:szCs w:val="24"/>
        </w:rPr>
        <w:t xml:space="preserve">PSE </w:t>
      </w:r>
      <w:r w:rsidR="00951615">
        <w:rPr>
          <w:rFonts w:ascii="Times New Roman" w:hAnsi="Times New Roman"/>
          <w:bCs/>
          <w:sz w:val="24"/>
          <w:szCs w:val="24"/>
        </w:rPr>
        <w:t xml:space="preserve">recognized </w:t>
      </w:r>
      <w:r w:rsidR="00726A51">
        <w:rPr>
          <w:rFonts w:ascii="Times New Roman" w:hAnsi="Times New Roman"/>
          <w:bCs/>
          <w:sz w:val="24"/>
          <w:szCs w:val="24"/>
        </w:rPr>
        <w:t xml:space="preserve">in rebuttal </w:t>
      </w:r>
      <w:r w:rsidR="00951615">
        <w:rPr>
          <w:rFonts w:ascii="Times New Roman" w:hAnsi="Times New Roman"/>
          <w:bCs/>
          <w:sz w:val="24"/>
          <w:szCs w:val="24"/>
        </w:rPr>
        <w:t>that its estimate was excessive in light of its</w:t>
      </w:r>
      <w:r w:rsidR="00661B9E">
        <w:rPr>
          <w:rFonts w:ascii="Times New Roman" w:hAnsi="Times New Roman"/>
          <w:bCs/>
          <w:sz w:val="24"/>
          <w:szCs w:val="24"/>
        </w:rPr>
        <w:t xml:space="preserve"> September 2009 issuance </w:t>
      </w:r>
      <w:r w:rsidR="00951615">
        <w:rPr>
          <w:rFonts w:ascii="Times New Roman" w:hAnsi="Times New Roman"/>
          <w:bCs/>
          <w:sz w:val="24"/>
          <w:szCs w:val="24"/>
        </w:rPr>
        <w:t xml:space="preserve">of 30-year bonds at </w:t>
      </w:r>
      <w:r w:rsidR="00BF46DE">
        <w:rPr>
          <w:rFonts w:ascii="Times New Roman" w:hAnsi="Times New Roman"/>
          <w:bCs/>
          <w:sz w:val="24"/>
          <w:szCs w:val="24"/>
        </w:rPr>
        <w:t>5.757 percent</w:t>
      </w:r>
      <w:r w:rsidR="00951615">
        <w:rPr>
          <w:rFonts w:ascii="Times New Roman" w:hAnsi="Times New Roman"/>
          <w:bCs/>
          <w:sz w:val="24"/>
          <w:szCs w:val="24"/>
        </w:rPr>
        <w:t xml:space="preserve">, significantly below the 6.90 percent </w:t>
      </w:r>
      <w:r w:rsidR="00726A51">
        <w:rPr>
          <w:rFonts w:ascii="Times New Roman" w:hAnsi="Times New Roman"/>
          <w:bCs/>
          <w:sz w:val="24"/>
          <w:szCs w:val="24"/>
        </w:rPr>
        <w:t xml:space="preserve">PSE </w:t>
      </w:r>
      <w:r w:rsidR="007F1519">
        <w:rPr>
          <w:rFonts w:ascii="Times New Roman" w:hAnsi="Times New Roman"/>
          <w:bCs/>
          <w:sz w:val="24"/>
          <w:szCs w:val="24"/>
        </w:rPr>
        <w:t xml:space="preserve">first </w:t>
      </w:r>
      <w:r w:rsidR="00951615">
        <w:rPr>
          <w:rFonts w:ascii="Times New Roman" w:hAnsi="Times New Roman"/>
          <w:bCs/>
          <w:sz w:val="24"/>
          <w:szCs w:val="24"/>
        </w:rPr>
        <w:t>assumed</w:t>
      </w:r>
      <w:r w:rsidR="007F1519">
        <w:rPr>
          <w:rFonts w:ascii="Times New Roman" w:hAnsi="Times New Roman"/>
          <w:bCs/>
          <w:sz w:val="24"/>
          <w:szCs w:val="24"/>
        </w:rPr>
        <w:t xml:space="preserve"> </w:t>
      </w:r>
      <w:r w:rsidR="00951615">
        <w:rPr>
          <w:rFonts w:ascii="Times New Roman" w:hAnsi="Times New Roman"/>
          <w:bCs/>
          <w:sz w:val="24"/>
          <w:szCs w:val="24"/>
        </w:rPr>
        <w:t>for that issue.</w:t>
      </w:r>
      <w:r w:rsidR="00951615">
        <w:rPr>
          <w:rStyle w:val="FootnoteReference"/>
          <w:rFonts w:ascii="Times New Roman" w:hAnsi="Times New Roman"/>
          <w:bCs/>
          <w:sz w:val="24"/>
          <w:szCs w:val="24"/>
        </w:rPr>
        <w:footnoteReference w:id="50"/>
      </w:r>
      <w:r w:rsidR="00BF46DE">
        <w:rPr>
          <w:rFonts w:ascii="Times New Roman" w:hAnsi="Times New Roman"/>
          <w:bCs/>
          <w:sz w:val="24"/>
          <w:szCs w:val="24"/>
        </w:rPr>
        <w:t xml:space="preserve">  The Company did </w:t>
      </w:r>
      <w:r w:rsidR="00726A51">
        <w:rPr>
          <w:rFonts w:ascii="Times New Roman" w:hAnsi="Times New Roman"/>
          <w:bCs/>
          <w:sz w:val="24"/>
          <w:szCs w:val="24"/>
        </w:rPr>
        <w:t xml:space="preserve">not, however, reduce </w:t>
      </w:r>
      <w:r w:rsidR="00013BF1">
        <w:rPr>
          <w:rFonts w:ascii="Times New Roman" w:hAnsi="Times New Roman"/>
          <w:bCs/>
          <w:sz w:val="24"/>
          <w:szCs w:val="24"/>
        </w:rPr>
        <w:t>its estimate for</w:t>
      </w:r>
      <w:r w:rsidR="00BF46DE">
        <w:rPr>
          <w:rFonts w:ascii="Times New Roman" w:hAnsi="Times New Roman"/>
          <w:bCs/>
          <w:sz w:val="24"/>
          <w:szCs w:val="24"/>
        </w:rPr>
        <w:t xml:space="preserve"> the future debt issuances </w:t>
      </w:r>
      <w:r w:rsidR="008B2D84">
        <w:rPr>
          <w:rFonts w:ascii="Times New Roman" w:hAnsi="Times New Roman"/>
          <w:bCs/>
          <w:sz w:val="24"/>
          <w:szCs w:val="24"/>
        </w:rPr>
        <w:t xml:space="preserve">it expects </w:t>
      </w:r>
      <w:r w:rsidR="00BF46DE">
        <w:rPr>
          <w:rFonts w:ascii="Times New Roman" w:hAnsi="Times New Roman"/>
          <w:bCs/>
          <w:sz w:val="24"/>
          <w:szCs w:val="24"/>
        </w:rPr>
        <w:t xml:space="preserve">to </w:t>
      </w:r>
      <w:r w:rsidR="008B2D84">
        <w:rPr>
          <w:rFonts w:ascii="Times New Roman" w:hAnsi="Times New Roman"/>
          <w:bCs/>
          <w:sz w:val="24"/>
          <w:szCs w:val="24"/>
        </w:rPr>
        <w:t>sell</w:t>
      </w:r>
      <w:r w:rsidR="00BF46DE">
        <w:rPr>
          <w:rFonts w:ascii="Times New Roman" w:hAnsi="Times New Roman"/>
          <w:bCs/>
          <w:sz w:val="24"/>
          <w:szCs w:val="24"/>
        </w:rPr>
        <w:t xml:space="preserve"> in March and September 2010.</w:t>
      </w:r>
      <w:r w:rsidR="00BF46DE">
        <w:rPr>
          <w:rStyle w:val="FootnoteReference"/>
          <w:rFonts w:ascii="Times New Roman" w:hAnsi="Times New Roman"/>
          <w:bCs/>
          <w:sz w:val="24"/>
          <w:szCs w:val="24"/>
        </w:rPr>
        <w:footnoteReference w:id="51"/>
      </w:r>
      <w:r w:rsidR="00951615">
        <w:rPr>
          <w:rFonts w:ascii="Times New Roman" w:hAnsi="Times New Roman"/>
          <w:bCs/>
          <w:sz w:val="24"/>
          <w:szCs w:val="24"/>
        </w:rPr>
        <w:t xml:space="preserve">  </w:t>
      </w:r>
    </w:p>
    <w:p w:rsidR="007A6291" w:rsidRPr="00263577" w:rsidRDefault="00DA20F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951615">
        <w:rPr>
          <w:rFonts w:ascii="Times New Roman" w:hAnsi="Times New Roman"/>
          <w:bCs/>
          <w:sz w:val="24"/>
          <w:szCs w:val="24"/>
        </w:rPr>
        <w:t>This omission is</w:t>
      </w:r>
      <w:r w:rsidR="008B2D84">
        <w:rPr>
          <w:rFonts w:ascii="Times New Roman" w:hAnsi="Times New Roman"/>
          <w:bCs/>
          <w:sz w:val="24"/>
          <w:szCs w:val="24"/>
        </w:rPr>
        <w:t xml:space="preserve"> baseless.  </w:t>
      </w:r>
      <w:r w:rsidR="005164DE">
        <w:rPr>
          <w:rFonts w:ascii="Times New Roman" w:hAnsi="Times New Roman"/>
          <w:bCs/>
          <w:sz w:val="24"/>
          <w:szCs w:val="24"/>
        </w:rPr>
        <w:t>Mr. Parcell</w:t>
      </w:r>
      <w:r w:rsidR="008B2D84">
        <w:rPr>
          <w:rFonts w:ascii="Times New Roman" w:hAnsi="Times New Roman"/>
          <w:bCs/>
          <w:sz w:val="24"/>
          <w:szCs w:val="24"/>
        </w:rPr>
        <w:t xml:space="preserve"> corrected that error </w:t>
      </w:r>
      <w:r w:rsidR="00501F86">
        <w:rPr>
          <w:rFonts w:ascii="Times New Roman" w:hAnsi="Times New Roman"/>
          <w:bCs/>
          <w:sz w:val="24"/>
          <w:szCs w:val="24"/>
        </w:rPr>
        <w:t>by re-pricing</w:t>
      </w:r>
      <w:r w:rsidR="00726A51">
        <w:rPr>
          <w:rFonts w:ascii="Times New Roman" w:hAnsi="Times New Roman"/>
          <w:bCs/>
          <w:sz w:val="24"/>
          <w:szCs w:val="24"/>
        </w:rPr>
        <w:t xml:space="preserve"> the </w:t>
      </w:r>
      <w:r w:rsidR="005164DE">
        <w:rPr>
          <w:rFonts w:ascii="Times New Roman" w:hAnsi="Times New Roman"/>
          <w:bCs/>
          <w:sz w:val="24"/>
          <w:szCs w:val="24"/>
        </w:rPr>
        <w:t>two 2010 debt issuances at the 5.757 percent cost PSE actually p</w:t>
      </w:r>
      <w:r w:rsidR="00501F86">
        <w:rPr>
          <w:rFonts w:ascii="Times New Roman" w:hAnsi="Times New Roman"/>
          <w:bCs/>
          <w:sz w:val="24"/>
          <w:szCs w:val="24"/>
        </w:rPr>
        <w:t xml:space="preserve">aid in September 2009.  </w:t>
      </w:r>
      <w:r w:rsidR="007A6291">
        <w:rPr>
          <w:rFonts w:ascii="Times New Roman" w:hAnsi="Times New Roman"/>
          <w:bCs/>
          <w:sz w:val="24"/>
          <w:szCs w:val="24"/>
        </w:rPr>
        <w:t>The resulting cost of debt recommended by Mr. Parcell is 6.48 percent.</w:t>
      </w:r>
      <w:r w:rsidR="007A6291">
        <w:rPr>
          <w:rStyle w:val="FootnoteReference"/>
          <w:rFonts w:ascii="Times New Roman" w:hAnsi="Times New Roman"/>
          <w:bCs/>
          <w:sz w:val="24"/>
          <w:szCs w:val="24"/>
        </w:rPr>
        <w:footnoteReference w:id="52"/>
      </w:r>
    </w:p>
    <w:p w:rsidR="00780804" w:rsidRDefault="00DA20F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873F13">
        <w:rPr>
          <w:rFonts w:ascii="Times New Roman" w:hAnsi="Times New Roman"/>
          <w:bCs/>
          <w:sz w:val="24"/>
          <w:szCs w:val="24"/>
        </w:rPr>
        <w:t xml:space="preserve">Mr. Parcell’s cost of debt </w:t>
      </w:r>
      <w:r w:rsidR="007A6291">
        <w:rPr>
          <w:rFonts w:ascii="Times New Roman" w:hAnsi="Times New Roman"/>
          <w:bCs/>
          <w:sz w:val="24"/>
          <w:szCs w:val="24"/>
        </w:rPr>
        <w:t>is fair to</w:t>
      </w:r>
      <w:r w:rsidR="00726A51">
        <w:rPr>
          <w:rFonts w:ascii="Times New Roman" w:hAnsi="Times New Roman"/>
          <w:bCs/>
          <w:sz w:val="24"/>
          <w:szCs w:val="24"/>
        </w:rPr>
        <w:t xml:space="preserve"> ratepayers and PSE</w:t>
      </w:r>
      <w:r w:rsidR="007A6291">
        <w:rPr>
          <w:rFonts w:ascii="Times New Roman" w:hAnsi="Times New Roman"/>
          <w:bCs/>
          <w:sz w:val="24"/>
          <w:szCs w:val="24"/>
        </w:rPr>
        <w:t xml:space="preserve"> </w:t>
      </w:r>
      <w:r w:rsidR="00873F13">
        <w:rPr>
          <w:rFonts w:ascii="Times New Roman" w:hAnsi="Times New Roman"/>
          <w:bCs/>
          <w:sz w:val="24"/>
          <w:szCs w:val="24"/>
        </w:rPr>
        <w:t>because</w:t>
      </w:r>
      <w:r w:rsidR="00661B9E">
        <w:rPr>
          <w:rFonts w:ascii="Times New Roman" w:hAnsi="Times New Roman"/>
          <w:bCs/>
          <w:sz w:val="24"/>
          <w:szCs w:val="24"/>
        </w:rPr>
        <w:t xml:space="preserve"> it incorporates a</w:t>
      </w:r>
      <w:r w:rsidR="00873F13">
        <w:rPr>
          <w:rFonts w:ascii="Times New Roman" w:hAnsi="Times New Roman"/>
          <w:bCs/>
          <w:sz w:val="24"/>
          <w:szCs w:val="24"/>
        </w:rPr>
        <w:t xml:space="preserve"> reduc</w:t>
      </w:r>
      <w:r w:rsidR="008B2D84">
        <w:rPr>
          <w:rFonts w:ascii="Times New Roman" w:hAnsi="Times New Roman"/>
          <w:bCs/>
          <w:sz w:val="24"/>
          <w:szCs w:val="24"/>
        </w:rPr>
        <w:t>tion in interest rates that has</w:t>
      </w:r>
      <w:r w:rsidR="00726A51">
        <w:rPr>
          <w:rFonts w:ascii="Times New Roman" w:hAnsi="Times New Roman"/>
          <w:bCs/>
          <w:sz w:val="24"/>
          <w:szCs w:val="24"/>
        </w:rPr>
        <w:t xml:space="preserve"> occurred </w:t>
      </w:r>
      <w:r w:rsidR="008B2D84">
        <w:rPr>
          <w:rFonts w:ascii="Times New Roman" w:hAnsi="Times New Roman"/>
          <w:bCs/>
          <w:sz w:val="24"/>
          <w:szCs w:val="24"/>
        </w:rPr>
        <w:t>and is likely to occur in the rate year</w:t>
      </w:r>
      <w:r w:rsidR="00873F13">
        <w:rPr>
          <w:rFonts w:ascii="Times New Roman" w:hAnsi="Times New Roman"/>
          <w:bCs/>
          <w:sz w:val="24"/>
          <w:szCs w:val="24"/>
        </w:rPr>
        <w:t xml:space="preserve">.  In </w:t>
      </w:r>
      <w:r w:rsidR="008915EA">
        <w:rPr>
          <w:rFonts w:ascii="Times New Roman" w:hAnsi="Times New Roman"/>
          <w:bCs/>
          <w:sz w:val="24"/>
          <w:szCs w:val="24"/>
        </w:rPr>
        <w:t>contrast, the PSE</w:t>
      </w:r>
      <w:r w:rsidR="00661B9E">
        <w:rPr>
          <w:rFonts w:ascii="Times New Roman" w:hAnsi="Times New Roman"/>
          <w:bCs/>
          <w:sz w:val="24"/>
          <w:szCs w:val="24"/>
        </w:rPr>
        <w:t>’s proposal inflates the cost of debt</w:t>
      </w:r>
      <w:r w:rsidR="007A6291">
        <w:rPr>
          <w:rFonts w:ascii="Times New Roman" w:hAnsi="Times New Roman"/>
          <w:bCs/>
          <w:sz w:val="24"/>
          <w:szCs w:val="24"/>
        </w:rPr>
        <w:t xml:space="preserve"> in a manner that is unfair to ratepayers</w:t>
      </w:r>
      <w:r w:rsidR="00873F13">
        <w:rPr>
          <w:rFonts w:ascii="Times New Roman" w:hAnsi="Times New Roman"/>
          <w:bCs/>
          <w:sz w:val="24"/>
          <w:szCs w:val="24"/>
        </w:rPr>
        <w:t xml:space="preserve">.  </w:t>
      </w:r>
    </w:p>
    <w:p w:rsidR="00FC6D9C" w:rsidRDefault="007D6CD9" w:rsidP="0091248A">
      <w:pPr>
        <w:pStyle w:val="ListParagraph"/>
        <w:ind w:hanging="720"/>
        <w:rPr>
          <w:rFonts w:ascii="Times New Roman" w:hAnsi="Times New Roman"/>
          <w:b/>
          <w:bCs/>
          <w:sz w:val="24"/>
          <w:szCs w:val="24"/>
        </w:rPr>
      </w:pPr>
      <w:r>
        <w:rPr>
          <w:rFonts w:ascii="Times New Roman" w:hAnsi="Times New Roman"/>
          <w:b/>
          <w:bCs/>
          <w:sz w:val="24"/>
          <w:szCs w:val="24"/>
        </w:rPr>
        <w:t>D.</w:t>
      </w:r>
      <w:r>
        <w:rPr>
          <w:rFonts w:ascii="Times New Roman" w:hAnsi="Times New Roman"/>
          <w:b/>
          <w:bCs/>
          <w:sz w:val="24"/>
          <w:szCs w:val="24"/>
        </w:rPr>
        <w:tab/>
        <w:t xml:space="preserve">Staff’s </w:t>
      </w:r>
      <w:r w:rsidR="00B30BB3">
        <w:rPr>
          <w:rFonts w:ascii="Times New Roman" w:hAnsi="Times New Roman"/>
          <w:b/>
          <w:bCs/>
          <w:sz w:val="24"/>
          <w:szCs w:val="24"/>
        </w:rPr>
        <w:t xml:space="preserve">Overall </w:t>
      </w:r>
      <w:r>
        <w:rPr>
          <w:rFonts w:ascii="Times New Roman" w:hAnsi="Times New Roman"/>
          <w:b/>
          <w:bCs/>
          <w:sz w:val="24"/>
          <w:szCs w:val="24"/>
        </w:rPr>
        <w:t>Co</w:t>
      </w:r>
      <w:r w:rsidR="0091248A">
        <w:rPr>
          <w:rFonts w:ascii="Times New Roman" w:hAnsi="Times New Roman"/>
          <w:b/>
          <w:bCs/>
          <w:sz w:val="24"/>
          <w:szCs w:val="24"/>
        </w:rPr>
        <w:t xml:space="preserve">st </w:t>
      </w:r>
      <w:r w:rsidR="007F1519">
        <w:rPr>
          <w:rFonts w:ascii="Times New Roman" w:hAnsi="Times New Roman"/>
          <w:b/>
          <w:bCs/>
          <w:sz w:val="24"/>
          <w:szCs w:val="24"/>
        </w:rPr>
        <w:t>o</w:t>
      </w:r>
      <w:r w:rsidR="0091248A">
        <w:rPr>
          <w:rFonts w:ascii="Times New Roman" w:hAnsi="Times New Roman"/>
          <w:b/>
          <w:bCs/>
          <w:sz w:val="24"/>
          <w:szCs w:val="24"/>
        </w:rPr>
        <w:t xml:space="preserve">f Capital </w:t>
      </w:r>
      <w:r>
        <w:rPr>
          <w:rFonts w:ascii="Times New Roman" w:hAnsi="Times New Roman"/>
          <w:b/>
          <w:bCs/>
          <w:sz w:val="24"/>
          <w:szCs w:val="24"/>
        </w:rPr>
        <w:t xml:space="preserve">Will Maintain </w:t>
      </w:r>
      <w:r w:rsidR="007F1519">
        <w:rPr>
          <w:rFonts w:ascii="Times New Roman" w:hAnsi="Times New Roman"/>
          <w:b/>
          <w:bCs/>
          <w:sz w:val="24"/>
          <w:szCs w:val="24"/>
        </w:rPr>
        <w:t>t</w:t>
      </w:r>
      <w:r w:rsidR="007F4BD8">
        <w:rPr>
          <w:rFonts w:ascii="Times New Roman" w:hAnsi="Times New Roman"/>
          <w:b/>
          <w:bCs/>
          <w:sz w:val="24"/>
          <w:szCs w:val="24"/>
        </w:rPr>
        <w:t>he Company’s</w:t>
      </w:r>
      <w:r>
        <w:rPr>
          <w:rFonts w:ascii="Times New Roman" w:hAnsi="Times New Roman"/>
          <w:b/>
          <w:bCs/>
          <w:sz w:val="24"/>
          <w:szCs w:val="24"/>
        </w:rPr>
        <w:t xml:space="preserve"> Financial Integrity</w:t>
      </w:r>
    </w:p>
    <w:p w:rsidR="007D6CD9" w:rsidRDefault="007D6CD9" w:rsidP="007D6CD9">
      <w:pPr>
        <w:pStyle w:val="ListParagraph"/>
        <w:ind w:left="0"/>
        <w:rPr>
          <w:rFonts w:ascii="Times New Roman" w:hAnsi="Times New Roman"/>
          <w:b/>
          <w:bCs/>
          <w:sz w:val="24"/>
          <w:szCs w:val="24"/>
        </w:rPr>
      </w:pPr>
    </w:p>
    <w:p w:rsidR="008379C1" w:rsidRDefault="00DA20F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726A51">
        <w:rPr>
          <w:rFonts w:ascii="Times New Roman" w:hAnsi="Times New Roman"/>
          <w:bCs/>
          <w:sz w:val="24"/>
          <w:szCs w:val="24"/>
        </w:rPr>
        <w:t xml:space="preserve">Mr. Parcell’s </w:t>
      </w:r>
      <w:r w:rsidR="007D6CD9">
        <w:rPr>
          <w:rFonts w:ascii="Times New Roman" w:hAnsi="Times New Roman"/>
          <w:bCs/>
          <w:sz w:val="24"/>
          <w:szCs w:val="24"/>
        </w:rPr>
        <w:t>recommendation</w:t>
      </w:r>
      <w:r w:rsidR="00726A51">
        <w:rPr>
          <w:rFonts w:ascii="Times New Roman" w:hAnsi="Times New Roman"/>
          <w:bCs/>
          <w:sz w:val="24"/>
          <w:szCs w:val="24"/>
        </w:rPr>
        <w:t>s result</w:t>
      </w:r>
      <w:r w:rsidR="007D6CD9">
        <w:rPr>
          <w:rFonts w:ascii="Times New Roman" w:hAnsi="Times New Roman"/>
          <w:bCs/>
          <w:sz w:val="24"/>
          <w:szCs w:val="24"/>
        </w:rPr>
        <w:t xml:space="preserve"> in a total cost </w:t>
      </w:r>
      <w:r w:rsidR="00C60073">
        <w:rPr>
          <w:rFonts w:ascii="Times New Roman" w:hAnsi="Times New Roman"/>
          <w:bCs/>
          <w:sz w:val="24"/>
          <w:szCs w:val="24"/>
        </w:rPr>
        <w:t xml:space="preserve">of capital </w:t>
      </w:r>
      <w:r w:rsidR="00726A51">
        <w:rPr>
          <w:rFonts w:ascii="Times New Roman" w:hAnsi="Times New Roman"/>
          <w:bCs/>
          <w:sz w:val="24"/>
          <w:szCs w:val="24"/>
        </w:rPr>
        <w:t xml:space="preserve">for PSE </w:t>
      </w:r>
      <w:r w:rsidR="007D6CD9">
        <w:rPr>
          <w:rFonts w:ascii="Times New Roman" w:hAnsi="Times New Roman"/>
          <w:bCs/>
          <w:sz w:val="24"/>
          <w:szCs w:val="24"/>
        </w:rPr>
        <w:t>of 7.91 percent.</w:t>
      </w:r>
      <w:r w:rsidR="000C5476">
        <w:rPr>
          <w:rFonts w:ascii="Times New Roman" w:hAnsi="Times New Roman"/>
          <w:bCs/>
          <w:sz w:val="24"/>
          <w:szCs w:val="24"/>
        </w:rPr>
        <w:t xml:space="preserve">  </w:t>
      </w:r>
      <w:r w:rsidR="002176F9">
        <w:rPr>
          <w:rFonts w:ascii="Times New Roman" w:hAnsi="Times New Roman"/>
          <w:bCs/>
          <w:sz w:val="24"/>
          <w:szCs w:val="24"/>
        </w:rPr>
        <w:t>A total cost of capital of 7.91 percent will maintain PSE’s financial integrity.  It</w:t>
      </w:r>
      <w:r w:rsidR="000C5476">
        <w:rPr>
          <w:rFonts w:ascii="Times New Roman" w:hAnsi="Times New Roman"/>
          <w:bCs/>
          <w:sz w:val="24"/>
          <w:szCs w:val="24"/>
        </w:rPr>
        <w:t xml:space="preserve"> </w:t>
      </w:r>
      <w:r w:rsidR="000C5476">
        <w:rPr>
          <w:rFonts w:ascii="Times New Roman" w:hAnsi="Times New Roman"/>
          <w:bCs/>
          <w:sz w:val="24"/>
          <w:szCs w:val="24"/>
        </w:rPr>
        <w:lastRenderedPageBreak/>
        <w:t xml:space="preserve">produces </w:t>
      </w:r>
      <w:r w:rsidR="007D6CD9">
        <w:rPr>
          <w:rFonts w:ascii="Times New Roman" w:hAnsi="Times New Roman"/>
          <w:bCs/>
          <w:sz w:val="24"/>
          <w:szCs w:val="24"/>
        </w:rPr>
        <w:t>a pre-tax interest coverage of</w:t>
      </w:r>
      <w:r w:rsidR="008379C1">
        <w:rPr>
          <w:rFonts w:ascii="Times New Roman" w:hAnsi="Times New Roman"/>
          <w:bCs/>
          <w:sz w:val="24"/>
          <w:szCs w:val="24"/>
        </w:rPr>
        <w:t xml:space="preserve"> 3.03</w:t>
      </w:r>
      <w:r w:rsidR="000C5476">
        <w:rPr>
          <w:rFonts w:ascii="Times New Roman" w:hAnsi="Times New Roman"/>
          <w:bCs/>
          <w:sz w:val="24"/>
          <w:szCs w:val="24"/>
        </w:rPr>
        <w:t>,</w:t>
      </w:r>
      <w:r w:rsidR="008379C1">
        <w:rPr>
          <w:rStyle w:val="FootnoteReference"/>
          <w:rFonts w:ascii="Times New Roman" w:hAnsi="Times New Roman"/>
          <w:bCs/>
          <w:sz w:val="24"/>
          <w:szCs w:val="24"/>
        </w:rPr>
        <w:footnoteReference w:id="53"/>
      </w:r>
      <w:r w:rsidR="000C5476">
        <w:rPr>
          <w:rFonts w:ascii="Times New Roman" w:hAnsi="Times New Roman"/>
          <w:bCs/>
          <w:sz w:val="24"/>
          <w:szCs w:val="24"/>
        </w:rPr>
        <w:t xml:space="preserve"> </w:t>
      </w:r>
      <w:r w:rsidR="002176F9">
        <w:rPr>
          <w:rFonts w:ascii="Times New Roman" w:hAnsi="Times New Roman"/>
          <w:bCs/>
          <w:sz w:val="24"/>
          <w:szCs w:val="24"/>
        </w:rPr>
        <w:t>which falls within the S&amp;P benchmark for a BBB utility like PSE.</w:t>
      </w:r>
      <w:r w:rsidR="002176F9">
        <w:rPr>
          <w:rStyle w:val="FootnoteReference"/>
          <w:rFonts w:ascii="Times New Roman" w:hAnsi="Times New Roman"/>
          <w:bCs/>
          <w:sz w:val="24"/>
          <w:szCs w:val="24"/>
        </w:rPr>
        <w:footnoteReference w:id="54"/>
      </w:r>
      <w:r w:rsidR="008915EA">
        <w:rPr>
          <w:rFonts w:ascii="Times New Roman" w:hAnsi="Times New Roman"/>
          <w:bCs/>
          <w:sz w:val="24"/>
          <w:szCs w:val="24"/>
        </w:rPr>
        <w:t xml:space="preserve">  T</w:t>
      </w:r>
      <w:r w:rsidR="002176F9">
        <w:rPr>
          <w:rFonts w:ascii="Times New Roman" w:hAnsi="Times New Roman"/>
          <w:bCs/>
          <w:sz w:val="24"/>
          <w:szCs w:val="24"/>
        </w:rPr>
        <w:t xml:space="preserve">he </w:t>
      </w:r>
      <w:r w:rsidR="007F4BD8">
        <w:rPr>
          <w:rFonts w:ascii="Times New Roman" w:hAnsi="Times New Roman"/>
          <w:bCs/>
          <w:sz w:val="24"/>
          <w:szCs w:val="24"/>
        </w:rPr>
        <w:t xml:space="preserve">51.05 percent </w:t>
      </w:r>
      <w:r w:rsidR="002176F9">
        <w:rPr>
          <w:rFonts w:ascii="Times New Roman" w:hAnsi="Times New Roman"/>
          <w:bCs/>
          <w:sz w:val="24"/>
          <w:szCs w:val="24"/>
        </w:rPr>
        <w:t>debt ratio recommended by Mr. Parcell is also within S&amp;P’s benchmark for a BBB utility like PSE.</w:t>
      </w:r>
      <w:r w:rsidR="002176F9">
        <w:rPr>
          <w:rStyle w:val="FootnoteReference"/>
          <w:rFonts w:ascii="Times New Roman" w:hAnsi="Times New Roman"/>
          <w:bCs/>
          <w:sz w:val="24"/>
          <w:szCs w:val="24"/>
        </w:rPr>
        <w:footnoteReference w:id="55"/>
      </w:r>
      <w:r w:rsidR="002176F9">
        <w:rPr>
          <w:rFonts w:ascii="Times New Roman" w:hAnsi="Times New Roman"/>
          <w:bCs/>
          <w:sz w:val="24"/>
          <w:szCs w:val="24"/>
        </w:rPr>
        <w:t xml:space="preserve">  </w:t>
      </w:r>
    </w:p>
    <w:p w:rsidR="008379C1" w:rsidRDefault="00DA20F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FF1CE2">
        <w:rPr>
          <w:rFonts w:ascii="Times New Roman" w:hAnsi="Times New Roman"/>
          <w:bCs/>
          <w:sz w:val="24"/>
          <w:szCs w:val="24"/>
        </w:rPr>
        <w:t>The</w:t>
      </w:r>
      <w:r w:rsidR="001407CB">
        <w:rPr>
          <w:rFonts w:ascii="Times New Roman" w:hAnsi="Times New Roman"/>
          <w:bCs/>
          <w:sz w:val="24"/>
          <w:szCs w:val="24"/>
        </w:rPr>
        <w:t xml:space="preserve"> Company</w:t>
      </w:r>
      <w:r w:rsidR="002176F9">
        <w:rPr>
          <w:rFonts w:ascii="Times New Roman" w:hAnsi="Times New Roman"/>
          <w:bCs/>
          <w:sz w:val="24"/>
          <w:szCs w:val="24"/>
        </w:rPr>
        <w:t xml:space="preserve"> challenges this conclusion</w:t>
      </w:r>
      <w:r w:rsidR="008915EA">
        <w:rPr>
          <w:rFonts w:ascii="Times New Roman" w:hAnsi="Times New Roman"/>
          <w:bCs/>
          <w:sz w:val="24"/>
          <w:szCs w:val="24"/>
        </w:rPr>
        <w:t xml:space="preserve"> by </w:t>
      </w:r>
      <w:r w:rsidR="006E5E21">
        <w:rPr>
          <w:rFonts w:ascii="Times New Roman" w:hAnsi="Times New Roman"/>
          <w:bCs/>
          <w:sz w:val="24"/>
          <w:szCs w:val="24"/>
        </w:rPr>
        <w:t>offer</w:t>
      </w:r>
      <w:r w:rsidR="00FF1CE2">
        <w:rPr>
          <w:rFonts w:ascii="Times New Roman" w:hAnsi="Times New Roman"/>
          <w:bCs/>
          <w:sz w:val="24"/>
          <w:szCs w:val="24"/>
        </w:rPr>
        <w:t xml:space="preserve">ing its perception of </w:t>
      </w:r>
      <w:r w:rsidR="008915EA">
        <w:rPr>
          <w:rFonts w:ascii="Times New Roman" w:hAnsi="Times New Roman"/>
          <w:bCs/>
          <w:sz w:val="24"/>
          <w:szCs w:val="24"/>
        </w:rPr>
        <w:t xml:space="preserve">what </w:t>
      </w:r>
      <w:r w:rsidR="00A119C0">
        <w:rPr>
          <w:rFonts w:ascii="Times New Roman" w:hAnsi="Times New Roman"/>
          <w:bCs/>
          <w:sz w:val="24"/>
          <w:szCs w:val="24"/>
        </w:rPr>
        <w:t>S&amp;P</w:t>
      </w:r>
      <w:r w:rsidR="00FF1CE2">
        <w:rPr>
          <w:rFonts w:ascii="Times New Roman" w:hAnsi="Times New Roman"/>
          <w:bCs/>
          <w:sz w:val="24"/>
          <w:szCs w:val="24"/>
        </w:rPr>
        <w:t xml:space="preserve">’s credit matrices would be if all of Staff’s </w:t>
      </w:r>
      <w:r w:rsidR="006E5E21">
        <w:rPr>
          <w:rFonts w:ascii="Times New Roman" w:hAnsi="Times New Roman"/>
          <w:bCs/>
          <w:sz w:val="24"/>
          <w:szCs w:val="24"/>
        </w:rPr>
        <w:t xml:space="preserve">revenue requirement </w:t>
      </w:r>
      <w:r w:rsidR="00FF1CE2">
        <w:rPr>
          <w:rFonts w:ascii="Times New Roman" w:hAnsi="Times New Roman"/>
          <w:bCs/>
          <w:sz w:val="24"/>
          <w:szCs w:val="24"/>
        </w:rPr>
        <w:t>recommendation</w:t>
      </w:r>
      <w:r w:rsidR="008915EA">
        <w:rPr>
          <w:rFonts w:ascii="Times New Roman" w:hAnsi="Times New Roman"/>
          <w:bCs/>
          <w:sz w:val="24"/>
          <w:szCs w:val="24"/>
        </w:rPr>
        <w:t>s were adopted</w:t>
      </w:r>
      <w:r w:rsidR="00FF1CE2">
        <w:rPr>
          <w:rFonts w:ascii="Times New Roman" w:hAnsi="Times New Roman"/>
          <w:bCs/>
          <w:sz w:val="24"/>
          <w:szCs w:val="24"/>
        </w:rPr>
        <w:t xml:space="preserve">.  </w:t>
      </w:r>
      <w:r w:rsidR="006E5E21">
        <w:rPr>
          <w:rFonts w:ascii="Times New Roman" w:hAnsi="Times New Roman"/>
          <w:bCs/>
          <w:sz w:val="24"/>
          <w:szCs w:val="24"/>
        </w:rPr>
        <w:t>PSE</w:t>
      </w:r>
      <w:r w:rsidR="00FF1CE2">
        <w:rPr>
          <w:rFonts w:ascii="Times New Roman" w:hAnsi="Times New Roman"/>
          <w:bCs/>
          <w:sz w:val="24"/>
          <w:szCs w:val="24"/>
        </w:rPr>
        <w:t xml:space="preserve"> then compares its portra</w:t>
      </w:r>
      <w:r w:rsidR="00A119C0">
        <w:rPr>
          <w:rFonts w:ascii="Times New Roman" w:hAnsi="Times New Roman"/>
          <w:bCs/>
          <w:sz w:val="24"/>
          <w:szCs w:val="24"/>
        </w:rPr>
        <w:t>yal with S&amp;P</w:t>
      </w:r>
      <w:r w:rsidR="00FF1CE2">
        <w:rPr>
          <w:rFonts w:ascii="Times New Roman" w:hAnsi="Times New Roman"/>
          <w:bCs/>
          <w:sz w:val="24"/>
          <w:szCs w:val="24"/>
        </w:rPr>
        <w:t xml:space="preserve">’s “Expectation” for each metric to imply that </w:t>
      </w:r>
      <w:r w:rsidR="001407CB">
        <w:rPr>
          <w:rFonts w:ascii="Times New Roman" w:hAnsi="Times New Roman"/>
          <w:bCs/>
          <w:sz w:val="24"/>
          <w:szCs w:val="24"/>
        </w:rPr>
        <w:t xml:space="preserve">adoption of </w:t>
      </w:r>
      <w:r w:rsidR="008915EA">
        <w:rPr>
          <w:rFonts w:ascii="Times New Roman" w:hAnsi="Times New Roman"/>
          <w:bCs/>
          <w:sz w:val="24"/>
          <w:szCs w:val="24"/>
        </w:rPr>
        <w:t xml:space="preserve">the Staff case </w:t>
      </w:r>
      <w:r w:rsidR="00FF1CE2">
        <w:rPr>
          <w:rFonts w:ascii="Times New Roman" w:hAnsi="Times New Roman"/>
          <w:bCs/>
          <w:sz w:val="24"/>
          <w:szCs w:val="24"/>
        </w:rPr>
        <w:t xml:space="preserve">would </w:t>
      </w:r>
      <w:r w:rsidR="001407CB">
        <w:rPr>
          <w:rFonts w:ascii="Times New Roman" w:hAnsi="Times New Roman"/>
          <w:bCs/>
          <w:sz w:val="24"/>
          <w:szCs w:val="24"/>
        </w:rPr>
        <w:t>threaten PSE’s current credit rating.</w:t>
      </w:r>
      <w:r w:rsidR="001407CB">
        <w:rPr>
          <w:rStyle w:val="FootnoteReference"/>
          <w:rFonts w:ascii="Times New Roman" w:hAnsi="Times New Roman"/>
          <w:bCs/>
          <w:sz w:val="24"/>
          <w:szCs w:val="24"/>
        </w:rPr>
        <w:footnoteReference w:id="56"/>
      </w:r>
      <w:r w:rsidR="00FF1CE2">
        <w:rPr>
          <w:rFonts w:ascii="Times New Roman" w:hAnsi="Times New Roman"/>
          <w:bCs/>
          <w:sz w:val="24"/>
          <w:szCs w:val="24"/>
        </w:rPr>
        <w:t xml:space="preserve"> </w:t>
      </w:r>
    </w:p>
    <w:p w:rsidR="001407CB" w:rsidRPr="007D6CD9" w:rsidRDefault="00DA20F8" w:rsidP="00C61B17">
      <w:pPr>
        <w:pStyle w:val="ListParagraph"/>
        <w:numPr>
          <w:ilvl w:val="0"/>
          <w:numId w:val="11"/>
        </w:numPr>
        <w:spacing w:line="480" w:lineRule="auto"/>
        <w:rPr>
          <w:rFonts w:ascii="Times New Roman" w:hAnsi="Times New Roman"/>
          <w:bCs/>
          <w:sz w:val="24"/>
          <w:szCs w:val="24"/>
        </w:rPr>
      </w:pPr>
      <w:r>
        <w:rPr>
          <w:rFonts w:ascii="Times New Roman" w:hAnsi="Times New Roman"/>
          <w:bCs/>
          <w:sz w:val="24"/>
          <w:szCs w:val="24"/>
        </w:rPr>
        <w:tab/>
      </w:r>
      <w:r w:rsidR="00785558">
        <w:rPr>
          <w:rFonts w:ascii="Times New Roman" w:hAnsi="Times New Roman"/>
          <w:bCs/>
          <w:sz w:val="24"/>
          <w:szCs w:val="24"/>
        </w:rPr>
        <w:t>B</w:t>
      </w:r>
      <w:r w:rsidR="00DB2B40">
        <w:rPr>
          <w:rFonts w:ascii="Times New Roman" w:hAnsi="Times New Roman"/>
          <w:bCs/>
          <w:sz w:val="24"/>
          <w:szCs w:val="24"/>
        </w:rPr>
        <w:t>y this logic</w:t>
      </w:r>
      <w:r w:rsidR="00785558">
        <w:rPr>
          <w:rFonts w:ascii="Times New Roman" w:hAnsi="Times New Roman"/>
          <w:bCs/>
          <w:sz w:val="24"/>
          <w:szCs w:val="24"/>
        </w:rPr>
        <w:t>,</w:t>
      </w:r>
      <w:r w:rsidR="007F4BD8">
        <w:rPr>
          <w:rFonts w:ascii="Times New Roman" w:hAnsi="Times New Roman"/>
          <w:bCs/>
          <w:sz w:val="24"/>
          <w:szCs w:val="24"/>
        </w:rPr>
        <w:t xml:space="preserve"> PSE</w:t>
      </w:r>
      <w:r w:rsidR="001407CB">
        <w:rPr>
          <w:rFonts w:ascii="Times New Roman" w:hAnsi="Times New Roman"/>
          <w:bCs/>
          <w:sz w:val="24"/>
          <w:szCs w:val="24"/>
        </w:rPr>
        <w:t xml:space="preserve">’s </w:t>
      </w:r>
      <w:r w:rsidR="00DB2B40">
        <w:rPr>
          <w:rFonts w:ascii="Times New Roman" w:hAnsi="Times New Roman"/>
          <w:bCs/>
          <w:sz w:val="24"/>
          <w:szCs w:val="24"/>
        </w:rPr>
        <w:t>own case should be rejected since</w:t>
      </w:r>
      <w:r w:rsidR="001407CB">
        <w:rPr>
          <w:rFonts w:ascii="Times New Roman" w:hAnsi="Times New Roman"/>
          <w:bCs/>
          <w:sz w:val="24"/>
          <w:szCs w:val="24"/>
        </w:rPr>
        <w:t xml:space="preserve"> it</w:t>
      </w:r>
      <w:r w:rsidR="00A119C0">
        <w:rPr>
          <w:rFonts w:ascii="Times New Roman" w:hAnsi="Times New Roman"/>
          <w:bCs/>
          <w:sz w:val="24"/>
          <w:szCs w:val="24"/>
        </w:rPr>
        <w:t xml:space="preserve"> also does not meet S&amp;P</w:t>
      </w:r>
      <w:r w:rsidR="001407CB">
        <w:rPr>
          <w:rFonts w:ascii="Times New Roman" w:hAnsi="Times New Roman"/>
          <w:bCs/>
          <w:sz w:val="24"/>
          <w:szCs w:val="24"/>
        </w:rPr>
        <w:t>’s Expectations.</w:t>
      </w:r>
      <w:r w:rsidR="001407CB">
        <w:rPr>
          <w:rStyle w:val="FootnoteReference"/>
          <w:rFonts w:ascii="Times New Roman" w:hAnsi="Times New Roman"/>
          <w:bCs/>
          <w:sz w:val="24"/>
          <w:szCs w:val="24"/>
        </w:rPr>
        <w:footnoteReference w:id="57"/>
      </w:r>
      <w:r w:rsidR="00A119C0">
        <w:rPr>
          <w:rFonts w:ascii="Times New Roman" w:hAnsi="Times New Roman"/>
          <w:bCs/>
          <w:sz w:val="24"/>
          <w:szCs w:val="24"/>
        </w:rPr>
        <w:t xml:space="preserve">  More to the point</w:t>
      </w:r>
      <w:r w:rsidR="001407CB">
        <w:rPr>
          <w:rFonts w:ascii="Times New Roman" w:hAnsi="Times New Roman"/>
          <w:bCs/>
          <w:sz w:val="24"/>
          <w:szCs w:val="24"/>
        </w:rPr>
        <w:t xml:space="preserve">, </w:t>
      </w:r>
      <w:r w:rsidR="00044D1F">
        <w:rPr>
          <w:rFonts w:ascii="Times New Roman" w:hAnsi="Times New Roman"/>
          <w:bCs/>
          <w:sz w:val="24"/>
          <w:szCs w:val="24"/>
        </w:rPr>
        <w:t>the assignment of c</w:t>
      </w:r>
      <w:r w:rsidR="00785558">
        <w:rPr>
          <w:rFonts w:ascii="Times New Roman" w:hAnsi="Times New Roman"/>
          <w:bCs/>
          <w:sz w:val="24"/>
          <w:szCs w:val="24"/>
        </w:rPr>
        <w:t xml:space="preserve">redit ratings </w:t>
      </w:r>
      <w:r w:rsidR="00044D1F">
        <w:rPr>
          <w:rFonts w:ascii="Times New Roman" w:hAnsi="Times New Roman"/>
          <w:bCs/>
          <w:sz w:val="24"/>
          <w:szCs w:val="24"/>
        </w:rPr>
        <w:t>is not the</w:t>
      </w:r>
      <w:r w:rsidR="00DB2B40">
        <w:rPr>
          <w:rFonts w:ascii="Times New Roman" w:hAnsi="Times New Roman"/>
          <w:bCs/>
          <w:sz w:val="24"/>
          <w:szCs w:val="24"/>
        </w:rPr>
        <w:t xml:space="preserve"> mechanical exercise PSE implies</w:t>
      </w:r>
      <w:r w:rsidR="00570785">
        <w:rPr>
          <w:rFonts w:ascii="Times New Roman" w:hAnsi="Times New Roman"/>
          <w:bCs/>
          <w:sz w:val="24"/>
          <w:szCs w:val="24"/>
        </w:rPr>
        <w:t xml:space="preserve">.  </w:t>
      </w:r>
      <w:r w:rsidR="00A119C0">
        <w:rPr>
          <w:rFonts w:ascii="Times New Roman" w:hAnsi="Times New Roman"/>
          <w:bCs/>
          <w:sz w:val="24"/>
          <w:szCs w:val="24"/>
        </w:rPr>
        <w:t>S&amp;P</w:t>
      </w:r>
      <w:r w:rsidR="00044D1F">
        <w:rPr>
          <w:rFonts w:ascii="Times New Roman" w:hAnsi="Times New Roman"/>
          <w:bCs/>
          <w:sz w:val="24"/>
          <w:szCs w:val="24"/>
        </w:rPr>
        <w:t xml:space="preserve"> also considers qualitativ</w:t>
      </w:r>
      <w:r w:rsidR="00785558">
        <w:rPr>
          <w:rFonts w:ascii="Times New Roman" w:hAnsi="Times New Roman"/>
          <w:bCs/>
          <w:sz w:val="24"/>
          <w:szCs w:val="24"/>
        </w:rPr>
        <w:t>e factors</w:t>
      </w:r>
      <w:r w:rsidR="00044D1F">
        <w:rPr>
          <w:rFonts w:ascii="Times New Roman" w:hAnsi="Times New Roman"/>
          <w:bCs/>
          <w:sz w:val="24"/>
          <w:szCs w:val="24"/>
        </w:rPr>
        <w:t>.  The qualitative factors S</w:t>
      </w:r>
      <w:r w:rsidR="00A119C0">
        <w:rPr>
          <w:rFonts w:ascii="Times New Roman" w:hAnsi="Times New Roman"/>
          <w:bCs/>
          <w:sz w:val="24"/>
          <w:szCs w:val="24"/>
        </w:rPr>
        <w:t xml:space="preserve">&amp;P </w:t>
      </w:r>
      <w:r w:rsidR="00570785">
        <w:rPr>
          <w:rFonts w:ascii="Times New Roman" w:hAnsi="Times New Roman"/>
          <w:bCs/>
          <w:sz w:val="24"/>
          <w:szCs w:val="24"/>
        </w:rPr>
        <w:t xml:space="preserve">considered when it increased PSE’s </w:t>
      </w:r>
      <w:r w:rsidR="00044D1F">
        <w:rPr>
          <w:rFonts w:ascii="Times New Roman" w:hAnsi="Times New Roman"/>
          <w:bCs/>
          <w:sz w:val="24"/>
          <w:szCs w:val="24"/>
        </w:rPr>
        <w:t xml:space="preserve">credit rating </w:t>
      </w:r>
      <w:r w:rsidR="00570785">
        <w:rPr>
          <w:rFonts w:ascii="Times New Roman" w:hAnsi="Times New Roman"/>
          <w:bCs/>
          <w:sz w:val="24"/>
          <w:szCs w:val="24"/>
        </w:rPr>
        <w:t>were PSE</w:t>
      </w:r>
      <w:r w:rsidR="00044D1F">
        <w:rPr>
          <w:rFonts w:ascii="Times New Roman" w:hAnsi="Times New Roman"/>
          <w:bCs/>
          <w:sz w:val="24"/>
          <w:szCs w:val="24"/>
        </w:rPr>
        <w:t xml:space="preserve">’s “excellent” business risk profile and its </w:t>
      </w:r>
      <w:r w:rsidR="00570785">
        <w:rPr>
          <w:rFonts w:ascii="Times New Roman" w:hAnsi="Times New Roman"/>
          <w:bCs/>
          <w:sz w:val="24"/>
          <w:szCs w:val="24"/>
        </w:rPr>
        <w:t xml:space="preserve">many, </w:t>
      </w:r>
      <w:r w:rsidR="008B2D84">
        <w:rPr>
          <w:rFonts w:ascii="Times New Roman" w:hAnsi="Times New Roman"/>
          <w:bCs/>
          <w:sz w:val="24"/>
          <w:szCs w:val="24"/>
        </w:rPr>
        <w:t xml:space="preserve">significant </w:t>
      </w:r>
      <w:r w:rsidR="00044D1F">
        <w:rPr>
          <w:rFonts w:ascii="Times New Roman" w:hAnsi="Times New Roman"/>
          <w:bCs/>
          <w:sz w:val="24"/>
          <w:szCs w:val="24"/>
        </w:rPr>
        <w:t>cost recovery mechan</w:t>
      </w:r>
      <w:r w:rsidR="00785558">
        <w:rPr>
          <w:rFonts w:ascii="Times New Roman" w:hAnsi="Times New Roman"/>
          <w:bCs/>
          <w:sz w:val="24"/>
          <w:szCs w:val="24"/>
        </w:rPr>
        <w:t>isms</w:t>
      </w:r>
      <w:r w:rsidR="00044D1F">
        <w:rPr>
          <w:rFonts w:ascii="Times New Roman" w:hAnsi="Times New Roman"/>
          <w:bCs/>
          <w:sz w:val="24"/>
          <w:szCs w:val="24"/>
        </w:rPr>
        <w:t>.</w:t>
      </w:r>
      <w:r w:rsidR="00044D1F">
        <w:rPr>
          <w:rStyle w:val="FootnoteReference"/>
          <w:rFonts w:ascii="Times New Roman" w:hAnsi="Times New Roman"/>
          <w:bCs/>
          <w:sz w:val="24"/>
          <w:szCs w:val="24"/>
        </w:rPr>
        <w:footnoteReference w:id="58"/>
      </w:r>
      <w:r w:rsidR="00570785">
        <w:rPr>
          <w:rFonts w:ascii="Times New Roman" w:hAnsi="Times New Roman"/>
          <w:bCs/>
          <w:sz w:val="24"/>
          <w:szCs w:val="24"/>
        </w:rPr>
        <w:t xml:space="preserve">  PSE </w:t>
      </w:r>
      <w:r w:rsidR="0026558E">
        <w:rPr>
          <w:rFonts w:ascii="Times New Roman" w:hAnsi="Times New Roman"/>
          <w:bCs/>
          <w:sz w:val="24"/>
          <w:szCs w:val="24"/>
        </w:rPr>
        <w:t xml:space="preserve">ignores these </w:t>
      </w:r>
      <w:r w:rsidR="00DB2B40">
        <w:rPr>
          <w:rFonts w:ascii="Times New Roman" w:hAnsi="Times New Roman"/>
          <w:bCs/>
          <w:sz w:val="24"/>
          <w:szCs w:val="24"/>
        </w:rPr>
        <w:t>qualitative attributes.  I</w:t>
      </w:r>
      <w:r w:rsidR="0026558E">
        <w:rPr>
          <w:rFonts w:ascii="Times New Roman" w:hAnsi="Times New Roman"/>
          <w:bCs/>
          <w:sz w:val="24"/>
          <w:szCs w:val="24"/>
        </w:rPr>
        <w:t>ts conclusion regarding t</w:t>
      </w:r>
      <w:r w:rsidR="00570785">
        <w:rPr>
          <w:rFonts w:ascii="Times New Roman" w:hAnsi="Times New Roman"/>
          <w:bCs/>
          <w:sz w:val="24"/>
          <w:szCs w:val="24"/>
        </w:rPr>
        <w:t xml:space="preserve">he impacts of the Staff case </w:t>
      </w:r>
      <w:r w:rsidR="0026558E">
        <w:rPr>
          <w:rFonts w:ascii="Times New Roman" w:hAnsi="Times New Roman"/>
          <w:bCs/>
          <w:sz w:val="24"/>
          <w:szCs w:val="24"/>
        </w:rPr>
        <w:t>is pure speculation.</w:t>
      </w:r>
    </w:p>
    <w:p w:rsidR="00C96CFB" w:rsidRDefault="00570785" w:rsidP="00C96CFB">
      <w:pPr>
        <w:tabs>
          <w:tab w:val="left" w:pos="-1440"/>
        </w:tabs>
        <w:spacing w:line="480" w:lineRule="auto"/>
        <w:ind w:left="90" w:hanging="720"/>
        <w:jc w:val="center"/>
        <w:rPr>
          <w:rFonts w:ascii="Times New Roman" w:hAnsi="Times New Roman"/>
          <w:b/>
          <w:sz w:val="24"/>
        </w:rPr>
      </w:pPr>
      <w:r>
        <w:rPr>
          <w:rFonts w:ascii="Times New Roman" w:hAnsi="Times New Roman"/>
          <w:b/>
          <w:sz w:val="24"/>
        </w:rPr>
        <w:t>III</w:t>
      </w:r>
      <w:r w:rsidR="00FA4352">
        <w:rPr>
          <w:rFonts w:ascii="Times New Roman" w:hAnsi="Times New Roman"/>
          <w:b/>
          <w:sz w:val="24"/>
        </w:rPr>
        <w:t>.</w:t>
      </w:r>
      <w:r w:rsidR="00C96CFB">
        <w:rPr>
          <w:rFonts w:ascii="Times New Roman" w:hAnsi="Times New Roman"/>
          <w:b/>
          <w:sz w:val="24"/>
        </w:rPr>
        <w:tab/>
        <w:t>RATEMAKING ADJUSTMENTS</w:t>
      </w:r>
    </w:p>
    <w:p w:rsidR="00500AB0" w:rsidRDefault="00C96CFB" w:rsidP="00DA20F8">
      <w:pPr>
        <w:tabs>
          <w:tab w:val="left" w:pos="-1440"/>
        </w:tabs>
        <w:spacing w:line="480" w:lineRule="auto"/>
        <w:rPr>
          <w:rFonts w:ascii="Times New Roman" w:hAnsi="Times New Roman"/>
          <w:b/>
          <w:sz w:val="24"/>
        </w:rPr>
      </w:pPr>
      <w:r>
        <w:rPr>
          <w:rFonts w:ascii="Times New Roman" w:hAnsi="Times New Roman"/>
          <w:b/>
          <w:sz w:val="24"/>
        </w:rPr>
        <w:t>A.</w:t>
      </w:r>
      <w:r>
        <w:rPr>
          <w:rFonts w:ascii="Times New Roman" w:hAnsi="Times New Roman"/>
          <w:b/>
          <w:sz w:val="24"/>
        </w:rPr>
        <w:tab/>
      </w:r>
      <w:r w:rsidR="00331CB8">
        <w:rPr>
          <w:rFonts w:ascii="Times New Roman" w:hAnsi="Times New Roman"/>
          <w:b/>
          <w:sz w:val="24"/>
        </w:rPr>
        <w:t>Actual Results o</w:t>
      </w:r>
      <w:r w:rsidR="00F27348">
        <w:rPr>
          <w:rFonts w:ascii="Times New Roman" w:hAnsi="Times New Roman"/>
          <w:b/>
          <w:sz w:val="24"/>
        </w:rPr>
        <w:t xml:space="preserve">f Operations </w:t>
      </w:r>
      <w:r w:rsidR="00331CB8">
        <w:rPr>
          <w:rFonts w:ascii="Times New Roman" w:hAnsi="Times New Roman"/>
          <w:b/>
          <w:sz w:val="24"/>
        </w:rPr>
        <w:t>f</w:t>
      </w:r>
      <w:r w:rsidR="00F27348">
        <w:rPr>
          <w:rFonts w:ascii="Times New Roman" w:hAnsi="Times New Roman"/>
          <w:b/>
          <w:sz w:val="24"/>
        </w:rPr>
        <w:t xml:space="preserve">or </w:t>
      </w:r>
      <w:r w:rsidR="00331CB8">
        <w:rPr>
          <w:rFonts w:ascii="Times New Roman" w:hAnsi="Times New Roman"/>
          <w:b/>
          <w:sz w:val="24"/>
        </w:rPr>
        <w:t>t</w:t>
      </w:r>
      <w:r w:rsidR="00F27348">
        <w:rPr>
          <w:rFonts w:ascii="Times New Roman" w:hAnsi="Times New Roman"/>
          <w:b/>
          <w:sz w:val="24"/>
        </w:rPr>
        <w:t>he 2008 Test Year</w:t>
      </w:r>
    </w:p>
    <w:p w:rsidR="00C871DE" w:rsidRPr="00DA20F8" w:rsidRDefault="00DA20F8" w:rsidP="00C61B17">
      <w:pPr>
        <w:pStyle w:val="ListParagraph"/>
        <w:numPr>
          <w:ilvl w:val="0"/>
          <w:numId w:val="11"/>
        </w:numPr>
        <w:tabs>
          <w:tab w:val="left" w:pos="-1440"/>
        </w:tabs>
        <w:spacing w:line="480" w:lineRule="auto"/>
        <w:rPr>
          <w:rFonts w:ascii="Times New Roman" w:hAnsi="Times New Roman"/>
          <w:b/>
          <w:sz w:val="24"/>
        </w:rPr>
      </w:pPr>
      <w:r>
        <w:rPr>
          <w:rFonts w:ascii="Times New Roman" w:hAnsi="Times New Roman"/>
          <w:sz w:val="24"/>
        </w:rPr>
        <w:tab/>
      </w:r>
      <w:r w:rsidR="00C871DE" w:rsidRPr="00DA20F8">
        <w:rPr>
          <w:rFonts w:ascii="Times New Roman" w:hAnsi="Times New Roman"/>
          <w:sz w:val="24"/>
        </w:rPr>
        <w:t xml:space="preserve">Staff and PSE </w:t>
      </w:r>
      <w:r w:rsidR="00500AB0" w:rsidRPr="00DA20F8">
        <w:rPr>
          <w:rFonts w:ascii="Times New Roman" w:hAnsi="Times New Roman"/>
          <w:sz w:val="24"/>
        </w:rPr>
        <w:t xml:space="preserve">agree on the </w:t>
      </w:r>
      <w:r w:rsidR="00E122B3" w:rsidRPr="00DA20F8">
        <w:rPr>
          <w:rFonts w:ascii="Times New Roman" w:hAnsi="Times New Roman"/>
          <w:sz w:val="24"/>
        </w:rPr>
        <w:t xml:space="preserve">electric and gas </w:t>
      </w:r>
      <w:r w:rsidR="00F27348" w:rsidRPr="00DA20F8">
        <w:rPr>
          <w:rFonts w:ascii="Times New Roman" w:hAnsi="Times New Roman"/>
          <w:sz w:val="24"/>
        </w:rPr>
        <w:t xml:space="preserve">per books amounts for the </w:t>
      </w:r>
      <w:r w:rsidR="00E122B3" w:rsidRPr="00DA20F8">
        <w:rPr>
          <w:rFonts w:ascii="Times New Roman" w:hAnsi="Times New Roman"/>
          <w:sz w:val="24"/>
        </w:rPr>
        <w:t xml:space="preserve">2008 </w:t>
      </w:r>
      <w:r w:rsidR="00F27348" w:rsidRPr="00DA20F8">
        <w:rPr>
          <w:rFonts w:ascii="Times New Roman" w:hAnsi="Times New Roman"/>
          <w:sz w:val="24"/>
        </w:rPr>
        <w:t>t</w:t>
      </w:r>
      <w:r w:rsidR="00E122B3" w:rsidRPr="00DA20F8">
        <w:rPr>
          <w:rFonts w:ascii="Times New Roman" w:hAnsi="Times New Roman"/>
          <w:sz w:val="24"/>
        </w:rPr>
        <w:t>est year</w:t>
      </w:r>
      <w:r w:rsidR="00F27348" w:rsidRPr="00DA20F8">
        <w:rPr>
          <w:rFonts w:ascii="Times New Roman" w:hAnsi="Times New Roman"/>
          <w:sz w:val="24"/>
        </w:rPr>
        <w:t>.</w:t>
      </w:r>
      <w:r w:rsidR="00F27348">
        <w:rPr>
          <w:rStyle w:val="FootnoteReference"/>
          <w:rFonts w:ascii="Times New Roman" w:hAnsi="Times New Roman"/>
          <w:sz w:val="24"/>
        </w:rPr>
        <w:footnoteReference w:id="59"/>
      </w:r>
      <w:r w:rsidR="006C0917" w:rsidRPr="00DA20F8">
        <w:rPr>
          <w:rFonts w:ascii="Times New Roman" w:hAnsi="Times New Roman"/>
          <w:sz w:val="24"/>
        </w:rPr>
        <w:t xml:space="preserve">  This includes an </w:t>
      </w:r>
      <w:r w:rsidR="002D009C" w:rsidRPr="00DA20F8">
        <w:rPr>
          <w:rFonts w:ascii="Times New Roman" w:hAnsi="Times New Roman"/>
          <w:sz w:val="24"/>
        </w:rPr>
        <w:t xml:space="preserve">allowance </w:t>
      </w:r>
      <w:r w:rsidR="006C0917" w:rsidRPr="00DA20F8">
        <w:rPr>
          <w:rFonts w:ascii="Times New Roman" w:hAnsi="Times New Roman"/>
          <w:sz w:val="24"/>
        </w:rPr>
        <w:t xml:space="preserve">for </w:t>
      </w:r>
      <w:r w:rsidR="00F27348" w:rsidRPr="00DA20F8">
        <w:rPr>
          <w:rFonts w:ascii="Times New Roman" w:hAnsi="Times New Roman"/>
          <w:sz w:val="24"/>
        </w:rPr>
        <w:t>working capital to:  (1) r</w:t>
      </w:r>
      <w:r w:rsidR="006C0917" w:rsidRPr="00DA20F8">
        <w:rPr>
          <w:rFonts w:ascii="Times New Roman" w:hAnsi="Times New Roman"/>
          <w:sz w:val="24"/>
        </w:rPr>
        <w:t xml:space="preserve">eclassify certain </w:t>
      </w:r>
      <w:r w:rsidR="00F27348" w:rsidRPr="00DA20F8">
        <w:rPr>
          <w:rFonts w:ascii="Times New Roman" w:hAnsi="Times New Roman"/>
          <w:sz w:val="24"/>
        </w:rPr>
        <w:t xml:space="preserve">accounts </w:t>
      </w:r>
      <w:r w:rsidR="00F27348" w:rsidRPr="00DA20F8">
        <w:rPr>
          <w:rFonts w:ascii="Times New Roman" w:hAnsi="Times New Roman"/>
          <w:sz w:val="24"/>
        </w:rPr>
        <w:lastRenderedPageBreak/>
        <w:t xml:space="preserve">related to </w:t>
      </w:r>
      <w:r w:rsidR="004A1C95" w:rsidRPr="00DA20F8">
        <w:rPr>
          <w:rFonts w:ascii="Times New Roman" w:hAnsi="Times New Roman"/>
          <w:sz w:val="24"/>
        </w:rPr>
        <w:t>an oil spill at</w:t>
      </w:r>
      <w:r w:rsidR="00F27348" w:rsidRPr="00DA20F8">
        <w:rPr>
          <w:rFonts w:ascii="Times New Roman" w:hAnsi="Times New Roman"/>
          <w:sz w:val="24"/>
        </w:rPr>
        <w:t xml:space="preserve"> </w:t>
      </w:r>
      <w:r w:rsidR="00470876" w:rsidRPr="00DA20F8">
        <w:rPr>
          <w:rFonts w:ascii="Times New Roman" w:hAnsi="Times New Roman"/>
          <w:sz w:val="24"/>
        </w:rPr>
        <w:t>Crystal Mountai</w:t>
      </w:r>
      <w:r w:rsidR="004A1C95" w:rsidRPr="00DA20F8">
        <w:rPr>
          <w:rFonts w:ascii="Times New Roman" w:hAnsi="Times New Roman"/>
          <w:sz w:val="24"/>
        </w:rPr>
        <w:t>n</w:t>
      </w:r>
      <w:r w:rsidR="00470876" w:rsidRPr="00DA20F8">
        <w:rPr>
          <w:rFonts w:ascii="Times New Roman" w:hAnsi="Times New Roman"/>
          <w:sz w:val="24"/>
        </w:rPr>
        <w:t xml:space="preserve">; </w:t>
      </w:r>
      <w:r w:rsidR="00F27348" w:rsidRPr="00DA20F8">
        <w:rPr>
          <w:rFonts w:ascii="Times New Roman" w:hAnsi="Times New Roman"/>
          <w:sz w:val="24"/>
        </w:rPr>
        <w:t>(2) include combine</w:t>
      </w:r>
      <w:r w:rsidR="002D009C" w:rsidRPr="00DA20F8">
        <w:rPr>
          <w:rFonts w:ascii="Times New Roman" w:hAnsi="Times New Roman"/>
          <w:sz w:val="24"/>
        </w:rPr>
        <w:t xml:space="preserve">d CWIP balances in </w:t>
      </w:r>
      <w:r w:rsidR="00C871DE" w:rsidRPr="00DA20F8">
        <w:rPr>
          <w:rFonts w:ascii="Times New Roman" w:hAnsi="Times New Roman"/>
          <w:sz w:val="24"/>
        </w:rPr>
        <w:t xml:space="preserve">the </w:t>
      </w:r>
      <w:r w:rsidR="00F27348" w:rsidRPr="00DA20F8">
        <w:rPr>
          <w:rFonts w:ascii="Times New Roman" w:hAnsi="Times New Roman"/>
          <w:sz w:val="24"/>
        </w:rPr>
        <w:t>working capital ratios</w:t>
      </w:r>
      <w:r w:rsidR="00941F7D" w:rsidRPr="00DA20F8">
        <w:rPr>
          <w:rFonts w:ascii="Times New Roman" w:hAnsi="Times New Roman"/>
          <w:sz w:val="24"/>
        </w:rPr>
        <w:t xml:space="preserve">; and (3) treat </w:t>
      </w:r>
      <w:r w:rsidR="00470876" w:rsidRPr="00DA20F8">
        <w:rPr>
          <w:rFonts w:ascii="Times New Roman" w:hAnsi="Times New Roman"/>
          <w:sz w:val="24"/>
        </w:rPr>
        <w:t xml:space="preserve">gas customer deposits </w:t>
      </w:r>
      <w:r w:rsidR="00941F7D" w:rsidRPr="00DA20F8">
        <w:rPr>
          <w:rFonts w:ascii="Times New Roman" w:hAnsi="Times New Roman"/>
          <w:sz w:val="24"/>
        </w:rPr>
        <w:t xml:space="preserve">as a </w:t>
      </w:r>
      <w:r w:rsidR="00E122B3" w:rsidRPr="00DA20F8">
        <w:rPr>
          <w:rFonts w:ascii="Times New Roman" w:hAnsi="Times New Roman"/>
          <w:sz w:val="24"/>
        </w:rPr>
        <w:t>rate base reduction</w:t>
      </w:r>
      <w:r w:rsidR="00941F7D" w:rsidRPr="00DA20F8">
        <w:rPr>
          <w:rFonts w:ascii="Times New Roman" w:hAnsi="Times New Roman"/>
          <w:sz w:val="24"/>
        </w:rPr>
        <w:t>.</w:t>
      </w:r>
      <w:r w:rsidR="00F27348">
        <w:rPr>
          <w:rStyle w:val="FootnoteReference"/>
          <w:rFonts w:ascii="Times New Roman" w:hAnsi="Times New Roman"/>
          <w:sz w:val="24"/>
        </w:rPr>
        <w:footnoteReference w:id="60"/>
      </w:r>
      <w:r w:rsidR="00470876" w:rsidRPr="00DA20F8">
        <w:rPr>
          <w:rFonts w:ascii="Times New Roman" w:hAnsi="Times New Roman"/>
          <w:sz w:val="24"/>
        </w:rPr>
        <w:t xml:space="preserve">  </w:t>
      </w:r>
    </w:p>
    <w:p w:rsidR="00C96CFB" w:rsidRDefault="00470876" w:rsidP="00DA20F8">
      <w:pPr>
        <w:tabs>
          <w:tab w:val="left" w:pos="-1440"/>
        </w:tabs>
        <w:spacing w:line="480" w:lineRule="auto"/>
        <w:rPr>
          <w:rFonts w:ascii="Times New Roman" w:hAnsi="Times New Roman"/>
          <w:b/>
          <w:sz w:val="24"/>
        </w:rPr>
      </w:pPr>
      <w:r>
        <w:rPr>
          <w:rFonts w:ascii="Times New Roman" w:hAnsi="Times New Roman"/>
          <w:b/>
          <w:sz w:val="24"/>
        </w:rPr>
        <w:t>B</w:t>
      </w:r>
      <w:r w:rsidR="00500AB0">
        <w:rPr>
          <w:rFonts w:ascii="Times New Roman" w:hAnsi="Times New Roman"/>
          <w:b/>
          <w:sz w:val="24"/>
        </w:rPr>
        <w:t>.</w:t>
      </w:r>
      <w:r w:rsidR="00500AB0">
        <w:rPr>
          <w:rFonts w:ascii="Times New Roman" w:hAnsi="Times New Roman"/>
          <w:b/>
          <w:sz w:val="24"/>
        </w:rPr>
        <w:tab/>
      </w:r>
      <w:r w:rsidR="00C96CFB">
        <w:rPr>
          <w:rFonts w:ascii="Times New Roman" w:hAnsi="Times New Roman"/>
          <w:b/>
          <w:sz w:val="24"/>
        </w:rPr>
        <w:t xml:space="preserve">Uncontested </w:t>
      </w:r>
      <w:r w:rsidR="006E049B">
        <w:rPr>
          <w:rFonts w:ascii="Times New Roman" w:hAnsi="Times New Roman"/>
          <w:b/>
          <w:sz w:val="24"/>
        </w:rPr>
        <w:t xml:space="preserve">Ratemaking </w:t>
      </w:r>
      <w:r w:rsidR="00C96CFB">
        <w:rPr>
          <w:rFonts w:ascii="Times New Roman" w:hAnsi="Times New Roman"/>
          <w:b/>
          <w:sz w:val="24"/>
        </w:rPr>
        <w:t>Adjustments</w:t>
      </w:r>
    </w:p>
    <w:p w:rsidR="00C96CFB" w:rsidRPr="00DA20F8" w:rsidRDefault="00DA20F8"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C96CFB" w:rsidRPr="00DA20F8">
        <w:rPr>
          <w:rFonts w:ascii="Times New Roman" w:hAnsi="Times New Roman"/>
          <w:sz w:val="24"/>
        </w:rPr>
        <w:t>The following electric</w:t>
      </w:r>
      <w:r w:rsidR="00D03DAA" w:rsidRPr="00DA20F8">
        <w:rPr>
          <w:rFonts w:ascii="Times New Roman" w:hAnsi="Times New Roman"/>
          <w:sz w:val="24"/>
        </w:rPr>
        <w:t xml:space="preserve">ity and natural gas </w:t>
      </w:r>
      <w:r w:rsidR="00C96CFB" w:rsidRPr="00DA20F8">
        <w:rPr>
          <w:rFonts w:ascii="Times New Roman" w:hAnsi="Times New Roman"/>
          <w:sz w:val="24"/>
        </w:rPr>
        <w:t>ratemaking adjustments are uncontested</w:t>
      </w:r>
      <w:r w:rsidR="00066BBA" w:rsidRPr="00DA20F8">
        <w:rPr>
          <w:rFonts w:ascii="Times New Roman" w:hAnsi="Times New Roman"/>
          <w:sz w:val="24"/>
        </w:rPr>
        <w:t xml:space="preserve"> </w:t>
      </w:r>
      <w:r w:rsidR="00F27751" w:rsidRPr="00DA20F8">
        <w:rPr>
          <w:rFonts w:ascii="Times New Roman" w:hAnsi="Times New Roman"/>
          <w:sz w:val="24"/>
        </w:rPr>
        <w:t xml:space="preserve">as </w:t>
      </w:r>
      <w:r w:rsidR="00E122B3" w:rsidRPr="00DA20F8">
        <w:rPr>
          <w:rFonts w:ascii="Times New Roman" w:hAnsi="Times New Roman"/>
          <w:sz w:val="24"/>
        </w:rPr>
        <w:t xml:space="preserve">between PSE </w:t>
      </w:r>
      <w:r w:rsidR="00066BBA" w:rsidRPr="00DA20F8">
        <w:rPr>
          <w:rFonts w:ascii="Times New Roman" w:hAnsi="Times New Roman"/>
          <w:sz w:val="24"/>
        </w:rPr>
        <w:t>and Staf</w:t>
      </w:r>
      <w:r w:rsidR="006E049B" w:rsidRPr="00DA20F8">
        <w:rPr>
          <w:rFonts w:ascii="Times New Roman" w:hAnsi="Times New Roman"/>
          <w:sz w:val="24"/>
        </w:rPr>
        <w:t xml:space="preserve">f and </w:t>
      </w:r>
      <w:r w:rsidR="00D03DAA" w:rsidRPr="00DA20F8">
        <w:rPr>
          <w:rFonts w:ascii="Times New Roman" w:hAnsi="Times New Roman"/>
          <w:sz w:val="24"/>
        </w:rPr>
        <w:t>should be adopted by the Commission</w:t>
      </w:r>
      <w:r w:rsidR="00066BBA" w:rsidRPr="00DA20F8">
        <w:rPr>
          <w:rFonts w:ascii="Times New Roman" w:hAnsi="Times New Roman"/>
          <w:sz w:val="24"/>
        </w:rPr>
        <w:t>:</w:t>
      </w:r>
    </w:p>
    <w:p w:rsidR="00D03DAA" w:rsidRDefault="00D03DAA" w:rsidP="00233D04">
      <w:pPr>
        <w:tabs>
          <w:tab w:val="left" w:pos="-1440"/>
        </w:tabs>
        <w:ind w:left="90" w:hanging="720"/>
        <w:rPr>
          <w:rFonts w:ascii="Times New Roman" w:hAnsi="Times New Roman"/>
          <w:sz w:val="24"/>
          <w:u w:val="single"/>
        </w:rPr>
      </w:pPr>
      <w:r>
        <w:rPr>
          <w:rFonts w:ascii="Times New Roman" w:hAnsi="Times New Roman"/>
          <w:sz w:val="24"/>
        </w:rPr>
        <w:tab/>
      </w:r>
      <w:r>
        <w:rPr>
          <w:rFonts w:ascii="Times New Roman" w:hAnsi="Times New Roman"/>
          <w:sz w:val="24"/>
        </w:rPr>
        <w:tab/>
      </w:r>
      <w:r w:rsidRPr="006E049B">
        <w:rPr>
          <w:rFonts w:ascii="Times New Roman" w:hAnsi="Times New Roman"/>
          <w:sz w:val="24"/>
          <w:u w:val="single"/>
        </w:rPr>
        <w:t>Electricity Adjustments</w:t>
      </w:r>
      <w:r w:rsidRPr="006E049B">
        <w:rPr>
          <w:rFonts w:ascii="Times New Roman" w:hAnsi="Times New Roman"/>
          <w:sz w:val="24"/>
        </w:rPr>
        <w:tab/>
      </w:r>
      <w:r w:rsidRPr="006E049B">
        <w:rPr>
          <w:rFonts w:ascii="Times New Roman" w:hAnsi="Times New Roman"/>
          <w:sz w:val="24"/>
        </w:rPr>
        <w:tab/>
      </w:r>
      <w:r w:rsidRPr="006E049B">
        <w:rPr>
          <w:rFonts w:ascii="Times New Roman" w:hAnsi="Times New Roman"/>
          <w:sz w:val="24"/>
        </w:rPr>
        <w:tab/>
      </w:r>
      <w:r w:rsidRPr="006E049B">
        <w:rPr>
          <w:rFonts w:ascii="Times New Roman" w:hAnsi="Times New Roman"/>
          <w:sz w:val="24"/>
          <w:u w:val="single"/>
        </w:rPr>
        <w:t>Natural Gas Adjustments</w:t>
      </w:r>
    </w:p>
    <w:p w:rsidR="000C0659" w:rsidRPr="006E049B" w:rsidRDefault="000C0659" w:rsidP="00233D04">
      <w:pPr>
        <w:tabs>
          <w:tab w:val="left" w:pos="-1440"/>
        </w:tabs>
        <w:ind w:left="90" w:hanging="720"/>
        <w:rPr>
          <w:rFonts w:ascii="Times New Roman" w:hAnsi="Times New Roman"/>
          <w:sz w:val="24"/>
        </w:rPr>
      </w:pPr>
    </w:p>
    <w:p w:rsidR="00D1647B" w:rsidRDefault="00D03DAA" w:rsidP="00233D04">
      <w:pPr>
        <w:tabs>
          <w:tab w:val="left" w:pos="-1440"/>
        </w:tabs>
        <w:ind w:left="90" w:hanging="720"/>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sz w:val="24"/>
        </w:rPr>
        <w:t>10.01</w:t>
      </w:r>
      <w:r>
        <w:rPr>
          <w:rFonts w:ascii="Times New Roman" w:hAnsi="Times New Roman"/>
          <w:sz w:val="24"/>
        </w:rPr>
        <w:tab/>
        <w:t>Temperature Normalization</w:t>
      </w:r>
      <w:r w:rsidR="00D1647B">
        <w:rPr>
          <w:rFonts w:ascii="Times New Roman" w:hAnsi="Times New Roman"/>
          <w:sz w:val="24"/>
        </w:rPr>
        <w:tab/>
      </w:r>
      <w:r w:rsidR="00D1647B">
        <w:rPr>
          <w:rFonts w:ascii="Times New Roman" w:hAnsi="Times New Roman"/>
          <w:sz w:val="24"/>
        </w:rPr>
        <w:tab/>
        <w:t>9.01</w:t>
      </w:r>
      <w:r w:rsidR="00D1647B">
        <w:rPr>
          <w:rFonts w:ascii="Times New Roman" w:hAnsi="Times New Roman"/>
          <w:sz w:val="24"/>
        </w:rPr>
        <w:tab/>
        <w:t>Temperature Normalization</w:t>
      </w:r>
    </w:p>
    <w:p w:rsidR="00D03DAA" w:rsidRDefault="00D1647B"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10.04</w:t>
      </w:r>
      <w:r>
        <w:rPr>
          <w:rFonts w:ascii="Times New Roman" w:hAnsi="Times New Roman"/>
          <w:sz w:val="24"/>
        </w:rPr>
        <w:tab/>
        <w:t>Federal Income Tax</w:t>
      </w:r>
      <w:r>
        <w:rPr>
          <w:rFonts w:ascii="Times New Roman" w:hAnsi="Times New Roman"/>
          <w:sz w:val="24"/>
        </w:rPr>
        <w:tab/>
      </w:r>
      <w:r>
        <w:rPr>
          <w:rFonts w:ascii="Times New Roman" w:hAnsi="Times New Roman"/>
          <w:sz w:val="24"/>
        </w:rPr>
        <w:tab/>
      </w:r>
      <w:r>
        <w:rPr>
          <w:rFonts w:ascii="Times New Roman" w:hAnsi="Times New Roman"/>
          <w:sz w:val="24"/>
        </w:rPr>
        <w:tab/>
        <w:t>9.04</w:t>
      </w:r>
      <w:r>
        <w:rPr>
          <w:rFonts w:ascii="Times New Roman" w:hAnsi="Times New Roman"/>
          <w:sz w:val="24"/>
        </w:rPr>
        <w:tab/>
        <w:t>Federal Income Tax</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10.12</w:t>
      </w:r>
      <w:r>
        <w:rPr>
          <w:rFonts w:ascii="Times New Roman" w:hAnsi="Times New Roman"/>
          <w:sz w:val="24"/>
        </w:rPr>
        <w:tab/>
        <w:t>Pass-Through Rev &amp; Expense</w:t>
      </w:r>
      <w:r>
        <w:rPr>
          <w:rFonts w:ascii="Times New Roman" w:hAnsi="Times New Roman"/>
          <w:sz w:val="24"/>
        </w:rPr>
        <w:tab/>
      </w:r>
      <w:r w:rsidR="00685BBE">
        <w:rPr>
          <w:rFonts w:ascii="Times New Roman" w:hAnsi="Times New Roman"/>
          <w:sz w:val="24"/>
        </w:rPr>
        <w:t>9.06</w:t>
      </w:r>
      <w:r w:rsidR="00685BBE">
        <w:rPr>
          <w:rFonts w:ascii="Times New Roman" w:hAnsi="Times New Roman"/>
          <w:sz w:val="24"/>
        </w:rPr>
        <w:tab/>
        <w:t>Depreciation Study</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10.13</w:t>
      </w:r>
      <w:r>
        <w:rPr>
          <w:rFonts w:ascii="Times New Roman" w:hAnsi="Times New Roman"/>
          <w:sz w:val="24"/>
        </w:rPr>
        <w:tab/>
        <w:t>Bad Debt</w:t>
      </w:r>
      <w:r w:rsidR="00685BBE">
        <w:rPr>
          <w:rFonts w:ascii="Times New Roman" w:hAnsi="Times New Roman"/>
          <w:sz w:val="24"/>
        </w:rPr>
        <w:tab/>
      </w:r>
      <w:r w:rsidR="00685BBE">
        <w:rPr>
          <w:rFonts w:ascii="Times New Roman" w:hAnsi="Times New Roman"/>
          <w:sz w:val="24"/>
        </w:rPr>
        <w:tab/>
      </w:r>
      <w:r w:rsidR="00685BBE">
        <w:rPr>
          <w:rFonts w:ascii="Times New Roman" w:hAnsi="Times New Roman"/>
          <w:sz w:val="24"/>
        </w:rPr>
        <w:tab/>
      </w:r>
      <w:r w:rsidR="00685BBE">
        <w:rPr>
          <w:rFonts w:ascii="Times New Roman" w:hAnsi="Times New Roman"/>
          <w:sz w:val="24"/>
        </w:rPr>
        <w:tab/>
        <w:t>9.07</w:t>
      </w:r>
      <w:r w:rsidR="00685BBE">
        <w:rPr>
          <w:rFonts w:ascii="Times New Roman" w:hAnsi="Times New Roman"/>
          <w:sz w:val="24"/>
        </w:rPr>
        <w:tab/>
        <w:t>Pass-Through Rev &amp; Expense</w:t>
      </w:r>
    </w:p>
    <w:p w:rsidR="00685BBE" w:rsidRDefault="00685BBE"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10.14</w:t>
      </w:r>
      <w:r>
        <w:rPr>
          <w:rFonts w:ascii="Times New Roman" w:hAnsi="Times New Roman"/>
          <w:sz w:val="24"/>
        </w:rPr>
        <w:tab/>
        <w:t>Miscellaneous Operating Exp.</w:t>
      </w:r>
      <w:r>
        <w:rPr>
          <w:rFonts w:ascii="Times New Roman" w:hAnsi="Times New Roman"/>
          <w:sz w:val="24"/>
        </w:rPr>
        <w:tab/>
        <w:t>9.08</w:t>
      </w:r>
      <w:r>
        <w:rPr>
          <w:rFonts w:ascii="Times New Roman" w:hAnsi="Times New Roman"/>
          <w:sz w:val="24"/>
        </w:rPr>
        <w:tab/>
        <w:t>Bad Debt</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10.16</w:t>
      </w:r>
      <w:r>
        <w:rPr>
          <w:rFonts w:ascii="Times New Roman" w:hAnsi="Times New Roman"/>
          <w:sz w:val="24"/>
        </w:rPr>
        <w:tab/>
        <w:t>Excise Tax &amp; Filing Fee</w:t>
      </w:r>
      <w:r w:rsidR="00685BBE">
        <w:rPr>
          <w:rFonts w:ascii="Times New Roman" w:hAnsi="Times New Roman"/>
          <w:sz w:val="24"/>
        </w:rPr>
        <w:tab/>
      </w:r>
      <w:r w:rsidR="00685BBE">
        <w:rPr>
          <w:rFonts w:ascii="Times New Roman" w:hAnsi="Times New Roman"/>
          <w:sz w:val="24"/>
        </w:rPr>
        <w:tab/>
        <w:t>9.09</w:t>
      </w:r>
      <w:r w:rsidR="00685BBE">
        <w:rPr>
          <w:rFonts w:ascii="Times New Roman" w:hAnsi="Times New Roman"/>
          <w:sz w:val="24"/>
        </w:rPr>
        <w:tab/>
        <w:t>Miscellaneous Operating Exp.</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10.18</w:t>
      </w:r>
      <w:r>
        <w:rPr>
          <w:rFonts w:ascii="Times New Roman" w:hAnsi="Times New Roman"/>
          <w:sz w:val="24"/>
        </w:rPr>
        <w:tab/>
        <w:t>Montana Electric Energy Tax</w:t>
      </w:r>
      <w:r w:rsidR="00685BBE">
        <w:rPr>
          <w:rFonts w:ascii="Times New Roman" w:hAnsi="Times New Roman"/>
          <w:sz w:val="24"/>
        </w:rPr>
        <w:tab/>
      </w:r>
      <w:r w:rsidR="00685BBE">
        <w:rPr>
          <w:rFonts w:ascii="Times New Roman" w:hAnsi="Times New Roman"/>
          <w:sz w:val="24"/>
        </w:rPr>
        <w:tab/>
        <w:t>9.11</w:t>
      </w:r>
      <w:r w:rsidR="00685BBE">
        <w:rPr>
          <w:rFonts w:ascii="Times New Roman" w:hAnsi="Times New Roman"/>
          <w:sz w:val="24"/>
        </w:rPr>
        <w:tab/>
        <w:t>Excise Tax &amp; Filing Fee</w:t>
      </w:r>
      <w:r w:rsidR="00685BBE">
        <w:rPr>
          <w:rFonts w:ascii="Times New Roman" w:hAnsi="Times New Roman"/>
          <w:sz w:val="24"/>
        </w:rPr>
        <w:tab/>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10.19</w:t>
      </w:r>
      <w:r>
        <w:rPr>
          <w:rFonts w:ascii="Times New Roman" w:hAnsi="Times New Roman"/>
          <w:sz w:val="24"/>
        </w:rPr>
        <w:tab/>
        <w:t>Interest on Customer Deposits</w:t>
      </w:r>
      <w:r>
        <w:rPr>
          <w:rFonts w:ascii="Times New Roman" w:hAnsi="Times New Roman"/>
          <w:sz w:val="24"/>
        </w:rPr>
        <w:tab/>
      </w:r>
      <w:r w:rsidR="00685BBE">
        <w:rPr>
          <w:rFonts w:ascii="Times New Roman" w:hAnsi="Times New Roman"/>
          <w:sz w:val="24"/>
        </w:rPr>
        <w:t>9.13</w:t>
      </w:r>
      <w:r w:rsidR="00685BBE">
        <w:rPr>
          <w:rFonts w:ascii="Times New Roman" w:hAnsi="Times New Roman"/>
          <w:sz w:val="24"/>
        </w:rPr>
        <w:tab/>
        <w:t>Interest on Customer Deposits</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10.20</w:t>
      </w:r>
      <w:r>
        <w:rPr>
          <w:rFonts w:ascii="Times New Roman" w:hAnsi="Times New Roman"/>
          <w:sz w:val="24"/>
        </w:rPr>
        <w:tab/>
        <w:t>SFAS 133</w:t>
      </w:r>
      <w:r w:rsidR="00685BBE">
        <w:rPr>
          <w:rFonts w:ascii="Times New Roman" w:hAnsi="Times New Roman"/>
          <w:sz w:val="24"/>
        </w:rPr>
        <w:tab/>
      </w:r>
      <w:r w:rsidR="00685BBE">
        <w:rPr>
          <w:rFonts w:ascii="Times New Roman" w:hAnsi="Times New Roman"/>
          <w:sz w:val="24"/>
        </w:rPr>
        <w:tab/>
      </w:r>
      <w:r w:rsidR="00685BBE">
        <w:rPr>
          <w:rFonts w:ascii="Times New Roman" w:hAnsi="Times New Roman"/>
          <w:sz w:val="24"/>
        </w:rPr>
        <w:tab/>
      </w:r>
      <w:r w:rsidR="00685BBE">
        <w:rPr>
          <w:rFonts w:ascii="Times New Roman" w:hAnsi="Times New Roman"/>
          <w:sz w:val="24"/>
        </w:rPr>
        <w:tab/>
        <w:t>9.14</w:t>
      </w:r>
      <w:r w:rsidR="00685BBE">
        <w:rPr>
          <w:rFonts w:ascii="Times New Roman" w:hAnsi="Times New Roman"/>
          <w:sz w:val="24"/>
        </w:rPr>
        <w:tab/>
        <w:t>Rate Case Expense</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10.21</w:t>
      </w:r>
      <w:r>
        <w:rPr>
          <w:rFonts w:ascii="Times New Roman" w:hAnsi="Times New Roman"/>
          <w:sz w:val="24"/>
        </w:rPr>
        <w:tab/>
        <w:t>Rate Case Expense</w:t>
      </w:r>
      <w:r w:rsidR="00685BBE">
        <w:rPr>
          <w:rFonts w:ascii="Times New Roman" w:hAnsi="Times New Roman"/>
          <w:sz w:val="24"/>
        </w:rPr>
        <w:tab/>
      </w:r>
      <w:r w:rsidR="00685BBE">
        <w:rPr>
          <w:rFonts w:ascii="Times New Roman" w:hAnsi="Times New Roman"/>
          <w:sz w:val="24"/>
        </w:rPr>
        <w:tab/>
      </w:r>
      <w:r w:rsidR="00685BBE">
        <w:rPr>
          <w:rFonts w:ascii="Times New Roman" w:hAnsi="Times New Roman"/>
          <w:sz w:val="24"/>
        </w:rPr>
        <w:tab/>
        <w:t>9.15</w:t>
      </w:r>
      <w:r w:rsidR="00685BBE">
        <w:rPr>
          <w:rFonts w:ascii="Times New Roman" w:hAnsi="Times New Roman"/>
          <w:sz w:val="24"/>
        </w:rPr>
        <w:tab/>
        <w:t>Deferred G/L on Property Sales</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10.22</w:t>
      </w:r>
      <w:r>
        <w:rPr>
          <w:rFonts w:ascii="Times New Roman" w:hAnsi="Times New Roman"/>
          <w:sz w:val="24"/>
        </w:rPr>
        <w:tab/>
        <w:t>Deferred G/L on Property Sales</w:t>
      </w:r>
      <w:r w:rsidR="00685BBE">
        <w:rPr>
          <w:rFonts w:ascii="Times New Roman" w:hAnsi="Times New Roman"/>
          <w:sz w:val="24"/>
        </w:rPr>
        <w:tab/>
        <w:t>9.16</w:t>
      </w:r>
      <w:r w:rsidR="00685BBE">
        <w:rPr>
          <w:rFonts w:ascii="Times New Roman" w:hAnsi="Times New Roman"/>
          <w:sz w:val="24"/>
        </w:rPr>
        <w:tab/>
        <w:t>Property &amp; Liability Insurance</w:t>
      </w:r>
    </w:p>
    <w:p w:rsidR="00685BBE"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10.23</w:t>
      </w:r>
      <w:r>
        <w:rPr>
          <w:rFonts w:ascii="Times New Roman" w:hAnsi="Times New Roman"/>
          <w:sz w:val="24"/>
        </w:rPr>
        <w:tab/>
        <w:t>Property &amp; Liability Insurance</w:t>
      </w:r>
      <w:r w:rsidR="00685BBE">
        <w:rPr>
          <w:rFonts w:ascii="Times New Roman" w:hAnsi="Times New Roman"/>
          <w:sz w:val="24"/>
        </w:rPr>
        <w:tab/>
        <w:t>9.17</w:t>
      </w:r>
      <w:r w:rsidR="00685BBE">
        <w:rPr>
          <w:rFonts w:ascii="Times New Roman" w:hAnsi="Times New Roman"/>
          <w:sz w:val="24"/>
        </w:rPr>
        <w:tab/>
        <w:t>Pension Expense</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 xml:space="preserve">10.24 </w:t>
      </w:r>
      <w:r>
        <w:rPr>
          <w:rFonts w:ascii="Times New Roman" w:hAnsi="Times New Roman"/>
          <w:sz w:val="24"/>
        </w:rPr>
        <w:tab/>
        <w:t>Pension Expense</w:t>
      </w:r>
      <w:r w:rsidR="00685BBE">
        <w:rPr>
          <w:rFonts w:ascii="Times New Roman" w:hAnsi="Times New Roman"/>
          <w:sz w:val="24"/>
        </w:rPr>
        <w:tab/>
      </w:r>
      <w:r w:rsidR="00685BBE">
        <w:rPr>
          <w:rFonts w:ascii="Times New Roman" w:hAnsi="Times New Roman"/>
          <w:sz w:val="24"/>
        </w:rPr>
        <w:tab/>
      </w:r>
      <w:r w:rsidR="00685BBE">
        <w:rPr>
          <w:rFonts w:ascii="Times New Roman" w:hAnsi="Times New Roman"/>
          <w:sz w:val="24"/>
        </w:rPr>
        <w:tab/>
        <w:t>9.21</w:t>
      </w:r>
      <w:r w:rsidR="00685BBE">
        <w:rPr>
          <w:rFonts w:ascii="Times New Roman" w:hAnsi="Times New Roman"/>
          <w:sz w:val="24"/>
        </w:rPr>
        <w:tab/>
        <w:t>Incentive Pay</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10.28</w:t>
      </w:r>
      <w:r>
        <w:rPr>
          <w:rFonts w:ascii="Times New Roman" w:hAnsi="Times New Roman"/>
          <w:sz w:val="24"/>
        </w:rPr>
        <w:tab/>
        <w:t>Incentive Pay</w:t>
      </w:r>
      <w:r w:rsidR="00685BBE">
        <w:rPr>
          <w:rFonts w:ascii="Times New Roman" w:hAnsi="Times New Roman"/>
          <w:sz w:val="24"/>
        </w:rPr>
        <w:tab/>
      </w:r>
      <w:r w:rsidR="00685BBE">
        <w:rPr>
          <w:rFonts w:ascii="Times New Roman" w:hAnsi="Times New Roman"/>
          <w:sz w:val="24"/>
        </w:rPr>
        <w:tab/>
      </w:r>
      <w:r w:rsidR="00685BBE">
        <w:rPr>
          <w:rFonts w:ascii="Times New Roman" w:hAnsi="Times New Roman"/>
          <w:sz w:val="24"/>
        </w:rPr>
        <w:tab/>
      </w:r>
      <w:r w:rsidR="00685BBE">
        <w:rPr>
          <w:rFonts w:ascii="Times New Roman" w:hAnsi="Times New Roman"/>
          <w:sz w:val="24"/>
        </w:rPr>
        <w:tab/>
        <w:t>9.22</w:t>
      </w:r>
      <w:r w:rsidR="00685BBE">
        <w:rPr>
          <w:rFonts w:ascii="Times New Roman" w:hAnsi="Times New Roman"/>
          <w:sz w:val="24"/>
        </w:rPr>
        <w:tab/>
        <w:t>Merger Savings</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10.29</w:t>
      </w:r>
      <w:r>
        <w:rPr>
          <w:rFonts w:ascii="Times New Roman" w:hAnsi="Times New Roman"/>
          <w:sz w:val="24"/>
        </w:rPr>
        <w:tab/>
        <w:t>Merger Savings</w:t>
      </w:r>
      <w:r w:rsidR="00685BBE">
        <w:rPr>
          <w:rFonts w:ascii="Times New Roman" w:hAnsi="Times New Roman"/>
          <w:sz w:val="24"/>
        </w:rPr>
        <w:tab/>
      </w:r>
      <w:r w:rsidR="00685BBE">
        <w:rPr>
          <w:rFonts w:ascii="Times New Roman" w:hAnsi="Times New Roman"/>
          <w:sz w:val="24"/>
        </w:rPr>
        <w:tab/>
      </w:r>
      <w:r w:rsidR="00685BBE">
        <w:rPr>
          <w:rFonts w:ascii="Times New Roman" w:hAnsi="Times New Roman"/>
          <w:sz w:val="24"/>
        </w:rPr>
        <w:tab/>
        <w:t>9.23</w:t>
      </w:r>
      <w:r w:rsidR="00685BBE">
        <w:rPr>
          <w:rFonts w:ascii="Times New Roman" w:hAnsi="Times New Roman"/>
          <w:sz w:val="24"/>
        </w:rPr>
        <w:tab/>
        <w:t>Fleet Vehicles</w:t>
      </w:r>
    </w:p>
    <w:p w:rsidR="00D03DAA" w:rsidRDefault="00D03DAA"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r>
      <w:r w:rsidR="00D1647B">
        <w:rPr>
          <w:rFonts w:ascii="Times New Roman" w:hAnsi="Times New Roman"/>
          <w:sz w:val="24"/>
        </w:rPr>
        <w:t xml:space="preserve">10.30 </w:t>
      </w:r>
      <w:r w:rsidR="00D1647B">
        <w:rPr>
          <w:rFonts w:ascii="Times New Roman" w:hAnsi="Times New Roman"/>
          <w:sz w:val="24"/>
        </w:rPr>
        <w:tab/>
        <w:t>Storm Damage</w:t>
      </w:r>
    </w:p>
    <w:p w:rsidR="006E049B" w:rsidRDefault="00D1647B"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 xml:space="preserve">10.32 </w:t>
      </w:r>
      <w:r>
        <w:rPr>
          <w:rFonts w:ascii="Times New Roman" w:hAnsi="Times New Roman"/>
          <w:sz w:val="24"/>
        </w:rPr>
        <w:tab/>
        <w:t>Depreciation Stu</w:t>
      </w:r>
      <w:r w:rsidR="006E049B">
        <w:rPr>
          <w:rFonts w:ascii="Times New Roman" w:hAnsi="Times New Roman"/>
          <w:sz w:val="24"/>
        </w:rPr>
        <w:t>dy</w:t>
      </w:r>
      <w:r w:rsidR="006E049B">
        <w:rPr>
          <w:rFonts w:ascii="Times New Roman" w:hAnsi="Times New Roman"/>
          <w:sz w:val="24"/>
        </w:rPr>
        <w:tab/>
      </w:r>
    </w:p>
    <w:p w:rsidR="00C96CFB" w:rsidRDefault="00D1647B"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 xml:space="preserve">10.35 </w:t>
      </w:r>
      <w:r>
        <w:rPr>
          <w:rFonts w:ascii="Times New Roman" w:hAnsi="Times New Roman"/>
          <w:sz w:val="24"/>
        </w:rPr>
        <w:tab/>
        <w:t>Fleet Vehicles</w:t>
      </w:r>
    </w:p>
    <w:p w:rsidR="00F4115E" w:rsidRDefault="00F4115E" w:rsidP="00233D04">
      <w:pPr>
        <w:tabs>
          <w:tab w:val="left" w:pos="-1440"/>
        </w:tabs>
        <w:ind w:left="90" w:hanging="720"/>
        <w:rPr>
          <w:rFonts w:ascii="Times New Roman" w:hAnsi="Times New Roman"/>
          <w:sz w:val="24"/>
        </w:rPr>
      </w:pPr>
      <w:r>
        <w:rPr>
          <w:rFonts w:ascii="Times New Roman" w:hAnsi="Times New Roman"/>
          <w:sz w:val="24"/>
        </w:rPr>
        <w:tab/>
      </w:r>
      <w:r>
        <w:rPr>
          <w:rFonts w:ascii="Times New Roman" w:hAnsi="Times New Roman"/>
          <w:sz w:val="24"/>
        </w:rPr>
        <w:tab/>
        <w:t>10.39</w:t>
      </w:r>
      <w:r>
        <w:rPr>
          <w:rFonts w:ascii="Times New Roman" w:hAnsi="Times New Roman"/>
          <w:sz w:val="24"/>
        </w:rPr>
        <w:tab/>
        <w:t>Wild Horse Solar</w:t>
      </w:r>
      <w:r w:rsidR="004A1C95">
        <w:rPr>
          <w:rFonts w:ascii="Times New Roman" w:hAnsi="Times New Roman"/>
          <w:sz w:val="24"/>
        </w:rPr>
        <w:t xml:space="preserve"> Removal</w:t>
      </w:r>
    </w:p>
    <w:p w:rsidR="00233D04" w:rsidRDefault="00233D04" w:rsidP="00233D04">
      <w:pPr>
        <w:tabs>
          <w:tab w:val="left" w:pos="-1440"/>
        </w:tabs>
        <w:ind w:left="90" w:hanging="720"/>
        <w:rPr>
          <w:rFonts w:ascii="Times New Roman" w:hAnsi="Times New Roman"/>
          <w:sz w:val="24"/>
        </w:rPr>
      </w:pPr>
    </w:p>
    <w:p w:rsidR="00D43DB3" w:rsidRPr="00DA20F8" w:rsidRDefault="00DA20F8"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570D02" w:rsidRPr="00DA20F8">
        <w:rPr>
          <w:rFonts w:ascii="Times New Roman" w:hAnsi="Times New Roman"/>
          <w:sz w:val="24"/>
        </w:rPr>
        <w:t>With respect to Adjus</w:t>
      </w:r>
      <w:r w:rsidR="00F4115E" w:rsidRPr="00DA20F8">
        <w:rPr>
          <w:rFonts w:ascii="Times New Roman" w:hAnsi="Times New Roman"/>
          <w:sz w:val="24"/>
        </w:rPr>
        <w:t xml:space="preserve">tments 10.04 and 9.04, </w:t>
      </w:r>
      <w:r w:rsidR="008E4843" w:rsidRPr="00DA20F8">
        <w:rPr>
          <w:rFonts w:ascii="Times New Roman" w:hAnsi="Times New Roman"/>
          <w:sz w:val="24"/>
        </w:rPr>
        <w:t xml:space="preserve">Federal Income Tax, </w:t>
      </w:r>
      <w:r w:rsidR="007F2CD5" w:rsidRPr="00DA20F8">
        <w:rPr>
          <w:rFonts w:ascii="Times New Roman" w:hAnsi="Times New Roman"/>
          <w:sz w:val="24"/>
        </w:rPr>
        <w:t>PSE</w:t>
      </w:r>
      <w:r w:rsidR="00570D02" w:rsidRPr="00DA20F8">
        <w:rPr>
          <w:rFonts w:ascii="Times New Roman" w:hAnsi="Times New Roman"/>
          <w:sz w:val="24"/>
        </w:rPr>
        <w:t xml:space="preserve"> accepted </w:t>
      </w:r>
      <w:r w:rsidR="00D43DB3" w:rsidRPr="00DA20F8">
        <w:rPr>
          <w:rFonts w:ascii="Times New Roman" w:hAnsi="Times New Roman"/>
          <w:sz w:val="24"/>
        </w:rPr>
        <w:t>proposals</w:t>
      </w:r>
      <w:r w:rsidR="00AB6A42" w:rsidRPr="00DA20F8">
        <w:rPr>
          <w:rFonts w:ascii="Times New Roman" w:hAnsi="Times New Roman"/>
          <w:sz w:val="24"/>
        </w:rPr>
        <w:t xml:space="preserve"> from </w:t>
      </w:r>
      <w:r w:rsidR="00570D02" w:rsidRPr="00DA20F8">
        <w:rPr>
          <w:rFonts w:ascii="Times New Roman" w:hAnsi="Times New Roman"/>
          <w:sz w:val="24"/>
        </w:rPr>
        <w:t>Public Counsel for non-tax deductible executive compensation and flow-through treatment for injuries and damages</w:t>
      </w:r>
      <w:r w:rsidR="00D43DB3" w:rsidRPr="00DA20F8">
        <w:rPr>
          <w:rFonts w:ascii="Times New Roman" w:hAnsi="Times New Roman"/>
          <w:sz w:val="24"/>
        </w:rPr>
        <w:t>.</w:t>
      </w:r>
      <w:r w:rsidR="00D43DB3">
        <w:rPr>
          <w:rStyle w:val="FootnoteReference"/>
          <w:rFonts w:ascii="Times New Roman" w:hAnsi="Times New Roman"/>
          <w:sz w:val="24"/>
        </w:rPr>
        <w:footnoteReference w:id="61"/>
      </w:r>
      <w:r w:rsidR="00AB6A42" w:rsidRPr="00DA20F8">
        <w:rPr>
          <w:rFonts w:ascii="Times New Roman" w:hAnsi="Times New Roman"/>
          <w:sz w:val="24"/>
        </w:rPr>
        <w:t xml:space="preserve">  Staff </w:t>
      </w:r>
      <w:r w:rsidR="00D43DB3" w:rsidRPr="00DA20F8">
        <w:rPr>
          <w:rFonts w:ascii="Times New Roman" w:hAnsi="Times New Roman"/>
          <w:sz w:val="24"/>
        </w:rPr>
        <w:t>concu</w:t>
      </w:r>
      <w:r w:rsidR="008E4843" w:rsidRPr="00DA20F8">
        <w:rPr>
          <w:rFonts w:ascii="Times New Roman" w:hAnsi="Times New Roman"/>
          <w:sz w:val="24"/>
        </w:rPr>
        <w:t>rs with this approach.</w:t>
      </w:r>
      <w:r w:rsidR="00A47898">
        <w:rPr>
          <w:rStyle w:val="FootnoteReference"/>
          <w:rFonts w:ascii="Times New Roman" w:hAnsi="Times New Roman"/>
          <w:sz w:val="24"/>
        </w:rPr>
        <w:footnoteReference w:id="62"/>
      </w:r>
      <w:r w:rsidR="008E4843" w:rsidRPr="00DA20F8">
        <w:rPr>
          <w:rFonts w:ascii="Times New Roman" w:hAnsi="Times New Roman"/>
          <w:sz w:val="24"/>
        </w:rPr>
        <w:t xml:space="preserve">  </w:t>
      </w:r>
    </w:p>
    <w:p w:rsidR="00AB6A42" w:rsidRPr="00DA20F8" w:rsidRDefault="00DA20F8"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D43DB3" w:rsidRPr="00DA20F8">
        <w:rPr>
          <w:rFonts w:ascii="Times New Roman" w:hAnsi="Times New Roman"/>
          <w:sz w:val="24"/>
        </w:rPr>
        <w:t>Adjus</w:t>
      </w:r>
      <w:r w:rsidR="00F4115E" w:rsidRPr="00DA20F8">
        <w:rPr>
          <w:rFonts w:ascii="Times New Roman" w:hAnsi="Times New Roman"/>
          <w:sz w:val="24"/>
        </w:rPr>
        <w:t xml:space="preserve">tments 10.14 and 9.09, </w:t>
      </w:r>
      <w:r w:rsidR="00D43DB3" w:rsidRPr="00DA20F8">
        <w:rPr>
          <w:rFonts w:ascii="Times New Roman" w:hAnsi="Times New Roman"/>
          <w:sz w:val="24"/>
        </w:rPr>
        <w:t>Miscellaneous Operating Expe</w:t>
      </w:r>
      <w:r w:rsidR="00BA1272" w:rsidRPr="00DA20F8">
        <w:rPr>
          <w:rFonts w:ascii="Times New Roman" w:hAnsi="Times New Roman"/>
          <w:sz w:val="24"/>
        </w:rPr>
        <w:t>nses</w:t>
      </w:r>
      <w:r w:rsidR="00F4115E" w:rsidRPr="00DA20F8">
        <w:rPr>
          <w:rFonts w:ascii="Times New Roman" w:hAnsi="Times New Roman"/>
          <w:sz w:val="24"/>
        </w:rPr>
        <w:t>,</w:t>
      </w:r>
      <w:r w:rsidR="007F2CD5" w:rsidRPr="00DA20F8">
        <w:rPr>
          <w:rFonts w:ascii="Times New Roman" w:hAnsi="Times New Roman"/>
          <w:sz w:val="24"/>
        </w:rPr>
        <w:t xml:space="preserve"> were contested in Staff’s response case </w:t>
      </w:r>
      <w:r w:rsidR="00AB6A42" w:rsidRPr="00DA20F8">
        <w:rPr>
          <w:rFonts w:ascii="Times New Roman" w:hAnsi="Times New Roman"/>
          <w:sz w:val="24"/>
        </w:rPr>
        <w:t xml:space="preserve">because PSE </w:t>
      </w:r>
      <w:r w:rsidR="008E4843" w:rsidRPr="00DA20F8">
        <w:rPr>
          <w:rFonts w:ascii="Times New Roman" w:hAnsi="Times New Roman"/>
          <w:sz w:val="24"/>
        </w:rPr>
        <w:t>pr</w:t>
      </w:r>
      <w:r w:rsidR="00002B3A" w:rsidRPr="00DA20F8">
        <w:rPr>
          <w:rFonts w:ascii="Times New Roman" w:hAnsi="Times New Roman"/>
          <w:sz w:val="24"/>
        </w:rPr>
        <w:t xml:space="preserve">oposed to recover increases in </w:t>
      </w:r>
      <w:r w:rsidR="002D009C" w:rsidRPr="00DA20F8">
        <w:rPr>
          <w:rFonts w:ascii="Times New Roman" w:hAnsi="Times New Roman"/>
          <w:sz w:val="24"/>
        </w:rPr>
        <w:t>service contract</w:t>
      </w:r>
      <w:r w:rsidR="007F2CD5" w:rsidRPr="00DA20F8">
        <w:rPr>
          <w:rFonts w:ascii="Times New Roman" w:hAnsi="Times New Roman"/>
          <w:sz w:val="24"/>
        </w:rPr>
        <w:t>s</w:t>
      </w:r>
      <w:r w:rsidR="008E4843" w:rsidRPr="00DA20F8">
        <w:rPr>
          <w:rFonts w:ascii="Times New Roman" w:hAnsi="Times New Roman"/>
          <w:sz w:val="24"/>
        </w:rPr>
        <w:t xml:space="preserve"> even </w:t>
      </w:r>
      <w:r w:rsidR="008E4843" w:rsidRPr="00DA20F8">
        <w:rPr>
          <w:rFonts w:ascii="Times New Roman" w:hAnsi="Times New Roman"/>
          <w:sz w:val="24"/>
        </w:rPr>
        <w:lastRenderedPageBreak/>
        <w:t xml:space="preserve">though it had </w:t>
      </w:r>
      <w:r w:rsidR="00AB6A42" w:rsidRPr="00DA20F8">
        <w:rPr>
          <w:rFonts w:ascii="Times New Roman" w:hAnsi="Times New Roman"/>
          <w:sz w:val="24"/>
        </w:rPr>
        <w:t>not signed new contracts with its servic</w:t>
      </w:r>
      <w:r w:rsidR="00002B3A" w:rsidRPr="00DA20F8">
        <w:rPr>
          <w:rFonts w:ascii="Times New Roman" w:hAnsi="Times New Roman"/>
          <w:sz w:val="24"/>
        </w:rPr>
        <w:t>e providers</w:t>
      </w:r>
      <w:r w:rsidR="00AB6A42" w:rsidRPr="00DA20F8">
        <w:rPr>
          <w:rFonts w:ascii="Times New Roman" w:hAnsi="Times New Roman"/>
          <w:sz w:val="24"/>
        </w:rPr>
        <w:t>.</w:t>
      </w:r>
      <w:r w:rsidR="00D43DB3">
        <w:rPr>
          <w:rStyle w:val="FootnoteReference"/>
          <w:rFonts w:ascii="Times New Roman" w:hAnsi="Times New Roman"/>
          <w:sz w:val="24"/>
        </w:rPr>
        <w:footnoteReference w:id="63"/>
      </w:r>
      <w:r w:rsidR="007F2CD5" w:rsidRPr="00DA20F8">
        <w:rPr>
          <w:rFonts w:ascii="Times New Roman" w:hAnsi="Times New Roman"/>
          <w:sz w:val="24"/>
        </w:rPr>
        <w:t xml:space="preserve">  PSE has now </w:t>
      </w:r>
      <w:r w:rsidR="008E4843" w:rsidRPr="00DA20F8">
        <w:rPr>
          <w:rFonts w:ascii="Times New Roman" w:hAnsi="Times New Roman"/>
          <w:sz w:val="24"/>
        </w:rPr>
        <w:t xml:space="preserve">finalized new </w:t>
      </w:r>
      <w:r w:rsidR="00AB6A42" w:rsidRPr="00DA20F8">
        <w:rPr>
          <w:rFonts w:ascii="Times New Roman" w:hAnsi="Times New Roman"/>
          <w:sz w:val="24"/>
        </w:rPr>
        <w:t>contracts.</w:t>
      </w:r>
      <w:r w:rsidR="00AB6A42">
        <w:rPr>
          <w:rStyle w:val="FootnoteReference"/>
          <w:rFonts w:ascii="Times New Roman" w:hAnsi="Times New Roman"/>
          <w:sz w:val="24"/>
        </w:rPr>
        <w:footnoteReference w:id="64"/>
      </w:r>
      <w:r w:rsidR="00AB6A42" w:rsidRPr="00DA20F8">
        <w:rPr>
          <w:rFonts w:ascii="Times New Roman" w:hAnsi="Times New Roman"/>
          <w:sz w:val="24"/>
        </w:rPr>
        <w:t xml:space="preserve">  This allow</w:t>
      </w:r>
      <w:r w:rsidR="00002B3A" w:rsidRPr="00DA20F8">
        <w:rPr>
          <w:rFonts w:ascii="Times New Roman" w:hAnsi="Times New Roman"/>
          <w:sz w:val="24"/>
        </w:rPr>
        <w:t xml:space="preserve">s Staff to include the </w:t>
      </w:r>
      <w:r w:rsidR="00AB6A42" w:rsidRPr="00DA20F8">
        <w:rPr>
          <w:rFonts w:ascii="Times New Roman" w:hAnsi="Times New Roman"/>
          <w:sz w:val="24"/>
        </w:rPr>
        <w:t xml:space="preserve">contract increases </w:t>
      </w:r>
      <w:r w:rsidR="007F2CD5" w:rsidRPr="00DA20F8">
        <w:rPr>
          <w:rFonts w:ascii="Times New Roman" w:hAnsi="Times New Roman"/>
          <w:sz w:val="24"/>
        </w:rPr>
        <w:t>in its adjustments.</w:t>
      </w:r>
      <w:r w:rsidR="00B44D61">
        <w:rPr>
          <w:rStyle w:val="FootnoteReference"/>
          <w:rFonts w:ascii="Times New Roman" w:hAnsi="Times New Roman"/>
          <w:sz w:val="24"/>
        </w:rPr>
        <w:footnoteReference w:id="65"/>
      </w:r>
    </w:p>
    <w:p w:rsidR="00CE22BC" w:rsidRPr="00DA20F8" w:rsidRDefault="00DA20F8"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CE22BC" w:rsidRPr="00DA20F8">
        <w:rPr>
          <w:rFonts w:ascii="Times New Roman" w:hAnsi="Times New Roman"/>
          <w:sz w:val="24"/>
        </w:rPr>
        <w:t>F</w:t>
      </w:r>
      <w:r w:rsidR="00500AB0" w:rsidRPr="00DA20F8">
        <w:rPr>
          <w:rFonts w:ascii="Times New Roman" w:hAnsi="Times New Roman"/>
          <w:sz w:val="24"/>
        </w:rPr>
        <w:t>or Adjustments 10.22 and 9.15, Deferred G/L on Property Sales, Staff includes the additional gain on property noted by the Company</w:t>
      </w:r>
      <w:r w:rsidR="008E4843" w:rsidRPr="00DA20F8">
        <w:rPr>
          <w:rFonts w:ascii="Times New Roman" w:hAnsi="Times New Roman"/>
          <w:sz w:val="24"/>
        </w:rPr>
        <w:t xml:space="preserve"> in rebuttal</w:t>
      </w:r>
      <w:r w:rsidR="00500AB0" w:rsidRPr="00DA20F8">
        <w:rPr>
          <w:rFonts w:ascii="Times New Roman" w:hAnsi="Times New Roman"/>
          <w:sz w:val="24"/>
        </w:rPr>
        <w:t>.</w:t>
      </w:r>
      <w:r w:rsidR="00500AB0">
        <w:rPr>
          <w:rStyle w:val="FootnoteReference"/>
          <w:rFonts w:ascii="Times New Roman" w:hAnsi="Times New Roman"/>
          <w:sz w:val="24"/>
        </w:rPr>
        <w:footnoteReference w:id="66"/>
      </w:r>
      <w:r w:rsidR="00AD6B37" w:rsidRPr="00DA20F8">
        <w:rPr>
          <w:rFonts w:ascii="Times New Roman" w:hAnsi="Times New Roman"/>
          <w:sz w:val="24"/>
        </w:rPr>
        <w:tab/>
      </w:r>
    </w:p>
    <w:p w:rsidR="00AD6B37" w:rsidRPr="00DA20F8" w:rsidRDefault="00DA20F8"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CE22BC" w:rsidRPr="00DA20F8">
        <w:rPr>
          <w:rFonts w:ascii="Times New Roman" w:hAnsi="Times New Roman"/>
          <w:sz w:val="24"/>
        </w:rPr>
        <w:t xml:space="preserve">Finally, </w:t>
      </w:r>
      <w:r w:rsidR="006C0917" w:rsidRPr="00DA20F8">
        <w:rPr>
          <w:rFonts w:ascii="Times New Roman" w:hAnsi="Times New Roman"/>
          <w:sz w:val="24"/>
        </w:rPr>
        <w:t>at hearing, PSE noted</w:t>
      </w:r>
      <w:r w:rsidR="00864C65" w:rsidRPr="00DA20F8">
        <w:rPr>
          <w:rFonts w:ascii="Times New Roman" w:hAnsi="Times New Roman"/>
          <w:sz w:val="24"/>
        </w:rPr>
        <w:t xml:space="preserve"> that</w:t>
      </w:r>
      <w:r w:rsidR="00281550" w:rsidRPr="00DA20F8">
        <w:rPr>
          <w:rFonts w:ascii="Times New Roman" w:hAnsi="Times New Roman"/>
          <w:sz w:val="24"/>
        </w:rPr>
        <w:t xml:space="preserve"> it had inadvertently included without justifica</w:t>
      </w:r>
      <w:r w:rsidR="006C0917" w:rsidRPr="00DA20F8">
        <w:rPr>
          <w:rFonts w:ascii="Times New Roman" w:hAnsi="Times New Roman"/>
          <w:sz w:val="24"/>
        </w:rPr>
        <w:t xml:space="preserve">tion </w:t>
      </w:r>
      <w:r w:rsidR="00281550" w:rsidRPr="00DA20F8">
        <w:rPr>
          <w:rFonts w:ascii="Times New Roman" w:hAnsi="Times New Roman"/>
          <w:sz w:val="24"/>
        </w:rPr>
        <w:t>a small solar facility serving the Wild Horse visitor center.</w:t>
      </w:r>
      <w:r w:rsidR="00281550">
        <w:rPr>
          <w:rStyle w:val="FootnoteReference"/>
          <w:rFonts w:ascii="Times New Roman" w:hAnsi="Times New Roman"/>
          <w:sz w:val="24"/>
        </w:rPr>
        <w:footnoteReference w:id="67"/>
      </w:r>
      <w:r w:rsidR="00281550" w:rsidRPr="00DA20F8">
        <w:rPr>
          <w:rFonts w:ascii="Times New Roman" w:hAnsi="Times New Roman"/>
          <w:sz w:val="24"/>
        </w:rPr>
        <w:t xml:space="preserve">  </w:t>
      </w:r>
      <w:r w:rsidR="00CE22BC" w:rsidRPr="00DA20F8">
        <w:rPr>
          <w:rFonts w:ascii="Times New Roman" w:hAnsi="Times New Roman"/>
          <w:sz w:val="24"/>
        </w:rPr>
        <w:t>Adjustment 10.39</w:t>
      </w:r>
      <w:r w:rsidR="0044087C" w:rsidRPr="00DA20F8">
        <w:rPr>
          <w:rFonts w:ascii="Times New Roman" w:hAnsi="Times New Roman"/>
          <w:sz w:val="24"/>
        </w:rPr>
        <w:t>, Wild Horse Solar</w:t>
      </w:r>
      <w:r w:rsidR="00F91902" w:rsidRPr="00DA20F8">
        <w:rPr>
          <w:rFonts w:ascii="Times New Roman" w:hAnsi="Times New Roman"/>
          <w:sz w:val="24"/>
        </w:rPr>
        <w:t xml:space="preserve"> Removal</w:t>
      </w:r>
      <w:r w:rsidR="0044087C" w:rsidRPr="00DA20F8">
        <w:rPr>
          <w:rFonts w:ascii="Times New Roman" w:hAnsi="Times New Roman"/>
          <w:sz w:val="24"/>
        </w:rPr>
        <w:t>,</w:t>
      </w:r>
      <w:r w:rsidR="00CE22BC" w:rsidRPr="00DA20F8">
        <w:rPr>
          <w:rFonts w:ascii="Times New Roman" w:hAnsi="Times New Roman"/>
          <w:sz w:val="24"/>
        </w:rPr>
        <w:t xml:space="preserve"> remove</w:t>
      </w:r>
      <w:r w:rsidR="0044087C" w:rsidRPr="00DA20F8">
        <w:rPr>
          <w:rFonts w:ascii="Times New Roman" w:hAnsi="Times New Roman"/>
          <w:sz w:val="24"/>
        </w:rPr>
        <w:t>s</w:t>
      </w:r>
      <w:r w:rsidR="00281550" w:rsidRPr="00DA20F8">
        <w:rPr>
          <w:rFonts w:ascii="Times New Roman" w:hAnsi="Times New Roman"/>
          <w:sz w:val="24"/>
        </w:rPr>
        <w:t xml:space="preserve"> th</w:t>
      </w:r>
      <w:r w:rsidR="006C0917" w:rsidRPr="00DA20F8">
        <w:rPr>
          <w:rFonts w:ascii="Times New Roman" w:hAnsi="Times New Roman"/>
          <w:sz w:val="24"/>
        </w:rPr>
        <w:t>e</w:t>
      </w:r>
      <w:r w:rsidR="00281550" w:rsidRPr="00DA20F8">
        <w:rPr>
          <w:rFonts w:ascii="Times New Roman" w:hAnsi="Times New Roman"/>
          <w:sz w:val="24"/>
        </w:rPr>
        <w:t xml:space="preserve"> </w:t>
      </w:r>
      <w:r w:rsidR="006C0917" w:rsidRPr="00DA20F8">
        <w:rPr>
          <w:rFonts w:ascii="Times New Roman" w:hAnsi="Times New Roman"/>
          <w:sz w:val="24"/>
        </w:rPr>
        <w:t>facility</w:t>
      </w:r>
      <w:r w:rsidR="00281550" w:rsidRPr="00DA20F8">
        <w:rPr>
          <w:rFonts w:ascii="Times New Roman" w:hAnsi="Times New Roman"/>
          <w:sz w:val="24"/>
        </w:rPr>
        <w:t xml:space="preserve"> using data provided by PSE after the hearings</w:t>
      </w:r>
      <w:r w:rsidR="00CE22BC" w:rsidRPr="00DA20F8">
        <w:rPr>
          <w:rFonts w:ascii="Times New Roman" w:hAnsi="Times New Roman"/>
          <w:sz w:val="24"/>
        </w:rPr>
        <w:t>.</w:t>
      </w:r>
      <w:r w:rsidR="00C871DE" w:rsidRPr="00DA20F8">
        <w:rPr>
          <w:rFonts w:ascii="Times New Roman" w:hAnsi="Times New Roman"/>
          <w:sz w:val="24"/>
        </w:rPr>
        <w:t xml:space="preserve">  Staff</w:t>
      </w:r>
      <w:r w:rsidR="00E122B3" w:rsidRPr="00DA20F8">
        <w:rPr>
          <w:rFonts w:ascii="Times New Roman" w:hAnsi="Times New Roman"/>
          <w:sz w:val="24"/>
        </w:rPr>
        <w:t xml:space="preserve"> accepts the </w:t>
      </w:r>
      <w:r w:rsidR="00281550" w:rsidRPr="00DA20F8">
        <w:rPr>
          <w:rFonts w:ascii="Times New Roman" w:hAnsi="Times New Roman"/>
          <w:sz w:val="24"/>
        </w:rPr>
        <w:t>data as a fair representation of facility costs and rate base,</w:t>
      </w:r>
      <w:r w:rsidR="00233D04" w:rsidRPr="00DA20F8">
        <w:rPr>
          <w:rFonts w:ascii="Times New Roman" w:hAnsi="Times New Roman"/>
          <w:sz w:val="24"/>
        </w:rPr>
        <w:t xml:space="preserve"> </w:t>
      </w:r>
      <w:r w:rsidR="00281550" w:rsidRPr="00DA20F8">
        <w:rPr>
          <w:rFonts w:ascii="Times New Roman" w:hAnsi="Times New Roman"/>
          <w:sz w:val="24"/>
        </w:rPr>
        <w:t>but</w:t>
      </w:r>
      <w:r w:rsidR="00C871DE" w:rsidRPr="00DA20F8">
        <w:rPr>
          <w:rFonts w:ascii="Times New Roman" w:hAnsi="Times New Roman"/>
          <w:sz w:val="24"/>
        </w:rPr>
        <w:t xml:space="preserve"> </w:t>
      </w:r>
      <w:r w:rsidR="00002B3A" w:rsidRPr="00DA20F8">
        <w:rPr>
          <w:rFonts w:ascii="Times New Roman" w:hAnsi="Times New Roman"/>
          <w:sz w:val="24"/>
        </w:rPr>
        <w:t xml:space="preserve">reserves the right to </w:t>
      </w:r>
      <w:r w:rsidR="00281550" w:rsidRPr="00DA20F8">
        <w:rPr>
          <w:rFonts w:ascii="Times New Roman" w:hAnsi="Times New Roman"/>
          <w:sz w:val="24"/>
        </w:rPr>
        <w:t xml:space="preserve">further review these amounts and </w:t>
      </w:r>
      <w:r w:rsidR="00002B3A" w:rsidRPr="00DA20F8">
        <w:rPr>
          <w:rFonts w:ascii="Times New Roman" w:hAnsi="Times New Roman"/>
          <w:sz w:val="24"/>
        </w:rPr>
        <w:t>contest</w:t>
      </w:r>
      <w:r w:rsidR="008E30FE" w:rsidRPr="00DA20F8">
        <w:rPr>
          <w:rFonts w:ascii="Times New Roman" w:hAnsi="Times New Roman"/>
          <w:sz w:val="24"/>
        </w:rPr>
        <w:t xml:space="preserve"> </w:t>
      </w:r>
      <w:r w:rsidR="00281550" w:rsidRPr="00DA20F8">
        <w:rPr>
          <w:rFonts w:ascii="Times New Roman" w:hAnsi="Times New Roman"/>
          <w:sz w:val="24"/>
        </w:rPr>
        <w:t>their recovery</w:t>
      </w:r>
      <w:r w:rsidR="008E4843" w:rsidRPr="00DA20F8">
        <w:rPr>
          <w:rFonts w:ascii="Times New Roman" w:hAnsi="Times New Roman"/>
          <w:sz w:val="24"/>
        </w:rPr>
        <w:t xml:space="preserve"> </w:t>
      </w:r>
      <w:r w:rsidR="008E30FE" w:rsidRPr="00DA20F8">
        <w:rPr>
          <w:rFonts w:ascii="Times New Roman" w:hAnsi="Times New Roman"/>
          <w:sz w:val="24"/>
        </w:rPr>
        <w:t xml:space="preserve">in any later case. </w:t>
      </w:r>
    </w:p>
    <w:p w:rsidR="00066BBA" w:rsidRDefault="00066BBA" w:rsidP="00DA20F8">
      <w:pPr>
        <w:tabs>
          <w:tab w:val="left" w:pos="-1440"/>
        </w:tabs>
        <w:spacing w:line="480" w:lineRule="auto"/>
        <w:rPr>
          <w:rFonts w:ascii="Times New Roman" w:hAnsi="Times New Roman"/>
          <w:b/>
          <w:sz w:val="24"/>
        </w:rPr>
      </w:pPr>
      <w:r w:rsidRPr="00066BBA">
        <w:rPr>
          <w:rFonts w:ascii="Times New Roman" w:hAnsi="Times New Roman"/>
          <w:b/>
          <w:sz w:val="24"/>
        </w:rPr>
        <w:t>C.</w:t>
      </w:r>
      <w:r w:rsidRPr="00066BBA">
        <w:rPr>
          <w:rFonts w:ascii="Times New Roman" w:hAnsi="Times New Roman"/>
          <w:b/>
          <w:sz w:val="24"/>
        </w:rPr>
        <w:tab/>
        <w:t xml:space="preserve">Contested </w:t>
      </w:r>
      <w:r w:rsidR="006E049B">
        <w:rPr>
          <w:rFonts w:ascii="Times New Roman" w:hAnsi="Times New Roman"/>
          <w:b/>
          <w:sz w:val="24"/>
        </w:rPr>
        <w:t xml:space="preserve">Ratemaking </w:t>
      </w:r>
      <w:r w:rsidRPr="00066BBA">
        <w:rPr>
          <w:rFonts w:ascii="Times New Roman" w:hAnsi="Times New Roman"/>
          <w:b/>
          <w:sz w:val="24"/>
        </w:rPr>
        <w:t>Adjustments</w:t>
      </w:r>
      <w:r w:rsidR="00DC2E53">
        <w:rPr>
          <w:rStyle w:val="FootnoteReference"/>
          <w:rFonts w:ascii="Times New Roman" w:hAnsi="Times New Roman"/>
          <w:b/>
          <w:sz w:val="24"/>
        </w:rPr>
        <w:footnoteReference w:id="68"/>
      </w:r>
    </w:p>
    <w:p w:rsidR="008A09FD" w:rsidRPr="00DA20F8" w:rsidRDefault="00DA20F8"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E21EF2" w:rsidRPr="00DA20F8">
        <w:rPr>
          <w:rFonts w:ascii="Times New Roman" w:hAnsi="Times New Roman"/>
          <w:sz w:val="24"/>
        </w:rPr>
        <w:t>As</w:t>
      </w:r>
      <w:r w:rsidR="008308D5" w:rsidRPr="00DA20F8">
        <w:rPr>
          <w:rFonts w:ascii="Times New Roman" w:hAnsi="Times New Roman"/>
          <w:sz w:val="24"/>
        </w:rPr>
        <w:t xml:space="preserve"> the Commission is well aware, ratemaking </w:t>
      </w:r>
      <w:r w:rsidR="00881356" w:rsidRPr="00DA20F8">
        <w:rPr>
          <w:rFonts w:ascii="Times New Roman" w:hAnsi="Times New Roman"/>
          <w:sz w:val="24"/>
        </w:rPr>
        <w:t>begin</w:t>
      </w:r>
      <w:r w:rsidR="00890D41" w:rsidRPr="00DA20F8">
        <w:rPr>
          <w:rFonts w:ascii="Times New Roman" w:hAnsi="Times New Roman"/>
          <w:sz w:val="24"/>
        </w:rPr>
        <w:t>s</w:t>
      </w:r>
      <w:r w:rsidR="00881356" w:rsidRPr="00DA20F8">
        <w:rPr>
          <w:rFonts w:ascii="Times New Roman" w:hAnsi="Times New Roman"/>
          <w:sz w:val="24"/>
        </w:rPr>
        <w:t xml:space="preserve"> with an historical test year because an historical test year provides cost, revenue and rate b</w:t>
      </w:r>
      <w:r w:rsidR="00B72CBF" w:rsidRPr="00DA20F8">
        <w:rPr>
          <w:rFonts w:ascii="Times New Roman" w:hAnsi="Times New Roman"/>
          <w:sz w:val="24"/>
        </w:rPr>
        <w:t>ase data that can be audited</w:t>
      </w:r>
      <w:r w:rsidR="00881356" w:rsidRPr="00DA20F8">
        <w:rPr>
          <w:rFonts w:ascii="Times New Roman" w:hAnsi="Times New Roman"/>
          <w:sz w:val="24"/>
        </w:rPr>
        <w:t>, and the</w:t>
      </w:r>
      <w:r w:rsidR="00F93A68" w:rsidRPr="00DA20F8">
        <w:rPr>
          <w:rFonts w:ascii="Times New Roman" w:hAnsi="Times New Roman"/>
          <w:sz w:val="24"/>
        </w:rPr>
        <w:t xml:space="preserve"> test year captures the </w:t>
      </w:r>
      <w:r w:rsidR="00881356" w:rsidRPr="00DA20F8">
        <w:rPr>
          <w:rFonts w:ascii="Times New Roman" w:hAnsi="Times New Roman"/>
          <w:sz w:val="24"/>
        </w:rPr>
        <w:t>relationships among cost</w:t>
      </w:r>
      <w:r w:rsidR="004D720E" w:rsidRPr="00DA20F8">
        <w:rPr>
          <w:rFonts w:ascii="Times New Roman" w:hAnsi="Times New Roman"/>
          <w:sz w:val="24"/>
        </w:rPr>
        <w:t>s</w:t>
      </w:r>
      <w:r w:rsidR="00881356" w:rsidRPr="00DA20F8">
        <w:rPr>
          <w:rFonts w:ascii="Times New Roman" w:hAnsi="Times New Roman"/>
          <w:sz w:val="24"/>
        </w:rPr>
        <w:t xml:space="preserve">, revenues, and rate base over a uniform period of time.  </w:t>
      </w:r>
      <w:r w:rsidR="00CD2CFE" w:rsidRPr="00DA20F8">
        <w:rPr>
          <w:rFonts w:ascii="Times New Roman" w:hAnsi="Times New Roman"/>
          <w:sz w:val="24"/>
        </w:rPr>
        <w:t>T</w:t>
      </w:r>
      <w:r w:rsidR="00F93A68" w:rsidRPr="00DA20F8">
        <w:rPr>
          <w:rFonts w:ascii="Times New Roman" w:hAnsi="Times New Roman"/>
          <w:sz w:val="24"/>
        </w:rPr>
        <w:t xml:space="preserve">here are </w:t>
      </w:r>
      <w:r w:rsidR="008A09FD" w:rsidRPr="00DA20F8">
        <w:rPr>
          <w:rFonts w:ascii="Times New Roman" w:hAnsi="Times New Roman"/>
          <w:sz w:val="24"/>
        </w:rPr>
        <w:t xml:space="preserve">expenses or investments </w:t>
      </w:r>
      <w:r w:rsidR="00EC209D" w:rsidRPr="00DA20F8">
        <w:rPr>
          <w:rFonts w:ascii="Times New Roman" w:hAnsi="Times New Roman"/>
          <w:sz w:val="24"/>
        </w:rPr>
        <w:t xml:space="preserve">that </w:t>
      </w:r>
      <w:r w:rsidR="008A09FD" w:rsidRPr="00DA20F8">
        <w:rPr>
          <w:rFonts w:ascii="Times New Roman" w:hAnsi="Times New Roman"/>
          <w:sz w:val="24"/>
        </w:rPr>
        <w:t xml:space="preserve">take place during </w:t>
      </w:r>
      <w:r w:rsidR="00EC209D" w:rsidRPr="00DA20F8">
        <w:rPr>
          <w:rFonts w:ascii="Times New Roman" w:hAnsi="Times New Roman"/>
          <w:sz w:val="24"/>
        </w:rPr>
        <w:t xml:space="preserve">or after </w:t>
      </w:r>
      <w:r w:rsidR="008A09FD" w:rsidRPr="00DA20F8">
        <w:rPr>
          <w:rFonts w:ascii="Times New Roman" w:hAnsi="Times New Roman"/>
          <w:sz w:val="24"/>
        </w:rPr>
        <w:t>the test</w:t>
      </w:r>
      <w:r w:rsidR="006F2E2C" w:rsidRPr="00DA20F8">
        <w:rPr>
          <w:rFonts w:ascii="Times New Roman" w:hAnsi="Times New Roman"/>
          <w:sz w:val="24"/>
        </w:rPr>
        <w:t xml:space="preserve"> year</w:t>
      </w:r>
      <w:r w:rsidR="004D720E" w:rsidRPr="00DA20F8">
        <w:rPr>
          <w:rFonts w:ascii="Times New Roman" w:hAnsi="Times New Roman"/>
          <w:sz w:val="24"/>
        </w:rPr>
        <w:t>.  Thus</w:t>
      </w:r>
      <w:r w:rsidR="00F93A68" w:rsidRPr="00DA20F8">
        <w:rPr>
          <w:rFonts w:ascii="Times New Roman" w:hAnsi="Times New Roman"/>
          <w:sz w:val="24"/>
        </w:rPr>
        <w:t xml:space="preserve">, </w:t>
      </w:r>
      <w:r w:rsidR="004D720E" w:rsidRPr="00DA20F8">
        <w:rPr>
          <w:rFonts w:ascii="Times New Roman" w:hAnsi="Times New Roman"/>
          <w:sz w:val="24"/>
        </w:rPr>
        <w:t>pro forma adjustments</w:t>
      </w:r>
      <w:r w:rsidR="00F93A68" w:rsidRPr="00DA20F8">
        <w:rPr>
          <w:rFonts w:ascii="Times New Roman" w:hAnsi="Times New Roman"/>
          <w:sz w:val="24"/>
        </w:rPr>
        <w:t xml:space="preserve"> are permitted</w:t>
      </w:r>
      <w:r w:rsidR="004D720E" w:rsidRPr="00DA20F8">
        <w:rPr>
          <w:rFonts w:ascii="Times New Roman" w:hAnsi="Times New Roman"/>
          <w:sz w:val="24"/>
        </w:rPr>
        <w:t xml:space="preserve">, </w:t>
      </w:r>
      <w:r w:rsidR="006F2E2C" w:rsidRPr="00DA20F8">
        <w:rPr>
          <w:rFonts w:ascii="Times New Roman" w:hAnsi="Times New Roman"/>
          <w:sz w:val="24"/>
        </w:rPr>
        <w:t xml:space="preserve">but only </w:t>
      </w:r>
      <w:r w:rsidR="00FF133E" w:rsidRPr="00DA20F8">
        <w:rPr>
          <w:rFonts w:ascii="Times New Roman" w:hAnsi="Times New Roman"/>
          <w:sz w:val="24"/>
        </w:rPr>
        <w:t xml:space="preserve">if </w:t>
      </w:r>
      <w:r w:rsidR="00F93A68" w:rsidRPr="00DA20F8">
        <w:rPr>
          <w:rFonts w:ascii="Times New Roman" w:hAnsi="Times New Roman"/>
          <w:sz w:val="24"/>
        </w:rPr>
        <w:t xml:space="preserve">they </w:t>
      </w:r>
      <w:r w:rsidR="004D720E" w:rsidRPr="00DA20F8">
        <w:rPr>
          <w:rFonts w:ascii="Times New Roman" w:hAnsi="Times New Roman"/>
          <w:sz w:val="24"/>
        </w:rPr>
        <w:t>are “known and measurable” and “not offset by other factors.</w:t>
      </w:r>
      <w:r w:rsidR="004D720E">
        <w:rPr>
          <w:rStyle w:val="FootnoteReference"/>
          <w:rFonts w:ascii="Times New Roman" w:hAnsi="Times New Roman"/>
          <w:sz w:val="24"/>
        </w:rPr>
        <w:footnoteReference w:id="69"/>
      </w:r>
      <w:r w:rsidR="00A710EE" w:rsidRPr="00DA20F8">
        <w:rPr>
          <w:rFonts w:ascii="Times New Roman" w:hAnsi="Times New Roman"/>
          <w:sz w:val="24"/>
        </w:rPr>
        <w:t xml:space="preserve">  Pro forma adjustments </w:t>
      </w:r>
      <w:r w:rsidR="00CB30BE" w:rsidRPr="00DA20F8">
        <w:rPr>
          <w:rFonts w:ascii="Times New Roman" w:hAnsi="Times New Roman"/>
          <w:sz w:val="24"/>
        </w:rPr>
        <w:t xml:space="preserve">that meet </w:t>
      </w:r>
      <w:r w:rsidR="00A710EE" w:rsidRPr="00DA20F8">
        <w:rPr>
          <w:rFonts w:ascii="Times New Roman" w:hAnsi="Times New Roman"/>
          <w:sz w:val="24"/>
        </w:rPr>
        <w:t>these requirements preserve the test yea</w:t>
      </w:r>
      <w:r w:rsidR="00176FD8" w:rsidRPr="00DA20F8">
        <w:rPr>
          <w:rFonts w:ascii="Times New Roman" w:hAnsi="Times New Roman"/>
          <w:sz w:val="24"/>
        </w:rPr>
        <w:t>r matching of revenue</w:t>
      </w:r>
      <w:r w:rsidR="00233D04" w:rsidRPr="00DA20F8">
        <w:rPr>
          <w:rFonts w:ascii="Times New Roman" w:hAnsi="Times New Roman"/>
          <w:sz w:val="24"/>
        </w:rPr>
        <w:t>s</w:t>
      </w:r>
      <w:r w:rsidR="00176FD8" w:rsidRPr="00DA20F8">
        <w:rPr>
          <w:rFonts w:ascii="Times New Roman" w:hAnsi="Times New Roman"/>
          <w:sz w:val="24"/>
        </w:rPr>
        <w:t>, cost</w:t>
      </w:r>
      <w:r w:rsidR="00A710EE" w:rsidRPr="00DA20F8">
        <w:rPr>
          <w:rFonts w:ascii="Times New Roman" w:hAnsi="Times New Roman"/>
          <w:sz w:val="24"/>
        </w:rPr>
        <w:t>s and rate base.</w:t>
      </w:r>
    </w:p>
    <w:p w:rsidR="00881356" w:rsidRPr="00DA20F8" w:rsidRDefault="00DA20F8"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6C0917" w:rsidRPr="00DA20F8">
        <w:rPr>
          <w:rFonts w:ascii="Times New Roman" w:hAnsi="Times New Roman"/>
          <w:sz w:val="24"/>
        </w:rPr>
        <w:t xml:space="preserve">Staff’s approach </w:t>
      </w:r>
      <w:r w:rsidR="00F93A68" w:rsidRPr="00DA20F8">
        <w:rPr>
          <w:rFonts w:ascii="Times New Roman" w:hAnsi="Times New Roman"/>
          <w:sz w:val="24"/>
        </w:rPr>
        <w:t>applies</w:t>
      </w:r>
      <w:r w:rsidR="006C0917" w:rsidRPr="00DA20F8">
        <w:rPr>
          <w:rFonts w:ascii="Times New Roman" w:hAnsi="Times New Roman"/>
          <w:sz w:val="24"/>
        </w:rPr>
        <w:t xml:space="preserve"> these fundamental </w:t>
      </w:r>
      <w:r w:rsidR="004D720E" w:rsidRPr="00DA20F8">
        <w:rPr>
          <w:rFonts w:ascii="Times New Roman" w:hAnsi="Times New Roman"/>
          <w:sz w:val="24"/>
        </w:rPr>
        <w:t>principles.</w:t>
      </w:r>
      <w:r w:rsidR="00890D41" w:rsidRPr="00DA20F8">
        <w:rPr>
          <w:rFonts w:ascii="Times New Roman" w:hAnsi="Times New Roman"/>
          <w:sz w:val="24"/>
        </w:rPr>
        <w:t xml:space="preserve"> </w:t>
      </w:r>
      <w:r w:rsidR="00233D04" w:rsidRPr="00DA20F8">
        <w:rPr>
          <w:rFonts w:ascii="Times New Roman" w:hAnsi="Times New Roman"/>
          <w:sz w:val="24"/>
        </w:rPr>
        <w:t xml:space="preserve"> This required Staff to revise </w:t>
      </w:r>
      <w:r w:rsidR="00FF133E" w:rsidRPr="00DA20F8">
        <w:rPr>
          <w:rFonts w:ascii="Times New Roman" w:hAnsi="Times New Roman"/>
          <w:sz w:val="24"/>
        </w:rPr>
        <w:t xml:space="preserve">many of PSE’s </w:t>
      </w:r>
      <w:r w:rsidR="00F93A68" w:rsidRPr="00DA20F8">
        <w:rPr>
          <w:rFonts w:ascii="Times New Roman" w:hAnsi="Times New Roman"/>
          <w:sz w:val="24"/>
        </w:rPr>
        <w:t xml:space="preserve">expense </w:t>
      </w:r>
      <w:r w:rsidR="00890D41" w:rsidRPr="00DA20F8">
        <w:rPr>
          <w:rFonts w:ascii="Times New Roman" w:hAnsi="Times New Roman"/>
          <w:sz w:val="24"/>
        </w:rPr>
        <w:t>adjustment</w:t>
      </w:r>
      <w:r w:rsidR="00FF133E" w:rsidRPr="00DA20F8">
        <w:rPr>
          <w:rFonts w:ascii="Times New Roman" w:hAnsi="Times New Roman"/>
          <w:sz w:val="24"/>
        </w:rPr>
        <w:t xml:space="preserve">s </w:t>
      </w:r>
      <w:r w:rsidR="008308D5" w:rsidRPr="00DA20F8">
        <w:rPr>
          <w:rFonts w:ascii="Times New Roman" w:hAnsi="Times New Roman"/>
          <w:sz w:val="24"/>
        </w:rPr>
        <w:t xml:space="preserve">because those adjustments </w:t>
      </w:r>
      <w:r w:rsidR="00890D41" w:rsidRPr="00DA20F8">
        <w:rPr>
          <w:rFonts w:ascii="Times New Roman" w:hAnsi="Times New Roman"/>
          <w:sz w:val="24"/>
        </w:rPr>
        <w:t>use</w:t>
      </w:r>
      <w:r w:rsidR="005C075F" w:rsidRPr="00DA20F8">
        <w:rPr>
          <w:rFonts w:ascii="Times New Roman" w:hAnsi="Times New Roman"/>
          <w:sz w:val="24"/>
        </w:rPr>
        <w:t>d</w:t>
      </w:r>
      <w:r w:rsidR="00890D41" w:rsidRPr="00DA20F8">
        <w:rPr>
          <w:rFonts w:ascii="Times New Roman" w:hAnsi="Times New Roman"/>
          <w:sz w:val="24"/>
        </w:rPr>
        <w:t xml:space="preserve"> </w:t>
      </w:r>
      <w:r w:rsidR="00331CB8" w:rsidRPr="00DA20F8">
        <w:rPr>
          <w:rFonts w:ascii="Times New Roman" w:hAnsi="Times New Roman"/>
          <w:sz w:val="24"/>
        </w:rPr>
        <w:t xml:space="preserve">budget </w:t>
      </w:r>
      <w:r w:rsidR="00E74AD5" w:rsidRPr="00DA20F8">
        <w:rPr>
          <w:rFonts w:ascii="Times New Roman" w:hAnsi="Times New Roman"/>
          <w:sz w:val="24"/>
        </w:rPr>
        <w:t xml:space="preserve">forecasts of </w:t>
      </w:r>
      <w:r w:rsidR="00E74AD5" w:rsidRPr="00DA20F8">
        <w:rPr>
          <w:rFonts w:ascii="Times New Roman" w:hAnsi="Times New Roman"/>
          <w:sz w:val="24"/>
        </w:rPr>
        <w:lastRenderedPageBreak/>
        <w:t>future expenses</w:t>
      </w:r>
      <w:r w:rsidR="00890D41" w:rsidRPr="00DA20F8">
        <w:rPr>
          <w:rFonts w:ascii="Times New Roman" w:hAnsi="Times New Roman"/>
          <w:sz w:val="24"/>
        </w:rPr>
        <w:t xml:space="preserve"> that </w:t>
      </w:r>
      <w:r w:rsidR="005C72C2" w:rsidRPr="00DA20F8">
        <w:rPr>
          <w:rFonts w:ascii="Times New Roman" w:hAnsi="Times New Roman"/>
          <w:sz w:val="24"/>
        </w:rPr>
        <w:t>were shown to be inherently unreliable</w:t>
      </w:r>
      <w:r w:rsidR="00BB66C5" w:rsidRPr="00DA20F8">
        <w:rPr>
          <w:rFonts w:ascii="Times New Roman" w:hAnsi="Times New Roman"/>
          <w:sz w:val="24"/>
        </w:rPr>
        <w:t>.</w:t>
      </w:r>
      <w:r w:rsidR="00890D41">
        <w:rPr>
          <w:rStyle w:val="FootnoteReference"/>
          <w:rFonts w:ascii="Times New Roman" w:hAnsi="Times New Roman"/>
          <w:sz w:val="24"/>
        </w:rPr>
        <w:footnoteReference w:id="70"/>
      </w:r>
      <w:r w:rsidR="00890D41" w:rsidRPr="00DA20F8">
        <w:rPr>
          <w:rFonts w:ascii="Times New Roman" w:hAnsi="Times New Roman"/>
          <w:sz w:val="24"/>
        </w:rPr>
        <w:t xml:space="preserve">  </w:t>
      </w:r>
      <w:r w:rsidR="00E74AD5" w:rsidRPr="00DA20F8">
        <w:rPr>
          <w:rFonts w:ascii="Times New Roman" w:hAnsi="Times New Roman"/>
          <w:sz w:val="24"/>
        </w:rPr>
        <w:t xml:space="preserve">Likewise, </w:t>
      </w:r>
      <w:r w:rsidR="00890D41" w:rsidRPr="00DA20F8">
        <w:rPr>
          <w:rFonts w:ascii="Times New Roman" w:hAnsi="Times New Roman"/>
          <w:sz w:val="24"/>
        </w:rPr>
        <w:t>S</w:t>
      </w:r>
      <w:r w:rsidR="00E74AD5" w:rsidRPr="00DA20F8">
        <w:rPr>
          <w:rFonts w:ascii="Times New Roman" w:hAnsi="Times New Roman"/>
          <w:sz w:val="24"/>
        </w:rPr>
        <w:t xml:space="preserve">taff </w:t>
      </w:r>
      <w:r w:rsidR="00233D04" w:rsidRPr="00DA20F8">
        <w:rPr>
          <w:rFonts w:ascii="Times New Roman" w:hAnsi="Times New Roman"/>
          <w:sz w:val="24"/>
        </w:rPr>
        <w:t xml:space="preserve">revised </w:t>
      </w:r>
      <w:r w:rsidR="009E364C" w:rsidRPr="00DA20F8">
        <w:rPr>
          <w:rFonts w:ascii="Times New Roman" w:hAnsi="Times New Roman"/>
          <w:sz w:val="24"/>
        </w:rPr>
        <w:t xml:space="preserve">many </w:t>
      </w:r>
      <w:r w:rsidR="008308D5" w:rsidRPr="00DA20F8">
        <w:rPr>
          <w:rFonts w:ascii="Times New Roman" w:hAnsi="Times New Roman"/>
          <w:sz w:val="24"/>
        </w:rPr>
        <w:t xml:space="preserve">of PSE’s </w:t>
      </w:r>
      <w:r w:rsidR="00E74AD5" w:rsidRPr="00DA20F8">
        <w:rPr>
          <w:rFonts w:ascii="Times New Roman" w:hAnsi="Times New Roman"/>
          <w:sz w:val="24"/>
        </w:rPr>
        <w:t xml:space="preserve">adjustments for plant added </w:t>
      </w:r>
      <w:r w:rsidR="00EC209D" w:rsidRPr="00DA20F8">
        <w:rPr>
          <w:rFonts w:ascii="Times New Roman" w:hAnsi="Times New Roman"/>
          <w:sz w:val="24"/>
        </w:rPr>
        <w:t xml:space="preserve">during or </w:t>
      </w:r>
      <w:r w:rsidR="00E74AD5" w:rsidRPr="00DA20F8">
        <w:rPr>
          <w:rFonts w:ascii="Times New Roman" w:hAnsi="Times New Roman"/>
          <w:sz w:val="24"/>
        </w:rPr>
        <w:t xml:space="preserve">after the test year, </w:t>
      </w:r>
      <w:r w:rsidR="001E1900" w:rsidRPr="00DA20F8">
        <w:rPr>
          <w:rFonts w:ascii="Times New Roman" w:hAnsi="Times New Roman"/>
          <w:sz w:val="24"/>
        </w:rPr>
        <w:t xml:space="preserve">based </w:t>
      </w:r>
      <w:r w:rsidR="00B56C89" w:rsidRPr="00DA20F8">
        <w:rPr>
          <w:rFonts w:ascii="Times New Roman" w:hAnsi="Times New Roman"/>
          <w:sz w:val="24"/>
        </w:rPr>
        <w:t xml:space="preserve">generally </w:t>
      </w:r>
      <w:r w:rsidR="001E1900" w:rsidRPr="00DA20F8">
        <w:rPr>
          <w:rFonts w:ascii="Times New Roman" w:hAnsi="Times New Roman"/>
          <w:sz w:val="24"/>
        </w:rPr>
        <w:t xml:space="preserve">on verified </w:t>
      </w:r>
      <w:r w:rsidR="007F2CD5" w:rsidRPr="00DA20F8">
        <w:rPr>
          <w:rFonts w:ascii="Times New Roman" w:hAnsi="Times New Roman"/>
          <w:sz w:val="24"/>
        </w:rPr>
        <w:t xml:space="preserve">expenditures at August </w:t>
      </w:r>
      <w:r w:rsidR="00E74AD5" w:rsidRPr="00DA20F8">
        <w:rPr>
          <w:rFonts w:ascii="Times New Roman" w:hAnsi="Times New Roman"/>
          <w:sz w:val="24"/>
        </w:rPr>
        <w:t xml:space="preserve">2009, rather than </w:t>
      </w:r>
      <w:r w:rsidR="00A710EE" w:rsidRPr="00DA20F8">
        <w:rPr>
          <w:rFonts w:ascii="Times New Roman" w:hAnsi="Times New Roman"/>
          <w:sz w:val="24"/>
        </w:rPr>
        <w:t xml:space="preserve">the </w:t>
      </w:r>
      <w:r w:rsidR="007F2CD5" w:rsidRPr="00DA20F8">
        <w:rPr>
          <w:rFonts w:ascii="Times New Roman" w:hAnsi="Times New Roman"/>
          <w:sz w:val="24"/>
        </w:rPr>
        <w:t xml:space="preserve">projections </w:t>
      </w:r>
      <w:r w:rsidR="00EC209D" w:rsidRPr="00DA20F8">
        <w:rPr>
          <w:rFonts w:ascii="Times New Roman" w:hAnsi="Times New Roman"/>
          <w:sz w:val="24"/>
        </w:rPr>
        <w:t>used by PSE</w:t>
      </w:r>
      <w:r w:rsidR="00E74AD5" w:rsidRPr="00DA20F8">
        <w:rPr>
          <w:rFonts w:ascii="Times New Roman" w:hAnsi="Times New Roman"/>
          <w:sz w:val="24"/>
        </w:rPr>
        <w:t>.</w:t>
      </w:r>
      <w:r w:rsidR="00F93A68">
        <w:rPr>
          <w:rStyle w:val="FootnoteReference"/>
          <w:rFonts w:ascii="Times New Roman" w:hAnsi="Times New Roman"/>
          <w:sz w:val="24"/>
        </w:rPr>
        <w:footnoteReference w:id="71"/>
      </w:r>
    </w:p>
    <w:p w:rsidR="00890D41" w:rsidRPr="00DA20F8" w:rsidRDefault="00DA20F8"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E74AD5" w:rsidRPr="00DA20F8">
        <w:rPr>
          <w:rFonts w:ascii="Times New Roman" w:hAnsi="Times New Roman"/>
          <w:sz w:val="24"/>
        </w:rPr>
        <w:t xml:space="preserve">PSE </w:t>
      </w:r>
      <w:r w:rsidR="00331CB8" w:rsidRPr="00DA20F8">
        <w:rPr>
          <w:rFonts w:ascii="Times New Roman" w:hAnsi="Times New Roman"/>
          <w:sz w:val="24"/>
        </w:rPr>
        <w:t>does not dispute that its adjustments rest on budget pr</w:t>
      </w:r>
      <w:r w:rsidR="008308D5" w:rsidRPr="00DA20F8">
        <w:rPr>
          <w:rFonts w:ascii="Times New Roman" w:hAnsi="Times New Roman"/>
          <w:sz w:val="24"/>
        </w:rPr>
        <w:t>ojections</w:t>
      </w:r>
      <w:r w:rsidR="008F0950">
        <w:rPr>
          <w:rFonts w:ascii="Times New Roman" w:hAnsi="Times New Roman"/>
          <w:sz w:val="24"/>
        </w:rPr>
        <w:t xml:space="preserve"> and that those project</w:t>
      </w:r>
      <w:r w:rsidR="00FF31E1">
        <w:rPr>
          <w:rFonts w:ascii="Times New Roman" w:hAnsi="Times New Roman"/>
          <w:sz w:val="24"/>
        </w:rPr>
        <w:t xml:space="preserve">ions changed during </w:t>
      </w:r>
      <w:r w:rsidR="008F0950">
        <w:rPr>
          <w:rFonts w:ascii="Times New Roman" w:hAnsi="Times New Roman"/>
          <w:sz w:val="24"/>
        </w:rPr>
        <w:t>this case</w:t>
      </w:r>
      <w:r w:rsidR="00331CB8" w:rsidRPr="00DA20F8">
        <w:rPr>
          <w:rFonts w:ascii="Times New Roman" w:hAnsi="Times New Roman"/>
          <w:sz w:val="24"/>
        </w:rPr>
        <w:t>.  I</w:t>
      </w:r>
      <w:r w:rsidR="00574B9B" w:rsidRPr="00DA20F8">
        <w:rPr>
          <w:rFonts w:ascii="Times New Roman" w:hAnsi="Times New Roman"/>
          <w:sz w:val="24"/>
        </w:rPr>
        <w:t xml:space="preserve">t states, however, that its </w:t>
      </w:r>
      <w:r w:rsidR="00331CB8" w:rsidRPr="00DA20F8">
        <w:rPr>
          <w:rFonts w:ascii="Times New Roman" w:hAnsi="Times New Roman"/>
          <w:sz w:val="24"/>
        </w:rPr>
        <w:t>approach is consistent</w:t>
      </w:r>
      <w:r w:rsidR="00061596" w:rsidRPr="00DA20F8">
        <w:rPr>
          <w:rFonts w:ascii="Times New Roman" w:hAnsi="Times New Roman"/>
          <w:sz w:val="24"/>
        </w:rPr>
        <w:t xml:space="preserve"> with </w:t>
      </w:r>
      <w:r w:rsidR="00AD3777" w:rsidRPr="00DA20F8">
        <w:rPr>
          <w:rFonts w:ascii="Times New Roman" w:hAnsi="Times New Roman"/>
          <w:sz w:val="24"/>
        </w:rPr>
        <w:t xml:space="preserve">Commission </w:t>
      </w:r>
      <w:r w:rsidR="000C3E30" w:rsidRPr="00DA20F8">
        <w:rPr>
          <w:rFonts w:ascii="Times New Roman" w:hAnsi="Times New Roman"/>
          <w:sz w:val="24"/>
        </w:rPr>
        <w:t xml:space="preserve">precedent </w:t>
      </w:r>
      <w:r w:rsidR="00061596" w:rsidRPr="00DA20F8">
        <w:rPr>
          <w:rFonts w:ascii="Times New Roman" w:hAnsi="Times New Roman"/>
          <w:sz w:val="24"/>
        </w:rPr>
        <w:t xml:space="preserve">and prior </w:t>
      </w:r>
      <w:r w:rsidR="00331CB8" w:rsidRPr="00DA20F8">
        <w:rPr>
          <w:rFonts w:ascii="Times New Roman" w:hAnsi="Times New Roman"/>
          <w:sz w:val="24"/>
        </w:rPr>
        <w:t>Staff practice</w:t>
      </w:r>
      <w:r w:rsidR="00890D41" w:rsidRPr="00DA20F8">
        <w:rPr>
          <w:rFonts w:ascii="Times New Roman" w:hAnsi="Times New Roman"/>
          <w:sz w:val="24"/>
        </w:rPr>
        <w:t>.</w:t>
      </w:r>
      <w:r w:rsidR="003E2C51">
        <w:rPr>
          <w:rStyle w:val="FootnoteReference"/>
          <w:rFonts w:ascii="Times New Roman" w:hAnsi="Times New Roman"/>
          <w:sz w:val="24"/>
        </w:rPr>
        <w:footnoteReference w:id="72"/>
      </w:r>
      <w:r w:rsidR="00AD0D76" w:rsidRPr="00DA20F8">
        <w:rPr>
          <w:rFonts w:ascii="Times New Roman" w:hAnsi="Times New Roman"/>
          <w:sz w:val="24"/>
        </w:rPr>
        <w:t xml:space="preserve">  PSE </w:t>
      </w:r>
      <w:r w:rsidR="000C3E30" w:rsidRPr="00DA20F8">
        <w:rPr>
          <w:rFonts w:ascii="Times New Roman" w:hAnsi="Times New Roman"/>
          <w:sz w:val="24"/>
        </w:rPr>
        <w:t xml:space="preserve">also </w:t>
      </w:r>
      <w:r w:rsidR="00AD3777" w:rsidRPr="00DA20F8">
        <w:rPr>
          <w:rFonts w:ascii="Times New Roman" w:hAnsi="Times New Roman"/>
          <w:sz w:val="24"/>
        </w:rPr>
        <w:t xml:space="preserve">argues that Staff’s </w:t>
      </w:r>
      <w:r w:rsidR="005F4542" w:rsidRPr="00DA20F8">
        <w:rPr>
          <w:rFonts w:ascii="Times New Roman" w:hAnsi="Times New Roman"/>
          <w:sz w:val="24"/>
        </w:rPr>
        <w:t xml:space="preserve">current </w:t>
      </w:r>
      <w:r w:rsidR="00AD3777" w:rsidRPr="00DA20F8">
        <w:rPr>
          <w:rFonts w:ascii="Times New Roman" w:hAnsi="Times New Roman"/>
          <w:sz w:val="24"/>
        </w:rPr>
        <w:t>appro</w:t>
      </w:r>
      <w:r w:rsidR="005C72C2" w:rsidRPr="00DA20F8">
        <w:rPr>
          <w:rFonts w:ascii="Times New Roman" w:hAnsi="Times New Roman"/>
          <w:sz w:val="24"/>
        </w:rPr>
        <w:t>ach is incompatible with</w:t>
      </w:r>
      <w:r w:rsidR="00FA4352" w:rsidRPr="00DA20F8">
        <w:rPr>
          <w:rFonts w:ascii="Times New Roman" w:hAnsi="Times New Roman"/>
          <w:sz w:val="24"/>
        </w:rPr>
        <w:t xml:space="preserve"> </w:t>
      </w:r>
      <w:r w:rsidR="00FF31E1">
        <w:rPr>
          <w:rFonts w:ascii="Times New Roman" w:hAnsi="Times New Roman"/>
          <w:sz w:val="24"/>
        </w:rPr>
        <w:t xml:space="preserve">its </w:t>
      </w:r>
      <w:r w:rsidR="005F4542" w:rsidRPr="00DA20F8">
        <w:rPr>
          <w:rFonts w:ascii="Times New Roman" w:hAnsi="Times New Roman"/>
          <w:sz w:val="24"/>
        </w:rPr>
        <w:t xml:space="preserve">increasingly expensive </w:t>
      </w:r>
      <w:r w:rsidR="001E5A2A" w:rsidRPr="00DA20F8">
        <w:rPr>
          <w:rFonts w:ascii="Times New Roman" w:hAnsi="Times New Roman"/>
          <w:sz w:val="24"/>
        </w:rPr>
        <w:t xml:space="preserve">efforts </w:t>
      </w:r>
      <w:r w:rsidR="000C3E30" w:rsidRPr="00DA20F8">
        <w:rPr>
          <w:rFonts w:ascii="Times New Roman" w:hAnsi="Times New Roman"/>
          <w:sz w:val="24"/>
        </w:rPr>
        <w:t xml:space="preserve">to maintain and </w:t>
      </w:r>
      <w:r w:rsidR="00061596" w:rsidRPr="00DA20F8">
        <w:rPr>
          <w:rFonts w:ascii="Times New Roman" w:hAnsi="Times New Roman"/>
          <w:sz w:val="24"/>
        </w:rPr>
        <w:t>operate a safe and reliable energy delivery system</w:t>
      </w:r>
      <w:r w:rsidR="000C3E30" w:rsidRPr="00DA20F8">
        <w:rPr>
          <w:rFonts w:ascii="Times New Roman" w:hAnsi="Times New Roman"/>
          <w:sz w:val="24"/>
        </w:rPr>
        <w:t xml:space="preserve">, and </w:t>
      </w:r>
      <w:r w:rsidR="00AD0D76" w:rsidRPr="00DA20F8">
        <w:rPr>
          <w:rFonts w:ascii="Times New Roman" w:hAnsi="Times New Roman"/>
          <w:sz w:val="24"/>
        </w:rPr>
        <w:t>provide a reliable and adequate energy supply.</w:t>
      </w:r>
      <w:r w:rsidR="00AD0D76">
        <w:rPr>
          <w:rStyle w:val="FootnoteReference"/>
          <w:rFonts w:ascii="Times New Roman" w:hAnsi="Times New Roman"/>
          <w:sz w:val="24"/>
        </w:rPr>
        <w:footnoteReference w:id="73"/>
      </w:r>
      <w:r w:rsidR="000C3E30" w:rsidRPr="00DA20F8">
        <w:rPr>
          <w:rFonts w:ascii="Times New Roman" w:hAnsi="Times New Roman"/>
          <w:sz w:val="24"/>
        </w:rPr>
        <w:t xml:space="preserve"> </w:t>
      </w:r>
      <w:r w:rsidR="00AD0D76" w:rsidRPr="00DA20F8">
        <w:rPr>
          <w:rFonts w:ascii="Times New Roman" w:hAnsi="Times New Roman"/>
          <w:sz w:val="24"/>
        </w:rPr>
        <w:t xml:space="preserve"> The Commis</w:t>
      </w:r>
      <w:r w:rsidR="00574B9B" w:rsidRPr="00DA20F8">
        <w:rPr>
          <w:rFonts w:ascii="Times New Roman" w:hAnsi="Times New Roman"/>
          <w:sz w:val="24"/>
        </w:rPr>
        <w:t xml:space="preserve">sion has </w:t>
      </w:r>
      <w:r w:rsidR="00FF31E1">
        <w:rPr>
          <w:rFonts w:ascii="Times New Roman" w:hAnsi="Times New Roman"/>
          <w:sz w:val="24"/>
        </w:rPr>
        <w:t xml:space="preserve">heard </w:t>
      </w:r>
      <w:r w:rsidR="005F4542" w:rsidRPr="00DA20F8">
        <w:rPr>
          <w:rFonts w:ascii="Times New Roman" w:hAnsi="Times New Roman"/>
          <w:sz w:val="24"/>
        </w:rPr>
        <w:t xml:space="preserve">these challenges </w:t>
      </w:r>
      <w:r w:rsidR="008F0950">
        <w:rPr>
          <w:rFonts w:ascii="Times New Roman" w:hAnsi="Times New Roman"/>
          <w:sz w:val="24"/>
        </w:rPr>
        <w:t xml:space="preserve">before </w:t>
      </w:r>
      <w:r w:rsidR="005F4542" w:rsidRPr="00DA20F8">
        <w:rPr>
          <w:rFonts w:ascii="Times New Roman" w:hAnsi="Times New Roman"/>
          <w:sz w:val="24"/>
        </w:rPr>
        <w:t>and has not been persuaded</w:t>
      </w:r>
      <w:r w:rsidR="00AD0D76" w:rsidRPr="00DA20F8">
        <w:rPr>
          <w:rFonts w:ascii="Times New Roman" w:hAnsi="Times New Roman"/>
          <w:sz w:val="24"/>
        </w:rPr>
        <w:t>.</w:t>
      </w:r>
      <w:r w:rsidR="00AD0D76">
        <w:rPr>
          <w:rStyle w:val="FootnoteReference"/>
          <w:rFonts w:ascii="Times New Roman" w:hAnsi="Times New Roman"/>
          <w:sz w:val="24"/>
        </w:rPr>
        <w:footnoteReference w:id="74"/>
      </w:r>
    </w:p>
    <w:p w:rsidR="00D045BC" w:rsidRPr="00DA20F8" w:rsidRDefault="00DA20F8"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D045BC" w:rsidRPr="00DA20F8">
        <w:rPr>
          <w:rFonts w:ascii="Times New Roman" w:hAnsi="Times New Roman"/>
          <w:sz w:val="24"/>
        </w:rPr>
        <w:t xml:space="preserve">First, </w:t>
      </w:r>
      <w:r w:rsidR="003D2569" w:rsidRPr="00DA20F8">
        <w:rPr>
          <w:rFonts w:ascii="Times New Roman" w:hAnsi="Times New Roman"/>
          <w:sz w:val="24"/>
        </w:rPr>
        <w:t>the Commission affirmed St</w:t>
      </w:r>
      <w:r w:rsidR="00176FD8" w:rsidRPr="00DA20F8">
        <w:rPr>
          <w:rFonts w:ascii="Times New Roman" w:hAnsi="Times New Roman"/>
          <w:sz w:val="24"/>
        </w:rPr>
        <w:t xml:space="preserve">aff’s approach to reject </w:t>
      </w:r>
      <w:r w:rsidR="00574B9B" w:rsidRPr="00DA20F8">
        <w:rPr>
          <w:rFonts w:ascii="Times New Roman" w:hAnsi="Times New Roman"/>
          <w:sz w:val="24"/>
        </w:rPr>
        <w:t xml:space="preserve">budget </w:t>
      </w:r>
      <w:r w:rsidR="003D2569" w:rsidRPr="00DA20F8">
        <w:rPr>
          <w:rFonts w:ascii="Times New Roman" w:hAnsi="Times New Roman"/>
          <w:sz w:val="24"/>
        </w:rPr>
        <w:t xml:space="preserve">forecasts </w:t>
      </w:r>
      <w:r w:rsidR="006F2E2C" w:rsidRPr="00DA20F8">
        <w:rPr>
          <w:rFonts w:ascii="Times New Roman" w:hAnsi="Times New Roman"/>
          <w:sz w:val="24"/>
        </w:rPr>
        <w:t xml:space="preserve">of rate year expenses </w:t>
      </w:r>
      <w:r w:rsidR="00BB66C5" w:rsidRPr="00DA20F8">
        <w:rPr>
          <w:rFonts w:ascii="Times New Roman" w:hAnsi="Times New Roman"/>
          <w:sz w:val="24"/>
        </w:rPr>
        <w:t>even when those projections</w:t>
      </w:r>
      <w:r w:rsidR="00E74692" w:rsidRPr="00DA20F8">
        <w:rPr>
          <w:rFonts w:ascii="Times New Roman" w:hAnsi="Times New Roman"/>
          <w:sz w:val="24"/>
        </w:rPr>
        <w:t xml:space="preserve"> reflect the </w:t>
      </w:r>
      <w:r w:rsidR="001E1900" w:rsidRPr="00DA20F8">
        <w:rPr>
          <w:rFonts w:ascii="Times New Roman" w:hAnsi="Times New Roman"/>
          <w:sz w:val="24"/>
        </w:rPr>
        <w:t>sound opinion</w:t>
      </w:r>
      <w:r w:rsidR="00BB66C5" w:rsidRPr="00DA20F8">
        <w:rPr>
          <w:rFonts w:ascii="Times New Roman" w:hAnsi="Times New Roman"/>
          <w:sz w:val="24"/>
        </w:rPr>
        <w:t xml:space="preserve"> of management: </w:t>
      </w:r>
    </w:p>
    <w:p w:rsidR="003D2569" w:rsidRDefault="003D2569" w:rsidP="003D2569">
      <w:pPr>
        <w:tabs>
          <w:tab w:val="left" w:pos="-1440"/>
        </w:tabs>
        <w:ind w:left="720" w:hanging="720"/>
        <w:rPr>
          <w:rFonts w:ascii="Times New Roman" w:hAnsi="Times New Roman"/>
          <w:sz w:val="24"/>
          <w:szCs w:val="24"/>
        </w:rPr>
      </w:pPr>
      <w:r>
        <w:rPr>
          <w:rFonts w:ascii="Times New Roman" w:hAnsi="Times New Roman"/>
          <w:sz w:val="24"/>
        </w:rPr>
        <w:tab/>
      </w:r>
      <w:r w:rsidRPr="003D2569">
        <w:rPr>
          <w:rFonts w:ascii="Times New Roman" w:hAnsi="Times New Roman"/>
          <w:sz w:val="24"/>
          <w:szCs w:val="24"/>
        </w:rPr>
        <w:t xml:space="preserve">The known and measurable concept requires that an event that causes a change in revenue, expense or rate base must be </w:t>
      </w:r>
      <w:r w:rsidRPr="003D2569">
        <w:rPr>
          <w:rFonts w:ascii="Times New Roman" w:hAnsi="Times New Roman"/>
          <w:i/>
          <w:sz w:val="24"/>
          <w:szCs w:val="24"/>
        </w:rPr>
        <w:t>known</w:t>
      </w:r>
      <w:r w:rsidRPr="003D2569">
        <w:rPr>
          <w:rFonts w:ascii="Times New Roman" w:hAnsi="Times New Roman"/>
          <w:sz w:val="24"/>
          <w:szCs w:val="24"/>
        </w:rPr>
        <w:t xml:space="preserve"> to have occurred during or after the historical 12 months of actual results of operations. It must also be demonstrated (</w:t>
      </w:r>
      <w:r w:rsidRPr="003D2569">
        <w:rPr>
          <w:rFonts w:ascii="Times New Roman" w:hAnsi="Times New Roman"/>
          <w:i/>
          <w:sz w:val="24"/>
          <w:szCs w:val="24"/>
        </w:rPr>
        <w:t>i.e</w:t>
      </w:r>
      <w:r w:rsidRPr="003D2569">
        <w:rPr>
          <w:rFonts w:ascii="Times New Roman" w:hAnsi="Times New Roman"/>
          <w:sz w:val="24"/>
          <w:szCs w:val="24"/>
        </w:rPr>
        <w:t xml:space="preserve">., </w:t>
      </w:r>
      <w:r w:rsidRPr="003D2569">
        <w:rPr>
          <w:rFonts w:ascii="Times New Roman" w:hAnsi="Times New Roman"/>
          <w:i/>
          <w:sz w:val="24"/>
          <w:szCs w:val="24"/>
        </w:rPr>
        <w:t>known)</w:t>
      </w:r>
      <w:r w:rsidRPr="003D2569">
        <w:rPr>
          <w:rFonts w:ascii="Times New Roman" w:hAnsi="Times New Roman"/>
          <w:sz w:val="24"/>
          <w:szCs w:val="24"/>
        </w:rPr>
        <w:t xml:space="preserve"> that the effect of the event will be in place during the 12-month period when rates will likely be in effect. </w:t>
      </w:r>
      <w:r w:rsidR="0058708A">
        <w:rPr>
          <w:rFonts w:ascii="Times New Roman" w:hAnsi="Times New Roman"/>
          <w:sz w:val="24"/>
          <w:szCs w:val="24"/>
        </w:rPr>
        <w:t xml:space="preserve"> </w:t>
      </w:r>
      <w:r w:rsidRPr="003D2569">
        <w:rPr>
          <w:rFonts w:ascii="Times New Roman" w:hAnsi="Times New Roman"/>
          <w:sz w:val="24"/>
          <w:szCs w:val="24"/>
        </w:rPr>
        <w:t xml:space="preserve">The actual amount of the change must be </w:t>
      </w:r>
      <w:r w:rsidRPr="003D2569">
        <w:rPr>
          <w:rFonts w:ascii="Times New Roman" w:hAnsi="Times New Roman"/>
          <w:i/>
          <w:sz w:val="24"/>
          <w:szCs w:val="24"/>
        </w:rPr>
        <w:t>measurable.</w:t>
      </w:r>
      <w:r w:rsidRPr="003D2569">
        <w:rPr>
          <w:rFonts w:ascii="Times New Roman" w:hAnsi="Times New Roman"/>
          <w:sz w:val="24"/>
          <w:szCs w:val="24"/>
        </w:rPr>
        <w:t xml:space="preserve">  This means the amount cannot be an estimate, a projection, the product of a budget forecast, or some similar exercise of judgment—even informed judgment—concerning future revenue, expense or rate base.  Costs that are documented by actual expenditure, invoice, contract, or other specific obligation usually meet this test.  Costs that are the product of forecasts, projections, or budgets generally will not qualify.</w:t>
      </w:r>
      <w:r>
        <w:rPr>
          <w:rStyle w:val="FootnoteReference"/>
          <w:rFonts w:ascii="Times New Roman" w:hAnsi="Times New Roman"/>
          <w:sz w:val="24"/>
          <w:szCs w:val="24"/>
        </w:rPr>
        <w:footnoteReference w:id="75"/>
      </w:r>
      <w:r w:rsidRPr="003D2569">
        <w:rPr>
          <w:rFonts w:ascii="Times New Roman" w:hAnsi="Times New Roman"/>
          <w:sz w:val="24"/>
          <w:szCs w:val="24"/>
        </w:rPr>
        <w:t xml:space="preserve">  </w:t>
      </w:r>
      <w:r>
        <w:rPr>
          <w:rFonts w:ascii="Times New Roman" w:hAnsi="Times New Roman"/>
          <w:sz w:val="24"/>
          <w:szCs w:val="24"/>
        </w:rPr>
        <w:t>(</w:t>
      </w:r>
      <w:r w:rsidR="0058708A">
        <w:rPr>
          <w:rFonts w:ascii="Times New Roman" w:hAnsi="Times New Roman"/>
          <w:sz w:val="24"/>
          <w:szCs w:val="24"/>
        </w:rPr>
        <w:t xml:space="preserve">Emphasis in original; </w:t>
      </w:r>
      <w:r>
        <w:rPr>
          <w:rFonts w:ascii="Times New Roman" w:hAnsi="Times New Roman"/>
          <w:sz w:val="24"/>
          <w:szCs w:val="24"/>
        </w:rPr>
        <w:t>Footnotes omitted.)</w:t>
      </w:r>
    </w:p>
    <w:p w:rsidR="003D2569" w:rsidRDefault="003D2569" w:rsidP="003D2569">
      <w:pPr>
        <w:tabs>
          <w:tab w:val="left" w:pos="-1440"/>
        </w:tabs>
        <w:ind w:left="90" w:hanging="720"/>
        <w:rPr>
          <w:rFonts w:ascii="Times New Roman" w:hAnsi="Times New Roman"/>
          <w:sz w:val="24"/>
          <w:szCs w:val="24"/>
        </w:rPr>
      </w:pPr>
    </w:p>
    <w:p w:rsidR="003D2569" w:rsidRPr="00DA20F8" w:rsidRDefault="00DA20F8" w:rsidP="00C61B17">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A710EE" w:rsidRPr="00DA20F8">
        <w:rPr>
          <w:rFonts w:ascii="Times New Roman" w:hAnsi="Times New Roman"/>
          <w:sz w:val="24"/>
          <w:szCs w:val="24"/>
        </w:rPr>
        <w:t xml:space="preserve">Second, the Commission affirmed the importance </w:t>
      </w:r>
      <w:r w:rsidR="007C4496" w:rsidRPr="00DA20F8">
        <w:rPr>
          <w:rFonts w:ascii="Times New Roman" w:hAnsi="Times New Roman"/>
          <w:sz w:val="24"/>
          <w:szCs w:val="24"/>
        </w:rPr>
        <w:t>Staff attributes to</w:t>
      </w:r>
      <w:r w:rsidR="00A710EE" w:rsidRPr="00DA20F8">
        <w:rPr>
          <w:rFonts w:ascii="Times New Roman" w:hAnsi="Times New Roman"/>
          <w:sz w:val="24"/>
          <w:szCs w:val="24"/>
        </w:rPr>
        <w:t xml:space="preserve"> identifying all offse</w:t>
      </w:r>
      <w:r w:rsidR="009E364C" w:rsidRPr="00DA20F8">
        <w:rPr>
          <w:rFonts w:ascii="Times New Roman" w:hAnsi="Times New Roman"/>
          <w:sz w:val="24"/>
          <w:szCs w:val="24"/>
        </w:rPr>
        <w:t xml:space="preserve">tting factors </w:t>
      </w:r>
      <w:r w:rsidR="003D6400" w:rsidRPr="00DA20F8">
        <w:rPr>
          <w:rFonts w:ascii="Times New Roman" w:hAnsi="Times New Roman"/>
          <w:sz w:val="24"/>
          <w:szCs w:val="24"/>
        </w:rPr>
        <w:t>across a utility</w:t>
      </w:r>
      <w:r w:rsidR="00176FD8" w:rsidRPr="00DA20F8">
        <w:rPr>
          <w:rFonts w:ascii="Times New Roman" w:hAnsi="Times New Roman"/>
          <w:sz w:val="24"/>
          <w:szCs w:val="24"/>
        </w:rPr>
        <w:t xml:space="preserve">’s entire operations </w:t>
      </w:r>
      <w:r w:rsidR="009E364C" w:rsidRPr="00DA20F8">
        <w:rPr>
          <w:rFonts w:ascii="Times New Roman" w:hAnsi="Times New Roman"/>
          <w:sz w:val="24"/>
          <w:szCs w:val="24"/>
        </w:rPr>
        <w:t xml:space="preserve">in order to preserve </w:t>
      </w:r>
      <w:r w:rsidR="00A710EE" w:rsidRPr="00DA20F8">
        <w:rPr>
          <w:rFonts w:ascii="Times New Roman" w:hAnsi="Times New Roman"/>
          <w:sz w:val="24"/>
          <w:szCs w:val="24"/>
        </w:rPr>
        <w:t>test yea</w:t>
      </w:r>
      <w:r w:rsidR="00CD2CFE" w:rsidRPr="00DA20F8">
        <w:rPr>
          <w:rFonts w:ascii="Times New Roman" w:hAnsi="Times New Roman"/>
          <w:sz w:val="24"/>
          <w:szCs w:val="24"/>
        </w:rPr>
        <w:t>r relationships among revenues, c</w:t>
      </w:r>
      <w:r w:rsidR="009E364C" w:rsidRPr="00DA20F8">
        <w:rPr>
          <w:rFonts w:ascii="Times New Roman" w:hAnsi="Times New Roman"/>
          <w:sz w:val="24"/>
          <w:szCs w:val="24"/>
        </w:rPr>
        <w:t>osts and rate base</w:t>
      </w:r>
      <w:r w:rsidR="00CD2CFE" w:rsidRPr="00DA20F8">
        <w:rPr>
          <w:rFonts w:ascii="Times New Roman" w:hAnsi="Times New Roman"/>
          <w:sz w:val="24"/>
          <w:szCs w:val="24"/>
        </w:rPr>
        <w:t>:</w:t>
      </w:r>
    </w:p>
    <w:p w:rsidR="00CD2CFE" w:rsidRDefault="00CD2CFE" w:rsidP="00CD2CFE">
      <w:pPr>
        <w:tabs>
          <w:tab w:val="left" w:pos="-1440"/>
        </w:tabs>
        <w:ind w:left="720" w:hanging="720"/>
        <w:rPr>
          <w:rFonts w:ascii="Times New Roman" w:hAnsi="Times New Roman"/>
          <w:sz w:val="24"/>
          <w:szCs w:val="24"/>
        </w:rPr>
      </w:pPr>
      <w:r>
        <w:rPr>
          <w:rFonts w:ascii="Times New Roman" w:hAnsi="Times New Roman"/>
          <w:sz w:val="24"/>
          <w:szCs w:val="24"/>
        </w:rPr>
        <w:tab/>
      </w:r>
      <w:r w:rsidR="00A47898">
        <w:rPr>
          <w:rFonts w:ascii="Times New Roman" w:hAnsi="Times New Roman"/>
          <w:sz w:val="24"/>
          <w:szCs w:val="24"/>
        </w:rPr>
        <w:t xml:space="preserve">The Company </w:t>
      </w:r>
      <w:r w:rsidRPr="00CD2CFE">
        <w:rPr>
          <w:rFonts w:ascii="Times New Roman" w:hAnsi="Times New Roman"/>
          <w:sz w:val="24"/>
          <w:szCs w:val="24"/>
        </w:rPr>
        <w:t xml:space="preserve">provides estimates of the revenue or cost savings it believes could be attributable to each of the projects during the rate year.  While these estimates may be accurate, this approach misconstrues the principle of matching.  It implies that the necessary matching is limited solely to offsetting factors caused by the project in question.  The principle of matching requires that </w:t>
      </w:r>
      <w:r w:rsidRPr="00CD2CFE">
        <w:rPr>
          <w:rFonts w:ascii="Times New Roman" w:hAnsi="Times New Roman"/>
          <w:sz w:val="24"/>
          <w:szCs w:val="24"/>
          <w:u w:val="single"/>
        </w:rPr>
        <w:t>all</w:t>
      </w:r>
      <w:r w:rsidRPr="00CD2CFE">
        <w:rPr>
          <w:rFonts w:ascii="Times New Roman" w:hAnsi="Times New Roman"/>
          <w:sz w:val="24"/>
          <w:szCs w:val="24"/>
        </w:rPr>
        <w:t xml:space="preserve"> cost of service components – revenue, investment, expenses and cost of capital – be evaluated at a similar point in time.  Staff is correct to point out that this requires consideration of all of the Company’s costs and revenues</w:t>
      </w:r>
      <w:r>
        <w:rPr>
          <w:rFonts w:ascii="Times New Roman" w:hAnsi="Times New Roman"/>
          <w:sz w:val="24"/>
          <w:szCs w:val="24"/>
        </w:rPr>
        <w:t>.</w:t>
      </w:r>
      <w:r>
        <w:rPr>
          <w:rStyle w:val="FootnoteReference"/>
          <w:rFonts w:ascii="Times New Roman" w:hAnsi="Times New Roman"/>
          <w:sz w:val="24"/>
          <w:szCs w:val="24"/>
        </w:rPr>
        <w:footnoteReference w:id="76"/>
      </w:r>
      <w:r w:rsidR="007C4496">
        <w:rPr>
          <w:rFonts w:ascii="Times New Roman" w:hAnsi="Times New Roman"/>
          <w:sz w:val="24"/>
          <w:szCs w:val="24"/>
        </w:rPr>
        <w:t xml:space="preserve"> (Emphasis in original</w:t>
      </w:r>
      <w:r w:rsidR="009E364C">
        <w:rPr>
          <w:rFonts w:ascii="Times New Roman" w:hAnsi="Times New Roman"/>
          <w:sz w:val="24"/>
          <w:szCs w:val="24"/>
        </w:rPr>
        <w:t>.)</w:t>
      </w:r>
    </w:p>
    <w:p w:rsidR="007C4496" w:rsidRDefault="007C4496" w:rsidP="00CD2CFE">
      <w:pPr>
        <w:tabs>
          <w:tab w:val="left" w:pos="-1440"/>
        </w:tabs>
        <w:ind w:left="720" w:hanging="720"/>
        <w:rPr>
          <w:rFonts w:ascii="Times New Roman" w:hAnsi="Times New Roman"/>
          <w:sz w:val="24"/>
          <w:szCs w:val="24"/>
        </w:rPr>
      </w:pPr>
    </w:p>
    <w:p w:rsidR="007C4496" w:rsidRPr="00DA20F8" w:rsidRDefault="00DA20F8" w:rsidP="00C61B17">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176FD8" w:rsidRPr="00DA20F8">
        <w:rPr>
          <w:rFonts w:ascii="Times New Roman" w:hAnsi="Times New Roman"/>
          <w:sz w:val="24"/>
          <w:szCs w:val="24"/>
        </w:rPr>
        <w:t xml:space="preserve">Finally, the Commission confirmed </w:t>
      </w:r>
      <w:r w:rsidR="00F363F7" w:rsidRPr="00DA20F8">
        <w:rPr>
          <w:rFonts w:ascii="Times New Roman" w:hAnsi="Times New Roman"/>
          <w:sz w:val="24"/>
          <w:szCs w:val="24"/>
        </w:rPr>
        <w:t>Staff</w:t>
      </w:r>
      <w:r w:rsidR="00176FD8" w:rsidRPr="00DA20F8">
        <w:rPr>
          <w:rFonts w:ascii="Times New Roman" w:hAnsi="Times New Roman"/>
          <w:sz w:val="24"/>
          <w:szCs w:val="24"/>
        </w:rPr>
        <w:t>’s concern</w:t>
      </w:r>
      <w:r w:rsidR="00F363F7" w:rsidRPr="00DA20F8">
        <w:rPr>
          <w:rFonts w:ascii="Times New Roman" w:hAnsi="Times New Roman"/>
          <w:sz w:val="24"/>
          <w:szCs w:val="24"/>
        </w:rPr>
        <w:t xml:space="preserve"> that </w:t>
      </w:r>
      <w:r w:rsidR="007C4496" w:rsidRPr="00DA20F8">
        <w:rPr>
          <w:rFonts w:ascii="Times New Roman" w:hAnsi="Times New Roman"/>
          <w:sz w:val="24"/>
          <w:szCs w:val="24"/>
        </w:rPr>
        <w:t xml:space="preserve">injury to the matching principle </w:t>
      </w:r>
      <w:r w:rsidR="00CD1AE6" w:rsidRPr="00DA20F8">
        <w:rPr>
          <w:rFonts w:ascii="Times New Roman" w:hAnsi="Times New Roman"/>
          <w:sz w:val="24"/>
          <w:szCs w:val="24"/>
        </w:rPr>
        <w:t>could result</w:t>
      </w:r>
      <w:r w:rsidR="00302F01" w:rsidRPr="00DA20F8">
        <w:rPr>
          <w:rFonts w:ascii="Times New Roman" w:hAnsi="Times New Roman"/>
          <w:sz w:val="24"/>
          <w:szCs w:val="24"/>
        </w:rPr>
        <w:t xml:space="preserve"> </w:t>
      </w:r>
      <w:r w:rsidR="00F363F7" w:rsidRPr="00DA20F8">
        <w:rPr>
          <w:rFonts w:ascii="Times New Roman" w:hAnsi="Times New Roman"/>
          <w:sz w:val="24"/>
          <w:szCs w:val="24"/>
        </w:rPr>
        <w:t xml:space="preserve">if projected costs </w:t>
      </w:r>
      <w:r w:rsidR="00302F01" w:rsidRPr="00DA20F8">
        <w:rPr>
          <w:rFonts w:ascii="Times New Roman" w:hAnsi="Times New Roman"/>
          <w:sz w:val="24"/>
          <w:szCs w:val="24"/>
        </w:rPr>
        <w:t xml:space="preserve">for plant additions </w:t>
      </w:r>
      <w:r w:rsidR="00F363F7" w:rsidRPr="00DA20F8">
        <w:rPr>
          <w:rFonts w:ascii="Times New Roman" w:hAnsi="Times New Roman"/>
          <w:sz w:val="24"/>
          <w:szCs w:val="24"/>
        </w:rPr>
        <w:t>are used rather than audited</w:t>
      </w:r>
      <w:r w:rsidR="00FF31E1">
        <w:rPr>
          <w:rFonts w:ascii="Times New Roman" w:hAnsi="Times New Roman"/>
          <w:sz w:val="24"/>
          <w:szCs w:val="24"/>
        </w:rPr>
        <w:t>, verified</w:t>
      </w:r>
      <w:r w:rsidR="00F363F7" w:rsidRPr="00DA20F8">
        <w:rPr>
          <w:rFonts w:ascii="Times New Roman" w:hAnsi="Times New Roman"/>
          <w:sz w:val="24"/>
          <w:szCs w:val="24"/>
        </w:rPr>
        <w:t xml:space="preserve"> results:</w:t>
      </w:r>
      <w:r w:rsidR="003D6400" w:rsidRPr="00DA20F8">
        <w:rPr>
          <w:rFonts w:ascii="Times New Roman" w:hAnsi="Times New Roman"/>
          <w:sz w:val="24"/>
          <w:szCs w:val="24"/>
        </w:rPr>
        <w:t xml:space="preserve"> </w:t>
      </w:r>
    </w:p>
    <w:p w:rsidR="00F363F7" w:rsidRDefault="00F363F7" w:rsidP="00F363F7">
      <w:pPr>
        <w:tabs>
          <w:tab w:val="left" w:pos="-1440"/>
        </w:tabs>
        <w:ind w:left="720" w:hanging="90"/>
        <w:rPr>
          <w:rFonts w:ascii="Times New Roman" w:hAnsi="Times New Roman"/>
          <w:sz w:val="24"/>
          <w:szCs w:val="24"/>
        </w:rPr>
      </w:pPr>
      <w:r>
        <w:rPr>
          <w:rFonts w:ascii="Times New Roman" w:hAnsi="Times New Roman"/>
          <w:sz w:val="24"/>
          <w:szCs w:val="24"/>
        </w:rPr>
        <w:tab/>
      </w:r>
      <w:r w:rsidRPr="00F363F7">
        <w:rPr>
          <w:rFonts w:ascii="Times New Roman" w:hAnsi="Times New Roman"/>
          <w:sz w:val="24"/>
          <w:szCs w:val="24"/>
        </w:rPr>
        <w:t xml:space="preserve">Staff is correct to focus on audited results to ensure that the costs it proposes to include in rates comply with both the known and measurable principle and the used and useful principle.  Budgeted figures representing the Company’s projected and planned costs for capital programs may prove to be inaccurate.  While we do not question the rigor of the Company’s management and planning processes, planned expenditures are not certain expenditures.  </w:t>
      </w:r>
    </w:p>
    <w:p w:rsidR="00F363F7" w:rsidRDefault="00F363F7" w:rsidP="00F363F7">
      <w:pPr>
        <w:tabs>
          <w:tab w:val="left" w:pos="-1440"/>
        </w:tabs>
        <w:ind w:left="720" w:hanging="90"/>
        <w:rPr>
          <w:rFonts w:ascii="Times New Roman" w:hAnsi="Times New Roman"/>
          <w:sz w:val="24"/>
          <w:szCs w:val="24"/>
        </w:rPr>
      </w:pPr>
    </w:p>
    <w:p w:rsidR="00F363F7" w:rsidRDefault="00F363F7" w:rsidP="00F363F7">
      <w:pPr>
        <w:tabs>
          <w:tab w:val="left" w:pos="-1440"/>
        </w:tabs>
        <w:jc w:val="center"/>
        <w:rPr>
          <w:rFonts w:ascii="Times New Roman" w:hAnsi="Times New Roman"/>
          <w:sz w:val="24"/>
          <w:szCs w:val="24"/>
        </w:rPr>
      </w:pPr>
      <w:r w:rsidRPr="00F363F7">
        <w:rPr>
          <w:rFonts w:ascii="Times New Roman" w:hAnsi="Times New Roman"/>
          <w:sz w:val="24"/>
          <w:szCs w:val="24"/>
        </w:rPr>
        <w:t>*</w:t>
      </w:r>
      <w:r w:rsidRPr="00F363F7">
        <w:rPr>
          <w:rFonts w:ascii="Times New Roman" w:hAnsi="Times New Roman"/>
          <w:sz w:val="24"/>
          <w:szCs w:val="24"/>
        </w:rPr>
        <w:tab/>
        <w:t>*</w:t>
      </w:r>
      <w:r w:rsidRPr="00F363F7">
        <w:rPr>
          <w:rFonts w:ascii="Times New Roman" w:hAnsi="Times New Roman"/>
          <w:sz w:val="24"/>
          <w:szCs w:val="24"/>
        </w:rPr>
        <w:tab/>
        <w:t>*</w:t>
      </w:r>
    </w:p>
    <w:p w:rsidR="00F363F7" w:rsidRDefault="00F363F7" w:rsidP="00F363F7">
      <w:pPr>
        <w:tabs>
          <w:tab w:val="left" w:pos="-1440"/>
        </w:tabs>
        <w:jc w:val="center"/>
        <w:rPr>
          <w:rFonts w:ascii="Times New Roman" w:hAnsi="Times New Roman"/>
          <w:sz w:val="24"/>
          <w:szCs w:val="24"/>
        </w:rPr>
      </w:pPr>
    </w:p>
    <w:p w:rsidR="00F363F7" w:rsidRPr="00F363F7" w:rsidRDefault="00F363F7" w:rsidP="00F363F7">
      <w:pPr>
        <w:ind w:left="720"/>
        <w:rPr>
          <w:rFonts w:ascii="Times New Roman" w:hAnsi="Times New Roman"/>
          <w:sz w:val="24"/>
          <w:szCs w:val="24"/>
        </w:rPr>
      </w:pPr>
      <w:r>
        <w:rPr>
          <w:rFonts w:ascii="Times New Roman" w:hAnsi="Times New Roman"/>
          <w:sz w:val="24"/>
          <w:szCs w:val="24"/>
        </w:rPr>
        <w:t xml:space="preserve">. . . </w:t>
      </w:r>
      <w:r w:rsidRPr="00F363F7">
        <w:rPr>
          <w:rFonts w:ascii="Times New Roman" w:hAnsi="Times New Roman"/>
          <w:sz w:val="24"/>
          <w:szCs w:val="24"/>
        </w:rPr>
        <w:t xml:space="preserve">The Company’s proposal to include </w:t>
      </w:r>
      <w:r w:rsidRPr="00F363F7">
        <w:rPr>
          <w:rFonts w:ascii="Times New Roman" w:hAnsi="Times New Roman"/>
          <w:sz w:val="24"/>
          <w:szCs w:val="24"/>
          <w:u w:val="single"/>
        </w:rPr>
        <w:t>all</w:t>
      </w:r>
      <w:r w:rsidRPr="00F363F7">
        <w:rPr>
          <w:rFonts w:ascii="Times New Roman" w:hAnsi="Times New Roman"/>
          <w:sz w:val="24"/>
          <w:szCs w:val="24"/>
        </w:rPr>
        <w:t xml:space="preserve"> planned 2009 capital additions is tantamount to requiring either a continuous audit during the pendency of a rate proceeding or acceptance of budgeted or forecast data as known and measurable.  Staff correctly points out that for it to verify that costs are sufficiently documented and appropriate to include in rates, the dictates of practicality require its audit must conclude at some point in time before the conclusion of the rate review.</w:t>
      </w:r>
      <w:r>
        <w:rPr>
          <w:rStyle w:val="FootnoteReference"/>
          <w:rFonts w:ascii="Times New Roman" w:hAnsi="Times New Roman"/>
          <w:sz w:val="24"/>
          <w:szCs w:val="24"/>
        </w:rPr>
        <w:footnoteReference w:id="77"/>
      </w:r>
      <w:r>
        <w:rPr>
          <w:rFonts w:ascii="Times New Roman" w:hAnsi="Times New Roman"/>
          <w:sz w:val="24"/>
          <w:szCs w:val="24"/>
        </w:rPr>
        <w:t xml:space="preserve">  (Emphasis in original.)</w:t>
      </w:r>
    </w:p>
    <w:p w:rsidR="00F363F7" w:rsidRPr="006D62A2" w:rsidRDefault="00F363F7" w:rsidP="00F363F7">
      <w:pPr>
        <w:spacing w:line="288" w:lineRule="auto"/>
        <w:rPr>
          <w:sz w:val="25"/>
          <w:szCs w:val="25"/>
        </w:rPr>
      </w:pPr>
    </w:p>
    <w:p w:rsidR="00CD2CFE" w:rsidRDefault="00695362" w:rsidP="00CD1AE6">
      <w:pPr>
        <w:tabs>
          <w:tab w:val="left" w:pos="-1440"/>
        </w:tabs>
        <w:spacing w:line="480" w:lineRule="auto"/>
        <w:rPr>
          <w:rFonts w:ascii="Times New Roman" w:hAnsi="Times New Roman"/>
          <w:sz w:val="24"/>
          <w:szCs w:val="24"/>
        </w:rPr>
      </w:pPr>
      <w:r>
        <w:rPr>
          <w:rFonts w:ascii="Times New Roman" w:hAnsi="Times New Roman"/>
          <w:sz w:val="24"/>
          <w:szCs w:val="24"/>
        </w:rPr>
        <w:lastRenderedPageBreak/>
        <w:t xml:space="preserve">Thus, </w:t>
      </w:r>
      <w:r w:rsidR="00302F01">
        <w:rPr>
          <w:rFonts w:ascii="Times New Roman" w:hAnsi="Times New Roman"/>
          <w:sz w:val="24"/>
          <w:szCs w:val="24"/>
        </w:rPr>
        <w:t xml:space="preserve">Staff’s use of </w:t>
      </w:r>
      <w:r w:rsidR="00CD1AE6">
        <w:rPr>
          <w:rFonts w:ascii="Times New Roman" w:hAnsi="Times New Roman"/>
          <w:sz w:val="24"/>
          <w:szCs w:val="24"/>
        </w:rPr>
        <w:t>aud</w:t>
      </w:r>
      <w:r w:rsidR="00E74692">
        <w:rPr>
          <w:rFonts w:ascii="Times New Roman" w:hAnsi="Times New Roman"/>
          <w:sz w:val="24"/>
          <w:szCs w:val="24"/>
        </w:rPr>
        <w:t xml:space="preserve">ited </w:t>
      </w:r>
      <w:r w:rsidR="00302F01">
        <w:rPr>
          <w:rFonts w:ascii="Times New Roman" w:hAnsi="Times New Roman"/>
          <w:sz w:val="24"/>
          <w:szCs w:val="24"/>
        </w:rPr>
        <w:t xml:space="preserve">results </w:t>
      </w:r>
      <w:r>
        <w:rPr>
          <w:rFonts w:ascii="Times New Roman" w:hAnsi="Times New Roman"/>
          <w:sz w:val="24"/>
          <w:szCs w:val="24"/>
        </w:rPr>
        <w:t>struck a fair balance preserving</w:t>
      </w:r>
      <w:r w:rsidR="00CD1AE6">
        <w:rPr>
          <w:rFonts w:ascii="Times New Roman" w:hAnsi="Times New Roman"/>
          <w:sz w:val="24"/>
          <w:szCs w:val="24"/>
        </w:rPr>
        <w:t xml:space="preserve"> the integri</w:t>
      </w:r>
      <w:r w:rsidR="001E1900">
        <w:rPr>
          <w:rFonts w:ascii="Times New Roman" w:hAnsi="Times New Roman"/>
          <w:sz w:val="24"/>
          <w:szCs w:val="24"/>
        </w:rPr>
        <w:t xml:space="preserve">ty of the test year, while </w:t>
      </w:r>
      <w:r w:rsidR="00302F01">
        <w:rPr>
          <w:rFonts w:ascii="Times New Roman" w:hAnsi="Times New Roman"/>
          <w:sz w:val="24"/>
          <w:szCs w:val="24"/>
        </w:rPr>
        <w:t xml:space="preserve">allowing </w:t>
      </w:r>
      <w:r w:rsidR="00CD1AE6">
        <w:rPr>
          <w:rFonts w:ascii="Times New Roman" w:hAnsi="Times New Roman"/>
          <w:sz w:val="24"/>
          <w:szCs w:val="24"/>
        </w:rPr>
        <w:t>recovery o</w:t>
      </w:r>
      <w:r>
        <w:rPr>
          <w:rFonts w:ascii="Times New Roman" w:hAnsi="Times New Roman"/>
          <w:sz w:val="24"/>
          <w:szCs w:val="24"/>
        </w:rPr>
        <w:t xml:space="preserve">f capital expenses </w:t>
      </w:r>
      <w:r w:rsidR="00A47898">
        <w:rPr>
          <w:rFonts w:ascii="Times New Roman" w:hAnsi="Times New Roman"/>
          <w:sz w:val="24"/>
          <w:szCs w:val="24"/>
        </w:rPr>
        <w:t>that</w:t>
      </w:r>
      <w:r>
        <w:rPr>
          <w:rFonts w:ascii="Times New Roman" w:hAnsi="Times New Roman"/>
          <w:sz w:val="24"/>
          <w:szCs w:val="24"/>
        </w:rPr>
        <w:t xml:space="preserve"> occur</w:t>
      </w:r>
      <w:r w:rsidR="00CD1AE6">
        <w:rPr>
          <w:rFonts w:ascii="Times New Roman" w:hAnsi="Times New Roman"/>
          <w:sz w:val="24"/>
          <w:szCs w:val="24"/>
        </w:rPr>
        <w:t xml:space="preserve"> </w:t>
      </w:r>
      <w:r w:rsidR="00C11A69">
        <w:rPr>
          <w:rFonts w:ascii="Times New Roman" w:hAnsi="Times New Roman"/>
          <w:sz w:val="24"/>
          <w:szCs w:val="24"/>
        </w:rPr>
        <w:t xml:space="preserve">during or </w:t>
      </w:r>
      <w:r w:rsidR="00A47898">
        <w:rPr>
          <w:rFonts w:ascii="Times New Roman" w:hAnsi="Times New Roman"/>
          <w:sz w:val="24"/>
          <w:szCs w:val="24"/>
        </w:rPr>
        <w:t>after the test year</w:t>
      </w:r>
      <w:r w:rsidR="00CD1AE6">
        <w:rPr>
          <w:rFonts w:ascii="Times New Roman" w:hAnsi="Times New Roman"/>
          <w:sz w:val="24"/>
          <w:szCs w:val="24"/>
        </w:rPr>
        <w:t>.</w:t>
      </w:r>
      <w:r w:rsidR="009E364C">
        <w:rPr>
          <w:rStyle w:val="FootnoteReference"/>
          <w:rFonts w:ascii="Times New Roman" w:hAnsi="Times New Roman"/>
          <w:sz w:val="24"/>
          <w:szCs w:val="24"/>
        </w:rPr>
        <w:footnoteReference w:id="78"/>
      </w:r>
    </w:p>
    <w:p w:rsidR="00CD1AE6" w:rsidRPr="00DA20F8" w:rsidRDefault="00DA20F8" w:rsidP="00C61B17">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C11A69" w:rsidRPr="00DA20F8">
        <w:rPr>
          <w:rFonts w:ascii="Times New Roman" w:hAnsi="Times New Roman"/>
          <w:sz w:val="24"/>
          <w:szCs w:val="24"/>
        </w:rPr>
        <w:t xml:space="preserve">Each of these principles was </w:t>
      </w:r>
      <w:r w:rsidR="00CD1AE6" w:rsidRPr="00DA20F8">
        <w:rPr>
          <w:rFonts w:ascii="Times New Roman" w:hAnsi="Times New Roman"/>
          <w:sz w:val="24"/>
          <w:szCs w:val="24"/>
        </w:rPr>
        <w:t>applied by Staff in the ratema</w:t>
      </w:r>
      <w:r w:rsidR="009E364C" w:rsidRPr="00DA20F8">
        <w:rPr>
          <w:rFonts w:ascii="Times New Roman" w:hAnsi="Times New Roman"/>
          <w:sz w:val="24"/>
          <w:szCs w:val="24"/>
        </w:rPr>
        <w:t>king adjust</w:t>
      </w:r>
      <w:r w:rsidR="001E1900" w:rsidRPr="00DA20F8">
        <w:rPr>
          <w:rFonts w:ascii="Times New Roman" w:hAnsi="Times New Roman"/>
          <w:sz w:val="24"/>
          <w:szCs w:val="24"/>
        </w:rPr>
        <w:t>ments it recommends</w:t>
      </w:r>
      <w:r w:rsidR="003D6400" w:rsidRPr="00DA20F8">
        <w:rPr>
          <w:rFonts w:ascii="Times New Roman" w:hAnsi="Times New Roman"/>
          <w:sz w:val="24"/>
          <w:szCs w:val="24"/>
        </w:rPr>
        <w:t xml:space="preserve"> in this proceeding</w:t>
      </w:r>
      <w:r w:rsidR="00CD1AE6" w:rsidRPr="00DA20F8">
        <w:rPr>
          <w:rFonts w:ascii="Times New Roman" w:hAnsi="Times New Roman"/>
          <w:sz w:val="24"/>
          <w:szCs w:val="24"/>
        </w:rPr>
        <w:t>.</w:t>
      </w:r>
      <w:r w:rsidR="001E1900" w:rsidRPr="00DA20F8">
        <w:rPr>
          <w:rFonts w:ascii="Times New Roman" w:hAnsi="Times New Roman"/>
          <w:sz w:val="24"/>
          <w:szCs w:val="24"/>
        </w:rPr>
        <w:t xml:space="preserve">  In contrast, PSE</w:t>
      </w:r>
      <w:r w:rsidR="00FA4352" w:rsidRPr="00DA20F8">
        <w:rPr>
          <w:rFonts w:ascii="Times New Roman" w:hAnsi="Times New Roman"/>
          <w:sz w:val="24"/>
          <w:szCs w:val="24"/>
        </w:rPr>
        <w:t xml:space="preserve">’s approach is tantamount to future test year ratemaking </w:t>
      </w:r>
      <w:r w:rsidR="001E1900" w:rsidRPr="00DA20F8">
        <w:rPr>
          <w:rFonts w:ascii="Times New Roman" w:hAnsi="Times New Roman"/>
          <w:sz w:val="24"/>
          <w:szCs w:val="24"/>
        </w:rPr>
        <w:t xml:space="preserve">which this Commission has not </w:t>
      </w:r>
      <w:r w:rsidR="00FA4352" w:rsidRPr="00DA20F8">
        <w:rPr>
          <w:rFonts w:ascii="Times New Roman" w:hAnsi="Times New Roman"/>
          <w:sz w:val="24"/>
          <w:szCs w:val="24"/>
        </w:rPr>
        <w:t>adopted</w:t>
      </w:r>
      <w:r w:rsidR="001E1900" w:rsidRPr="00DA20F8">
        <w:rPr>
          <w:rFonts w:ascii="Times New Roman" w:hAnsi="Times New Roman"/>
          <w:sz w:val="24"/>
          <w:szCs w:val="24"/>
        </w:rPr>
        <w:t xml:space="preserve"> by order or </w:t>
      </w:r>
      <w:r w:rsidR="00302F01" w:rsidRPr="00DA20F8">
        <w:rPr>
          <w:rFonts w:ascii="Times New Roman" w:hAnsi="Times New Roman"/>
          <w:sz w:val="24"/>
          <w:szCs w:val="24"/>
        </w:rPr>
        <w:t xml:space="preserve">by </w:t>
      </w:r>
      <w:r w:rsidR="001E1900" w:rsidRPr="00DA20F8">
        <w:rPr>
          <w:rFonts w:ascii="Times New Roman" w:hAnsi="Times New Roman"/>
          <w:sz w:val="24"/>
          <w:szCs w:val="24"/>
        </w:rPr>
        <w:t>rule</w:t>
      </w:r>
      <w:r w:rsidR="00FA4352" w:rsidRPr="00DA20F8">
        <w:rPr>
          <w:rFonts w:ascii="Times New Roman" w:hAnsi="Times New Roman"/>
          <w:sz w:val="24"/>
          <w:szCs w:val="24"/>
        </w:rPr>
        <w:t>.</w:t>
      </w:r>
    </w:p>
    <w:p w:rsidR="00DA554C" w:rsidRDefault="00FC0D6E" w:rsidP="00FC0D6E">
      <w:pPr>
        <w:tabs>
          <w:tab w:val="left" w:pos="-1440"/>
        </w:tabs>
        <w:spacing w:line="480" w:lineRule="auto"/>
        <w:rPr>
          <w:rFonts w:ascii="Times New Roman" w:hAnsi="Times New Roman"/>
          <w:b/>
          <w:sz w:val="24"/>
        </w:rPr>
      </w:pPr>
      <w:r>
        <w:rPr>
          <w:rFonts w:ascii="Times New Roman" w:hAnsi="Times New Roman"/>
          <w:b/>
          <w:sz w:val="24"/>
        </w:rPr>
        <w:tab/>
        <w:t>1.</w:t>
      </w:r>
      <w:r>
        <w:rPr>
          <w:rFonts w:ascii="Times New Roman" w:hAnsi="Times New Roman"/>
          <w:b/>
          <w:sz w:val="24"/>
        </w:rPr>
        <w:tab/>
      </w:r>
      <w:r w:rsidR="00F4115E">
        <w:rPr>
          <w:rFonts w:ascii="Times New Roman" w:hAnsi="Times New Roman"/>
          <w:b/>
          <w:sz w:val="24"/>
        </w:rPr>
        <w:t>Contested Electricity and Natural Gas Adjustments</w:t>
      </w:r>
    </w:p>
    <w:p w:rsidR="00AD6B37" w:rsidRDefault="00FC0D6E"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AD6B37" w:rsidRPr="00FC0D6E">
        <w:rPr>
          <w:rFonts w:ascii="Times New Roman" w:hAnsi="Times New Roman"/>
          <w:sz w:val="24"/>
        </w:rPr>
        <w:t xml:space="preserve">The following </w:t>
      </w:r>
      <w:r w:rsidR="00BD2645" w:rsidRPr="00FC0D6E">
        <w:rPr>
          <w:rFonts w:ascii="Times New Roman" w:hAnsi="Times New Roman"/>
          <w:sz w:val="24"/>
        </w:rPr>
        <w:t xml:space="preserve">parallel </w:t>
      </w:r>
      <w:r w:rsidR="00470876" w:rsidRPr="00FC0D6E">
        <w:rPr>
          <w:rFonts w:ascii="Times New Roman" w:hAnsi="Times New Roman"/>
          <w:sz w:val="24"/>
        </w:rPr>
        <w:t xml:space="preserve">electricity and natural </w:t>
      </w:r>
      <w:r w:rsidR="00F4115E" w:rsidRPr="00FC0D6E">
        <w:rPr>
          <w:rFonts w:ascii="Times New Roman" w:hAnsi="Times New Roman"/>
          <w:sz w:val="24"/>
        </w:rPr>
        <w:t xml:space="preserve">gas </w:t>
      </w:r>
      <w:r w:rsidR="00AD6B37" w:rsidRPr="00FC0D6E">
        <w:rPr>
          <w:rFonts w:ascii="Times New Roman" w:hAnsi="Times New Roman"/>
          <w:sz w:val="24"/>
        </w:rPr>
        <w:t>adjustments are contested as between the Company and Staff</w:t>
      </w:r>
      <w:r w:rsidR="00470876" w:rsidRPr="00FC0D6E">
        <w:rPr>
          <w:rFonts w:ascii="Times New Roman" w:hAnsi="Times New Roman"/>
          <w:sz w:val="24"/>
        </w:rPr>
        <w:t>:</w:t>
      </w:r>
      <w:r w:rsidR="00453413">
        <w:rPr>
          <w:rFonts w:ascii="Times New Roman" w:hAnsi="Times New Roman"/>
          <w:sz w:val="24"/>
        </w:rPr>
        <w:t xml:space="preserve">  </w:t>
      </w:r>
    </w:p>
    <w:p w:rsidR="00453413" w:rsidRPr="00453413" w:rsidRDefault="00453413" w:rsidP="00453413">
      <w:pPr>
        <w:pStyle w:val="ListParagraph"/>
        <w:tabs>
          <w:tab w:val="left" w:pos="-1440"/>
        </w:tabs>
        <w:spacing w:line="480" w:lineRule="auto"/>
        <w:ind w:left="0"/>
        <w:rPr>
          <w:rFonts w:ascii="Times New Roman" w:hAnsi="Times New Roman"/>
          <w:b/>
          <w:sz w:val="24"/>
        </w:rPr>
      </w:pPr>
      <w:r w:rsidRPr="00453413">
        <w:rPr>
          <w:rFonts w:ascii="Times New Roman" w:hAnsi="Times New Roman"/>
          <w:b/>
          <w:sz w:val="24"/>
        </w:rPr>
        <w:tab/>
      </w:r>
      <w:r w:rsidRPr="00453413">
        <w:rPr>
          <w:rFonts w:ascii="Times New Roman" w:hAnsi="Times New Roman"/>
          <w:b/>
          <w:sz w:val="24"/>
        </w:rPr>
        <w:tab/>
        <w:t>a.</w:t>
      </w:r>
      <w:r w:rsidRPr="00453413">
        <w:rPr>
          <w:rFonts w:ascii="Times New Roman" w:hAnsi="Times New Roman"/>
          <w:b/>
          <w:sz w:val="24"/>
        </w:rPr>
        <w:tab/>
        <w:t>10.02 and 9.02, Revenues and Expenses</w:t>
      </w:r>
    </w:p>
    <w:p w:rsidR="00F24240" w:rsidRPr="00453413" w:rsidRDefault="00453413"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3D6400" w:rsidRPr="00453413">
        <w:rPr>
          <w:rFonts w:ascii="Times New Roman" w:hAnsi="Times New Roman"/>
          <w:sz w:val="24"/>
        </w:rPr>
        <w:t>T</w:t>
      </w:r>
      <w:r w:rsidR="001E5A2A" w:rsidRPr="00453413">
        <w:rPr>
          <w:rFonts w:ascii="Times New Roman" w:hAnsi="Times New Roman"/>
          <w:sz w:val="24"/>
        </w:rPr>
        <w:t xml:space="preserve">hese adjustments </w:t>
      </w:r>
      <w:r w:rsidR="003D6400" w:rsidRPr="00453413">
        <w:rPr>
          <w:rFonts w:ascii="Times New Roman" w:hAnsi="Times New Roman"/>
          <w:sz w:val="24"/>
        </w:rPr>
        <w:t>are contested only for</w:t>
      </w:r>
      <w:r w:rsidR="005C64FA" w:rsidRPr="00453413">
        <w:rPr>
          <w:rFonts w:ascii="Times New Roman" w:hAnsi="Times New Roman"/>
          <w:sz w:val="24"/>
        </w:rPr>
        <w:t xml:space="preserve"> PSE</w:t>
      </w:r>
      <w:r w:rsidR="00F24240" w:rsidRPr="00453413">
        <w:rPr>
          <w:rFonts w:ascii="Times New Roman" w:hAnsi="Times New Roman"/>
          <w:sz w:val="24"/>
        </w:rPr>
        <w:t>’</w:t>
      </w:r>
      <w:r w:rsidR="00407FAE" w:rsidRPr="00453413">
        <w:rPr>
          <w:rFonts w:ascii="Times New Roman" w:hAnsi="Times New Roman"/>
          <w:sz w:val="24"/>
        </w:rPr>
        <w:t>s Cons</w:t>
      </w:r>
      <w:r w:rsidR="00E230D5" w:rsidRPr="00453413">
        <w:rPr>
          <w:rFonts w:ascii="Times New Roman" w:hAnsi="Times New Roman"/>
          <w:sz w:val="24"/>
        </w:rPr>
        <w:t xml:space="preserve">ervation Phase-In proposal, which </w:t>
      </w:r>
      <w:r w:rsidR="00302F01" w:rsidRPr="00453413">
        <w:rPr>
          <w:rFonts w:ascii="Times New Roman" w:hAnsi="Times New Roman"/>
          <w:sz w:val="24"/>
        </w:rPr>
        <w:t xml:space="preserve">removes energy </w:t>
      </w:r>
      <w:r w:rsidR="004B6509" w:rsidRPr="00453413">
        <w:rPr>
          <w:rFonts w:ascii="Times New Roman" w:hAnsi="Times New Roman"/>
          <w:sz w:val="24"/>
        </w:rPr>
        <w:t xml:space="preserve">sales </w:t>
      </w:r>
      <w:r w:rsidR="0080582E" w:rsidRPr="00453413">
        <w:rPr>
          <w:rFonts w:ascii="Times New Roman" w:hAnsi="Times New Roman"/>
          <w:sz w:val="24"/>
        </w:rPr>
        <w:t xml:space="preserve">intended </w:t>
      </w:r>
      <w:r w:rsidR="004D1A69" w:rsidRPr="00453413">
        <w:rPr>
          <w:rFonts w:ascii="Times New Roman" w:hAnsi="Times New Roman"/>
          <w:sz w:val="24"/>
        </w:rPr>
        <w:t>to represent</w:t>
      </w:r>
      <w:r w:rsidR="00F24240" w:rsidRPr="00453413">
        <w:rPr>
          <w:rFonts w:ascii="Times New Roman" w:hAnsi="Times New Roman"/>
          <w:sz w:val="24"/>
        </w:rPr>
        <w:t xml:space="preserve"> the</w:t>
      </w:r>
      <w:r w:rsidR="00407FAE" w:rsidRPr="00453413">
        <w:rPr>
          <w:rFonts w:ascii="Times New Roman" w:hAnsi="Times New Roman"/>
          <w:sz w:val="24"/>
        </w:rPr>
        <w:t xml:space="preserve"> amount of conservation </w:t>
      </w:r>
      <w:r w:rsidR="00F24240" w:rsidRPr="00453413">
        <w:rPr>
          <w:rFonts w:ascii="Times New Roman" w:hAnsi="Times New Roman"/>
          <w:sz w:val="24"/>
        </w:rPr>
        <w:t>not captured by actual sales during the test year.</w:t>
      </w:r>
      <w:r w:rsidR="008648CA" w:rsidRPr="00453413">
        <w:rPr>
          <w:rFonts w:ascii="Times New Roman" w:hAnsi="Times New Roman"/>
          <w:sz w:val="24"/>
        </w:rPr>
        <w:t xml:space="preserve">  The adjustment is based upon the difference</w:t>
      </w:r>
      <w:r w:rsidR="001E5A2A" w:rsidRPr="00453413">
        <w:rPr>
          <w:rFonts w:ascii="Times New Roman" w:hAnsi="Times New Roman"/>
          <w:sz w:val="24"/>
        </w:rPr>
        <w:t xml:space="preserve"> </w:t>
      </w:r>
      <w:r w:rsidR="008648CA" w:rsidRPr="00453413">
        <w:rPr>
          <w:rFonts w:ascii="Times New Roman" w:hAnsi="Times New Roman"/>
          <w:sz w:val="24"/>
        </w:rPr>
        <w:t xml:space="preserve">between total savings </w:t>
      </w:r>
      <w:r w:rsidR="00B46144" w:rsidRPr="00453413">
        <w:rPr>
          <w:rFonts w:ascii="Times New Roman" w:hAnsi="Times New Roman"/>
          <w:sz w:val="24"/>
        </w:rPr>
        <w:t>estimated</w:t>
      </w:r>
      <w:r w:rsidR="005C64FA" w:rsidRPr="00453413">
        <w:rPr>
          <w:rFonts w:ascii="Times New Roman" w:hAnsi="Times New Roman"/>
          <w:sz w:val="24"/>
        </w:rPr>
        <w:t xml:space="preserve"> </w:t>
      </w:r>
      <w:r w:rsidR="00F64FC0" w:rsidRPr="00453413">
        <w:rPr>
          <w:rFonts w:ascii="Times New Roman" w:hAnsi="Times New Roman"/>
          <w:sz w:val="24"/>
        </w:rPr>
        <w:t xml:space="preserve">by PSE </w:t>
      </w:r>
      <w:r w:rsidR="008648CA" w:rsidRPr="00453413">
        <w:rPr>
          <w:rFonts w:ascii="Times New Roman" w:hAnsi="Times New Roman"/>
          <w:sz w:val="24"/>
        </w:rPr>
        <w:t>for Company-s</w:t>
      </w:r>
      <w:r w:rsidR="005C64FA" w:rsidRPr="00453413">
        <w:rPr>
          <w:rFonts w:ascii="Times New Roman" w:hAnsi="Times New Roman"/>
          <w:sz w:val="24"/>
        </w:rPr>
        <w:t xml:space="preserve">ponsored conservation </w:t>
      </w:r>
      <w:r w:rsidR="008648CA" w:rsidRPr="00453413">
        <w:rPr>
          <w:rFonts w:ascii="Times New Roman" w:hAnsi="Times New Roman"/>
          <w:sz w:val="24"/>
        </w:rPr>
        <w:t xml:space="preserve">by the end of test </w:t>
      </w:r>
      <w:r w:rsidR="00F64FC0" w:rsidRPr="00453413">
        <w:rPr>
          <w:rFonts w:ascii="Times New Roman" w:hAnsi="Times New Roman"/>
          <w:sz w:val="24"/>
        </w:rPr>
        <w:t xml:space="preserve">year and </w:t>
      </w:r>
      <w:r w:rsidR="00B46144" w:rsidRPr="00453413">
        <w:rPr>
          <w:rFonts w:ascii="Times New Roman" w:hAnsi="Times New Roman"/>
          <w:sz w:val="24"/>
        </w:rPr>
        <w:t>year-to-date estimat</w:t>
      </w:r>
      <w:r w:rsidR="008648CA" w:rsidRPr="00453413">
        <w:rPr>
          <w:rFonts w:ascii="Times New Roman" w:hAnsi="Times New Roman"/>
          <w:sz w:val="24"/>
        </w:rPr>
        <w:t>ed savings for each month of the test year.</w:t>
      </w:r>
      <w:r w:rsidR="005C64FA">
        <w:rPr>
          <w:rStyle w:val="FootnoteReference"/>
          <w:rFonts w:ascii="Times New Roman" w:hAnsi="Times New Roman"/>
          <w:sz w:val="24"/>
        </w:rPr>
        <w:footnoteReference w:id="79"/>
      </w:r>
    </w:p>
    <w:p w:rsidR="00F24240" w:rsidRPr="00453413" w:rsidRDefault="00453413"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80582E" w:rsidRPr="00453413">
        <w:rPr>
          <w:rFonts w:ascii="Times New Roman" w:hAnsi="Times New Roman"/>
          <w:sz w:val="24"/>
        </w:rPr>
        <w:t>T</w:t>
      </w:r>
      <w:r w:rsidR="00F24240" w:rsidRPr="00453413">
        <w:rPr>
          <w:rFonts w:ascii="Times New Roman" w:hAnsi="Times New Roman"/>
          <w:sz w:val="24"/>
        </w:rPr>
        <w:t xml:space="preserve">he Conservation Phase-In adjustment </w:t>
      </w:r>
      <w:r w:rsidR="00B46144" w:rsidRPr="00453413">
        <w:rPr>
          <w:rFonts w:ascii="Times New Roman" w:hAnsi="Times New Roman"/>
          <w:sz w:val="24"/>
        </w:rPr>
        <w:t xml:space="preserve">should be rejected.  It </w:t>
      </w:r>
      <w:r w:rsidR="0080582E" w:rsidRPr="00453413">
        <w:rPr>
          <w:rFonts w:ascii="Times New Roman" w:hAnsi="Times New Roman"/>
          <w:sz w:val="24"/>
        </w:rPr>
        <w:t>is not a proper pro forma adjustment</w:t>
      </w:r>
      <w:r w:rsidR="004A1C95" w:rsidRPr="00453413">
        <w:rPr>
          <w:rFonts w:ascii="Times New Roman" w:hAnsi="Times New Roman"/>
          <w:sz w:val="24"/>
        </w:rPr>
        <w:t>.</w:t>
      </w:r>
      <w:r w:rsidR="000910AC" w:rsidRPr="00453413">
        <w:rPr>
          <w:rFonts w:ascii="Times New Roman" w:hAnsi="Times New Roman"/>
          <w:sz w:val="24"/>
        </w:rPr>
        <w:t xml:space="preserve">  </w:t>
      </w:r>
      <w:r w:rsidR="001E1900" w:rsidRPr="00453413">
        <w:rPr>
          <w:rFonts w:ascii="Times New Roman" w:hAnsi="Times New Roman"/>
          <w:sz w:val="24"/>
        </w:rPr>
        <w:t xml:space="preserve">Nor has </w:t>
      </w:r>
      <w:r w:rsidR="004A1C95" w:rsidRPr="00453413">
        <w:rPr>
          <w:rFonts w:ascii="Times New Roman" w:hAnsi="Times New Roman"/>
          <w:sz w:val="24"/>
        </w:rPr>
        <w:t xml:space="preserve">PSE </w:t>
      </w:r>
      <w:r w:rsidR="00D5704D" w:rsidRPr="00453413">
        <w:rPr>
          <w:rFonts w:ascii="Times New Roman" w:hAnsi="Times New Roman"/>
          <w:sz w:val="24"/>
        </w:rPr>
        <w:t>demonstrated material harm absent the adjustment.</w:t>
      </w:r>
      <w:r w:rsidR="0080582E" w:rsidRPr="00453413">
        <w:rPr>
          <w:rFonts w:ascii="Times New Roman" w:hAnsi="Times New Roman"/>
          <w:sz w:val="24"/>
        </w:rPr>
        <w:t xml:space="preserve">  </w:t>
      </w:r>
    </w:p>
    <w:p w:rsidR="004D1A69" w:rsidRDefault="003B046B" w:rsidP="002B4EB0">
      <w:pPr>
        <w:tabs>
          <w:tab w:val="left" w:pos="-1440"/>
        </w:tabs>
        <w:ind w:left="2880" w:hanging="720"/>
        <w:rPr>
          <w:rFonts w:ascii="Times New Roman" w:hAnsi="Times New Roman"/>
          <w:b/>
          <w:sz w:val="24"/>
        </w:rPr>
      </w:pPr>
      <w:r>
        <w:rPr>
          <w:rFonts w:ascii="Times New Roman" w:hAnsi="Times New Roman"/>
          <w:b/>
          <w:sz w:val="24"/>
        </w:rPr>
        <w:t>i.</w:t>
      </w:r>
      <w:r w:rsidR="006019FB">
        <w:rPr>
          <w:rFonts w:ascii="Times New Roman" w:hAnsi="Times New Roman"/>
          <w:b/>
          <w:sz w:val="24"/>
        </w:rPr>
        <w:tab/>
      </w:r>
      <w:r w:rsidR="00D57C91">
        <w:rPr>
          <w:rFonts w:ascii="Times New Roman" w:hAnsi="Times New Roman"/>
          <w:b/>
          <w:sz w:val="24"/>
        </w:rPr>
        <w:t>The Conse</w:t>
      </w:r>
      <w:r w:rsidR="004D1A69">
        <w:rPr>
          <w:rFonts w:ascii="Times New Roman" w:hAnsi="Times New Roman"/>
          <w:b/>
          <w:sz w:val="24"/>
        </w:rPr>
        <w:t xml:space="preserve">rvation Phase-in adjustment fails to properly </w:t>
      </w:r>
      <w:r w:rsidR="0016154E">
        <w:rPr>
          <w:rFonts w:ascii="Times New Roman" w:hAnsi="Times New Roman"/>
          <w:b/>
          <w:sz w:val="24"/>
        </w:rPr>
        <w:t xml:space="preserve">annualize </w:t>
      </w:r>
      <w:r w:rsidR="00E122B3">
        <w:rPr>
          <w:rFonts w:ascii="Times New Roman" w:hAnsi="Times New Roman"/>
          <w:b/>
          <w:sz w:val="24"/>
        </w:rPr>
        <w:t>the effects of energy savings</w:t>
      </w:r>
      <w:r w:rsidR="004D1A69">
        <w:rPr>
          <w:rFonts w:ascii="Times New Roman" w:hAnsi="Times New Roman"/>
          <w:b/>
          <w:sz w:val="24"/>
        </w:rPr>
        <w:t xml:space="preserve"> </w:t>
      </w:r>
    </w:p>
    <w:p w:rsidR="004D1A69" w:rsidRDefault="004D1A69" w:rsidP="004D1A69">
      <w:pPr>
        <w:tabs>
          <w:tab w:val="left" w:pos="-1440"/>
        </w:tabs>
        <w:ind w:left="1440"/>
        <w:rPr>
          <w:rFonts w:ascii="Times New Roman" w:hAnsi="Times New Roman"/>
          <w:b/>
          <w:sz w:val="24"/>
        </w:rPr>
      </w:pPr>
    </w:p>
    <w:p w:rsidR="001E1900"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6A698C" w:rsidRPr="002B4EB0">
        <w:rPr>
          <w:rFonts w:ascii="Times New Roman" w:hAnsi="Times New Roman"/>
          <w:sz w:val="24"/>
        </w:rPr>
        <w:t>PSE</w:t>
      </w:r>
      <w:r w:rsidR="004D1A69" w:rsidRPr="002B4EB0">
        <w:rPr>
          <w:rFonts w:ascii="Times New Roman" w:hAnsi="Times New Roman"/>
          <w:sz w:val="24"/>
        </w:rPr>
        <w:t xml:space="preserve">’s Conservation Phase-In adjustment </w:t>
      </w:r>
      <w:r w:rsidR="000C27A4" w:rsidRPr="002B4EB0">
        <w:rPr>
          <w:rFonts w:ascii="Times New Roman" w:hAnsi="Times New Roman"/>
          <w:sz w:val="24"/>
        </w:rPr>
        <w:t>annualizes</w:t>
      </w:r>
      <w:r w:rsidR="004D1A69" w:rsidRPr="002B4EB0">
        <w:rPr>
          <w:rFonts w:ascii="Times New Roman" w:hAnsi="Times New Roman"/>
          <w:sz w:val="24"/>
        </w:rPr>
        <w:t xml:space="preserve"> </w:t>
      </w:r>
      <w:r w:rsidR="00B46144" w:rsidRPr="002B4EB0">
        <w:rPr>
          <w:rFonts w:ascii="Times New Roman" w:hAnsi="Times New Roman"/>
          <w:sz w:val="24"/>
        </w:rPr>
        <w:t xml:space="preserve">estimated </w:t>
      </w:r>
      <w:r w:rsidR="004D1A69" w:rsidRPr="002B4EB0">
        <w:rPr>
          <w:rFonts w:ascii="Times New Roman" w:hAnsi="Times New Roman"/>
          <w:sz w:val="24"/>
        </w:rPr>
        <w:t>c</w:t>
      </w:r>
      <w:r w:rsidR="00B46144" w:rsidRPr="002B4EB0">
        <w:rPr>
          <w:rFonts w:ascii="Times New Roman" w:hAnsi="Times New Roman"/>
          <w:sz w:val="24"/>
        </w:rPr>
        <w:t xml:space="preserve">hanges in energy sales </w:t>
      </w:r>
      <w:r w:rsidR="004D1A69" w:rsidRPr="002B4EB0">
        <w:rPr>
          <w:rFonts w:ascii="Times New Roman" w:hAnsi="Times New Roman"/>
          <w:sz w:val="24"/>
        </w:rPr>
        <w:t xml:space="preserve">from Company-sponsored conservation.  In doing so, the adjustment pro forms changes in units during the test year, rather than </w:t>
      </w:r>
      <w:r w:rsidR="006A698C" w:rsidRPr="002B4EB0">
        <w:rPr>
          <w:rFonts w:ascii="Times New Roman" w:hAnsi="Times New Roman"/>
          <w:sz w:val="24"/>
        </w:rPr>
        <w:t>changes in the rate applied</w:t>
      </w:r>
      <w:r w:rsidR="004D1A69" w:rsidRPr="002B4EB0">
        <w:rPr>
          <w:rFonts w:ascii="Times New Roman" w:hAnsi="Times New Roman"/>
          <w:sz w:val="24"/>
        </w:rPr>
        <w:t xml:space="preserve"> to test year units</w:t>
      </w:r>
      <w:r w:rsidR="002D2275" w:rsidRPr="002B4EB0">
        <w:rPr>
          <w:rFonts w:ascii="Times New Roman" w:hAnsi="Times New Roman"/>
          <w:sz w:val="24"/>
        </w:rPr>
        <w:t>.</w:t>
      </w:r>
      <w:r w:rsidR="00F64FC0" w:rsidRPr="002B4EB0">
        <w:rPr>
          <w:rFonts w:ascii="Times New Roman" w:hAnsi="Times New Roman"/>
          <w:sz w:val="24"/>
        </w:rPr>
        <w:t xml:space="preserve"> This crea</w:t>
      </w:r>
      <w:r w:rsidR="001E1900" w:rsidRPr="002B4EB0">
        <w:rPr>
          <w:rFonts w:ascii="Times New Roman" w:hAnsi="Times New Roman"/>
          <w:sz w:val="24"/>
        </w:rPr>
        <w:t>tes an inappropriate mismatch with other</w:t>
      </w:r>
      <w:r w:rsidR="00F64FC0" w:rsidRPr="002B4EB0">
        <w:rPr>
          <w:rFonts w:ascii="Times New Roman" w:hAnsi="Times New Roman"/>
          <w:sz w:val="24"/>
        </w:rPr>
        <w:t xml:space="preserve"> te</w:t>
      </w:r>
      <w:r w:rsidR="001E1900" w:rsidRPr="002B4EB0">
        <w:rPr>
          <w:rFonts w:ascii="Times New Roman" w:hAnsi="Times New Roman"/>
          <w:sz w:val="24"/>
        </w:rPr>
        <w:t>st year components</w:t>
      </w:r>
      <w:r w:rsidR="00F64FC0" w:rsidRPr="002B4EB0">
        <w:rPr>
          <w:rFonts w:ascii="Times New Roman" w:hAnsi="Times New Roman"/>
          <w:sz w:val="24"/>
        </w:rPr>
        <w:t>.</w:t>
      </w:r>
      <w:r w:rsidR="00F64FC0">
        <w:rPr>
          <w:rStyle w:val="FootnoteReference"/>
          <w:rFonts w:ascii="Times New Roman" w:hAnsi="Times New Roman"/>
          <w:sz w:val="24"/>
        </w:rPr>
        <w:footnoteReference w:id="80"/>
      </w:r>
      <w:r w:rsidR="004D1A69" w:rsidRPr="002B4EB0">
        <w:rPr>
          <w:rFonts w:ascii="Times New Roman" w:hAnsi="Times New Roman"/>
          <w:sz w:val="24"/>
        </w:rPr>
        <w:t xml:space="preserve">  </w:t>
      </w:r>
    </w:p>
    <w:p w:rsidR="00290903"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lastRenderedPageBreak/>
        <w:tab/>
      </w:r>
      <w:r w:rsidR="00290903" w:rsidRPr="002B4EB0">
        <w:rPr>
          <w:rFonts w:ascii="Times New Roman" w:hAnsi="Times New Roman"/>
          <w:sz w:val="24"/>
        </w:rPr>
        <w:t xml:space="preserve">The Company </w:t>
      </w:r>
      <w:r w:rsidR="000C27A4" w:rsidRPr="002B4EB0">
        <w:rPr>
          <w:rFonts w:ascii="Times New Roman" w:hAnsi="Times New Roman"/>
          <w:sz w:val="24"/>
        </w:rPr>
        <w:t xml:space="preserve">states that its </w:t>
      </w:r>
      <w:r w:rsidR="00290903" w:rsidRPr="002B4EB0">
        <w:rPr>
          <w:rFonts w:ascii="Times New Roman" w:hAnsi="Times New Roman"/>
          <w:sz w:val="24"/>
        </w:rPr>
        <w:t xml:space="preserve">adjustment </w:t>
      </w:r>
      <w:r w:rsidR="00F64FC0" w:rsidRPr="002B4EB0">
        <w:rPr>
          <w:rFonts w:ascii="Times New Roman" w:hAnsi="Times New Roman"/>
          <w:sz w:val="24"/>
        </w:rPr>
        <w:t>annualizes conservations savings in accordance with</w:t>
      </w:r>
      <w:r w:rsidR="00290903" w:rsidRPr="002B4EB0">
        <w:rPr>
          <w:rFonts w:ascii="Times New Roman" w:hAnsi="Times New Roman"/>
          <w:sz w:val="24"/>
        </w:rPr>
        <w:t xml:space="preserve"> established accounting practice.</w:t>
      </w:r>
      <w:r w:rsidR="00290903">
        <w:rPr>
          <w:rStyle w:val="FootnoteReference"/>
          <w:rFonts w:ascii="Times New Roman" w:hAnsi="Times New Roman"/>
          <w:sz w:val="24"/>
        </w:rPr>
        <w:footnoteReference w:id="81"/>
      </w:r>
      <w:r w:rsidR="00290903" w:rsidRPr="002B4EB0">
        <w:rPr>
          <w:rFonts w:ascii="Times New Roman" w:hAnsi="Times New Roman"/>
          <w:sz w:val="24"/>
        </w:rPr>
        <w:t xml:space="preserve">  The </w:t>
      </w:r>
      <w:r w:rsidR="000C27A4" w:rsidRPr="002B4EB0">
        <w:rPr>
          <w:rFonts w:ascii="Times New Roman" w:hAnsi="Times New Roman"/>
          <w:sz w:val="24"/>
        </w:rPr>
        <w:t>support it cites</w:t>
      </w:r>
      <w:r w:rsidR="00290903" w:rsidRPr="002B4EB0">
        <w:rPr>
          <w:rFonts w:ascii="Times New Roman" w:hAnsi="Times New Roman"/>
          <w:sz w:val="24"/>
        </w:rPr>
        <w:t>, however, states:</w:t>
      </w:r>
    </w:p>
    <w:p w:rsidR="00290903" w:rsidRDefault="00290903" w:rsidP="00290903">
      <w:pPr>
        <w:tabs>
          <w:tab w:val="left" w:pos="-1440"/>
        </w:tabs>
        <w:ind w:firstLine="720"/>
        <w:rPr>
          <w:rFonts w:ascii="Times New Roman" w:hAnsi="Times New Roman"/>
          <w:sz w:val="24"/>
        </w:rPr>
      </w:pPr>
      <w:r>
        <w:rPr>
          <w:rFonts w:ascii="Times New Roman" w:hAnsi="Times New Roman"/>
          <w:sz w:val="24"/>
        </w:rPr>
        <w:t>The key ingredient in the annualizing adjustment considerations is the changing</w:t>
      </w:r>
    </w:p>
    <w:p w:rsidR="00290903" w:rsidRDefault="00290903" w:rsidP="00290903">
      <w:pPr>
        <w:tabs>
          <w:tab w:val="left" w:pos="-1440"/>
        </w:tabs>
        <w:ind w:firstLine="720"/>
        <w:rPr>
          <w:rFonts w:ascii="Times New Roman" w:hAnsi="Times New Roman"/>
          <w:sz w:val="24"/>
        </w:rPr>
      </w:pPr>
      <w:r>
        <w:rPr>
          <w:rFonts w:ascii="Times New Roman" w:hAnsi="Times New Roman"/>
          <w:sz w:val="24"/>
        </w:rPr>
        <w:t>level of costs (or revenues) for the same level of operations.</w:t>
      </w:r>
      <w:r>
        <w:rPr>
          <w:rStyle w:val="FootnoteReference"/>
          <w:rFonts w:ascii="Times New Roman" w:hAnsi="Times New Roman"/>
          <w:sz w:val="24"/>
        </w:rPr>
        <w:footnoteReference w:id="82"/>
      </w:r>
    </w:p>
    <w:p w:rsidR="00290903" w:rsidRDefault="00290903" w:rsidP="00290903">
      <w:pPr>
        <w:tabs>
          <w:tab w:val="left" w:pos="-1440"/>
        </w:tabs>
        <w:ind w:firstLine="720"/>
        <w:rPr>
          <w:rFonts w:ascii="Times New Roman" w:hAnsi="Times New Roman"/>
          <w:sz w:val="24"/>
        </w:rPr>
      </w:pPr>
    </w:p>
    <w:p w:rsidR="00290903" w:rsidRDefault="00CA2184" w:rsidP="00290903">
      <w:pPr>
        <w:tabs>
          <w:tab w:val="left" w:pos="-1440"/>
        </w:tabs>
        <w:spacing w:line="480" w:lineRule="auto"/>
        <w:rPr>
          <w:rFonts w:ascii="Times New Roman" w:hAnsi="Times New Roman"/>
          <w:sz w:val="24"/>
        </w:rPr>
      </w:pPr>
      <w:r>
        <w:rPr>
          <w:rFonts w:ascii="Times New Roman" w:hAnsi="Times New Roman"/>
          <w:sz w:val="24"/>
        </w:rPr>
        <w:t xml:space="preserve">The </w:t>
      </w:r>
      <w:r w:rsidR="00290903">
        <w:rPr>
          <w:rFonts w:ascii="Times New Roman" w:hAnsi="Times New Roman"/>
          <w:sz w:val="24"/>
        </w:rPr>
        <w:t xml:space="preserve">proposal </w:t>
      </w:r>
      <w:r w:rsidR="00371494">
        <w:rPr>
          <w:rFonts w:ascii="Times New Roman" w:hAnsi="Times New Roman"/>
          <w:sz w:val="24"/>
        </w:rPr>
        <w:t xml:space="preserve">to annualize reduced energy sales from </w:t>
      </w:r>
      <w:r w:rsidR="00B46144">
        <w:rPr>
          <w:rFonts w:ascii="Times New Roman" w:hAnsi="Times New Roman"/>
          <w:sz w:val="24"/>
        </w:rPr>
        <w:t xml:space="preserve">Company-sponsored </w:t>
      </w:r>
      <w:r w:rsidR="003D6400">
        <w:rPr>
          <w:rFonts w:ascii="Times New Roman" w:hAnsi="Times New Roman"/>
          <w:sz w:val="24"/>
        </w:rPr>
        <w:t>conservation</w:t>
      </w:r>
      <w:r w:rsidR="00371494">
        <w:rPr>
          <w:rFonts w:ascii="Times New Roman" w:hAnsi="Times New Roman"/>
          <w:sz w:val="24"/>
        </w:rPr>
        <w:t xml:space="preserve"> changes the level of operations</w:t>
      </w:r>
      <w:r>
        <w:rPr>
          <w:rFonts w:ascii="Times New Roman" w:hAnsi="Times New Roman"/>
          <w:sz w:val="24"/>
        </w:rPr>
        <w:t>,</w:t>
      </w:r>
      <w:r w:rsidR="00371494">
        <w:rPr>
          <w:rFonts w:ascii="Times New Roman" w:hAnsi="Times New Roman"/>
          <w:sz w:val="24"/>
        </w:rPr>
        <w:t xml:space="preserve"> in violation of this provision</w:t>
      </w:r>
      <w:r w:rsidR="000C27A4">
        <w:rPr>
          <w:rFonts w:ascii="Times New Roman" w:hAnsi="Times New Roman"/>
          <w:sz w:val="24"/>
        </w:rPr>
        <w:t>.</w:t>
      </w:r>
    </w:p>
    <w:p w:rsidR="004D1A69" w:rsidRPr="002B4EB0" w:rsidRDefault="002B4EB0" w:rsidP="00C61B17">
      <w:pPr>
        <w:pStyle w:val="ListParagraph"/>
        <w:numPr>
          <w:ilvl w:val="0"/>
          <w:numId w:val="11"/>
        </w:numPr>
        <w:tabs>
          <w:tab w:val="left" w:pos="-1440"/>
        </w:tabs>
        <w:spacing w:line="480" w:lineRule="auto"/>
        <w:rPr>
          <w:rFonts w:ascii="Times New Roman" w:hAnsi="Times New Roman"/>
          <w:b/>
          <w:sz w:val="24"/>
        </w:rPr>
      </w:pPr>
      <w:r>
        <w:rPr>
          <w:rFonts w:ascii="Times New Roman" w:hAnsi="Times New Roman"/>
          <w:sz w:val="24"/>
        </w:rPr>
        <w:tab/>
      </w:r>
      <w:r w:rsidR="001E5A2A" w:rsidRPr="002B4EB0">
        <w:rPr>
          <w:rFonts w:ascii="Times New Roman" w:hAnsi="Times New Roman"/>
          <w:sz w:val="24"/>
        </w:rPr>
        <w:t xml:space="preserve">PSE </w:t>
      </w:r>
      <w:r w:rsidR="00786AC1" w:rsidRPr="002B4EB0">
        <w:rPr>
          <w:rFonts w:ascii="Times New Roman" w:hAnsi="Times New Roman"/>
          <w:sz w:val="24"/>
        </w:rPr>
        <w:t xml:space="preserve">argues that its </w:t>
      </w:r>
      <w:r w:rsidR="00C871DE" w:rsidRPr="002B4EB0">
        <w:rPr>
          <w:rFonts w:ascii="Times New Roman" w:hAnsi="Times New Roman"/>
          <w:sz w:val="24"/>
        </w:rPr>
        <w:t xml:space="preserve">proposal is similar to </w:t>
      </w:r>
      <w:r w:rsidR="00F95946" w:rsidRPr="002B4EB0">
        <w:rPr>
          <w:rFonts w:ascii="Times New Roman" w:hAnsi="Times New Roman"/>
          <w:sz w:val="24"/>
        </w:rPr>
        <w:t>weather normalization adjustment</w:t>
      </w:r>
      <w:r w:rsidR="00C871DE" w:rsidRPr="002B4EB0">
        <w:rPr>
          <w:rFonts w:ascii="Times New Roman" w:hAnsi="Times New Roman"/>
          <w:sz w:val="24"/>
        </w:rPr>
        <w:t>s that adjust</w:t>
      </w:r>
      <w:r w:rsidR="00F95946" w:rsidRPr="002B4EB0">
        <w:rPr>
          <w:rFonts w:ascii="Times New Roman" w:hAnsi="Times New Roman"/>
          <w:sz w:val="24"/>
        </w:rPr>
        <w:t xml:space="preserve"> </w:t>
      </w:r>
      <w:r w:rsidR="00983EF4" w:rsidRPr="002B4EB0">
        <w:rPr>
          <w:rFonts w:ascii="Times New Roman" w:hAnsi="Times New Roman"/>
          <w:sz w:val="24"/>
        </w:rPr>
        <w:t>units of energy sales</w:t>
      </w:r>
      <w:r w:rsidR="00F95946" w:rsidRPr="002B4EB0">
        <w:rPr>
          <w:rFonts w:ascii="Times New Roman" w:hAnsi="Times New Roman"/>
          <w:sz w:val="24"/>
        </w:rPr>
        <w:t xml:space="preserve"> based upon temperature.</w:t>
      </w:r>
      <w:r w:rsidR="00F95946">
        <w:rPr>
          <w:rStyle w:val="FootnoteReference"/>
          <w:rFonts w:ascii="Times New Roman" w:hAnsi="Times New Roman"/>
          <w:sz w:val="24"/>
        </w:rPr>
        <w:footnoteReference w:id="83"/>
      </w:r>
      <w:r w:rsidR="00983EF4" w:rsidRPr="002B4EB0">
        <w:rPr>
          <w:rFonts w:ascii="Times New Roman" w:hAnsi="Times New Roman"/>
          <w:sz w:val="24"/>
        </w:rPr>
        <w:t xml:space="preserve">  However, temperature normalization adjustments are symmetrical.  They increase or decre</w:t>
      </w:r>
      <w:r w:rsidR="00C871DE" w:rsidRPr="002B4EB0">
        <w:rPr>
          <w:rFonts w:ascii="Times New Roman" w:hAnsi="Times New Roman"/>
          <w:sz w:val="24"/>
        </w:rPr>
        <w:t>ase load</w:t>
      </w:r>
      <w:r w:rsidR="00371494" w:rsidRPr="002B4EB0">
        <w:rPr>
          <w:rFonts w:ascii="Times New Roman" w:hAnsi="Times New Roman"/>
          <w:sz w:val="24"/>
        </w:rPr>
        <w:t xml:space="preserve"> </w:t>
      </w:r>
      <w:r w:rsidR="00786AC1" w:rsidRPr="002B4EB0">
        <w:rPr>
          <w:rFonts w:ascii="Times New Roman" w:hAnsi="Times New Roman"/>
          <w:sz w:val="24"/>
        </w:rPr>
        <w:t xml:space="preserve">when weather </w:t>
      </w:r>
      <w:r w:rsidR="00C871DE" w:rsidRPr="002B4EB0">
        <w:rPr>
          <w:rFonts w:ascii="Times New Roman" w:hAnsi="Times New Roman"/>
          <w:sz w:val="24"/>
        </w:rPr>
        <w:t xml:space="preserve">is either </w:t>
      </w:r>
      <w:r w:rsidR="0080582E" w:rsidRPr="002B4EB0">
        <w:rPr>
          <w:rFonts w:ascii="Times New Roman" w:hAnsi="Times New Roman"/>
          <w:sz w:val="24"/>
        </w:rPr>
        <w:t xml:space="preserve">warmer or colder </w:t>
      </w:r>
      <w:r w:rsidR="00786AC1" w:rsidRPr="002B4EB0">
        <w:rPr>
          <w:rFonts w:ascii="Times New Roman" w:hAnsi="Times New Roman"/>
          <w:sz w:val="24"/>
        </w:rPr>
        <w:t>than normal</w:t>
      </w:r>
      <w:r w:rsidR="00983EF4" w:rsidRPr="002B4EB0">
        <w:rPr>
          <w:rFonts w:ascii="Times New Roman" w:hAnsi="Times New Roman"/>
          <w:sz w:val="24"/>
        </w:rPr>
        <w:t>.</w:t>
      </w:r>
      <w:r w:rsidR="0080582E" w:rsidRPr="002B4EB0">
        <w:rPr>
          <w:rFonts w:ascii="Times New Roman" w:hAnsi="Times New Roman"/>
          <w:sz w:val="24"/>
        </w:rPr>
        <w:t xml:space="preserve">  </w:t>
      </w:r>
      <w:r w:rsidR="00C871DE" w:rsidRPr="002B4EB0">
        <w:rPr>
          <w:rFonts w:ascii="Times New Roman" w:hAnsi="Times New Roman"/>
          <w:sz w:val="24"/>
        </w:rPr>
        <w:t xml:space="preserve">In contrast, </w:t>
      </w:r>
      <w:r w:rsidR="0080582E" w:rsidRPr="002B4EB0">
        <w:rPr>
          <w:rFonts w:ascii="Times New Roman" w:hAnsi="Times New Roman"/>
          <w:sz w:val="24"/>
        </w:rPr>
        <w:t>PSE</w:t>
      </w:r>
      <w:r w:rsidR="00983EF4" w:rsidRPr="002B4EB0">
        <w:rPr>
          <w:rFonts w:ascii="Times New Roman" w:hAnsi="Times New Roman"/>
          <w:sz w:val="24"/>
        </w:rPr>
        <w:t>’s propos</w:t>
      </w:r>
      <w:r w:rsidR="00525A2C" w:rsidRPr="002B4EB0">
        <w:rPr>
          <w:rFonts w:ascii="Times New Roman" w:hAnsi="Times New Roman"/>
          <w:sz w:val="24"/>
        </w:rPr>
        <w:t>al is one-sided</w:t>
      </w:r>
      <w:r w:rsidR="001E5A2A" w:rsidRPr="002B4EB0">
        <w:rPr>
          <w:rFonts w:ascii="Times New Roman" w:hAnsi="Times New Roman"/>
          <w:sz w:val="24"/>
        </w:rPr>
        <w:t xml:space="preserve">: </w:t>
      </w:r>
      <w:r w:rsidR="00525A2C" w:rsidRPr="002B4EB0">
        <w:rPr>
          <w:rFonts w:ascii="Times New Roman" w:hAnsi="Times New Roman"/>
          <w:sz w:val="24"/>
        </w:rPr>
        <w:t xml:space="preserve"> it </w:t>
      </w:r>
      <w:r w:rsidR="00786AC1" w:rsidRPr="002B4EB0">
        <w:rPr>
          <w:rFonts w:ascii="Times New Roman" w:hAnsi="Times New Roman"/>
          <w:sz w:val="24"/>
        </w:rPr>
        <w:t xml:space="preserve">only </w:t>
      </w:r>
      <w:r w:rsidR="00525A2C" w:rsidRPr="002B4EB0">
        <w:rPr>
          <w:rFonts w:ascii="Times New Roman" w:hAnsi="Times New Roman"/>
          <w:sz w:val="24"/>
        </w:rPr>
        <w:t xml:space="preserve">requires ratepayers to make the Company whole for </w:t>
      </w:r>
      <w:r w:rsidR="00C5491C" w:rsidRPr="002B4EB0">
        <w:rPr>
          <w:rFonts w:ascii="Times New Roman" w:hAnsi="Times New Roman"/>
          <w:sz w:val="24"/>
        </w:rPr>
        <w:t>lost margins alleg</w:t>
      </w:r>
      <w:r w:rsidR="00C871DE" w:rsidRPr="002B4EB0">
        <w:rPr>
          <w:rFonts w:ascii="Times New Roman" w:hAnsi="Times New Roman"/>
          <w:sz w:val="24"/>
        </w:rPr>
        <w:t xml:space="preserve">ed to </w:t>
      </w:r>
      <w:r w:rsidR="00E230D5" w:rsidRPr="002B4EB0">
        <w:rPr>
          <w:rFonts w:ascii="Times New Roman" w:hAnsi="Times New Roman"/>
          <w:sz w:val="24"/>
        </w:rPr>
        <w:t>result from decreased</w:t>
      </w:r>
      <w:r w:rsidR="00983EF4" w:rsidRPr="002B4EB0">
        <w:rPr>
          <w:rFonts w:ascii="Times New Roman" w:hAnsi="Times New Roman"/>
          <w:sz w:val="24"/>
        </w:rPr>
        <w:t xml:space="preserve"> sales.</w:t>
      </w:r>
      <w:r w:rsidR="00983EF4">
        <w:rPr>
          <w:rStyle w:val="FootnoteReference"/>
          <w:rFonts w:ascii="Times New Roman" w:hAnsi="Times New Roman"/>
          <w:sz w:val="24"/>
        </w:rPr>
        <w:footnoteReference w:id="84"/>
      </w:r>
      <w:r w:rsidR="00525A2C" w:rsidRPr="002B4EB0">
        <w:rPr>
          <w:rFonts w:ascii="Times New Roman" w:hAnsi="Times New Roman"/>
          <w:sz w:val="24"/>
        </w:rPr>
        <w:t xml:space="preserve">  Indeed, the proposal is doubly unfair to ratepayers who </w:t>
      </w:r>
      <w:r w:rsidR="00371494" w:rsidRPr="002B4EB0">
        <w:rPr>
          <w:rFonts w:ascii="Times New Roman" w:hAnsi="Times New Roman"/>
          <w:sz w:val="24"/>
        </w:rPr>
        <w:t>alr</w:t>
      </w:r>
      <w:r w:rsidR="001E5A2A" w:rsidRPr="002B4EB0">
        <w:rPr>
          <w:rFonts w:ascii="Times New Roman" w:hAnsi="Times New Roman"/>
          <w:sz w:val="24"/>
        </w:rPr>
        <w:t xml:space="preserve">eady fully reimburse PSE to install </w:t>
      </w:r>
      <w:r w:rsidR="00E230D5" w:rsidRPr="002B4EB0">
        <w:rPr>
          <w:rFonts w:ascii="Times New Roman" w:hAnsi="Times New Roman"/>
          <w:sz w:val="24"/>
        </w:rPr>
        <w:t>conservation measures.</w:t>
      </w:r>
      <w:r w:rsidR="00E230D5">
        <w:rPr>
          <w:rStyle w:val="FootnoteReference"/>
          <w:rFonts w:ascii="Times New Roman" w:hAnsi="Times New Roman"/>
          <w:sz w:val="24"/>
        </w:rPr>
        <w:footnoteReference w:id="85"/>
      </w:r>
      <w:r w:rsidR="00E230D5" w:rsidRPr="002B4EB0">
        <w:rPr>
          <w:rFonts w:ascii="Times New Roman" w:hAnsi="Times New Roman"/>
          <w:sz w:val="24"/>
        </w:rPr>
        <w:t xml:space="preserve">  </w:t>
      </w:r>
    </w:p>
    <w:p w:rsidR="003B046B" w:rsidRDefault="0016154E" w:rsidP="00EB2AFB">
      <w:pPr>
        <w:tabs>
          <w:tab w:val="left" w:pos="-1440"/>
        </w:tabs>
        <w:ind w:left="2160" w:hanging="720"/>
        <w:rPr>
          <w:rFonts w:ascii="Times New Roman" w:hAnsi="Times New Roman"/>
          <w:b/>
          <w:sz w:val="24"/>
        </w:rPr>
      </w:pPr>
      <w:r>
        <w:rPr>
          <w:rFonts w:ascii="Times New Roman" w:hAnsi="Times New Roman"/>
          <w:b/>
          <w:sz w:val="24"/>
        </w:rPr>
        <w:tab/>
      </w:r>
      <w:r w:rsidR="003B046B">
        <w:rPr>
          <w:rFonts w:ascii="Times New Roman" w:hAnsi="Times New Roman"/>
          <w:b/>
          <w:sz w:val="24"/>
        </w:rPr>
        <w:t>ii.</w:t>
      </w:r>
      <w:r w:rsidR="008648CA">
        <w:rPr>
          <w:rFonts w:ascii="Times New Roman" w:hAnsi="Times New Roman"/>
          <w:b/>
          <w:sz w:val="24"/>
        </w:rPr>
        <w:tab/>
        <w:t>The Conservation Phase-In p</w:t>
      </w:r>
      <w:r w:rsidR="00EB2AFB">
        <w:rPr>
          <w:rFonts w:ascii="Times New Roman" w:hAnsi="Times New Roman"/>
          <w:b/>
          <w:sz w:val="24"/>
        </w:rPr>
        <w:t xml:space="preserve">roposal is not a proper pro </w:t>
      </w:r>
      <w:r>
        <w:rPr>
          <w:rFonts w:ascii="Times New Roman" w:hAnsi="Times New Roman"/>
          <w:b/>
          <w:sz w:val="24"/>
        </w:rPr>
        <w:tab/>
      </w:r>
      <w:r w:rsidR="00EB2AFB">
        <w:rPr>
          <w:rFonts w:ascii="Times New Roman" w:hAnsi="Times New Roman"/>
          <w:b/>
          <w:sz w:val="24"/>
        </w:rPr>
        <w:t>forma adjustm</w:t>
      </w:r>
      <w:r w:rsidR="00DC08AA">
        <w:rPr>
          <w:rFonts w:ascii="Times New Roman" w:hAnsi="Times New Roman"/>
          <w:b/>
          <w:sz w:val="24"/>
        </w:rPr>
        <w:t xml:space="preserve">ent because </w:t>
      </w:r>
      <w:r w:rsidR="00786AC1">
        <w:rPr>
          <w:rFonts w:ascii="Times New Roman" w:hAnsi="Times New Roman"/>
          <w:b/>
          <w:sz w:val="24"/>
        </w:rPr>
        <w:t xml:space="preserve">it uses unverified </w:t>
      </w:r>
      <w:r w:rsidR="00EB2AFB">
        <w:rPr>
          <w:rFonts w:ascii="Times New Roman" w:hAnsi="Times New Roman"/>
          <w:b/>
          <w:sz w:val="24"/>
        </w:rPr>
        <w:t>saving</w:t>
      </w:r>
      <w:r w:rsidR="00D57C91">
        <w:rPr>
          <w:rFonts w:ascii="Times New Roman" w:hAnsi="Times New Roman"/>
          <w:b/>
          <w:sz w:val="24"/>
        </w:rPr>
        <w:t>s</w:t>
      </w:r>
      <w:r w:rsidR="00786AC1">
        <w:rPr>
          <w:rFonts w:ascii="Times New Roman" w:hAnsi="Times New Roman"/>
          <w:b/>
          <w:sz w:val="24"/>
        </w:rPr>
        <w:t xml:space="preserve"> </w:t>
      </w:r>
    </w:p>
    <w:p w:rsidR="00EB2AFB" w:rsidRDefault="00EB2AFB" w:rsidP="00EB2AFB">
      <w:pPr>
        <w:tabs>
          <w:tab w:val="left" w:pos="-1440"/>
        </w:tabs>
        <w:ind w:left="2160" w:hanging="720"/>
        <w:rPr>
          <w:rFonts w:ascii="Times New Roman" w:hAnsi="Times New Roman"/>
          <w:b/>
          <w:sz w:val="24"/>
        </w:rPr>
      </w:pPr>
    </w:p>
    <w:p w:rsidR="00F24BF8"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E406BA" w:rsidRPr="002B4EB0">
        <w:rPr>
          <w:rFonts w:ascii="Times New Roman" w:hAnsi="Times New Roman"/>
          <w:sz w:val="24"/>
        </w:rPr>
        <w:t>PSE</w:t>
      </w:r>
      <w:r w:rsidR="0052772D" w:rsidRPr="002B4EB0">
        <w:rPr>
          <w:rFonts w:ascii="Times New Roman" w:hAnsi="Times New Roman"/>
          <w:sz w:val="24"/>
        </w:rPr>
        <w:t>’s Conservation P</w:t>
      </w:r>
      <w:r w:rsidR="008648CA" w:rsidRPr="002B4EB0">
        <w:rPr>
          <w:rFonts w:ascii="Times New Roman" w:hAnsi="Times New Roman"/>
          <w:sz w:val="24"/>
        </w:rPr>
        <w:t>hase-In adjustment</w:t>
      </w:r>
      <w:r w:rsidR="00DF2CA7" w:rsidRPr="002B4EB0">
        <w:rPr>
          <w:rFonts w:ascii="Times New Roman" w:hAnsi="Times New Roman"/>
          <w:sz w:val="24"/>
        </w:rPr>
        <w:t xml:space="preserve"> uses reported</w:t>
      </w:r>
      <w:r w:rsidR="00F24BF8" w:rsidRPr="002B4EB0">
        <w:rPr>
          <w:rFonts w:ascii="Times New Roman" w:hAnsi="Times New Roman"/>
          <w:sz w:val="24"/>
        </w:rPr>
        <w:t xml:space="preserve"> energy savings that have not been independently verified through post-installation analysis.</w:t>
      </w:r>
      <w:r w:rsidR="00F24BF8">
        <w:rPr>
          <w:rStyle w:val="FootnoteReference"/>
          <w:rFonts w:ascii="Times New Roman" w:hAnsi="Times New Roman"/>
          <w:sz w:val="24"/>
        </w:rPr>
        <w:footnoteReference w:id="86"/>
      </w:r>
      <w:r w:rsidR="00F24BF8" w:rsidRPr="002B4EB0">
        <w:rPr>
          <w:rFonts w:ascii="Times New Roman" w:hAnsi="Times New Roman"/>
          <w:sz w:val="24"/>
        </w:rPr>
        <w:t xml:space="preserve">  Thus, </w:t>
      </w:r>
      <w:r w:rsidR="00C5491C" w:rsidRPr="002B4EB0">
        <w:rPr>
          <w:rFonts w:ascii="Times New Roman" w:hAnsi="Times New Roman"/>
          <w:sz w:val="24"/>
        </w:rPr>
        <w:t>it is unproven that</w:t>
      </w:r>
      <w:r w:rsidR="00E406BA" w:rsidRPr="002B4EB0">
        <w:rPr>
          <w:rFonts w:ascii="Times New Roman" w:hAnsi="Times New Roman"/>
          <w:sz w:val="24"/>
        </w:rPr>
        <w:t xml:space="preserve"> </w:t>
      </w:r>
      <w:r w:rsidR="00C5491C" w:rsidRPr="002B4EB0">
        <w:rPr>
          <w:rFonts w:ascii="Times New Roman" w:hAnsi="Times New Roman"/>
          <w:sz w:val="24"/>
        </w:rPr>
        <w:t xml:space="preserve">the reported savings </w:t>
      </w:r>
      <w:r w:rsidR="00E406BA" w:rsidRPr="002B4EB0">
        <w:rPr>
          <w:rFonts w:ascii="Times New Roman" w:hAnsi="Times New Roman"/>
          <w:sz w:val="24"/>
        </w:rPr>
        <w:t xml:space="preserve">represent </w:t>
      </w:r>
      <w:r w:rsidR="00F24BF8" w:rsidRPr="002B4EB0">
        <w:rPr>
          <w:rFonts w:ascii="Times New Roman" w:hAnsi="Times New Roman"/>
          <w:sz w:val="24"/>
        </w:rPr>
        <w:t xml:space="preserve">savings that </w:t>
      </w:r>
      <w:r w:rsidR="00C5491C" w:rsidRPr="002B4EB0">
        <w:rPr>
          <w:rFonts w:ascii="Times New Roman" w:hAnsi="Times New Roman"/>
          <w:sz w:val="24"/>
        </w:rPr>
        <w:t>actually result from PSE</w:t>
      </w:r>
      <w:r w:rsidR="00AA5BC2" w:rsidRPr="002B4EB0">
        <w:rPr>
          <w:rFonts w:ascii="Times New Roman" w:hAnsi="Times New Roman"/>
          <w:sz w:val="24"/>
        </w:rPr>
        <w:t>-sponsored conservation</w:t>
      </w:r>
      <w:r w:rsidR="00F24BF8" w:rsidRPr="002B4EB0">
        <w:rPr>
          <w:rFonts w:ascii="Times New Roman" w:hAnsi="Times New Roman"/>
          <w:sz w:val="24"/>
        </w:rPr>
        <w:t xml:space="preserve">.  </w:t>
      </w:r>
    </w:p>
    <w:p w:rsidR="003B046B"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694454" w:rsidRPr="002B4EB0">
        <w:rPr>
          <w:rFonts w:ascii="Times New Roman" w:hAnsi="Times New Roman"/>
          <w:sz w:val="24"/>
        </w:rPr>
        <w:t>T</w:t>
      </w:r>
      <w:r w:rsidR="00F24BF8" w:rsidRPr="002B4EB0">
        <w:rPr>
          <w:rFonts w:ascii="Times New Roman" w:hAnsi="Times New Roman"/>
          <w:sz w:val="24"/>
        </w:rPr>
        <w:t xml:space="preserve">his </w:t>
      </w:r>
      <w:r w:rsidR="00694454" w:rsidRPr="002B4EB0">
        <w:rPr>
          <w:rFonts w:ascii="Times New Roman" w:hAnsi="Times New Roman"/>
          <w:sz w:val="24"/>
        </w:rPr>
        <w:t xml:space="preserve">is a </w:t>
      </w:r>
      <w:r w:rsidR="00F24BF8" w:rsidRPr="002B4EB0">
        <w:rPr>
          <w:rFonts w:ascii="Times New Roman" w:hAnsi="Times New Roman"/>
          <w:sz w:val="24"/>
        </w:rPr>
        <w:t xml:space="preserve">deficiency </w:t>
      </w:r>
      <w:r w:rsidR="00694454" w:rsidRPr="002B4EB0">
        <w:rPr>
          <w:rFonts w:ascii="Times New Roman" w:hAnsi="Times New Roman"/>
          <w:sz w:val="24"/>
        </w:rPr>
        <w:t xml:space="preserve">that </w:t>
      </w:r>
      <w:r w:rsidR="00C871DE" w:rsidRPr="002B4EB0">
        <w:rPr>
          <w:rFonts w:ascii="Times New Roman" w:hAnsi="Times New Roman"/>
          <w:sz w:val="24"/>
        </w:rPr>
        <w:t>fails to</w:t>
      </w:r>
      <w:r w:rsidR="004B6509" w:rsidRPr="002B4EB0">
        <w:rPr>
          <w:rFonts w:ascii="Times New Roman" w:hAnsi="Times New Roman"/>
          <w:sz w:val="24"/>
        </w:rPr>
        <w:t xml:space="preserve"> </w:t>
      </w:r>
      <w:r w:rsidR="003B046B" w:rsidRPr="002B4EB0">
        <w:rPr>
          <w:rFonts w:ascii="Times New Roman" w:hAnsi="Times New Roman"/>
          <w:sz w:val="24"/>
        </w:rPr>
        <w:t>meet the “known and measureable” standard for ratemaking</w:t>
      </w:r>
      <w:r w:rsidR="0052772D" w:rsidRPr="002B4EB0">
        <w:rPr>
          <w:rFonts w:ascii="Times New Roman" w:hAnsi="Times New Roman"/>
          <w:sz w:val="24"/>
        </w:rPr>
        <w:t xml:space="preserve"> and</w:t>
      </w:r>
      <w:r w:rsidR="00DF2CA7" w:rsidRPr="002B4EB0">
        <w:rPr>
          <w:rFonts w:ascii="Times New Roman" w:hAnsi="Times New Roman"/>
          <w:sz w:val="24"/>
        </w:rPr>
        <w:t xml:space="preserve">, therefore, </w:t>
      </w:r>
      <w:r w:rsidR="005C64FA" w:rsidRPr="002B4EB0">
        <w:rPr>
          <w:rFonts w:ascii="Times New Roman" w:hAnsi="Times New Roman"/>
          <w:sz w:val="24"/>
        </w:rPr>
        <w:t xml:space="preserve">requires that </w:t>
      </w:r>
      <w:r w:rsidR="00786AC1" w:rsidRPr="002B4EB0">
        <w:rPr>
          <w:rFonts w:ascii="Times New Roman" w:hAnsi="Times New Roman"/>
          <w:sz w:val="24"/>
        </w:rPr>
        <w:t>PSE</w:t>
      </w:r>
      <w:r w:rsidR="00DF2CA7" w:rsidRPr="002B4EB0">
        <w:rPr>
          <w:rFonts w:ascii="Times New Roman" w:hAnsi="Times New Roman"/>
          <w:sz w:val="24"/>
        </w:rPr>
        <w:t>’s proposal</w:t>
      </w:r>
      <w:r w:rsidR="005C64FA" w:rsidRPr="002B4EB0">
        <w:rPr>
          <w:rFonts w:ascii="Times New Roman" w:hAnsi="Times New Roman"/>
          <w:sz w:val="24"/>
        </w:rPr>
        <w:t xml:space="preserve"> </w:t>
      </w:r>
      <w:r w:rsidR="0052772D" w:rsidRPr="002B4EB0">
        <w:rPr>
          <w:rFonts w:ascii="Times New Roman" w:hAnsi="Times New Roman"/>
          <w:sz w:val="24"/>
        </w:rPr>
        <w:t>be rejected</w:t>
      </w:r>
      <w:r w:rsidR="004B6509" w:rsidRPr="002B4EB0">
        <w:rPr>
          <w:rFonts w:ascii="Times New Roman" w:hAnsi="Times New Roman"/>
          <w:sz w:val="24"/>
        </w:rPr>
        <w:t>.</w:t>
      </w:r>
      <w:r w:rsidR="003B046B">
        <w:rPr>
          <w:rStyle w:val="FootnoteReference"/>
          <w:rFonts w:ascii="Times New Roman" w:hAnsi="Times New Roman"/>
          <w:sz w:val="24"/>
        </w:rPr>
        <w:footnoteReference w:id="87"/>
      </w:r>
      <w:r w:rsidR="00F24BF8" w:rsidRPr="002B4EB0">
        <w:rPr>
          <w:rFonts w:ascii="Times New Roman" w:hAnsi="Times New Roman"/>
          <w:sz w:val="24"/>
        </w:rPr>
        <w:t xml:space="preserve">  </w:t>
      </w:r>
      <w:r w:rsidR="00AA5BC2" w:rsidRPr="002B4EB0">
        <w:rPr>
          <w:rFonts w:ascii="Times New Roman" w:hAnsi="Times New Roman"/>
          <w:sz w:val="24"/>
        </w:rPr>
        <w:t>Staff</w:t>
      </w:r>
      <w:r w:rsidR="00F24BF8" w:rsidRPr="002B4EB0">
        <w:rPr>
          <w:rFonts w:ascii="Times New Roman" w:hAnsi="Times New Roman"/>
          <w:sz w:val="24"/>
        </w:rPr>
        <w:t>’s position h</w:t>
      </w:r>
      <w:r w:rsidR="009E42B5" w:rsidRPr="002B4EB0">
        <w:rPr>
          <w:rFonts w:ascii="Times New Roman" w:hAnsi="Times New Roman"/>
          <w:sz w:val="24"/>
        </w:rPr>
        <w:t xml:space="preserve">as been validated </w:t>
      </w:r>
      <w:r w:rsidR="003B046B" w:rsidRPr="002B4EB0">
        <w:rPr>
          <w:rFonts w:ascii="Times New Roman" w:hAnsi="Times New Roman"/>
          <w:sz w:val="24"/>
        </w:rPr>
        <w:t xml:space="preserve">by the Commission in finding that bill verification analyses must be included </w:t>
      </w:r>
      <w:r w:rsidR="003B046B" w:rsidRPr="002B4EB0">
        <w:rPr>
          <w:rFonts w:ascii="Times New Roman" w:hAnsi="Times New Roman"/>
          <w:sz w:val="24"/>
        </w:rPr>
        <w:lastRenderedPageBreak/>
        <w:t>in the analysis of energy efficiency programs.</w:t>
      </w:r>
      <w:r w:rsidR="003B046B">
        <w:rPr>
          <w:rStyle w:val="FootnoteReference"/>
          <w:rFonts w:ascii="Times New Roman" w:hAnsi="Times New Roman"/>
          <w:sz w:val="24"/>
        </w:rPr>
        <w:footnoteReference w:id="88"/>
      </w:r>
      <w:r w:rsidR="00622E4B" w:rsidRPr="002B4EB0">
        <w:rPr>
          <w:rFonts w:ascii="Times New Roman" w:hAnsi="Times New Roman"/>
          <w:sz w:val="24"/>
        </w:rPr>
        <w:t xml:space="preserve">  </w:t>
      </w:r>
      <w:r w:rsidR="00F24BF8" w:rsidRPr="002B4EB0">
        <w:rPr>
          <w:rFonts w:ascii="Times New Roman" w:hAnsi="Times New Roman"/>
          <w:sz w:val="24"/>
        </w:rPr>
        <w:t xml:space="preserve">Staff’s </w:t>
      </w:r>
      <w:r w:rsidR="00AA5BC2" w:rsidRPr="002B4EB0">
        <w:rPr>
          <w:rFonts w:ascii="Times New Roman" w:hAnsi="Times New Roman"/>
          <w:sz w:val="24"/>
        </w:rPr>
        <w:t xml:space="preserve">position is particularly relevant </w:t>
      </w:r>
      <w:r w:rsidR="003B046B" w:rsidRPr="002B4EB0">
        <w:rPr>
          <w:rFonts w:ascii="Times New Roman" w:hAnsi="Times New Roman"/>
          <w:sz w:val="24"/>
        </w:rPr>
        <w:t xml:space="preserve">as </w:t>
      </w:r>
      <w:r w:rsidR="00622E4B" w:rsidRPr="002B4EB0">
        <w:rPr>
          <w:rFonts w:ascii="Times New Roman" w:hAnsi="Times New Roman"/>
          <w:sz w:val="24"/>
        </w:rPr>
        <w:t>budgets for conservation have increased dramatically.</w:t>
      </w:r>
      <w:r w:rsidR="002F589E">
        <w:rPr>
          <w:rStyle w:val="FootnoteReference"/>
          <w:rFonts w:ascii="Times New Roman" w:hAnsi="Times New Roman"/>
          <w:sz w:val="24"/>
        </w:rPr>
        <w:footnoteReference w:id="89"/>
      </w:r>
    </w:p>
    <w:p w:rsidR="00DF2CA7"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5C64FA" w:rsidRPr="002B4EB0">
        <w:rPr>
          <w:rFonts w:ascii="Times New Roman" w:hAnsi="Times New Roman"/>
          <w:sz w:val="24"/>
        </w:rPr>
        <w:t xml:space="preserve">PSE argues that </w:t>
      </w:r>
      <w:r w:rsidR="00DF2CA7" w:rsidRPr="002B4EB0">
        <w:rPr>
          <w:rFonts w:ascii="Times New Roman" w:hAnsi="Times New Roman"/>
          <w:sz w:val="24"/>
        </w:rPr>
        <w:t>reported conservation</w:t>
      </w:r>
      <w:r w:rsidR="000C4E57" w:rsidRPr="002B4EB0">
        <w:rPr>
          <w:rFonts w:ascii="Times New Roman" w:hAnsi="Times New Roman"/>
          <w:sz w:val="24"/>
        </w:rPr>
        <w:t xml:space="preserve"> savings were </w:t>
      </w:r>
      <w:r w:rsidR="00DF2CA7" w:rsidRPr="002B4EB0">
        <w:rPr>
          <w:rFonts w:ascii="Times New Roman" w:hAnsi="Times New Roman"/>
          <w:sz w:val="24"/>
        </w:rPr>
        <w:t>used to implement</w:t>
      </w:r>
      <w:r w:rsidR="009C4CCE" w:rsidRPr="002B4EB0">
        <w:rPr>
          <w:rFonts w:ascii="Times New Roman" w:hAnsi="Times New Roman"/>
          <w:sz w:val="24"/>
        </w:rPr>
        <w:t xml:space="preserve"> its performance incentive mechanisms</w:t>
      </w:r>
      <w:r w:rsidR="00DF2CA7" w:rsidRPr="002B4EB0">
        <w:rPr>
          <w:rFonts w:ascii="Times New Roman" w:hAnsi="Times New Roman"/>
          <w:sz w:val="24"/>
        </w:rPr>
        <w:t xml:space="preserve"> </w:t>
      </w:r>
      <w:r w:rsidR="000C4E57" w:rsidRPr="002B4EB0">
        <w:rPr>
          <w:rFonts w:ascii="Times New Roman" w:hAnsi="Times New Roman"/>
          <w:sz w:val="24"/>
        </w:rPr>
        <w:t>from 2003 to 2008</w:t>
      </w:r>
      <w:r w:rsidR="00DF2CA7" w:rsidRPr="002B4EB0">
        <w:rPr>
          <w:rFonts w:ascii="Times New Roman" w:hAnsi="Times New Roman"/>
          <w:sz w:val="24"/>
        </w:rPr>
        <w:t xml:space="preserve"> without independen</w:t>
      </w:r>
      <w:r w:rsidR="009C4CCE" w:rsidRPr="002B4EB0">
        <w:rPr>
          <w:rFonts w:ascii="Times New Roman" w:hAnsi="Times New Roman"/>
          <w:sz w:val="24"/>
        </w:rPr>
        <w:t xml:space="preserve">t, post-installation evaluation </w:t>
      </w:r>
      <w:r w:rsidR="00DF2CA7" w:rsidRPr="002B4EB0">
        <w:rPr>
          <w:rFonts w:ascii="Times New Roman" w:hAnsi="Times New Roman"/>
          <w:sz w:val="24"/>
        </w:rPr>
        <w:t>and verification.</w:t>
      </w:r>
      <w:r w:rsidR="00DF2CA7">
        <w:rPr>
          <w:rStyle w:val="FootnoteReference"/>
          <w:rFonts w:ascii="Times New Roman" w:hAnsi="Times New Roman"/>
          <w:sz w:val="24"/>
        </w:rPr>
        <w:footnoteReference w:id="90"/>
      </w:r>
      <w:r w:rsidR="009C4CCE" w:rsidRPr="002B4EB0">
        <w:rPr>
          <w:rFonts w:ascii="Times New Roman" w:hAnsi="Times New Roman"/>
          <w:sz w:val="24"/>
        </w:rPr>
        <w:t xml:space="preserve">  However, </w:t>
      </w:r>
      <w:r w:rsidR="000C4E57" w:rsidRPr="002B4EB0">
        <w:rPr>
          <w:rFonts w:ascii="Times New Roman" w:hAnsi="Times New Roman"/>
          <w:sz w:val="24"/>
        </w:rPr>
        <w:t>the Conservation Phase-In proposal has the potential to significantly impact rates because it changes billing determinants.</w:t>
      </w:r>
      <w:r w:rsidR="005C64FA">
        <w:rPr>
          <w:rStyle w:val="FootnoteReference"/>
          <w:rFonts w:ascii="Times New Roman" w:hAnsi="Times New Roman"/>
          <w:sz w:val="24"/>
        </w:rPr>
        <w:footnoteReference w:id="91"/>
      </w:r>
      <w:r w:rsidR="00D57C91" w:rsidRPr="002B4EB0">
        <w:rPr>
          <w:rFonts w:ascii="Times New Roman" w:hAnsi="Times New Roman"/>
          <w:sz w:val="24"/>
        </w:rPr>
        <w:t xml:space="preserve">  The prior </w:t>
      </w:r>
      <w:r w:rsidR="000C4E57" w:rsidRPr="002B4EB0">
        <w:rPr>
          <w:rFonts w:ascii="Times New Roman" w:hAnsi="Times New Roman"/>
          <w:sz w:val="24"/>
        </w:rPr>
        <w:t>i</w:t>
      </w:r>
      <w:r w:rsidR="009F36E4" w:rsidRPr="002B4EB0">
        <w:rPr>
          <w:rFonts w:ascii="Times New Roman" w:hAnsi="Times New Roman"/>
          <w:sz w:val="24"/>
        </w:rPr>
        <w:t xml:space="preserve">ncentive mechanisms did not change billing determinants </w:t>
      </w:r>
      <w:r w:rsidR="000C4E57" w:rsidRPr="002B4EB0">
        <w:rPr>
          <w:rFonts w:ascii="Times New Roman" w:hAnsi="Times New Roman"/>
          <w:sz w:val="24"/>
        </w:rPr>
        <w:t>and, therefore, could be implemented without independent</w:t>
      </w:r>
      <w:r w:rsidR="00C5491C" w:rsidRPr="002B4EB0">
        <w:rPr>
          <w:rFonts w:ascii="Times New Roman" w:hAnsi="Times New Roman"/>
          <w:sz w:val="24"/>
        </w:rPr>
        <w:t>,</w:t>
      </w:r>
      <w:r w:rsidR="000C4E57" w:rsidRPr="002B4EB0">
        <w:rPr>
          <w:rFonts w:ascii="Times New Roman" w:hAnsi="Times New Roman"/>
          <w:sz w:val="24"/>
        </w:rPr>
        <w:t xml:space="preserve"> post-instal</w:t>
      </w:r>
      <w:r w:rsidR="00D57C91" w:rsidRPr="002B4EB0">
        <w:rPr>
          <w:rFonts w:ascii="Times New Roman" w:hAnsi="Times New Roman"/>
          <w:sz w:val="24"/>
        </w:rPr>
        <w:t>lation analysis</w:t>
      </w:r>
      <w:r w:rsidR="000C4E57" w:rsidRPr="002B4EB0">
        <w:rPr>
          <w:rFonts w:ascii="Times New Roman" w:hAnsi="Times New Roman"/>
          <w:sz w:val="24"/>
        </w:rPr>
        <w:t>.</w:t>
      </w:r>
      <w:r w:rsidR="000C4E57">
        <w:rPr>
          <w:rStyle w:val="FootnoteReference"/>
          <w:rFonts w:ascii="Times New Roman" w:hAnsi="Times New Roman"/>
          <w:sz w:val="24"/>
        </w:rPr>
        <w:footnoteReference w:id="92"/>
      </w:r>
    </w:p>
    <w:p w:rsidR="0088789B"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694454" w:rsidRPr="002B4EB0">
        <w:rPr>
          <w:rFonts w:ascii="Times New Roman" w:hAnsi="Times New Roman"/>
          <w:sz w:val="24"/>
        </w:rPr>
        <w:t xml:space="preserve">PSE </w:t>
      </w:r>
      <w:r w:rsidR="000C4E57" w:rsidRPr="002B4EB0">
        <w:rPr>
          <w:rFonts w:ascii="Times New Roman" w:hAnsi="Times New Roman"/>
          <w:sz w:val="24"/>
        </w:rPr>
        <w:t xml:space="preserve">argues that its reported conservation savings </w:t>
      </w:r>
      <w:r w:rsidR="001F7C59" w:rsidRPr="002B4EB0">
        <w:rPr>
          <w:rFonts w:ascii="Times New Roman" w:hAnsi="Times New Roman"/>
          <w:sz w:val="24"/>
        </w:rPr>
        <w:t xml:space="preserve">and process for their development </w:t>
      </w:r>
      <w:r w:rsidR="000C4E57" w:rsidRPr="002B4EB0">
        <w:rPr>
          <w:rFonts w:ascii="Times New Roman" w:hAnsi="Times New Roman"/>
          <w:sz w:val="24"/>
        </w:rPr>
        <w:t>have been reviewed by an independent third-party, Blue Ridge Consulting.</w:t>
      </w:r>
      <w:r w:rsidR="000C4E57">
        <w:rPr>
          <w:rStyle w:val="FootnoteReference"/>
          <w:rFonts w:ascii="Times New Roman" w:hAnsi="Times New Roman"/>
          <w:sz w:val="24"/>
        </w:rPr>
        <w:footnoteReference w:id="93"/>
      </w:r>
      <w:r w:rsidR="00C5277C" w:rsidRPr="002B4EB0">
        <w:rPr>
          <w:rFonts w:ascii="Times New Roman" w:hAnsi="Times New Roman"/>
          <w:sz w:val="24"/>
        </w:rPr>
        <w:t xml:space="preserve">  </w:t>
      </w:r>
      <w:r w:rsidR="00E36EE4" w:rsidRPr="002B4EB0">
        <w:rPr>
          <w:rFonts w:ascii="Times New Roman" w:hAnsi="Times New Roman"/>
          <w:sz w:val="24"/>
        </w:rPr>
        <w:t xml:space="preserve">Actually, Blue Ridge </w:t>
      </w:r>
      <w:r w:rsidR="00786AC1" w:rsidRPr="002B4EB0">
        <w:rPr>
          <w:rFonts w:ascii="Times New Roman" w:hAnsi="Times New Roman"/>
          <w:sz w:val="24"/>
        </w:rPr>
        <w:t>question</w:t>
      </w:r>
      <w:r w:rsidR="00E36EE4" w:rsidRPr="002B4EB0">
        <w:rPr>
          <w:rFonts w:ascii="Times New Roman" w:hAnsi="Times New Roman"/>
          <w:sz w:val="24"/>
        </w:rPr>
        <w:t>ed</w:t>
      </w:r>
      <w:r w:rsidR="00786AC1" w:rsidRPr="002B4EB0">
        <w:rPr>
          <w:rFonts w:ascii="Times New Roman" w:hAnsi="Times New Roman"/>
          <w:sz w:val="24"/>
        </w:rPr>
        <w:t xml:space="preserve"> PSE</w:t>
      </w:r>
      <w:r w:rsidR="0088789B" w:rsidRPr="002B4EB0">
        <w:rPr>
          <w:rFonts w:ascii="Times New Roman" w:hAnsi="Times New Roman"/>
          <w:sz w:val="24"/>
        </w:rPr>
        <w:t xml:space="preserve">’s analysis of cost-effectiveness, </w:t>
      </w:r>
      <w:r w:rsidR="009F36E4" w:rsidRPr="002B4EB0">
        <w:rPr>
          <w:rFonts w:ascii="Times New Roman" w:hAnsi="Times New Roman"/>
          <w:sz w:val="24"/>
        </w:rPr>
        <w:t>which is used to determine energy saving</w:t>
      </w:r>
      <w:r w:rsidR="00786AC1" w:rsidRPr="002B4EB0">
        <w:rPr>
          <w:rFonts w:ascii="Times New Roman" w:hAnsi="Times New Roman"/>
          <w:sz w:val="24"/>
        </w:rPr>
        <w:t>s</w:t>
      </w:r>
      <w:r w:rsidR="009F36E4" w:rsidRPr="002B4EB0">
        <w:rPr>
          <w:rFonts w:ascii="Times New Roman" w:hAnsi="Times New Roman"/>
          <w:sz w:val="24"/>
        </w:rPr>
        <w:t>.  Blue Ridge urged</w:t>
      </w:r>
      <w:r w:rsidR="0088789B" w:rsidRPr="002B4EB0">
        <w:rPr>
          <w:rFonts w:ascii="Times New Roman" w:hAnsi="Times New Roman"/>
          <w:sz w:val="24"/>
        </w:rPr>
        <w:t xml:space="preserve"> the use of additional tests beyond the total resource cost </w:t>
      </w:r>
      <w:r w:rsidR="009F36E4" w:rsidRPr="002B4EB0">
        <w:rPr>
          <w:rFonts w:ascii="Times New Roman" w:hAnsi="Times New Roman"/>
          <w:sz w:val="24"/>
        </w:rPr>
        <w:t>test</w:t>
      </w:r>
      <w:r w:rsidR="00C5491C" w:rsidRPr="002B4EB0">
        <w:rPr>
          <w:rFonts w:ascii="Times New Roman" w:hAnsi="Times New Roman"/>
          <w:sz w:val="24"/>
        </w:rPr>
        <w:t>,</w:t>
      </w:r>
      <w:r w:rsidR="009F36E4" w:rsidRPr="002B4EB0">
        <w:rPr>
          <w:rFonts w:ascii="Times New Roman" w:hAnsi="Times New Roman"/>
          <w:sz w:val="24"/>
        </w:rPr>
        <w:t xml:space="preserve"> and recommended</w:t>
      </w:r>
      <w:r w:rsidR="0088789B" w:rsidRPr="002B4EB0">
        <w:rPr>
          <w:rFonts w:ascii="Times New Roman" w:hAnsi="Times New Roman"/>
          <w:sz w:val="24"/>
        </w:rPr>
        <w:t xml:space="preserve"> that PSE’s planning</w:t>
      </w:r>
      <w:r w:rsidR="00694454" w:rsidRPr="002B4EB0">
        <w:rPr>
          <w:rFonts w:ascii="Times New Roman" w:hAnsi="Times New Roman"/>
          <w:sz w:val="24"/>
        </w:rPr>
        <w:t xml:space="preserve"> and modeling techniques </w:t>
      </w:r>
      <w:r w:rsidR="0088789B" w:rsidRPr="002B4EB0">
        <w:rPr>
          <w:rFonts w:ascii="Times New Roman" w:hAnsi="Times New Roman"/>
          <w:sz w:val="24"/>
        </w:rPr>
        <w:t>be further investigated.</w:t>
      </w:r>
      <w:r w:rsidR="0088789B">
        <w:rPr>
          <w:rStyle w:val="FootnoteReference"/>
          <w:rFonts w:ascii="Times New Roman" w:hAnsi="Times New Roman"/>
          <w:sz w:val="24"/>
        </w:rPr>
        <w:footnoteReference w:id="94"/>
      </w:r>
      <w:r w:rsidR="0088789B" w:rsidRPr="002B4EB0">
        <w:rPr>
          <w:rFonts w:ascii="Times New Roman" w:hAnsi="Times New Roman"/>
          <w:sz w:val="24"/>
        </w:rPr>
        <w:t xml:space="preserve"> </w:t>
      </w:r>
    </w:p>
    <w:p w:rsidR="00EB2AFB"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88789B" w:rsidRPr="002B4EB0">
        <w:rPr>
          <w:rFonts w:ascii="Times New Roman" w:hAnsi="Times New Roman"/>
          <w:sz w:val="24"/>
        </w:rPr>
        <w:t>Moreover, t</w:t>
      </w:r>
      <w:r w:rsidR="00C5277C" w:rsidRPr="002B4EB0">
        <w:rPr>
          <w:rFonts w:ascii="Times New Roman" w:hAnsi="Times New Roman"/>
          <w:sz w:val="24"/>
        </w:rPr>
        <w:t xml:space="preserve">he </w:t>
      </w:r>
      <w:r w:rsidR="0088789B" w:rsidRPr="002B4EB0">
        <w:rPr>
          <w:rFonts w:ascii="Times New Roman" w:hAnsi="Times New Roman"/>
          <w:sz w:val="24"/>
        </w:rPr>
        <w:t xml:space="preserve">Blue Ridge </w:t>
      </w:r>
      <w:r w:rsidR="00C5277C" w:rsidRPr="002B4EB0">
        <w:rPr>
          <w:rFonts w:ascii="Times New Roman" w:hAnsi="Times New Roman"/>
          <w:sz w:val="24"/>
        </w:rPr>
        <w:t xml:space="preserve">report is only a preliminary assessment </w:t>
      </w:r>
      <w:r w:rsidR="001F7C59" w:rsidRPr="002B4EB0">
        <w:rPr>
          <w:rFonts w:ascii="Times New Roman" w:hAnsi="Times New Roman"/>
          <w:sz w:val="24"/>
        </w:rPr>
        <w:t>prepared over a very short time frame.</w:t>
      </w:r>
      <w:r w:rsidR="001F7C59">
        <w:rPr>
          <w:rStyle w:val="FootnoteReference"/>
          <w:rFonts w:ascii="Times New Roman" w:hAnsi="Times New Roman"/>
          <w:sz w:val="24"/>
        </w:rPr>
        <w:footnoteReference w:id="95"/>
      </w:r>
      <w:r w:rsidR="00C5277C" w:rsidRPr="002B4EB0">
        <w:rPr>
          <w:rFonts w:ascii="Times New Roman" w:hAnsi="Times New Roman"/>
          <w:sz w:val="24"/>
        </w:rPr>
        <w:t xml:space="preserve">  Further evaluation is expected in a second report to come.</w:t>
      </w:r>
      <w:r w:rsidR="00C5277C">
        <w:rPr>
          <w:rStyle w:val="FootnoteReference"/>
          <w:rFonts w:ascii="Times New Roman" w:hAnsi="Times New Roman"/>
          <w:sz w:val="24"/>
        </w:rPr>
        <w:footnoteReference w:id="96"/>
      </w:r>
      <w:r w:rsidR="00C5277C" w:rsidRPr="002B4EB0">
        <w:rPr>
          <w:rFonts w:ascii="Times New Roman" w:hAnsi="Times New Roman"/>
          <w:sz w:val="24"/>
        </w:rPr>
        <w:t xml:space="preserve">  </w:t>
      </w:r>
      <w:r w:rsidR="0088789B" w:rsidRPr="002B4EB0">
        <w:rPr>
          <w:rFonts w:ascii="Times New Roman" w:hAnsi="Times New Roman"/>
          <w:sz w:val="24"/>
        </w:rPr>
        <w:t xml:space="preserve">Indeed, Blue Ridge </w:t>
      </w:r>
      <w:r w:rsidR="0080582E" w:rsidRPr="002B4EB0">
        <w:rPr>
          <w:rFonts w:ascii="Times New Roman" w:hAnsi="Times New Roman"/>
          <w:sz w:val="24"/>
        </w:rPr>
        <w:t xml:space="preserve">itself acknowledges the limits of its </w:t>
      </w:r>
      <w:r w:rsidR="00E36EE4" w:rsidRPr="002B4EB0">
        <w:rPr>
          <w:rFonts w:ascii="Times New Roman" w:hAnsi="Times New Roman"/>
          <w:sz w:val="24"/>
        </w:rPr>
        <w:t xml:space="preserve">initial </w:t>
      </w:r>
      <w:r w:rsidR="0080582E" w:rsidRPr="002B4EB0">
        <w:rPr>
          <w:rFonts w:ascii="Times New Roman" w:hAnsi="Times New Roman"/>
          <w:sz w:val="24"/>
        </w:rPr>
        <w:t>report</w:t>
      </w:r>
      <w:r w:rsidR="0088789B" w:rsidRPr="002B4EB0">
        <w:rPr>
          <w:rFonts w:ascii="Times New Roman" w:hAnsi="Times New Roman"/>
          <w:sz w:val="24"/>
        </w:rPr>
        <w:t xml:space="preserve">.  </w:t>
      </w:r>
      <w:r w:rsidR="00694454" w:rsidRPr="002B4EB0">
        <w:rPr>
          <w:rFonts w:ascii="Times New Roman" w:hAnsi="Times New Roman"/>
          <w:sz w:val="24"/>
        </w:rPr>
        <w:t xml:space="preserve">It states </w:t>
      </w:r>
      <w:r w:rsidR="00E406BA" w:rsidRPr="002B4EB0">
        <w:rPr>
          <w:rFonts w:ascii="Times New Roman" w:hAnsi="Times New Roman"/>
          <w:sz w:val="24"/>
        </w:rPr>
        <w:t xml:space="preserve">that it “has not made an analysis, </w:t>
      </w:r>
      <w:r w:rsidR="003E79C3" w:rsidRPr="002B4EB0">
        <w:rPr>
          <w:rFonts w:ascii="Times New Roman" w:hAnsi="Times New Roman"/>
          <w:sz w:val="24"/>
        </w:rPr>
        <w:t>verified</w:t>
      </w:r>
      <w:r w:rsidR="00E406BA" w:rsidRPr="002B4EB0">
        <w:rPr>
          <w:rFonts w:ascii="Times New Roman" w:hAnsi="Times New Roman"/>
          <w:sz w:val="24"/>
        </w:rPr>
        <w:t xml:space="preserve">, or rendered an independent judgment of the validity of the </w:t>
      </w:r>
      <w:r w:rsidR="00E406BA" w:rsidRPr="002B4EB0">
        <w:rPr>
          <w:rFonts w:ascii="Times New Roman" w:hAnsi="Times New Roman"/>
          <w:sz w:val="24"/>
        </w:rPr>
        <w:lastRenderedPageBreak/>
        <w:t>information provided by others.”</w:t>
      </w:r>
      <w:r w:rsidR="00E406BA">
        <w:rPr>
          <w:rStyle w:val="FootnoteReference"/>
          <w:rFonts w:ascii="Times New Roman" w:hAnsi="Times New Roman"/>
          <w:sz w:val="24"/>
        </w:rPr>
        <w:footnoteReference w:id="97"/>
      </w:r>
      <w:r w:rsidR="00C668D8" w:rsidRPr="002B4EB0">
        <w:rPr>
          <w:rFonts w:ascii="Times New Roman" w:hAnsi="Times New Roman"/>
          <w:sz w:val="24"/>
        </w:rPr>
        <w:t xml:space="preserve">  It also states that it was endeavoring </w:t>
      </w:r>
      <w:r w:rsidR="0088789B" w:rsidRPr="002B4EB0">
        <w:rPr>
          <w:rFonts w:ascii="Times New Roman" w:hAnsi="Times New Roman"/>
          <w:sz w:val="24"/>
        </w:rPr>
        <w:t xml:space="preserve">only </w:t>
      </w:r>
      <w:r w:rsidR="003E79C3" w:rsidRPr="002B4EB0">
        <w:rPr>
          <w:rFonts w:ascii="Times New Roman" w:hAnsi="Times New Roman"/>
          <w:sz w:val="24"/>
        </w:rPr>
        <w:t xml:space="preserve">to </w:t>
      </w:r>
      <w:r w:rsidR="00D57C91" w:rsidRPr="002B4EB0">
        <w:rPr>
          <w:rFonts w:ascii="Times New Roman" w:hAnsi="Times New Roman"/>
          <w:sz w:val="24"/>
        </w:rPr>
        <w:t>d</w:t>
      </w:r>
      <w:r w:rsidR="003E79C3" w:rsidRPr="002B4EB0">
        <w:rPr>
          <w:rFonts w:ascii="Times New Roman" w:hAnsi="Times New Roman"/>
          <w:sz w:val="24"/>
        </w:rPr>
        <w:t>etermine,</w:t>
      </w:r>
      <w:r w:rsidR="00C668D8" w:rsidRPr="002B4EB0">
        <w:rPr>
          <w:rFonts w:ascii="Times New Roman" w:hAnsi="Times New Roman"/>
          <w:sz w:val="24"/>
        </w:rPr>
        <w:t xml:space="preserve"> “What assumptions or methods were used to calculate the energy savings reported by PSE?”</w:t>
      </w:r>
      <w:r w:rsidR="00C668D8">
        <w:rPr>
          <w:rStyle w:val="FootnoteReference"/>
          <w:rFonts w:ascii="Times New Roman" w:hAnsi="Times New Roman"/>
          <w:sz w:val="24"/>
        </w:rPr>
        <w:footnoteReference w:id="98"/>
      </w:r>
      <w:r w:rsidR="003E79C3" w:rsidRPr="002B4EB0">
        <w:rPr>
          <w:rFonts w:ascii="Times New Roman" w:hAnsi="Times New Roman"/>
          <w:sz w:val="24"/>
        </w:rPr>
        <w:t xml:space="preserve">  Thus, the r</w:t>
      </w:r>
      <w:r w:rsidR="00D57C91" w:rsidRPr="002B4EB0">
        <w:rPr>
          <w:rFonts w:ascii="Times New Roman" w:hAnsi="Times New Roman"/>
          <w:sz w:val="24"/>
        </w:rPr>
        <w:t xml:space="preserve">eport did not </w:t>
      </w:r>
      <w:r w:rsidR="00AA5BC2" w:rsidRPr="002B4EB0">
        <w:rPr>
          <w:rFonts w:ascii="Times New Roman" w:hAnsi="Times New Roman"/>
          <w:sz w:val="24"/>
        </w:rPr>
        <w:t xml:space="preserve">analyze the energy savings </w:t>
      </w:r>
      <w:r w:rsidR="002D2275" w:rsidRPr="002B4EB0">
        <w:rPr>
          <w:rFonts w:ascii="Times New Roman" w:hAnsi="Times New Roman"/>
          <w:sz w:val="24"/>
        </w:rPr>
        <w:t>that the Company estimated</w:t>
      </w:r>
      <w:r w:rsidR="00C668D8" w:rsidRPr="002B4EB0">
        <w:rPr>
          <w:rFonts w:ascii="Times New Roman" w:hAnsi="Times New Roman"/>
          <w:sz w:val="24"/>
        </w:rPr>
        <w:t xml:space="preserve">.  </w:t>
      </w:r>
    </w:p>
    <w:p w:rsidR="00525A2C" w:rsidRDefault="00525A2C" w:rsidP="002D2275">
      <w:pPr>
        <w:tabs>
          <w:tab w:val="left" w:pos="-1440"/>
          <w:tab w:val="left" w:pos="2160"/>
          <w:tab w:val="left" w:pos="2880"/>
        </w:tabs>
        <w:ind w:left="2880" w:hanging="3690"/>
        <w:rPr>
          <w:rFonts w:ascii="Times New Roman" w:hAnsi="Times New Roman"/>
          <w:b/>
          <w:sz w:val="24"/>
        </w:rPr>
      </w:pPr>
      <w:r>
        <w:rPr>
          <w:rFonts w:ascii="Times New Roman" w:hAnsi="Times New Roman"/>
          <w:sz w:val="24"/>
        </w:rPr>
        <w:tab/>
      </w:r>
      <w:r w:rsidR="002D2275">
        <w:rPr>
          <w:rFonts w:ascii="Times New Roman" w:hAnsi="Times New Roman"/>
          <w:b/>
          <w:sz w:val="24"/>
        </w:rPr>
        <w:t>iii.</w:t>
      </w:r>
      <w:r w:rsidR="002D2275">
        <w:rPr>
          <w:rFonts w:ascii="Times New Roman" w:hAnsi="Times New Roman"/>
          <w:b/>
          <w:sz w:val="24"/>
        </w:rPr>
        <w:tab/>
      </w:r>
      <w:r>
        <w:rPr>
          <w:rFonts w:ascii="Times New Roman" w:hAnsi="Times New Roman"/>
          <w:b/>
          <w:sz w:val="24"/>
        </w:rPr>
        <w:t>The Conservation Phase-In Proposal is not a proper pro forma adjustment because it does not address other factors that affect energy sales</w:t>
      </w:r>
    </w:p>
    <w:p w:rsidR="002D2275" w:rsidRDefault="002D2275" w:rsidP="002D2275">
      <w:pPr>
        <w:tabs>
          <w:tab w:val="left" w:pos="-1440"/>
          <w:tab w:val="left" w:pos="2160"/>
          <w:tab w:val="left" w:pos="2880"/>
        </w:tabs>
        <w:ind w:left="2880" w:hanging="3690"/>
        <w:rPr>
          <w:rFonts w:ascii="Times New Roman" w:hAnsi="Times New Roman"/>
          <w:b/>
          <w:sz w:val="24"/>
        </w:rPr>
      </w:pPr>
    </w:p>
    <w:p w:rsidR="00CA2184"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2D2275" w:rsidRPr="002B4EB0">
        <w:rPr>
          <w:rFonts w:ascii="Times New Roman" w:hAnsi="Times New Roman"/>
          <w:sz w:val="24"/>
        </w:rPr>
        <w:t>Company-sponsored conservation is only one of many factors that influence electricity and natural gas sales.  Other factors incl</w:t>
      </w:r>
      <w:r w:rsidR="00786AC1" w:rsidRPr="002B4EB0">
        <w:rPr>
          <w:rFonts w:ascii="Times New Roman" w:hAnsi="Times New Roman"/>
          <w:sz w:val="24"/>
        </w:rPr>
        <w:t>ude the number of customers served</w:t>
      </w:r>
      <w:r w:rsidR="00C5491C" w:rsidRPr="002B4EB0">
        <w:rPr>
          <w:rFonts w:ascii="Times New Roman" w:hAnsi="Times New Roman"/>
          <w:sz w:val="24"/>
        </w:rPr>
        <w:t xml:space="preserve"> and the average us</w:t>
      </w:r>
      <w:r w:rsidR="002D2275" w:rsidRPr="002B4EB0">
        <w:rPr>
          <w:rFonts w:ascii="Times New Roman" w:hAnsi="Times New Roman"/>
          <w:sz w:val="24"/>
        </w:rPr>
        <w:t>e per customer which can b</w:t>
      </w:r>
      <w:r w:rsidR="00786AC1" w:rsidRPr="002B4EB0">
        <w:rPr>
          <w:rFonts w:ascii="Times New Roman" w:hAnsi="Times New Roman"/>
          <w:sz w:val="24"/>
        </w:rPr>
        <w:t>e impacted by selected end-uses</w:t>
      </w:r>
      <w:r w:rsidR="00CA2184" w:rsidRPr="002B4EB0">
        <w:rPr>
          <w:rFonts w:ascii="Times New Roman" w:hAnsi="Times New Roman"/>
          <w:sz w:val="24"/>
        </w:rPr>
        <w:t xml:space="preserve"> (</w:t>
      </w:r>
      <w:r w:rsidR="002D2275" w:rsidRPr="002B4EB0">
        <w:rPr>
          <w:rFonts w:ascii="Times New Roman" w:hAnsi="Times New Roman"/>
          <w:sz w:val="24"/>
        </w:rPr>
        <w:t xml:space="preserve">such as </w:t>
      </w:r>
      <w:r w:rsidR="00CA2184" w:rsidRPr="002B4EB0">
        <w:rPr>
          <w:rFonts w:ascii="Times New Roman" w:hAnsi="Times New Roman"/>
          <w:sz w:val="24"/>
        </w:rPr>
        <w:t xml:space="preserve">heat, water heat, air conditioning and other </w:t>
      </w:r>
      <w:r w:rsidR="002D2275" w:rsidRPr="002B4EB0">
        <w:rPr>
          <w:rFonts w:ascii="Times New Roman" w:hAnsi="Times New Roman"/>
          <w:sz w:val="24"/>
        </w:rPr>
        <w:t>appliance</w:t>
      </w:r>
      <w:r w:rsidR="00CA2184" w:rsidRPr="002B4EB0">
        <w:rPr>
          <w:rFonts w:ascii="Times New Roman" w:hAnsi="Times New Roman"/>
          <w:sz w:val="24"/>
        </w:rPr>
        <w:t>/device</w:t>
      </w:r>
      <w:r w:rsidR="002D2275" w:rsidRPr="002B4EB0">
        <w:rPr>
          <w:rFonts w:ascii="Times New Roman" w:hAnsi="Times New Roman"/>
          <w:sz w:val="24"/>
        </w:rPr>
        <w:t xml:space="preserve"> choice</w:t>
      </w:r>
      <w:r w:rsidR="00CA2184" w:rsidRPr="002B4EB0">
        <w:rPr>
          <w:rFonts w:ascii="Times New Roman" w:hAnsi="Times New Roman"/>
          <w:sz w:val="24"/>
        </w:rPr>
        <w:t>s)</w:t>
      </w:r>
      <w:r w:rsidR="002D2275" w:rsidRPr="002B4EB0">
        <w:rPr>
          <w:rFonts w:ascii="Times New Roman" w:hAnsi="Times New Roman"/>
          <w:sz w:val="24"/>
        </w:rPr>
        <w:t>, home size, building codes, economic conditions, and customer-financed measures.</w:t>
      </w:r>
      <w:r w:rsidR="002D2275">
        <w:rPr>
          <w:rStyle w:val="FootnoteReference"/>
          <w:rFonts w:ascii="Times New Roman" w:hAnsi="Times New Roman"/>
          <w:sz w:val="24"/>
        </w:rPr>
        <w:footnoteReference w:id="99"/>
      </w:r>
      <w:r w:rsidR="002D2275" w:rsidRPr="002B4EB0">
        <w:rPr>
          <w:rFonts w:ascii="Times New Roman" w:hAnsi="Times New Roman"/>
          <w:sz w:val="24"/>
        </w:rPr>
        <w:t xml:space="preserve">  </w:t>
      </w:r>
    </w:p>
    <w:p w:rsidR="002D2275"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2D2275" w:rsidRPr="002B4EB0">
        <w:rPr>
          <w:rFonts w:ascii="Times New Roman" w:hAnsi="Times New Roman"/>
          <w:sz w:val="24"/>
        </w:rPr>
        <w:t xml:space="preserve">PSE’s Conservation </w:t>
      </w:r>
      <w:r w:rsidR="009F36E4" w:rsidRPr="002B4EB0">
        <w:rPr>
          <w:rFonts w:ascii="Times New Roman" w:hAnsi="Times New Roman"/>
          <w:sz w:val="24"/>
        </w:rPr>
        <w:t xml:space="preserve">Phase-In adjustment </w:t>
      </w:r>
      <w:r w:rsidR="00C5491C" w:rsidRPr="002B4EB0">
        <w:rPr>
          <w:rFonts w:ascii="Times New Roman" w:hAnsi="Times New Roman"/>
          <w:sz w:val="24"/>
        </w:rPr>
        <w:t>selects only one cause for</w:t>
      </w:r>
      <w:r w:rsidR="002D2275" w:rsidRPr="002B4EB0">
        <w:rPr>
          <w:rFonts w:ascii="Times New Roman" w:hAnsi="Times New Roman"/>
          <w:sz w:val="24"/>
        </w:rPr>
        <w:t xml:space="preserve"> changing sales volumes, without accounting for other variables that influence sales.</w:t>
      </w:r>
      <w:r w:rsidR="00CA2184" w:rsidRPr="002B4EB0">
        <w:rPr>
          <w:rFonts w:ascii="Times New Roman" w:hAnsi="Times New Roman"/>
          <w:sz w:val="24"/>
        </w:rPr>
        <w:t xml:space="preserve">  </w:t>
      </w:r>
      <w:r w:rsidR="002D2275" w:rsidRPr="002B4EB0">
        <w:rPr>
          <w:rFonts w:ascii="Times New Roman" w:hAnsi="Times New Roman"/>
          <w:sz w:val="24"/>
        </w:rPr>
        <w:t>Indeed, PSE acknowledged that its proposal will allow it to recover lost margins from conservation even when total household use increases or remains u</w:t>
      </w:r>
      <w:r w:rsidR="00D32C37" w:rsidRPr="002B4EB0">
        <w:rPr>
          <w:rFonts w:ascii="Times New Roman" w:hAnsi="Times New Roman"/>
          <w:sz w:val="24"/>
        </w:rPr>
        <w:t xml:space="preserve">nchanged due to </w:t>
      </w:r>
      <w:r w:rsidR="002D2275" w:rsidRPr="002B4EB0">
        <w:rPr>
          <w:rFonts w:ascii="Times New Roman" w:hAnsi="Times New Roman"/>
          <w:sz w:val="24"/>
        </w:rPr>
        <w:t>new end uses.</w:t>
      </w:r>
      <w:r w:rsidR="002D2275">
        <w:rPr>
          <w:rStyle w:val="FootnoteReference"/>
          <w:rFonts w:ascii="Times New Roman" w:hAnsi="Times New Roman"/>
          <w:sz w:val="24"/>
        </w:rPr>
        <w:footnoteReference w:id="100"/>
      </w:r>
      <w:r w:rsidR="002D2275" w:rsidRPr="002B4EB0">
        <w:rPr>
          <w:rFonts w:ascii="Times New Roman" w:hAnsi="Times New Roman"/>
          <w:sz w:val="24"/>
        </w:rPr>
        <w:t xml:space="preserve">  This, again, is unfair</w:t>
      </w:r>
      <w:r>
        <w:rPr>
          <w:rFonts w:ascii="Times New Roman" w:hAnsi="Times New Roman"/>
          <w:sz w:val="24"/>
        </w:rPr>
        <w:t>,</w:t>
      </w:r>
      <w:r w:rsidR="002D2275" w:rsidRPr="002B4EB0">
        <w:rPr>
          <w:rFonts w:ascii="Times New Roman" w:hAnsi="Times New Roman"/>
          <w:sz w:val="24"/>
        </w:rPr>
        <w:t xml:space="preserve"> and one-sided in PSE’s favor. </w:t>
      </w:r>
    </w:p>
    <w:p w:rsidR="00CA2184" w:rsidRPr="002B4EB0" w:rsidRDefault="002B4EB0" w:rsidP="00C61B17">
      <w:pPr>
        <w:pStyle w:val="ListParagraph"/>
        <w:numPr>
          <w:ilvl w:val="0"/>
          <w:numId w:val="11"/>
        </w:numPr>
        <w:tabs>
          <w:tab w:val="left" w:pos="-1440"/>
        </w:tabs>
        <w:spacing w:line="480" w:lineRule="auto"/>
        <w:rPr>
          <w:rFonts w:ascii="Times New Roman" w:hAnsi="Times New Roman"/>
          <w:b/>
          <w:sz w:val="24"/>
        </w:rPr>
      </w:pPr>
      <w:r>
        <w:rPr>
          <w:rFonts w:ascii="Times New Roman" w:hAnsi="Times New Roman"/>
          <w:sz w:val="24"/>
        </w:rPr>
        <w:tab/>
      </w:r>
      <w:r w:rsidR="00CA2184" w:rsidRPr="002B4EB0">
        <w:rPr>
          <w:rFonts w:ascii="Times New Roman" w:hAnsi="Times New Roman"/>
          <w:sz w:val="24"/>
        </w:rPr>
        <w:t>Finally, even i</w:t>
      </w:r>
      <w:r w:rsidR="00786AC1" w:rsidRPr="002B4EB0">
        <w:rPr>
          <w:rFonts w:ascii="Times New Roman" w:hAnsi="Times New Roman"/>
          <w:sz w:val="24"/>
        </w:rPr>
        <w:t>f the conservation savings occur</w:t>
      </w:r>
      <w:r w:rsidR="00CA2184" w:rsidRPr="002B4EB0">
        <w:rPr>
          <w:rFonts w:ascii="Times New Roman" w:hAnsi="Times New Roman"/>
          <w:sz w:val="24"/>
        </w:rPr>
        <w:t xml:space="preserve"> exactly a</w:t>
      </w:r>
      <w:r w:rsidR="00786AC1" w:rsidRPr="002B4EB0">
        <w:rPr>
          <w:rFonts w:ascii="Times New Roman" w:hAnsi="Times New Roman"/>
          <w:sz w:val="24"/>
        </w:rPr>
        <w:t>s PSE predicts</w:t>
      </w:r>
      <w:r w:rsidR="00CA2184" w:rsidRPr="002B4EB0">
        <w:rPr>
          <w:rFonts w:ascii="Times New Roman" w:hAnsi="Times New Roman"/>
          <w:sz w:val="24"/>
        </w:rPr>
        <w:t>, the Company has not accounted for other offsetting factors, such as reduced labor and maintenance costs, that may have occurred during the test year as a result of decreased load.</w:t>
      </w:r>
      <w:r w:rsidR="00786AC1">
        <w:rPr>
          <w:rStyle w:val="FootnoteReference"/>
          <w:rFonts w:ascii="Times New Roman" w:hAnsi="Times New Roman"/>
          <w:sz w:val="24"/>
        </w:rPr>
        <w:footnoteReference w:id="101"/>
      </w:r>
      <w:r w:rsidR="00CA2184" w:rsidRPr="002B4EB0">
        <w:rPr>
          <w:rFonts w:ascii="Times New Roman" w:hAnsi="Times New Roman"/>
          <w:sz w:val="24"/>
        </w:rPr>
        <w:t xml:space="preserve"> </w:t>
      </w:r>
      <w:r w:rsidR="00AA5BC2" w:rsidRPr="002B4EB0">
        <w:rPr>
          <w:rFonts w:ascii="Times New Roman" w:hAnsi="Times New Roman"/>
          <w:sz w:val="24"/>
        </w:rPr>
        <w:t xml:space="preserve"> Until </w:t>
      </w:r>
      <w:r w:rsidR="00D32C37" w:rsidRPr="002B4EB0">
        <w:rPr>
          <w:rFonts w:ascii="Times New Roman" w:hAnsi="Times New Roman"/>
          <w:sz w:val="24"/>
        </w:rPr>
        <w:t xml:space="preserve">all </w:t>
      </w:r>
      <w:r w:rsidR="00AA5BC2" w:rsidRPr="002B4EB0">
        <w:rPr>
          <w:rFonts w:ascii="Times New Roman" w:hAnsi="Times New Roman"/>
          <w:sz w:val="24"/>
        </w:rPr>
        <w:t xml:space="preserve">offsetting factors have been assessed, the adjustment </w:t>
      </w:r>
      <w:r w:rsidR="006918A2" w:rsidRPr="002B4EB0">
        <w:rPr>
          <w:rFonts w:ascii="Times New Roman" w:hAnsi="Times New Roman"/>
          <w:sz w:val="24"/>
        </w:rPr>
        <w:t>has not been shown to preserve the matching principle of historical test year ratemaking.</w:t>
      </w:r>
      <w:r w:rsidR="00CA2184" w:rsidRPr="002B4EB0">
        <w:rPr>
          <w:rFonts w:ascii="Times New Roman" w:hAnsi="Times New Roman"/>
          <w:sz w:val="24"/>
        </w:rPr>
        <w:t xml:space="preserve"> </w:t>
      </w:r>
    </w:p>
    <w:p w:rsidR="000641C9" w:rsidRDefault="00D57C91" w:rsidP="00D57C91">
      <w:pPr>
        <w:tabs>
          <w:tab w:val="left" w:pos="-1440"/>
        </w:tabs>
        <w:ind w:left="1440" w:hanging="720"/>
        <w:rPr>
          <w:rFonts w:ascii="Times New Roman" w:hAnsi="Times New Roman"/>
          <w:b/>
          <w:sz w:val="24"/>
        </w:rPr>
      </w:pPr>
      <w:r>
        <w:rPr>
          <w:rFonts w:ascii="Times New Roman" w:hAnsi="Times New Roman"/>
          <w:sz w:val="24"/>
        </w:rPr>
        <w:lastRenderedPageBreak/>
        <w:tab/>
      </w:r>
      <w:r w:rsidR="0016154E">
        <w:rPr>
          <w:rFonts w:ascii="Times New Roman" w:hAnsi="Times New Roman"/>
          <w:sz w:val="24"/>
        </w:rPr>
        <w:tab/>
      </w:r>
      <w:r w:rsidR="00525A2C">
        <w:rPr>
          <w:rFonts w:ascii="Times New Roman" w:hAnsi="Times New Roman"/>
          <w:b/>
          <w:sz w:val="24"/>
        </w:rPr>
        <w:t>iv</w:t>
      </w:r>
      <w:r w:rsidR="000641C9" w:rsidRPr="000641C9">
        <w:rPr>
          <w:rFonts w:ascii="Times New Roman" w:hAnsi="Times New Roman"/>
          <w:b/>
          <w:sz w:val="24"/>
        </w:rPr>
        <w:t>.</w:t>
      </w:r>
      <w:r w:rsidR="000641C9" w:rsidRPr="000641C9">
        <w:rPr>
          <w:rFonts w:ascii="Times New Roman" w:hAnsi="Times New Roman"/>
          <w:b/>
          <w:sz w:val="24"/>
        </w:rPr>
        <w:tab/>
      </w:r>
      <w:r w:rsidR="000641C9">
        <w:rPr>
          <w:rFonts w:ascii="Times New Roman" w:hAnsi="Times New Roman"/>
          <w:b/>
          <w:sz w:val="24"/>
        </w:rPr>
        <w:t>The Conservation Phase-In Proposal</w:t>
      </w:r>
      <w:r w:rsidR="00CA0858">
        <w:rPr>
          <w:rFonts w:ascii="Times New Roman" w:hAnsi="Times New Roman"/>
          <w:b/>
          <w:sz w:val="24"/>
        </w:rPr>
        <w:t xml:space="preserve"> attempts t</w:t>
      </w:r>
      <w:r w:rsidR="000641C9">
        <w:rPr>
          <w:rFonts w:ascii="Times New Roman" w:hAnsi="Times New Roman"/>
          <w:b/>
          <w:sz w:val="24"/>
        </w:rPr>
        <w:t>o</w:t>
      </w:r>
      <w:r w:rsidR="00CA0858">
        <w:rPr>
          <w:rFonts w:ascii="Times New Roman" w:hAnsi="Times New Roman"/>
          <w:b/>
          <w:sz w:val="24"/>
        </w:rPr>
        <w:t xml:space="preserve"> address </w:t>
      </w:r>
      <w:r w:rsidR="0016154E">
        <w:rPr>
          <w:rFonts w:ascii="Times New Roman" w:hAnsi="Times New Roman"/>
          <w:b/>
          <w:sz w:val="24"/>
        </w:rPr>
        <w:tab/>
      </w:r>
      <w:r w:rsidR="0016154E">
        <w:rPr>
          <w:rFonts w:ascii="Times New Roman" w:hAnsi="Times New Roman"/>
          <w:b/>
          <w:sz w:val="24"/>
        </w:rPr>
        <w:tab/>
      </w:r>
      <w:r w:rsidR="004F14D8">
        <w:rPr>
          <w:rFonts w:ascii="Times New Roman" w:hAnsi="Times New Roman"/>
          <w:b/>
          <w:sz w:val="24"/>
        </w:rPr>
        <w:t>an</w:t>
      </w:r>
      <w:r w:rsidR="00CA0858">
        <w:rPr>
          <w:rFonts w:ascii="Times New Roman" w:hAnsi="Times New Roman"/>
          <w:b/>
          <w:sz w:val="24"/>
        </w:rPr>
        <w:t xml:space="preserve"> issue that has not been shown to be material</w:t>
      </w:r>
    </w:p>
    <w:p w:rsidR="00CA0858" w:rsidRDefault="00CA0858" w:rsidP="00CA0858">
      <w:pPr>
        <w:tabs>
          <w:tab w:val="left" w:pos="-1440"/>
        </w:tabs>
        <w:ind w:left="1440" w:hanging="1440"/>
        <w:rPr>
          <w:rFonts w:ascii="Times New Roman" w:hAnsi="Times New Roman"/>
          <w:b/>
          <w:sz w:val="24"/>
        </w:rPr>
      </w:pPr>
    </w:p>
    <w:p w:rsidR="00407FC6"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CA0858" w:rsidRPr="002B4EB0">
        <w:rPr>
          <w:rFonts w:ascii="Times New Roman" w:hAnsi="Times New Roman"/>
          <w:sz w:val="24"/>
        </w:rPr>
        <w:t>The Compan</w:t>
      </w:r>
      <w:r w:rsidR="003E79C3" w:rsidRPr="002B4EB0">
        <w:rPr>
          <w:rFonts w:ascii="Times New Roman" w:hAnsi="Times New Roman"/>
          <w:sz w:val="24"/>
        </w:rPr>
        <w:t>y agree</w:t>
      </w:r>
      <w:r w:rsidR="00CA0858" w:rsidRPr="002B4EB0">
        <w:rPr>
          <w:rFonts w:ascii="Times New Roman" w:hAnsi="Times New Roman"/>
          <w:sz w:val="24"/>
        </w:rPr>
        <w:t>d that annualizing adjustments should capture significa</w:t>
      </w:r>
      <w:r w:rsidR="00D32C37" w:rsidRPr="002B4EB0">
        <w:rPr>
          <w:rFonts w:ascii="Times New Roman" w:hAnsi="Times New Roman"/>
          <w:sz w:val="24"/>
        </w:rPr>
        <w:t>nt changes in us</w:t>
      </w:r>
      <w:r w:rsidR="00AA5BC2" w:rsidRPr="002B4EB0">
        <w:rPr>
          <w:rFonts w:ascii="Times New Roman" w:hAnsi="Times New Roman"/>
          <w:sz w:val="24"/>
        </w:rPr>
        <w:t xml:space="preserve">e by </w:t>
      </w:r>
      <w:r w:rsidR="00CA0858" w:rsidRPr="002B4EB0">
        <w:rPr>
          <w:rFonts w:ascii="Times New Roman" w:hAnsi="Times New Roman"/>
          <w:sz w:val="24"/>
        </w:rPr>
        <w:t>customers.</w:t>
      </w:r>
      <w:r w:rsidR="00CA0858">
        <w:rPr>
          <w:rStyle w:val="FootnoteReference"/>
          <w:rFonts w:ascii="Times New Roman" w:hAnsi="Times New Roman"/>
          <w:sz w:val="24"/>
        </w:rPr>
        <w:footnoteReference w:id="102"/>
      </w:r>
      <w:r w:rsidR="00E818C9" w:rsidRPr="002B4EB0">
        <w:rPr>
          <w:rFonts w:ascii="Times New Roman" w:hAnsi="Times New Roman"/>
          <w:sz w:val="24"/>
        </w:rPr>
        <w:t xml:space="preserve">  C</w:t>
      </w:r>
      <w:r w:rsidR="00D32C37" w:rsidRPr="002B4EB0">
        <w:rPr>
          <w:rFonts w:ascii="Times New Roman" w:hAnsi="Times New Roman"/>
          <w:sz w:val="24"/>
        </w:rPr>
        <w:t>hanges in us</w:t>
      </w:r>
      <w:r w:rsidR="00AA5BC2" w:rsidRPr="002B4EB0">
        <w:rPr>
          <w:rFonts w:ascii="Times New Roman" w:hAnsi="Times New Roman"/>
          <w:sz w:val="24"/>
        </w:rPr>
        <w:t xml:space="preserve">e </w:t>
      </w:r>
      <w:r w:rsidR="00CA0858" w:rsidRPr="002B4EB0">
        <w:rPr>
          <w:rFonts w:ascii="Times New Roman" w:hAnsi="Times New Roman"/>
          <w:sz w:val="24"/>
        </w:rPr>
        <w:t>fr</w:t>
      </w:r>
      <w:r w:rsidR="001D1F32" w:rsidRPr="002B4EB0">
        <w:rPr>
          <w:rFonts w:ascii="Times New Roman" w:hAnsi="Times New Roman"/>
          <w:sz w:val="24"/>
        </w:rPr>
        <w:t xml:space="preserve">om conservation </w:t>
      </w:r>
      <w:r w:rsidR="00E818C9" w:rsidRPr="002B4EB0">
        <w:rPr>
          <w:rFonts w:ascii="Times New Roman" w:hAnsi="Times New Roman"/>
          <w:sz w:val="24"/>
        </w:rPr>
        <w:t>changed PSE’s</w:t>
      </w:r>
      <w:r w:rsidR="00CA0858" w:rsidRPr="002B4EB0">
        <w:rPr>
          <w:rFonts w:ascii="Times New Roman" w:hAnsi="Times New Roman"/>
          <w:sz w:val="24"/>
        </w:rPr>
        <w:t xml:space="preserve"> original revenue requirement by </w:t>
      </w:r>
      <w:r w:rsidR="001D1F32" w:rsidRPr="002B4EB0">
        <w:rPr>
          <w:rFonts w:ascii="Times New Roman" w:hAnsi="Times New Roman"/>
          <w:sz w:val="24"/>
        </w:rPr>
        <w:t xml:space="preserve">only </w:t>
      </w:r>
      <w:r w:rsidR="00DC08AA" w:rsidRPr="002B4EB0">
        <w:rPr>
          <w:rFonts w:ascii="Times New Roman" w:hAnsi="Times New Roman"/>
          <w:sz w:val="24"/>
        </w:rPr>
        <w:t>0</w:t>
      </w:r>
      <w:r w:rsidR="00CA0858" w:rsidRPr="002B4EB0">
        <w:rPr>
          <w:rFonts w:ascii="Times New Roman" w:hAnsi="Times New Roman"/>
          <w:sz w:val="24"/>
        </w:rPr>
        <w:t>.25 percent.</w:t>
      </w:r>
      <w:r w:rsidR="00CA0858">
        <w:rPr>
          <w:rStyle w:val="FootnoteReference"/>
          <w:rFonts w:ascii="Times New Roman" w:hAnsi="Times New Roman"/>
          <w:sz w:val="24"/>
        </w:rPr>
        <w:footnoteReference w:id="103"/>
      </w:r>
      <w:r w:rsidR="00CA0858" w:rsidRPr="002B4EB0">
        <w:rPr>
          <w:rFonts w:ascii="Times New Roman" w:hAnsi="Times New Roman"/>
          <w:sz w:val="24"/>
        </w:rPr>
        <w:t xml:space="preserve">  Therefore, the Conservation Phase-In adjustment is</w:t>
      </w:r>
      <w:r w:rsidR="00D57C91" w:rsidRPr="002B4EB0">
        <w:rPr>
          <w:rFonts w:ascii="Times New Roman" w:hAnsi="Times New Roman"/>
          <w:sz w:val="24"/>
        </w:rPr>
        <w:t xml:space="preserve"> not necessary under PSE</w:t>
      </w:r>
      <w:r w:rsidR="00E818C9" w:rsidRPr="002B4EB0">
        <w:rPr>
          <w:rFonts w:ascii="Times New Roman" w:hAnsi="Times New Roman"/>
          <w:sz w:val="24"/>
        </w:rPr>
        <w:t>’s own standard</w:t>
      </w:r>
      <w:r w:rsidR="00CA0858" w:rsidRPr="002B4EB0">
        <w:rPr>
          <w:rFonts w:ascii="Times New Roman" w:hAnsi="Times New Roman"/>
          <w:sz w:val="24"/>
        </w:rPr>
        <w:t>.</w:t>
      </w:r>
      <w:r w:rsidR="00F55169" w:rsidRPr="002B4EB0">
        <w:rPr>
          <w:rFonts w:ascii="Times New Roman" w:hAnsi="Times New Roman"/>
          <w:sz w:val="24"/>
        </w:rPr>
        <w:t xml:space="preserve">  </w:t>
      </w:r>
    </w:p>
    <w:p w:rsidR="004F14D8"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D32C37" w:rsidRPr="002B4EB0">
        <w:rPr>
          <w:rFonts w:ascii="Times New Roman" w:hAnsi="Times New Roman"/>
          <w:sz w:val="24"/>
        </w:rPr>
        <w:t xml:space="preserve">PSE also </w:t>
      </w:r>
      <w:r w:rsidR="00F55169" w:rsidRPr="002B4EB0">
        <w:rPr>
          <w:rFonts w:ascii="Times New Roman" w:hAnsi="Times New Roman"/>
          <w:sz w:val="24"/>
        </w:rPr>
        <w:t xml:space="preserve">admitted that the adjustment will not cure its disincentive to invest in conservation because the proposal does not break the link between revenues and </w:t>
      </w:r>
      <w:r w:rsidR="00EA6DDE" w:rsidRPr="002B4EB0">
        <w:rPr>
          <w:rFonts w:ascii="Times New Roman" w:hAnsi="Times New Roman"/>
          <w:sz w:val="24"/>
        </w:rPr>
        <w:t xml:space="preserve">retail </w:t>
      </w:r>
      <w:r w:rsidR="00D57C91" w:rsidRPr="002B4EB0">
        <w:rPr>
          <w:rFonts w:ascii="Times New Roman" w:hAnsi="Times New Roman"/>
          <w:sz w:val="24"/>
        </w:rPr>
        <w:t>sales</w:t>
      </w:r>
      <w:r w:rsidR="00F55169" w:rsidRPr="002B4EB0">
        <w:rPr>
          <w:rFonts w:ascii="Times New Roman" w:hAnsi="Times New Roman"/>
          <w:sz w:val="24"/>
        </w:rPr>
        <w:t>.</w:t>
      </w:r>
      <w:r w:rsidR="00F55169">
        <w:rPr>
          <w:rStyle w:val="FootnoteReference"/>
          <w:rFonts w:ascii="Times New Roman" w:hAnsi="Times New Roman"/>
          <w:sz w:val="24"/>
        </w:rPr>
        <w:footnoteReference w:id="104"/>
      </w:r>
      <w:r w:rsidR="00323AED" w:rsidRPr="002B4EB0">
        <w:rPr>
          <w:rFonts w:ascii="Times New Roman" w:hAnsi="Times New Roman"/>
          <w:sz w:val="24"/>
        </w:rPr>
        <w:t xml:space="preserve">  That a</w:t>
      </w:r>
      <w:r w:rsidR="00D32C37" w:rsidRPr="002B4EB0">
        <w:rPr>
          <w:rFonts w:ascii="Times New Roman" w:hAnsi="Times New Roman"/>
          <w:sz w:val="24"/>
        </w:rPr>
        <w:t>dmission renders irrelevant Company</w:t>
      </w:r>
      <w:r w:rsidR="00323AED" w:rsidRPr="002B4EB0">
        <w:rPr>
          <w:rFonts w:ascii="Times New Roman" w:hAnsi="Times New Roman"/>
          <w:sz w:val="24"/>
        </w:rPr>
        <w:t xml:space="preserve"> testimony that this case provides a “perfect oppor</w:t>
      </w:r>
      <w:r w:rsidR="001D1F32" w:rsidRPr="002B4EB0">
        <w:rPr>
          <w:rFonts w:ascii="Times New Roman" w:hAnsi="Times New Roman"/>
          <w:sz w:val="24"/>
        </w:rPr>
        <w:t xml:space="preserve">tunity” for the Commission to </w:t>
      </w:r>
      <w:r w:rsidR="00323AED" w:rsidRPr="002B4EB0">
        <w:rPr>
          <w:rFonts w:ascii="Times New Roman" w:hAnsi="Times New Roman"/>
          <w:sz w:val="24"/>
        </w:rPr>
        <w:t>formulate policy and approve mechanisms that remove utility disincentives to invest in conservation.</w:t>
      </w:r>
      <w:r w:rsidR="00323AED">
        <w:rPr>
          <w:rStyle w:val="FootnoteReference"/>
          <w:rFonts w:ascii="Times New Roman" w:hAnsi="Times New Roman"/>
          <w:sz w:val="24"/>
        </w:rPr>
        <w:footnoteReference w:id="105"/>
      </w:r>
    </w:p>
    <w:p w:rsidR="004F14D8"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4F14D8" w:rsidRPr="002B4EB0">
        <w:rPr>
          <w:rFonts w:ascii="Times New Roman" w:hAnsi="Times New Roman"/>
          <w:sz w:val="24"/>
        </w:rPr>
        <w:t>PSE now argues that the Conservation Phase-In adjustment is “material” to the Company’s finances.</w:t>
      </w:r>
      <w:r w:rsidR="004F14D8">
        <w:rPr>
          <w:rStyle w:val="FootnoteReference"/>
          <w:rFonts w:ascii="Times New Roman" w:hAnsi="Times New Roman"/>
          <w:sz w:val="24"/>
        </w:rPr>
        <w:footnoteReference w:id="106"/>
      </w:r>
      <w:r w:rsidR="004F14D8" w:rsidRPr="002B4EB0">
        <w:rPr>
          <w:rFonts w:ascii="Times New Roman" w:hAnsi="Times New Roman"/>
          <w:sz w:val="24"/>
        </w:rPr>
        <w:t xml:space="preserve">  However, it provided no </w:t>
      </w:r>
      <w:r w:rsidR="00F55169" w:rsidRPr="002B4EB0">
        <w:rPr>
          <w:rFonts w:ascii="Times New Roman" w:hAnsi="Times New Roman"/>
          <w:sz w:val="24"/>
        </w:rPr>
        <w:t xml:space="preserve">analysis </w:t>
      </w:r>
      <w:r w:rsidR="004F14D8" w:rsidRPr="002B4EB0">
        <w:rPr>
          <w:rFonts w:ascii="Times New Roman" w:hAnsi="Times New Roman"/>
          <w:sz w:val="24"/>
        </w:rPr>
        <w:t>to support that allegation.</w:t>
      </w:r>
      <w:r w:rsidR="004F14D8" w:rsidRPr="002B4EB0">
        <w:rPr>
          <w:rFonts w:ascii="Times New Roman" w:hAnsi="Times New Roman"/>
          <w:sz w:val="24"/>
        </w:rPr>
        <w:tab/>
      </w:r>
    </w:p>
    <w:p w:rsidR="004F14D8"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4F14D8" w:rsidRPr="002B4EB0">
        <w:rPr>
          <w:rFonts w:ascii="Times New Roman" w:hAnsi="Times New Roman"/>
          <w:sz w:val="24"/>
        </w:rPr>
        <w:t>The Company argues that co</w:t>
      </w:r>
      <w:r w:rsidR="00407FC6" w:rsidRPr="002B4EB0">
        <w:rPr>
          <w:rFonts w:ascii="Times New Roman" w:hAnsi="Times New Roman"/>
          <w:sz w:val="24"/>
        </w:rPr>
        <w:t>nservation in 2007 and 2008 was</w:t>
      </w:r>
      <w:r w:rsidR="004F14D8" w:rsidRPr="002B4EB0">
        <w:rPr>
          <w:rFonts w:ascii="Times New Roman" w:hAnsi="Times New Roman"/>
          <w:sz w:val="24"/>
        </w:rPr>
        <w:t xml:space="preserve"> projected to result in lost margins of $34 million and lost revenues of $46 million.</w:t>
      </w:r>
      <w:r w:rsidR="004F14D8">
        <w:rPr>
          <w:rStyle w:val="FootnoteReference"/>
          <w:rFonts w:ascii="Times New Roman" w:hAnsi="Times New Roman"/>
          <w:sz w:val="24"/>
        </w:rPr>
        <w:footnoteReference w:id="107"/>
      </w:r>
      <w:r w:rsidR="00FD0E75" w:rsidRPr="002B4EB0">
        <w:rPr>
          <w:rFonts w:ascii="Times New Roman" w:hAnsi="Times New Roman"/>
          <w:sz w:val="24"/>
        </w:rPr>
        <w:t xml:space="preserve">  However, </w:t>
      </w:r>
      <w:r w:rsidR="00D57C91" w:rsidRPr="002B4EB0">
        <w:rPr>
          <w:rFonts w:ascii="Times New Roman" w:hAnsi="Times New Roman"/>
          <w:sz w:val="24"/>
        </w:rPr>
        <w:t>PSE</w:t>
      </w:r>
      <w:r w:rsidR="00FD0E75" w:rsidRPr="002B4EB0">
        <w:rPr>
          <w:rFonts w:ascii="Times New Roman" w:hAnsi="Times New Roman"/>
          <w:sz w:val="24"/>
        </w:rPr>
        <w:t xml:space="preserve"> provide</w:t>
      </w:r>
      <w:r w:rsidR="001E5A2A" w:rsidRPr="002B4EB0">
        <w:rPr>
          <w:rFonts w:ascii="Times New Roman" w:hAnsi="Times New Roman"/>
          <w:sz w:val="24"/>
        </w:rPr>
        <w:t xml:space="preserve">d no support for those </w:t>
      </w:r>
      <w:r w:rsidR="00FD0E75" w:rsidRPr="002B4EB0">
        <w:rPr>
          <w:rFonts w:ascii="Times New Roman" w:hAnsi="Times New Roman"/>
          <w:sz w:val="24"/>
        </w:rPr>
        <w:t>amounts.</w:t>
      </w:r>
      <w:r w:rsidR="00FD0E75">
        <w:rPr>
          <w:rStyle w:val="FootnoteReference"/>
          <w:rFonts w:ascii="Times New Roman" w:hAnsi="Times New Roman"/>
          <w:sz w:val="24"/>
        </w:rPr>
        <w:footnoteReference w:id="108"/>
      </w:r>
      <w:r w:rsidR="00FD0E75" w:rsidRPr="002B4EB0">
        <w:rPr>
          <w:rFonts w:ascii="Times New Roman" w:hAnsi="Times New Roman"/>
          <w:sz w:val="24"/>
        </w:rPr>
        <w:t xml:space="preserve">  </w:t>
      </w:r>
      <w:r w:rsidR="00D57C91" w:rsidRPr="002B4EB0">
        <w:rPr>
          <w:rFonts w:ascii="Times New Roman" w:hAnsi="Times New Roman"/>
          <w:sz w:val="24"/>
        </w:rPr>
        <w:t xml:space="preserve">Its first attempt </w:t>
      </w:r>
      <w:r w:rsidR="00FD0E75" w:rsidRPr="002B4EB0">
        <w:rPr>
          <w:rFonts w:ascii="Times New Roman" w:hAnsi="Times New Roman"/>
          <w:sz w:val="24"/>
        </w:rPr>
        <w:t xml:space="preserve">to explain </w:t>
      </w:r>
      <w:r w:rsidR="001E5A2A" w:rsidRPr="002B4EB0">
        <w:rPr>
          <w:rFonts w:ascii="Times New Roman" w:hAnsi="Times New Roman"/>
          <w:sz w:val="24"/>
        </w:rPr>
        <w:t xml:space="preserve">the derivation </w:t>
      </w:r>
      <w:r w:rsidR="00FD0E75" w:rsidRPr="002B4EB0">
        <w:rPr>
          <w:rFonts w:ascii="Times New Roman" w:hAnsi="Times New Roman"/>
          <w:sz w:val="24"/>
        </w:rPr>
        <w:t>did not occur until the hearing</w:t>
      </w:r>
      <w:r w:rsidR="0080582E" w:rsidRPr="002B4EB0">
        <w:rPr>
          <w:rFonts w:ascii="Times New Roman" w:hAnsi="Times New Roman"/>
          <w:sz w:val="24"/>
        </w:rPr>
        <w:t>.</w:t>
      </w:r>
      <w:r w:rsidR="00FD0E75">
        <w:rPr>
          <w:rStyle w:val="FootnoteReference"/>
          <w:rFonts w:ascii="Times New Roman" w:hAnsi="Times New Roman"/>
          <w:sz w:val="24"/>
        </w:rPr>
        <w:footnoteReference w:id="109"/>
      </w:r>
      <w:r w:rsidR="00FD0E75" w:rsidRPr="002B4EB0">
        <w:rPr>
          <w:rFonts w:ascii="Times New Roman" w:hAnsi="Times New Roman"/>
          <w:sz w:val="24"/>
        </w:rPr>
        <w:t xml:space="preserve">  Even then, the Company’s explan</w:t>
      </w:r>
      <w:r w:rsidR="006918A2" w:rsidRPr="002B4EB0">
        <w:rPr>
          <w:rFonts w:ascii="Times New Roman" w:hAnsi="Times New Roman"/>
          <w:sz w:val="24"/>
        </w:rPr>
        <w:t>ation proved ineffective</w:t>
      </w:r>
      <w:r w:rsidR="00FD0E75" w:rsidRPr="002B4EB0">
        <w:rPr>
          <w:rFonts w:ascii="Times New Roman" w:hAnsi="Times New Roman"/>
          <w:sz w:val="24"/>
        </w:rPr>
        <w:t>.</w:t>
      </w:r>
      <w:r w:rsidR="00FD0E75">
        <w:rPr>
          <w:rStyle w:val="FootnoteReference"/>
          <w:rFonts w:ascii="Times New Roman" w:hAnsi="Times New Roman"/>
          <w:sz w:val="24"/>
        </w:rPr>
        <w:footnoteReference w:id="110"/>
      </w:r>
    </w:p>
    <w:p w:rsidR="00CA0858" w:rsidRPr="002B4EB0" w:rsidRDefault="002B4EB0" w:rsidP="00C61B17">
      <w:pPr>
        <w:pStyle w:val="ListParagraph"/>
        <w:numPr>
          <w:ilvl w:val="0"/>
          <w:numId w:val="11"/>
        </w:numPr>
        <w:tabs>
          <w:tab w:val="left" w:pos="-1440"/>
        </w:tabs>
        <w:spacing w:line="480" w:lineRule="auto"/>
        <w:rPr>
          <w:rFonts w:ascii="Times New Roman" w:hAnsi="Times New Roman"/>
          <w:b/>
          <w:sz w:val="24"/>
        </w:rPr>
      </w:pPr>
      <w:r>
        <w:rPr>
          <w:rFonts w:ascii="Times New Roman" w:hAnsi="Times New Roman"/>
          <w:sz w:val="24"/>
        </w:rPr>
        <w:lastRenderedPageBreak/>
        <w:tab/>
      </w:r>
      <w:r w:rsidR="006918A2" w:rsidRPr="002B4EB0">
        <w:rPr>
          <w:rFonts w:ascii="Times New Roman" w:hAnsi="Times New Roman"/>
          <w:sz w:val="24"/>
        </w:rPr>
        <w:t xml:space="preserve">Finally, PSE </w:t>
      </w:r>
      <w:r w:rsidR="00A87D70" w:rsidRPr="002B4EB0">
        <w:rPr>
          <w:rFonts w:ascii="Times New Roman" w:hAnsi="Times New Roman"/>
          <w:sz w:val="24"/>
        </w:rPr>
        <w:t xml:space="preserve">states that Blue Ridge </w:t>
      </w:r>
      <w:r w:rsidR="00BE1F92" w:rsidRPr="002B4EB0">
        <w:rPr>
          <w:rFonts w:ascii="Times New Roman" w:hAnsi="Times New Roman"/>
          <w:sz w:val="24"/>
        </w:rPr>
        <w:t>“</w:t>
      </w:r>
      <w:r w:rsidR="00A87D70" w:rsidRPr="002B4EB0">
        <w:rPr>
          <w:rFonts w:ascii="Times New Roman" w:hAnsi="Times New Roman"/>
          <w:sz w:val="24"/>
        </w:rPr>
        <w:t>confirmed</w:t>
      </w:r>
      <w:r w:rsidR="00BE1F92" w:rsidRPr="002B4EB0">
        <w:rPr>
          <w:rFonts w:ascii="Times New Roman" w:hAnsi="Times New Roman"/>
          <w:sz w:val="24"/>
        </w:rPr>
        <w:t>”</w:t>
      </w:r>
      <w:r w:rsidR="00A87D70" w:rsidRPr="002B4EB0">
        <w:rPr>
          <w:rFonts w:ascii="Times New Roman" w:hAnsi="Times New Roman"/>
          <w:sz w:val="24"/>
        </w:rPr>
        <w:t xml:space="preserve"> the lost margin and lost revenue amounts</w:t>
      </w:r>
      <w:r w:rsidR="003E79C3" w:rsidRPr="002B4EB0">
        <w:rPr>
          <w:rFonts w:ascii="Times New Roman" w:hAnsi="Times New Roman"/>
          <w:sz w:val="24"/>
        </w:rPr>
        <w:t xml:space="preserve"> alleged </w:t>
      </w:r>
      <w:r w:rsidR="00A87D70" w:rsidRPr="002B4EB0">
        <w:rPr>
          <w:rFonts w:ascii="Times New Roman" w:hAnsi="Times New Roman"/>
          <w:sz w:val="24"/>
        </w:rPr>
        <w:t>for 2007 an</w:t>
      </w:r>
      <w:r w:rsidR="006918A2" w:rsidRPr="002B4EB0">
        <w:rPr>
          <w:rFonts w:ascii="Times New Roman" w:hAnsi="Times New Roman"/>
          <w:sz w:val="24"/>
        </w:rPr>
        <w:t>d 2008.  It became clear</w:t>
      </w:r>
      <w:r w:rsidR="00A87D70" w:rsidRPr="002B4EB0">
        <w:rPr>
          <w:rFonts w:ascii="Times New Roman" w:hAnsi="Times New Roman"/>
          <w:sz w:val="24"/>
        </w:rPr>
        <w:t xml:space="preserve">, however, that Blue Ridge confirmed nothing.  It merely </w:t>
      </w:r>
      <w:r w:rsidR="00BE1F92" w:rsidRPr="002B4EB0">
        <w:rPr>
          <w:rFonts w:ascii="Times New Roman" w:hAnsi="Times New Roman"/>
          <w:sz w:val="24"/>
        </w:rPr>
        <w:t>accept</w:t>
      </w:r>
      <w:r w:rsidR="00A87D70" w:rsidRPr="002B4EB0">
        <w:rPr>
          <w:rFonts w:ascii="Times New Roman" w:hAnsi="Times New Roman"/>
          <w:sz w:val="24"/>
        </w:rPr>
        <w:t xml:space="preserve">ed </w:t>
      </w:r>
      <w:r w:rsidR="00BE1F92" w:rsidRPr="002B4EB0">
        <w:rPr>
          <w:rFonts w:ascii="Times New Roman" w:hAnsi="Times New Roman"/>
          <w:sz w:val="24"/>
        </w:rPr>
        <w:t xml:space="preserve">without objection or analysis the </w:t>
      </w:r>
      <w:r w:rsidR="00D32C37" w:rsidRPr="002B4EB0">
        <w:rPr>
          <w:rFonts w:ascii="Times New Roman" w:hAnsi="Times New Roman"/>
          <w:sz w:val="24"/>
        </w:rPr>
        <w:t xml:space="preserve">same </w:t>
      </w:r>
      <w:r w:rsidR="00A87D70" w:rsidRPr="002B4EB0">
        <w:rPr>
          <w:rFonts w:ascii="Times New Roman" w:hAnsi="Times New Roman"/>
          <w:sz w:val="24"/>
        </w:rPr>
        <w:t>amounts provided by PSE that have been shown on this record to have no</w:t>
      </w:r>
      <w:r w:rsidR="00BE1F92" w:rsidRPr="002B4EB0">
        <w:rPr>
          <w:rFonts w:ascii="Times New Roman" w:hAnsi="Times New Roman"/>
          <w:sz w:val="24"/>
        </w:rPr>
        <w:t xml:space="preserve"> support.</w:t>
      </w:r>
      <w:r w:rsidR="00BE1F92">
        <w:rPr>
          <w:rStyle w:val="FootnoteReference"/>
          <w:rFonts w:ascii="Times New Roman" w:hAnsi="Times New Roman"/>
          <w:sz w:val="24"/>
        </w:rPr>
        <w:footnoteReference w:id="111"/>
      </w:r>
      <w:r w:rsidR="00BE1F92" w:rsidRPr="002B4EB0">
        <w:rPr>
          <w:rFonts w:ascii="Times New Roman" w:hAnsi="Times New Roman"/>
          <w:sz w:val="24"/>
        </w:rPr>
        <w:t xml:space="preserve">  </w:t>
      </w:r>
    </w:p>
    <w:p w:rsidR="00DA554C" w:rsidRDefault="00DA554C" w:rsidP="00DA554C">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b. </w:t>
      </w:r>
      <w:r>
        <w:rPr>
          <w:rFonts w:ascii="Times New Roman" w:hAnsi="Times New Roman"/>
          <w:b/>
          <w:sz w:val="24"/>
        </w:rPr>
        <w:tab/>
      </w:r>
      <w:r w:rsidRPr="00BA1272">
        <w:rPr>
          <w:rFonts w:ascii="Times New Roman" w:hAnsi="Times New Roman"/>
          <w:b/>
          <w:sz w:val="24"/>
        </w:rPr>
        <w:t>10.05</w:t>
      </w:r>
      <w:r>
        <w:rPr>
          <w:rFonts w:ascii="Times New Roman" w:hAnsi="Times New Roman"/>
          <w:b/>
          <w:sz w:val="24"/>
        </w:rPr>
        <w:t xml:space="preserve"> and 9.05, </w:t>
      </w:r>
      <w:r w:rsidRPr="00BA1272">
        <w:rPr>
          <w:rFonts w:ascii="Times New Roman" w:hAnsi="Times New Roman"/>
          <w:b/>
          <w:sz w:val="24"/>
        </w:rPr>
        <w:t>Tax Benefits of Pro Forma Interest</w:t>
      </w:r>
    </w:p>
    <w:p w:rsidR="00B11937"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B11937" w:rsidRPr="002B4EB0">
        <w:rPr>
          <w:rFonts w:ascii="Times New Roman" w:hAnsi="Times New Roman"/>
          <w:sz w:val="24"/>
        </w:rPr>
        <w:t xml:space="preserve">The </w:t>
      </w:r>
      <w:r w:rsidR="00C11A69" w:rsidRPr="002B4EB0">
        <w:rPr>
          <w:rFonts w:ascii="Times New Roman" w:hAnsi="Times New Roman"/>
          <w:sz w:val="24"/>
        </w:rPr>
        <w:t>difference between</w:t>
      </w:r>
      <w:r w:rsidR="00B44D61" w:rsidRPr="002B4EB0">
        <w:rPr>
          <w:rFonts w:ascii="Times New Roman" w:hAnsi="Times New Roman"/>
          <w:sz w:val="24"/>
        </w:rPr>
        <w:t xml:space="preserve"> </w:t>
      </w:r>
      <w:r w:rsidR="00C11A69" w:rsidRPr="002B4EB0">
        <w:rPr>
          <w:rFonts w:ascii="Times New Roman" w:hAnsi="Times New Roman"/>
          <w:sz w:val="24"/>
        </w:rPr>
        <w:t xml:space="preserve">Staff and PSE </w:t>
      </w:r>
      <w:r w:rsidR="00B11937" w:rsidRPr="002B4EB0">
        <w:rPr>
          <w:rFonts w:ascii="Times New Roman" w:hAnsi="Times New Roman"/>
          <w:sz w:val="24"/>
        </w:rPr>
        <w:t>relates to other contested adjustmen</w:t>
      </w:r>
      <w:r w:rsidR="002F22E2" w:rsidRPr="002B4EB0">
        <w:rPr>
          <w:rFonts w:ascii="Times New Roman" w:hAnsi="Times New Roman"/>
          <w:sz w:val="24"/>
        </w:rPr>
        <w:t xml:space="preserve">ts that affect rate base </w:t>
      </w:r>
      <w:r w:rsidR="002C4DFC" w:rsidRPr="002B4EB0">
        <w:rPr>
          <w:rFonts w:ascii="Times New Roman" w:hAnsi="Times New Roman"/>
          <w:sz w:val="24"/>
        </w:rPr>
        <w:t xml:space="preserve">and the </w:t>
      </w:r>
      <w:r w:rsidR="00CC63C7" w:rsidRPr="002B4EB0">
        <w:rPr>
          <w:rFonts w:ascii="Times New Roman" w:hAnsi="Times New Roman"/>
          <w:sz w:val="24"/>
        </w:rPr>
        <w:t>weighted cost of debt.  N</w:t>
      </w:r>
      <w:r w:rsidR="00B11937" w:rsidRPr="002B4EB0">
        <w:rPr>
          <w:rFonts w:ascii="Times New Roman" w:hAnsi="Times New Roman"/>
          <w:sz w:val="24"/>
        </w:rPr>
        <w:t>o further discussion is included here.</w:t>
      </w:r>
    </w:p>
    <w:p w:rsidR="00DA554C" w:rsidRPr="009045E1" w:rsidRDefault="002B4EB0" w:rsidP="002B4EB0">
      <w:pPr>
        <w:pStyle w:val="ListParagraph"/>
        <w:tabs>
          <w:tab w:val="left" w:pos="-1440"/>
        </w:tabs>
        <w:spacing w:line="480" w:lineRule="auto"/>
        <w:ind w:left="0"/>
        <w:rPr>
          <w:rFonts w:ascii="Times New Roman" w:hAnsi="Times New Roman"/>
          <w:b/>
          <w:sz w:val="24"/>
        </w:rPr>
      </w:pPr>
      <w:r>
        <w:rPr>
          <w:rFonts w:ascii="Times New Roman" w:hAnsi="Times New Roman"/>
          <w:b/>
          <w:sz w:val="24"/>
        </w:rPr>
        <w:tab/>
      </w:r>
      <w:r>
        <w:rPr>
          <w:rFonts w:ascii="Times New Roman" w:hAnsi="Times New Roman"/>
          <w:b/>
          <w:sz w:val="24"/>
        </w:rPr>
        <w:tab/>
        <w:t>c.</w:t>
      </w:r>
      <w:r>
        <w:rPr>
          <w:rFonts w:ascii="Times New Roman" w:hAnsi="Times New Roman"/>
          <w:b/>
          <w:sz w:val="24"/>
        </w:rPr>
        <w:tab/>
      </w:r>
      <w:r w:rsidR="00DA554C" w:rsidRPr="009045E1">
        <w:rPr>
          <w:rFonts w:ascii="Times New Roman" w:hAnsi="Times New Roman"/>
          <w:b/>
          <w:sz w:val="24"/>
        </w:rPr>
        <w:t>10.15 and 9.10, Property Tax</w:t>
      </w:r>
    </w:p>
    <w:p w:rsidR="00BD01A0" w:rsidRPr="002B4EB0" w:rsidRDefault="002B4EB0" w:rsidP="00C61B17">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rPr>
        <w:tab/>
      </w:r>
      <w:r w:rsidR="00BD01A0" w:rsidRPr="002B4EB0">
        <w:rPr>
          <w:rFonts w:ascii="Times New Roman" w:hAnsi="Times New Roman"/>
          <w:sz w:val="24"/>
        </w:rPr>
        <w:t>T</w:t>
      </w:r>
      <w:r w:rsidR="00BD01A0" w:rsidRPr="002B4EB0">
        <w:rPr>
          <w:rFonts w:ascii="Times New Roman" w:hAnsi="Times New Roman"/>
          <w:sz w:val="24"/>
          <w:szCs w:val="24"/>
        </w:rPr>
        <w:t>he</w:t>
      </w:r>
      <w:r w:rsidR="00F3050F" w:rsidRPr="002B4EB0">
        <w:rPr>
          <w:rFonts w:ascii="Times New Roman" w:hAnsi="Times New Roman"/>
          <w:sz w:val="24"/>
          <w:szCs w:val="24"/>
        </w:rPr>
        <w:t xml:space="preserve"> Commission has stated </w:t>
      </w:r>
      <w:r w:rsidR="00BD01A0" w:rsidRPr="002B4EB0">
        <w:rPr>
          <w:rFonts w:ascii="Times New Roman" w:hAnsi="Times New Roman"/>
          <w:sz w:val="24"/>
          <w:szCs w:val="24"/>
        </w:rPr>
        <w:t>that the adjustment for property taxes illustrates the basic principles of historical test year ratemaking:</w:t>
      </w:r>
    </w:p>
    <w:p w:rsidR="00BD01A0" w:rsidRDefault="00555ECA" w:rsidP="00555ECA">
      <w:pPr>
        <w:tabs>
          <w:tab w:val="left" w:pos="-1440"/>
        </w:tabs>
        <w:ind w:left="720"/>
        <w:rPr>
          <w:rFonts w:ascii="Times New Roman" w:hAnsi="Times New Roman"/>
          <w:sz w:val="24"/>
          <w:szCs w:val="24"/>
        </w:rPr>
      </w:pPr>
      <w:r w:rsidRPr="00555ECA">
        <w:rPr>
          <w:rFonts w:ascii="Times New Roman" w:hAnsi="Times New Roman"/>
          <w:sz w:val="24"/>
          <w:szCs w:val="24"/>
        </w:rPr>
        <w:t>Property taxes are an annual expense that is consistently known and must be planned for every year.  However, the exact amount of these taxes remains unmeasurable until the taxing authorities announce rates and property valuations for any given tax year.  It is wholly appropriate to pro form new tax rates and assessments once they become measurable.</w:t>
      </w:r>
      <w:r>
        <w:rPr>
          <w:rStyle w:val="FootnoteReference"/>
          <w:rFonts w:ascii="Times New Roman" w:hAnsi="Times New Roman"/>
          <w:sz w:val="24"/>
          <w:szCs w:val="24"/>
        </w:rPr>
        <w:footnoteReference w:id="112"/>
      </w:r>
    </w:p>
    <w:p w:rsidR="00555ECA" w:rsidRPr="00555ECA" w:rsidRDefault="00555ECA" w:rsidP="00555ECA">
      <w:pPr>
        <w:tabs>
          <w:tab w:val="left" w:pos="-1440"/>
        </w:tabs>
        <w:ind w:left="720"/>
        <w:rPr>
          <w:rFonts w:ascii="Times New Roman" w:hAnsi="Times New Roman"/>
          <w:b/>
          <w:sz w:val="24"/>
          <w:szCs w:val="24"/>
        </w:rPr>
      </w:pPr>
    </w:p>
    <w:p w:rsidR="00555ECA" w:rsidRPr="002B4EB0" w:rsidRDefault="002B4EB0" w:rsidP="00C61B17">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FF31E1">
        <w:rPr>
          <w:rFonts w:ascii="Times New Roman" w:hAnsi="Times New Roman"/>
          <w:sz w:val="24"/>
          <w:szCs w:val="24"/>
        </w:rPr>
        <w:t xml:space="preserve">Staff’s </w:t>
      </w:r>
      <w:r w:rsidR="00B44D61" w:rsidRPr="002B4EB0">
        <w:rPr>
          <w:rFonts w:ascii="Times New Roman" w:hAnsi="Times New Roman"/>
          <w:sz w:val="24"/>
          <w:szCs w:val="24"/>
        </w:rPr>
        <w:t>a</w:t>
      </w:r>
      <w:r w:rsidR="009045E1" w:rsidRPr="002B4EB0">
        <w:rPr>
          <w:rFonts w:ascii="Times New Roman" w:hAnsi="Times New Roman"/>
          <w:sz w:val="24"/>
          <w:szCs w:val="24"/>
        </w:rPr>
        <w:t xml:space="preserve">djustments </w:t>
      </w:r>
      <w:r w:rsidR="00555ECA" w:rsidRPr="002B4EB0">
        <w:rPr>
          <w:rFonts w:ascii="Times New Roman" w:hAnsi="Times New Roman"/>
          <w:sz w:val="24"/>
          <w:szCs w:val="24"/>
        </w:rPr>
        <w:t>meet t</w:t>
      </w:r>
      <w:r w:rsidR="00CC63C7" w:rsidRPr="002B4EB0">
        <w:rPr>
          <w:rFonts w:ascii="Times New Roman" w:hAnsi="Times New Roman"/>
          <w:sz w:val="24"/>
          <w:szCs w:val="24"/>
        </w:rPr>
        <w:t xml:space="preserve">his test.  They represent PSE’s </w:t>
      </w:r>
      <w:r w:rsidR="00555ECA" w:rsidRPr="002B4EB0">
        <w:rPr>
          <w:rFonts w:ascii="Times New Roman" w:hAnsi="Times New Roman"/>
          <w:sz w:val="24"/>
          <w:szCs w:val="24"/>
        </w:rPr>
        <w:t xml:space="preserve">actual </w:t>
      </w:r>
      <w:r w:rsidR="00516D20" w:rsidRPr="002B4EB0">
        <w:rPr>
          <w:rFonts w:ascii="Times New Roman" w:hAnsi="Times New Roman"/>
          <w:sz w:val="24"/>
          <w:szCs w:val="24"/>
        </w:rPr>
        <w:t xml:space="preserve">tax liability </w:t>
      </w:r>
      <w:r w:rsidR="00CC63C7" w:rsidRPr="002B4EB0">
        <w:rPr>
          <w:rFonts w:ascii="Times New Roman" w:hAnsi="Times New Roman"/>
          <w:sz w:val="24"/>
          <w:szCs w:val="24"/>
        </w:rPr>
        <w:t xml:space="preserve">for all </w:t>
      </w:r>
      <w:r w:rsidR="004979CC" w:rsidRPr="002B4EB0">
        <w:rPr>
          <w:rFonts w:ascii="Times New Roman" w:hAnsi="Times New Roman"/>
          <w:sz w:val="24"/>
          <w:szCs w:val="24"/>
        </w:rPr>
        <w:t xml:space="preserve">property </w:t>
      </w:r>
      <w:r w:rsidR="00555ECA" w:rsidRPr="002B4EB0">
        <w:rPr>
          <w:rFonts w:ascii="Times New Roman" w:hAnsi="Times New Roman"/>
          <w:sz w:val="24"/>
          <w:szCs w:val="24"/>
        </w:rPr>
        <w:t>for the 2008 test year</w:t>
      </w:r>
      <w:r w:rsidR="00CC63C7" w:rsidRPr="002B4EB0">
        <w:rPr>
          <w:rFonts w:ascii="Times New Roman" w:hAnsi="Times New Roman"/>
          <w:sz w:val="24"/>
          <w:szCs w:val="24"/>
        </w:rPr>
        <w:t>,</w:t>
      </w:r>
      <w:r w:rsidR="00555ECA" w:rsidRPr="002B4EB0">
        <w:rPr>
          <w:rFonts w:ascii="Times New Roman" w:hAnsi="Times New Roman"/>
          <w:sz w:val="24"/>
          <w:szCs w:val="24"/>
        </w:rPr>
        <w:t xml:space="preserve"> </w:t>
      </w:r>
      <w:r w:rsidR="00516D20" w:rsidRPr="002B4EB0">
        <w:rPr>
          <w:rFonts w:ascii="Times New Roman" w:hAnsi="Times New Roman"/>
          <w:sz w:val="24"/>
          <w:szCs w:val="24"/>
        </w:rPr>
        <w:t xml:space="preserve">based on </w:t>
      </w:r>
      <w:r w:rsidR="00FC554F">
        <w:rPr>
          <w:rFonts w:ascii="Times New Roman" w:hAnsi="Times New Roman"/>
          <w:sz w:val="24"/>
          <w:szCs w:val="24"/>
        </w:rPr>
        <w:t xml:space="preserve">the </w:t>
      </w:r>
      <w:r w:rsidR="00187911" w:rsidRPr="002B4EB0">
        <w:rPr>
          <w:rFonts w:ascii="Times New Roman" w:hAnsi="Times New Roman"/>
          <w:sz w:val="24"/>
          <w:szCs w:val="24"/>
        </w:rPr>
        <w:t>actual</w:t>
      </w:r>
      <w:r w:rsidR="00FC554F">
        <w:rPr>
          <w:rFonts w:ascii="Times New Roman" w:hAnsi="Times New Roman"/>
          <w:sz w:val="24"/>
          <w:szCs w:val="24"/>
        </w:rPr>
        <w:t>, centrally-assessed</w:t>
      </w:r>
      <w:r w:rsidR="00187911" w:rsidRPr="002B4EB0">
        <w:rPr>
          <w:rFonts w:ascii="Times New Roman" w:hAnsi="Times New Roman"/>
          <w:sz w:val="24"/>
          <w:szCs w:val="24"/>
        </w:rPr>
        <w:t xml:space="preserve"> </w:t>
      </w:r>
      <w:r w:rsidR="00FC554F">
        <w:rPr>
          <w:rFonts w:ascii="Times New Roman" w:hAnsi="Times New Roman"/>
          <w:sz w:val="24"/>
          <w:szCs w:val="24"/>
        </w:rPr>
        <w:t>valuation</w:t>
      </w:r>
      <w:r w:rsidR="00CC1BAF" w:rsidRPr="002B4EB0">
        <w:rPr>
          <w:rFonts w:ascii="Times New Roman" w:hAnsi="Times New Roman"/>
          <w:sz w:val="24"/>
          <w:szCs w:val="24"/>
        </w:rPr>
        <w:t xml:space="preserve"> </w:t>
      </w:r>
      <w:r w:rsidR="00FC554F">
        <w:rPr>
          <w:rFonts w:ascii="Times New Roman" w:hAnsi="Times New Roman"/>
          <w:sz w:val="24"/>
          <w:szCs w:val="24"/>
        </w:rPr>
        <w:t>of</w:t>
      </w:r>
      <w:r w:rsidR="00566A43" w:rsidRPr="002B4EB0">
        <w:rPr>
          <w:rFonts w:ascii="Times New Roman" w:hAnsi="Times New Roman"/>
          <w:sz w:val="24"/>
          <w:szCs w:val="24"/>
        </w:rPr>
        <w:t xml:space="preserve"> th</w:t>
      </w:r>
      <w:r w:rsidR="00516D20" w:rsidRPr="002B4EB0">
        <w:rPr>
          <w:rFonts w:ascii="Times New Roman" w:hAnsi="Times New Roman"/>
          <w:sz w:val="24"/>
          <w:szCs w:val="24"/>
        </w:rPr>
        <w:t xml:space="preserve">e Department of Revenue </w:t>
      </w:r>
      <w:r w:rsidR="00187911" w:rsidRPr="002B4EB0">
        <w:rPr>
          <w:rFonts w:ascii="Times New Roman" w:hAnsi="Times New Roman"/>
          <w:sz w:val="24"/>
          <w:szCs w:val="24"/>
        </w:rPr>
        <w:t xml:space="preserve">(“DOR”) </w:t>
      </w:r>
      <w:r w:rsidR="00516D20" w:rsidRPr="002B4EB0">
        <w:rPr>
          <w:rFonts w:ascii="Times New Roman" w:hAnsi="Times New Roman"/>
          <w:sz w:val="24"/>
          <w:szCs w:val="24"/>
        </w:rPr>
        <w:t xml:space="preserve">and </w:t>
      </w:r>
      <w:r w:rsidR="00FC554F">
        <w:rPr>
          <w:rFonts w:ascii="Times New Roman" w:hAnsi="Times New Roman"/>
          <w:sz w:val="24"/>
          <w:szCs w:val="24"/>
        </w:rPr>
        <w:t xml:space="preserve">the </w:t>
      </w:r>
      <w:r w:rsidR="00187911" w:rsidRPr="002B4EB0">
        <w:rPr>
          <w:rFonts w:ascii="Times New Roman" w:hAnsi="Times New Roman"/>
          <w:sz w:val="24"/>
          <w:szCs w:val="24"/>
        </w:rPr>
        <w:t xml:space="preserve">actual </w:t>
      </w:r>
      <w:r w:rsidR="00566A43" w:rsidRPr="002B4EB0">
        <w:rPr>
          <w:rFonts w:ascii="Times New Roman" w:hAnsi="Times New Roman"/>
          <w:sz w:val="24"/>
          <w:szCs w:val="24"/>
        </w:rPr>
        <w:t xml:space="preserve">levy rates </w:t>
      </w:r>
      <w:r w:rsidR="002F22E2" w:rsidRPr="002B4EB0">
        <w:rPr>
          <w:rFonts w:ascii="Times New Roman" w:hAnsi="Times New Roman"/>
          <w:sz w:val="24"/>
          <w:szCs w:val="24"/>
        </w:rPr>
        <w:t>announc</w:t>
      </w:r>
      <w:r w:rsidR="00187911" w:rsidRPr="002B4EB0">
        <w:rPr>
          <w:rFonts w:ascii="Times New Roman" w:hAnsi="Times New Roman"/>
          <w:sz w:val="24"/>
          <w:szCs w:val="24"/>
        </w:rPr>
        <w:t>ed by taxing districts</w:t>
      </w:r>
      <w:r w:rsidR="00566A43" w:rsidRPr="002B4EB0">
        <w:rPr>
          <w:rFonts w:ascii="Times New Roman" w:hAnsi="Times New Roman"/>
          <w:sz w:val="24"/>
          <w:szCs w:val="24"/>
        </w:rPr>
        <w:t>.</w:t>
      </w:r>
      <w:r w:rsidR="00566A43">
        <w:rPr>
          <w:rStyle w:val="FootnoteReference"/>
          <w:rFonts w:ascii="Times New Roman" w:hAnsi="Times New Roman"/>
          <w:sz w:val="24"/>
          <w:szCs w:val="24"/>
        </w:rPr>
        <w:footnoteReference w:id="113"/>
      </w:r>
      <w:r w:rsidR="00555ECA" w:rsidRPr="002B4EB0">
        <w:rPr>
          <w:rFonts w:ascii="Times New Roman" w:hAnsi="Times New Roman"/>
          <w:sz w:val="24"/>
          <w:szCs w:val="24"/>
        </w:rPr>
        <w:t xml:space="preserve">  </w:t>
      </w:r>
    </w:p>
    <w:p w:rsidR="0022597E" w:rsidRPr="002B4EB0" w:rsidRDefault="002B4EB0" w:rsidP="00C61B17">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BD01A0" w:rsidRPr="002B4EB0">
        <w:rPr>
          <w:rFonts w:ascii="Times New Roman" w:hAnsi="Times New Roman"/>
          <w:sz w:val="24"/>
          <w:szCs w:val="24"/>
        </w:rPr>
        <w:t>I</w:t>
      </w:r>
      <w:r w:rsidR="00B44D61" w:rsidRPr="002B4EB0">
        <w:rPr>
          <w:rFonts w:ascii="Times New Roman" w:hAnsi="Times New Roman"/>
          <w:sz w:val="24"/>
          <w:szCs w:val="24"/>
        </w:rPr>
        <w:t>n contrast, PSE’s a</w:t>
      </w:r>
      <w:r w:rsidR="00BD01A0" w:rsidRPr="002B4EB0">
        <w:rPr>
          <w:rFonts w:ascii="Times New Roman" w:hAnsi="Times New Roman"/>
          <w:sz w:val="24"/>
          <w:szCs w:val="24"/>
        </w:rPr>
        <w:t xml:space="preserve">djustments </w:t>
      </w:r>
      <w:r w:rsidR="00187911" w:rsidRPr="002B4EB0">
        <w:rPr>
          <w:rFonts w:ascii="Times New Roman" w:hAnsi="Times New Roman"/>
          <w:sz w:val="24"/>
          <w:szCs w:val="24"/>
        </w:rPr>
        <w:t>are forecasts</w:t>
      </w:r>
      <w:r w:rsidR="00337331" w:rsidRPr="002B4EB0">
        <w:rPr>
          <w:rFonts w:ascii="Times New Roman" w:hAnsi="Times New Roman"/>
          <w:sz w:val="24"/>
          <w:szCs w:val="24"/>
        </w:rPr>
        <w:t xml:space="preserve"> of </w:t>
      </w:r>
      <w:r w:rsidR="00516D20" w:rsidRPr="002B4EB0">
        <w:rPr>
          <w:rFonts w:ascii="Times New Roman" w:hAnsi="Times New Roman"/>
          <w:sz w:val="24"/>
          <w:szCs w:val="24"/>
        </w:rPr>
        <w:t xml:space="preserve">2009 </w:t>
      </w:r>
      <w:r w:rsidR="00337331" w:rsidRPr="002B4EB0">
        <w:rPr>
          <w:rFonts w:ascii="Times New Roman" w:hAnsi="Times New Roman"/>
          <w:sz w:val="24"/>
          <w:szCs w:val="24"/>
        </w:rPr>
        <w:t xml:space="preserve">property taxes </w:t>
      </w:r>
      <w:r w:rsidR="00CC63C7" w:rsidRPr="002B4EB0">
        <w:rPr>
          <w:rFonts w:ascii="Times New Roman" w:hAnsi="Times New Roman"/>
          <w:sz w:val="24"/>
          <w:szCs w:val="24"/>
        </w:rPr>
        <w:t>that rely on</w:t>
      </w:r>
      <w:r w:rsidR="00CC1BAF" w:rsidRPr="002B4EB0">
        <w:rPr>
          <w:rFonts w:ascii="Times New Roman" w:hAnsi="Times New Roman"/>
          <w:sz w:val="24"/>
          <w:szCs w:val="24"/>
        </w:rPr>
        <w:t xml:space="preserve"> </w:t>
      </w:r>
      <w:r w:rsidR="00337331" w:rsidRPr="002B4EB0">
        <w:rPr>
          <w:rFonts w:ascii="Times New Roman" w:hAnsi="Times New Roman"/>
          <w:sz w:val="24"/>
          <w:szCs w:val="24"/>
        </w:rPr>
        <w:t xml:space="preserve">levy rates that have not </w:t>
      </w:r>
      <w:r w:rsidR="00187911" w:rsidRPr="002B4EB0">
        <w:rPr>
          <w:rFonts w:ascii="Times New Roman" w:hAnsi="Times New Roman"/>
          <w:sz w:val="24"/>
          <w:szCs w:val="24"/>
        </w:rPr>
        <w:t xml:space="preserve">yet </w:t>
      </w:r>
      <w:r w:rsidR="00CC1BAF" w:rsidRPr="002B4EB0">
        <w:rPr>
          <w:rFonts w:ascii="Times New Roman" w:hAnsi="Times New Roman"/>
          <w:sz w:val="24"/>
          <w:szCs w:val="24"/>
        </w:rPr>
        <w:t>be</w:t>
      </w:r>
      <w:r w:rsidR="00337331" w:rsidRPr="002B4EB0">
        <w:rPr>
          <w:rFonts w:ascii="Times New Roman" w:hAnsi="Times New Roman"/>
          <w:sz w:val="24"/>
          <w:szCs w:val="24"/>
        </w:rPr>
        <w:t>en</w:t>
      </w:r>
      <w:r w:rsidR="00025864" w:rsidRPr="002B4EB0">
        <w:rPr>
          <w:rFonts w:ascii="Times New Roman" w:hAnsi="Times New Roman"/>
          <w:sz w:val="24"/>
          <w:szCs w:val="24"/>
        </w:rPr>
        <w:t xml:space="preserve"> </w:t>
      </w:r>
      <w:r w:rsidR="00337331" w:rsidRPr="002B4EB0">
        <w:rPr>
          <w:rFonts w:ascii="Times New Roman" w:hAnsi="Times New Roman"/>
          <w:sz w:val="24"/>
          <w:szCs w:val="24"/>
        </w:rPr>
        <w:t>announced</w:t>
      </w:r>
      <w:r w:rsidR="00025864" w:rsidRPr="002B4EB0">
        <w:rPr>
          <w:rFonts w:ascii="Times New Roman" w:hAnsi="Times New Roman"/>
          <w:sz w:val="24"/>
          <w:szCs w:val="24"/>
        </w:rPr>
        <w:t xml:space="preserve"> </w:t>
      </w:r>
      <w:r w:rsidR="00337331" w:rsidRPr="002B4EB0">
        <w:rPr>
          <w:rFonts w:ascii="Times New Roman" w:hAnsi="Times New Roman"/>
          <w:sz w:val="24"/>
          <w:szCs w:val="24"/>
        </w:rPr>
        <w:t>by the taxing authorities</w:t>
      </w:r>
      <w:r w:rsidR="00516D20" w:rsidRPr="002B4EB0">
        <w:rPr>
          <w:rFonts w:ascii="Times New Roman" w:hAnsi="Times New Roman"/>
          <w:sz w:val="24"/>
          <w:szCs w:val="24"/>
        </w:rPr>
        <w:t>.</w:t>
      </w:r>
      <w:r w:rsidR="00CC1BAF">
        <w:rPr>
          <w:rStyle w:val="FootnoteReference"/>
          <w:rFonts w:ascii="Times New Roman" w:hAnsi="Times New Roman"/>
          <w:sz w:val="24"/>
          <w:szCs w:val="24"/>
        </w:rPr>
        <w:footnoteReference w:id="114"/>
      </w:r>
      <w:r w:rsidR="00BD01A0" w:rsidRPr="002B4EB0">
        <w:rPr>
          <w:rFonts w:ascii="Times New Roman" w:hAnsi="Times New Roman"/>
          <w:sz w:val="24"/>
          <w:szCs w:val="24"/>
        </w:rPr>
        <w:t xml:space="preserve">  That appro</w:t>
      </w:r>
      <w:r w:rsidR="00337331" w:rsidRPr="002B4EB0">
        <w:rPr>
          <w:rFonts w:ascii="Times New Roman" w:hAnsi="Times New Roman"/>
          <w:sz w:val="24"/>
          <w:szCs w:val="24"/>
        </w:rPr>
        <w:t>ach violat</w:t>
      </w:r>
      <w:r w:rsidR="00CC63C7" w:rsidRPr="002B4EB0">
        <w:rPr>
          <w:rFonts w:ascii="Times New Roman" w:hAnsi="Times New Roman"/>
          <w:sz w:val="24"/>
          <w:szCs w:val="24"/>
        </w:rPr>
        <w:t xml:space="preserve">es </w:t>
      </w:r>
      <w:r w:rsidR="00CC63C7" w:rsidRPr="002B4EB0">
        <w:rPr>
          <w:rFonts w:ascii="Times New Roman" w:hAnsi="Times New Roman"/>
          <w:sz w:val="24"/>
          <w:szCs w:val="24"/>
        </w:rPr>
        <w:lastRenderedPageBreak/>
        <w:t xml:space="preserve">the Commission’s test that </w:t>
      </w:r>
      <w:r w:rsidR="00337331" w:rsidRPr="002B4EB0">
        <w:rPr>
          <w:rFonts w:ascii="Times New Roman" w:hAnsi="Times New Roman"/>
          <w:sz w:val="24"/>
          <w:szCs w:val="24"/>
        </w:rPr>
        <w:t xml:space="preserve">new tax rates </w:t>
      </w:r>
      <w:r w:rsidR="00CC63C7" w:rsidRPr="002B4EB0">
        <w:rPr>
          <w:rFonts w:ascii="Times New Roman" w:hAnsi="Times New Roman"/>
          <w:sz w:val="24"/>
          <w:szCs w:val="24"/>
        </w:rPr>
        <w:t xml:space="preserve">can be pro </w:t>
      </w:r>
      <w:r w:rsidR="00187911" w:rsidRPr="002B4EB0">
        <w:rPr>
          <w:rFonts w:ascii="Times New Roman" w:hAnsi="Times New Roman"/>
          <w:sz w:val="24"/>
          <w:szCs w:val="24"/>
        </w:rPr>
        <w:t xml:space="preserve">formed only when they </w:t>
      </w:r>
      <w:r w:rsidR="00784300" w:rsidRPr="002B4EB0">
        <w:rPr>
          <w:rFonts w:ascii="Times New Roman" w:hAnsi="Times New Roman"/>
          <w:sz w:val="24"/>
          <w:szCs w:val="24"/>
        </w:rPr>
        <w:t xml:space="preserve">are fixed by the taxing authorities and, thereby, </w:t>
      </w:r>
      <w:r w:rsidR="00337331" w:rsidRPr="002B4EB0">
        <w:rPr>
          <w:rFonts w:ascii="Times New Roman" w:hAnsi="Times New Roman"/>
          <w:sz w:val="24"/>
          <w:szCs w:val="24"/>
        </w:rPr>
        <w:t>become measurable</w:t>
      </w:r>
      <w:r w:rsidR="00555ECA" w:rsidRPr="002B4EB0">
        <w:rPr>
          <w:rFonts w:ascii="Times New Roman" w:hAnsi="Times New Roman"/>
          <w:sz w:val="24"/>
          <w:szCs w:val="24"/>
        </w:rPr>
        <w:t>.</w:t>
      </w:r>
    </w:p>
    <w:p w:rsidR="00EA27E4" w:rsidRPr="00FC554F" w:rsidRDefault="002B4EB0" w:rsidP="00FC554F">
      <w:pPr>
        <w:pStyle w:val="ListParagraph"/>
        <w:numPr>
          <w:ilvl w:val="0"/>
          <w:numId w:val="11"/>
        </w:numPr>
        <w:tabs>
          <w:tab w:val="left" w:pos="-1440"/>
        </w:tabs>
        <w:spacing w:line="480" w:lineRule="auto"/>
        <w:rPr>
          <w:rFonts w:ascii="Times New Roman" w:hAnsi="Times New Roman"/>
          <w:sz w:val="24"/>
          <w:szCs w:val="24"/>
        </w:rPr>
      </w:pPr>
      <w:r w:rsidRPr="00FC554F">
        <w:rPr>
          <w:rFonts w:ascii="Times New Roman" w:hAnsi="Times New Roman"/>
          <w:sz w:val="24"/>
          <w:szCs w:val="24"/>
        </w:rPr>
        <w:tab/>
      </w:r>
      <w:r w:rsidR="00CC1BAF" w:rsidRPr="00FC554F">
        <w:rPr>
          <w:rFonts w:ascii="Times New Roman" w:hAnsi="Times New Roman"/>
          <w:sz w:val="24"/>
          <w:szCs w:val="24"/>
        </w:rPr>
        <w:t xml:space="preserve">PSE states that its </w:t>
      </w:r>
      <w:r w:rsidR="00025864" w:rsidRPr="00FC554F">
        <w:rPr>
          <w:rFonts w:ascii="Times New Roman" w:hAnsi="Times New Roman"/>
          <w:sz w:val="24"/>
          <w:szCs w:val="24"/>
        </w:rPr>
        <w:t xml:space="preserve">use of estimated levy rates does not disqualify its adjustments </w:t>
      </w:r>
      <w:r w:rsidR="00E24713" w:rsidRPr="00FC554F">
        <w:rPr>
          <w:rFonts w:ascii="Times New Roman" w:hAnsi="Times New Roman"/>
          <w:sz w:val="24"/>
          <w:szCs w:val="24"/>
        </w:rPr>
        <w:t>because estimating property</w:t>
      </w:r>
      <w:r w:rsidR="0072154A" w:rsidRPr="00FC554F">
        <w:rPr>
          <w:rFonts w:ascii="Times New Roman" w:hAnsi="Times New Roman"/>
          <w:sz w:val="24"/>
          <w:szCs w:val="24"/>
        </w:rPr>
        <w:t xml:space="preserve"> taxes is a common practice that becomes more p</w:t>
      </w:r>
      <w:r w:rsidR="00784300" w:rsidRPr="00FC554F">
        <w:rPr>
          <w:rFonts w:ascii="Times New Roman" w:hAnsi="Times New Roman"/>
          <w:sz w:val="24"/>
          <w:szCs w:val="24"/>
        </w:rPr>
        <w:t>recise over time</w:t>
      </w:r>
      <w:r w:rsidR="0072154A" w:rsidRPr="00FC554F">
        <w:rPr>
          <w:rFonts w:ascii="Times New Roman" w:hAnsi="Times New Roman"/>
          <w:sz w:val="24"/>
          <w:szCs w:val="24"/>
        </w:rPr>
        <w:t>.</w:t>
      </w:r>
      <w:r w:rsidR="00E24713">
        <w:rPr>
          <w:rStyle w:val="FootnoteReference"/>
          <w:rFonts w:ascii="Times New Roman" w:hAnsi="Times New Roman"/>
          <w:sz w:val="24"/>
          <w:szCs w:val="24"/>
        </w:rPr>
        <w:footnoteReference w:id="115"/>
      </w:r>
      <w:r w:rsidR="00E24713" w:rsidRPr="00FC554F">
        <w:rPr>
          <w:rFonts w:ascii="Times New Roman" w:hAnsi="Times New Roman"/>
          <w:sz w:val="24"/>
          <w:szCs w:val="24"/>
        </w:rPr>
        <w:t xml:space="preserve">  </w:t>
      </w:r>
      <w:r w:rsidR="00C70881" w:rsidRPr="00FC554F">
        <w:rPr>
          <w:rFonts w:ascii="Times New Roman" w:hAnsi="Times New Roman"/>
          <w:sz w:val="24"/>
          <w:szCs w:val="24"/>
        </w:rPr>
        <w:t>That</w:t>
      </w:r>
      <w:r w:rsidR="0072154A" w:rsidRPr="00FC554F">
        <w:rPr>
          <w:rFonts w:ascii="Times New Roman" w:hAnsi="Times New Roman"/>
          <w:sz w:val="24"/>
          <w:szCs w:val="24"/>
        </w:rPr>
        <w:t xml:space="preserve"> is precisely the point:  the 2009 property tax estimates </w:t>
      </w:r>
      <w:r w:rsidR="003D1157" w:rsidRPr="00FC554F">
        <w:rPr>
          <w:rFonts w:ascii="Times New Roman" w:hAnsi="Times New Roman"/>
          <w:sz w:val="24"/>
          <w:szCs w:val="24"/>
        </w:rPr>
        <w:t>used by</w:t>
      </w:r>
      <w:r w:rsidR="00C70881" w:rsidRPr="00FC554F">
        <w:rPr>
          <w:rFonts w:ascii="Times New Roman" w:hAnsi="Times New Roman"/>
          <w:sz w:val="24"/>
          <w:szCs w:val="24"/>
        </w:rPr>
        <w:t xml:space="preserve"> </w:t>
      </w:r>
      <w:r w:rsidR="0072154A" w:rsidRPr="00FC554F">
        <w:rPr>
          <w:rFonts w:ascii="Times New Roman" w:hAnsi="Times New Roman"/>
          <w:sz w:val="24"/>
          <w:szCs w:val="24"/>
        </w:rPr>
        <w:t>PSE</w:t>
      </w:r>
      <w:r w:rsidR="003D1157" w:rsidRPr="00FC554F">
        <w:rPr>
          <w:rFonts w:ascii="Times New Roman" w:hAnsi="Times New Roman"/>
          <w:sz w:val="24"/>
          <w:szCs w:val="24"/>
        </w:rPr>
        <w:t xml:space="preserve"> </w:t>
      </w:r>
      <w:r w:rsidR="00FC554F" w:rsidRPr="00FC554F">
        <w:rPr>
          <w:rFonts w:ascii="Times New Roman" w:hAnsi="Times New Roman"/>
          <w:sz w:val="24"/>
          <w:szCs w:val="24"/>
        </w:rPr>
        <w:t xml:space="preserve">for its adjustment </w:t>
      </w:r>
      <w:r w:rsidR="00395E85" w:rsidRPr="00FC554F">
        <w:rPr>
          <w:rFonts w:ascii="Times New Roman" w:hAnsi="Times New Roman"/>
          <w:sz w:val="24"/>
          <w:szCs w:val="24"/>
        </w:rPr>
        <w:t xml:space="preserve">have </w:t>
      </w:r>
      <w:r w:rsidR="0072154A" w:rsidRPr="00FC554F">
        <w:rPr>
          <w:rFonts w:ascii="Times New Roman" w:hAnsi="Times New Roman"/>
          <w:sz w:val="24"/>
          <w:szCs w:val="24"/>
        </w:rPr>
        <w:t>change</w:t>
      </w:r>
      <w:r w:rsidR="00395E85" w:rsidRPr="00FC554F">
        <w:rPr>
          <w:rFonts w:ascii="Times New Roman" w:hAnsi="Times New Roman"/>
          <w:sz w:val="24"/>
          <w:szCs w:val="24"/>
        </w:rPr>
        <w:t>d</w:t>
      </w:r>
      <w:r w:rsidR="0072154A" w:rsidRPr="00FC554F">
        <w:rPr>
          <w:rFonts w:ascii="Times New Roman" w:hAnsi="Times New Roman"/>
          <w:sz w:val="24"/>
          <w:szCs w:val="24"/>
        </w:rPr>
        <w:t xml:space="preserve"> and will continue to change until PSE</w:t>
      </w:r>
      <w:r w:rsidR="00395E85" w:rsidRPr="00FC554F">
        <w:rPr>
          <w:rFonts w:ascii="Times New Roman" w:hAnsi="Times New Roman"/>
          <w:sz w:val="24"/>
          <w:szCs w:val="24"/>
        </w:rPr>
        <w:t>’s</w:t>
      </w:r>
      <w:r w:rsidR="0072154A" w:rsidRPr="00FC554F">
        <w:rPr>
          <w:rFonts w:ascii="Times New Roman" w:hAnsi="Times New Roman"/>
          <w:sz w:val="24"/>
          <w:szCs w:val="24"/>
        </w:rPr>
        <w:t xml:space="preserve"> actual tax liability is </w:t>
      </w:r>
      <w:r w:rsidR="00784300" w:rsidRPr="00FC554F">
        <w:rPr>
          <w:rFonts w:ascii="Times New Roman" w:hAnsi="Times New Roman"/>
          <w:sz w:val="24"/>
          <w:szCs w:val="24"/>
        </w:rPr>
        <w:t xml:space="preserve">finally </w:t>
      </w:r>
      <w:r w:rsidR="0072154A" w:rsidRPr="00FC554F">
        <w:rPr>
          <w:rFonts w:ascii="Times New Roman" w:hAnsi="Times New Roman"/>
          <w:sz w:val="24"/>
          <w:szCs w:val="24"/>
        </w:rPr>
        <w:t>d</w:t>
      </w:r>
      <w:r w:rsidR="00C70881" w:rsidRPr="00FC554F">
        <w:rPr>
          <w:rFonts w:ascii="Times New Roman" w:hAnsi="Times New Roman"/>
          <w:sz w:val="24"/>
          <w:szCs w:val="24"/>
        </w:rPr>
        <w:t>etermined</w:t>
      </w:r>
      <w:r w:rsidR="00C97A77" w:rsidRPr="00FC554F">
        <w:rPr>
          <w:rFonts w:ascii="Times New Roman" w:hAnsi="Times New Roman"/>
          <w:sz w:val="24"/>
          <w:szCs w:val="24"/>
        </w:rPr>
        <w:t xml:space="preserve">.  </w:t>
      </w:r>
      <w:r w:rsidR="00C70881" w:rsidRPr="00FC554F">
        <w:rPr>
          <w:rFonts w:ascii="Times New Roman" w:hAnsi="Times New Roman"/>
          <w:sz w:val="24"/>
          <w:szCs w:val="24"/>
        </w:rPr>
        <w:t>PSE</w:t>
      </w:r>
      <w:r w:rsidR="00B8775E" w:rsidRPr="00FC554F">
        <w:rPr>
          <w:rFonts w:ascii="Times New Roman" w:hAnsi="Times New Roman"/>
          <w:sz w:val="24"/>
          <w:szCs w:val="24"/>
        </w:rPr>
        <w:t>’s initial forecast</w:t>
      </w:r>
      <w:r w:rsidR="00262DF2">
        <w:rPr>
          <w:rFonts w:ascii="Times New Roman" w:hAnsi="Times New Roman"/>
          <w:sz w:val="24"/>
          <w:szCs w:val="24"/>
        </w:rPr>
        <w:t xml:space="preserve">ed change in </w:t>
      </w:r>
      <w:r w:rsidR="00C70881" w:rsidRPr="00FC554F">
        <w:rPr>
          <w:rFonts w:ascii="Times New Roman" w:hAnsi="Times New Roman"/>
          <w:sz w:val="24"/>
          <w:szCs w:val="24"/>
        </w:rPr>
        <w:t xml:space="preserve">property taxes </w:t>
      </w:r>
      <w:r w:rsidR="00C97A77" w:rsidRPr="00FC554F">
        <w:rPr>
          <w:rFonts w:ascii="Times New Roman" w:hAnsi="Times New Roman"/>
          <w:sz w:val="24"/>
          <w:szCs w:val="24"/>
        </w:rPr>
        <w:t xml:space="preserve">for its </w:t>
      </w:r>
      <w:r w:rsidR="00395E85" w:rsidRPr="00FC554F">
        <w:rPr>
          <w:rFonts w:ascii="Times New Roman" w:hAnsi="Times New Roman"/>
          <w:sz w:val="24"/>
          <w:szCs w:val="24"/>
        </w:rPr>
        <w:t xml:space="preserve">electric </w:t>
      </w:r>
      <w:r w:rsidR="00C97A77" w:rsidRPr="00FC554F">
        <w:rPr>
          <w:rFonts w:ascii="Times New Roman" w:hAnsi="Times New Roman"/>
          <w:sz w:val="24"/>
          <w:szCs w:val="24"/>
        </w:rPr>
        <w:t>operations was $2,467,222.</w:t>
      </w:r>
      <w:r w:rsidR="00C97A77">
        <w:rPr>
          <w:rStyle w:val="FootnoteReference"/>
          <w:rFonts w:ascii="Times New Roman" w:hAnsi="Times New Roman"/>
          <w:sz w:val="24"/>
          <w:szCs w:val="24"/>
        </w:rPr>
        <w:footnoteReference w:id="116"/>
      </w:r>
      <w:r w:rsidR="00784300" w:rsidRPr="00FC554F">
        <w:rPr>
          <w:rFonts w:ascii="Times New Roman" w:hAnsi="Times New Roman"/>
          <w:sz w:val="24"/>
          <w:szCs w:val="24"/>
        </w:rPr>
        <w:t xml:space="preserve">  T</w:t>
      </w:r>
      <w:r w:rsidR="00B8775E" w:rsidRPr="00FC554F">
        <w:rPr>
          <w:rFonts w:ascii="Times New Roman" w:hAnsi="Times New Roman"/>
          <w:sz w:val="24"/>
          <w:szCs w:val="24"/>
        </w:rPr>
        <w:t>he forecast</w:t>
      </w:r>
      <w:r w:rsidR="00C97A77" w:rsidRPr="00FC554F">
        <w:rPr>
          <w:rFonts w:ascii="Times New Roman" w:hAnsi="Times New Roman"/>
          <w:sz w:val="24"/>
          <w:szCs w:val="24"/>
        </w:rPr>
        <w:t xml:space="preserve"> </w:t>
      </w:r>
      <w:r w:rsidR="00784300" w:rsidRPr="00FC554F">
        <w:rPr>
          <w:rFonts w:ascii="Times New Roman" w:hAnsi="Times New Roman"/>
          <w:sz w:val="24"/>
          <w:szCs w:val="24"/>
        </w:rPr>
        <w:t xml:space="preserve">later </w:t>
      </w:r>
      <w:r w:rsidR="00C97A77" w:rsidRPr="00FC554F">
        <w:rPr>
          <w:rFonts w:ascii="Times New Roman" w:hAnsi="Times New Roman"/>
          <w:sz w:val="24"/>
          <w:szCs w:val="24"/>
        </w:rPr>
        <w:t>decr</w:t>
      </w:r>
      <w:r w:rsidR="00784300" w:rsidRPr="00FC554F">
        <w:rPr>
          <w:rFonts w:ascii="Times New Roman" w:hAnsi="Times New Roman"/>
          <w:sz w:val="24"/>
          <w:szCs w:val="24"/>
        </w:rPr>
        <w:t>eased 187 percent to</w:t>
      </w:r>
      <w:r w:rsidR="00337331" w:rsidRPr="00FC554F">
        <w:rPr>
          <w:rFonts w:ascii="Times New Roman" w:hAnsi="Times New Roman"/>
          <w:sz w:val="24"/>
          <w:szCs w:val="24"/>
        </w:rPr>
        <w:t xml:space="preserve"> (</w:t>
      </w:r>
      <w:r w:rsidR="00C97A77" w:rsidRPr="00FC554F">
        <w:rPr>
          <w:rFonts w:ascii="Times New Roman" w:hAnsi="Times New Roman"/>
          <w:sz w:val="24"/>
          <w:szCs w:val="24"/>
        </w:rPr>
        <w:t>$2,139,835</w:t>
      </w:r>
      <w:r w:rsidR="00337331" w:rsidRPr="00FC554F">
        <w:rPr>
          <w:rFonts w:ascii="Times New Roman" w:hAnsi="Times New Roman"/>
          <w:sz w:val="24"/>
          <w:szCs w:val="24"/>
        </w:rPr>
        <w:t>)</w:t>
      </w:r>
      <w:r w:rsidR="00C97A77" w:rsidRPr="00FC554F">
        <w:rPr>
          <w:rFonts w:ascii="Times New Roman" w:hAnsi="Times New Roman"/>
          <w:sz w:val="24"/>
          <w:szCs w:val="24"/>
        </w:rPr>
        <w:t>.</w:t>
      </w:r>
      <w:r w:rsidR="00C97A77">
        <w:rPr>
          <w:rStyle w:val="FootnoteReference"/>
          <w:rFonts w:ascii="Times New Roman" w:hAnsi="Times New Roman"/>
          <w:sz w:val="24"/>
          <w:szCs w:val="24"/>
        </w:rPr>
        <w:footnoteReference w:id="117"/>
      </w:r>
      <w:r w:rsidR="00B8775E" w:rsidRPr="00FC554F">
        <w:rPr>
          <w:rFonts w:ascii="Times New Roman" w:hAnsi="Times New Roman"/>
          <w:sz w:val="24"/>
          <w:szCs w:val="24"/>
        </w:rPr>
        <w:t xml:space="preserve">  Similarly, PSE’s projection</w:t>
      </w:r>
      <w:r w:rsidR="00C97A77" w:rsidRPr="00FC554F">
        <w:rPr>
          <w:rFonts w:ascii="Times New Roman" w:hAnsi="Times New Roman"/>
          <w:sz w:val="24"/>
          <w:szCs w:val="24"/>
        </w:rPr>
        <w:t xml:space="preserve"> of property taxes for </w:t>
      </w:r>
      <w:r w:rsidR="00337331" w:rsidRPr="00FC554F">
        <w:rPr>
          <w:rFonts w:ascii="Times New Roman" w:hAnsi="Times New Roman"/>
          <w:sz w:val="24"/>
          <w:szCs w:val="24"/>
        </w:rPr>
        <w:t xml:space="preserve">its </w:t>
      </w:r>
      <w:r w:rsidR="00C97A77" w:rsidRPr="00FC554F">
        <w:rPr>
          <w:rFonts w:ascii="Times New Roman" w:hAnsi="Times New Roman"/>
          <w:sz w:val="24"/>
          <w:szCs w:val="24"/>
        </w:rPr>
        <w:t>gas operations changed fro</w:t>
      </w:r>
      <w:r w:rsidR="00B5740A" w:rsidRPr="00FC554F">
        <w:rPr>
          <w:rFonts w:ascii="Times New Roman" w:hAnsi="Times New Roman"/>
          <w:sz w:val="24"/>
          <w:szCs w:val="24"/>
        </w:rPr>
        <w:t>m $1,308,384 to $1,620,627, a 24</w:t>
      </w:r>
      <w:r w:rsidR="00C97A77" w:rsidRPr="00FC554F">
        <w:rPr>
          <w:rFonts w:ascii="Times New Roman" w:hAnsi="Times New Roman"/>
          <w:sz w:val="24"/>
          <w:szCs w:val="24"/>
        </w:rPr>
        <w:t xml:space="preserve"> percent increase.</w:t>
      </w:r>
      <w:r w:rsidR="00D84C3D">
        <w:rPr>
          <w:rStyle w:val="FootnoteReference"/>
          <w:rFonts w:ascii="Times New Roman" w:hAnsi="Times New Roman"/>
          <w:sz w:val="24"/>
          <w:szCs w:val="24"/>
        </w:rPr>
        <w:footnoteReference w:id="118"/>
      </w:r>
      <w:r w:rsidR="00395E85" w:rsidRPr="00FC554F">
        <w:rPr>
          <w:rFonts w:ascii="Times New Roman" w:hAnsi="Times New Roman"/>
          <w:sz w:val="24"/>
          <w:szCs w:val="24"/>
        </w:rPr>
        <w:t xml:space="preserve"> </w:t>
      </w:r>
      <w:r w:rsidR="00C97A77" w:rsidRPr="00FC554F">
        <w:rPr>
          <w:rFonts w:ascii="Times New Roman" w:hAnsi="Times New Roman"/>
          <w:sz w:val="24"/>
          <w:szCs w:val="24"/>
        </w:rPr>
        <w:t xml:space="preserve"> </w:t>
      </w:r>
      <w:r w:rsidR="00395E85" w:rsidRPr="00FC554F">
        <w:rPr>
          <w:rFonts w:ascii="Times New Roman" w:hAnsi="Times New Roman"/>
          <w:sz w:val="24"/>
          <w:szCs w:val="24"/>
        </w:rPr>
        <w:t>It is wholly inappropriate to pro form estimates of property taxe</w:t>
      </w:r>
      <w:r w:rsidR="003D1157" w:rsidRPr="00FC554F">
        <w:rPr>
          <w:rFonts w:ascii="Times New Roman" w:hAnsi="Times New Roman"/>
          <w:sz w:val="24"/>
          <w:szCs w:val="24"/>
        </w:rPr>
        <w:t xml:space="preserve">s that </w:t>
      </w:r>
      <w:r w:rsidR="00337331" w:rsidRPr="00FC554F">
        <w:rPr>
          <w:rFonts w:ascii="Times New Roman" w:hAnsi="Times New Roman"/>
          <w:sz w:val="24"/>
          <w:szCs w:val="24"/>
        </w:rPr>
        <w:t xml:space="preserve">have </w:t>
      </w:r>
      <w:r w:rsidR="00B56C89" w:rsidRPr="00FC554F">
        <w:rPr>
          <w:rFonts w:ascii="Times New Roman" w:hAnsi="Times New Roman"/>
          <w:sz w:val="24"/>
          <w:szCs w:val="24"/>
        </w:rPr>
        <w:t xml:space="preserve">so significantly </w:t>
      </w:r>
      <w:r w:rsidR="00FC554F" w:rsidRPr="00FC554F">
        <w:rPr>
          <w:rFonts w:ascii="Times New Roman" w:hAnsi="Times New Roman"/>
          <w:sz w:val="24"/>
          <w:szCs w:val="24"/>
        </w:rPr>
        <w:t xml:space="preserve">changed </w:t>
      </w:r>
      <w:r w:rsidR="00337331" w:rsidRPr="00FC554F">
        <w:rPr>
          <w:rFonts w:ascii="Times New Roman" w:hAnsi="Times New Roman"/>
          <w:sz w:val="24"/>
          <w:szCs w:val="24"/>
        </w:rPr>
        <w:t xml:space="preserve">and </w:t>
      </w:r>
      <w:r w:rsidR="00FC554F">
        <w:rPr>
          <w:rFonts w:ascii="Times New Roman" w:hAnsi="Times New Roman"/>
          <w:sz w:val="24"/>
          <w:szCs w:val="24"/>
        </w:rPr>
        <w:t xml:space="preserve">can be expected to </w:t>
      </w:r>
      <w:r w:rsidR="00395E85" w:rsidRPr="00FC554F">
        <w:rPr>
          <w:rFonts w:ascii="Times New Roman" w:hAnsi="Times New Roman"/>
          <w:sz w:val="24"/>
          <w:szCs w:val="24"/>
        </w:rPr>
        <w:t>change again.</w:t>
      </w:r>
    </w:p>
    <w:p w:rsidR="00DA554C" w:rsidRDefault="00DA554C" w:rsidP="00C96CFB">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d.</w:t>
      </w:r>
      <w:r>
        <w:rPr>
          <w:rFonts w:ascii="Times New Roman" w:hAnsi="Times New Roman"/>
          <w:b/>
          <w:sz w:val="24"/>
        </w:rPr>
        <w:tab/>
        <w:t>10.17 and 9.12, D&amp;O Insurance</w:t>
      </w:r>
    </w:p>
    <w:p w:rsidR="00B11937"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4A0759" w:rsidRPr="002B4EB0">
        <w:rPr>
          <w:rFonts w:ascii="Times New Roman" w:hAnsi="Times New Roman"/>
          <w:sz w:val="24"/>
        </w:rPr>
        <w:t>Staff proposes tha</w:t>
      </w:r>
      <w:r w:rsidR="008F0B34" w:rsidRPr="002B4EB0">
        <w:rPr>
          <w:rFonts w:ascii="Times New Roman" w:hAnsi="Times New Roman"/>
          <w:sz w:val="24"/>
        </w:rPr>
        <w:t xml:space="preserve">t 50 percent of D&amp;O </w:t>
      </w:r>
      <w:r w:rsidR="004A0759" w:rsidRPr="002B4EB0">
        <w:rPr>
          <w:rFonts w:ascii="Times New Roman" w:hAnsi="Times New Roman"/>
          <w:sz w:val="24"/>
        </w:rPr>
        <w:t>insuran</w:t>
      </w:r>
      <w:r w:rsidR="008F0B34" w:rsidRPr="002B4EB0">
        <w:rPr>
          <w:rFonts w:ascii="Times New Roman" w:hAnsi="Times New Roman"/>
          <w:sz w:val="24"/>
        </w:rPr>
        <w:t>ce be allocated to shareholders because shareholders benefit equally with ratepayers when directors and officers are protected</w:t>
      </w:r>
      <w:r w:rsidR="00784300" w:rsidRPr="002B4EB0">
        <w:rPr>
          <w:rFonts w:ascii="Times New Roman" w:hAnsi="Times New Roman"/>
          <w:sz w:val="24"/>
        </w:rPr>
        <w:t xml:space="preserve"> from legal claims </w:t>
      </w:r>
      <w:r w:rsidR="008F0B34" w:rsidRPr="002B4EB0">
        <w:rPr>
          <w:rFonts w:ascii="Times New Roman" w:hAnsi="Times New Roman"/>
          <w:sz w:val="24"/>
        </w:rPr>
        <w:t>while performing their official duties.</w:t>
      </w:r>
      <w:r w:rsidR="008F0B34">
        <w:rPr>
          <w:rStyle w:val="FootnoteReference"/>
          <w:rFonts w:ascii="Times New Roman" w:hAnsi="Times New Roman"/>
          <w:sz w:val="24"/>
        </w:rPr>
        <w:footnoteReference w:id="119"/>
      </w:r>
      <w:r w:rsidR="008F0B34" w:rsidRPr="002B4EB0">
        <w:rPr>
          <w:rFonts w:ascii="Times New Roman" w:hAnsi="Times New Roman"/>
          <w:sz w:val="24"/>
        </w:rPr>
        <w:t xml:space="preserve">  The Comm</w:t>
      </w:r>
      <w:r w:rsidR="007F0CEC" w:rsidRPr="002B4EB0">
        <w:rPr>
          <w:rFonts w:ascii="Times New Roman" w:hAnsi="Times New Roman"/>
          <w:sz w:val="24"/>
        </w:rPr>
        <w:t>ission has accepted the premise</w:t>
      </w:r>
      <w:r w:rsidR="008F0B34" w:rsidRPr="002B4EB0">
        <w:rPr>
          <w:rFonts w:ascii="Times New Roman" w:hAnsi="Times New Roman"/>
          <w:sz w:val="24"/>
        </w:rPr>
        <w:t xml:space="preserve"> that shareho</w:t>
      </w:r>
      <w:r w:rsidR="00784300" w:rsidRPr="002B4EB0">
        <w:rPr>
          <w:rFonts w:ascii="Times New Roman" w:hAnsi="Times New Roman"/>
          <w:sz w:val="24"/>
        </w:rPr>
        <w:t>lders benefit</w:t>
      </w:r>
      <w:r w:rsidR="008F0B34" w:rsidRPr="002B4EB0">
        <w:rPr>
          <w:rFonts w:ascii="Times New Roman" w:hAnsi="Times New Roman"/>
          <w:sz w:val="24"/>
        </w:rPr>
        <w:t>.</w:t>
      </w:r>
      <w:r w:rsidR="008F0B34">
        <w:rPr>
          <w:rStyle w:val="FootnoteReference"/>
          <w:rFonts w:ascii="Times New Roman" w:hAnsi="Times New Roman"/>
          <w:sz w:val="24"/>
        </w:rPr>
        <w:footnoteReference w:id="120"/>
      </w:r>
      <w:r w:rsidR="008F0B34" w:rsidRPr="002B4EB0">
        <w:rPr>
          <w:rFonts w:ascii="Times New Roman" w:hAnsi="Times New Roman"/>
          <w:sz w:val="24"/>
        </w:rPr>
        <w:t xml:space="preserve">  </w:t>
      </w:r>
      <w:r w:rsidR="00784300" w:rsidRPr="002B4EB0">
        <w:rPr>
          <w:rFonts w:ascii="Times New Roman" w:hAnsi="Times New Roman"/>
          <w:sz w:val="24"/>
        </w:rPr>
        <w:t>Other jurisdictions agree.</w:t>
      </w:r>
      <w:r w:rsidR="00411CF3">
        <w:rPr>
          <w:rStyle w:val="FootnoteReference"/>
          <w:rFonts w:ascii="Times New Roman" w:hAnsi="Times New Roman"/>
          <w:sz w:val="24"/>
        </w:rPr>
        <w:footnoteReference w:id="121"/>
      </w:r>
    </w:p>
    <w:p w:rsidR="00411CF3"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lastRenderedPageBreak/>
        <w:tab/>
      </w:r>
      <w:r w:rsidR="007F0CEC" w:rsidRPr="002B4EB0">
        <w:rPr>
          <w:rFonts w:ascii="Times New Roman" w:hAnsi="Times New Roman"/>
          <w:sz w:val="24"/>
        </w:rPr>
        <w:t>It is true t</w:t>
      </w:r>
      <w:r w:rsidR="00A51798" w:rsidRPr="002B4EB0">
        <w:rPr>
          <w:rFonts w:ascii="Times New Roman" w:hAnsi="Times New Roman"/>
          <w:sz w:val="24"/>
        </w:rPr>
        <w:t xml:space="preserve">hat the </w:t>
      </w:r>
      <w:r w:rsidR="003365A3" w:rsidRPr="002B4EB0">
        <w:rPr>
          <w:rFonts w:ascii="Times New Roman" w:hAnsi="Times New Roman"/>
          <w:sz w:val="24"/>
        </w:rPr>
        <w:t>cases cit</w:t>
      </w:r>
      <w:r w:rsidR="00784300" w:rsidRPr="002B4EB0">
        <w:rPr>
          <w:rFonts w:ascii="Times New Roman" w:hAnsi="Times New Roman"/>
          <w:sz w:val="24"/>
        </w:rPr>
        <w:t xml:space="preserve">ed by Staff have not </w:t>
      </w:r>
      <w:r w:rsidR="003365A3" w:rsidRPr="002B4EB0">
        <w:rPr>
          <w:rFonts w:ascii="Times New Roman" w:hAnsi="Times New Roman"/>
          <w:sz w:val="24"/>
        </w:rPr>
        <w:t xml:space="preserve">persuaded the </w:t>
      </w:r>
      <w:r w:rsidR="00A51798" w:rsidRPr="002B4EB0">
        <w:rPr>
          <w:rFonts w:ascii="Times New Roman" w:hAnsi="Times New Roman"/>
          <w:sz w:val="24"/>
        </w:rPr>
        <w:t xml:space="preserve">Commission </w:t>
      </w:r>
      <w:r w:rsidR="0044087C" w:rsidRPr="002B4EB0">
        <w:rPr>
          <w:rFonts w:ascii="Times New Roman" w:hAnsi="Times New Roman"/>
          <w:sz w:val="24"/>
        </w:rPr>
        <w:t>to adopt an</w:t>
      </w:r>
      <w:r w:rsidR="003365A3" w:rsidRPr="002B4EB0">
        <w:rPr>
          <w:rFonts w:ascii="Times New Roman" w:hAnsi="Times New Roman"/>
          <w:sz w:val="24"/>
        </w:rPr>
        <w:t xml:space="preserve"> equal sharing of </w:t>
      </w:r>
      <w:r w:rsidR="00B8775E" w:rsidRPr="002B4EB0">
        <w:rPr>
          <w:rFonts w:ascii="Times New Roman" w:hAnsi="Times New Roman"/>
          <w:sz w:val="24"/>
        </w:rPr>
        <w:t xml:space="preserve">D&amp;O </w:t>
      </w:r>
      <w:r w:rsidR="003365A3" w:rsidRPr="002B4EB0">
        <w:rPr>
          <w:rFonts w:ascii="Times New Roman" w:hAnsi="Times New Roman"/>
          <w:sz w:val="24"/>
        </w:rPr>
        <w:t>insurance costs</w:t>
      </w:r>
      <w:r w:rsidR="007F0CEC" w:rsidRPr="002B4EB0">
        <w:rPr>
          <w:rFonts w:ascii="Times New Roman" w:hAnsi="Times New Roman"/>
          <w:sz w:val="24"/>
        </w:rPr>
        <w:t>.</w:t>
      </w:r>
      <w:r w:rsidR="007F0CEC">
        <w:rPr>
          <w:rStyle w:val="FootnoteReference"/>
          <w:rFonts w:ascii="Times New Roman" w:hAnsi="Times New Roman"/>
          <w:sz w:val="24"/>
        </w:rPr>
        <w:footnoteReference w:id="122"/>
      </w:r>
      <w:r w:rsidR="007F0CEC" w:rsidRPr="002B4EB0">
        <w:rPr>
          <w:rFonts w:ascii="Times New Roman" w:hAnsi="Times New Roman"/>
          <w:sz w:val="24"/>
        </w:rPr>
        <w:t xml:space="preserve">  However</w:t>
      </w:r>
      <w:r w:rsidR="006B3570" w:rsidRPr="002B4EB0">
        <w:rPr>
          <w:rFonts w:ascii="Times New Roman" w:hAnsi="Times New Roman"/>
          <w:sz w:val="24"/>
        </w:rPr>
        <w:t xml:space="preserve">, PSE </w:t>
      </w:r>
      <w:r w:rsidR="003365A3" w:rsidRPr="002B4EB0">
        <w:rPr>
          <w:rFonts w:ascii="Times New Roman" w:hAnsi="Times New Roman"/>
          <w:sz w:val="24"/>
        </w:rPr>
        <w:t>did</w:t>
      </w:r>
      <w:r w:rsidR="00411CF3" w:rsidRPr="002B4EB0">
        <w:rPr>
          <w:rFonts w:ascii="Times New Roman" w:hAnsi="Times New Roman"/>
          <w:sz w:val="24"/>
        </w:rPr>
        <w:t xml:space="preserve"> no</w:t>
      </w:r>
      <w:r w:rsidR="007F0CEC" w:rsidRPr="002B4EB0">
        <w:rPr>
          <w:rFonts w:ascii="Times New Roman" w:hAnsi="Times New Roman"/>
          <w:sz w:val="24"/>
        </w:rPr>
        <w:t xml:space="preserve">t </w:t>
      </w:r>
      <w:r w:rsidR="00A51798" w:rsidRPr="002B4EB0">
        <w:rPr>
          <w:rFonts w:ascii="Times New Roman" w:hAnsi="Times New Roman"/>
          <w:sz w:val="24"/>
        </w:rPr>
        <w:t xml:space="preserve">directly </w:t>
      </w:r>
      <w:r w:rsidR="007F0CEC" w:rsidRPr="002B4EB0">
        <w:rPr>
          <w:rFonts w:ascii="Times New Roman" w:hAnsi="Times New Roman"/>
          <w:sz w:val="24"/>
        </w:rPr>
        <w:t xml:space="preserve">dispute </w:t>
      </w:r>
      <w:r w:rsidR="006B3570" w:rsidRPr="002B4EB0">
        <w:rPr>
          <w:rFonts w:ascii="Times New Roman" w:hAnsi="Times New Roman"/>
          <w:sz w:val="24"/>
        </w:rPr>
        <w:t xml:space="preserve">the </w:t>
      </w:r>
      <w:r w:rsidR="00411CF3" w:rsidRPr="002B4EB0">
        <w:rPr>
          <w:rFonts w:ascii="Times New Roman" w:hAnsi="Times New Roman"/>
          <w:sz w:val="24"/>
        </w:rPr>
        <w:t xml:space="preserve">Staff </w:t>
      </w:r>
      <w:r w:rsidR="003365A3" w:rsidRPr="002B4EB0">
        <w:rPr>
          <w:rFonts w:ascii="Times New Roman" w:hAnsi="Times New Roman"/>
          <w:sz w:val="24"/>
        </w:rPr>
        <w:t>allocation</w:t>
      </w:r>
      <w:r w:rsidR="00411CF3" w:rsidRPr="002B4EB0">
        <w:rPr>
          <w:rFonts w:ascii="Times New Roman" w:hAnsi="Times New Roman"/>
          <w:sz w:val="24"/>
        </w:rPr>
        <w:t>.  It states merely that its adjustmen</w:t>
      </w:r>
      <w:r w:rsidR="0044087C" w:rsidRPr="002B4EB0">
        <w:rPr>
          <w:rFonts w:ascii="Times New Roman" w:hAnsi="Times New Roman"/>
          <w:sz w:val="24"/>
        </w:rPr>
        <w:t>t</w:t>
      </w:r>
      <w:r w:rsidR="00C70881" w:rsidRPr="002B4EB0">
        <w:rPr>
          <w:rFonts w:ascii="Times New Roman" w:hAnsi="Times New Roman"/>
          <w:sz w:val="24"/>
        </w:rPr>
        <w:t>s</w:t>
      </w:r>
      <w:r w:rsidR="0044087C" w:rsidRPr="002B4EB0">
        <w:rPr>
          <w:rFonts w:ascii="Times New Roman" w:hAnsi="Times New Roman"/>
          <w:sz w:val="24"/>
        </w:rPr>
        <w:t xml:space="preserve"> </w:t>
      </w:r>
      <w:r w:rsidR="00C70881" w:rsidRPr="002B4EB0">
        <w:rPr>
          <w:rFonts w:ascii="Times New Roman" w:hAnsi="Times New Roman"/>
          <w:sz w:val="24"/>
        </w:rPr>
        <w:t>are</w:t>
      </w:r>
      <w:r w:rsidR="0044087C" w:rsidRPr="002B4EB0">
        <w:rPr>
          <w:rFonts w:ascii="Times New Roman" w:hAnsi="Times New Roman"/>
          <w:sz w:val="24"/>
        </w:rPr>
        <w:t xml:space="preserve"> consistent with those</w:t>
      </w:r>
      <w:r w:rsidR="00411CF3" w:rsidRPr="002B4EB0">
        <w:rPr>
          <w:rFonts w:ascii="Times New Roman" w:hAnsi="Times New Roman"/>
          <w:sz w:val="24"/>
        </w:rPr>
        <w:t xml:space="preserve"> accepted in prior cases.</w:t>
      </w:r>
      <w:r w:rsidR="00411CF3">
        <w:rPr>
          <w:rStyle w:val="FootnoteReference"/>
          <w:rFonts w:ascii="Times New Roman" w:hAnsi="Times New Roman"/>
          <w:sz w:val="24"/>
        </w:rPr>
        <w:footnoteReference w:id="123"/>
      </w:r>
      <w:r w:rsidR="00411CF3" w:rsidRPr="002B4EB0">
        <w:rPr>
          <w:rFonts w:ascii="Times New Roman" w:hAnsi="Times New Roman"/>
          <w:sz w:val="24"/>
        </w:rPr>
        <w:t xml:space="preserve"> </w:t>
      </w:r>
      <w:r w:rsidR="007F0CEC" w:rsidRPr="002B4EB0">
        <w:rPr>
          <w:rFonts w:ascii="Times New Roman" w:hAnsi="Times New Roman"/>
          <w:sz w:val="24"/>
        </w:rPr>
        <w:t xml:space="preserve"> Therefore</w:t>
      </w:r>
      <w:r w:rsidR="00B27899" w:rsidRPr="002B4EB0">
        <w:rPr>
          <w:rFonts w:ascii="Times New Roman" w:hAnsi="Times New Roman"/>
          <w:sz w:val="24"/>
        </w:rPr>
        <w:t xml:space="preserve">, it is reasonable </w:t>
      </w:r>
      <w:r w:rsidR="007F0CEC" w:rsidRPr="002B4EB0">
        <w:rPr>
          <w:rFonts w:ascii="Times New Roman" w:hAnsi="Times New Roman"/>
          <w:sz w:val="24"/>
        </w:rPr>
        <w:t>for the Commission to accept Staff’s proposal to share the cost of D&amp;O insurance equally between ratepayers and shareholders.</w:t>
      </w:r>
      <w:r w:rsidR="007F0CEC">
        <w:rPr>
          <w:rStyle w:val="FootnoteReference"/>
          <w:rFonts w:ascii="Times New Roman" w:hAnsi="Times New Roman"/>
          <w:sz w:val="24"/>
        </w:rPr>
        <w:footnoteReference w:id="124"/>
      </w:r>
    </w:p>
    <w:p w:rsidR="00DA554C" w:rsidRDefault="00DA554C" w:rsidP="00C96CFB">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e.</w:t>
      </w:r>
      <w:r>
        <w:rPr>
          <w:rFonts w:ascii="Times New Roman" w:hAnsi="Times New Roman"/>
          <w:b/>
          <w:sz w:val="24"/>
        </w:rPr>
        <w:tab/>
        <w:t>10.25 and 9.18, Wage Increase</w:t>
      </w:r>
    </w:p>
    <w:p w:rsidR="00D1714B" w:rsidRDefault="002B4EB0" w:rsidP="00C61B17">
      <w:pPr>
        <w:pStyle w:val="NoSpacing"/>
        <w:numPr>
          <w:ilvl w:val="0"/>
          <w:numId w:val="11"/>
        </w:numPr>
        <w:spacing w:line="480" w:lineRule="auto"/>
      </w:pPr>
      <w:r>
        <w:rPr>
          <w:szCs w:val="24"/>
        </w:rPr>
        <w:tab/>
      </w:r>
      <w:r w:rsidR="00E0310F" w:rsidRPr="00E0310F">
        <w:rPr>
          <w:szCs w:val="24"/>
        </w:rPr>
        <w:t>PSE p</w:t>
      </w:r>
      <w:r w:rsidR="00E0310F">
        <w:rPr>
          <w:szCs w:val="24"/>
        </w:rPr>
        <w:t>roposes wage increase</w:t>
      </w:r>
      <w:r w:rsidR="00FF31E1">
        <w:rPr>
          <w:szCs w:val="24"/>
        </w:rPr>
        <w:t xml:space="preserve">s for both union </w:t>
      </w:r>
      <w:r w:rsidR="00E0310F" w:rsidRPr="00E0310F">
        <w:rPr>
          <w:szCs w:val="24"/>
        </w:rPr>
        <w:t xml:space="preserve">and non-union employees.  </w:t>
      </w:r>
      <w:r w:rsidR="00D1714B">
        <w:rPr>
          <w:szCs w:val="24"/>
        </w:rPr>
        <w:t>Wi</w:t>
      </w:r>
      <w:r w:rsidR="00FF31E1">
        <w:rPr>
          <w:szCs w:val="24"/>
        </w:rPr>
        <w:t xml:space="preserve">th respect to union employees, PSE </w:t>
      </w:r>
      <w:r w:rsidR="00E0310F" w:rsidRPr="00E0310F">
        <w:rPr>
          <w:szCs w:val="24"/>
        </w:rPr>
        <w:t>agree</w:t>
      </w:r>
      <w:r w:rsidR="00E0310F">
        <w:rPr>
          <w:szCs w:val="24"/>
        </w:rPr>
        <w:t>s</w:t>
      </w:r>
      <w:r w:rsidR="00B8775E">
        <w:rPr>
          <w:szCs w:val="24"/>
        </w:rPr>
        <w:t xml:space="preserve"> to include </w:t>
      </w:r>
      <w:r w:rsidR="00E0310F" w:rsidRPr="00E0310F">
        <w:rPr>
          <w:szCs w:val="24"/>
        </w:rPr>
        <w:t>only contractual</w:t>
      </w:r>
      <w:r w:rsidR="00B8775E">
        <w:rPr>
          <w:szCs w:val="24"/>
        </w:rPr>
        <w:t xml:space="preserve"> increases</w:t>
      </w:r>
      <w:r w:rsidR="00E0310F" w:rsidRPr="00E0310F">
        <w:rPr>
          <w:szCs w:val="24"/>
        </w:rPr>
        <w:t>.</w:t>
      </w:r>
      <w:r w:rsidR="00E0310F" w:rsidRPr="00E0310F">
        <w:rPr>
          <w:rStyle w:val="FootnoteReference"/>
          <w:szCs w:val="24"/>
        </w:rPr>
        <w:footnoteReference w:id="125"/>
      </w:r>
      <w:r w:rsidR="00E0310F" w:rsidRPr="00E0310F">
        <w:rPr>
          <w:szCs w:val="24"/>
        </w:rPr>
        <w:t xml:space="preserve">  </w:t>
      </w:r>
      <w:r w:rsidR="00D1714B">
        <w:rPr>
          <w:szCs w:val="24"/>
        </w:rPr>
        <w:t>T</w:t>
      </w:r>
      <w:r w:rsidR="00D1714B">
        <w:t>he effective date</w:t>
      </w:r>
      <w:r w:rsidR="004D2AE9">
        <w:t xml:space="preserve"> of IBEW’s 3 percent contract</w:t>
      </w:r>
      <w:r w:rsidR="00D1714B">
        <w:t xml:space="preserve"> increase is January 1, 2010.</w:t>
      </w:r>
      <w:r w:rsidR="00D1714B">
        <w:rPr>
          <w:rStyle w:val="FootnoteReference"/>
        </w:rPr>
        <w:footnoteReference w:id="126"/>
      </w:r>
      <w:r w:rsidR="00D1714B">
        <w:t xml:space="preserve">  T</w:t>
      </w:r>
      <w:r w:rsidR="00B8775E">
        <w:t xml:space="preserve">herefore, PSE has included </w:t>
      </w:r>
      <w:r w:rsidR="00D1714B">
        <w:t>that increase from January 1, 2010 to December 31, 2010.</w:t>
      </w:r>
      <w:r w:rsidR="00D1714B">
        <w:rPr>
          <w:rStyle w:val="FootnoteReference"/>
        </w:rPr>
        <w:footnoteReference w:id="127"/>
      </w:r>
      <w:r w:rsidR="00D1714B">
        <w:t xml:space="preserve">  Staff concurs and has updated its adjustment accordingly.</w:t>
      </w:r>
      <w:r w:rsidR="00D1714B">
        <w:rPr>
          <w:rStyle w:val="FootnoteReference"/>
        </w:rPr>
        <w:footnoteReference w:id="128"/>
      </w:r>
      <w:r w:rsidR="00D1714B">
        <w:t xml:space="preserve">  Likewise,</w:t>
      </w:r>
      <w:r w:rsidR="002F22E2">
        <w:t xml:space="preserve"> Staff and PSE include </w:t>
      </w:r>
      <w:r w:rsidR="00D1714B">
        <w:t xml:space="preserve">only wage increases for UA employees through </w:t>
      </w:r>
      <w:r w:rsidR="00D30BCE">
        <w:t xml:space="preserve">September 30, 2010, </w:t>
      </w:r>
      <w:r w:rsidR="00D1714B">
        <w:t>the end of the current UA cont</w:t>
      </w:r>
      <w:r w:rsidR="00D30BCE">
        <w:t>ract</w:t>
      </w:r>
      <w:r w:rsidR="00D1714B">
        <w:t>.</w:t>
      </w:r>
      <w:r w:rsidR="00D1714B">
        <w:rPr>
          <w:rStyle w:val="FootnoteReference"/>
        </w:rPr>
        <w:footnoteReference w:id="129"/>
      </w:r>
      <w:r w:rsidR="00D1714B">
        <w:t xml:space="preserve">  </w:t>
      </w:r>
    </w:p>
    <w:p w:rsidR="00ED072E" w:rsidRPr="002B4EB0" w:rsidRDefault="002B4EB0" w:rsidP="00C61B17">
      <w:pPr>
        <w:pStyle w:val="ListParagraph"/>
        <w:numPr>
          <w:ilvl w:val="0"/>
          <w:numId w:val="11"/>
        </w:numPr>
        <w:tabs>
          <w:tab w:val="left" w:pos="720"/>
        </w:tabs>
        <w:spacing w:line="480" w:lineRule="auto"/>
        <w:rPr>
          <w:rFonts w:ascii="Times New Roman" w:hAnsi="Times New Roman"/>
          <w:sz w:val="24"/>
          <w:szCs w:val="24"/>
        </w:rPr>
      </w:pPr>
      <w:r>
        <w:rPr>
          <w:rFonts w:ascii="Times New Roman" w:hAnsi="Times New Roman"/>
          <w:sz w:val="24"/>
          <w:szCs w:val="24"/>
        </w:rPr>
        <w:tab/>
      </w:r>
      <w:r w:rsidR="00D30BCE" w:rsidRPr="002B4EB0">
        <w:rPr>
          <w:rFonts w:ascii="Times New Roman" w:hAnsi="Times New Roman"/>
          <w:sz w:val="24"/>
          <w:szCs w:val="24"/>
        </w:rPr>
        <w:t>Staff and the Company</w:t>
      </w:r>
      <w:r w:rsidR="002F22E2" w:rsidRPr="002B4EB0">
        <w:rPr>
          <w:rFonts w:ascii="Times New Roman" w:hAnsi="Times New Roman"/>
          <w:sz w:val="24"/>
          <w:szCs w:val="24"/>
        </w:rPr>
        <w:t>, however,</w:t>
      </w:r>
      <w:r w:rsidR="00D30BCE" w:rsidRPr="002B4EB0">
        <w:rPr>
          <w:rFonts w:ascii="Times New Roman" w:hAnsi="Times New Roman"/>
          <w:sz w:val="24"/>
          <w:szCs w:val="24"/>
        </w:rPr>
        <w:t xml:space="preserve"> do not</w:t>
      </w:r>
      <w:r w:rsidR="002F22E2" w:rsidRPr="002B4EB0">
        <w:rPr>
          <w:rFonts w:ascii="Times New Roman" w:hAnsi="Times New Roman"/>
          <w:sz w:val="24"/>
          <w:szCs w:val="24"/>
        </w:rPr>
        <w:t xml:space="preserve"> </w:t>
      </w:r>
      <w:r w:rsidR="00D30BCE" w:rsidRPr="002B4EB0">
        <w:rPr>
          <w:rFonts w:ascii="Times New Roman" w:hAnsi="Times New Roman"/>
          <w:sz w:val="24"/>
          <w:szCs w:val="24"/>
        </w:rPr>
        <w:t>agree on the adjustment for non-union employee wage inc</w:t>
      </w:r>
      <w:r w:rsidR="00EE5FB8" w:rsidRPr="002B4EB0">
        <w:rPr>
          <w:rFonts w:ascii="Times New Roman" w:hAnsi="Times New Roman"/>
          <w:sz w:val="24"/>
          <w:szCs w:val="24"/>
        </w:rPr>
        <w:t>r</w:t>
      </w:r>
      <w:r w:rsidR="00D30BCE" w:rsidRPr="002B4EB0">
        <w:rPr>
          <w:rFonts w:ascii="Times New Roman" w:hAnsi="Times New Roman"/>
          <w:sz w:val="24"/>
          <w:szCs w:val="24"/>
        </w:rPr>
        <w:t>eases.</w:t>
      </w:r>
      <w:r w:rsidR="00EE5FB8" w:rsidRPr="002B4EB0">
        <w:rPr>
          <w:rFonts w:ascii="Times New Roman" w:hAnsi="Times New Roman"/>
          <w:sz w:val="24"/>
          <w:szCs w:val="24"/>
        </w:rPr>
        <w:t xml:space="preserve">  </w:t>
      </w:r>
      <w:r w:rsidR="00D30BCE" w:rsidRPr="002B4EB0">
        <w:rPr>
          <w:rFonts w:ascii="Times New Roman" w:hAnsi="Times New Roman"/>
          <w:sz w:val="24"/>
          <w:szCs w:val="24"/>
        </w:rPr>
        <w:t>P</w:t>
      </w:r>
      <w:r w:rsidR="00EE5FB8" w:rsidRPr="002B4EB0">
        <w:rPr>
          <w:rFonts w:ascii="Times New Roman" w:hAnsi="Times New Roman"/>
          <w:sz w:val="24"/>
          <w:szCs w:val="24"/>
        </w:rPr>
        <w:t xml:space="preserve">SE </w:t>
      </w:r>
      <w:r w:rsidR="00D30BCE" w:rsidRPr="002B4EB0">
        <w:rPr>
          <w:rFonts w:ascii="Times New Roman" w:hAnsi="Times New Roman"/>
          <w:sz w:val="24"/>
          <w:szCs w:val="24"/>
        </w:rPr>
        <w:t>include</w:t>
      </w:r>
      <w:r w:rsidR="00EE5FB8" w:rsidRPr="002B4EB0">
        <w:rPr>
          <w:rFonts w:ascii="Times New Roman" w:hAnsi="Times New Roman"/>
          <w:sz w:val="24"/>
          <w:szCs w:val="24"/>
        </w:rPr>
        <w:t xml:space="preserve">s a 3 percent increase </w:t>
      </w:r>
      <w:r w:rsidR="00D30BCE" w:rsidRPr="002B4EB0">
        <w:rPr>
          <w:rFonts w:ascii="Times New Roman" w:hAnsi="Times New Roman"/>
          <w:sz w:val="24"/>
          <w:szCs w:val="24"/>
        </w:rPr>
        <w:t>f</w:t>
      </w:r>
      <w:r w:rsidR="00ED072E" w:rsidRPr="002B4EB0">
        <w:rPr>
          <w:rFonts w:ascii="Times New Roman" w:hAnsi="Times New Roman"/>
          <w:sz w:val="24"/>
          <w:szCs w:val="24"/>
        </w:rPr>
        <w:t xml:space="preserve">rom March 1, 2010, </w:t>
      </w:r>
      <w:r w:rsidR="00784300" w:rsidRPr="002B4EB0">
        <w:rPr>
          <w:rFonts w:ascii="Times New Roman" w:hAnsi="Times New Roman"/>
          <w:sz w:val="24"/>
          <w:szCs w:val="24"/>
        </w:rPr>
        <w:t xml:space="preserve">based on a 2010 </w:t>
      </w:r>
      <w:r w:rsidR="00ED072E" w:rsidRPr="002B4EB0">
        <w:rPr>
          <w:rFonts w:ascii="Times New Roman" w:hAnsi="Times New Roman"/>
          <w:sz w:val="24"/>
          <w:szCs w:val="24"/>
        </w:rPr>
        <w:t>budget</w:t>
      </w:r>
      <w:r w:rsidR="00B8775E" w:rsidRPr="002B4EB0">
        <w:rPr>
          <w:rFonts w:ascii="Times New Roman" w:hAnsi="Times New Roman"/>
          <w:sz w:val="24"/>
          <w:szCs w:val="24"/>
        </w:rPr>
        <w:t xml:space="preserve"> forecast</w:t>
      </w:r>
      <w:r w:rsidR="00ED072E" w:rsidRPr="002B4EB0">
        <w:rPr>
          <w:rFonts w:ascii="Times New Roman" w:hAnsi="Times New Roman"/>
          <w:sz w:val="24"/>
          <w:szCs w:val="24"/>
        </w:rPr>
        <w:t>.</w:t>
      </w:r>
      <w:r w:rsidR="00EE5FB8">
        <w:rPr>
          <w:rStyle w:val="FootnoteReference"/>
          <w:rFonts w:ascii="Times New Roman" w:hAnsi="Times New Roman"/>
          <w:sz w:val="24"/>
          <w:szCs w:val="24"/>
        </w:rPr>
        <w:footnoteReference w:id="130"/>
      </w:r>
      <w:r w:rsidR="00D30BCE" w:rsidRPr="002B4EB0">
        <w:rPr>
          <w:rFonts w:ascii="Times New Roman" w:hAnsi="Times New Roman"/>
          <w:sz w:val="24"/>
          <w:szCs w:val="24"/>
        </w:rPr>
        <w:t xml:space="preserve">  </w:t>
      </w:r>
      <w:r w:rsidR="002F22E2" w:rsidRPr="002B4EB0">
        <w:rPr>
          <w:rFonts w:ascii="Times New Roman" w:hAnsi="Times New Roman"/>
          <w:sz w:val="24"/>
          <w:szCs w:val="24"/>
        </w:rPr>
        <w:t>Staff removes</w:t>
      </w:r>
      <w:r w:rsidR="00ED072E" w:rsidRPr="002B4EB0">
        <w:rPr>
          <w:rFonts w:ascii="Times New Roman" w:hAnsi="Times New Roman"/>
          <w:sz w:val="24"/>
          <w:szCs w:val="24"/>
        </w:rPr>
        <w:t xml:space="preserve"> that increase because any such budget </w:t>
      </w:r>
      <w:r w:rsidR="00784300" w:rsidRPr="002B4EB0">
        <w:rPr>
          <w:rFonts w:ascii="Times New Roman" w:hAnsi="Times New Roman"/>
          <w:sz w:val="24"/>
          <w:szCs w:val="24"/>
        </w:rPr>
        <w:t xml:space="preserve">estimate is uncertain </w:t>
      </w:r>
      <w:r w:rsidR="00ED072E" w:rsidRPr="002B4EB0">
        <w:rPr>
          <w:rFonts w:ascii="Times New Roman" w:hAnsi="Times New Roman"/>
          <w:sz w:val="24"/>
          <w:szCs w:val="24"/>
        </w:rPr>
        <w:t>and, thus,</w:t>
      </w:r>
      <w:r w:rsidR="00B8775E" w:rsidRPr="002B4EB0">
        <w:rPr>
          <w:rFonts w:ascii="Times New Roman" w:hAnsi="Times New Roman"/>
          <w:sz w:val="24"/>
          <w:szCs w:val="24"/>
        </w:rPr>
        <w:t xml:space="preserve"> </w:t>
      </w:r>
      <w:r w:rsidR="002F22E2" w:rsidRPr="002B4EB0">
        <w:rPr>
          <w:rFonts w:ascii="Times New Roman" w:hAnsi="Times New Roman"/>
          <w:sz w:val="24"/>
          <w:szCs w:val="24"/>
        </w:rPr>
        <w:t xml:space="preserve">not </w:t>
      </w:r>
      <w:r w:rsidR="00ED072E" w:rsidRPr="002B4EB0">
        <w:rPr>
          <w:rFonts w:ascii="Times New Roman" w:hAnsi="Times New Roman"/>
          <w:sz w:val="24"/>
          <w:szCs w:val="24"/>
        </w:rPr>
        <w:t>“kn</w:t>
      </w:r>
      <w:r w:rsidR="002F22E2" w:rsidRPr="002B4EB0">
        <w:rPr>
          <w:rFonts w:ascii="Times New Roman" w:hAnsi="Times New Roman"/>
          <w:sz w:val="24"/>
          <w:szCs w:val="24"/>
        </w:rPr>
        <w:t>own and measurable”</w:t>
      </w:r>
      <w:r w:rsidR="00D30BCE" w:rsidRPr="002B4EB0">
        <w:rPr>
          <w:rFonts w:ascii="Times New Roman" w:hAnsi="Times New Roman"/>
          <w:sz w:val="24"/>
          <w:szCs w:val="24"/>
        </w:rPr>
        <w:t>.</w:t>
      </w:r>
      <w:r w:rsidR="00D30BCE" w:rsidRPr="00D30BCE">
        <w:rPr>
          <w:rStyle w:val="FootnoteReference"/>
          <w:rFonts w:ascii="Times New Roman" w:hAnsi="Times New Roman"/>
          <w:sz w:val="24"/>
          <w:szCs w:val="24"/>
        </w:rPr>
        <w:footnoteReference w:id="131"/>
      </w:r>
      <w:r w:rsidR="00ED072E" w:rsidRPr="002B4EB0">
        <w:rPr>
          <w:rFonts w:ascii="Times New Roman" w:hAnsi="Times New Roman"/>
          <w:sz w:val="24"/>
          <w:szCs w:val="24"/>
        </w:rPr>
        <w:t xml:space="preserve">  </w:t>
      </w:r>
    </w:p>
    <w:p w:rsidR="004D2AE9" w:rsidRPr="002B4EB0" w:rsidRDefault="002B4EB0" w:rsidP="00C61B17">
      <w:pPr>
        <w:pStyle w:val="ListParagraph"/>
        <w:numPr>
          <w:ilvl w:val="0"/>
          <w:numId w:val="11"/>
        </w:numPr>
        <w:tabs>
          <w:tab w:val="left" w:pos="720"/>
        </w:tabs>
        <w:spacing w:line="480" w:lineRule="auto"/>
        <w:rPr>
          <w:rFonts w:ascii="Times New Roman" w:hAnsi="Times New Roman"/>
          <w:sz w:val="24"/>
          <w:szCs w:val="24"/>
        </w:rPr>
      </w:pPr>
      <w:r>
        <w:rPr>
          <w:rFonts w:ascii="Times New Roman" w:hAnsi="Times New Roman"/>
          <w:sz w:val="24"/>
          <w:szCs w:val="24"/>
        </w:rPr>
        <w:lastRenderedPageBreak/>
        <w:tab/>
      </w:r>
      <w:r w:rsidR="00D30BCE" w:rsidRPr="002B4EB0">
        <w:rPr>
          <w:rFonts w:ascii="Times New Roman" w:hAnsi="Times New Roman"/>
          <w:sz w:val="24"/>
          <w:szCs w:val="24"/>
        </w:rPr>
        <w:t>PSE states tha</w:t>
      </w:r>
      <w:r w:rsidR="00ED072E" w:rsidRPr="002B4EB0">
        <w:rPr>
          <w:rFonts w:ascii="Times New Roman" w:hAnsi="Times New Roman"/>
          <w:sz w:val="24"/>
          <w:szCs w:val="24"/>
        </w:rPr>
        <w:t xml:space="preserve">t </w:t>
      </w:r>
      <w:r w:rsidR="002F22E2" w:rsidRPr="002B4EB0">
        <w:rPr>
          <w:rFonts w:ascii="Times New Roman" w:hAnsi="Times New Roman"/>
          <w:sz w:val="24"/>
          <w:szCs w:val="24"/>
        </w:rPr>
        <w:t xml:space="preserve">the </w:t>
      </w:r>
      <w:r w:rsidR="00F31D9C">
        <w:rPr>
          <w:rFonts w:ascii="Times New Roman" w:hAnsi="Times New Roman"/>
          <w:sz w:val="24"/>
          <w:szCs w:val="24"/>
        </w:rPr>
        <w:t xml:space="preserve">2010 </w:t>
      </w:r>
      <w:r w:rsidR="00372936" w:rsidRPr="002B4EB0">
        <w:rPr>
          <w:rFonts w:ascii="Times New Roman" w:hAnsi="Times New Roman"/>
          <w:sz w:val="24"/>
          <w:szCs w:val="24"/>
        </w:rPr>
        <w:t xml:space="preserve">budget </w:t>
      </w:r>
      <w:r w:rsidR="004D2AE9" w:rsidRPr="002B4EB0">
        <w:rPr>
          <w:rFonts w:ascii="Times New Roman" w:hAnsi="Times New Roman"/>
          <w:sz w:val="24"/>
          <w:szCs w:val="24"/>
        </w:rPr>
        <w:t xml:space="preserve">was approved by the </w:t>
      </w:r>
      <w:r w:rsidR="00ED072E" w:rsidRPr="002B4EB0">
        <w:rPr>
          <w:rFonts w:ascii="Times New Roman" w:hAnsi="Times New Roman"/>
          <w:sz w:val="24"/>
          <w:szCs w:val="24"/>
        </w:rPr>
        <w:t>Board of Directors in November 2009.</w:t>
      </w:r>
      <w:r w:rsidR="00ED072E">
        <w:rPr>
          <w:rStyle w:val="FootnoteReference"/>
          <w:rFonts w:ascii="Times New Roman" w:hAnsi="Times New Roman"/>
          <w:sz w:val="24"/>
          <w:szCs w:val="24"/>
        </w:rPr>
        <w:footnoteReference w:id="132"/>
      </w:r>
      <w:r w:rsidR="00ED072E" w:rsidRPr="002B4EB0">
        <w:rPr>
          <w:rFonts w:ascii="Times New Roman" w:hAnsi="Times New Roman"/>
          <w:sz w:val="24"/>
          <w:szCs w:val="24"/>
        </w:rPr>
        <w:t xml:space="preserve"> </w:t>
      </w:r>
      <w:r w:rsidR="00D30BCE" w:rsidRPr="002B4EB0">
        <w:rPr>
          <w:rFonts w:ascii="Times New Roman" w:hAnsi="Times New Roman"/>
          <w:sz w:val="24"/>
          <w:szCs w:val="24"/>
        </w:rPr>
        <w:t xml:space="preserve"> </w:t>
      </w:r>
      <w:r w:rsidR="00372936" w:rsidRPr="002B4EB0">
        <w:rPr>
          <w:rFonts w:ascii="Times New Roman" w:hAnsi="Times New Roman"/>
          <w:sz w:val="24"/>
          <w:szCs w:val="24"/>
        </w:rPr>
        <w:t xml:space="preserve">However, PSE </w:t>
      </w:r>
      <w:r w:rsidR="00ED072E" w:rsidRPr="002B4EB0">
        <w:rPr>
          <w:rFonts w:ascii="Times New Roman" w:hAnsi="Times New Roman"/>
          <w:sz w:val="24"/>
          <w:szCs w:val="24"/>
        </w:rPr>
        <w:t>could not</w:t>
      </w:r>
      <w:r w:rsidR="004D2AE9" w:rsidRPr="002B4EB0">
        <w:rPr>
          <w:rFonts w:ascii="Times New Roman" w:hAnsi="Times New Roman"/>
          <w:sz w:val="24"/>
          <w:szCs w:val="24"/>
        </w:rPr>
        <w:t xml:space="preserve"> support the </w:t>
      </w:r>
      <w:r w:rsidR="00FF31E1">
        <w:rPr>
          <w:rFonts w:ascii="Times New Roman" w:hAnsi="Times New Roman"/>
          <w:sz w:val="24"/>
          <w:szCs w:val="24"/>
        </w:rPr>
        <w:t>budgeted wage increases with</w:t>
      </w:r>
      <w:r w:rsidR="004D2AE9" w:rsidRPr="002B4EB0">
        <w:rPr>
          <w:rFonts w:ascii="Times New Roman" w:hAnsi="Times New Roman"/>
          <w:sz w:val="24"/>
          <w:szCs w:val="24"/>
        </w:rPr>
        <w:t xml:space="preserve"> specific documents</w:t>
      </w:r>
      <w:r w:rsidR="00FF31E1">
        <w:rPr>
          <w:rFonts w:ascii="Times New Roman" w:hAnsi="Times New Roman"/>
          <w:sz w:val="24"/>
          <w:szCs w:val="24"/>
        </w:rPr>
        <w:t>.  I</w:t>
      </w:r>
      <w:r w:rsidR="00F31D9C">
        <w:rPr>
          <w:rFonts w:ascii="Times New Roman" w:hAnsi="Times New Roman"/>
          <w:sz w:val="24"/>
          <w:szCs w:val="24"/>
        </w:rPr>
        <w:t xml:space="preserve">t </w:t>
      </w:r>
      <w:r w:rsidR="00F6258E">
        <w:rPr>
          <w:rFonts w:ascii="Times New Roman" w:hAnsi="Times New Roman"/>
          <w:sz w:val="24"/>
          <w:szCs w:val="24"/>
        </w:rPr>
        <w:t>admitted</w:t>
      </w:r>
      <w:r w:rsidR="00372936" w:rsidRPr="002B4EB0">
        <w:rPr>
          <w:rFonts w:ascii="Times New Roman" w:hAnsi="Times New Roman"/>
          <w:sz w:val="24"/>
          <w:szCs w:val="24"/>
        </w:rPr>
        <w:t xml:space="preserve"> that no </w:t>
      </w:r>
      <w:r w:rsidR="00D30BCE" w:rsidRPr="002B4EB0">
        <w:rPr>
          <w:rFonts w:ascii="Times New Roman" w:hAnsi="Times New Roman"/>
          <w:sz w:val="24"/>
          <w:szCs w:val="24"/>
        </w:rPr>
        <w:t>documents were part of the Board’s approval.</w:t>
      </w:r>
      <w:r w:rsidR="00D30BCE" w:rsidRPr="00D30BCE">
        <w:rPr>
          <w:rStyle w:val="FootnoteReference"/>
          <w:rFonts w:ascii="Times New Roman" w:hAnsi="Times New Roman"/>
          <w:sz w:val="24"/>
          <w:szCs w:val="24"/>
        </w:rPr>
        <w:footnoteReference w:id="133"/>
      </w:r>
      <w:r w:rsidR="00D30BCE" w:rsidRPr="002B4EB0">
        <w:rPr>
          <w:rFonts w:ascii="Times New Roman" w:hAnsi="Times New Roman"/>
          <w:sz w:val="24"/>
          <w:szCs w:val="24"/>
        </w:rPr>
        <w:t xml:space="preserve">  </w:t>
      </w:r>
    </w:p>
    <w:p w:rsidR="00E0310F" w:rsidRPr="002B4EB0" w:rsidRDefault="002B4EB0" w:rsidP="00C61B17">
      <w:pPr>
        <w:pStyle w:val="ListParagraph"/>
        <w:numPr>
          <w:ilvl w:val="0"/>
          <w:numId w:val="11"/>
        </w:numPr>
        <w:tabs>
          <w:tab w:val="left" w:pos="720"/>
        </w:tabs>
        <w:spacing w:line="480" w:lineRule="auto"/>
        <w:rPr>
          <w:rFonts w:ascii="Times New Roman" w:hAnsi="Times New Roman"/>
          <w:sz w:val="24"/>
          <w:szCs w:val="24"/>
        </w:rPr>
      </w:pPr>
      <w:r>
        <w:rPr>
          <w:rFonts w:ascii="Times New Roman" w:hAnsi="Times New Roman"/>
          <w:sz w:val="24"/>
          <w:szCs w:val="24"/>
        </w:rPr>
        <w:tab/>
      </w:r>
      <w:r w:rsidR="004D2AE9" w:rsidRPr="002B4EB0">
        <w:rPr>
          <w:rFonts w:ascii="Times New Roman" w:hAnsi="Times New Roman"/>
          <w:sz w:val="24"/>
          <w:szCs w:val="24"/>
        </w:rPr>
        <w:t xml:space="preserve">PSE </w:t>
      </w:r>
      <w:r w:rsidR="00B8775E" w:rsidRPr="002B4EB0">
        <w:rPr>
          <w:rFonts w:ascii="Times New Roman" w:hAnsi="Times New Roman"/>
          <w:sz w:val="24"/>
          <w:szCs w:val="24"/>
        </w:rPr>
        <w:t xml:space="preserve">also </w:t>
      </w:r>
      <w:r w:rsidR="004D2AE9" w:rsidRPr="002B4EB0">
        <w:rPr>
          <w:rFonts w:ascii="Times New Roman" w:hAnsi="Times New Roman"/>
          <w:sz w:val="24"/>
          <w:szCs w:val="24"/>
        </w:rPr>
        <w:t xml:space="preserve">acknowledged that the </w:t>
      </w:r>
      <w:r w:rsidR="00D30BCE" w:rsidRPr="002B4EB0">
        <w:rPr>
          <w:rFonts w:ascii="Times New Roman" w:hAnsi="Times New Roman"/>
          <w:sz w:val="24"/>
          <w:szCs w:val="24"/>
        </w:rPr>
        <w:t>Boa</w:t>
      </w:r>
      <w:r w:rsidR="00784300" w:rsidRPr="002B4EB0">
        <w:rPr>
          <w:rFonts w:ascii="Times New Roman" w:hAnsi="Times New Roman"/>
          <w:sz w:val="24"/>
          <w:szCs w:val="24"/>
        </w:rPr>
        <w:t xml:space="preserve">rd has authority to rescind </w:t>
      </w:r>
      <w:r w:rsidR="004D2AE9" w:rsidRPr="002B4EB0">
        <w:rPr>
          <w:rFonts w:ascii="Times New Roman" w:hAnsi="Times New Roman"/>
          <w:sz w:val="24"/>
          <w:szCs w:val="24"/>
        </w:rPr>
        <w:t xml:space="preserve">prior </w:t>
      </w:r>
      <w:r w:rsidR="00D30BCE" w:rsidRPr="002B4EB0">
        <w:rPr>
          <w:rFonts w:ascii="Times New Roman" w:hAnsi="Times New Roman"/>
          <w:sz w:val="24"/>
          <w:szCs w:val="24"/>
        </w:rPr>
        <w:t>actio</w:t>
      </w:r>
      <w:r w:rsidR="00784300" w:rsidRPr="002B4EB0">
        <w:rPr>
          <w:rFonts w:ascii="Times New Roman" w:hAnsi="Times New Roman"/>
          <w:sz w:val="24"/>
          <w:szCs w:val="24"/>
        </w:rPr>
        <w:t xml:space="preserve">ns or make changes to </w:t>
      </w:r>
      <w:r w:rsidR="00D30BCE" w:rsidRPr="002B4EB0">
        <w:rPr>
          <w:rFonts w:ascii="Times New Roman" w:hAnsi="Times New Roman"/>
          <w:sz w:val="24"/>
          <w:szCs w:val="24"/>
        </w:rPr>
        <w:t>budget</w:t>
      </w:r>
      <w:r w:rsidR="00784300" w:rsidRPr="002B4EB0">
        <w:rPr>
          <w:rFonts w:ascii="Times New Roman" w:hAnsi="Times New Roman"/>
          <w:sz w:val="24"/>
          <w:szCs w:val="24"/>
        </w:rPr>
        <w:t xml:space="preserve"> projection</w:t>
      </w:r>
      <w:r w:rsidR="00D30BCE" w:rsidRPr="002B4EB0">
        <w:rPr>
          <w:rFonts w:ascii="Times New Roman" w:hAnsi="Times New Roman"/>
          <w:sz w:val="24"/>
          <w:szCs w:val="24"/>
        </w:rPr>
        <w:t>s after they are approved.</w:t>
      </w:r>
      <w:r w:rsidR="00D30BCE" w:rsidRPr="00D30BCE">
        <w:rPr>
          <w:rStyle w:val="FootnoteReference"/>
          <w:rFonts w:ascii="Times New Roman" w:hAnsi="Times New Roman"/>
          <w:sz w:val="24"/>
          <w:szCs w:val="24"/>
        </w:rPr>
        <w:footnoteReference w:id="134"/>
      </w:r>
      <w:r w:rsidR="00D30BCE" w:rsidRPr="002B4EB0">
        <w:rPr>
          <w:rFonts w:ascii="Times New Roman" w:hAnsi="Times New Roman"/>
          <w:sz w:val="24"/>
          <w:szCs w:val="24"/>
        </w:rPr>
        <w:t xml:space="preserve">  It is inappropriate to pro form bu</w:t>
      </w:r>
      <w:r w:rsidR="004D2AE9" w:rsidRPr="002B4EB0">
        <w:rPr>
          <w:rFonts w:ascii="Times New Roman" w:hAnsi="Times New Roman"/>
          <w:sz w:val="24"/>
          <w:szCs w:val="24"/>
        </w:rPr>
        <w:t>dgeted wage increases that the C</w:t>
      </w:r>
      <w:r w:rsidR="00D30BCE" w:rsidRPr="002B4EB0">
        <w:rPr>
          <w:rFonts w:ascii="Times New Roman" w:hAnsi="Times New Roman"/>
          <w:sz w:val="24"/>
          <w:szCs w:val="24"/>
        </w:rPr>
        <w:t>ompany is not yet obligated to pay.</w:t>
      </w:r>
    </w:p>
    <w:p w:rsidR="00DA554C" w:rsidRDefault="00DA554C" w:rsidP="00C96CFB">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f.</w:t>
      </w:r>
      <w:r>
        <w:rPr>
          <w:rFonts w:ascii="Times New Roman" w:hAnsi="Times New Roman"/>
          <w:b/>
          <w:sz w:val="24"/>
        </w:rPr>
        <w:tab/>
        <w:t>10.26 and 9.19, Investment Plan</w:t>
      </w:r>
    </w:p>
    <w:p w:rsidR="00AE48D2" w:rsidRPr="002B4EB0" w:rsidRDefault="002B4EB0"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B033BB" w:rsidRPr="002B4EB0">
        <w:rPr>
          <w:rFonts w:ascii="Times New Roman" w:hAnsi="Times New Roman"/>
          <w:sz w:val="24"/>
        </w:rPr>
        <w:t>Thes</w:t>
      </w:r>
      <w:r w:rsidR="00257EC0" w:rsidRPr="002B4EB0">
        <w:rPr>
          <w:rFonts w:ascii="Times New Roman" w:hAnsi="Times New Roman"/>
          <w:sz w:val="24"/>
        </w:rPr>
        <w:t>e adjustments adjust PSE</w:t>
      </w:r>
      <w:r w:rsidR="00B033BB" w:rsidRPr="002B4EB0">
        <w:rPr>
          <w:rFonts w:ascii="Times New Roman" w:hAnsi="Times New Roman"/>
          <w:sz w:val="24"/>
        </w:rPr>
        <w:t>’s portion of the invest</w:t>
      </w:r>
      <w:r w:rsidR="00257EC0" w:rsidRPr="002B4EB0">
        <w:rPr>
          <w:rFonts w:ascii="Times New Roman" w:hAnsi="Times New Roman"/>
          <w:sz w:val="24"/>
        </w:rPr>
        <w:t>ment plan expense to reflect</w:t>
      </w:r>
      <w:r w:rsidR="00B033BB" w:rsidRPr="002B4EB0">
        <w:rPr>
          <w:rFonts w:ascii="Times New Roman" w:hAnsi="Times New Roman"/>
          <w:sz w:val="24"/>
        </w:rPr>
        <w:t xml:space="preserve"> additional expense</w:t>
      </w:r>
      <w:r w:rsidR="00257EC0" w:rsidRPr="002B4EB0">
        <w:rPr>
          <w:rFonts w:ascii="Times New Roman" w:hAnsi="Times New Roman"/>
          <w:sz w:val="24"/>
        </w:rPr>
        <w:t>s</w:t>
      </w:r>
      <w:r w:rsidR="00C70881" w:rsidRPr="002B4EB0">
        <w:rPr>
          <w:rFonts w:ascii="Times New Roman" w:hAnsi="Times New Roman"/>
          <w:sz w:val="24"/>
        </w:rPr>
        <w:t xml:space="preserve"> for </w:t>
      </w:r>
      <w:r w:rsidR="00257EC0" w:rsidRPr="002B4EB0">
        <w:rPr>
          <w:rFonts w:ascii="Times New Roman" w:hAnsi="Times New Roman"/>
          <w:sz w:val="24"/>
        </w:rPr>
        <w:t xml:space="preserve">wage increases.  </w:t>
      </w:r>
      <w:r w:rsidR="00B033BB" w:rsidRPr="002B4EB0">
        <w:rPr>
          <w:rFonts w:ascii="Times New Roman" w:hAnsi="Times New Roman"/>
          <w:sz w:val="24"/>
        </w:rPr>
        <w:t xml:space="preserve">Staff and Company adjustments differ </w:t>
      </w:r>
      <w:r w:rsidR="00257EC0" w:rsidRPr="002B4EB0">
        <w:rPr>
          <w:rFonts w:ascii="Times New Roman" w:hAnsi="Times New Roman"/>
          <w:sz w:val="24"/>
        </w:rPr>
        <w:t xml:space="preserve">only </w:t>
      </w:r>
      <w:r w:rsidR="00B033BB" w:rsidRPr="002B4EB0">
        <w:rPr>
          <w:rFonts w:ascii="Times New Roman" w:hAnsi="Times New Roman"/>
          <w:sz w:val="24"/>
        </w:rPr>
        <w:t xml:space="preserve">because of differences in their </w:t>
      </w:r>
      <w:r w:rsidR="00257EC0" w:rsidRPr="002B4EB0">
        <w:rPr>
          <w:rFonts w:ascii="Times New Roman" w:hAnsi="Times New Roman"/>
          <w:sz w:val="24"/>
        </w:rPr>
        <w:t>W</w:t>
      </w:r>
      <w:r w:rsidR="00B033BB" w:rsidRPr="002B4EB0">
        <w:rPr>
          <w:rFonts w:ascii="Times New Roman" w:hAnsi="Times New Roman"/>
          <w:sz w:val="24"/>
        </w:rPr>
        <w:t xml:space="preserve">age </w:t>
      </w:r>
      <w:r w:rsidR="00257EC0" w:rsidRPr="002B4EB0">
        <w:rPr>
          <w:rFonts w:ascii="Times New Roman" w:hAnsi="Times New Roman"/>
          <w:sz w:val="24"/>
        </w:rPr>
        <w:t>I</w:t>
      </w:r>
      <w:r w:rsidR="00B033BB" w:rsidRPr="002B4EB0">
        <w:rPr>
          <w:rFonts w:ascii="Times New Roman" w:hAnsi="Times New Roman"/>
          <w:sz w:val="24"/>
        </w:rPr>
        <w:t>ncre</w:t>
      </w:r>
      <w:r w:rsidR="00FF3E5D" w:rsidRPr="002B4EB0">
        <w:rPr>
          <w:rFonts w:ascii="Times New Roman" w:hAnsi="Times New Roman"/>
          <w:sz w:val="24"/>
        </w:rPr>
        <w:t>ase adjustments</w:t>
      </w:r>
      <w:r w:rsidR="00B033BB" w:rsidRPr="002B4EB0">
        <w:rPr>
          <w:rFonts w:ascii="Times New Roman" w:hAnsi="Times New Roman"/>
          <w:sz w:val="24"/>
        </w:rPr>
        <w:t>.</w:t>
      </w:r>
    </w:p>
    <w:p w:rsidR="00DA554C" w:rsidRDefault="00DA554C" w:rsidP="00C96CFB">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g.</w:t>
      </w:r>
      <w:r>
        <w:rPr>
          <w:rFonts w:ascii="Times New Roman" w:hAnsi="Times New Roman"/>
          <w:b/>
          <w:sz w:val="24"/>
        </w:rPr>
        <w:tab/>
        <w:t>10.27 and 9.20, Employee Insurance</w:t>
      </w:r>
    </w:p>
    <w:p w:rsidR="003F2EE3" w:rsidRDefault="002B4EB0" w:rsidP="00C61B17">
      <w:pPr>
        <w:pStyle w:val="NoSpacing"/>
        <w:numPr>
          <w:ilvl w:val="0"/>
          <w:numId w:val="11"/>
        </w:numPr>
        <w:spacing w:line="480" w:lineRule="auto"/>
      </w:pPr>
      <w:r>
        <w:tab/>
      </w:r>
      <w:r w:rsidR="003F2EE3">
        <w:t>Staff and PSE agree that these adjustments sh</w:t>
      </w:r>
      <w:r w:rsidR="00DC7C46">
        <w:t xml:space="preserve">ould reflect actual </w:t>
      </w:r>
      <w:r w:rsidR="003F2EE3">
        <w:t xml:space="preserve">Flex Credit benefit increases </w:t>
      </w:r>
      <w:r w:rsidR="00DC7C46">
        <w:t xml:space="preserve">of 4.75 percent </w:t>
      </w:r>
      <w:r w:rsidR="003F2EE3">
        <w:t>per employee that is set by contract.</w:t>
      </w:r>
      <w:r w:rsidR="003F2EE3">
        <w:rPr>
          <w:rStyle w:val="FootnoteReference"/>
        </w:rPr>
        <w:footnoteReference w:id="135"/>
      </w:r>
      <w:r w:rsidR="003F2EE3">
        <w:t xml:space="preserve">  Staff and Company disagree on</w:t>
      </w:r>
      <w:r w:rsidR="00337772">
        <w:t xml:space="preserve"> the employee counts used to calculate the adjustments. </w:t>
      </w:r>
      <w:r w:rsidR="003F2EE3">
        <w:t xml:space="preserve"> </w:t>
      </w:r>
    </w:p>
    <w:p w:rsidR="003F2EE3" w:rsidRDefault="002B4EB0" w:rsidP="00C61B17">
      <w:pPr>
        <w:pStyle w:val="NoSpacing"/>
        <w:numPr>
          <w:ilvl w:val="0"/>
          <w:numId w:val="11"/>
        </w:numPr>
        <w:spacing w:line="480" w:lineRule="auto"/>
      </w:pPr>
      <w:r>
        <w:tab/>
      </w:r>
      <w:r w:rsidR="007B1A51">
        <w:t xml:space="preserve">Staff used </w:t>
      </w:r>
      <w:r w:rsidR="00337772">
        <w:t>the</w:t>
      </w:r>
      <w:r w:rsidR="007B1A51">
        <w:t xml:space="preserve"> employee count from </w:t>
      </w:r>
      <w:r w:rsidR="00DC7C46">
        <w:t xml:space="preserve">PSE’s </w:t>
      </w:r>
      <w:r w:rsidR="00337772">
        <w:t>direct</w:t>
      </w:r>
      <w:r w:rsidR="00DC7C46">
        <w:t xml:space="preserve"> case, which was based on a </w:t>
      </w:r>
      <w:r w:rsidR="00337772">
        <w:t xml:space="preserve">system report run at the start of each month in the test year for active employees </w:t>
      </w:r>
      <w:r w:rsidR="007B1A51">
        <w:t>covered</w:t>
      </w:r>
      <w:r w:rsidR="00DC7C46">
        <w:t xml:space="preserve"> at that time</w:t>
      </w:r>
      <w:r w:rsidR="00337772">
        <w:t>.</w:t>
      </w:r>
      <w:r w:rsidR="00337772">
        <w:rPr>
          <w:rStyle w:val="FootnoteReference"/>
        </w:rPr>
        <w:footnoteReference w:id="136"/>
      </w:r>
      <w:r w:rsidR="007B1A51">
        <w:t xml:space="preserve">  Staff’s </w:t>
      </w:r>
      <w:r w:rsidR="00DC7C46">
        <w:t xml:space="preserve">adjustment, therefore, </w:t>
      </w:r>
      <w:r w:rsidR="00337772">
        <w:t xml:space="preserve">includes only actual costs incurred in the test period.  </w:t>
      </w:r>
    </w:p>
    <w:p w:rsidR="00337772" w:rsidRPr="00337772" w:rsidRDefault="002B4EB0" w:rsidP="00C61B17">
      <w:pPr>
        <w:pStyle w:val="NoSpacing"/>
        <w:numPr>
          <w:ilvl w:val="0"/>
          <w:numId w:val="11"/>
        </w:numPr>
        <w:spacing w:line="480" w:lineRule="auto"/>
      </w:pPr>
      <w:r>
        <w:tab/>
      </w:r>
      <w:r w:rsidR="003F2EE3">
        <w:t xml:space="preserve">By contrast, PSE </w:t>
      </w:r>
      <w:r w:rsidR="00640668">
        <w:t>revised its employee count to include n</w:t>
      </w:r>
      <w:r w:rsidR="00C84D5B">
        <w:t xml:space="preserve">ew employees </w:t>
      </w:r>
      <w:r w:rsidR="00640668">
        <w:t xml:space="preserve">who </w:t>
      </w:r>
      <w:r w:rsidR="00C84D5B">
        <w:t xml:space="preserve">must </w:t>
      </w:r>
      <w:r w:rsidR="00337772">
        <w:t>wait 30 days before they can sign up and qualify for coverage.</w:t>
      </w:r>
      <w:r w:rsidR="00337772">
        <w:rPr>
          <w:rStyle w:val="FootnoteReference"/>
        </w:rPr>
        <w:footnoteReference w:id="137"/>
      </w:r>
      <w:r w:rsidR="00337772">
        <w:t xml:space="preserve">  </w:t>
      </w:r>
      <w:r w:rsidR="00784300">
        <w:t xml:space="preserve">Consequently, PSE </w:t>
      </w:r>
      <w:r w:rsidR="00337772">
        <w:t xml:space="preserve">includes employees who were hired at the end of the test period, but who did not </w:t>
      </w:r>
      <w:r w:rsidR="00DC7C46">
        <w:t xml:space="preserve">qualify for </w:t>
      </w:r>
      <w:r w:rsidR="00337772">
        <w:lastRenderedPageBreak/>
        <w:t xml:space="preserve">coverage until after the test period. </w:t>
      </w:r>
      <w:r w:rsidR="00DC7C46">
        <w:t xml:space="preserve"> It is inappropriate to include </w:t>
      </w:r>
      <w:r w:rsidR="00337772">
        <w:t>insurance costs for these em</w:t>
      </w:r>
      <w:r w:rsidR="00C84D5B">
        <w:t xml:space="preserve">ployees because the costs were </w:t>
      </w:r>
      <w:r w:rsidR="00337772">
        <w:t xml:space="preserve">incurred outside the test period.  </w:t>
      </w:r>
    </w:p>
    <w:p w:rsidR="00DA554C" w:rsidRDefault="00DA554C" w:rsidP="00C96CFB">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h.</w:t>
      </w:r>
      <w:r>
        <w:rPr>
          <w:rFonts w:ascii="Times New Roman" w:hAnsi="Times New Roman"/>
          <w:b/>
          <w:sz w:val="24"/>
        </w:rPr>
        <w:tab/>
        <w:t>10.36 and 9.03, Net Interest Paid to IRS</w:t>
      </w:r>
    </w:p>
    <w:p w:rsidR="00DE2836" w:rsidRPr="00C61B17" w:rsidRDefault="00C61B17"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B8775E" w:rsidRPr="00C61B17">
        <w:rPr>
          <w:rFonts w:ascii="Times New Roman" w:hAnsi="Times New Roman"/>
          <w:sz w:val="24"/>
          <w:szCs w:val="24"/>
        </w:rPr>
        <w:t xml:space="preserve">PSE proposes </w:t>
      </w:r>
      <w:r w:rsidR="00DE2836" w:rsidRPr="00C61B17">
        <w:rPr>
          <w:rFonts w:ascii="Times New Roman" w:hAnsi="Times New Roman"/>
          <w:sz w:val="24"/>
          <w:szCs w:val="24"/>
        </w:rPr>
        <w:t>to recover net interest paid to the Internal Revenue Service (“IRS”), including carr</w:t>
      </w:r>
      <w:r w:rsidR="00B8775E" w:rsidRPr="00C61B17">
        <w:rPr>
          <w:rFonts w:ascii="Times New Roman" w:hAnsi="Times New Roman"/>
          <w:sz w:val="24"/>
          <w:szCs w:val="24"/>
        </w:rPr>
        <w:t xml:space="preserve">ying costs, which the Company </w:t>
      </w:r>
      <w:r w:rsidR="00DE2836" w:rsidRPr="00C61B17">
        <w:rPr>
          <w:rFonts w:ascii="Times New Roman" w:hAnsi="Times New Roman"/>
          <w:sz w:val="24"/>
          <w:szCs w:val="24"/>
        </w:rPr>
        <w:t xml:space="preserve">incurred in connection with </w:t>
      </w:r>
      <w:r w:rsidR="00B8775E" w:rsidRPr="00C61B17">
        <w:rPr>
          <w:rFonts w:ascii="Times New Roman" w:hAnsi="Times New Roman"/>
          <w:sz w:val="24"/>
          <w:szCs w:val="24"/>
        </w:rPr>
        <w:t xml:space="preserve">its </w:t>
      </w:r>
      <w:r w:rsidR="00DE2836" w:rsidRPr="00C61B17">
        <w:rPr>
          <w:rFonts w:ascii="Times New Roman" w:hAnsi="Times New Roman"/>
          <w:sz w:val="24"/>
          <w:szCs w:val="24"/>
        </w:rPr>
        <w:t>use of a simplified service cost accounti</w:t>
      </w:r>
      <w:r w:rsidR="00B8775E" w:rsidRPr="00C61B17">
        <w:rPr>
          <w:rFonts w:ascii="Times New Roman" w:hAnsi="Times New Roman"/>
          <w:sz w:val="24"/>
          <w:szCs w:val="24"/>
        </w:rPr>
        <w:t xml:space="preserve">ng method that later </w:t>
      </w:r>
      <w:r w:rsidR="00F31D9C" w:rsidRPr="00C61B17">
        <w:rPr>
          <w:rFonts w:ascii="Times New Roman" w:hAnsi="Times New Roman"/>
          <w:sz w:val="24"/>
          <w:szCs w:val="24"/>
        </w:rPr>
        <w:t xml:space="preserve">was </w:t>
      </w:r>
      <w:r w:rsidR="00DE2836" w:rsidRPr="00C61B17">
        <w:rPr>
          <w:rFonts w:ascii="Times New Roman" w:hAnsi="Times New Roman"/>
          <w:sz w:val="24"/>
          <w:szCs w:val="24"/>
        </w:rPr>
        <w:t xml:space="preserve">disallowed by the IRS.  As a result of a settlement, the IRS required PSE to pay interest on back taxes net of tax refunds.  The thrust of PSE’s argument is that this adjustment is necessary to make the Company whole.  This argument fails.  Staff recommends that the Commission reject this adjustment. </w:t>
      </w:r>
    </w:p>
    <w:p w:rsidR="00DE2836" w:rsidRPr="00C61B17" w:rsidRDefault="00C61B17"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DE2836" w:rsidRPr="00C61B17">
        <w:rPr>
          <w:rFonts w:ascii="Times New Roman" w:hAnsi="Times New Roman"/>
          <w:sz w:val="24"/>
          <w:szCs w:val="24"/>
        </w:rPr>
        <w:t>Staff’s specific and detailed analysis shows clearly that PSE has already been the net beneficiary of the use and subsequent disallowance of the tax method.  Therefore, any additional recovery would be an unwarranted and unreasonable windfall to PSE.</w:t>
      </w:r>
      <w:r w:rsidR="00DE2836" w:rsidRPr="00DE2836">
        <w:rPr>
          <w:rStyle w:val="FootnoteReference"/>
          <w:rFonts w:ascii="Times New Roman" w:hAnsi="Times New Roman"/>
          <w:sz w:val="24"/>
          <w:szCs w:val="24"/>
        </w:rPr>
        <w:footnoteReference w:id="138"/>
      </w:r>
      <w:r w:rsidR="00DE2836" w:rsidRPr="00C61B17">
        <w:rPr>
          <w:rFonts w:ascii="Times New Roman" w:hAnsi="Times New Roman"/>
          <w:sz w:val="24"/>
          <w:szCs w:val="24"/>
        </w:rPr>
        <w:t xml:space="preserve">  </w:t>
      </w:r>
    </w:p>
    <w:p w:rsidR="00DE2836" w:rsidRPr="00C61B17" w:rsidRDefault="00C61B17"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DE2836" w:rsidRPr="00C61B17">
        <w:rPr>
          <w:rFonts w:ascii="Times New Roman" w:hAnsi="Times New Roman"/>
          <w:sz w:val="24"/>
          <w:szCs w:val="24"/>
        </w:rPr>
        <w:t>PSE does not challenge Staff’s analysis showing net benefits already received by the Company.  As a result of deductions taken by PSE in 2002 through the simplified service cost method, PSE gained a $72 million tax benefit.  PSE enjoyed those benefits for a number of years, but ratepayers were deprived until March 2005 when the $72 million tax benefit was used to reduce rate base in a general rate case.</w:t>
      </w:r>
      <w:r w:rsidR="00DE2836" w:rsidRPr="00DE2836">
        <w:rPr>
          <w:rStyle w:val="FootnoteReference"/>
          <w:rFonts w:ascii="Times New Roman" w:hAnsi="Times New Roman"/>
          <w:sz w:val="24"/>
          <w:szCs w:val="24"/>
        </w:rPr>
        <w:footnoteReference w:id="139"/>
      </w:r>
      <w:r w:rsidR="00DE2836" w:rsidRPr="00C61B17">
        <w:rPr>
          <w:rFonts w:ascii="Times New Roman" w:hAnsi="Times New Roman"/>
          <w:sz w:val="24"/>
          <w:szCs w:val="24"/>
        </w:rPr>
        <w:t xml:space="preserve">  </w:t>
      </w:r>
    </w:p>
    <w:p w:rsidR="00DE2836" w:rsidRPr="00C61B17" w:rsidRDefault="00C61B17"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DE2836" w:rsidRPr="00C61B17">
        <w:rPr>
          <w:rFonts w:ascii="Times New Roman" w:hAnsi="Times New Roman"/>
          <w:sz w:val="24"/>
          <w:szCs w:val="24"/>
        </w:rPr>
        <w:t>PSE argues that customers received benefits since September 2002, when the deferred tax was recorded.  Its argument relies upon “ratemaking principles” that support a “theory” that the tax benefits offset other utility-related costs that customers should bear.</w:t>
      </w:r>
      <w:r w:rsidR="00DE2836" w:rsidRPr="00DE2836">
        <w:rPr>
          <w:rStyle w:val="FootnoteReference"/>
          <w:rFonts w:ascii="Times New Roman" w:hAnsi="Times New Roman"/>
          <w:sz w:val="24"/>
          <w:szCs w:val="24"/>
        </w:rPr>
        <w:footnoteReference w:id="140"/>
      </w:r>
      <w:r w:rsidR="00DE2836" w:rsidRPr="00C61B17">
        <w:rPr>
          <w:rFonts w:ascii="Times New Roman" w:hAnsi="Times New Roman"/>
          <w:sz w:val="24"/>
          <w:szCs w:val="24"/>
        </w:rPr>
        <w:t xml:space="preserve">  </w:t>
      </w:r>
      <w:r w:rsidR="00DE2836" w:rsidRPr="00C61B17">
        <w:rPr>
          <w:rFonts w:ascii="Times New Roman" w:hAnsi="Times New Roman"/>
          <w:sz w:val="24"/>
          <w:szCs w:val="24"/>
        </w:rPr>
        <w:lastRenderedPageBreak/>
        <w:t>H</w:t>
      </w:r>
      <w:r w:rsidR="00B8775E" w:rsidRPr="00C61B17">
        <w:rPr>
          <w:rFonts w:ascii="Times New Roman" w:hAnsi="Times New Roman"/>
          <w:sz w:val="24"/>
          <w:szCs w:val="24"/>
        </w:rPr>
        <w:t>owever, PSE provides no support for its theory or ratemaking principles</w:t>
      </w:r>
      <w:r w:rsidR="00DE2836" w:rsidRPr="00C61B17">
        <w:rPr>
          <w:rFonts w:ascii="Times New Roman" w:hAnsi="Times New Roman"/>
          <w:sz w:val="24"/>
          <w:szCs w:val="24"/>
        </w:rPr>
        <w:t>.</w:t>
      </w:r>
      <w:r w:rsidR="00DE2836" w:rsidRPr="00DE2836">
        <w:rPr>
          <w:rStyle w:val="FootnoteReference"/>
          <w:rFonts w:ascii="Times New Roman" w:hAnsi="Times New Roman"/>
          <w:sz w:val="24"/>
          <w:szCs w:val="24"/>
        </w:rPr>
        <w:footnoteReference w:id="141"/>
      </w:r>
      <w:r w:rsidR="00DE2836" w:rsidRPr="00C61B17">
        <w:rPr>
          <w:rFonts w:ascii="Times New Roman" w:hAnsi="Times New Roman"/>
          <w:sz w:val="24"/>
          <w:szCs w:val="24"/>
        </w:rPr>
        <w:t xml:space="preserve">  Nor did PSE present any evidence showing that the tax benefits it references were not instead used to offset below the line (non-utility) costs.</w:t>
      </w:r>
      <w:r w:rsidR="00DE2836" w:rsidRPr="00DE2836">
        <w:rPr>
          <w:rStyle w:val="FootnoteReference"/>
          <w:rFonts w:ascii="Times New Roman" w:hAnsi="Times New Roman"/>
          <w:sz w:val="24"/>
          <w:szCs w:val="24"/>
        </w:rPr>
        <w:footnoteReference w:id="142"/>
      </w:r>
      <w:r w:rsidR="00DE2836" w:rsidRPr="00C61B17">
        <w:rPr>
          <w:rFonts w:ascii="Times New Roman" w:hAnsi="Times New Roman"/>
          <w:sz w:val="24"/>
          <w:szCs w:val="24"/>
        </w:rPr>
        <w:t xml:space="preserve"> </w:t>
      </w:r>
    </w:p>
    <w:p w:rsidR="00DE2836" w:rsidRPr="00C61B17" w:rsidRDefault="00C61B17" w:rsidP="00C61B17">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DE2836" w:rsidRPr="00C61B17">
        <w:rPr>
          <w:rFonts w:ascii="Times New Roman" w:hAnsi="Times New Roman"/>
          <w:sz w:val="24"/>
          <w:szCs w:val="24"/>
        </w:rPr>
        <w:t>Moreover, ratepayers have already given back to PSE the benefits they eventually derived from lower rates.</w:t>
      </w:r>
      <w:r w:rsidR="00DE2836" w:rsidRPr="00DE2836">
        <w:rPr>
          <w:rStyle w:val="FootnoteReference"/>
          <w:rFonts w:ascii="Times New Roman" w:hAnsi="Times New Roman"/>
          <w:sz w:val="24"/>
          <w:szCs w:val="24"/>
        </w:rPr>
        <w:footnoteReference w:id="143"/>
      </w:r>
      <w:r w:rsidR="00DE2836" w:rsidRPr="00C61B17">
        <w:rPr>
          <w:rFonts w:ascii="Times New Roman" w:hAnsi="Times New Roman"/>
          <w:sz w:val="24"/>
          <w:szCs w:val="24"/>
        </w:rPr>
        <w:t xml:space="preserve">  When the IRS disallowed all of the tax deductions that gave rise to the rate base reduction, PSE incurred financing costs associated with repayment of the tax benefit.  The Commission recognized the potential repayment of tax benefits with interest if the deductions associated with PSE’s accounting method were disallowed: </w:t>
      </w:r>
    </w:p>
    <w:p w:rsidR="00DE2836" w:rsidRPr="00DE2836" w:rsidRDefault="00DE2836" w:rsidP="00B8775E">
      <w:pPr>
        <w:ind w:left="720"/>
        <w:rPr>
          <w:rFonts w:ascii="Times New Roman" w:hAnsi="Times New Roman"/>
          <w:sz w:val="24"/>
          <w:szCs w:val="24"/>
        </w:rPr>
      </w:pPr>
      <w:r w:rsidRPr="00DE2836">
        <w:rPr>
          <w:rFonts w:ascii="Times New Roman" w:hAnsi="Times New Roman"/>
          <w:sz w:val="24"/>
          <w:szCs w:val="24"/>
        </w:rPr>
        <w:t>We cannot lawfully prejudge future rates.  However, we do find it appropriate to recognize in principle that if the IRS successfully challenges in court the adjustment PSE and other utilities have taken, and requires future repayment of the current benefits taken, presumably with interest, PSE should file an accounting petition asking for appropriate treatment of any back taxes and interest assessed.</w:t>
      </w:r>
      <w:r w:rsidRPr="00DE2836">
        <w:rPr>
          <w:rStyle w:val="FootnoteReference"/>
          <w:rFonts w:ascii="Times New Roman" w:hAnsi="Times New Roman"/>
          <w:sz w:val="24"/>
          <w:szCs w:val="24"/>
        </w:rPr>
        <w:footnoteReference w:id="144"/>
      </w:r>
    </w:p>
    <w:p w:rsidR="00DE2836" w:rsidRPr="00DE2836" w:rsidRDefault="00DE2836" w:rsidP="00DE2836">
      <w:pPr>
        <w:spacing w:line="288" w:lineRule="auto"/>
        <w:ind w:left="1440"/>
        <w:rPr>
          <w:rFonts w:ascii="Times New Roman" w:hAnsi="Times New Roman"/>
          <w:sz w:val="24"/>
          <w:szCs w:val="24"/>
        </w:rPr>
      </w:pPr>
    </w:p>
    <w:p w:rsidR="00DE2836" w:rsidRPr="00DE2836" w:rsidRDefault="00DE2836" w:rsidP="00DE2836">
      <w:pPr>
        <w:spacing w:line="480" w:lineRule="auto"/>
        <w:rPr>
          <w:rFonts w:ascii="Times New Roman" w:hAnsi="Times New Roman"/>
          <w:sz w:val="24"/>
          <w:szCs w:val="24"/>
        </w:rPr>
      </w:pPr>
      <w:r w:rsidRPr="00DE2836">
        <w:rPr>
          <w:rFonts w:ascii="Times New Roman" w:hAnsi="Times New Roman"/>
          <w:sz w:val="24"/>
          <w:szCs w:val="24"/>
        </w:rPr>
        <w:t>The Commission allowed PSE to defer and accumulate financing costs necessary to repay the disallowed benefits,</w:t>
      </w:r>
      <w:r w:rsidRPr="00DE2836">
        <w:rPr>
          <w:rStyle w:val="FootnoteReference"/>
          <w:rFonts w:ascii="Times New Roman" w:hAnsi="Times New Roman"/>
          <w:sz w:val="24"/>
          <w:szCs w:val="24"/>
        </w:rPr>
        <w:footnoteReference w:id="145"/>
      </w:r>
      <w:r w:rsidRPr="00DE2836">
        <w:rPr>
          <w:rFonts w:ascii="Times New Roman" w:hAnsi="Times New Roman"/>
          <w:sz w:val="24"/>
          <w:szCs w:val="24"/>
        </w:rPr>
        <w:t xml:space="preserve"> and subsequently authorized rate recovery of the deferred financing costs.</w:t>
      </w:r>
      <w:r w:rsidRPr="00DE2836">
        <w:rPr>
          <w:rStyle w:val="FootnoteReference"/>
          <w:rFonts w:ascii="Times New Roman" w:hAnsi="Times New Roman"/>
          <w:sz w:val="24"/>
          <w:szCs w:val="24"/>
        </w:rPr>
        <w:footnoteReference w:id="146"/>
      </w:r>
      <w:r w:rsidRPr="00DE2836">
        <w:rPr>
          <w:rFonts w:ascii="Times New Roman" w:hAnsi="Times New Roman"/>
          <w:sz w:val="24"/>
          <w:szCs w:val="24"/>
        </w:rPr>
        <w:t xml:space="preserve">  </w:t>
      </w:r>
    </w:p>
    <w:p w:rsidR="00C973CF" w:rsidRPr="00C61B17" w:rsidRDefault="00C61B17" w:rsidP="007E7DA3">
      <w:pPr>
        <w:pStyle w:val="ListParagraph"/>
        <w:numPr>
          <w:ilvl w:val="0"/>
          <w:numId w:val="11"/>
        </w:numPr>
        <w:spacing w:line="480" w:lineRule="auto"/>
        <w:rPr>
          <w:rFonts w:ascii="Times New Roman" w:hAnsi="Times New Roman"/>
          <w:sz w:val="24"/>
        </w:rPr>
      </w:pPr>
      <w:r>
        <w:rPr>
          <w:rFonts w:ascii="Times New Roman" w:hAnsi="Times New Roman"/>
          <w:sz w:val="24"/>
          <w:szCs w:val="24"/>
        </w:rPr>
        <w:tab/>
      </w:r>
      <w:r w:rsidR="00DE2836" w:rsidRPr="00C61B17">
        <w:rPr>
          <w:rFonts w:ascii="Times New Roman" w:hAnsi="Times New Roman"/>
          <w:sz w:val="24"/>
          <w:szCs w:val="24"/>
        </w:rPr>
        <w:t>Finally, PSE’s proposed adjustment departs from the traditional ratemaking treatment of income taxes where the Commission sets rates by looking at the whole income of a company, rather than the taxability of a single item.</w:t>
      </w:r>
      <w:r w:rsidR="00DE2836" w:rsidRPr="00DE2836">
        <w:rPr>
          <w:rStyle w:val="FootnoteReference"/>
          <w:rFonts w:ascii="Times New Roman" w:hAnsi="Times New Roman"/>
          <w:sz w:val="24"/>
          <w:szCs w:val="24"/>
        </w:rPr>
        <w:footnoteReference w:id="147"/>
      </w:r>
      <w:r w:rsidR="00796A45" w:rsidRPr="00C61B17">
        <w:rPr>
          <w:rFonts w:ascii="Times New Roman" w:hAnsi="Times New Roman"/>
          <w:sz w:val="24"/>
          <w:szCs w:val="24"/>
        </w:rPr>
        <w:t xml:space="preserve">  PSE fails to justify the </w:t>
      </w:r>
      <w:r w:rsidR="00DE2836" w:rsidRPr="00C61B17">
        <w:rPr>
          <w:rFonts w:ascii="Times New Roman" w:hAnsi="Times New Roman"/>
          <w:sz w:val="24"/>
          <w:szCs w:val="24"/>
        </w:rPr>
        <w:t xml:space="preserve">“unique” </w:t>
      </w:r>
      <w:r w:rsidR="00796A45" w:rsidRPr="00C61B17">
        <w:rPr>
          <w:rFonts w:ascii="Times New Roman" w:hAnsi="Times New Roman"/>
          <w:sz w:val="24"/>
          <w:szCs w:val="24"/>
        </w:rPr>
        <w:t>treatment it proposes in this adjustment</w:t>
      </w:r>
      <w:r w:rsidR="00DE2836" w:rsidRPr="00C61B17">
        <w:rPr>
          <w:rFonts w:ascii="Times New Roman" w:hAnsi="Times New Roman"/>
          <w:sz w:val="24"/>
          <w:szCs w:val="24"/>
        </w:rPr>
        <w:t xml:space="preserve">.  </w:t>
      </w:r>
    </w:p>
    <w:p w:rsidR="00F4115E" w:rsidRDefault="00C61B17" w:rsidP="00C61B17">
      <w:pPr>
        <w:keepNext/>
        <w:spacing w:line="480" w:lineRule="auto"/>
        <w:rPr>
          <w:rFonts w:ascii="Times New Roman" w:hAnsi="Times New Roman"/>
          <w:b/>
          <w:sz w:val="24"/>
        </w:rPr>
      </w:pPr>
      <w:r>
        <w:rPr>
          <w:rFonts w:ascii="Times New Roman" w:hAnsi="Times New Roman"/>
          <w:b/>
          <w:sz w:val="24"/>
        </w:rPr>
        <w:lastRenderedPageBreak/>
        <w:tab/>
      </w:r>
      <w:r w:rsidR="00F4115E">
        <w:rPr>
          <w:rFonts w:ascii="Times New Roman" w:hAnsi="Times New Roman"/>
          <w:b/>
          <w:sz w:val="24"/>
        </w:rPr>
        <w:t>2.</w:t>
      </w:r>
      <w:r w:rsidR="00F4115E">
        <w:rPr>
          <w:rFonts w:ascii="Times New Roman" w:hAnsi="Times New Roman"/>
          <w:b/>
          <w:sz w:val="24"/>
        </w:rPr>
        <w:tab/>
        <w:t>Contested Electricity</w:t>
      </w:r>
      <w:r w:rsidR="006B3570">
        <w:rPr>
          <w:rFonts w:ascii="Times New Roman" w:hAnsi="Times New Roman"/>
          <w:b/>
          <w:sz w:val="24"/>
        </w:rPr>
        <w:t>-Only</w:t>
      </w:r>
      <w:r w:rsidR="00F4115E">
        <w:rPr>
          <w:rFonts w:ascii="Times New Roman" w:hAnsi="Times New Roman"/>
          <w:b/>
          <w:sz w:val="24"/>
        </w:rPr>
        <w:t xml:space="preserve"> Adjustments</w:t>
      </w:r>
    </w:p>
    <w:p w:rsidR="00F4115E"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F4115E" w:rsidRPr="00C61B17">
        <w:rPr>
          <w:rFonts w:ascii="Times New Roman" w:hAnsi="Times New Roman"/>
          <w:sz w:val="24"/>
        </w:rPr>
        <w:t xml:space="preserve">The following electricity adjustments are contested </w:t>
      </w:r>
      <w:r w:rsidR="00BC44C7" w:rsidRPr="00C61B17">
        <w:rPr>
          <w:rFonts w:ascii="Times New Roman" w:hAnsi="Times New Roman"/>
          <w:sz w:val="24"/>
        </w:rPr>
        <w:t>as between Staff and PSE</w:t>
      </w:r>
      <w:r w:rsidR="005012D8" w:rsidRPr="00C61B17">
        <w:rPr>
          <w:rFonts w:ascii="Times New Roman" w:hAnsi="Times New Roman"/>
          <w:sz w:val="24"/>
        </w:rPr>
        <w:t>.</w:t>
      </w:r>
      <w:r>
        <w:rPr>
          <w:rFonts w:ascii="Times New Roman" w:hAnsi="Times New Roman"/>
          <w:sz w:val="24"/>
        </w:rPr>
        <w:t xml:space="preserve">  </w:t>
      </w:r>
    </w:p>
    <w:p w:rsidR="00C61B17" w:rsidRPr="00C61B17" w:rsidRDefault="00C61B17" w:rsidP="00C61B17">
      <w:pPr>
        <w:pStyle w:val="ListParagraph"/>
        <w:spacing w:line="480" w:lineRule="auto"/>
        <w:ind w:left="0"/>
        <w:rPr>
          <w:rFonts w:ascii="Times New Roman" w:hAnsi="Times New Roman"/>
          <w:b/>
          <w:sz w:val="24"/>
        </w:rPr>
      </w:pPr>
      <w:r w:rsidRPr="00C61B17">
        <w:rPr>
          <w:rFonts w:ascii="Times New Roman" w:hAnsi="Times New Roman"/>
          <w:b/>
          <w:sz w:val="24"/>
        </w:rPr>
        <w:tab/>
      </w:r>
      <w:r w:rsidRPr="00C61B17">
        <w:rPr>
          <w:rFonts w:ascii="Times New Roman" w:hAnsi="Times New Roman"/>
          <w:b/>
          <w:sz w:val="24"/>
        </w:rPr>
        <w:tab/>
        <w:t>a.</w:t>
      </w:r>
      <w:r w:rsidRPr="00C61B17">
        <w:rPr>
          <w:rFonts w:ascii="Times New Roman" w:hAnsi="Times New Roman"/>
          <w:b/>
          <w:sz w:val="24"/>
        </w:rPr>
        <w:tab/>
        <w:t>10.03, Power Costs</w:t>
      </w:r>
    </w:p>
    <w:p w:rsidR="00C5743C" w:rsidRPr="00C61B17" w:rsidRDefault="00AB314E" w:rsidP="00C61B17">
      <w:pPr>
        <w:pStyle w:val="ListParagraph"/>
        <w:numPr>
          <w:ilvl w:val="0"/>
          <w:numId w:val="11"/>
        </w:numPr>
        <w:tabs>
          <w:tab w:val="left" w:pos="-1440"/>
        </w:tabs>
        <w:spacing w:line="480" w:lineRule="auto"/>
        <w:rPr>
          <w:rFonts w:ascii="Times New Roman" w:hAnsi="Times New Roman"/>
          <w:sz w:val="24"/>
        </w:rPr>
      </w:pPr>
      <w:r w:rsidRPr="00C61B17">
        <w:rPr>
          <w:rFonts w:ascii="Times New Roman" w:hAnsi="Times New Roman"/>
          <w:sz w:val="24"/>
        </w:rPr>
        <w:tab/>
        <w:t>This section is limited to the appropriate operations and maintenance</w:t>
      </w:r>
      <w:r w:rsidR="00E31E64" w:rsidRPr="00C61B17">
        <w:rPr>
          <w:rFonts w:ascii="Times New Roman" w:hAnsi="Times New Roman"/>
          <w:sz w:val="24"/>
        </w:rPr>
        <w:t xml:space="preserve"> (“O&amp;M”) expense to be allowed </w:t>
      </w:r>
      <w:r w:rsidR="004B35EC" w:rsidRPr="00C61B17">
        <w:rPr>
          <w:rFonts w:ascii="Times New Roman" w:hAnsi="Times New Roman"/>
          <w:sz w:val="24"/>
        </w:rPr>
        <w:t xml:space="preserve">for </w:t>
      </w:r>
      <w:r w:rsidRPr="00C61B17">
        <w:rPr>
          <w:rFonts w:ascii="Times New Roman" w:hAnsi="Times New Roman"/>
          <w:sz w:val="24"/>
        </w:rPr>
        <w:t>production fac</w:t>
      </w:r>
      <w:r w:rsidR="00E31E64" w:rsidRPr="00C61B17">
        <w:rPr>
          <w:rFonts w:ascii="Times New Roman" w:hAnsi="Times New Roman"/>
          <w:sz w:val="24"/>
        </w:rPr>
        <w:t xml:space="preserve">ilities.  </w:t>
      </w:r>
      <w:r w:rsidR="006858AD" w:rsidRPr="00C61B17">
        <w:rPr>
          <w:rFonts w:ascii="Times New Roman" w:hAnsi="Times New Roman"/>
          <w:sz w:val="24"/>
        </w:rPr>
        <w:t>T</w:t>
      </w:r>
      <w:r w:rsidRPr="00C61B17">
        <w:rPr>
          <w:rFonts w:ascii="Times New Roman" w:hAnsi="Times New Roman"/>
          <w:sz w:val="24"/>
        </w:rPr>
        <w:t xml:space="preserve">he Industrial Customers of Northwest Utilities (“ICNU”) </w:t>
      </w:r>
      <w:r w:rsidR="006858AD" w:rsidRPr="00C61B17">
        <w:rPr>
          <w:rFonts w:ascii="Times New Roman" w:hAnsi="Times New Roman"/>
          <w:sz w:val="24"/>
        </w:rPr>
        <w:t xml:space="preserve">presented testimony on </w:t>
      </w:r>
      <w:r w:rsidRPr="00C61B17">
        <w:rPr>
          <w:rFonts w:ascii="Times New Roman" w:hAnsi="Times New Roman"/>
          <w:sz w:val="24"/>
        </w:rPr>
        <w:t xml:space="preserve">other power cost issues.  Staff </w:t>
      </w:r>
      <w:r w:rsidR="00E36EE4" w:rsidRPr="00C61B17">
        <w:rPr>
          <w:rFonts w:ascii="Times New Roman" w:hAnsi="Times New Roman"/>
          <w:sz w:val="24"/>
        </w:rPr>
        <w:t>concurred</w:t>
      </w:r>
      <w:r w:rsidR="006858AD" w:rsidRPr="00C61B17">
        <w:rPr>
          <w:rFonts w:ascii="Times New Roman" w:hAnsi="Times New Roman"/>
          <w:sz w:val="24"/>
        </w:rPr>
        <w:t xml:space="preserve"> with ICNU and defers to their </w:t>
      </w:r>
      <w:r w:rsidRPr="00C61B17">
        <w:rPr>
          <w:rFonts w:ascii="Times New Roman" w:hAnsi="Times New Roman"/>
          <w:sz w:val="24"/>
        </w:rPr>
        <w:t>brief on those matters.</w:t>
      </w:r>
      <w:r w:rsidR="00BC44C7" w:rsidRPr="00C61B17">
        <w:rPr>
          <w:rFonts w:ascii="Times New Roman" w:hAnsi="Times New Roman"/>
          <w:sz w:val="24"/>
        </w:rPr>
        <w:t xml:space="preserve">  Issues related to other </w:t>
      </w:r>
      <w:r w:rsidR="004B35EC" w:rsidRPr="00C61B17">
        <w:rPr>
          <w:rFonts w:ascii="Times New Roman" w:hAnsi="Times New Roman"/>
          <w:sz w:val="24"/>
        </w:rPr>
        <w:t xml:space="preserve">expenditures for new plant additions are addressed below in the individual </w:t>
      </w:r>
      <w:r w:rsidR="005012D8" w:rsidRPr="00C61B17">
        <w:rPr>
          <w:rFonts w:ascii="Times New Roman" w:hAnsi="Times New Roman"/>
          <w:sz w:val="24"/>
        </w:rPr>
        <w:t xml:space="preserve">plant </w:t>
      </w:r>
      <w:r w:rsidR="004B35EC" w:rsidRPr="00C61B17">
        <w:rPr>
          <w:rFonts w:ascii="Times New Roman" w:hAnsi="Times New Roman"/>
          <w:sz w:val="24"/>
        </w:rPr>
        <w:t>adjustments.</w:t>
      </w:r>
    </w:p>
    <w:p w:rsidR="00EB7015"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AB314E" w:rsidRPr="00C61B17">
        <w:rPr>
          <w:rFonts w:ascii="Times New Roman" w:hAnsi="Times New Roman"/>
          <w:sz w:val="24"/>
        </w:rPr>
        <w:t>The bottom line diffe</w:t>
      </w:r>
      <w:r w:rsidR="00B56C89" w:rsidRPr="00C61B17">
        <w:rPr>
          <w:rFonts w:ascii="Times New Roman" w:hAnsi="Times New Roman"/>
          <w:sz w:val="24"/>
        </w:rPr>
        <w:t xml:space="preserve">rence between Staff and PSE power cost </w:t>
      </w:r>
      <w:r w:rsidR="00AB314E" w:rsidRPr="00C61B17">
        <w:rPr>
          <w:rFonts w:ascii="Times New Roman" w:hAnsi="Times New Roman"/>
          <w:sz w:val="24"/>
        </w:rPr>
        <w:t>O&amp;M adjust</w:t>
      </w:r>
      <w:r w:rsidR="00B56C89" w:rsidRPr="00C61B17">
        <w:rPr>
          <w:rFonts w:ascii="Times New Roman" w:hAnsi="Times New Roman"/>
          <w:sz w:val="24"/>
        </w:rPr>
        <w:t xml:space="preserve">ments is minimal:  </w:t>
      </w:r>
      <w:r w:rsidR="002E3833">
        <w:rPr>
          <w:rFonts w:ascii="Times New Roman" w:hAnsi="Times New Roman"/>
          <w:sz w:val="24"/>
        </w:rPr>
        <w:t>about $500</w:t>
      </w:r>
      <w:r w:rsidR="00F134CE" w:rsidRPr="00C61B17">
        <w:rPr>
          <w:rFonts w:ascii="Times New Roman" w:hAnsi="Times New Roman"/>
          <w:sz w:val="24"/>
        </w:rPr>
        <w:t>,000</w:t>
      </w:r>
      <w:r w:rsidR="00AB314E" w:rsidRPr="00C61B17">
        <w:rPr>
          <w:rFonts w:ascii="Times New Roman" w:hAnsi="Times New Roman"/>
          <w:sz w:val="24"/>
        </w:rPr>
        <w:t>.</w:t>
      </w:r>
      <w:r w:rsidR="00AB314E">
        <w:rPr>
          <w:rStyle w:val="FootnoteReference"/>
          <w:rFonts w:ascii="Times New Roman" w:hAnsi="Times New Roman"/>
          <w:sz w:val="24"/>
        </w:rPr>
        <w:footnoteReference w:id="148"/>
      </w:r>
      <w:r w:rsidR="00D84803" w:rsidRPr="00C61B17">
        <w:rPr>
          <w:rFonts w:ascii="Times New Roman" w:hAnsi="Times New Roman"/>
          <w:sz w:val="24"/>
        </w:rPr>
        <w:t xml:space="preserve">  However, significant dif</w:t>
      </w:r>
      <w:r w:rsidR="00902172" w:rsidRPr="00C61B17">
        <w:rPr>
          <w:rFonts w:ascii="Times New Roman" w:hAnsi="Times New Roman"/>
          <w:sz w:val="24"/>
        </w:rPr>
        <w:t xml:space="preserve">ferences of policy and methodology </w:t>
      </w:r>
      <w:r w:rsidR="00D84803" w:rsidRPr="00C61B17">
        <w:rPr>
          <w:rFonts w:ascii="Times New Roman" w:hAnsi="Times New Roman"/>
          <w:sz w:val="24"/>
        </w:rPr>
        <w:t xml:space="preserve">exist. </w:t>
      </w:r>
      <w:r w:rsidR="00EB7015" w:rsidRPr="00C61B17">
        <w:rPr>
          <w:rFonts w:ascii="Times New Roman" w:hAnsi="Times New Roman"/>
          <w:sz w:val="24"/>
        </w:rPr>
        <w:t xml:space="preserve"> PSE </w:t>
      </w:r>
      <w:r w:rsidR="00A63721" w:rsidRPr="00C61B17">
        <w:rPr>
          <w:rFonts w:ascii="Times New Roman" w:hAnsi="Times New Roman"/>
          <w:sz w:val="24"/>
        </w:rPr>
        <w:t>seeks C</w:t>
      </w:r>
      <w:r w:rsidR="00EB7015" w:rsidRPr="00C61B17">
        <w:rPr>
          <w:rFonts w:ascii="Times New Roman" w:hAnsi="Times New Roman"/>
          <w:sz w:val="24"/>
        </w:rPr>
        <w:t>om</w:t>
      </w:r>
      <w:r w:rsidR="00902172" w:rsidRPr="00C61B17">
        <w:rPr>
          <w:rFonts w:ascii="Times New Roman" w:hAnsi="Times New Roman"/>
          <w:sz w:val="24"/>
        </w:rPr>
        <w:t xml:space="preserve">mission approval to establish </w:t>
      </w:r>
      <w:r w:rsidR="00BC44C7" w:rsidRPr="00C61B17">
        <w:rPr>
          <w:rFonts w:ascii="Times New Roman" w:hAnsi="Times New Roman"/>
          <w:sz w:val="24"/>
        </w:rPr>
        <w:t xml:space="preserve">a </w:t>
      </w:r>
      <w:r w:rsidR="00EB7015" w:rsidRPr="00C61B17">
        <w:rPr>
          <w:rFonts w:ascii="Times New Roman" w:hAnsi="Times New Roman"/>
          <w:sz w:val="24"/>
        </w:rPr>
        <w:t>regu</w:t>
      </w:r>
      <w:r w:rsidR="00E31E64" w:rsidRPr="00C61B17">
        <w:rPr>
          <w:rFonts w:ascii="Times New Roman" w:hAnsi="Times New Roman"/>
          <w:sz w:val="24"/>
        </w:rPr>
        <w:t>latory asset</w:t>
      </w:r>
      <w:r w:rsidR="0062290D" w:rsidRPr="00C61B17">
        <w:rPr>
          <w:rFonts w:ascii="Times New Roman" w:hAnsi="Times New Roman"/>
          <w:sz w:val="24"/>
        </w:rPr>
        <w:t xml:space="preserve"> </w:t>
      </w:r>
      <w:r w:rsidR="00500CF9" w:rsidRPr="00C61B17">
        <w:rPr>
          <w:rFonts w:ascii="Times New Roman" w:hAnsi="Times New Roman"/>
          <w:sz w:val="24"/>
        </w:rPr>
        <w:t xml:space="preserve">for the cost of </w:t>
      </w:r>
      <w:r w:rsidR="005012D8" w:rsidRPr="00C61B17">
        <w:rPr>
          <w:rFonts w:ascii="Times New Roman" w:hAnsi="Times New Roman"/>
          <w:sz w:val="24"/>
        </w:rPr>
        <w:t>e</w:t>
      </w:r>
      <w:r w:rsidR="00500CF9" w:rsidRPr="00C61B17">
        <w:rPr>
          <w:rFonts w:ascii="Times New Roman" w:hAnsi="Times New Roman"/>
          <w:sz w:val="24"/>
        </w:rPr>
        <w:t xml:space="preserve">ach event of </w:t>
      </w:r>
      <w:r w:rsidR="002710F2" w:rsidRPr="00C61B17">
        <w:rPr>
          <w:rFonts w:ascii="Times New Roman" w:hAnsi="Times New Roman"/>
          <w:sz w:val="24"/>
        </w:rPr>
        <w:t>major maintenance</w:t>
      </w:r>
      <w:r w:rsidR="00EB7015" w:rsidRPr="00C61B17">
        <w:rPr>
          <w:rFonts w:ascii="Times New Roman" w:hAnsi="Times New Roman"/>
          <w:sz w:val="24"/>
        </w:rPr>
        <w:t xml:space="preserve">.  The O&amp;M expense PSE </w:t>
      </w:r>
      <w:r w:rsidR="008C00C2">
        <w:rPr>
          <w:rFonts w:ascii="Times New Roman" w:hAnsi="Times New Roman"/>
          <w:sz w:val="24"/>
        </w:rPr>
        <w:t xml:space="preserve">does </w:t>
      </w:r>
      <w:r w:rsidR="00902172" w:rsidRPr="00C61B17">
        <w:rPr>
          <w:rFonts w:ascii="Times New Roman" w:hAnsi="Times New Roman"/>
          <w:sz w:val="24"/>
        </w:rPr>
        <w:t>seek</w:t>
      </w:r>
      <w:r w:rsidR="00EB7015" w:rsidRPr="00C61B17">
        <w:rPr>
          <w:rFonts w:ascii="Times New Roman" w:hAnsi="Times New Roman"/>
          <w:sz w:val="24"/>
        </w:rPr>
        <w:t xml:space="preserve"> to recover</w:t>
      </w:r>
      <w:r w:rsidR="00F134CE" w:rsidRPr="00C61B17">
        <w:rPr>
          <w:rFonts w:ascii="Times New Roman" w:hAnsi="Times New Roman"/>
          <w:sz w:val="24"/>
        </w:rPr>
        <w:t xml:space="preserve"> in this case</w:t>
      </w:r>
      <w:r w:rsidR="00902172" w:rsidRPr="00C61B17">
        <w:rPr>
          <w:rFonts w:ascii="Times New Roman" w:hAnsi="Times New Roman"/>
          <w:sz w:val="24"/>
        </w:rPr>
        <w:t xml:space="preserve"> reflects </w:t>
      </w:r>
      <w:r w:rsidR="00500CF9" w:rsidRPr="00C61B17">
        <w:rPr>
          <w:rFonts w:ascii="Times New Roman" w:hAnsi="Times New Roman"/>
          <w:sz w:val="24"/>
        </w:rPr>
        <w:t xml:space="preserve">budget </w:t>
      </w:r>
      <w:r w:rsidR="002710F2" w:rsidRPr="00C61B17">
        <w:rPr>
          <w:rFonts w:ascii="Times New Roman" w:hAnsi="Times New Roman"/>
          <w:sz w:val="24"/>
        </w:rPr>
        <w:t>projections of</w:t>
      </w:r>
      <w:r w:rsidR="00EB7015" w:rsidRPr="00C61B17">
        <w:rPr>
          <w:rFonts w:ascii="Times New Roman" w:hAnsi="Times New Roman"/>
          <w:sz w:val="24"/>
        </w:rPr>
        <w:t xml:space="preserve"> rate year expense</w:t>
      </w:r>
      <w:r w:rsidR="00F134CE" w:rsidRPr="00C61B17">
        <w:rPr>
          <w:rFonts w:ascii="Times New Roman" w:hAnsi="Times New Roman"/>
          <w:sz w:val="24"/>
        </w:rPr>
        <w:t xml:space="preserve"> that have been shown to be inherently unreliable</w:t>
      </w:r>
      <w:r w:rsidR="002E3833">
        <w:rPr>
          <w:rFonts w:ascii="Times New Roman" w:hAnsi="Times New Roman"/>
          <w:sz w:val="24"/>
        </w:rPr>
        <w:t>, in violation of the threshold requirements for a proper pro forma adjustment.</w:t>
      </w:r>
    </w:p>
    <w:p w:rsidR="00AB314E" w:rsidRPr="00EB7015" w:rsidRDefault="00EB7015" w:rsidP="00C61B17">
      <w:pPr>
        <w:pStyle w:val="ListParagraph"/>
        <w:numPr>
          <w:ilvl w:val="0"/>
          <w:numId w:val="10"/>
        </w:numPr>
        <w:tabs>
          <w:tab w:val="left" w:pos="-1440"/>
        </w:tabs>
        <w:rPr>
          <w:rFonts w:ascii="Times New Roman" w:hAnsi="Times New Roman"/>
          <w:b/>
          <w:sz w:val="24"/>
        </w:rPr>
      </w:pPr>
      <w:r w:rsidRPr="00EB7015">
        <w:rPr>
          <w:rFonts w:ascii="Times New Roman" w:hAnsi="Times New Roman"/>
          <w:b/>
          <w:sz w:val="24"/>
        </w:rPr>
        <w:t xml:space="preserve">The Commission should reject PSE’s proposal </w:t>
      </w:r>
      <w:r w:rsidR="00E31E64">
        <w:rPr>
          <w:rFonts w:ascii="Times New Roman" w:hAnsi="Times New Roman"/>
          <w:b/>
          <w:sz w:val="24"/>
        </w:rPr>
        <w:t xml:space="preserve">to establish a regulatory asset </w:t>
      </w:r>
      <w:r w:rsidRPr="00EB7015">
        <w:rPr>
          <w:rFonts w:ascii="Times New Roman" w:hAnsi="Times New Roman"/>
          <w:b/>
          <w:sz w:val="24"/>
        </w:rPr>
        <w:t xml:space="preserve">for </w:t>
      </w:r>
      <w:r w:rsidR="00902172">
        <w:rPr>
          <w:rFonts w:ascii="Times New Roman" w:hAnsi="Times New Roman"/>
          <w:b/>
          <w:sz w:val="24"/>
        </w:rPr>
        <w:t xml:space="preserve">the expense of </w:t>
      </w:r>
      <w:r w:rsidR="00F134CE">
        <w:rPr>
          <w:rFonts w:ascii="Times New Roman" w:hAnsi="Times New Roman"/>
          <w:b/>
          <w:sz w:val="24"/>
        </w:rPr>
        <w:t xml:space="preserve">each event of </w:t>
      </w:r>
      <w:r w:rsidRPr="00EB7015">
        <w:rPr>
          <w:rFonts w:ascii="Times New Roman" w:hAnsi="Times New Roman"/>
          <w:b/>
          <w:sz w:val="24"/>
        </w:rPr>
        <w:t xml:space="preserve">major maintenance </w:t>
      </w:r>
    </w:p>
    <w:p w:rsidR="00EB7015" w:rsidRDefault="00EB7015" w:rsidP="00EB7015">
      <w:pPr>
        <w:pStyle w:val="ListParagraph"/>
        <w:tabs>
          <w:tab w:val="left" w:pos="-1440"/>
        </w:tabs>
        <w:ind w:left="2880"/>
        <w:rPr>
          <w:rFonts w:ascii="Times New Roman" w:hAnsi="Times New Roman"/>
          <w:sz w:val="24"/>
        </w:rPr>
      </w:pPr>
    </w:p>
    <w:p w:rsidR="00EB7015"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CC6917" w:rsidRPr="00C61B17">
        <w:rPr>
          <w:rFonts w:ascii="Times New Roman" w:hAnsi="Times New Roman"/>
          <w:sz w:val="24"/>
        </w:rPr>
        <w:t>Currently, PSE accounts</w:t>
      </w:r>
      <w:r w:rsidR="007B1518" w:rsidRPr="00C61B17">
        <w:rPr>
          <w:rFonts w:ascii="Times New Roman" w:hAnsi="Times New Roman"/>
          <w:sz w:val="24"/>
        </w:rPr>
        <w:t xml:space="preserve"> for </w:t>
      </w:r>
      <w:r w:rsidR="00CC6917" w:rsidRPr="00C61B17">
        <w:rPr>
          <w:rFonts w:ascii="Times New Roman" w:hAnsi="Times New Roman"/>
          <w:sz w:val="24"/>
        </w:rPr>
        <w:t xml:space="preserve">the cost of </w:t>
      </w:r>
      <w:r w:rsidR="008C00C2">
        <w:rPr>
          <w:rFonts w:ascii="Times New Roman" w:hAnsi="Times New Roman"/>
          <w:sz w:val="24"/>
        </w:rPr>
        <w:t>“</w:t>
      </w:r>
      <w:r w:rsidR="007B1518" w:rsidRPr="00C61B17">
        <w:rPr>
          <w:rFonts w:ascii="Times New Roman" w:hAnsi="Times New Roman"/>
          <w:sz w:val="24"/>
        </w:rPr>
        <w:t>major maintenance</w:t>
      </w:r>
      <w:r w:rsidR="008C00C2">
        <w:rPr>
          <w:rFonts w:ascii="Times New Roman" w:hAnsi="Times New Roman"/>
          <w:sz w:val="24"/>
        </w:rPr>
        <w:t>”</w:t>
      </w:r>
      <w:r w:rsidR="007B1518" w:rsidRPr="00C61B17">
        <w:rPr>
          <w:rFonts w:ascii="Times New Roman" w:hAnsi="Times New Roman"/>
          <w:sz w:val="24"/>
        </w:rPr>
        <w:t xml:space="preserve"> under the American Institute of Certified Public Accountants (</w:t>
      </w:r>
      <w:r w:rsidR="00A10304" w:rsidRPr="00C61B17">
        <w:rPr>
          <w:rFonts w:ascii="Times New Roman" w:hAnsi="Times New Roman"/>
          <w:sz w:val="24"/>
        </w:rPr>
        <w:t>“</w:t>
      </w:r>
      <w:r w:rsidR="007B1518" w:rsidRPr="00C61B17">
        <w:rPr>
          <w:rFonts w:ascii="Times New Roman" w:hAnsi="Times New Roman"/>
          <w:sz w:val="24"/>
        </w:rPr>
        <w:t>AICPA</w:t>
      </w:r>
      <w:r w:rsidR="00A10304" w:rsidRPr="00C61B17">
        <w:rPr>
          <w:rFonts w:ascii="Times New Roman" w:hAnsi="Times New Roman"/>
          <w:sz w:val="24"/>
        </w:rPr>
        <w:t>”</w:t>
      </w:r>
      <w:r w:rsidR="007B1518" w:rsidRPr="00C61B17">
        <w:rPr>
          <w:rFonts w:ascii="Times New Roman" w:hAnsi="Times New Roman"/>
          <w:sz w:val="24"/>
        </w:rPr>
        <w:t xml:space="preserve">) </w:t>
      </w:r>
      <w:r w:rsidR="00A63721" w:rsidRPr="00C61B17">
        <w:rPr>
          <w:rFonts w:ascii="Times New Roman" w:hAnsi="Times New Roman"/>
          <w:sz w:val="24"/>
        </w:rPr>
        <w:t>Audit and Accounting Guide for Airlines</w:t>
      </w:r>
      <w:r w:rsidR="007B1518" w:rsidRPr="00C61B17">
        <w:rPr>
          <w:rFonts w:ascii="Times New Roman" w:hAnsi="Times New Roman"/>
          <w:sz w:val="24"/>
        </w:rPr>
        <w:t>.</w:t>
      </w:r>
      <w:r w:rsidR="007B1518">
        <w:rPr>
          <w:rStyle w:val="FootnoteReference"/>
          <w:rFonts w:ascii="Times New Roman" w:hAnsi="Times New Roman"/>
          <w:sz w:val="24"/>
        </w:rPr>
        <w:footnoteReference w:id="149"/>
      </w:r>
      <w:r w:rsidR="007B1518" w:rsidRPr="00C61B17">
        <w:rPr>
          <w:rFonts w:ascii="Times New Roman" w:hAnsi="Times New Roman"/>
          <w:sz w:val="24"/>
        </w:rPr>
        <w:t xml:space="preserve">  </w:t>
      </w:r>
      <w:r w:rsidR="002E3833">
        <w:rPr>
          <w:rFonts w:ascii="Times New Roman" w:hAnsi="Times New Roman"/>
          <w:sz w:val="24"/>
        </w:rPr>
        <w:t xml:space="preserve">For facilities </w:t>
      </w:r>
      <w:r w:rsidR="004270E1" w:rsidRPr="00C61B17">
        <w:rPr>
          <w:rFonts w:ascii="Times New Roman" w:hAnsi="Times New Roman"/>
          <w:sz w:val="24"/>
        </w:rPr>
        <w:t>wit</w:t>
      </w:r>
      <w:r w:rsidR="000308D6" w:rsidRPr="00C61B17">
        <w:rPr>
          <w:rFonts w:ascii="Times New Roman" w:hAnsi="Times New Roman"/>
          <w:sz w:val="24"/>
        </w:rPr>
        <w:t xml:space="preserve">h long-term service contracts, </w:t>
      </w:r>
      <w:r w:rsidR="00A10304" w:rsidRPr="00C61B17">
        <w:rPr>
          <w:rFonts w:ascii="Times New Roman" w:hAnsi="Times New Roman"/>
          <w:sz w:val="24"/>
        </w:rPr>
        <w:t xml:space="preserve">the </w:t>
      </w:r>
      <w:r w:rsidR="007B1518" w:rsidRPr="00C61B17">
        <w:rPr>
          <w:rFonts w:ascii="Times New Roman" w:hAnsi="Times New Roman"/>
          <w:sz w:val="24"/>
        </w:rPr>
        <w:t>deferral method</w:t>
      </w:r>
      <w:r w:rsidR="00E31E64" w:rsidRPr="00C61B17">
        <w:rPr>
          <w:rFonts w:ascii="Times New Roman" w:hAnsi="Times New Roman"/>
          <w:sz w:val="24"/>
        </w:rPr>
        <w:t xml:space="preserve"> applies:  the </w:t>
      </w:r>
      <w:r w:rsidR="00CC6917" w:rsidRPr="00C61B17">
        <w:rPr>
          <w:rFonts w:ascii="Times New Roman" w:hAnsi="Times New Roman"/>
          <w:sz w:val="24"/>
        </w:rPr>
        <w:t xml:space="preserve">cost </w:t>
      </w:r>
      <w:r w:rsidR="007B1518" w:rsidRPr="00C61B17">
        <w:rPr>
          <w:rFonts w:ascii="Times New Roman" w:hAnsi="Times New Roman"/>
          <w:sz w:val="24"/>
        </w:rPr>
        <w:t xml:space="preserve">is amortized until the next planned major maintenance event.  </w:t>
      </w:r>
      <w:r w:rsidR="004270E1" w:rsidRPr="00C61B17">
        <w:rPr>
          <w:rFonts w:ascii="Times New Roman" w:hAnsi="Times New Roman"/>
          <w:sz w:val="24"/>
        </w:rPr>
        <w:t xml:space="preserve">For peaking plants or </w:t>
      </w:r>
      <w:r w:rsidR="004270E1" w:rsidRPr="00C61B17">
        <w:rPr>
          <w:rFonts w:ascii="Times New Roman" w:hAnsi="Times New Roman"/>
          <w:sz w:val="24"/>
        </w:rPr>
        <w:lastRenderedPageBreak/>
        <w:t xml:space="preserve">plants without long-term service agreements, </w:t>
      </w:r>
      <w:r w:rsidR="002E3833">
        <w:rPr>
          <w:rFonts w:ascii="Times New Roman" w:hAnsi="Times New Roman"/>
          <w:sz w:val="24"/>
        </w:rPr>
        <w:t xml:space="preserve">the unpredictable timing </w:t>
      </w:r>
      <w:r w:rsidR="00500CF9" w:rsidRPr="00C61B17">
        <w:rPr>
          <w:rFonts w:ascii="Times New Roman" w:hAnsi="Times New Roman"/>
          <w:sz w:val="24"/>
        </w:rPr>
        <w:t xml:space="preserve">of the cost prohibits the deferral method; therefore, the cost is recognized as incurred </w:t>
      </w:r>
      <w:r w:rsidR="00874BB1" w:rsidRPr="00C61B17">
        <w:rPr>
          <w:rFonts w:ascii="Times New Roman" w:hAnsi="Times New Roman"/>
          <w:sz w:val="24"/>
        </w:rPr>
        <w:t xml:space="preserve">under the </w:t>
      </w:r>
      <w:r w:rsidR="007B1518" w:rsidRPr="00C61B17">
        <w:rPr>
          <w:rFonts w:ascii="Times New Roman" w:hAnsi="Times New Roman"/>
          <w:sz w:val="24"/>
        </w:rPr>
        <w:t>direct expense me</w:t>
      </w:r>
      <w:r w:rsidR="00874BB1" w:rsidRPr="00C61B17">
        <w:rPr>
          <w:rFonts w:ascii="Times New Roman" w:hAnsi="Times New Roman"/>
          <w:sz w:val="24"/>
        </w:rPr>
        <w:t>thod</w:t>
      </w:r>
      <w:r w:rsidR="00500CF9" w:rsidRPr="00C61B17">
        <w:rPr>
          <w:rFonts w:ascii="Times New Roman" w:hAnsi="Times New Roman"/>
          <w:sz w:val="24"/>
        </w:rPr>
        <w:t xml:space="preserve">.  </w:t>
      </w:r>
      <w:r w:rsidR="007B1518" w:rsidRPr="00C61B17">
        <w:rPr>
          <w:rFonts w:ascii="Times New Roman" w:hAnsi="Times New Roman"/>
          <w:sz w:val="24"/>
        </w:rPr>
        <w:t xml:space="preserve">These procedures </w:t>
      </w:r>
      <w:r w:rsidR="00E31E64" w:rsidRPr="00C61B17">
        <w:rPr>
          <w:rFonts w:ascii="Times New Roman" w:hAnsi="Times New Roman"/>
          <w:sz w:val="24"/>
        </w:rPr>
        <w:t>comply with Genera</w:t>
      </w:r>
      <w:r w:rsidR="0027087F" w:rsidRPr="00C61B17">
        <w:rPr>
          <w:rFonts w:ascii="Times New Roman" w:hAnsi="Times New Roman"/>
          <w:sz w:val="24"/>
        </w:rPr>
        <w:t>lly Accepted Accounting Principl</w:t>
      </w:r>
      <w:r w:rsidR="00E31E64" w:rsidRPr="00C61B17">
        <w:rPr>
          <w:rFonts w:ascii="Times New Roman" w:hAnsi="Times New Roman"/>
          <w:sz w:val="24"/>
        </w:rPr>
        <w:t xml:space="preserve">es (“GAAP”) and </w:t>
      </w:r>
      <w:r w:rsidR="007B1518" w:rsidRPr="00C61B17">
        <w:rPr>
          <w:rFonts w:ascii="Times New Roman" w:hAnsi="Times New Roman"/>
          <w:sz w:val="24"/>
        </w:rPr>
        <w:t xml:space="preserve">have been approved by </w:t>
      </w:r>
      <w:r w:rsidR="002E0481" w:rsidRPr="00C61B17">
        <w:rPr>
          <w:rFonts w:ascii="Times New Roman" w:hAnsi="Times New Roman"/>
          <w:sz w:val="24"/>
        </w:rPr>
        <w:t>PSE’s external auditors.</w:t>
      </w:r>
    </w:p>
    <w:p w:rsidR="002E0481"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F632F3" w:rsidRPr="00C61B17">
        <w:rPr>
          <w:rFonts w:ascii="Times New Roman" w:hAnsi="Times New Roman"/>
          <w:sz w:val="24"/>
        </w:rPr>
        <w:t>Staff recommends tha</w:t>
      </w:r>
      <w:r w:rsidR="00877BFB">
        <w:rPr>
          <w:rFonts w:ascii="Times New Roman" w:hAnsi="Times New Roman"/>
          <w:sz w:val="24"/>
        </w:rPr>
        <w:t xml:space="preserve">t, for ratemaking, PSE </w:t>
      </w:r>
      <w:r w:rsidR="00F632F3" w:rsidRPr="00C61B17">
        <w:rPr>
          <w:rFonts w:ascii="Times New Roman" w:hAnsi="Times New Roman"/>
          <w:sz w:val="24"/>
        </w:rPr>
        <w:t xml:space="preserve">continue its current accounting for major maintenance under </w:t>
      </w:r>
      <w:r w:rsidR="00B56C89" w:rsidRPr="00C61B17">
        <w:rPr>
          <w:rFonts w:ascii="Times New Roman" w:hAnsi="Times New Roman"/>
          <w:sz w:val="24"/>
        </w:rPr>
        <w:t xml:space="preserve">the </w:t>
      </w:r>
      <w:r w:rsidR="00F632F3" w:rsidRPr="00C61B17">
        <w:rPr>
          <w:rFonts w:ascii="Times New Roman" w:hAnsi="Times New Roman"/>
          <w:sz w:val="24"/>
        </w:rPr>
        <w:t>AICPA Guide for Airlines and GAAP.</w:t>
      </w:r>
      <w:r w:rsidR="00F632F3">
        <w:rPr>
          <w:rStyle w:val="FootnoteReference"/>
          <w:rFonts w:ascii="Times New Roman" w:hAnsi="Times New Roman"/>
          <w:sz w:val="24"/>
        </w:rPr>
        <w:footnoteReference w:id="150"/>
      </w:r>
      <w:r w:rsidR="000F7836" w:rsidRPr="00C61B17">
        <w:rPr>
          <w:rFonts w:ascii="Times New Roman" w:hAnsi="Times New Roman"/>
          <w:sz w:val="24"/>
        </w:rPr>
        <w:t xml:space="preserve">  </w:t>
      </w:r>
      <w:r w:rsidR="00123E72" w:rsidRPr="00C61B17">
        <w:rPr>
          <w:rFonts w:ascii="Times New Roman" w:hAnsi="Times New Roman"/>
          <w:sz w:val="24"/>
        </w:rPr>
        <w:t xml:space="preserve">PSE </w:t>
      </w:r>
      <w:r w:rsidR="006858AD" w:rsidRPr="00C61B17">
        <w:rPr>
          <w:rFonts w:ascii="Times New Roman" w:hAnsi="Times New Roman"/>
          <w:sz w:val="24"/>
        </w:rPr>
        <w:t xml:space="preserve">states </w:t>
      </w:r>
      <w:r w:rsidR="00F134CE" w:rsidRPr="00C61B17">
        <w:rPr>
          <w:rFonts w:ascii="Times New Roman" w:hAnsi="Times New Roman"/>
          <w:sz w:val="24"/>
        </w:rPr>
        <w:t xml:space="preserve">that its </w:t>
      </w:r>
      <w:r w:rsidR="00F6258E">
        <w:rPr>
          <w:rFonts w:ascii="Times New Roman" w:hAnsi="Times New Roman"/>
          <w:sz w:val="24"/>
        </w:rPr>
        <w:t xml:space="preserve">proposal to recover </w:t>
      </w:r>
      <w:r w:rsidR="002E0481" w:rsidRPr="00C61B17">
        <w:rPr>
          <w:rFonts w:ascii="Times New Roman" w:hAnsi="Times New Roman"/>
          <w:sz w:val="24"/>
        </w:rPr>
        <w:t xml:space="preserve">major maintenance is </w:t>
      </w:r>
      <w:r w:rsidR="000F7836" w:rsidRPr="00C61B17">
        <w:rPr>
          <w:rFonts w:ascii="Times New Roman" w:hAnsi="Times New Roman"/>
          <w:sz w:val="24"/>
        </w:rPr>
        <w:t>“</w:t>
      </w:r>
      <w:r w:rsidR="002E0481" w:rsidRPr="00C61B17">
        <w:rPr>
          <w:rFonts w:ascii="Times New Roman" w:hAnsi="Times New Roman"/>
          <w:sz w:val="24"/>
        </w:rPr>
        <w:t>consis</w:t>
      </w:r>
      <w:r w:rsidR="00A10304" w:rsidRPr="00C61B17">
        <w:rPr>
          <w:rFonts w:ascii="Times New Roman" w:hAnsi="Times New Roman"/>
          <w:sz w:val="24"/>
        </w:rPr>
        <w:t>tent</w:t>
      </w:r>
      <w:r w:rsidR="000F7836" w:rsidRPr="00C61B17">
        <w:rPr>
          <w:rFonts w:ascii="Times New Roman" w:hAnsi="Times New Roman"/>
          <w:sz w:val="24"/>
        </w:rPr>
        <w:t>”</w:t>
      </w:r>
      <w:r w:rsidR="00A10304" w:rsidRPr="00C61B17">
        <w:rPr>
          <w:rFonts w:ascii="Times New Roman" w:hAnsi="Times New Roman"/>
          <w:sz w:val="24"/>
        </w:rPr>
        <w:t xml:space="preserve"> with </w:t>
      </w:r>
      <w:r w:rsidR="00123E72" w:rsidRPr="00C61B17">
        <w:rPr>
          <w:rFonts w:ascii="Times New Roman" w:hAnsi="Times New Roman"/>
          <w:sz w:val="24"/>
        </w:rPr>
        <w:t>Sta</w:t>
      </w:r>
      <w:r w:rsidR="000F7836" w:rsidRPr="00C61B17">
        <w:rPr>
          <w:rFonts w:ascii="Times New Roman" w:hAnsi="Times New Roman"/>
          <w:sz w:val="24"/>
        </w:rPr>
        <w:t>ff’s recommendation</w:t>
      </w:r>
      <w:r w:rsidR="00874BB1" w:rsidRPr="00C61B17">
        <w:rPr>
          <w:rFonts w:ascii="Times New Roman" w:hAnsi="Times New Roman"/>
          <w:sz w:val="24"/>
        </w:rPr>
        <w:t>.</w:t>
      </w:r>
      <w:r w:rsidR="002E0481">
        <w:rPr>
          <w:rStyle w:val="FootnoteReference"/>
          <w:rFonts w:ascii="Times New Roman" w:hAnsi="Times New Roman"/>
          <w:sz w:val="24"/>
        </w:rPr>
        <w:footnoteReference w:id="151"/>
      </w:r>
      <w:r w:rsidR="00A51592" w:rsidRPr="00C61B17">
        <w:rPr>
          <w:rFonts w:ascii="Times New Roman" w:hAnsi="Times New Roman"/>
          <w:sz w:val="24"/>
        </w:rPr>
        <w:t xml:space="preserve">  </w:t>
      </w:r>
      <w:r w:rsidR="004270E1" w:rsidRPr="00C61B17">
        <w:rPr>
          <w:rFonts w:ascii="Times New Roman" w:hAnsi="Times New Roman"/>
          <w:sz w:val="24"/>
        </w:rPr>
        <w:t xml:space="preserve">In reality, </w:t>
      </w:r>
      <w:r w:rsidR="006858AD" w:rsidRPr="00C61B17">
        <w:rPr>
          <w:rFonts w:ascii="Times New Roman" w:hAnsi="Times New Roman"/>
          <w:sz w:val="24"/>
        </w:rPr>
        <w:t xml:space="preserve">however, </w:t>
      </w:r>
      <w:r w:rsidR="004270E1" w:rsidRPr="00C61B17">
        <w:rPr>
          <w:rFonts w:ascii="Times New Roman" w:hAnsi="Times New Roman"/>
          <w:sz w:val="24"/>
        </w:rPr>
        <w:t xml:space="preserve">PSE </w:t>
      </w:r>
      <w:r w:rsidR="009B5273" w:rsidRPr="00C61B17">
        <w:rPr>
          <w:rFonts w:ascii="Times New Roman" w:hAnsi="Times New Roman"/>
          <w:sz w:val="24"/>
        </w:rPr>
        <w:t xml:space="preserve">proposes to depart from </w:t>
      </w:r>
      <w:r w:rsidR="00874BB1" w:rsidRPr="00C61B17">
        <w:rPr>
          <w:rFonts w:ascii="Times New Roman" w:hAnsi="Times New Roman"/>
          <w:sz w:val="24"/>
        </w:rPr>
        <w:t>current accounting</w:t>
      </w:r>
      <w:r w:rsidR="006858AD" w:rsidRPr="00C61B17">
        <w:rPr>
          <w:rFonts w:ascii="Times New Roman" w:hAnsi="Times New Roman"/>
          <w:sz w:val="24"/>
        </w:rPr>
        <w:t xml:space="preserve"> </w:t>
      </w:r>
      <w:r w:rsidR="004270E1" w:rsidRPr="00C61B17">
        <w:rPr>
          <w:rFonts w:ascii="Times New Roman" w:hAnsi="Times New Roman"/>
          <w:sz w:val="24"/>
        </w:rPr>
        <w:t>and, instead,</w:t>
      </w:r>
      <w:r w:rsidR="000308D6" w:rsidRPr="00C61B17">
        <w:rPr>
          <w:rFonts w:ascii="Times New Roman" w:hAnsi="Times New Roman"/>
          <w:sz w:val="24"/>
        </w:rPr>
        <w:t xml:space="preserve"> </w:t>
      </w:r>
      <w:r w:rsidR="00991B30" w:rsidRPr="00C61B17">
        <w:rPr>
          <w:rFonts w:ascii="Times New Roman" w:hAnsi="Times New Roman"/>
          <w:sz w:val="24"/>
        </w:rPr>
        <w:t xml:space="preserve">through repeated accounting petitions, </w:t>
      </w:r>
      <w:r w:rsidR="00A10304" w:rsidRPr="00C61B17">
        <w:rPr>
          <w:rFonts w:ascii="Times New Roman" w:hAnsi="Times New Roman"/>
          <w:sz w:val="24"/>
        </w:rPr>
        <w:t>seek</w:t>
      </w:r>
      <w:r w:rsidR="009B5273" w:rsidRPr="00C61B17">
        <w:rPr>
          <w:rFonts w:ascii="Times New Roman" w:hAnsi="Times New Roman"/>
          <w:sz w:val="24"/>
        </w:rPr>
        <w:t xml:space="preserve"> Commission authority to establish</w:t>
      </w:r>
      <w:r w:rsidR="00A51592" w:rsidRPr="00C61B17">
        <w:rPr>
          <w:rFonts w:ascii="Times New Roman" w:hAnsi="Times New Roman"/>
          <w:sz w:val="24"/>
        </w:rPr>
        <w:t xml:space="preserve"> </w:t>
      </w:r>
      <w:r w:rsidR="00123E72" w:rsidRPr="00C61B17">
        <w:rPr>
          <w:rFonts w:ascii="Times New Roman" w:hAnsi="Times New Roman"/>
          <w:sz w:val="24"/>
        </w:rPr>
        <w:t xml:space="preserve">a </w:t>
      </w:r>
      <w:r w:rsidR="00A51592" w:rsidRPr="00C61B17">
        <w:rPr>
          <w:rFonts w:ascii="Times New Roman" w:hAnsi="Times New Roman"/>
          <w:sz w:val="24"/>
        </w:rPr>
        <w:t>regulatory asset</w:t>
      </w:r>
      <w:r w:rsidR="00123E72" w:rsidRPr="00C61B17">
        <w:rPr>
          <w:rFonts w:ascii="Times New Roman" w:hAnsi="Times New Roman"/>
          <w:sz w:val="24"/>
        </w:rPr>
        <w:t xml:space="preserve"> for each </w:t>
      </w:r>
      <w:r w:rsidR="00A51592" w:rsidRPr="00C61B17">
        <w:rPr>
          <w:rFonts w:ascii="Times New Roman" w:hAnsi="Times New Roman"/>
          <w:sz w:val="24"/>
        </w:rPr>
        <w:t>major maintenance</w:t>
      </w:r>
      <w:r w:rsidR="00123E72" w:rsidRPr="00C61B17">
        <w:rPr>
          <w:rFonts w:ascii="Times New Roman" w:hAnsi="Times New Roman"/>
          <w:sz w:val="24"/>
        </w:rPr>
        <w:t xml:space="preserve"> event</w:t>
      </w:r>
      <w:r w:rsidR="004270E1" w:rsidRPr="00C61B17">
        <w:rPr>
          <w:rFonts w:ascii="Times New Roman" w:hAnsi="Times New Roman"/>
          <w:sz w:val="24"/>
        </w:rPr>
        <w:t>.</w:t>
      </w:r>
      <w:r w:rsidR="004270E1">
        <w:rPr>
          <w:rStyle w:val="FootnoteReference"/>
          <w:rFonts w:ascii="Times New Roman" w:hAnsi="Times New Roman"/>
          <w:sz w:val="24"/>
        </w:rPr>
        <w:footnoteReference w:id="152"/>
      </w:r>
      <w:r w:rsidR="004270E1" w:rsidRPr="00C61B17">
        <w:rPr>
          <w:rFonts w:ascii="Times New Roman" w:hAnsi="Times New Roman"/>
          <w:sz w:val="24"/>
        </w:rPr>
        <w:t xml:space="preserve">  </w:t>
      </w:r>
      <w:r w:rsidR="009B5273" w:rsidRPr="00C61B17">
        <w:rPr>
          <w:rFonts w:ascii="Times New Roman" w:hAnsi="Times New Roman"/>
          <w:sz w:val="24"/>
        </w:rPr>
        <w:t>The Commission should reject the Company’s proposal.</w:t>
      </w:r>
    </w:p>
    <w:p w:rsidR="009B5273"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9B5273" w:rsidRPr="00C61B17">
        <w:rPr>
          <w:rFonts w:ascii="Times New Roman" w:hAnsi="Times New Roman"/>
          <w:sz w:val="24"/>
        </w:rPr>
        <w:t>First,</w:t>
      </w:r>
      <w:r w:rsidR="006858AD" w:rsidRPr="00C61B17">
        <w:rPr>
          <w:rFonts w:ascii="Times New Roman" w:hAnsi="Times New Roman"/>
          <w:sz w:val="24"/>
        </w:rPr>
        <w:t xml:space="preserve"> </w:t>
      </w:r>
      <w:r w:rsidR="00046393" w:rsidRPr="00C61B17">
        <w:rPr>
          <w:rFonts w:ascii="Times New Roman" w:hAnsi="Times New Roman"/>
          <w:sz w:val="24"/>
          <w:szCs w:val="24"/>
        </w:rPr>
        <w:t>the creation of a regulatory asset is considered only for unusual or extraordinary circumstances, and requires Commission approval.</w:t>
      </w:r>
      <w:r w:rsidR="00046393">
        <w:rPr>
          <w:rStyle w:val="FootnoteReference"/>
          <w:rFonts w:ascii="Times New Roman" w:hAnsi="Times New Roman"/>
          <w:sz w:val="24"/>
          <w:szCs w:val="24"/>
        </w:rPr>
        <w:footnoteReference w:id="153"/>
      </w:r>
      <w:r w:rsidR="00046393" w:rsidRPr="00C61B17">
        <w:rPr>
          <w:rFonts w:ascii="Times New Roman" w:hAnsi="Times New Roman"/>
          <w:sz w:val="24"/>
          <w:szCs w:val="24"/>
        </w:rPr>
        <w:t xml:space="preserve"> M</w:t>
      </w:r>
      <w:r w:rsidR="00D64BCE" w:rsidRPr="00C61B17">
        <w:rPr>
          <w:rFonts w:ascii="Times New Roman" w:hAnsi="Times New Roman"/>
          <w:sz w:val="24"/>
          <w:szCs w:val="24"/>
        </w:rPr>
        <w:t xml:space="preserve">ajor maintenance </w:t>
      </w:r>
      <w:r w:rsidR="00046393" w:rsidRPr="00C61B17">
        <w:rPr>
          <w:rFonts w:ascii="Times New Roman" w:hAnsi="Times New Roman"/>
          <w:sz w:val="24"/>
          <w:szCs w:val="24"/>
        </w:rPr>
        <w:t xml:space="preserve">does not fit that category.  Rather, it </w:t>
      </w:r>
      <w:r w:rsidR="00D64BCE" w:rsidRPr="00C61B17">
        <w:rPr>
          <w:rFonts w:ascii="Times New Roman" w:hAnsi="Times New Roman"/>
          <w:sz w:val="24"/>
          <w:szCs w:val="24"/>
        </w:rPr>
        <w:t>is an ongoing</w:t>
      </w:r>
      <w:r w:rsidR="00D035B6" w:rsidRPr="00C61B17">
        <w:rPr>
          <w:rFonts w:ascii="Times New Roman" w:hAnsi="Times New Roman"/>
          <w:sz w:val="24"/>
        </w:rPr>
        <w:t xml:space="preserve">, expected </w:t>
      </w:r>
      <w:r w:rsidR="00D64BCE" w:rsidRPr="00C61B17">
        <w:rPr>
          <w:rFonts w:ascii="Times New Roman" w:hAnsi="Times New Roman"/>
          <w:sz w:val="24"/>
        </w:rPr>
        <w:t xml:space="preserve">cost of business </w:t>
      </w:r>
      <w:r w:rsidR="002E3833">
        <w:rPr>
          <w:rFonts w:ascii="Times New Roman" w:hAnsi="Times New Roman"/>
          <w:sz w:val="24"/>
        </w:rPr>
        <w:t xml:space="preserve">for any utility.  </w:t>
      </w:r>
      <w:r w:rsidR="008C00C2">
        <w:rPr>
          <w:rFonts w:ascii="Times New Roman" w:hAnsi="Times New Roman"/>
          <w:sz w:val="24"/>
        </w:rPr>
        <w:t>Major maintenance may</w:t>
      </w:r>
      <w:r w:rsidR="007E7DA3">
        <w:rPr>
          <w:rFonts w:ascii="Times New Roman" w:hAnsi="Times New Roman"/>
          <w:sz w:val="24"/>
        </w:rPr>
        <w:t xml:space="preserve"> even increase for PSE,</w:t>
      </w:r>
      <w:r w:rsidR="002E3833">
        <w:rPr>
          <w:rFonts w:ascii="Times New Roman" w:hAnsi="Times New Roman"/>
          <w:sz w:val="24"/>
        </w:rPr>
        <w:t xml:space="preserve"> given the Company’s recent </w:t>
      </w:r>
      <w:r w:rsidR="00CC6917" w:rsidRPr="00C61B17">
        <w:rPr>
          <w:rFonts w:ascii="Times New Roman" w:hAnsi="Times New Roman"/>
          <w:sz w:val="24"/>
        </w:rPr>
        <w:t>acquisition of significant generation facilities.</w:t>
      </w:r>
      <w:r w:rsidR="00CC6917">
        <w:rPr>
          <w:rStyle w:val="FootnoteReference"/>
          <w:rFonts w:ascii="Times New Roman" w:hAnsi="Times New Roman"/>
          <w:sz w:val="24"/>
        </w:rPr>
        <w:footnoteReference w:id="154"/>
      </w:r>
      <w:r w:rsidR="00CC6917" w:rsidRPr="00C61B17">
        <w:rPr>
          <w:rFonts w:ascii="Times New Roman" w:hAnsi="Times New Roman"/>
          <w:sz w:val="24"/>
        </w:rPr>
        <w:t xml:space="preserve">  </w:t>
      </w:r>
      <w:r w:rsidR="00D035B6" w:rsidRPr="00C61B17">
        <w:rPr>
          <w:rFonts w:ascii="Times New Roman" w:hAnsi="Times New Roman"/>
          <w:sz w:val="24"/>
        </w:rPr>
        <w:t xml:space="preserve"> </w:t>
      </w:r>
    </w:p>
    <w:p w:rsidR="002B381F"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D035B6" w:rsidRPr="00C61B17">
        <w:rPr>
          <w:rFonts w:ascii="Times New Roman" w:hAnsi="Times New Roman"/>
          <w:sz w:val="24"/>
        </w:rPr>
        <w:t>Second, the Company cannot capitalize costs that would otherwise be charged to expense unless it is “probable” that PSE will receive future recovery.</w:t>
      </w:r>
      <w:r w:rsidR="00D035B6">
        <w:rPr>
          <w:rStyle w:val="FootnoteReference"/>
          <w:rFonts w:ascii="Times New Roman" w:hAnsi="Times New Roman"/>
          <w:sz w:val="24"/>
        </w:rPr>
        <w:footnoteReference w:id="155"/>
      </w:r>
      <w:r w:rsidR="00991B30" w:rsidRPr="00C61B17">
        <w:rPr>
          <w:rFonts w:ascii="Times New Roman" w:hAnsi="Times New Roman"/>
          <w:sz w:val="24"/>
        </w:rPr>
        <w:t xml:space="preserve">  Therefore, </w:t>
      </w:r>
      <w:r w:rsidR="00D035B6" w:rsidRPr="00C61B17">
        <w:rPr>
          <w:rFonts w:ascii="Times New Roman" w:hAnsi="Times New Roman"/>
          <w:sz w:val="24"/>
        </w:rPr>
        <w:t>Co</w:t>
      </w:r>
      <w:r w:rsidR="00991B30" w:rsidRPr="00C61B17">
        <w:rPr>
          <w:rFonts w:ascii="Times New Roman" w:hAnsi="Times New Roman"/>
          <w:sz w:val="24"/>
        </w:rPr>
        <w:t xml:space="preserve">mmission orders </w:t>
      </w:r>
      <w:r w:rsidR="00F76CE2" w:rsidRPr="00C61B17">
        <w:rPr>
          <w:rFonts w:ascii="Times New Roman" w:hAnsi="Times New Roman"/>
          <w:sz w:val="24"/>
        </w:rPr>
        <w:t xml:space="preserve">authorizing PSE </w:t>
      </w:r>
      <w:r w:rsidR="00991B30" w:rsidRPr="00C61B17">
        <w:rPr>
          <w:rFonts w:ascii="Times New Roman" w:hAnsi="Times New Roman"/>
          <w:sz w:val="24"/>
        </w:rPr>
        <w:t xml:space="preserve">to establish </w:t>
      </w:r>
      <w:r w:rsidR="00D035B6" w:rsidRPr="00C61B17">
        <w:rPr>
          <w:rFonts w:ascii="Times New Roman" w:hAnsi="Times New Roman"/>
          <w:sz w:val="24"/>
        </w:rPr>
        <w:t>regulatory asset</w:t>
      </w:r>
      <w:r w:rsidR="00991B30" w:rsidRPr="00C61B17">
        <w:rPr>
          <w:rFonts w:ascii="Times New Roman" w:hAnsi="Times New Roman"/>
          <w:sz w:val="24"/>
        </w:rPr>
        <w:t>s</w:t>
      </w:r>
      <w:r w:rsidR="00D035B6" w:rsidRPr="00C61B17">
        <w:rPr>
          <w:rFonts w:ascii="Times New Roman" w:hAnsi="Times New Roman"/>
          <w:sz w:val="24"/>
        </w:rPr>
        <w:t xml:space="preserve"> </w:t>
      </w:r>
      <w:r w:rsidR="00F76CE2" w:rsidRPr="00C61B17">
        <w:rPr>
          <w:rFonts w:ascii="Times New Roman" w:hAnsi="Times New Roman"/>
          <w:sz w:val="24"/>
        </w:rPr>
        <w:t xml:space="preserve">for major maintenance </w:t>
      </w:r>
      <w:r w:rsidR="00877BFB">
        <w:rPr>
          <w:rFonts w:ascii="Times New Roman" w:hAnsi="Times New Roman"/>
          <w:sz w:val="24"/>
        </w:rPr>
        <w:lastRenderedPageBreak/>
        <w:t>burden</w:t>
      </w:r>
      <w:r w:rsidR="002B381F" w:rsidRPr="00C61B17">
        <w:rPr>
          <w:rFonts w:ascii="Times New Roman" w:hAnsi="Times New Roman"/>
          <w:sz w:val="24"/>
        </w:rPr>
        <w:t xml:space="preserve"> ratepayers with virtually certain cost responsibility.  That cost respo</w:t>
      </w:r>
      <w:r w:rsidR="002710F2" w:rsidRPr="00C61B17">
        <w:rPr>
          <w:rFonts w:ascii="Times New Roman" w:hAnsi="Times New Roman"/>
          <w:sz w:val="24"/>
        </w:rPr>
        <w:t xml:space="preserve">nsibility </w:t>
      </w:r>
      <w:r w:rsidR="000D1A0E" w:rsidRPr="00C61B17">
        <w:rPr>
          <w:rFonts w:ascii="Times New Roman" w:hAnsi="Times New Roman"/>
          <w:sz w:val="24"/>
        </w:rPr>
        <w:t>can</w:t>
      </w:r>
      <w:r w:rsidR="00F76CE2" w:rsidRPr="00C61B17">
        <w:rPr>
          <w:rFonts w:ascii="Times New Roman" w:hAnsi="Times New Roman"/>
          <w:sz w:val="24"/>
        </w:rPr>
        <w:t xml:space="preserve"> be exasperated with the addition of </w:t>
      </w:r>
      <w:r w:rsidR="002B381F" w:rsidRPr="00C61B17">
        <w:rPr>
          <w:rFonts w:ascii="Times New Roman" w:hAnsi="Times New Roman"/>
          <w:sz w:val="24"/>
        </w:rPr>
        <w:t>c</w:t>
      </w:r>
      <w:r w:rsidR="00F76CE2" w:rsidRPr="00C61B17">
        <w:rPr>
          <w:rFonts w:ascii="Times New Roman" w:hAnsi="Times New Roman"/>
          <w:sz w:val="24"/>
        </w:rPr>
        <w:t xml:space="preserve">arrying charges </w:t>
      </w:r>
      <w:r w:rsidR="00877BFB">
        <w:rPr>
          <w:rFonts w:ascii="Times New Roman" w:hAnsi="Times New Roman"/>
          <w:sz w:val="24"/>
        </w:rPr>
        <w:t xml:space="preserve">that </w:t>
      </w:r>
      <w:r w:rsidR="000D1A0E" w:rsidRPr="00C61B17">
        <w:rPr>
          <w:rFonts w:ascii="Times New Roman" w:hAnsi="Times New Roman"/>
          <w:sz w:val="24"/>
        </w:rPr>
        <w:t xml:space="preserve">can become </w:t>
      </w:r>
      <w:r w:rsidR="00991B30" w:rsidRPr="00C61B17">
        <w:rPr>
          <w:rFonts w:ascii="Times New Roman" w:hAnsi="Times New Roman"/>
          <w:sz w:val="24"/>
        </w:rPr>
        <w:t>excessive</w:t>
      </w:r>
      <w:r w:rsidR="000D1A0E" w:rsidRPr="00C61B17">
        <w:rPr>
          <w:rFonts w:ascii="Times New Roman" w:hAnsi="Times New Roman"/>
          <w:sz w:val="24"/>
        </w:rPr>
        <w:t xml:space="preserve"> over time</w:t>
      </w:r>
      <w:r w:rsidR="002B381F" w:rsidRPr="00C61B17">
        <w:rPr>
          <w:rFonts w:ascii="Times New Roman" w:hAnsi="Times New Roman"/>
          <w:sz w:val="24"/>
        </w:rPr>
        <w:t>.</w:t>
      </w:r>
    </w:p>
    <w:p w:rsidR="002B381F"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2B381F" w:rsidRPr="00C61B17">
        <w:rPr>
          <w:rFonts w:ascii="Times New Roman" w:hAnsi="Times New Roman"/>
          <w:sz w:val="24"/>
        </w:rPr>
        <w:t>The establishment of a regulatory as</w:t>
      </w:r>
      <w:r w:rsidR="000D1A0E" w:rsidRPr="00C61B17">
        <w:rPr>
          <w:rFonts w:ascii="Times New Roman" w:hAnsi="Times New Roman"/>
          <w:sz w:val="24"/>
        </w:rPr>
        <w:t xml:space="preserve">set for major maintenance </w:t>
      </w:r>
      <w:r w:rsidR="00877BFB">
        <w:rPr>
          <w:rFonts w:ascii="Times New Roman" w:hAnsi="Times New Roman"/>
          <w:sz w:val="24"/>
        </w:rPr>
        <w:t xml:space="preserve">also </w:t>
      </w:r>
      <w:r w:rsidR="00DC08AA" w:rsidRPr="00C61B17">
        <w:rPr>
          <w:rFonts w:ascii="Times New Roman" w:hAnsi="Times New Roman"/>
          <w:sz w:val="24"/>
        </w:rPr>
        <w:t>burden</w:t>
      </w:r>
      <w:r w:rsidR="00877BFB">
        <w:rPr>
          <w:rFonts w:ascii="Times New Roman" w:hAnsi="Times New Roman"/>
          <w:sz w:val="24"/>
        </w:rPr>
        <w:t>s</w:t>
      </w:r>
      <w:r w:rsidR="00DC08AA" w:rsidRPr="00C61B17">
        <w:rPr>
          <w:rFonts w:ascii="Times New Roman" w:hAnsi="Times New Roman"/>
          <w:sz w:val="24"/>
        </w:rPr>
        <w:t xml:space="preserve"> Staff.  </w:t>
      </w:r>
      <w:r w:rsidR="002B381F" w:rsidRPr="00C61B17">
        <w:rPr>
          <w:rFonts w:ascii="Times New Roman" w:hAnsi="Times New Roman"/>
          <w:sz w:val="24"/>
        </w:rPr>
        <w:t>Given the expectati</w:t>
      </w:r>
      <w:r w:rsidR="00F76CE2" w:rsidRPr="00C61B17">
        <w:rPr>
          <w:rFonts w:ascii="Times New Roman" w:hAnsi="Times New Roman"/>
          <w:sz w:val="24"/>
        </w:rPr>
        <w:t xml:space="preserve">on that future recovery is </w:t>
      </w:r>
      <w:r w:rsidR="00184B4C" w:rsidRPr="00C61B17">
        <w:rPr>
          <w:rFonts w:ascii="Times New Roman" w:hAnsi="Times New Roman"/>
          <w:sz w:val="24"/>
        </w:rPr>
        <w:t xml:space="preserve">probable, the responsibility </w:t>
      </w:r>
      <w:r w:rsidR="007220A2">
        <w:rPr>
          <w:rFonts w:ascii="Times New Roman" w:hAnsi="Times New Roman"/>
          <w:sz w:val="24"/>
        </w:rPr>
        <w:t>shifts to Staff to prove</w:t>
      </w:r>
      <w:r w:rsidR="002B381F" w:rsidRPr="00C61B17">
        <w:rPr>
          <w:rFonts w:ascii="Times New Roman" w:hAnsi="Times New Roman"/>
          <w:sz w:val="24"/>
        </w:rPr>
        <w:t xml:space="preserve"> in a rate case that an expense is imprudent</w:t>
      </w:r>
      <w:r w:rsidR="000D1A0E" w:rsidRPr="00C61B17">
        <w:rPr>
          <w:rFonts w:ascii="Times New Roman" w:hAnsi="Times New Roman"/>
          <w:sz w:val="24"/>
        </w:rPr>
        <w:t xml:space="preserve"> or unreasonable</w:t>
      </w:r>
      <w:r w:rsidR="00F76CE2" w:rsidRPr="00C61B17">
        <w:rPr>
          <w:rFonts w:ascii="Times New Roman" w:hAnsi="Times New Roman"/>
          <w:sz w:val="24"/>
        </w:rPr>
        <w:t xml:space="preserve">.  </w:t>
      </w:r>
      <w:r w:rsidR="002B381F" w:rsidRPr="00C61B17">
        <w:rPr>
          <w:rFonts w:ascii="Times New Roman" w:hAnsi="Times New Roman"/>
          <w:sz w:val="24"/>
        </w:rPr>
        <w:t xml:space="preserve">Staff </w:t>
      </w:r>
      <w:r w:rsidR="00991B30" w:rsidRPr="00C61B17">
        <w:rPr>
          <w:rFonts w:ascii="Times New Roman" w:hAnsi="Times New Roman"/>
          <w:sz w:val="24"/>
        </w:rPr>
        <w:t xml:space="preserve">and the Commission </w:t>
      </w:r>
      <w:r w:rsidR="00F76CE2" w:rsidRPr="00C61B17">
        <w:rPr>
          <w:rFonts w:ascii="Times New Roman" w:hAnsi="Times New Roman"/>
          <w:sz w:val="24"/>
        </w:rPr>
        <w:t xml:space="preserve">will </w:t>
      </w:r>
      <w:r w:rsidR="000D1A0E" w:rsidRPr="00C61B17">
        <w:rPr>
          <w:rFonts w:ascii="Times New Roman" w:hAnsi="Times New Roman"/>
          <w:sz w:val="24"/>
        </w:rPr>
        <w:t xml:space="preserve">also </w:t>
      </w:r>
      <w:r w:rsidR="00F76CE2" w:rsidRPr="00C61B17">
        <w:rPr>
          <w:rFonts w:ascii="Times New Roman" w:hAnsi="Times New Roman"/>
          <w:sz w:val="24"/>
        </w:rPr>
        <w:t xml:space="preserve">be required </w:t>
      </w:r>
      <w:r w:rsidR="002B381F" w:rsidRPr="00C61B17">
        <w:rPr>
          <w:rFonts w:ascii="Times New Roman" w:hAnsi="Times New Roman"/>
          <w:sz w:val="24"/>
        </w:rPr>
        <w:t xml:space="preserve">to </w:t>
      </w:r>
      <w:r w:rsidR="00F23C69" w:rsidRPr="00C61B17">
        <w:rPr>
          <w:rFonts w:ascii="Times New Roman" w:hAnsi="Times New Roman"/>
          <w:sz w:val="24"/>
        </w:rPr>
        <w:t>process</w:t>
      </w:r>
      <w:r w:rsidR="00F76CE2" w:rsidRPr="00C61B17">
        <w:rPr>
          <w:rFonts w:ascii="Times New Roman" w:hAnsi="Times New Roman"/>
          <w:sz w:val="24"/>
        </w:rPr>
        <w:t xml:space="preserve"> </w:t>
      </w:r>
      <w:r w:rsidR="00991B30" w:rsidRPr="00C61B17">
        <w:rPr>
          <w:rFonts w:ascii="Times New Roman" w:hAnsi="Times New Roman"/>
          <w:sz w:val="24"/>
        </w:rPr>
        <w:t>PSE’s many a</w:t>
      </w:r>
      <w:r w:rsidR="002B381F" w:rsidRPr="00C61B17">
        <w:rPr>
          <w:rFonts w:ascii="Times New Roman" w:hAnsi="Times New Roman"/>
          <w:sz w:val="24"/>
        </w:rPr>
        <w:t xml:space="preserve">ccounting </w:t>
      </w:r>
      <w:r w:rsidR="00991B30" w:rsidRPr="00C61B17">
        <w:rPr>
          <w:rFonts w:ascii="Times New Roman" w:hAnsi="Times New Roman"/>
          <w:sz w:val="24"/>
        </w:rPr>
        <w:t>p</w:t>
      </w:r>
      <w:r w:rsidR="002B381F" w:rsidRPr="00C61B17">
        <w:rPr>
          <w:rFonts w:ascii="Times New Roman" w:hAnsi="Times New Roman"/>
          <w:sz w:val="24"/>
        </w:rPr>
        <w:t>etitions</w:t>
      </w:r>
      <w:r w:rsidR="00F76CE2" w:rsidRPr="00C61B17">
        <w:rPr>
          <w:rFonts w:ascii="Times New Roman" w:hAnsi="Times New Roman"/>
          <w:sz w:val="24"/>
        </w:rPr>
        <w:t>, and</w:t>
      </w:r>
      <w:r w:rsidR="00123E72" w:rsidRPr="00C61B17">
        <w:rPr>
          <w:rFonts w:ascii="Times New Roman" w:hAnsi="Times New Roman"/>
          <w:sz w:val="24"/>
        </w:rPr>
        <w:t xml:space="preserve"> </w:t>
      </w:r>
      <w:r w:rsidR="00874BB1" w:rsidRPr="00C61B17">
        <w:rPr>
          <w:rFonts w:ascii="Times New Roman" w:hAnsi="Times New Roman"/>
          <w:sz w:val="24"/>
        </w:rPr>
        <w:t xml:space="preserve">determine </w:t>
      </w:r>
      <w:r w:rsidR="000F7836" w:rsidRPr="00C61B17">
        <w:rPr>
          <w:rFonts w:ascii="Times New Roman" w:hAnsi="Times New Roman"/>
          <w:sz w:val="24"/>
        </w:rPr>
        <w:t xml:space="preserve">and track for every facility </w:t>
      </w:r>
      <w:r w:rsidR="00123E72" w:rsidRPr="00C61B17">
        <w:rPr>
          <w:rFonts w:ascii="Times New Roman" w:hAnsi="Times New Roman"/>
          <w:sz w:val="24"/>
        </w:rPr>
        <w:t>the appropriate maintenance intervals and resulting expense recovery.</w:t>
      </w:r>
      <w:r w:rsidR="002C1238">
        <w:rPr>
          <w:rStyle w:val="FootnoteReference"/>
          <w:rFonts w:ascii="Times New Roman" w:hAnsi="Times New Roman"/>
          <w:sz w:val="24"/>
        </w:rPr>
        <w:footnoteReference w:id="156"/>
      </w:r>
    </w:p>
    <w:p w:rsidR="00123E72"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123E72" w:rsidRPr="00C61B17">
        <w:rPr>
          <w:rFonts w:ascii="Times New Roman" w:hAnsi="Times New Roman"/>
          <w:sz w:val="24"/>
        </w:rPr>
        <w:t xml:space="preserve">Finally, </w:t>
      </w:r>
      <w:r w:rsidR="00F76CE2" w:rsidRPr="00C61B17">
        <w:rPr>
          <w:rFonts w:ascii="Times New Roman" w:hAnsi="Times New Roman"/>
          <w:sz w:val="24"/>
        </w:rPr>
        <w:t>historical test year ratemaking can accommodate the recovery of major maintenance expense.  M</w:t>
      </w:r>
      <w:r w:rsidR="000D1A0E" w:rsidRPr="00C61B17">
        <w:rPr>
          <w:rFonts w:ascii="Times New Roman" w:hAnsi="Times New Roman"/>
          <w:sz w:val="24"/>
        </w:rPr>
        <w:t xml:space="preserve">ajor maintenance </w:t>
      </w:r>
      <w:r w:rsidR="00123E72" w:rsidRPr="00C61B17">
        <w:rPr>
          <w:rFonts w:ascii="Times New Roman" w:hAnsi="Times New Roman"/>
          <w:sz w:val="24"/>
        </w:rPr>
        <w:t>for plant under service agreement</w:t>
      </w:r>
      <w:r w:rsidR="00991B30" w:rsidRPr="00C61B17">
        <w:rPr>
          <w:rFonts w:ascii="Times New Roman" w:hAnsi="Times New Roman"/>
          <w:sz w:val="24"/>
        </w:rPr>
        <w:t>s</w:t>
      </w:r>
      <w:r w:rsidR="00123E72" w:rsidRPr="00C61B17">
        <w:rPr>
          <w:rFonts w:ascii="Times New Roman" w:hAnsi="Times New Roman"/>
          <w:sz w:val="24"/>
        </w:rPr>
        <w:t xml:space="preserve"> is currently normalized over time through the deferral method.  All other major maintenance is expensed as incurred. </w:t>
      </w:r>
      <w:r w:rsidR="00F76CE2" w:rsidRPr="00C61B17">
        <w:rPr>
          <w:rFonts w:ascii="Times New Roman" w:hAnsi="Times New Roman"/>
          <w:sz w:val="24"/>
        </w:rPr>
        <w:t xml:space="preserve"> </w:t>
      </w:r>
      <w:r w:rsidR="00123E72" w:rsidRPr="00C61B17">
        <w:rPr>
          <w:rFonts w:ascii="Times New Roman" w:hAnsi="Times New Roman"/>
          <w:sz w:val="24"/>
        </w:rPr>
        <w:t>If test year maintenance cost is abnormal, an average of historical data can be used to achieve a represent</w:t>
      </w:r>
      <w:r w:rsidR="00946CEC" w:rsidRPr="00C61B17">
        <w:rPr>
          <w:rFonts w:ascii="Times New Roman" w:hAnsi="Times New Roman"/>
          <w:sz w:val="24"/>
        </w:rPr>
        <w:t>ative level</w:t>
      </w:r>
      <w:r w:rsidR="00BE5A1F" w:rsidRPr="00C61B17">
        <w:rPr>
          <w:rFonts w:ascii="Times New Roman" w:hAnsi="Times New Roman"/>
          <w:sz w:val="24"/>
        </w:rPr>
        <w:t>.  T</w:t>
      </w:r>
      <w:r w:rsidR="00123E72" w:rsidRPr="00C61B17">
        <w:rPr>
          <w:rFonts w:ascii="Times New Roman" w:hAnsi="Times New Roman"/>
          <w:sz w:val="24"/>
        </w:rPr>
        <w:t>hat is precisely the method employed by Staff</w:t>
      </w:r>
      <w:r w:rsidR="00946CEC" w:rsidRPr="00C61B17">
        <w:rPr>
          <w:rFonts w:ascii="Times New Roman" w:hAnsi="Times New Roman"/>
          <w:sz w:val="24"/>
        </w:rPr>
        <w:t xml:space="preserve"> to determine the appropriate level of recovery of </w:t>
      </w:r>
      <w:r w:rsidR="00184B4C" w:rsidRPr="00C61B17">
        <w:rPr>
          <w:rFonts w:ascii="Times New Roman" w:hAnsi="Times New Roman"/>
          <w:i/>
          <w:sz w:val="24"/>
        </w:rPr>
        <w:t>all</w:t>
      </w:r>
      <w:r w:rsidR="00184B4C" w:rsidRPr="00C61B17">
        <w:rPr>
          <w:rFonts w:ascii="Times New Roman" w:hAnsi="Times New Roman"/>
          <w:sz w:val="24"/>
        </w:rPr>
        <w:t xml:space="preserve"> </w:t>
      </w:r>
      <w:r w:rsidR="00BE5A1F" w:rsidRPr="00C61B17">
        <w:rPr>
          <w:rFonts w:ascii="Times New Roman" w:hAnsi="Times New Roman"/>
          <w:sz w:val="24"/>
        </w:rPr>
        <w:t>production O&amp;M expense.</w:t>
      </w:r>
    </w:p>
    <w:p w:rsidR="00F76CE2" w:rsidRDefault="00946CEC" w:rsidP="00C61B17">
      <w:pPr>
        <w:pStyle w:val="ListParagraph"/>
        <w:numPr>
          <w:ilvl w:val="0"/>
          <w:numId w:val="10"/>
        </w:numPr>
        <w:tabs>
          <w:tab w:val="left" w:pos="-1440"/>
        </w:tabs>
        <w:rPr>
          <w:rFonts w:ascii="Times New Roman" w:hAnsi="Times New Roman"/>
          <w:b/>
          <w:sz w:val="24"/>
        </w:rPr>
      </w:pPr>
      <w:r>
        <w:rPr>
          <w:rFonts w:ascii="Times New Roman" w:hAnsi="Times New Roman"/>
          <w:b/>
          <w:sz w:val="24"/>
        </w:rPr>
        <w:t xml:space="preserve">Staff’s </w:t>
      </w:r>
      <w:r w:rsidR="000F7836">
        <w:rPr>
          <w:rFonts w:ascii="Times New Roman" w:hAnsi="Times New Roman"/>
          <w:b/>
          <w:sz w:val="24"/>
        </w:rPr>
        <w:t xml:space="preserve">adjustment for </w:t>
      </w:r>
      <w:r>
        <w:rPr>
          <w:rFonts w:ascii="Times New Roman" w:hAnsi="Times New Roman"/>
          <w:b/>
          <w:sz w:val="24"/>
        </w:rPr>
        <w:t xml:space="preserve">production O&amp;M </w:t>
      </w:r>
      <w:r w:rsidR="000D2689">
        <w:rPr>
          <w:rFonts w:ascii="Times New Roman" w:hAnsi="Times New Roman"/>
          <w:b/>
          <w:sz w:val="24"/>
        </w:rPr>
        <w:t xml:space="preserve">expense </w:t>
      </w:r>
      <w:r>
        <w:rPr>
          <w:rFonts w:ascii="Times New Roman" w:hAnsi="Times New Roman"/>
          <w:b/>
          <w:sz w:val="24"/>
        </w:rPr>
        <w:t>is based upon fundamenta</w:t>
      </w:r>
      <w:r w:rsidR="00DC08AA">
        <w:rPr>
          <w:rFonts w:ascii="Times New Roman" w:hAnsi="Times New Roman"/>
          <w:b/>
          <w:sz w:val="24"/>
        </w:rPr>
        <w:t xml:space="preserve">l principles of historical test </w:t>
      </w:r>
      <w:r>
        <w:rPr>
          <w:rFonts w:ascii="Times New Roman" w:hAnsi="Times New Roman"/>
          <w:b/>
          <w:sz w:val="24"/>
        </w:rPr>
        <w:t>year ratemaking</w:t>
      </w:r>
    </w:p>
    <w:p w:rsidR="00946CEC" w:rsidRDefault="00946CEC" w:rsidP="00946CEC">
      <w:pPr>
        <w:tabs>
          <w:tab w:val="left" w:pos="-1440"/>
        </w:tabs>
        <w:rPr>
          <w:rFonts w:ascii="Times New Roman" w:hAnsi="Times New Roman"/>
          <w:b/>
          <w:sz w:val="24"/>
        </w:rPr>
      </w:pPr>
    </w:p>
    <w:p w:rsidR="00641C2A"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C035F3" w:rsidRPr="00C61B17">
        <w:rPr>
          <w:rFonts w:ascii="Times New Roman" w:hAnsi="Times New Roman"/>
          <w:sz w:val="24"/>
        </w:rPr>
        <w:t>The Company states it is ba</w:t>
      </w:r>
      <w:r w:rsidR="004B35EC" w:rsidRPr="00C61B17">
        <w:rPr>
          <w:rFonts w:ascii="Times New Roman" w:hAnsi="Times New Roman"/>
          <w:sz w:val="24"/>
        </w:rPr>
        <w:t xml:space="preserve">sing its </w:t>
      </w:r>
      <w:r w:rsidR="00BB43EB" w:rsidRPr="00C61B17">
        <w:rPr>
          <w:rFonts w:ascii="Times New Roman" w:hAnsi="Times New Roman"/>
          <w:sz w:val="24"/>
        </w:rPr>
        <w:t xml:space="preserve">O&amp;M </w:t>
      </w:r>
      <w:r w:rsidR="00C035F3" w:rsidRPr="00C61B17">
        <w:rPr>
          <w:rFonts w:ascii="Times New Roman" w:hAnsi="Times New Roman"/>
          <w:sz w:val="24"/>
        </w:rPr>
        <w:t xml:space="preserve">adjustment on the </w:t>
      </w:r>
      <w:r w:rsidR="002C0926" w:rsidRPr="00C61B17">
        <w:rPr>
          <w:rFonts w:ascii="Times New Roman" w:hAnsi="Times New Roman"/>
          <w:sz w:val="24"/>
        </w:rPr>
        <w:t>mos</w:t>
      </w:r>
      <w:r w:rsidR="004B35EC" w:rsidRPr="00C61B17">
        <w:rPr>
          <w:rFonts w:ascii="Times New Roman" w:hAnsi="Times New Roman"/>
          <w:sz w:val="24"/>
        </w:rPr>
        <w:t>t current test ye</w:t>
      </w:r>
      <w:r w:rsidR="00BB43EB" w:rsidRPr="00C61B17">
        <w:rPr>
          <w:rFonts w:ascii="Times New Roman" w:hAnsi="Times New Roman"/>
          <w:sz w:val="24"/>
        </w:rPr>
        <w:t xml:space="preserve">ar </w:t>
      </w:r>
      <w:r w:rsidR="002C0926" w:rsidRPr="00C61B17">
        <w:rPr>
          <w:rFonts w:ascii="Times New Roman" w:hAnsi="Times New Roman"/>
          <w:sz w:val="24"/>
        </w:rPr>
        <w:t xml:space="preserve">expense </w:t>
      </w:r>
      <w:r w:rsidR="00C035F3" w:rsidRPr="00C61B17">
        <w:rPr>
          <w:rFonts w:ascii="Times New Roman" w:hAnsi="Times New Roman"/>
          <w:sz w:val="24"/>
        </w:rPr>
        <w:t>because that is a “more accurate historical bas</w:t>
      </w:r>
      <w:r w:rsidR="002C0926" w:rsidRPr="00C61B17">
        <w:rPr>
          <w:rFonts w:ascii="Times New Roman" w:hAnsi="Times New Roman"/>
          <w:sz w:val="24"/>
        </w:rPr>
        <w:t>is</w:t>
      </w:r>
      <w:r w:rsidR="00C035F3" w:rsidRPr="00C61B17">
        <w:rPr>
          <w:rFonts w:ascii="Times New Roman" w:hAnsi="Times New Roman"/>
          <w:sz w:val="24"/>
        </w:rPr>
        <w:t>” for determining those expenses.</w:t>
      </w:r>
      <w:r w:rsidR="00C035F3">
        <w:rPr>
          <w:rStyle w:val="FootnoteReference"/>
          <w:rFonts w:ascii="Times New Roman" w:hAnsi="Times New Roman"/>
          <w:sz w:val="24"/>
        </w:rPr>
        <w:footnoteReference w:id="157"/>
      </w:r>
      <w:r w:rsidR="00C035F3" w:rsidRPr="00C61B17">
        <w:rPr>
          <w:rFonts w:ascii="Times New Roman" w:hAnsi="Times New Roman"/>
          <w:sz w:val="24"/>
        </w:rPr>
        <w:t xml:space="preserve">  </w:t>
      </w:r>
    </w:p>
    <w:p w:rsidR="00927616"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C035F3" w:rsidRPr="00C61B17">
        <w:rPr>
          <w:rFonts w:ascii="Times New Roman" w:hAnsi="Times New Roman"/>
          <w:sz w:val="24"/>
        </w:rPr>
        <w:t xml:space="preserve">Staff agrees that test year O&amp;M expense can provide an appropriate basis for ratemaking.  However, </w:t>
      </w:r>
      <w:r w:rsidR="00575291" w:rsidRPr="00C61B17">
        <w:rPr>
          <w:rFonts w:ascii="Times New Roman" w:hAnsi="Times New Roman"/>
          <w:sz w:val="24"/>
        </w:rPr>
        <w:t xml:space="preserve">because </w:t>
      </w:r>
      <w:r w:rsidR="00F6258E">
        <w:rPr>
          <w:rFonts w:ascii="Times New Roman" w:hAnsi="Times New Roman"/>
          <w:sz w:val="24"/>
        </w:rPr>
        <w:t xml:space="preserve">all costs </w:t>
      </w:r>
      <w:r w:rsidR="00C035F3" w:rsidRPr="00C61B17">
        <w:rPr>
          <w:rFonts w:ascii="Times New Roman" w:hAnsi="Times New Roman"/>
          <w:sz w:val="24"/>
        </w:rPr>
        <w:t>can fluctuate</w:t>
      </w:r>
      <w:r w:rsidR="00641C2A" w:rsidRPr="00C61B17">
        <w:rPr>
          <w:rFonts w:ascii="Times New Roman" w:hAnsi="Times New Roman"/>
          <w:sz w:val="24"/>
        </w:rPr>
        <w:t xml:space="preserve">, </w:t>
      </w:r>
      <w:r w:rsidR="00F6258E">
        <w:rPr>
          <w:rFonts w:ascii="Times New Roman" w:hAnsi="Times New Roman"/>
          <w:sz w:val="24"/>
        </w:rPr>
        <w:t xml:space="preserve">one must </w:t>
      </w:r>
      <w:r w:rsidR="00641C2A" w:rsidRPr="00C61B17">
        <w:rPr>
          <w:rFonts w:ascii="Times New Roman" w:hAnsi="Times New Roman"/>
          <w:sz w:val="24"/>
        </w:rPr>
        <w:t xml:space="preserve">examine an average </w:t>
      </w:r>
      <w:r w:rsidR="00C035F3" w:rsidRPr="00C61B17">
        <w:rPr>
          <w:rFonts w:ascii="Times New Roman" w:hAnsi="Times New Roman"/>
          <w:sz w:val="24"/>
        </w:rPr>
        <w:t>level</w:t>
      </w:r>
      <w:r w:rsidR="00641C2A" w:rsidRPr="00C61B17">
        <w:rPr>
          <w:rFonts w:ascii="Times New Roman" w:hAnsi="Times New Roman"/>
          <w:sz w:val="24"/>
        </w:rPr>
        <w:t xml:space="preserve"> of expense over time to determ</w:t>
      </w:r>
      <w:r w:rsidR="00575291" w:rsidRPr="00C61B17">
        <w:rPr>
          <w:rFonts w:ascii="Times New Roman" w:hAnsi="Times New Roman"/>
          <w:sz w:val="24"/>
        </w:rPr>
        <w:t xml:space="preserve">ine if </w:t>
      </w:r>
      <w:r w:rsidR="00877BFB">
        <w:rPr>
          <w:rFonts w:ascii="Times New Roman" w:hAnsi="Times New Roman"/>
          <w:sz w:val="24"/>
        </w:rPr>
        <w:t xml:space="preserve">the </w:t>
      </w:r>
      <w:r w:rsidR="00575291" w:rsidRPr="00C61B17">
        <w:rPr>
          <w:rFonts w:ascii="Times New Roman" w:hAnsi="Times New Roman"/>
          <w:sz w:val="24"/>
        </w:rPr>
        <w:t>test yea</w:t>
      </w:r>
      <w:r w:rsidR="00877BFB">
        <w:rPr>
          <w:rFonts w:ascii="Times New Roman" w:hAnsi="Times New Roman"/>
          <w:sz w:val="24"/>
        </w:rPr>
        <w:t>r represents a</w:t>
      </w:r>
      <w:r w:rsidR="000D1A0E" w:rsidRPr="00C61B17">
        <w:rPr>
          <w:rFonts w:ascii="Times New Roman" w:hAnsi="Times New Roman"/>
          <w:sz w:val="24"/>
        </w:rPr>
        <w:t xml:space="preserve"> normal </w:t>
      </w:r>
      <w:r w:rsidR="00877BFB">
        <w:rPr>
          <w:rFonts w:ascii="Times New Roman" w:hAnsi="Times New Roman"/>
          <w:sz w:val="24"/>
        </w:rPr>
        <w:t xml:space="preserve">level of </w:t>
      </w:r>
      <w:r w:rsidR="000D1A0E" w:rsidRPr="00C61B17">
        <w:rPr>
          <w:rFonts w:ascii="Times New Roman" w:hAnsi="Times New Roman"/>
          <w:sz w:val="24"/>
        </w:rPr>
        <w:t>expense</w:t>
      </w:r>
      <w:r w:rsidR="00641C2A" w:rsidRPr="00C61B17">
        <w:rPr>
          <w:rFonts w:ascii="Times New Roman" w:hAnsi="Times New Roman"/>
          <w:sz w:val="24"/>
        </w:rPr>
        <w:t>.</w:t>
      </w:r>
      <w:r w:rsidR="00F56B70">
        <w:rPr>
          <w:rStyle w:val="FootnoteReference"/>
          <w:rFonts w:ascii="Times New Roman" w:hAnsi="Times New Roman"/>
          <w:sz w:val="24"/>
        </w:rPr>
        <w:footnoteReference w:id="158"/>
      </w:r>
      <w:r w:rsidR="000325CC" w:rsidRPr="00C61B17">
        <w:rPr>
          <w:rFonts w:ascii="Times New Roman" w:hAnsi="Times New Roman"/>
          <w:sz w:val="24"/>
        </w:rPr>
        <w:t xml:space="preserve">  </w:t>
      </w:r>
    </w:p>
    <w:p w:rsidR="00927616"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lastRenderedPageBreak/>
        <w:tab/>
      </w:r>
      <w:r w:rsidR="000325CC" w:rsidRPr="00C61B17">
        <w:rPr>
          <w:rFonts w:ascii="Times New Roman" w:hAnsi="Times New Roman"/>
          <w:sz w:val="24"/>
        </w:rPr>
        <w:t xml:space="preserve">Staff’s </w:t>
      </w:r>
      <w:r w:rsidR="00BB43EB" w:rsidRPr="00C61B17">
        <w:rPr>
          <w:rFonts w:ascii="Times New Roman" w:hAnsi="Times New Roman"/>
          <w:sz w:val="24"/>
        </w:rPr>
        <w:t xml:space="preserve">examination </w:t>
      </w:r>
      <w:r w:rsidR="00641C2A" w:rsidRPr="00C61B17">
        <w:rPr>
          <w:rFonts w:ascii="Times New Roman" w:hAnsi="Times New Roman"/>
          <w:sz w:val="24"/>
        </w:rPr>
        <w:t>in this case revealed abnormalities</w:t>
      </w:r>
      <w:r w:rsidR="00BB43EB" w:rsidRPr="00C61B17">
        <w:rPr>
          <w:rFonts w:ascii="Times New Roman" w:hAnsi="Times New Roman"/>
          <w:sz w:val="24"/>
        </w:rPr>
        <w:t xml:space="preserve"> in </w:t>
      </w:r>
      <w:r w:rsidR="00575291" w:rsidRPr="00C61B17">
        <w:rPr>
          <w:rFonts w:ascii="Times New Roman" w:hAnsi="Times New Roman"/>
          <w:sz w:val="24"/>
        </w:rPr>
        <w:t>test year</w:t>
      </w:r>
      <w:r w:rsidR="000D1A0E" w:rsidRPr="00C61B17">
        <w:rPr>
          <w:rFonts w:ascii="Times New Roman" w:hAnsi="Times New Roman"/>
          <w:sz w:val="24"/>
        </w:rPr>
        <w:t xml:space="preserve"> </w:t>
      </w:r>
      <w:r w:rsidR="00BB43EB" w:rsidRPr="00C61B17">
        <w:rPr>
          <w:rFonts w:ascii="Times New Roman" w:hAnsi="Times New Roman"/>
          <w:sz w:val="24"/>
        </w:rPr>
        <w:t xml:space="preserve">O&amp;M expense </w:t>
      </w:r>
      <w:r w:rsidR="000D1A0E" w:rsidRPr="00C61B17">
        <w:rPr>
          <w:rFonts w:ascii="Times New Roman" w:hAnsi="Times New Roman"/>
          <w:sz w:val="24"/>
        </w:rPr>
        <w:t>that made the test year unrepresentative</w:t>
      </w:r>
      <w:r w:rsidR="00575291" w:rsidRPr="00C61B17">
        <w:rPr>
          <w:rFonts w:ascii="Times New Roman" w:hAnsi="Times New Roman"/>
          <w:sz w:val="24"/>
        </w:rPr>
        <w:t>.</w:t>
      </w:r>
      <w:r w:rsidR="00F56B70">
        <w:rPr>
          <w:rStyle w:val="FootnoteReference"/>
          <w:rFonts w:ascii="Times New Roman" w:hAnsi="Times New Roman"/>
          <w:sz w:val="24"/>
        </w:rPr>
        <w:footnoteReference w:id="159"/>
      </w:r>
      <w:r w:rsidR="00927616" w:rsidRPr="00C61B17">
        <w:rPr>
          <w:rFonts w:ascii="Times New Roman" w:hAnsi="Times New Roman"/>
          <w:sz w:val="24"/>
        </w:rPr>
        <w:t xml:space="preserve">  Therefore, Staff relied upon verified historical data available at the time Staff prepared its </w:t>
      </w:r>
      <w:r w:rsidR="00877BFB">
        <w:rPr>
          <w:rFonts w:ascii="Times New Roman" w:hAnsi="Times New Roman"/>
          <w:sz w:val="24"/>
        </w:rPr>
        <w:t xml:space="preserve">response </w:t>
      </w:r>
      <w:r w:rsidR="00927616" w:rsidRPr="00C61B17">
        <w:rPr>
          <w:rFonts w:ascii="Times New Roman" w:hAnsi="Times New Roman"/>
          <w:sz w:val="24"/>
        </w:rPr>
        <w:t>case.  F</w:t>
      </w:r>
      <w:r w:rsidR="00575291" w:rsidRPr="00C61B17">
        <w:rPr>
          <w:rFonts w:ascii="Times New Roman" w:hAnsi="Times New Roman"/>
          <w:sz w:val="24"/>
        </w:rPr>
        <w:t xml:space="preserve">or </w:t>
      </w:r>
      <w:r w:rsidR="000F7836" w:rsidRPr="00C61B17">
        <w:rPr>
          <w:rFonts w:ascii="Times New Roman" w:hAnsi="Times New Roman"/>
          <w:sz w:val="24"/>
        </w:rPr>
        <w:t>established facilities</w:t>
      </w:r>
      <w:r w:rsidR="00575291" w:rsidRPr="00C61B17">
        <w:rPr>
          <w:rFonts w:ascii="Times New Roman" w:hAnsi="Times New Roman"/>
          <w:sz w:val="24"/>
        </w:rPr>
        <w:t xml:space="preserve">, </w:t>
      </w:r>
      <w:r w:rsidR="00641C2A" w:rsidRPr="00C61B17">
        <w:rPr>
          <w:rFonts w:ascii="Times New Roman" w:hAnsi="Times New Roman"/>
          <w:sz w:val="24"/>
        </w:rPr>
        <w:t xml:space="preserve">Staff used a 5-year historical average of </w:t>
      </w:r>
      <w:r w:rsidR="00575291" w:rsidRPr="00C61B17">
        <w:rPr>
          <w:rFonts w:ascii="Times New Roman" w:hAnsi="Times New Roman"/>
          <w:sz w:val="24"/>
        </w:rPr>
        <w:t xml:space="preserve">actual </w:t>
      </w:r>
      <w:r w:rsidR="00641C2A" w:rsidRPr="00C61B17">
        <w:rPr>
          <w:rFonts w:ascii="Times New Roman" w:hAnsi="Times New Roman"/>
          <w:sz w:val="24"/>
        </w:rPr>
        <w:t>O&amp;M expense</w:t>
      </w:r>
      <w:r w:rsidR="00575291" w:rsidRPr="00C61B17">
        <w:rPr>
          <w:rFonts w:ascii="Times New Roman" w:hAnsi="Times New Roman"/>
          <w:sz w:val="24"/>
        </w:rPr>
        <w:t xml:space="preserve"> (Colstrip </w:t>
      </w:r>
      <w:r w:rsidR="00F56B70" w:rsidRPr="00C61B17">
        <w:rPr>
          <w:rFonts w:ascii="Times New Roman" w:hAnsi="Times New Roman"/>
          <w:sz w:val="24"/>
        </w:rPr>
        <w:t>1/2 and 3/</w:t>
      </w:r>
      <w:r w:rsidR="00575291" w:rsidRPr="00C61B17">
        <w:rPr>
          <w:rFonts w:ascii="Times New Roman" w:hAnsi="Times New Roman"/>
          <w:sz w:val="24"/>
        </w:rPr>
        <w:t>4, Encogen, Fre</w:t>
      </w:r>
      <w:r w:rsidR="00F56B70" w:rsidRPr="00C61B17">
        <w:rPr>
          <w:rFonts w:ascii="Times New Roman" w:hAnsi="Times New Roman"/>
          <w:sz w:val="24"/>
        </w:rPr>
        <w:t>d</w:t>
      </w:r>
      <w:r w:rsidR="00575291" w:rsidRPr="00C61B17">
        <w:rPr>
          <w:rFonts w:ascii="Times New Roman" w:hAnsi="Times New Roman"/>
          <w:sz w:val="24"/>
        </w:rPr>
        <w:t>erickson 1 and 2, Fredonia</w:t>
      </w:r>
      <w:r w:rsidR="00B35E9C" w:rsidRPr="00C61B17">
        <w:rPr>
          <w:rFonts w:ascii="Times New Roman" w:hAnsi="Times New Roman"/>
          <w:sz w:val="24"/>
        </w:rPr>
        <w:t xml:space="preserve"> </w:t>
      </w:r>
      <w:r w:rsidR="00F56B70" w:rsidRPr="00C61B17">
        <w:rPr>
          <w:rFonts w:ascii="Times New Roman" w:hAnsi="Times New Roman"/>
          <w:sz w:val="24"/>
        </w:rPr>
        <w:t>1-4</w:t>
      </w:r>
      <w:r w:rsidR="00575291" w:rsidRPr="00C61B17">
        <w:rPr>
          <w:rFonts w:ascii="Times New Roman" w:hAnsi="Times New Roman"/>
          <w:sz w:val="24"/>
        </w:rPr>
        <w:t>, Whitehorn</w:t>
      </w:r>
      <w:r w:rsidR="00F56B70" w:rsidRPr="00C61B17">
        <w:rPr>
          <w:rFonts w:ascii="Times New Roman" w:hAnsi="Times New Roman"/>
          <w:sz w:val="24"/>
        </w:rPr>
        <w:t>,</w:t>
      </w:r>
      <w:r w:rsidR="00575291" w:rsidRPr="00C61B17">
        <w:rPr>
          <w:rFonts w:ascii="Times New Roman" w:hAnsi="Times New Roman"/>
          <w:sz w:val="24"/>
        </w:rPr>
        <w:t xml:space="preserve"> and Freddy 1).</w:t>
      </w:r>
      <w:r w:rsidR="00743A8D">
        <w:rPr>
          <w:rStyle w:val="FootnoteReference"/>
          <w:rFonts w:ascii="Times New Roman" w:hAnsi="Times New Roman"/>
          <w:sz w:val="24"/>
        </w:rPr>
        <w:footnoteReference w:id="160"/>
      </w:r>
      <w:r w:rsidR="00F56B70" w:rsidRPr="00C61B17">
        <w:rPr>
          <w:rFonts w:ascii="Times New Roman" w:hAnsi="Times New Roman"/>
          <w:sz w:val="24"/>
        </w:rPr>
        <w:t xml:space="preserve">  </w:t>
      </w:r>
      <w:r w:rsidR="000F7836" w:rsidRPr="00C61B17">
        <w:rPr>
          <w:rFonts w:ascii="Times New Roman" w:hAnsi="Times New Roman"/>
          <w:sz w:val="24"/>
        </w:rPr>
        <w:t>For new facilities</w:t>
      </w:r>
      <w:r w:rsidR="005A0AC0" w:rsidRPr="00C61B17">
        <w:rPr>
          <w:rFonts w:ascii="Times New Roman" w:hAnsi="Times New Roman"/>
          <w:sz w:val="24"/>
        </w:rPr>
        <w:t xml:space="preserve"> added during the test year, Staff determined an annual </w:t>
      </w:r>
      <w:r w:rsidR="0075568C" w:rsidRPr="00C61B17">
        <w:rPr>
          <w:rFonts w:ascii="Times New Roman" w:hAnsi="Times New Roman"/>
          <w:sz w:val="24"/>
        </w:rPr>
        <w:t xml:space="preserve">expense level based </w:t>
      </w:r>
      <w:r w:rsidR="000F7836" w:rsidRPr="00C61B17">
        <w:rPr>
          <w:rFonts w:ascii="Times New Roman" w:hAnsi="Times New Roman"/>
          <w:sz w:val="24"/>
        </w:rPr>
        <w:t xml:space="preserve">either </w:t>
      </w:r>
      <w:r w:rsidR="00927616" w:rsidRPr="00C61B17">
        <w:rPr>
          <w:rFonts w:ascii="Times New Roman" w:hAnsi="Times New Roman"/>
          <w:sz w:val="24"/>
        </w:rPr>
        <w:t xml:space="preserve">on </w:t>
      </w:r>
      <w:r w:rsidR="00122EFF" w:rsidRPr="00C61B17">
        <w:rPr>
          <w:rFonts w:ascii="Times New Roman" w:hAnsi="Times New Roman"/>
          <w:sz w:val="24"/>
        </w:rPr>
        <w:t xml:space="preserve">January through </w:t>
      </w:r>
      <w:r w:rsidR="005A0AC0" w:rsidRPr="00C61B17">
        <w:rPr>
          <w:rFonts w:ascii="Times New Roman" w:hAnsi="Times New Roman"/>
          <w:sz w:val="24"/>
        </w:rPr>
        <w:t>August 2009 actu</w:t>
      </w:r>
      <w:r w:rsidR="00E27411" w:rsidRPr="00C61B17">
        <w:rPr>
          <w:rFonts w:ascii="Times New Roman" w:hAnsi="Times New Roman"/>
          <w:sz w:val="24"/>
        </w:rPr>
        <w:t>al expense (Mint Farm</w:t>
      </w:r>
      <w:r w:rsidR="000F7836" w:rsidRPr="00C61B17">
        <w:rPr>
          <w:rFonts w:ascii="Times New Roman" w:hAnsi="Times New Roman"/>
          <w:sz w:val="24"/>
        </w:rPr>
        <w:t xml:space="preserve"> and </w:t>
      </w:r>
      <w:r w:rsidR="00E27411" w:rsidRPr="00C61B17">
        <w:rPr>
          <w:rFonts w:ascii="Times New Roman" w:hAnsi="Times New Roman"/>
          <w:sz w:val="24"/>
        </w:rPr>
        <w:t>Hopkins R</w:t>
      </w:r>
      <w:r w:rsidR="005A0AC0" w:rsidRPr="00C61B17">
        <w:rPr>
          <w:rFonts w:ascii="Times New Roman" w:hAnsi="Times New Roman"/>
          <w:sz w:val="24"/>
        </w:rPr>
        <w:t>idge Infill</w:t>
      </w:r>
      <w:r w:rsidR="00927616" w:rsidRPr="00C61B17">
        <w:rPr>
          <w:rFonts w:ascii="Times New Roman" w:hAnsi="Times New Roman"/>
          <w:sz w:val="24"/>
        </w:rPr>
        <w:t xml:space="preserve">), </w:t>
      </w:r>
      <w:r w:rsidR="00122EFF" w:rsidRPr="00C61B17">
        <w:rPr>
          <w:rFonts w:ascii="Times New Roman" w:hAnsi="Times New Roman"/>
          <w:sz w:val="24"/>
        </w:rPr>
        <w:t>monthly average actual expense from August 2008 throug</w:t>
      </w:r>
      <w:r w:rsidR="00927616" w:rsidRPr="00C61B17">
        <w:rPr>
          <w:rFonts w:ascii="Times New Roman" w:hAnsi="Times New Roman"/>
          <w:sz w:val="24"/>
        </w:rPr>
        <w:t xml:space="preserve">h August 2009 (Sumas), or </w:t>
      </w:r>
      <w:r w:rsidR="00122EFF" w:rsidRPr="00C61B17">
        <w:rPr>
          <w:rFonts w:ascii="Times New Roman" w:hAnsi="Times New Roman"/>
          <w:sz w:val="24"/>
        </w:rPr>
        <w:t>actual construction costs through October 2009</w:t>
      </w:r>
      <w:r w:rsidR="005A0AC0" w:rsidRPr="00C61B17">
        <w:rPr>
          <w:rFonts w:ascii="Times New Roman" w:hAnsi="Times New Roman"/>
          <w:sz w:val="24"/>
        </w:rPr>
        <w:t xml:space="preserve"> </w:t>
      </w:r>
      <w:r w:rsidR="00122EFF" w:rsidRPr="00C61B17">
        <w:rPr>
          <w:rFonts w:ascii="Times New Roman" w:hAnsi="Times New Roman"/>
          <w:sz w:val="24"/>
        </w:rPr>
        <w:t>(</w:t>
      </w:r>
      <w:r w:rsidR="005A0AC0" w:rsidRPr="00C61B17">
        <w:rPr>
          <w:rFonts w:ascii="Times New Roman" w:hAnsi="Times New Roman"/>
          <w:sz w:val="24"/>
        </w:rPr>
        <w:t>Wild Horse Expansion).</w:t>
      </w:r>
      <w:r w:rsidR="005A0AC0">
        <w:rPr>
          <w:rStyle w:val="FootnoteReference"/>
          <w:rFonts w:ascii="Times New Roman" w:hAnsi="Times New Roman"/>
          <w:sz w:val="24"/>
        </w:rPr>
        <w:footnoteReference w:id="161"/>
      </w:r>
      <w:r w:rsidR="005A0AC0" w:rsidRPr="00C61B17">
        <w:rPr>
          <w:rFonts w:ascii="Times New Roman" w:hAnsi="Times New Roman"/>
          <w:sz w:val="24"/>
        </w:rPr>
        <w:t xml:space="preserve">  </w:t>
      </w:r>
      <w:r w:rsidR="009101CC" w:rsidRPr="00C61B17">
        <w:rPr>
          <w:rFonts w:ascii="Times New Roman" w:hAnsi="Times New Roman"/>
          <w:sz w:val="24"/>
        </w:rPr>
        <w:t>F</w:t>
      </w:r>
      <w:r w:rsidR="0075568C" w:rsidRPr="00C61B17">
        <w:rPr>
          <w:rFonts w:ascii="Times New Roman" w:hAnsi="Times New Roman"/>
          <w:sz w:val="24"/>
        </w:rPr>
        <w:t>or Goldendale</w:t>
      </w:r>
      <w:r w:rsidR="00FC1DCA">
        <w:rPr>
          <w:rFonts w:ascii="Times New Roman" w:hAnsi="Times New Roman"/>
          <w:sz w:val="24"/>
        </w:rPr>
        <w:t xml:space="preserve">, Staff used </w:t>
      </w:r>
      <w:r w:rsidR="00927616" w:rsidRPr="00C61B17">
        <w:rPr>
          <w:rFonts w:ascii="Times New Roman" w:hAnsi="Times New Roman"/>
          <w:sz w:val="24"/>
        </w:rPr>
        <w:t xml:space="preserve">the </w:t>
      </w:r>
      <w:r w:rsidR="009101CC" w:rsidRPr="00C61B17">
        <w:rPr>
          <w:rFonts w:ascii="Times New Roman" w:hAnsi="Times New Roman"/>
          <w:sz w:val="24"/>
        </w:rPr>
        <w:t xml:space="preserve">monthly average actual expense </w:t>
      </w:r>
      <w:r w:rsidR="0075568C" w:rsidRPr="00C61B17">
        <w:rPr>
          <w:rFonts w:ascii="Times New Roman" w:hAnsi="Times New Roman"/>
          <w:sz w:val="24"/>
        </w:rPr>
        <w:t>from March 2007 to August 2009.</w:t>
      </w:r>
      <w:r w:rsidR="0075568C">
        <w:rPr>
          <w:rStyle w:val="FootnoteReference"/>
          <w:rFonts w:ascii="Times New Roman" w:hAnsi="Times New Roman"/>
          <w:sz w:val="24"/>
        </w:rPr>
        <w:footnoteReference w:id="162"/>
      </w:r>
      <w:r w:rsidR="0075568C" w:rsidRPr="00C61B17">
        <w:rPr>
          <w:rFonts w:ascii="Times New Roman" w:hAnsi="Times New Roman"/>
          <w:sz w:val="24"/>
        </w:rPr>
        <w:t xml:space="preserve">  </w:t>
      </w:r>
      <w:r w:rsidR="00A40FA5" w:rsidRPr="00C61B17">
        <w:rPr>
          <w:rFonts w:ascii="Times New Roman" w:hAnsi="Times New Roman"/>
          <w:sz w:val="24"/>
        </w:rPr>
        <w:t>Finally, Staff included all fixed costs required by the Ba</w:t>
      </w:r>
      <w:r w:rsidR="00B6302F" w:rsidRPr="00C61B17">
        <w:rPr>
          <w:rFonts w:ascii="Times New Roman" w:hAnsi="Times New Roman"/>
          <w:sz w:val="24"/>
        </w:rPr>
        <w:t xml:space="preserve">ker River </w:t>
      </w:r>
      <w:r w:rsidR="008E1E37" w:rsidRPr="00C61B17">
        <w:rPr>
          <w:rFonts w:ascii="Times New Roman" w:hAnsi="Times New Roman"/>
          <w:sz w:val="24"/>
        </w:rPr>
        <w:t xml:space="preserve">Project </w:t>
      </w:r>
      <w:r w:rsidR="00927616" w:rsidRPr="00C61B17">
        <w:rPr>
          <w:rFonts w:ascii="Times New Roman" w:hAnsi="Times New Roman"/>
          <w:sz w:val="24"/>
        </w:rPr>
        <w:t xml:space="preserve">license and </w:t>
      </w:r>
      <w:r w:rsidR="008E1E37" w:rsidRPr="00C61B17">
        <w:rPr>
          <w:rFonts w:ascii="Times New Roman" w:hAnsi="Times New Roman"/>
          <w:sz w:val="24"/>
        </w:rPr>
        <w:t xml:space="preserve">Vestas turbine maintenance contracts for Hopkins </w:t>
      </w:r>
      <w:r w:rsidR="001E19C0" w:rsidRPr="00C61B17">
        <w:rPr>
          <w:rFonts w:ascii="Times New Roman" w:hAnsi="Times New Roman"/>
          <w:sz w:val="24"/>
        </w:rPr>
        <w:t>R</w:t>
      </w:r>
      <w:r w:rsidR="008E1E37" w:rsidRPr="00C61B17">
        <w:rPr>
          <w:rFonts w:ascii="Times New Roman" w:hAnsi="Times New Roman"/>
          <w:sz w:val="24"/>
        </w:rPr>
        <w:t>idge and Wild Horse</w:t>
      </w:r>
      <w:r w:rsidR="00424314" w:rsidRPr="00C61B17">
        <w:rPr>
          <w:rFonts w:ascii="Times New Roman" w:hAnsi="Times New Roman"/>
          <w:sz w:val="24"/>
        </w:rPr>
        <w:t>.</w:t>
      </w:r>
      <w:r w:rsidR="003C2783">
        <w:rPr>
          <w:rStyle w:val="FootnoteReference"/>
          <w:rFonts w:ascii="Times New Roman" w:hAnsi="Times New Roman"/>
          <w:sz w:val="24"/>
        </w:rPr>
        <w:footnoteReference w:id="163"/>
      </w:r>
      <w:r w:rsidR="000325CC" w:rsidRPr="00C61B17">
        <w:rPr>
          <w:rFonts w:ascii="Times New Roman" w:hAnsi="Times New Roman"/>
          <w:sz w:val="24"/>
        </w:rPr>
        <w:t xml:space="preserve"> </w:t>
      </w:r>
      <w:r w:rsidR="00927616" w:rsidRPr="00C61B17">
        <w:rPr>
          <w:rFonts w:ascii="Times New Roman" w:hAnsi="Times New Roman"/>
          <w:sz w:val="24"/>
        </w:rPr>
        <w:t xml:space="preserve"> </w:t>
      </w:r>
    </w:p>
    <w:p w:rsidR="00A40FA5"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B6302F" w:rsidRPr="00C61B17">
        <w:rPr>
          <w:rFonts w:ascii="Times New Roman" w:hAnsi="Times New Roman"/>
          <w:sz w:val="24"/>
        </w:rPr>
        <w:t xml:space="preserve">Staff </w:t>
      </w:r>
      <w:r w:rsidR="00DD3EB0" w:rsidRPr="00C61B17">
        <w:rPr>
          <w:rFonts w:ascii="Times New Roman" w:hAnsi="Times New Roman"/>
          <w:sz w:val="24"/>
        </w:rPr>
        <w:t>did remove</w:t>
      </w:r>
      <w:r w:rsidR="00A40FA5" w:rsidRPr="00C61B17">
        <w:rPr>
          <w:rFonts w:ascii="Times New Roman" w:hAnsi="Times New Roman"/>
          <w:sz w:val="24"/>
        </w:rPr>
        <w:t xml:space="preserve"> </w:t>
      </w:r>
      <w:r w:rsidR="00A40FA5" w:rsidRPr="00C61B17">
        <w:rPr>
          <w:rFonts w:ascii="Times New Roman" w:hAnsi="Times New Roman"/>
          <w:i/>
          <w:sz w:val="24"/>
        </w:rPr>
        <w:t>all</w:t>
      </w:r>
      <w:r w:rsidR="00A40FA5" w:rsidRPr="00C61B17">
        <w:rPr>
          <w:rFonts w:ascii="Times New Roman" w:hAnsi="Times New Roman"/>
          <w:sz w:val="24"/>
        </w:rPr>
        <w:t xml:space="preserve"> budget </w:t>
      </w:r>
      <w:r w:rsidR="00BB43EB" w:rsidRPr="00C61B17">
        <w:rPr>
          <w:rFonts w:ascii="Times New Roman" w:hAnsi="Times New Roman"/>
          <w:sz w:val="24"/>
        </w:rPr>
        <w:t>projectio</w:t>
      </w:r>
      <w:r w:rsidR="00D331D0" w:rsidRPr="00C61B17">
        <w:rPr>
          <w:rFonts w:ascii="Times New Roman" w:hAnsi="Times New Roman"/>
          <w:sz w:val="24"/>
        </w:rPr>
        <w:t xml:space="preserve">ns for </w:t>
      </w:r>
      <w:r w:rsidR="00D331D0" w:rsidRPr="00C61B17">
        <w:rPr>
          <w:rFonts w:ascii="Times New Roman" w:hAnsi="Times New Roman"/>
          <w:i/>
          <w:sz w:val="24"/>
        </w:rPr>
        <w:t>all</w:t>
      </w:r>
      <w:r w:rsidR="00D331D0" w:rsidRPr="00C61B17">
        <w:rPr>
          <w:rFonts w:ascii="Times New Roman" w:hAnsi="Times New Roman"/>
          <w:sz w:val="24"/>
        </w:rPr>
        <w:t xml:space="preserve"> plants </w:t>
      </w:r>
      <w:r w:rsidR="00912BE5" w:rsidRPr="00C61B17">
        <w:rPr>
          <w:rFonts w:ascii="Times New Roman" w:hAnsi="Times New Roman"/>
          <w:sz w:val="24"/>
        </w:rPr>
        <w:t>included</w:t>
      </w:r>
      <w:r w:rsidR="00927616" w:rsidRPr="00C61B17">
        <w:rPr>
          <w:rFonts w:ascii="Times New Roman" w:hAnsi="Times New Roman"/>
          <w:sz w:val="24"/>
        </w:rPr>
        <w:t xml:space="preserve"> by PSE in its</w:t>
      </w:r>
      <w:r w:rsidR="00A40FA5" w:rsidRPr="00C61B17">
        <w:rPr>
          <w:rFonts w:ascii="Times New Roman" w:hAnsi="Times New Roman"/>
          <w:sz w:val="24"/>
        </w:rPr>
        <w:t xml:space="preserve"> </w:t>
      </w:r>
      <w:r w:rsidR="00BB43EB" w:rsidRPr="00C61B17">
        <w:rPr>
          <w:rFonts w:ascii="Times New Roman" w:hAnsi="Times New Roman"/>
          <w:sz w:val="24"/>
        </w:rPr>
        <w:t xml:space="preserve">O&amp;M </w:t>
      </w:r>
      <w:r w:rsidR="00122EFF" w:rsidRPr="00C61B17">
        <w:rPr>
          <w:rFonts w:ascii="Times New Roman" w:hAnsi="Times New Roman"/>
          <w:sz w:val="24"/>
        </w:rPr>
        <w:t xml:space="preserve">expense </w:t>
      </w:r>
      <w:r w:rsidR="00A40FA5" w:rsidRPr="00C61B17">
        <w:rPr>
          <w:rFonts w:ascii="Times New Roman" w:hAnsi="Times New Roman"/>
          <w:sz w:val="24"/>
        </w:rPr>
        <w:t>adjus</w:t>
      </w:r>
      <w:r w:rsidR="000325CC" w:rsidRPr="00C61B17">
        <w:rPr>
          <w:rFonts w:ascii="Times New Roman" w:hAnsi="Times New Roman"/>
          <w:sz w:val="24"/>
        </w:rPr>
        <w:t>tment</w:t>
      </w:r>
      <w:r w:rsidR="00A40FA5" w:rsidRPr="00C61B17">
        <w:rPr>
          <w:rFonts w:ascii="Times New Roman" w:hAnsi="Times New Roman"/>
          <w:sz w:val="24"/>
        </w:rPr>
        <w:t>.</w:t>
      </w:r>
      <w:r w:rsidR="000325CC">
        <w:rPr>
          <w:rStyle w:val="FootnoteReference"/>
          <w:rFonts w:ascii="Times New Roman" w:hAnsi="Times New Roman"/>
          <w:sz w:val="24"/>
        </w:rPr>
        <w:footnoteReference w:id="164"/>
      </w:r>
      <w:r w:rsidR="00927616" w:rsidRPr="00C61B17">
        <w:rPr>
          <w:rFonts w:ascii="Times New Roman" w:hAnsi="Times New Roman"/>
          <w:sz w:val="24"/>
        </w:rPr>
        <w:t xml:space="preserve">  </w:t>
      </w:r>
      <w:r w:rsidR="00A40FA5" w:rsidRPr="00C61B17">
        <w:rPr>
          <w:rFonts w:ascii="Times New Roman" w:hAnsi="Times New Roman"/>
          <w:sz w:val="24"/>
        </w:rPr>
        <w:t xml:space="preserve">This brings us to </w:t>
      </w:r>
      <w:r w:rsidR="00262DF2">
        <w:rPr>
          <w:rFonts w:ascii="Times New Roman" w:hAnsi="Times New Roman"/>
          <w:sz w:val="24"/>
        </w:rPr>
        <w:t xml:space="preserve">the </w:t>
      </w:r>
      <w:r w:rsidR="00A40FA5" w:rsidRPr="00C61B17">
        <w:rPr>
          <w:rFonts w:ascii="Times New Roman" w:hAnsi="Times New Roman"/>
          <w:sz w:val="24"/>
        </w:rPr>
        <w:t xml:space="preserve">heart of </w:t>
      </w:r>
      <w:r w:rsidR="00912BE5" w:rsidRPr="00C61B17">
        <w:rPr>
          <w:rFonts w:ascii="Times New Roman" w:hAnsi="Times New Roman"/>
          <w:sz w:val="24"/>
        </w:rPr>
        <w:t>the matter.</w:t>
      </w:r>
      <w:r w:rsidR="00BD5FF5" w:rsidRPr="00C61B17">
        <w:rPr>
          <w:rFonts w:ascii="Times New Roman" w:hAnsi="Times New Roman"/>
          <w:sz w:val="24"/>
        </w:rPr>
        <w:t xml:space="preserve">  PSE </w:t>
      </w:r>
      <w:r w:rsidR="00A40FA5" w:rsidRPr="00C61B17">
        <w:rPr>
          <w:rFonts w:ascii="Times New Roman" w:hAnsi="Times New Roman"/>
          <w:sz w:val="24"/>
        </w:rPr>
        <w:t xml:space="preserve">states that it has used “recent </w:t>
      </w:r>
      <w:r w:rsidR="00B6302F" w:rsidRPr="00C61B17">
        <w:rPr>
          <w:rFonts w:ascii="Times New Roman" w:hAnsi="Times New Roman"/>
          <w:sz w:val="24"/>
        </w:rPr>
        <w:t xml:space="preserve">[test year] </w:t>
      </w:r>
      <w:r w:rsidR="00A40FA5" w:rsidRPr="00C61B17">
        <w:rPr>
          <w:rFonts w:ascii="Times New Roman" w:hAnsi="Times New Roman"/>
          <w:sz w:val="24"/>
        </w:rPr>
        <w:t>historical maintenance expense to determine maintenance expense.”</w:t>
      </w:r>
      <w:r w:rsidR="00A40FA5">
        <w:rPr>
          <w:rStyle w:val="FootnoteReference"/>
          <w:rFonts w:ascii="Times New Roman" w:hAnsi="Times New Roman"/>
          <w:sz w:val="24"/>
        </w:rPr>
        <w:footnoteReference w:id="165"/>
      </w:r>
      <w:r w:rsidR="00BD5FF5" w:rsidRPr="00C61B17">
        <w:rPr>
          <w:rFonts w:ascii="Times New Roman" w:hAnsi="Times New Roman"/>
          <w:sz w:val="24"/>
        </w:rPr>
        <w:t xml:space="preserve">  The evidence, however, </w:t>
      </w:r>
      <w:r w:rsidR="00E27411" w:rsidRPr="00C61B17">
        <w:rPr>
          <w:rFonts w:ascii="Times New Roman" w:hAnsi="Times New Roman"/>
          <w:sz w:val="24"/>
        </w:rPr>
        <w:t>prove</w:t>
      </w:r>
      <w:r w:rsidR="00A40FA5" w:rsidRPr="00C61B17">
        <w:rPr>
          <w:rFonts w:ascii="Times New Roman" w:hAnsi="Times New Roman"/>
          <w:sz w:val="24"/>
        </w:rPr>
        <w:t>s otherwise.</w:t>
      </w:r>
      <w:r w:rsidR="00BD5FF5" w:rsidRPr="00C61B17">
        <w:rPr>
          <w:rFonts w:ascii="Times New Roman" w:hAnsi="Times New Roman"/>
          <w:sz w:val="24"/>
        </w:rPr>
        <w:t xml:space="preserve">  PSE </w:t>
      </w:r>
      <w:r w:rsidR="003C2783" w:rsidRPr="00C61B17">
        <w:rPr>
          <w:rFonts w:ascii="Times New Roman" w:hAnsi="Times New Roman"/>
          <w:sz w:val="24"/>
        </w:rPr>
        <w:t>adjusts test year actual expense with budget projections total</w:t>
      </w:r>
      <w:r w:rsidR="00B62208">
        <w:rPr>
          <w:rFonts w:ascii="Times New Roman" w:hAnsi="Times New Roman"/>
          <w:sz w:val="24"/>
        </w:rPr>
        <w:t>ing $16,285,069</w:t>
      </w:r>
      <w:r w:rsidR="00FC0973" w:rsidRPr="00C61B17">
        <w:rPr>
          <w:rFonts w:ascii="Times New Roman" w:hAnsi="Times New Roman"/>
          <w:sz w:val="24"/>
        </w:rPr>
        <w:t xml:space="preserve"> </w:t>
      </w:r>
      <w:r w:rsidR="003C2783" w:rsidRPr="00C61B17">
        <w:rPr>
          <w:rFonts w:ascii="Times New Roman" w:hAnsi="Times New Roman"/>
          <w:sz w:val="24"/>
        </w:rPr>
        <w:t xml:space="preserve">for </w:t>
      </w:r>
      <w:r w:rsidR="00831C67" w:rsidRPr="00C61B17">
        <w:rPr>
          <w:rFonts w:ascii="Times New Roman" w:hAnsi="Times New Roman"/>
          <w:sz w:val="24"/>
        </w:rPr>
        <w:t xml:space="preserve">Mint Farm (based on Goldendale as a proxy), </w:t>
      </w:r>
      <w:r w:rsidR="003C2783" w:rsidRPr="00C61B17">
        <w:rPr>
          <w:rFonts w:ascii="Times New Roman" w:hAnsi="Times New Roman"/>
          <w:sz w:val="24"/>
        </w:rPr>
        <w:t xml:space="preserve">Colstrip </w:t>
      </w:r>
      <w:r w:rsidR="00912BE5" w:rsidRPr="00C61B17">
        <w:rPr>
          <w:rFonts w:ascii="Times New Roman" w:hAnsi="Times New Roman"/>
          <w:sz w:val="24"/>
        </w:rPr>
        <w:t xml:space="preserve">Units </w:t>
      </w:r>
      <w:r w:rsidR="003C2783" w:rsidRPr="00C61B17">
        <w:rPr>
          <w:rFonts w:ascii="Times New Roman" w:hAnsi="Times New Roman"/>
          <w:sz w:val="24"/>
        </w:rPr>
        <w:t xml:space="preserve">1/2 and 3/4, </w:t>
      </w:r>
      <w:r w:rsidR="00DD3EB0" w:rsidRPr="00C61B17">
        <w:rPr>
          <w:rFonts w:ascii="Times New Roman" w:hAnsi="Times New Roman"/>
          <w:sz w:val="24"/>
        </w:rPr>
        <w:t xml:space="preserve">the </w:t>
      </w:r>
      <w:r w:rsidR="003C2783" w:rsidRPr="00C61B17">
        <w:rPr>
          <w:rFonts w:ascii="Times New Roman" w:hAnsi="Times New Roman"/>
          <w:sz w:val="24"/>
        </w:rPr>
        <w:t xml:space="preserve">Baker </w:t>
      </w:r>
      <w:r w:rsidR="00912BE5" w:rsidRPr="00C61B17">
        <w:rPr>
          <w:rFonts w:ascii="Times New Roman" w:hAnsi="Times New Roman"/>
          <w:sz w:val="24"/>
        </w:rPr>
        <w:t>River Project</w:t>
      </w:r>
      <w:r w:rsidR="003C2783" w:rsidRPr="00C61B17">
        <w:rPr>
          <w:rFonts w:ascii="Times New Roman" w:hAnsi="Times New Roman"/>
          <w:sz w:val="24"/>
        </w:rPr>
        <w:t xml:space="preserve"> and Snoqualmie River </w:t>
      </w:r>
      <w:r w:rsidR="00912BE5" w:rsidRPr="00C61B17">
        <w:rPr>
          <w:rFonts w:ascii="Times New Roman" w:hAnsi="Times New Roman"/>
          <w:sz w:val="24"/>
        </w:rPr>
        <w:t xml:space="preserve">Project </w:t>
      </w:r>
      <w:r w:rsidR="003C2783" w:rsidRPr="00C61B17">
        <w:rPr>
          <w:rFonts w:ascii="Times New Roman" w:hAnsi="Times New Roman"/>
          <w:sz w:val="24"/>
        </w:rPr>
        <w:t xml:space="preserve">relicensing, </w:t>
      </w:r>
      <w:r w:rsidR="003C2783" w:rsidRPr="00C61B17">
        <w:rPr>
          <w:rFonts w:ascii="Times New Roman" w:hAnsi="Times New Roman"/>
          <w:sz w:val="24"/>
        </w:rPr>
        <w:lastRenderedPageBreak/>
        <w:t>Freddy</w:t>
      </w:r>
      <w:r w:rsidR="001F3967">
        <w:rPr>
          <w:rFonts w:ascii="Times New Roman" w:hAnsi="Times New Roman"/>
          <w:sz w:val="24"/>
        </w:rPr>
        <w:t> </w:t>
      </w:r>
      <w:r w:rsidR="003C2783" w:rsidRPr="00C61B17">
        <w:rPr>
          <w:rFonts w:ascii="Times New Roman" w:hAnsi="Times New Roman"/>
          <w:sz w:val="24"/>
        </w:rPr>
        <w:t xml:space="preserve">1, Hopkins Ridge Infill and </w:t>
      </w:r>
      <w:r w:rsidR="00912BE5" w:rsidRPr="00C61B17">
        <w:rPr>
          <w:rFonts w:ascii="Times New Roman" w:hAnsi="Times New Roman"/>
          <w:sz w:val="24"/>
        </w:rPr>
        <w:t xml:space="preserve">the </w:t>
      </w:r>
      <w:r w:rsidR="003C2783" w:rsidRPr="00C61B17">
        <w:rPr>
          <w:rFonts w:ascii="Times New Roman" w:hAnsi="Times New Roman"/>
          <w:sz w:val="24"/>
        </w:rPr>
        <w:t>Wild Horse Expansion.</w:t>
      </w:r>
      <w:r w:rsidR="003C2783">
        <w:rPr>
          <w:rStyle w:val="FootnoteReference"/>
          <w:rFonts w:ascii="Times New Roman" w:hAnsi="Times New Roman"/>
          <w:sz w:val="24"/>
        </w:rPr>
        <w:footnoteReference w:id="166"/>
      </w:r>
      <w:r w:rsidR="003C2783" w:rsidRPr="00C61B17">
        <w:rPr>
          <w:rFonts w:ascii="Times New Roman" w:hAnsi="Times New Roman"/>
          <w:sz w:val="24"/>
        </w:rPr>
        <w:t xml:space="preserve"> </w:t>
      </w:r>
      <w:r w:rsidR="00BD5FF5" w:rsidRPr="00C61B17">
        <w:rPr>
          <w:rFonts w:ascii="Times New Roman" w:hAnsi="Times New Roman"/>
          <w:sz w:val="24"/>
        </w:rPr>
        <w:t xml:space="preserve"> </w:t>
      </w:r>
      <w:r w:rsidR="00B94AAB" w:rsidRPr="00C61B17">
        <w:rPr>
          <w:rFonts w:ascii="Times New Roman" w:hAnsi="Times New Roman"/>
          <w:sz w:val="24"/>
        </w:rPr>
        <w:t xml:space="preserve">PSE then makes further unexplained adjustments </w:t>
      </w:r>
      <w:r w:rsidR="00122EFF" w:rsidRPr="00C61B17">
        <w:rPr>
          <w:rFonts w:ascii="Times New Roman" w:hAnsi="Times New Roman"/>
          <w:sz w:val="24"/>
        </w:rPr>
        <w:t xml:space="preserve">to test year actual expense to </w:t>
      </w:r>
      <w:r w:rsidR="00FC0973" w:rsidRPr="00C61B17">
        <w:rPr>
          <w:rFonts w:ascii="Times New Roman" w:hAnsi="Times New Roman"/>
          <w:sz w:val="24"/>
        </w:rPr>
        <w:t>remove</w:t>
      </w:r>
      <w:r w:rsidR="003C2783" w:rsidRPr="00C61B17">
        <w:rPr>
          <w:rFonts w:ascii="Times New Roman" w:hAnsi="Times New Roman"/>
          <w:sz w:val="24"/>
        </w:rPr>
        <w:t xml:space="preserve"> major maintenance </w:t>
      </w:r>
      <w:r w:rsidR="00FC0973" w:rsidRPr="00C61B17">
        <w:rPr>
          <w:rFonts w:ascii="Times New Roman" w:hAnsi="Times New Roman"/>
          <w:sz w:val="24"/>
        </w:rPr>
        <w:t>expense of</w:t>
      </w:r>
      <w:r w:rsidR="003C2783" w:rsidRPr="00C61B17">
        <w:rPr>
          <w:rFonts w:ascii="Times New Roman" w:hAnsi="Times New Roman"/>
          <w:sz w:val="24"/>
        </w:rPr>
        <w:t xml:space="preserve"> $6,197,058</w:t>
      </w:r>
      <w:r w:rsidR="00FC0973" w:rsidRPr="00C61B17">
        <w:rPr>
          <w:rFonts w:ascii="Times New Roman" w:hAnsi="Times New Roman"/>
          <w:sz w:val="24"/>
        </w:rPr>
        <w:t>.</w:t>
      </w:r>
      <w:r w:rsidR="00FC0973">
        <w:rPr>
          <w:rStyle w:val="FootnoteReference"/>
          <w:rFonts w:ascii="Times New Roman" w:hAnsi="Times New Roman"/>
          <w:sz w:val="24"/>
        </w:rPr>
        <w:footnoteReference w:id="167"/>
      </w:r>
      <w:r w:rsidR="00B6302F" w:rsidRPr="00C61B17">
        <w:rPr>
          <w:rFonts w:ascii="Times New Roman" w:hAnsi="Times New Roman"/>
          <w:sz w:val="24"/>
        </w:rPr>
        <w:t xml:space="preserve">  If that is not enough, </w:t>
      </w:r>
      <w:r w:rsidR="00E62897" w:rsidRPr="00C61B17">
        <w:rPr>
          <w:rFonts w:ascii="Times New Roman" w:hAnsi="Times New Roman"/>
          <w:sz w:val="24"/>
        </w:rPr>
        <w:t xml:space="preserve">again </w:t>
      </w:r>
      <w:r w:rsidR="00D22B4D" w:rsidRPr="00C61B17">
        <w:rPr>
          <w:rFonts w:ascii="Times New Roman" w:hAnsi="Times New Roman"/>
          <w:sz w:val="24"/>
        </w:rPr>
        <w:t>without explanation</w:t>
      </w:r>
      <w:r w:rsidR="00122EFF" w:rsidRPr="00C61B17">
        <w:rPr>
          <w:rFonts w:ascii="Times New Roman" w:hAnsi="Times New Roman"/>
          <w:sz w:val="24"/>
        </w:rPr>
        <w:t>,</w:t>
      </w:r>
      <w:r w:rsidR="001D1F32" w:rsidRPr="00C61B17">
        <w:rPr>
          <w:rFonts w:ascii="Times New Roman" w:hAnsi="Times New Roman"/>
          <w:sz w:val="24"/>
        </w:rPr>
        <w:t xml:space="preserve"> PSE</w:t>
      </w:r>
      <w:r w:rsidR="00B6302F" w:rsidRPr="00C61B17">
        <w:rPr>
          <w:rFonts w:ascii="Times New Roman" w:hAnsi="Times New Roman"/>
          <w:sz w:val="24"/>
        </w:rPr>
        <w:t xml:space="preserve"> also adjusts actual test year expense with adjust</w:t>
      </w:r>
      <w:r w:rsidR="002E6C57" w:rsidRPr="00C61B17">
        <w:rPr>
          <w:rFonts w:ascii="Times New Roman" w:hAnsi="Times New Roman"/>
          <w:sz w:val="24"/>
        </w:rPr>
        <w:t>ments</w:t>
      </w:r>
      <w:r w:rsidR="00B6302F" w:rsidRPr="00C61B17">
        <w:rPr>
          <w:rFonts w:ascii="Times New Roman" w:hAnsi="Times New Roman"/>
          <w:sz w:val="24"/>
        </w:rPr>
        <w:t xml:space="preserve"> related to 2009 totaling </w:t>
      </w:r>
      <w:r w:rsidR="00B6302F" w:rsidRPr="006A45B7">
        <w:rPr>
          <w:rFonts w:ascii="Times New Roman" w:hAnsi="Times New Roman"/>
          <w:sz w:val="24"/>
        </w:rPr>
        <w:t>$1,031,427</w:t>
      </w:r>
      <w:r w:rsidR="00B6302F" w:rsidRPr="00C61B17">
        <w:rPr>
          <w:rFonts w:ascii="Times New Roman" w:hAnsi="Times New Roman"/>
          <w:sz w:val="24"/>
        </w:rPr>
        <w:t>.</w:t>
      </w:r>
      <w:r w:rsidR="00B6302F">
        <w:rPr>
          <w:rStyle w:val="FootnoteReference"/>
          <w:rFonts w:ascii="Times New Roman" w:hAnsi="Times New Roman"/>
          <w:sz w:val="24"/>
        </w:rPr>
        <w:footnoteReference w:id="168"/>
      </w:r>
      <w:r w:rsidR="00735390" w:rsidRPr="00C61B17">
        <w:rPr>
          <w:rFonts w:ascii="Times New Roman" w:hAnsi="Times New Roman"/>
          <w:sz w:val="24"/>
        </w:rPr>
        <w:t xml:space="preserve">  </w:t>
      </w:r>
      <w:r w:rsidR="00831C67" w:rsidRPr="00C61B17">
        <w:rPr>
          <w:rFonts w:ascii="Times New Roman" w:hAnsi="Times New Roman"/>
          <w:sz w:val="24"/>
        </w:rPr>
        <w:t xml:space="preserve">PSE’s Sumas adjustment is based on the twelve months ended </w:t>
      </w:r>
      <w:r w:rsidR="00BD5FF5" w:rsidRPr="00C61B17">
        <w:rPr>
          <w:rFonts w:ascii="Times New Roman" w:hAnsi="Times New Roman"/>
          <w:sz w:val="24"/>
        </w:rPr>
        <w:t>October 2009, which includes expenses beyond August 2009 that Staff could not verify.</w:t>
      </w:r>
      <w:r w:rsidR="00BD5FF5">
        <w:rPr>
          <w:rStyle w:val="FootnoteReference"/>
          <w:rFonts w:ascii="Times New Roman" w:hAnsi="Times New Roman"/>
          <w:sz w:val="24"/>
        </w:rPr>
        <w:footnoteReference w:id="169"/>
      </w:r>
    </w:p>
    <w:p w:rsidR="002E6C57"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9C6E53" w:rsidRPr="00C61B17">
        <w:rPr>
          <w:rFonts w:ascii="Times New Roman" w:hAnsi="Times New Roman"/>
          <w:sz w:val="24"/>
        </w:rPr>
        <w:t xml:space="preserve">The Company </w:t>
      </w:r>
      <w:r w:rsidR="002E6C57" w:rsidRPr="00C61B17">
        <w:rPr>
          <w:rFonts w:ascii="Times New Roman" w:hAnsi="Times New Roman"/>
          <w:sz w:val="24"/>
        </w:rPr>
        <w:t>devote</w:t>
      </w:r>
      <w:r w:rsidR="009C6E53" w:rsidRPr="00C61B17">
        <w:rPr>
          <w:rFonts w:ascii="Times New Roman" w:hAnsi="Times New Roman"/>
          <w:sz w:val="24"/>
        </w:rPr>
        <w:t xml:space="preserve">s </w:t>
      </w:r>
      <w:r w:rsidR="002E6C57" w:rsidRPr="00C61B17">
        <w:rPr>
          <w:rFonts w:ascii="Times New Roman" w:hAnsi="Times New Roman"/>
          <w:sz w:val="24"/>
        </w:rPr>
        <w:t>entire witnesses to defending its budget projections as the product of reasoned and informed judg</w:t>
      </w:r>
      <w:r w:rsidR="00912BE5" w:rsidRPr="00C61B17">
        <w:rPr>
          <w:rFonts w:ascii="Times New Roman" w:hAnsi="Times New Roman"/>
          <w:sz w:val="24"/>
        </w:rPr>
        <w:t xml:space="preserve">ment based on rigorous </w:t>
      </w:r>
      <w:r w:rsidR="00004F0C" w:rsidRPr="00C61B17">
        <w:rPr>
          <w:rFonts w:ascii="Times New Roman" w:hAnsi="Times New Roman"/>
          <w:sz w:val="24"/>
        </w:rPr>
        <w:t xml:space="preserve">and detailed </w:t>
      </w:r>
      <w:r w:rsidR="00882122">
        <w:rPr>
          <w:rFonts w:ascii="Times New Roman" w:hAnsi="Times New Roman"/>
          <w:sz w:val="24"/>
        </w:rPr>
        <w:t>analysis.  Mr</w:t>
      </w:r>
      <w:r w:rsidR="00912BE5" w:rsidRPr="00C61B17">
        <w:rPr>
          <w:rFonts w:ascii="Times New Roman" w:hAnsi="Times New Roman"/>
          <w:sz w:val="24"/>
        </w:rPr>
        <w:t>. Kim Lane addres</w:t>
      </w:r>
      <w:r w:rsidR="00FC1DCA">
        <w:rPr>
          <w:rFonts w:ascii="Times New Roman" w:hAnsi="Times New Roman"/>
          <w:sz w:val="24"/>
        </w:rPr>
        <w:t xml:space="preserve">ses the budget underlying PSE’s </w:t>
      </w:r>
      <w:r w:rsidR="00912BE5" w:rsidRPr="00C61B17">
        <w:rPr>
          <w:rFonts w:ascii="Times New Roman" w:hAnsi="Times New Roman"/>
          <w:sz w:val="24"/>
        </w:rPr>
        <w:t xml:space="preserve">adjustment </w:t>
      </w:r>
      <w:r w:rsidR="00A631AA" w:rsidRPr="00C61B17">
        <w:rPr>
          <w:rFonts w:ascii="Times New Roman" w:hAnsi="Times New Roman"/>
          <w:sz w:val="24"/>
        </w:rPr>
        <w:t xml:space="preserve">for </w:t>
      </w:r>
      <w:r w:rsidR="00912BE5" w:rsidRPr="00C61B17">
        <w:rPr>
          <w:rFonts w:ascii="Times New Roman" w:hAnsi="Times New Roman"/>
          <w:sz w:val="24"/>
        </w:rPr>
        <w:t>the Baker Rive</w:t>
      </w:r>
      <w:r w:rsidR="00A631AA" w:rsidRPr="00C61B17">
        <w:rPr>
          <w:rFonts w:ascii="Times New Roman" w:hAnsi="Times New Roman"/>
          <w:sz w:val="24"/>
        </w:rPr>
        <w:t>r Project and Snoqualmie River P</w:t>
      </w:r>
      <w:r w:rsidR="00912BE5" w:rsidRPr="00C61B17">
        <w:rPr>
          <w:rFonts w:ascii="Times New Roman" w:hAnsi="Times New Roman"/>
          <w:sz w:val="24"/>
        </w:rPr>
        <w:t>roject relicensing.</w:t>
      </w:r>
      <w:r w:rsidR="00912BE5">
        <w:rPr>
          <w:rStyle w:val="FootnoteReference"/>
          <w:rFonts w:ascii="Times New Roman" w:hAnsi="Times New Roman"/>
          <w:sz w:val="24"/>
        </w:rPr>
        <w:footnoteReference w:id="170"/>
      </w:r>
      <w:r w:rsidR="00912BE5" w:rsidRPr="00C61B17">
        <w:rPr>
          <w:rFonts w:ascii="Times New Roman" w:hAnsi="Times New Roman"/>
          <w:sz w:val="24"/>
        </w:rPr>
        <w:t xml:space="preserve">  </w:t>
      </w:r>
      <w:r w:rsidR="00A631AA" w:rsidRPr="00C61B17">
        <w:rPr>
          <w:rFonts w:ascii="Times New Roman" w:hAnsi="Times New Roman"/>
          <w:sz w:val="24"/>
        </w:rPr>
        <w:t>Mr. Michael Jones addresses the budget underlying PSE’s adjustment for Colstrip</w:t>
      </w:r>
      <w:r w:rsidR="00004F0C" w:rsidRPr="00C61B17">
        <w:rPr>
          <w:rFonts w:ascii="Times New Roman" w:hAnsi="Times New Roman"/>
          <w:sz w:val="24"/>
        </w:rPr>
        <w:t xml:space="preserve"> O&amp;M</w:t>
      </w:r>
      <w:r w:rsidR="00A631AA" w:rsidRPr="00C61B17">
        <w:rPr>
          <w:rFonts w:ascii="Times New Roman" w:hAnsi="Times New Roman"/>
          <w:sz w:val="24"/>
        </w:rPr>
        <w:t>.</w:t>
      </w:r>
      <w:r w:rsidR="00A631AA">
        <w:rPr>
          <w:rStyle w:val="FootnoteReference"/>
          <w:rFonts w:ascii="Times New Roman" w:hAnsi="Times New Roman"/>
          <w:sz w:val="24"/>
        </w:rPr>
        <w:footnoteReference w:id="171"/>
      </w:r>
      <w:r w:rsidR="00A631AA" w:rsidRPr="00C61B17">
        <w:rPr>
          <w:rFonts w:ascii="Times New Roman" w:hAnsi="Times New Roman"/>
          <w:sz w:val="24"/>
        </w:rPr>
        <w:t xml:space="preserve">  Mr. Louis Odom addresses</w:t>
      </w:r>
      <w:r w:rsidR="00216D4C" w:rsidRPr="00C61B17">
        <w:rPr>
          <w:rFonts w:ascii="Times New Roman" w:hAnsi="Times New Roman"/>
          <w:sz w:val="24"/>
        </w:rPr>
        <w:t xml:space="preserve"> the</w:t>
      </w:r>
      <w:r w:rsidR="00FC1DCA">
        <w:rPr>
          <w:rFonts w:ascii="Times New Roman" w:hAnsi="Times New Roman"/>
          <w:sz w:val="24"/>
        </w:rPr>
        <w:t xml:space="preserve"> </w:t>
      </w:r>
      <w:r w:rsidR="00A631AA" w:rsidRPr="00C61B17">
        <w:rPr>
          <w:rFonts w:ascii="Times New Roman" w:hAnsi="Times New Roman"/>
          <w:sz w:val="24"/>
        </w:rPr>
        <w:t xml:space="preserve">budget underlying PSE’s </w:t>
      </w:r>
      <w:r w:rsidR="00004F0C" w:rsidRPr="00C61B17">
        <w:rPr>
          <w:rFonts w:ascii="Times New Roman" w:hAnsi="Times New Roman"/>
          <w:sz w:val="24"/>
        </w:rPr>
        <w:t xml:space="preserve">adjustments for Hopkins Ridge and Wild Horse O&amp;M, including </w:t>
      </w:r>
      <w:r w:rsidR="00A631AA" w:rsidRPr="00C61B17">
        <w:rPr>
          <w:rFonts w:ascii="Times New Roman" w:hAnsi="Times New Roman"/>
          <w:sz w:val="24"/>
        </w:rPr>
        <w:t xml:space="preserve">the </w:t>
      </w:r>
      <w:r w:rsidR="00D331D0" w:rsidRPr="00C61B17">
        <w:rPr>
          <w:rFonts w:ascii="Times New Roman" w:hAnsi="Times New Roman"/>
          <w:sz w:val="24"/>
        </w:rPr>
        <w:t xml:space="preserve">future </w:t>
      </w:r>
      <w:r w:rsidR="00A631AA" w:rsidRPr="00C61B17">
        <w:rPr>
          <w:rFonts w:ascii="Times New Roman" w:hAnsi="Times New Roman"/>
          <w:sz w:val="24"/>
        </w:rPr>
        <w:t>escalation of turbine maintenance fees unde</w:t>
      </w:r>
      <w:r w:rsidR="00004F0C" w:rsidRPr="00C61B17">
        <w:rPr>
          <w:rFonts w:ascii="Times New Roman" w:hAnsi="Times New Roman"/>
          <w:sz w:val="24"/>
        </w:rPr>
        <w:t>r Vestas service agreements</w:t>
      </w:r>
      <w:r w:rsidR="00A631AA" w:rsidRPr="00C61B17">
        <w:rPr>
          <w:rFonts w:ascii="Times New Roman" w:hAnsi="Times New Roman"/>
          <w:sz w:val="24"/>
        </w:rPr>
        <w:t>.</w:t>
      </w:r>
      <w:r w:rsidR="00A631AA">
        <w:rPr>
          <w:rStyle w:val="FootnoteReference"/>
          <w:rFonts w:ascii="Times New Roman" w:hAnsi="Times New Roman"/>
          <w:sz w:val="24"/>
        </w:rPr>
        <w:footnoteReference w:id="172"/>
      </w:r>
      <w:r w:rsidR="00A631AA" w:rsidRPr="00C61B17">
        <w:rPr>
          <w:rFonts w:ascii="Times New Roman" w:hAnsi="Times New Roman"/>
          <w:sz w:val="24"/>
        </w:rPr>
        <w:t xml:space="preserve"> </w:t>
      </w:r>
    </w:p>
    <w:p w:rsidR="00A05CFE"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877BFB">
        <w:rPr>
          <w:rFonts w:ascii="Times New Roman" w:hAnsi="Times New Roman"/>
          <w:sz w:val="24"/>
        </w:rPr>
        <w:t>PSE</w:t>
      </w:r>
      <w:r w:rsidR="00B71321" w:rsidRPr="00C61B17">
        <w:rPr>
          <w:rFonts w:ascii="Times New Roman" w:hAnsi="Times New Roman"/>
          <w:sz w:val="24"/>
        </w:rPr>
        <w:t>’s defe</w:t>
      </w:r>
      <w:r w:rsidR="00D331D0" w:rsidRPr="00C61B17">
        <w:rPr>
          <w:rFonts w:ascii="Times New Roman" w:hAnsi="Times New Roman"/>
          <w:sz w:val="24"/>
        </w:rPr>
        <w:t>nse is unpersuasive.  Regardless of the care PSE devotes to its budget process, t</w:t>
      </w:r>
      <w:r w:rsidR="00004F0C" w:rsidRPr="00C61B17">
        <w:rPr>
          <w:rFonts w:ascii="Times New Roman" w:hAnsi="Times New Roman"/>
          <w:sz w:val="24"/>
        </w:rPr>
        <w:t>he fact remains t</w:t>
      </w:r>
      <w:r w:rsidR="00DD3EB0" w:rsidRPr="00C61B17">
        <w:rPr>
          <w:rFonts w:ascii="Times New Roman" w:hAnsi="Times New Roman"/>
          <w:sz w:val="24"/>
        </w:rPr>
        <w:t>hat budgets rely upon projections that are inherently unreliable and</w:t>
      </w:r>
      <w:r w:rsidR="00A05CFE" w:rsidRPr="00C61B17">
        <w:rPr>
          <w:rFonts w:ascii="Times New Roman" w:hAnsi="Times New Roman"/>
          <w:sz w:val="24"/>
        </w:rPr>
        <w:t xml:space="preserve"> </w:t>
      </w:r>
      <w:r w:rsidR="00D331D0" w:rsidRPr="00C61B17">
        <w:rPr>
          <w:rFonts w:ascii="Times New Roman" w:hAnsi="Times New Roman"/>
          <w:sz w:val="24"/>
        </w:rPr>
        <w:t xml:space="preserve">fluctuate </w:t>
      </w:r>
      <w:r w:rsidR="00004F0C" w:rsidRPr="00C61B17">
        <w:rPr>
          <w:rFonts w:ascii="Times New Roman" w:hAnsi="Times New Roman"/>
          <w:sz w:val="24"/>
        </w:rPr>
        <w:t>over time</w:t>
      </w:r>
      <w:r w:rsidR="008E1E37" w:rsidRPr="00C61B17">
        <w:rPr>
          <w:rFonts w:ascii="Times New Roman" w:hAnsi="Times New Roman"/>
          <w:sz w:val="24"/>
        </w:rPr>
        <w:t>, up or down</w:t>
      </w:r>
      <w:r w:rsidR="00DD3EB0" w:rsidRPr="00C61B17">
        <w:rPr>
          <w:rFonts w:ascii="Times New Roman" w:hAnsi="Times New Roman"/>
          <w:sz w:val="24"/>
        </w:rPr>
        <w:t>.  PSE</w:t>
      </w:r>
      <w:r w:rsidR="003708A4" w:rsidRPr="00C61B17">
        <w:rPr>
          <w:rFonts w:ascii="Times New Roman" w:hAnsi="Times New Roman"/>
          <w:sz w:val="24"/>
        </w:rPr>
        <w:t xml:space="preserve">’s </w:t>
      </w:r>
      <w:r w:rsidR="00DD3EB0" w:rsidRPr="00C61B17">
        <w:rPr>
          <w:rFonts w:ascii="Times New Roman" w:hAnsi="Times New Roman"/>
          <w:sz w:val="24"/>
        </w:rPr>
        <w:t xml:space="preserve">O&amp;M expense </w:t>
      </w:r>
      <w:r w:rsidR="003708A4" w:rsidRPr="00C61B17">
        <w:rPr>
          <w:rFonts w:ascii="Times New Roman" w:hAnsi="Times New Roman"/>
          <w:sz w:val="24"/>
        </w:rPr>
        <w:t xml:space="preserve">adjustment </w:t>
      </w:r>
      <w:r w:rsidR="00F26706" w:rsidRPr="00C61B17">
        <w:rPr>
          <w:rFonts w:ascii="Times New Roman" w:hAnsi="Times New Roman"/>
          <w:sz w:val="24"/>
        </w:rPr>
        <w:t xml:space="preserve">proves the </w:t>
      </w:r>
      <w:r w:rsidR="00B94AAB" w:rsidRPr="00C61B17">
        <w:rPr>
          <w:rFonts w:ascii="Times New Roman" w:hAnsi="Times New Roman"/>
          <w:sz w:val="24"/>
        </w:rPr>
        <w:t xml:space="preserve">point.  In </w:t>
      </w:r>
      <w:r w:rsidR="00B94AAB" w:rsidRPr="00C61B17">
        <w:rPr>
          <w:rFonts w:ascii="Times New Roman" w:hAnsi="Times New Roman"/>
          <w:sz w:val="24"/>
        </w:rPr>
        <w:lastRenderedPageBreak/>
        <w:t xml:space="preserve">the short </w:t>
      </w:r>
      <w:r w:rsidR="003708A4" w:rsidRPr="00C61B17">
        <w:rPr>
          <w:rFonts w:ascii="Times New Roman" w:hAnsi="Times New Roman"/>
          <w:sz w:val="24"/>
        </w:rPr>
        <w:t xml:space="preserve">3-month period between PSE’s supplemental </w:t>
      </w:r>
      <w:r w:rsidR="00216D4C" w:rsidRPr="00C61B17">
        <w:rPr>
          <w:rFonts w:ascii="Times New Roman" w:hAnsi="Times New Roman"/>
          <w:sz w:val="24"/>
        </w:rPr>
        <w:t xml:space="preserve">and rebuttal </w:t>
      </w:r>
      <w:r w:rsidR="003708A4" w:rsidRPr="00C61B17">
        <w:rPr>
          <w:rFonts w:ascii="Times New Roman" w:hAnsi="Times New Roman"/>
          <w:sz w:val="24"/>
        </w:rPr>
        <w:t>filing</w:t>
      </w:r>
      <w:r w:rsidR="00216D4C" w:rsidRPr="00C61B17">
        <w:rPr>
          <w:rFonts w:ascii="Times New Roman" w:hAnsi="Times New Roman"/>
          <w:sz w:val="24"/>
        </w:rPr>
        <w:t>s</w:t>
      </w:r>
      <w:r w:rsidR="008E1E37" w:rsidRPr="00C61B17">
        <w:rPr>
          <w:rFonts w:ascii="Times New Roman" w:hAnsi="Times New Roman"/>
          <w:sz w:val="24"/>
        </w:rPr>
        <w:t xml:space="preserve">, the Company’s </w:t>
      </w:r>
      <w:r w:rsidR="003708A4" w:rsidRPr="00C61B17">
        <w:rPr>
          <w:rFonts w:ascii="Times New Roman" w:hAnsi="Times New Roman"/>
          <w:sz w:val="24"/>
        </w:rPr>
        <w:t xml:space="preserve">projections for </w:t>
      </w:r>
      <w:r w:rsidR="00B71321" w:rsidRPr="00C61B17">
        <w:rPr>
          <w:rFonts w:ascii="Times New Roman" w:hAnsi="Times New Roman"/>
          <w:sz w:val="24"/>
        </w:rPr>
        <w:t xml:space="preserve">total </w:t>
      </w:r>
      <w:r w:rsidR="00F26706" w:rsidRPr="00C61B17">
        <w:rPr>
          <w:rFonts w:ascii="Times New Roman" w:hAnsi="Times New Roman"/>
          <w:sz w:val="24"/>
        </w:rPr>
        <w:t xml:space="preserve">production O&amp;M </w:t>
      </w:r>
      <w:r w:rsidR="003708A4" w:rsidRPr="00C61B17">
        <w:rPr>
          <w:rFonts w:ascii="Times New Roman" w:hAnsi="Times New Roman"/>
          <w:sz w:val="24"/>
        </w:rPr>
        <w:t xml:space="preserve">expense </w:t>
      </w:r>
      <w:r w:rsidR="00216D4C" w:rsidRPr="00C61B17">
        <w:rPr>
          <w:rFonts w:ascii="Times New Roman" w:hAnsi="Times New Roman"/>
          <w:sz w:val="24"/>
        </w:rPr>
        <w:t>decreas</w:t>
      </w:r>
      <w:r w:rsidR="00F26706" w:rsidRPr="00C61B17">
        <w:rPr>
          <w:rFonts w:ascii="Times New Roman" w:hAnsi="Times New Roman"/>
          <w:sz w:val="24"/>
        </w:rPr>
        <w:t>ed 23 percent</w:t>
      </w:r>
      <w:r w:rsidR="00216D4C" w:rsidRPr="00C61B17">
        <w:rPr>
          <w:rFonts w:ascii="Times New Roman" w:hAnsi="Times New Roman"/>
          <w:sz w:val="24"/>
        </w:rPr>
        <w:t xml:space="preserve"> ($4,770,59</w:t>
      </w:r>
      <w:r w:rsidR="00877BFB">
        <w:rPr>
          <w:rFonts w:ascii="Times New Roman" w:hAnsi="Times New Roman"/>
          <w:sz w:val="24"/>
        </w:rPr>
        <w:t>4</w:t>
      </w:r>
      <w:r w:rsidR="00216D4C" w:rsidRPr="00C61B17">
        <w:rPr>
          <w:rFonts w:ascii="Times New Roman" w:hAnsi="Times New Roman"/>
          <w:sz w:val="24"/>
        </w:rPr>
        <w:t>)</w:t>
      </w:r>
      <w:r w:rsidR="00F26706" w:rsidRPr="00C61B17">
        <w:rPr>
          <w:rFonts w:ascii="Times New Roman" w:hAnsi="Times New Roman"/>
          <w:sz w:val="24"/>
        </w:rPr>
        <w:t>.</w:t>
      </w:r>
      <w:r w:rsidR="00F26706">
        <w:rPr>
          <w:rStyle w:val="FootnoteReference"/>
          <w:rFonts w:ascii="Times New Roman" w:hAnsi="Times New Roman"/>
          <w:sz w:val="24"/>
        </w:rPr>
        <w:footnoteReference w:id="173"/>
      </w:r>
      <w:r w:rsidR="00216D4C" w:rsidRPr="00C61B17">
        <w:rPr>
          <w:rFonts w:ascii="Times New Roman" w:hAnsi="Times New Roman"/>
          <w:sz w:val="24"/>
        </w:rPr>
        <w:t xml:space="preserve">  </w:t>
      </w:r>
    </w:p>
    <w:p w:rsidR="007601E4"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A05CFE" w:rsidRPr="00C61B17">
        <w:rPr>
          <w:rFonts w:ascii="Times New Roman" w:hAnsi="Times New Roman"/>
          <w:sz w:val="24"/>
        </w:rPr>
        <w:t>The underlying goal in all adjustments is to preserve the integrity of historical test-year rat</w:t>
      </w:r>
      <w:r w:rsidR="00317C95" w:rsidRPr="00C61B17">
        <w:rPr>
          <w:rFonts w:ascii="Times New Roman" w:hAnsi="Times New Roman"/>
          <w:sz w:val="24"/>
        </w:rPr>
        <w:t>emaking</w:t>
      </w:r>
      <w:r w:rsidR="008E1E37" w:rsidRPr="00C61B17">
        <w:rPr>
          <w:rFonts w:ascii="Times New Roman" w:hAnsi="Times New Roman"/>
          <w:sz w:val="24"/>
        </w:rPr>
        <w:t>.</w:t>
      </w:r>
      <w:r w:rsidR="00BD5FF5" w:rsidRPr="00C61B17">
        <w:rPr>
          <w:rFonts w:ascii="Times New Roman" w:hAnsi="Times New Roman"/>
          <w:sz w:val="24"/>
        </w:rPr>
        <w:t xml:space="preserve"> </w:t>
      </w:r>
      <w:r w:rsidR="00EE3187" w:rsidRPr="00C61B17">
        <w:rPr>
          <w:rFonts w:ascii="Times New Roman" w:hAnsi="Times New Roman"/>
          <w:sz w:val="24"/>
        </w:rPr>
        <w:t xml:space="preserve"> </w:t>
      </w:r>
      <w:r w:rsidR="00BD5FF5" w:rsidRPr="00C61B17">
        <w:rPr>
          <w:rFonts w:ascii="Times New Roman" w:hAnsi="Times New Roman"/>
          <w:sz w:val="24"/>
        </w:rPr>
        <w:t>Staff’s adjust</w:t>
      </w:r>
      <w:r w:rsidR="0007163C" w:rsidRPr="00C61B17">
        <w:rPr>
          <w:rFonts w:ascii="Times New Roman" w:hAnsi="Times New Roman"/>
          <w:sz w:val="24"/>
        </w:rPr>
        <w:t xml:space="preserve">ment </w:t>
      </w:r>
      <w:r w:rsidR="00BD5FF5" w:rsidRPr="00C61B17">
        <w:rPr>
          <w:rFonts w:ascii="Times New Roman" w:hAnsi="Times New Roman"/>
          <w:sz w:val="24"/>
        </w:rPr>
        <w:t>achieves that goal</w:t>
      </w:r>
      <w:r w:rsidR="0007163C" w:rsidRPr="00C61B17">
        <w:rPr>
          <w:rFonts w:ascii="Times New Roman" w:hAnsi="Times New Roman"/>
          <w:sz w:val="24"/>
        </w:rPr>
        <w:t xml:space="preserve"> by removing the Company’s </w:t>
      </w:r>
      <w:r w:rsidR="00317C95" w:rsidRPr="00C61B17">
        <w:rPr>
          <w:rFonts w:ascii="Times New Roman" w:hAnsi="Times New Roman"/>
          <w:sz w:val="24"/>
        </w:rPr>
        <w:t xml:space="preserve">O&amp;M budget </w:t>
      </w:r>
      <w:r w:rsidR="0007163C" w:rsidRPr="00C61B17">
        <w:rPr>
          <w:rFonts w:ascii="Times New Roman" w:hAnsi="Times New Roman"/>
          <w:sz w:val="24"/>
        </w:rPr>
        <w:t>projections in favor of actual, verified results</w:t>
      </w:r>
      <w:r w:rsidR="00BD5FF5" w:rsidRPr="00C61B17">
        <w:rPr>
          <w:rFonts w:ascii="Times New Roman" w:hAnsi="Times New Roman"/>
          <w:sz w:val="24"/>
        </w:rPr>
        <w:t>.</w:t>
      </w:r>
      <w:r>
        <w:rPr>
          <w:rFonts w:ascii="Times New Roman" w:hAnsi="Times New Roman"/>
          <w:sz w:val="24"/>
        </w:rPr>
        <w:t xml:space="preserve">  </w:t>
      </w:r>
    </w:p>
    <w:p w:rsidR="00F4115E" w:rsidRDefault="00F4115E" w:rsidP="007601E4">
      <w:pPr>
        <w:tabs>
          <w:tab w:val="left" w:pos="-1440"/>
        </w:tabs>
        <w:spacing w:line="480" w:lineRule="auto"/>
        <w:ind w:left="90" w:hanging="9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b.</w:t>
      </w:r>
      <w:r>
        <w:rPr>
          <w:rFonts w:ascii="Times New Roman" w:hAnsi="Times New Roman"/>
          <w:b/>
          <w:sz w:val="24"/>
        </w:rPr>
        <w:tab/>
        <w:t xml:space="preserve">10.06, </w:t>
      </w:r>
      <w:r w:rsidRPr="00BA1272">
        <w:rPr>
          <w:rFonts w:ascii="Times New Roman" w:hAnsi="Times New Roman"/>
          <w:b/>
          <w:sz w:val="24"/>
        </w:rPr>
        <w:t>Hopkins Ridge Infill</w:t>
      </w:r>
      <w:r w:rsidR="00970C6B">
        <w:rPr>
          <w:rFonts w:ascii="Times New Roman" w:hAnsi="Times New Roman"/>
          <w:b/>
          <w:sz w:val="24"/>
        </w:rPr>
        <w:t>; 10.09, Sumas; and 10.10, Whitehorn</w:t>
      </w:r>
    </w:p>
    <w:p w:rsidR="008D4057" w:rsidRPr="00C61B17" w:rsidRDefault="00C61B17" w:rsidP="00C61B17">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970C6B" w:rsidRPr="00C61B17">
        <w:rPr>
          <w:rFonts w:ascii="Times New Roman" w:hAnsi="Times New Roman"/>
          <w:sz w:val="24"/>
        </w:rPr>
        <w:t xml:space="preserve">Adjustment 10.06 involves the August 2008 addition </w:t>
      </w:r>
      <w:r w:rsidR="00B5740A" w:rsidRPr="00C61B17">
        <w:rPr>
          <w:rFonts w:ascii="Times New Roman" w:hAnsi="Times New Roman"/>
          <w:sz w:val="24"/>
        </w:rPr>
        <w:t xml:space="preserve">of four </w:t>
      </w:r>
      <w:r w:rsidR="00D7616D" w:rsidRPr="00C61B17">
        <w:rPr>
          <w:rFonts w:ascii="Times New Roman" w:hAnsi="Times New Roman"/>
          <w:sz w:val="24"/>
        </w:rPr>
        <w:t>turbines at</w:t>
      </w:r>
      <w:r w:rsidR="00B5740A" w:rsidRPr="00C61B17">
        <w:rPr>
          <w:rFonts w:ascii="Times New Roman" w:hAnsi="Times New Roman"/>
          <w:sz w:val="24"/>
        </w:rPr>
        <w:t xml:space="preserve"> </w:t>
      </w:r>
      <w:r w:rsidR="00D7616D" w:rsidRPr="00C61B17">
        <w:rPr>
          <w:rFonts w:ascii="Times New Roman" w:hAnsi="Times New Roman"/>
          <w:sz w:val="24"/>
        </w:rPr>
        <w:t>Hopkins Ridge</w:t>
      </w:r>
      <w:r w:rsidR="00970C6B" w:rsidRPr="00C61B17">
        <w:rPr>
          <w:rFonts w:ascii="Times New Roman" w:hAnsi="Times New Roman"/>
          <w:sz w:val="24"/>
        </w:rPr>
        <w:t xml:space="preserve">.  </w:t>
      </w:r>
      <w:r w:rsidR="009B27E5" w:rsidRPr="00C61B17">
        <w:rPr>
          <w:rFonts w:ascii="Times New Roman" w:hAnsi="Times New Roman"/>
          <w:sz w:val="24"/>
        </w:rPr>
        <w:t>Adjustment 10.09 involves the addition of t</w:t>
      </w:r>
      <w:r w:rsidR="00D7616D" w:rsidRPr="00C61B17">
        <w:rPr>
          <w:rFonts w:ascii="Times New Roman" w:hAnsi="Times New Roman"/>
          <w:sz w:val="24"/>
        </w:rPr>
        <w:t xml:space="preserve">he Sumas Cogeneration facility in July </w:t>
      </w:r>
      <w:r w:rsidR="009B27E5" w:rsidRPr="00C61B17">
        <w:rPr>
          <w:rFonts w:ascii="Times New Roman" w:hAnsi="Times New Roman"/>
          <w:sz w:val="24"/>
        </w:rPr>
        <w:t>2008.  Adjustment 10.</w:t>
      </w:r>
      <w:r w:rsidR="00882122">
        <w:rPr>
          <w:rFonts w:ascii="Times New Roman" w:hAnsi="Times New Roman"/>
          <w:sz w:val="24"/>
        </w:rPr>
        <w:t>10 involves the purchase</w:t>
      </w:r>
      <w:r w:rsidR="00D7616D" w:rsidRPr="00C61B17">
        <w:rPr>
          <w:rFonts w:ascii="Times New Roman" w:hAnsi="Times New Roman"/>
          <w:sz w:val="24"/>
        </w:rPr>
        <w:t xml:space="preserve"> of Whitehorn</w:t>
      </w:r>
      <w:r w:rsidR="009B27E5" w:rsidRPr="00C61B17">
        <w:rPr>
          <w:rFonts w:ascii="Times New Roman" w:hAnsi="Times New Roman"/>
          <w:sz w:val="24"/>
        </w:rPr>
        <w:t xml:space="preserve"> in February 2009.</w:t>
      </w:r>
    </w:p>
    <w:p w:rsidR="009B27E5" w:rsidRDefault="00C61B17" w:rsidP="00C61B17">
      <w:pPr>
        <w:pStyle w:val="NoSpacing"/>
        <w:numPr>
          <w:ilvl w:val="0"/>
          <w:numId w:val="11"/>
        </w:numPr>
        <w:spacing w:line="480" w:lineRule="auto"/>
      </w:pPr>
      <w:r>
        <w:tab/>
      </w:r>
      <w:r w:rsidR="009B27E5">
        <w:t>These three adjustments are grouped together because the only difference between PSE and Staff is the treatment of property taxes.</w:t>
      </w:r>
      <w:r w:rsidR="0027126C">
        <w:rPr>
          <w:rStyle w:val="FootnoteReference"/>
        </w:rPr>
        <w:footnoteReference w:id="174"/>
      </w:r>
      <w:r w:rsidR="009B27E5">
        <w:t>  In Adjustment 10.15, Staf</w:t>
      </w:r>
      <w:r w:rsidR="001D4E3A">
        <w:t xml:space="preserve">f updated taxes for all PSE </w:t>
      </w:r>
      <w:r w:rsidR="009B27E5">
        <w:t>property from the test period accrued expense to the actual</w:t>
      </w:r>
      <w:r w:rsidR="00B5740A">
        <w:t xml:space="preserve"> tax paid in 2008.  </w:t>
      </w:r>
      <w:r w:rsidR="000D2689">
        <w:t>In contrast, PSE includes estimates of property taxes for 2009 in the individual plant adjustments, despite the fact</w:t>
      </w:r>
      <w:r w:rsidR="000D06B9">
        <w:t xml:space="preserve"> that the plants are </w:t>
      </w:r>
      <w:r w:rsidR="000D2689">
        <w:t xml:space="preserve">not assessed individually and despite the fact that levy rates </w:t>
      </w:r>
      <w:r w:rsidR="001D4E3A">
        <w:t>have yet to be announced by the taxing authorities</w:t>
      </w:r>
      <w:r w:rsidR="009B27E5">
        <w:t>.</w:t>
      </w:r>
      <w:r w:rsidR="001D4E3A">
        <w:rPr>
          <w:rStyle w:val="FootnoteReference"/>
        </w:rPr>
        <w:footnoteReference w:id="175"/>
      </w:r>
      <w:r w:rsidR="009B27E5">
        <w:t xml:space="preserve"> </w:t>
      </w:r>
    </w:p>
    <w:p w:rsidR="009B27E5" w:rsidRPr="008D4057" w:rsidRDefault="00C61B17" w:rsidP="00C61B17">
      <w:pPr>
        <w:pStyle w:val="NoSpacing"/>
        <w:numPr>
          <w:ilvl w:val="0"/>
          <w:numId w:val="11"/>
        </w:numPr>
        <w:spacing w:line="480" w:lineRule="auto"/>
      </w:pPr>
      <w:r>
        <w:tab/>
      </w:r>
      <w:r w:rsidR="009B27E5">
        <w:t>For the reasons stated</w:t>
      </w:r>
      <w:r w:rsidR="00B5740A">
        <w:t xml:space="preserve"> for </w:t>
      </w:r>
      <w:r w:rsidR="00F72587">
        <w:t>Adjustment 10.15,</w:t>
      </w:r>
      <w:r w:rsidR="00F72587" w:rsidRPr="00F72587">
        <w:rPr>
          <w:szCs w:val="24"/>
        </w:rPr>
        <w:t xml:space="preserve"> </w:t>
      </w:r>
      <w:r w:rsidR="0027126C">
        <w:rPr>
          <w:szCs w:val="24"/>
        </w:rPr>
        <w:t xml:space="preserve">the </w:t>
      </w:r>
      <w:r w:rsidR="001D4E3A">
        <w:rPr>
          <w:szCs w:val="24"/>
        </w:rPr>
        <w:t xml:space="preserve">Company’s adjustments are not </w:t>
      </w:r>
      <w:r w:rsidR="00B5740A">
        <w:rPr>
          <w:szCs w:val="24"/>
        </w:rPr>
        <w:t xml:space="preserve">known and measurable.  They </w:t>
      </w:r>
      <w:r w:rsidR="001D4E3A">
        <w:rPr>
          <w:szCs w:val="24"/>
        </w:rPr>
        <w:t>should be rejected by the Commission.</w:t>
      </w:r>
      <w:r w:rsidR="00F72587">
        <w:rPr>
          <w:szCs w:val="24"/>
        </w:rPr>
        <w:t xml:space="preserve">  </w:t>
      </w:r>
      <w:r w:rsidR="00F72587">
        <w:rPr>
          <w:szCs w:val="24"/>
        </w:rPr>
        <w:tab/>
      </w:r>
    </w:p>
    <w:p w:rsidR="00F4115E" w:rsidRPr="008D4057" w:rsidRDefault="001A3901" w:rsidP="001A3901">
      <w:pPr>
        <w:pStyle w:val="ListParagraph"/>
        <w:tabs>
          <w:tab w:val="left" w:pos="-1440"/>
        </w:tabs>
        <w:spacing w:line="480" w:lineRule="auto"/>
        <w:ind w:left="0"/>
        <w:rPr>
          <w:rFonts w:ascii="Times New Roman" w:hAnsi="Times New Roman"/>
          <w:b/>
          <w:sz w:val="24"/>
        </w:rPr>
      </w:pPr>
      <w:r>
        <w:rPr>
          <w:rFonts w:ascii="Times New Roman" w:hAnsi="Times New Roman"/>
          <w:b/>
          <w:sz w:val="24"/>
        </w:rPr>
        <w:tab/>
      </w:r>
      <w:r>
        <w:rPr>
          <w:rFonts w:ascii="Times New Roman" w:hAnsi="Times New Roman"/>
          <w:b/>
          <w:sz w:val="24"/>
        </w:rPr>
        <w:tab/>
        <w:t>c.</w:t>
      </w:r>
      <w:r>
        <w:rPr>
          <w:rFonts w:ascii="Times New Roman" w:hAnsi="Times New Roman"/>
          <w:b/>
          <w:sz w:val="24"/>
        </w:rPr>
        <w:tab/>
      </w:r>
      <w:r w:rsidR="00F4115E" w:rsidRPr="008D4057">
        <w:rPr>
          <w:rFonts w:ascii="Times New Roman" w:hAnsi="Times New Roman"/>
          <w:b/>
          <w:sz w:val="24"/>
        </w:rPr>
        <w:t>10.07, Wild Horse Expansion</w:t>
      </w:r>
    </w:p>
    <w:p w:rsidR="00C106E4" w:rsidRPr="001A3901" w:rsidRDefault="001A3901" w:rsidP="001A3901">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rPr>
        <w:tab/>
      </w:r>
      <w:r w:rsidR="008D4057" w:rsidRPr="001A3901">
        <w:rPr>
          <w:rFonts w:ascii="Times New Roman" w:hAnsi="Times New Roman"/>
          <w:sz w:val="24"/>
        </w:rPr>
        <w:t>This adjustment relates t</w:t>
      </w:r>
      <w:r w:rsidR="00EF5366" w:rsidRPr="001A3901">
        <w:rPr>
          <w:rFonts w:ascii="Times New Roman" w:hAnsi="Times New Roman"/>
          <w:sz w:val="24"/>
        </w:rPr>
        <w:t>o a</w:t>
      </w:r>
      <w:r w:rsidR="00D7616D" w:rsidRPr="001A3901">
        <w:rPr>
          <w:rFonts w:ascii="Times New Roman" w:hAnsi="Times New Roman"/>
          <w:sz w:val="24"/>
        </w:rPr>
        <w:t xml:space="preserve"> 22 turbine </w:t>
      </w:r>
      <w:r w:rsidR="00EF5366" w:rsidRPr="001A3901">
        <w:rPr>
          <w:rFonts w:ascii="Times New Roman" w:hAnsi="Times New Roman"/>
          <w:sz w:val="24"/>
        </w:rPr>
        <w:t>exp</w:t>
      </w:r>
      <w:r w:rsidR="00D7616D" w:rsidRPr="001A3901">
        <w:rPr>
          <w:rFonts w:ascii="Times New Roman" w:hAnsi="Times New Roman"/>
          <w:sz w:val="24"/>
        </w:rPr>
        <w:t xml:space="preserve">ansion at </w:t>
      </w:r>
      <w:r w:rsidR="00EF5366" w:rsidRPr="001A3901">
        <w:rPr>
          <w:rFonts w:ascii="Times New Roman" w:hAnsi="Times New Roman"/>
          <w:sz w:val="24"/>
        </w:rPr>
        <w:t>Wild Ho</w:t>
      </w:r>
      <w:r w:rsidR="00743A8D" w:rsidRPr="001A3901">
        <w:rPr>
          <w:rFonts w:ascii="Times New Roman" w:hAnsi="Times New Roman"/>
          <w:sz w:val="24"/>
        </w:rPr>
        <w:t>r</w:t>
      </w:r>
      <w:r w:rsidR="00E62897" w:rsidRPr="001A3901">
        <w:rPr>
          <w:rFonts w:ascii="Times New Roman" w:hAnsi="Times New Roman"/>
          <w:sz w:val="24"/>
        </w:rPr>
        <w:t xml:space="preserve">se that </w:t>
      </w:r>
      <w:r w:rsidR="00EF5366" w:rsidRPr="001A3901">
        <w:rPr>
          <w:rFonts w:ascii="Times New Roman" w:hAnsi="Times New Roman"/>
          <w:sz w:val="24"/>
        </w:rPr>
        <w:t xml:space="preserve">went </w:t>
      </w:r>
      <w:r w:rsidR="00882122">
        <w:rPr>
          <w:rFonts w:ascii="Times New Roman" w:hAnsi="Times New Roman"/>
          <w:sz w:val="24"/>
        </w:rPr>
        <w:t>into service on November 9, 2009</w:t>
      </w:r>
      <w:r w:rsidR="00EF5366" w:rsidRPr="001A3901">
        <w:rPr>
          <w:rFonts w:ascii="Times New Roman" w:hAnsi="Times New Roman"/>
          <w:sz w:val="24"/>
        </w:rPr>
        <w:t>.</w:t>
      </w:r>
      <w:r w:rsidR="00D7616D" w:rsidRPr="001A3901">
        <w:rPr>
          <w:rFonts w:ascii="Times New Roman" w:hAnsi="Times New Roman"/>
          <w:sz w:val="24"/>
        </w:rPr>
        <w:t xml:space="preserve">  </w:t>
      </w:r>
      <w:r w:rsidR="00446AF0" w:rsidRPr="001A3901">
        <w:rPr>
          <w:rFonts w:ascii="Times New Roman" w:hAnsi="Times New Roman"/>
          <w:sz w:val="24"/>
          <w:szCs w:val="24"/>
        </w:rPr>
        <w:t xml:space="preserve">On rebuttal, the PSE </w:t>
      </w:r>
      <w:r w:rsidR="00A23A52" w:rsidRPr="001A3901">
        <w:rPr>
          <w:rFonts w:ascii="Times New Roman" w:hAnsi="Times New Roman"/>
          <w:sz w:val="24"/>
          <w:szCs w:val="24"/>
        </w:rPr>
        <w:t xml:space="preserve">revised its </w:t>
      </w:r>
      <w:r w:rsidR="00F31D9C">
        <w:rPr>
          <w:rFonts w:ascii="Times New Roman" w:hAnsi="Times New Roman"/>
          <w:sz w:val="24"/>
          <w:szCs w:val="24"/>
        </w:rPr>
        <w:t xml:space="preserve">budget </w:t>
      </w:r>
      <w:r w:rsidR="00C106E4" w:rsidRPr="001A3901">
        <w:rPr>
          <w:rFonts w:ascii="Times New Roman" w:hAnsi="Times New Roman"/>
          <w:sz w:val="24"/>
          <w:szCs w:val="24"/>
        </w:rPr>
        <w:t xml:space="preserve">forecasts of plant and </w:t>
      </w:r>
      <w:r w:rsidR="00C106E4" w:rsidRPr="001A3901">
        <w:rPr>
          <w:rFonts w:ascii="Times New Roman" w:hAnsi="Times New Roman"/>
          <w:sz w:val="24"/>
          <w:szCs w:val="24"/>
        </w:rPr>
        <w:lastRenderedPageBreak/>
        <w:t>rate year costs.</w:t>
      </w:r>
      <w:r w:rsidR="00C106E4" w:rsidRPr="00C106E4">
        <w:rPr>
          <w:rStyle w:val="FootnoteReference"/>
          <w:rFonts w:ascii="Times New Roman" w:hAnsi="Times New Roman"/>
          <w:sz w:val="24"/>
          <w:szCs w:val="24"/>
        </w:rPr>
        <w:footnoteReference w:id="176"/>
      </w:r>
      <w:r w:rsidR="00F31D9C">
        <w:rPr>
          <w:rFonts w:ascii="Times New Roman" w:hAnsi="Times New Roman"/>
          <w:sz w:val="24"/>
          <w:szCs w:val="24"/>
        </w:rPr>
        <w:t xml:space="preserve">  PSE’s forecast </w:t>
      </w:r>
      <w:r w:rsidR="00C106E4" w:rsidRPr="001A3901">
        <w:rPr>
          <w:rFonts w:ascii="Times New Roman" w:hAnsi="Times New Roman"/>
          <w:sz w:val="24"/>
          <w:szCs w:val="24"/>
        </w:rPr>
        <w:t>decreased $5,469,920 (5.3 percent) for plant investment, increased $1,295,256 (5630.1 percent)</w:t>
      </w:r>
      <w:r w:rsidR="00446AF0" w:rsidRPr="001A3901">
        <w:rPr>
          <w:rFonts w:ascii="Times New Roman" w:hAnsi="Times New Roman"/>
          <w:sz w:val="24"/>
          <w:szCs w:val="24"/>
        </w:rPr>
        <w:t xml:space="preserve"> for w</w:t>
      </w:r>
      <w:r w:rsidR="00E62897" w:rsidRPr="001A3901">
        <w:rPr>
          <w:rFonts w:ascii="Times New Roman" w:hAnsi="Times New Roman"/>
          <w:sz w:val="24"/>
          <w:szCs w:val="24"/>
        </w:rPr>
        <w:t>heeling</w:t>
      </w:r>
      <w:r w:rsidR="00882122">
        <w:rPr>
          <w:rFonts w:ascii="Times New Roman" w:hAnsi="Times New Roman"/>
          <w:sz w:val="24"/>
          <w:szCs w:val="24"/>
        </w:rPr>
        <w:t>, decreas</w:t>
      </w:r>
      <w:r w:rsidR="00C106E4" w:rsidRPr="001A3901">
        <w:rPr>
          <w:rFonts w:ascii="Times New Roman" w:hAnsi="Times New Roman"/>
          <w:sz w:val="24"/>
          <w:szCs w:val="24"/>
        </w:rPr>
        <w:t>ed $82,056 (100.0 percent) for property insurance, and decreased $274,947 (61.4 percent) for property taxes.</w:t>
      </w:r>
      <w:r w:rsidR="00C106E4">
        <w:rPr>
          <w:rStyle w:val="FootnoteReference"/>
          <w:rFonts w:ascii="Times New Roman" w:hAnsi="Times New Roman"/>
          <w:sz w:val="24"/>
          <w:szCs w:val="24"/>
        </w:rPr>
        <w:footnoteReference w:id="177"/>
      </w:r>
      <w:r w:rsidR="00C106E4" w:rsidRPr="001A3901">
        <w:rPr>
          <w:rFonts w:ascii="Times New Roman" w:hAnsi="Times New Roman"/>
          <w:sz w:val="24"/>
          <w:szCs w:val="24"/>
        </w:rPr>
        <w:t> </w:t>
      </w:r>
    </w:p>
    <w:p w:rsidR="00216DE2" w:rsidRPr="001A3901" w:rsidRDefault="001A3901" w:rsidP="001A3901">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216DE2" w:rsidRPr="001A3901">
        <w:rPr>
          <w:rFonts w:ascii="Times New Roman" w:hAnsi="Times New Roman"/>
          <w:sz w:val="24"/>
          <w:szCs w:val="24"/>
        </w:rPr>
        <w:t xml:space="preserve">Staff’s adjustment substitutes all </w:t>
      </w:r>
      <w:r w:rsidR="00446AF0" w:rsidRPr="001A3901">
        <w:rPr>
          <w:rFonts w:ascii="Times New Roman" w:hAnsi="Times New Roman"/>
          <w:sz w:val="24"/>
          <w:szCs w:val="24"/>
        </w:rPr>
        <w:t xml:space="preserve">of PSE’s </w:t>
      </w:r>
      <w:r w:rsidR="00216DE2" w:rsidRPr="001A3901">
        <w:rPr>
          <w:rFonts w:ascii="Times New Roman" w:hAnsi="Times New Roman"/>
          <w:sz w:val="24"/>
          <w:szCs w:val="24"/>
        </w:rPr>
        <w:t>rate year projec</w:t>
      </w:r>
      <w:r w:rsidR="002735C4" w:rsidRPr="001A3901">
        <w:rPr>
          <w:rFonts w:ascii="Times New Roman" w:hAnsi="Times New Roman"/>
          <w:sz w:val="24"/>
          <w:szCs w:val="24"/>
        </w:rPr>
        <w:t xml:space="preserve">tions with </w:t>
      </w:r>
      <w:r w:rsidR="00216DE2" w:rsidRPr="001A3901">
        <w:rPr>
          <w:rFonts w:ascii="Times New Roman" w:hAnsi="Times New Roman"/>
          <w:sz w:val="24"/>
          <w:szCs w:val="24"/>
        </w:rPr>
        <w:t>actual plant balances, and incl</w:t>
      </w:r>
      <w:r w:rsidR="00B94AAB" w:rsidRPr="001A3901">
        <w:rPr>
          <w:rFonts w:ascii="Times New Roman" w:hAnsi="Times New Roman"/>
          <w:sz w:val="24"/>
          <w:szCs w:val="24"/>
        </w:rPr>
        <w:t xml:space="preserve">udes O&amp;M </w:t>
      </w:r>
      <w:r w:rsidR="00216DE2" w:rsidRPr="001A3901">
        <w:rPr>
          <w:rFonts w:ascii="Times New Roman" w:hAnsi="Times New Roman"/>
          <w:sz w:val="24"/>
          <w:szCs w:val="24"/>
        </w:rPr>
        <w:t>expense based on the current service agreement with Vestas.</w:t>
      </w:r>
      <w:r w:rsidR="00216DE2" w:rsidRPr="00216DE2">
        <w:rPr>
          <w:rStyle w:val="FootnoteReference"/>
          <w:rFonts w:ascii="Times New Roman" w:hAnsi="Times New Roman"/>
          <w:sz w:val="24"/>
          <w:szCs w:val="24"/>
        </w:rPr>
        <w:footnoteReference w:id="178"/>
      </w:r>
      <w:r w:rsidR="00216DE2" w:rsidRPr="001A3901">
        <w:rPr>
          <w:rFonts w:ascii="Times New Roman" w:hAnsi="Times New Roman"/>
          <w:sz w:val="24"/>
          <w:szCs w:val="24"/>
        </w:rPr>
        <w:t xml:space="preserve">  Staff’s adjustment </w:t>
      </w:r>
      <w:r w:rsidR="00A05CFE" w:rsidRPr="001A3901">
        <w:rPr>
          <w:rFonts w:ascii="Times New Roman" w:hAnsi="Times New Roman"/>
          <w:sz w:val="24"/>
          <w:szCs w:val="24"/>
        </w:rPr>
        <w:t xml:space="preserve">also </w:t>
      </w:r>
      <w:r w:rsidR="00E62897" w:rsidRPr="001A3901">
        <w:rPr>
          <w:rFonts w:ascii="Times New Roman" w:hAnsi="Times New Roman"/>
          <w:sz w:val="24"/>
          <w:szCs w:val="24"/>
        </w:rPr>
        <w:t>reflects</w:t>
      </w:r>
      <w:r w:rsidR="00216DE2" w:rsidRPr="001A3901">
        <w:rPr>
          <w:rFonts w:ascii="Times New Roman" w:hAnsi="Times New Roman"/>
          <w:sz w:val="24"/>
          <w:szCs w:val="24"/>
        </w:rPr>
        <w:t xml:space="preserve"> the land value </w:t>
      </w:r>
      <w:r w:rsidR="002735C4" w:rsidRPr="001A3901">
        <w:rPr>
          <w:rFonts w:ascii="Times New Roman" w:hAnsi="Times New Roman"/>
          <w:sz w:val="24"/>
          <w:szCs w:val="24"/>
        </w:rPr>
        <w:t xml:space="preserve">of </w:t>
      </w:r>
      <w:r w:rsidR="00216DE2" w:rsidRPr="001A3901">
        <w:rPr>
          <w:rFonts w:ascii="Times New Roman" w:hAnsi="Times New Roman"/>
          <w:sz w:val="24"/>
          <w:szCs w:val="24"/>
        </w:rPr>
        <w:t xml:space="preserve">the project </w:t>
      </w:r>
      <w:r w:rsidR="00E62897" w:rsidRPr="001A3901">
        <w:rPr>
          <w:rFonts w:ascii="Times New Roman" w:hAnsi="Times New Roman"/>
          <w:sz w:val="24"/>
          <w:szCs w:val="24"/>
        </w:rPr>
        <w:t xml:space="preserve">included in the test year and </w:t>
      </w:r>
      <w:r w:rsidR="00216DE2" w:rsidRPr="001A3901">
        <w:rPr>
          <w:rFonts w:ascii="Times New Roman" w:hAnsi="Times New Roman"/>
          <w:sz w:val="24"/>
          <w:szCs w:val="24"/>
        </w:rPr>
        <w:t xml:space="preserve">the depreciation </w:t>
      </w:r>
      <w:r w:rsidR="00E62897" w:rsidRPr="001A3901">
        <w:rPr>
          <w:rFonts w:ascii="Times New Roman" w:hAnsi="Times New Roman"/>
          <w:sz w:val="24"/>
          <w:szCs w:val="24"/>
        </w:rPr>
        <w:t>calculation reflects an in-service date of November 9, 2009.</w:t>
      </w:r>
      <w:r w:rsidR="00216DE2">
        <w:rPr>
          <w:rStyle w:val="FootnoteReference"/>
          <w:rFonts w:ascii="Times New Roman" w:hAnsi="Times New Roman"/>
          <w:sz w:val="24"/>
          <w:szCs w:val="24"/>
        </w:rPr>
        <w:footnoteReference w:id="179"/>
      </w:r>
      <w:r w:rsidR="00216DE2" w:rsidRPr="001A3901">
        <w:rPr>
          <w:rFonts w:ascii="Times New Roman" w:hAnsi="Times New Roman"/>
          <w:sz w:val="24"/>
          <w:szCs w:val="24"/>
        </w:rPr>
        <w:t xml:space="preserve">  </w:t>
      </w:r>
      <w:r w:rsidR="002735C4" w:rsidRPr="001A3901">
        <w:rPr>
          <w:rFonts w:ascii="Times New Roman" w:hAnsi="Times New Roman"/>
          <w:sz w:val="24"/>
          <w:szCs w:val="24"/>
        </w:rPr>
        <w:t xml:space="preserve">PSE’s projections for Wild Horse </w:t>
      </w:r>
      <w:r w:rsidR="00216DE2" w:rsidRPr="001A3901">
        <w:rPr>
          <w:rFonts w:ascii="Times New Roman" w:hAnsi="Times New Roman"/>
          <w:sz w:val="24"/>
          <w:szCs w:val="24"/>
        </w:rPr>
        <w:t>property tax were also removed.  Staff</w:t>
      </w:r>
      <w:r w:rsidR="00A23A52" w:rsidRPr="001A3901">
        <w:rPr>
          <w:rFonts w:ascii="Times New Roman" w:hAnsi="Times New Roman"/>
          <w:sz w:val="24"/>
          <w:szCs w:val="24"/>
        </w:rPr>
        <w:t xml:space="preserve"> Adjustment 10.15 pro forms </w:t>
      </w:r>
      <w:r w:rsidR="00216DE2" w:rsidRPr="001A3901">
        <w:rPr>
          <w:rFonts w:ascii="Times New Roman" w:hAnsi="Times New Roman"/>
          <w:sz w:val="24"/>
          <w:szCs w:val="24"/>
        </w:rPr>
        <w:t xml:space="preserve">taxes </w:t>
      </w:r>
      <w:r w:rsidR="00A23A52" w:rsidRPr="001A3901">
        <w:rPr>
          <w:rFonts w:ascii="Times New Roman" w:hAnsi="Times New Roman"/>
          <w:sz w:val="24"/>
          <w:szCs w:val="24"/>
        </w:rPr>
        <w:t xml:space="preserve">for all property </w:t>
      </w:r>
      <w:r w:rsidR="00216DE2" w:rsidRPr="001A3901">
        <w:rPr>
          <w:rFonts w:ascii="Times New Roman" w:hAnsi="Times New Roman"/>
          <w:sz w:val="24"/>
          <w:szCs w:val="24"/>
        </w:rPr>
        <w:t>based on the 2008 actual tax liability.</w:t>
      </w:r>
    </w:p>
    <w:p w:rsidR="00716094" w:rsidRPr="00EF648B" w:rsidRDefault="001A3901" w:rsidP="001A3901">
      <w:pPr>
        <w:pStyle w:val="NoSpacing"/>
        <w:numPr>
          <w:ilvl w:val="0"/>
          <w:numId w:val="11"/>
        </w:numPr>
        <w:spacing w:line="480" w:lineRule="auto"/>
        <w:rPr>
          <w:b/>
        </w:rPr>
      </w:pPr>
      <w:r>
        <w:tab/>
      </w:r>
      <w:r w:rsidR="00716094">
        <w:t xml:space="preserve">Staff’s adjustment </w:t>
      </w:r>
      <w:r w:rsidR="00216DE2">
        <w:t xml:space="preserve">meets the requirements of a pro forma adjustment used in historic test year ratemaking.  </w:t>
      </w:r>
      <w:r w:rsidR="00716094">
        <w:t>In contrast, PSE’s adjustment demonstrates that the judgment of management, even if informed</w:t>
      </w:r>
      <w:r w:rsidR="00446AF0">
        <w:t xml:space="preserve"> through detailed analysis</w:t>
      </w:r>
      <w:r w:rsidR="00716094">
        <w:t>, ca</w:t>
      </w:r>
      <w:r w:rsidR="00A23A52">
        <w:t xml:space="preserve">n </w:t>
      </w:r>
      <w:r w:rsidR="00716094">
        <w:t>result in forecasts that fluctuate, in some cases significantly, in violation of those requirements.</w:t>
      </w:r>
    </w:p>
    <w:p w:rsidR="00EF648B" w:rsidRPr="00EF648B" w:rsidRDefault="001A3901" w:rsidP="001A3901">
      <w:pPr>
        <w:pStyle w:val="ListParagraph"/>
        <w:tabs>
          <w:tab w:val="left" w:pos="-1440"/>
        </w:tabs>
        <w:spacing w:line="480" w:lineRule="auto"/>
        <w:ind w:left="0"/>
        <w:rPr>
          <w:rFonts w:ascii="Times New Roman" w:hAnsi="Times New Roman"/>
          <w:b/>
          <w:sz w:val="24"/>
        </w:rPr>
      </w:pPr>
      <w:r>
        <w:rPr>
          <w:rFonts w:ascii="Times New Roman" w:hAnsi="Times New Roman"/>
          <w:b/>
          <w:sz w:val="24"/>
          <w:szCs w:val="24"/>
        </w:rPr>
        <w:tab/>
      </w:r>
      <w:r>
        <w:rPr>
          <w:rFonts w:ascii="Times New Roman" w:hAnsi="Times New Roman"/>
          <w:b/>
          <w:sz w:val="24"/>
          <w:szCs w:val="24"/>
        </w:rPr>
        <w:tab/>
        <w:t>d.</w:t>
      </w:r>
      <w:r>
        <w:rPr>
          <w:rFonts w:ascii="Times New Roman" w:hAnsi="Times New Roman"/>
          <w:b/>
          <w:sz w:val="24"/>
          <w:szCs w:val="24"/>
        </w:rPr>
        <w:tab/>
      </w:r>
      <w:r w:rsidR="00F4115E" w:rsidRPr="00216DE2">
        <w:rPr>
          <w:rFonts w:ascii="Times New Roman" w:hAnsi="Times New Roman"/>
          <w:b/>
          <w:sz w:val="24"/>
          <w:szCs w:val="24"/>
        </w:rPr>
        <w:t>10.0</w:t>
      </w:r>
      <w:r w:rsidR="00F4115E" w:rsidRPr="00EF648B">
        <w:rPr>
          <w:rFonts w:ascii="Times New Roman" w:hAnsi="Times New Roman"/>
          <w:b/>
          <w:sz w:val="24"/>
        </w:rPr>
        <w:t>8, Mint Farm</w:t>
      </w:r>
      <w:r w:rsidR="00F4115E" w:rsidRPr="00EF648B">
        <w:rPr>
          <w:rFonts w:ascii="Times New Roman" w:hAnsi="Times New Roman"/>
          <w:b/>
          <w:sz w:val="24"/>
        </w:rPr>
        <w:tab/>
      </w:r>
    </w:p>
    <w:p w:rsidR="00EF648B" w:rsidRPr="001A3901" w:rsidRDefault="001A3901" w:rsidP="001A3901">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EF648B" w:rsidRPr="001A3901">
        <w:rPr>
          <w:rFonts w:ascii="Times New Roman" w:hAnsi="Times New Roman"/>
          <w:sz w:val="24"/>
        </w:rPr>
        <w:t>This adjustment relates to the acquisition of the Mint Farm Energy Center</w:t>
      </w:r>
      <w:r w:rsidR="00F4115E" w:rsidRPr="001A3901">
        <w:rPr>
          <w:rFonts w:ascii="Times New Roman" w:hAnsi="Times New Roman"/>
          <w:b/>
          <w:sz w:val="24"/>
        </w:rPr>
        <w:tab/>
      </w:r>
      <w:r w:rsidR="00D7616D" w:rsidRPr="001A3901">
        <w:rPr>
          <w:rFonts w:ascii="Times New Roman" w:hAnsi="Times New Roman"/>
          <w:sz w:val="24"/>
        </w:rPr>
        <w:t>on December 5, 2008.  I</w:t>
      </w:r>
      <w:r w:rsidR="002735C4" w:rsidRPr="001A3901">
        <w:rPr>
          <w:rFonts w:ascii="Times New Roman" w:hAnsi="Times New Roman"/>
          <w:sz w:val="24"/>
        </w:rPr>
        <w:t>n Section IV</w:t>
      </w:r>
      <w:r w:rsidR="00D7616D" w:rsidRPr="001A3901">
        <w:rPr>
          <w:rFonts w:ascii="Times New Roman" w:hAnsi="Times New Roman"/>
          <w:sz w:val="24"/>
        </w:rPr>
        <w:t xml:space="preserve">, Staff explains why </w:t>
      </w:r>
      <w:r w:rsidR="00EF648B" w:rsidRPr="001A3901">
        <w:rPr>
          <w:rFonts w:ascii="Times New Roman" w:hAnsi="Times New Roman"/>
          <w:sz w:val="24"/>
        </w:rPr>
        <w:t>the acquisition was prudent</w:t>
      </w:r>
      <w:r w:rsidR="002735C4" w:rsidRPr="001A3901">
        <w:rPr>
          <w:rFonts w:ascii="Times New Roman" w:hAnsi="Times New Roman"/>
          <w:sz w:val="24"/>
        </w:rPr>
        <w:t xml:space="preserve"> and should be recovered in rates</w:t>
      </w:r>
      <w:r w:rsidR="00EF648B" w:rsidRPr="001A3901">
        <w:rPr>
          <w:rFonts w:ascii="Times New Roman" w:hAnsi="Times New Roman"/>
          <w:sz w:val="24"/>
        </w:rPr>
        <w:t xml:space="preserve">. </w:t>
      </w:r>
      <w:r w:rsidR="00D7616D" w:rsidRPr="001A3901">
        <w:rPr>
          <w:rFonts w:ascii="Times New Roman" w:hAnsi="Times New Roman"/>
          <w:sz w:val="24"/>
        </w:rPr>
        <w:t xml:space="preserve"> </w:t>
      </w:r>
      <w:r w:rsidR="00C106E4" w:rsidRPr="001A3901">
        <w:rPr>
          <w:rFonts w:ascii="Times New Roman" w:hAnsi="Times New Roman"/>
          <w:sz w:val="24"/>
        </w:rPr>
        <w:t xml:space="preserve">Staff </w:t>
      </w:r>
      <w:r w:rsidR="00B44507" w:rsidRPr="001A3901">
        <w:rPr>
          <w:rFonts w:ascii="Times New Roman" w:hAnsi="Times New Roman"/>
          <w:sz w:val="24"/>
        </w:rPr>
        <w:t>and</w:t>
      </w:r>
      <w:r w:rsidR="00D7616D" w:rsidRPr="001A3901">
        <w:rPr>
          <w:rFonts w:ascii="Times New Roman" w:hAnsi="Times New Roman"/>
          <w:sz w:val="24"/>
        </w:rPr>
        <w:t xml:space="preserve"> PSE disagree on the manner </w:t>
      </w:r>
      <w:r w:rsidR="00B44507" w:rsidRPr="001A3901">
        <w:rPr>
          <w:rFonts w:ascii="Times New Roman" w:hAnsi="Times New Roman"/>
          <w:sz w:val="24"/>
        </w:rPr>
        <w:t>to implement recovery.</w:t>
      </w:r>
    </w:p>
    <w:p w:rsidR="007929BD" w:rsidRPr="001A3901" w:rsidRDefault="001A3901" w:rsidP="001A3901">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rPr>
        <w:tab/>
      </w:r>
      <w:r w:rsidR="008506E8" w:rsidRPr="001A3901">
        <w:rPr>
          <w:rFonts w:ascii="Times New Roman" w:hAnsi="Times New Roman"/>
          <w:sz w:val="24"/>
        </w:rPr>
        <w:t>PSE’s adjustment d</w:t>
      </w:r>
      <w:r w:rsidR="009A6825">
        <w:rPr>
          <w:rFonts w:ascii="Times New Roman" w:hAnsi="Times New Roman"/>
          <w:sz w:val="24"/>
        </w:rPr>
        <w:t>emonstrates</w:t>
      </w:r>
      <w:r w:rsidR="00F31D9C">
        <w:rPr>
          <w:rFonts w:ascii="Times New Roman" w:hAnsi="Times New Roman"/>
          <w:sz w:val="24"/>
        </w:rPr>
        <w:t>,</w:t>
      </w:r>
      <w:r w:rsidR="009A6825">
        <w:rPr>
          <w:rFonts w:ascii="Times New Roman" w:hAnsi="Times New Roman"/>
          <w:sz w:val="24"/>
        </w:rPr>
        <w:t xml:space="preserve"> again</w:t>
      </w:r>
      <w:r w:rsidR="00F31D9C">
        <w:rPr>
          <w:rFonts w:ascii="Times New Roman" w:hAnsi="Times New Roman"/>
          <w:sz w:val="24"/>
        </w:rPr>
        <w:t>,</w:t>
      </w:r>
      <w:r w:rsidR="009A6825">
        <w:rPr>
          <w:rFonts w:ascii="Times New Roman" w:hAnsi="Times New Roman"/>
          <w:sz w:val="24"/>
        </w:rPr>
        <w:t xml:space="preserve"> that projections based on </w:t>
      </w:r>
      <w:r w:rsidR="008506E8" w:rsidRPr="001A3901">
        <w:rPr>
          <w:rFonts w:ascii="Times New Roman" w:hAnsi="Times New Roman"/>
          <w:sz w:val="24"/>
        </w:rPr>
        <w:t>management judgment</w:t>
      </w:r>
      <w:r w:rsidR="00F31D9C">
        <w:rPr>
          <w:rFonts w:ascii="Times New Roman" w:hAnsi="Times New Roman"/>
          <w:sz w:val="24"/>
        </w:rPr>
        <w:t>, even when</w:t>
      </w:r>
      <w:r w:rsidR="009A6825">
        <w:rPr>
          <w:rFonts w:ascii="Times New Roman" w:hAnsi="Times New Roman"/>
          <w:sz w:val="24"/>
        </w:rPr>
        <w:t xml:space="preserve"> informed,</w:t>
      </w:r>
      <w:r w:rsidR="00877BFB">
        <w:rPr>
          <w:rFonts w:ascii="Times New Roman" w:hAnsi="Times New Roman"/>
          <w:sz w:val="24"/>
        </w:rPr>
        <w:t xml:space="preserve"> are</w:t>
      </w:r>
      <w:r w:rsidR="008506E8" w:rsidRPr="001A3901">
        <w:rPr>
          <w:rFonts w:ascii="Times New Roman" w:hAnsi="Times New Roman"/>
          <w:sz w:val="24"/>
        </w:rPr>
        <w:t xml:space="preserve"> an improper basis for ratemaking.  </w:t>
      </w:r>
      <w:r w:rsidR="00877BFB">
        <w:rPr>
          <w:rFonts w:ascii="Times New Roman" w:hAnsi="Times New Roman"/>
          <w:sz w:val="24"/>
          <w:szCs w:val="24"/>
        </w:rPr>
        <w:t xml:space="preserve">On rebuttal, PSE </w:t>
      </w:r>
      <w:r w:rsidR="00A23A52" w:rsidRPr="001A3901">
        <w:rPr>
          <w:rFonts w:ascii="Times New Roman" w:hAnsi="Times New Roman"/>
          <w:sz w:val="24"/>
          <w:szCs w:val="24"/>
        </w:rPr>
        <w:t>revised</w:t>
      </w:r>
      <w:r w:rsidR="00617BA0" w:rsidRPr="001A3901">
        <w:rPr>
          <w:rFonts w:ascii="Times New Roman" w:hAnsi="Times New Roman"/>
          <w:sz w:val="24"/>
          <w:szCs w:val="24"/>
        </w:rPr>
        <w:t xml:space="preserve"> its adjustment</w:t>
      </w:r>
      <w:r w:rsidR="00EF648B" w:rsidRPr="001A3901">
        <w:rPr>
          <w:rFonts w:ascii="Times New Roman" w:hAnsi="Times New Roman"/>
          <w:sz w:val="24"/>
          <w:szCs w:val="24"/>
        </w:rPr>
        <w:t xml:space="preserve"> to include </w:t>
      </w:r>
      <w:r w:rsidR="009A6825">
        <w:rPr>
          <w:rFonts w:ascii="Times New Roman" w:hAnsi="Times New Roman"/>
          <w:sz w:val="24"/>
          <w:szCs w:val="24"/>
        </w:rPr>
        <w:t>new estimates of</w:t>
      </w:r>
      <w:r w:rsidR="00EF648B" w:rsidRPr="001A3901">
        <w:rPr>
          <w:rFonts w:ascii="Times New Roman" w:hAnsi="Times New Roman"/>
          <w:sz w:val="24"/>
          <w:szCs w:val="24"/>
        </w:rPr>
        <w:t xml:space="preserve"> plant additions through December </w:t>
      </w:r>
      <w:r w:rsidR="00EF648B" w:rsidRPr="001A3901">
        <w:rPr>
          <w:rFonts w:ascii="Times New Roman" w:hAnsi="Times New Roman"/>
          <w:sz w:val="24"/>
          <w:szCs w:val="24"/>
        </w:rPr>
        <w:lastRenderedPageBreak/>
        <w:t>2009.</w:t>
      </w:r>
      <w:r w:rsidR="00EF648B" w:rsidRPr="00617BA0">
        <w:rPr>
          <w:rStyle w:val="FootnoteReference"/>
          <w:rFonts w:ascii="Times New Roman" w:hAnsi="Times New Roman"/>
          <w:sz w:val="24"/>
          <w:szCs w:val="24"/>
        </w:rPr>
        <w:footnoteReference w:id="180"/>
      </w:r>
      <w:r w:rsidR="00EF648B" w:rsidRPr="001A3901">
        <w:rPr>
          <w:rFonts w:ascii="Times New Roman" w:hAnsi="Times New Roman"/>
          <w:b/>
          <w:sz w:val="24"/>
          <w:szCs w:val="24"/>
        </w:rPr>
        <w:t xml:space="preserve">  </w:t>
      </w:r>
      <w:r w:rsidR="008506E8" w:rsidRPr="001A3901">
        <w:rPr>
          <w:rFonts w:ascii="Times New Roman" w:hAnsi="Times New Roman"/>
          <w:sz w:val="24"/>
          <w:szCs w:val="24"/>
        </w:rPr>
        <w:t>PSE</w:t>
      </w:r>
      <w:r w:rsidR="00EF648B" w:rsidRPr="001A3901">
        <w:rPr>
          <w:rFonts w:ascii="Times New Roman" w:hAnsi="Times New Roman"/>
          <w:sz w:val="24"/>
          <w:szCs w:val="24"/>
        </w:rPr>
        <w:t>’s adj</w:t>
      </w:r>
      <w:r w:rsidR="00617BA0" w:rsidRPr="001A3901">
        <w:rPr>
          <w:rFonts w:ascii="Times New Roman" w:hAnsi="Times New Roman"/>
          <w:sz w:val="24"/>
          <w:szCs w:val="24"/>
        </w:rPr>
        <w:t>ustment decreased $3,922</w:t>
      </w:r>
      <w:r w:rsidR="00877BFB">
        <w:rPr>
          <w:rFonts w:ascii="Times New Roman" w:hAnsi="Times New Roman"/>
          <w:sz w:val="24"/>
          <w:szCs w:val="24"/>
        </w:rPr>
        <w:t>,732 (1.6</w:t>
      </w:r>
      <w:r w:rsidR="00617BA0" w:rsidRPr="001A3901">
        <w:rPr>
          <w:rFonts w:ascii="Times New Roman" w:hAnsi="Times New Roman"/>
          <w:sz w:val="24"/>
          <w:szCs w:val="24"/>
        </w:rPr>
        <w:t xml:space="preserve"> percent)</w:t>
      </w:r>
      <w:r w:rsidR="00EF648B" w:rsidRPr="001A3901">
        <w:rPr>
          <w:rFonts w:ascii="Times New Roman" w:hAnsi="Times New Roman"/>
          <w:sz w:val="24"/>
          <w:szCs w:val="24"/>
        </w:rPr>
        <w:t xml:space="preserve"> for plant inc</w:t>
      </w:r>
      <w:r w:rsidR="00617BA0" w:rsidRPr="001A3901">
        <w:rPr>
          <w:rFonts w:ascii="Times New Roman" w:hAnsi="Times New Roman"/>
          <w:sz w:val="24"/>
          <w:szCs w:val="24"/>
        </w:rPr>
        <w:t>luding acquisition</w:t>
      </w:r>
      <w:r w:rsidR="008506E8" w:rsidRPr="001A3901">
        <w:rPr>
          <w:rFonts w:ascii="Times New Roman" w:hAnsi="Times New Roman"/>
          <w:sz w:val="24"/>
          <w:szCs w:val="24"/>
        </w:rPr>
        <w:t xml:space="preserve"> costs, </w:t>
      </w:r>
      <w:r w:rsidR="00617BA0" w:rsidRPr="001A3901">
        <w:rPr>
          <w:rFonts w:ascii="Times New Roman" w:hAnsi="Times New Roman"/>
          <w:sz w:val="24"/>
          <w:szCs w:val="24"/>
        </w:rPr>
        <w:t>decreased $401,950 (52.1 percent)</w:t>
      </w:r>
      <w:r w:rsidR="00EF648B" w:rsidRPr="001A3901">
        <w:rPr>
          <w:rFonts w:ascii="Times New Roman" w:hAnsi="Times New Roman"/>
          <w:sz w:val="24"/>
          <w:szCs w:val="24"/>
        </w:rPr>
        <w:t xml:space="preserve"> for property insurance, </w:t>
      </w:r>
      <w:r w:rsidR="00877BFB">
        <w:rPr>
          <w:rFonts w:ascii="Times New Roman" w:hAnsi="Times New Roman"/>
          <w:sz w:val="24"/>
          <w:szCs w:val="24"/>
        </w:rPr>
        <w:t xml:space="preserve">decreased $475,252 (36.7 percent) for property tax, </w:t>
      </w:r>
      <w:r w:rsidR="00617BA0" w:rsidRPr="001A3901">
        <w:rPr>
          <w:rFonts w:ascii="Times New Roman" w:hAnsi="Times New Roman"/>
          <w:sz w:val="24"/>
          <w:szCs w:val="24"/>
        </w:rPr>
        <w:t>decreased $2,864,717 (4.6 percent)</w:t>
      </w:r>
      <w:r w:rsidR="00EF648B" w:rsidRPr="001A3901">
        <w:rPr>
          <w:rFonts w:ascii="Times New Roman" w:hAnsi="Times New Roman"/>
          <w:sz w:val="24"/>
          <w:szCs w:val="24"/>
        </w:rPr>
        <w:t xml:space="preserve"> for fuel expen</w:t>
      </w:r>
      <w:r w:rsidR="00617BA0" w:rsidRPr="001A3901">
        <w:rPr>
          <w:rFonts w:ascii="Times New Roman" w:hAnsi="Times New Roman"/>
          <w:sz w:val="24"/>
          <w:szCs w:val="24"/>
        </w:rPr>
        <w:t>se, and decreased $4,148,029 (</w:t>
      </w:r>
      <w:r w:rsidR="00EF648B" w:rsidRPr="001A3901">
        <w:rPr>
          <w:rFonts w:ascii="Times New Roman" w:hAnsi="Times New Roman"/>
          <w:sz w:val="24"/>
          <w:szCs w:val="24"/>
        </w:rPr>
        <w:t>44.30 percent</w:t>
      </w:r>
      <w:r w:rsidR="00617BA0" w:rsidRPr="001A3901">
        <w:rPr>
          <w:rFonts w:ascii="Times New Roman" w:hAnsi="Times New Roman"/>
          <w:sz w:val="24"/>
          <w:szCs w:val="24"/>
        </w:rPr>
        <w:t>)</w:t>
      </w:r>
      <w:r w:rsidR="00877BFB">
        <w:rPr>
          <w:rFonts w:ascii="Times New Roman" w:hAnsi="Times New Roman"/>
          <w:sz w:val="24"/>
          <w:szCs w:val="24"/>
        </w:rPr>
        <w:t xml:space="preserve"> for O&amp;M</w:t>
      </w:r>
      <w:r w:rsidR="00EF648B" w:rsidRPr="001A3901">
        <w:rPr>
          <w:rFonts w:ascii="Times New Roman" w:hAnsi="Times New Roman"/>
          <w:sz w:val="24"/>
          <w:szCs w:val="24"/>
        </w:rPr>
        <w:t xml:space="preserve"> expense.</w:t>
      </w:r>
      <w:r w:rsidR="00EF648B" w:rsidRPr="00617BA0">
        <w:rPr>
          <w:rStyle w:val="FootnoteReference"/>
          <w:rFonts w:ascii="Times New Roman" w:hAnsi="Times New Roman"/>
          <w:sz w:val="24"/>
          <w:szCs w:val="24"/>
        </w:rPr>
        <w:footnoteReference w:id="181"/>
      </w:r>
    </w:p>
    <w:p w:rsidR="00EF648B" w:rsidRDefault="005C4808" w:rsidP="005C4808">
      <w:pPr>
        <w:pStyle w:val="NoSpacing"/>
        <w:numPr>
          <w:ilvl w:val="0"/>
          <w:numId w:val="11"/>
        </w:numPr>
        <w:spacing w:line="480" w:lineRule="auto"/>
      </w:pPr>
      <w:r>
        <w:rPr>
          <w:szCs w:val="24"/>
        </w:rPr>
        <w:tab/>
      </w:r>
      <w:r w:rsidR="008506E8">
        <w:rPr>
          <w:szCs w:val="24"/>
        </w:rPr>
        <w:t xml:space="preserve">In contrast, </w:t>
      </w:r>
      <w:r w:rsidR="00EF648B">
        <w:t>Staff’s adjustment substitutes all rate year projec</w:t>
      </w:r>
      <w:r w:rsidR="00B44507">
        <w:t xml:space="preserve">tions </w:t>
      </w:r>
      <w:r w:rsidR="00716094">
        <w:t xml:space="preserve">with </w:t>
      </w:r>
      <w:r w:rsidR="00F31D9C">
        <w:t xml:space="preserve">verified, </w:t>
      </w:r>
      <w:r w:rsidR="00EF648B">
        <w:t xml:space="preserve">actual plant balances and expense through August 2009.  </w:t>
      </w:r>
      <w:r w:rsidR="00617BA0">
        <w:t>Staff also includes</w:t>
      </w:r>
      <w:r w:rsidR="00EF648B">
        <w:t xml:space="preserve"> the latest premium</w:t>
      </w:r>
      <w:r w:rsidR="00F31D9C">
        <w:t>s</w:t>
      </w:r>
      <w:r w:rsidR="00EF648B">
        <w:t xml:space="preserve"> </w:t>
      </w:r>
      <w:r w:rsidR="00617BA0">
        <w:t xml:space="preserve">for property insurance.  PSE’s projections for Mint Farm </w:t>
      </w:r>
      <w:r w:rsidR="00EF648B">
        <w:t xml:space="preserve">property tax </w:t>
      </w:r>
      <w:r w:rsidR="00617BA0">
        <w:t xml:space="preserve">were also removed.  Staff Adjustment 10.15 </w:t>
      </w:r>
      <w:r w:rsidR="00B44507">
        <w:t>includes the 2008 actual tax liability for all property</w:t>
      </w:r>
      <w:r w:rsidR="00617BA0">
        <w:t>.</w:t>
      </w:r>
      <w:r w:rsidR="00617BA0">
        <w:rPr>
          <w:rStyle w:val="FootnoteReference"/>
        </w:rPr>
        <w:footnoteReference w:id="182"/>
      </w:r>
    </w:p>
    <w:p w:rsidR="00EF648B" w:rsidRPr="00EF648B" w:rsidRDefault="005C4808" w:rsidP="005C4808">
      <w:pPr>
        <w:pStyle w:val="NoSpacing"/>
        <w:numPr>
          <w:ilvl w:val="0"/>
          <w:numId w:val="11"/>
        </w:numPr>
        <w:spacing w:line="480" w:lineRule="auto"/>
        <w:rPr>
          <w:b/>
        </w:rPr>
      </w:pPr>
      <w:r>
        <w:tab/>
      </w:r>
      <w:r w:rsidR="00617BA0">
        <w:t>Staff</w:t>
      </w:r>
      <w:r w:rsidR="00716094">
        <w:t xml:space="preserve">’s adjustment </w:t>
      </w:r>
      <w:r w:rsidR="00617BA0">
        <w:t>meets the requirement</w:t>
      </w:r>
      <w:r w:rsidR="001C46E8">
        <w:t>s</w:t>
      </w:r>
      <w:r w:rsidR="00617BA0">
        <w:t xml:space="preserve"> of a pro fo</w:t>
      </w:r>
      <w:r w:rsidR="001C46E8">
        <w:t>rma adjustment used</w:t>
      </w:r>
      <w:r w:rsidR="00617BA0">
        <w:t xml:space="preserve"> </w:t>
      </w:r>
      <w:r w:rsidR="001C46E8">
        <w:t>in historic test y</w:t>
      </w:r>
      <w:r w:rsidR="008506E8">
        <w:t xml:space="preserve">ear ratemaking.  It should be adopted by the Commission.  </w:t>
      </w:r>
    </w:p>
    <w:p w:rsidR="00F4115E" w:rsidRDefault="007929BD" w:rsidP="007929BD">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e</w:t>
      </w:r>
      <w:r w:rsidR="00002B3A">
        <w:rPr>
          <w:rFonts w:ascii="Times New Roman" w:hAnsi="Times New Roman"/>
          <w:b/>
          <w:sz w:val="24"/>
        </w:rPr>
        <w:t>.</w:t>
      </w:r>
      <w:r w:rsidR="00002B3A">
        <w:rPr>
          <w:rFonts w:ascii="Times New Roman" w:hAnsi="Times New Roman"/>
          <w:b/>
          <w:sz w:val="24"/>
        </w:rPr>
        <w:tab/>
        <w:t xml:space="preserve">10.11, </w:t>
      </w:r>
      <w:r w:rsidR="00F4115E" w:rsidRPr="00BA1272">
        <w:rPr>
          <w:rFonts w:ascii="Times New Roman" w:hAnsi="Times New Roman"/>
          <w:b/>
          <w:sz w:val="24"/>
        </w:rPr>
        <w:t>Baker Hydro Relicense</w:t>
      </w:r>
    </w:p>
    <w:p w:rsidR="00295655" w:rsidRDefault="005C4808" w:rsidP="005C4808">
      <w:pPr>
        <w:pStyle w:val="NoSpacing"/>
        <w:numPr>
          <w:ilvl w:val="0"/>
          <w:numId w:val="11"/>
        </w:numPr>
        <w:spacing w:line="480" w:lineRule="auto"/>
      </w:pPr>
      <w:r>
        <w:tab/>
      </w:r>
      <w:r w:rsidR="006326E7">
        <w:t xml:space="preserve">This adjustment relates to the cost of obtaining a new license for </w:t>
      </w:r>
      <w:r w:rsidR="00B5740A">
        <w:t xml:space="preserve">the </w:t>
      </w:r>
      <w:r w:rsidR="006326E7">
        <w:t xml:space="preserve">Baker </w:t>
      </w:r>
      <w:r w:rsidR="00D7616D">
        <w:t>River</w:t>
      </w:r>
      <w:r w:rsidR="006326E7">
        <w:t xml:space="preserve"> Project.</w:t>
      </w:r>
      <w:r w:rsidR="00295655" w:rsidRPr="00295655">
        <w:t xml:space="preserve"> </w:t>
      </w:r>
      <w:r w:rsidR="00B5740A">
        <w:t xml:space="preserve"> PSE adopted</w:t>
      </w:r>
      <w:r w:rsidR="00295655">
        <w:t xml:space="preserve"> Staff’s adjustment for actual plant additions and related amortization expense through August 2009.</w:t>
      </w:r>
      <w:r w:rsidR="005E700B">
        <w:rPr>
          <w:rStyle w:val="FootnoteReference"/>
        </w:rPr>
        <w:footnoteReference w:id="183"/>
      </w:r>
      <w:r w:rsidR="00295655">
        <w:t>  The only</w:t>
      </w:r>
      <w:r w:rsidR="00716094">
        <w:t xml:space="preserve"> remaining difference </w:t>
      </w:r>
      <w:r w:rsidR="008506E8">
        <w:t xml:space="preserve">is the basis for </w:t>
      </w:r>
      <w:r w:rsidR="00295655">
        <w:t>federal land use fees.</w:t>
      </w:r>
      <w:r w:rsidR="005E700B">
        <w:rPr>
          <w:rStyle w:val="FootnoteReference"/>
        </w:rPr>
        <w:footnoteReference w:id="184"/>
      </w:r>
      <w:r w:rsidR="00B5740A">
        <w:t>  Staff excludes PSE</w:t>
      </w:r>
      <w:r w:rsidR="00295655">
        <w:t>’s rate year estimate of these costs.</w:t>
      </w:r>
      <w:r w:rsidR="005E700B">
        <w:rPr>
          <w:rStyle w:val="FootnoteReference"/>
        </w:rPr>
        <w:footnoteReference w:id="185"/>
      </w:r>
    </w:p>
    <w:p w:rsidR="006326E7" w:rsidRPr="006326E7" w:rsidRDefault="005C4808" w:rsidP="005C4808">
      <w:pPr>
        <w:pStyle w:val="NoSpacing"/>
        <w:numPr>
          <w:ilvl w:val="0"/>
          <w:numId w:val="11"/>
        </w:numPr>
        <w:spacing w:line="480" w:lineRule="auto"/>
      </w:pPr>
      <w:r>
        <w:tab/>
      </w:r>
      <w:r w:rsidR="00716094">
        <w:t>PSE</w:t>
      </w:r>
      <w:r w:rsidR="004777FC">
        <w:t>’s adjustment is based on the “expectation”</w:t>
      </w:r>
      <w:r w:rsidR="000206A0">
        <w:t xml:space="preserve"> that its federal land use fees will increase over 400 percent from $230,670 to $1,109,030 in 2010.</w:t>
      </w:r>
      <w:r w:rsidR="000206A0">
        <w:rPr>
          <w:rStyle w:val="FootnoteReference"/>
        </w:rPr>
        <w:footnoteReference w:id="186"/>
      </w:r>
      <w:r w:rsidR="000206A0">
        <w:t xml:space="preserve">  </w:t>
      </w:r>
      <w:r w:rsidR="00716094">
        <w:t xml:space="preserve">One would expect, then, that the Company’s </w:t>
      </w:r>
      <w:r w:rsidR="00F31D9C">
        <w:t>prediction</w:t>
      </w:r>
      <w:r w:rsidR="004777FC">
        <w:t>, if valid,</w:t>
      </w:r>
      <w:r w:rsidR="00716094">
        <w:t xml:space="preserve"> would have been vindicated</w:t>
      </w:r>
      <w:r w:rsidR="004777FC">
        <w:t xml:space="preserve"> by now with the </w:t>
      </w:r>
      <w:r w:rsidR="00716094">
        <w:t xml:space="preserve">actual </w:t>
      </w:r>
      <w:r w:rsidR="004777FC">
        <w:t>land use fees</w:t>
      </w:r>
      <w:r w:rsidR="00716094">
        <w:t xml:space="preserve"> for 2010</w:t>
      </w:r>
      <w:r w:rsidR="004777FC">
        <w:t xml:space="preserve">.  </w:t>
      </w:r>
      <w:r w:rsidR="008506E8">
        <w:t>However, PSE did not supplement its presentation with that</w:t>
      </w:r>
      <w:r w:rsidR="004777FC">
        <w:t xml:space="preserve"> </w:t>
      </w:r>
      <w:r w:rsidR="004777FC">
        <w:lastRenderedPageBreak/>
        <w:t>information.</w:t>
      </w:r>
      <w:r w:rsidR="008506E8">
        <w:t xml:space="preserve">  The Commission should adopt the Staff recommendation to exclude rate year estimates of those costs.</w:t>
      </w:r>
    </w:p>
    <w:p w:rsidR="00F4115E" w:rsidRDefault="007929BD" w:rsidP="005C4808">
      <w:pPr>
        <w:keepNext/>
        <w:tabs>
          <w:tab w:val="left" w:pos="-1440"/>
        </w:tabs>
        <w:spacing w:line="480" w:lineRule="auto"/>
        <w:ind w:left="86"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f</w:t>
      </w:r>
      <w:r w:rsidR="00F4115E">
        <w:rPr>
          <w:rFonts w:ascii="Times New Roman" w:hAnsi="Times New Roman"/>
          <w:b/>
          <w:sz w:val="24"/>
        </w:rPr>
        <w:t>.</w:t>
      </w:r>
      <w:r w:rsidR="00F4115E">
        <w:rPr>
          <w:rFonts w:ascii="Times New Roman" w:hAnsi="Times New Roman"/>
          <w:b/>
          <w:sz w:val="24"/>
        </w:rPr>
        <w:tab/>
        <w:t>10.31, Regulatory Assets &amp; Liabilities</w:t>
      </w:r>
    </w:p>
    <w:p w:rsidR="009537CA" w:rsidRPr="005C4808" w:rsidRDefault="005C4808" w:rsidP="005C4808">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44087C" w:rsidRPr="005C4808">
        <w:rPr>
          <w:rFonts w:ascii="Times New Roman" w:hAnsi="Times New Roman"/>
          <w:sz w:val="24"/>
        </w:rPr>
        <w:t>There are three</w:t>
      </w:r>
      <w:r w:rsidR="00B74531" w:rsidRPr="005C4808">
        <w:rPr>
          <w:rFonts w:ascii="Times New Roman" w:hAnsi="Times New Roman"/>
          <w:sz w:val="24"/>
        </w:rPr>
        <w:t xml:space="preserve"> contested elements of this adjustment.</w:t>
      </w:r>
      <w:r w:rsidR="0044087C">
        <w:rPr>
          <w:rStyle w:val="FootnoteReference"/>
          <w:rFonts w:ascii="Times New Roman" w:hAnsi="Times New Roman"/>
          <w:sz w:val="24"/>
        </w:rPr>
        <w:footnoteReference w:id="187"/>
      </w:r>
    </w:p>
    <w:p w:rsidR="00B74531" w:rsidRDefault="00B74531" w:rsidP="00F4115E">
      <w:pPr>
        <w:tabs>
          <w:tab w:val="left" w:pos="-1440"/>
        </w:tabs>
        <w:spacing w:line="480" w:lineRule="auto"/>
        <w:ind w:left="90" w:hanging="720"/>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16154E">
        <w:rPr>
          <w:rFonts w:ascii="Times New Roman" w:hAnsi="Times New Roman"/>
          <w:sz w:val="24"/>
        </w:rPr>
        <w:tab/>
      </w:r>
      <w:r w:rsidRPr="00B74531">
        <w:rPr>
          <w:rFonts w:ascii="Times New Roman" w:hAnsi="Times New Roman"/>
          <w:b/>
          <w:sz w:val="24"/>
        </w:rPr>
        <w:t>i.</w:t>
      </w:r>
      <w:r w:rsidRPr="00B74531">
        <w:rPr>
          <w:rFonts w:ascii="Times New Roman" w:hAnsi="Times New Roman"/>
          <w:b/>
          <w:sz w:val="24"/>
        </w:rPr>
        <w:tab/>
      </w:r>
      <w:r>
        <w:rPr>
          <w:rFonts w:ascii="Times New Roman" w:hAnsi="Times New Roman"/>
          <w:b/>
          <w:sz w:val="24"/>
        </w:rPr>
        <w:t>West Coast Pipeline Capacity Payment</w:t>
      </w:r>
    </w:p>
    <w:p w:rsidR="00B74531" w:rsidRPr="005C4808" w:rsidRDefault="005C4808" w:rsidP="005C4808">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D81ACE" w:rsidRPr="005C4808">
        <w:rPr>
          <w:rFonts w:ascii="Times New Roman" w:hAnsi="Times New Roman"/>
          <w:sz w:val="24"/>
        </w:rPr>
        <w:t>This element</w:t>
      </w:r>
      <w:r w:rsidR="00B74531" w:rsidRPr="005C4808">
        <w:rPr>
          <w:rFonts w:ascii="Times New Roman" w:hAnsi="Times New Roman"/>
          <w:sz w:val="24"/>
        </w:rPr>
        <w:t xml:space="preserve"> relates to a re</w:t>
      </w:r>
      <w:r w:rsidR="001A7676" w:rsidRPr="005C4808">
        <w:rPr>
          <w:rFonts w:ascii="Times New Roman" w:hAnsi="Times New Roman"/>
          <w:sz w:val="24"/>
        </w:rPr>
        <w:t xml:space="preserve">gulatory credit </w:t>
      </w:r>
      <w:r w:rsidR="00B74531" w:rsidRPr="005C4808">
        <w:rPr>
          <w:rFonts w:ascii="Times New Roman" w:hAnsi="Times New Roman"/>
          <w:sz w:val="24"/>
        </w:rPr>
        <w:t>re</w:t>
      </w:r>
      <w:r w:rsidR="00DC7C46" w:rsidRPr="005C4808">
        <w:rPr>
          <w:rFonts w:ascii="Times New Roman" w:hAnsi="Times New Roman"/>
          <w:sz w:val="24"/>
        </w:rPr>
        <w:t xml:space="preserve">ceived </w:t>
      </w:r>
      <w:r w:rsidR="00B74531" w:rsidRPr="005C4808">
        <w:rPr>
          <w:rFonts w:ascii="Times New Roman" w:hAnsi="Times New Roman"/>
          <w:sz w:val="24"/>
        </w:rPr>
        <w:t>from FB Energy Canada Corporation for</w:t>
      </w:r>
      <w:r w:rsidR="00DC7C46" w:rsidRPr="005C4808">
        <w:rPr>
          <w:rFonts w:ascii="Times New Roman" w:hAnsi="Times New Roman"/>
          <w:sz w:val="24"/>
        </w:rPr>
        <w:t xml:space="preserve"> PSE’s assumption of </w:t>
      </w:r>
      <w:r w:rsidR="00B74531" w:rsidRPr="005C4808">
        <w:rPr>
          <w:rFonts w:ascii="Times New Roman" w:hAnsi="Times New Roman"/>
          <w:sz w:val="24"/>
        </w:rPr>
        <w:t>transportation capacity on West Coast Pipeline.  The payment was received on October 24, 2008.  Assumption of the pipeline capacity occurred on November 1, 2009.</w:t>
      </w:r>
      <w:r w:rsidR="00B74531">
        <w:rPr>
          <w:rStyle w:val="FootnoteReference"/>
          <w:rFonts w:ascii="Times New Roman" w:hAnsi="Times New Roman"/>
          <w:sz w:val="24"/>
        </w:rPr>
        <w:footnoteReference w:id="188"/>
      </w:r>
    </w:p>
    <w:p w:rsidR="00805D84" w:rsidRPr="005C4808" w:rsidRDefault="005C4808" w:rsidP="005C4808">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DC7C46" w:rsidRPr="005C4808">
        <w:rPr>
          <w:rFonts w:ascii="Times New Roman" w:hAnsi="Times New Roman"/>
          <w:sz w:val="24"/>
        </w:rPr>
        <w:t xml:space="preserve">The payment </w:t>
      </w:r>
      <w:r w:rsidR="00805D84" w:rsidRPr="005C4808">
        <w:rPr>
          <w:rFonts w:ascii="Times New Roman" w:hAnsi="Times New Roman"/>
          <w:sz w:val="24"/>
        </w:rPr>
        <w:t>offset</w:t>
      </w:r>
      <w:r w:rsidR="00DC7C46" w:rsidRPr="005C4808">
        <w:rPr>
          <w:rFonts w:ascii="Times New Roman" w:hAnsi="Times New Roman"/>
          <w:sz w:val="24"/>
        </w:rPr>
        <w:t>s</w:t>
      </w:r>
      <w:r w:rsidR="00805D84" w:rsidRPr="005C4808">
        <w:rPr>
          <w:rFonts w:ascii="Times New Roman" w:hAnsi="Times New Roman"/>
          <w:sz w:val="24"/>
        </w:rPr>
        <w:t xml:space="preserve"> the cost of the capacity charge, which is a variable cost under the P</w:t>
      </w:r>
      <w:r w:rsidR="00262DF2">
        <w:rPr>
          <w:rFonts w:ascii="Times New Roman" w:hAnsi="Times New Roman"/>
          <w:sz w:val="24"/>
        </w:rPr>
        <w:t xml:space="preserve">ower Cost </w:t>
      </w:r>
      <w:r w:rsidR="00805D84" w:rsidRPr="005C4808">
        <w:rPr>
          <w:rFonts w:ascii="Times New Roman" w:hAnsi="Times New Roman"/>
          <w:sz w:val="24"/>
        </w:rPr>
        <w:t>A</w:t>
      </w:r>
      <w:r w:rsidR="00262DF2">
        <w:rPr>
          <w:rFonts w:ascii="Times New Roman" w:hAnsi="Times New Roman"/>
          <w:sz w:val="24"/>
        </w:rPr>
        <w:t>djustment (“PCA”)</w:t>
      </w:r>
      <w:r w:rsidR="00805D84" w:rsidRPr="005C4808">
        <w:rPr>
          <w:rFonts w:ascii="Times New Roman" w:hAnsi="Times New Roman"/>
          <w:sz w:val="24"/>
        </w:rPr>
        <w:t xml:space="preserve">.  </w:t>
      </w:r>
      <w:r w:rsidR="00DC7C46" w:rsidRPr="005C4808">
        <w:rPr>
          <w:rFonts w:ascii="Times New Roman" w:hAnsi="Times New Roman"/>
          <w:sz w:val="24"/>
        </w:rPr>
        <w:t xml:space="preserve">Therefore, Staff </w:t>
      </w:r>
      <w:r w:rsidR="00805D84" w:rsidRPr="005C4808">
        <w:rPr>
          <w:rFonts w:ascii="Times New Roman" w:hAnsi="Times New Roman"/>
          <w:sz w:val="24"/>
        </w:rPr>
        <w:t>treat</w:t>
      </w:r>
      <w:r w:rsidR="00DC7C46" w:rsidRPr="005C4808">
        <w:rPr>
          <w:rFonts w:ascii="Times New Roman" w:hAnsi="Times New Roman"/>
          <w:sz w:val="24"/>
        </w:rPr>
        <w:t>ed</w:t>
      </w:r>
      <w:r w:rsidR="00805D84" w:rsidRPr="005C4808">
        <w:rPr>
          <w:rFonts w:ascii="Times New Roman" w:hAnsi="Times New Roman"/>
          <w:sz w:val="24"/>
        </w:rPr>
        <w:t xml:space="preserve"> the credit as an offset</w:t>
      </w:r>
      <w:r w:rsidR="00B74531" w:rsidRPr="005C4808">
        <w:rPr>
          <w:rFonts w:ascii="Times New Roman" w:hAnsi="Times New Roman"/>
          <w:sz w:val="24"/>
        </w:rPr>
        <w:t xml:space="preserve"> </w:t>
      </w:r>
      <w:r w:rsidR="00E8228C" w:rsidRPr="005C4808">
        <w:rPr>
          <w:rFonts w:ascii="Times New Roman" w:hAnsi="Times New Roman"/>
          <w:sz w:val="24"/>
        </w:rPr>
        <w:t xml:space="preserve">to </w:t>
      </w:r>
      <w:r w:rsidR="00805D84" w:rsidRPr="005C4808">
        <w:rPr>
          <w:rFonts w:ascii="Times New Roman" w:hAnsi="Times New Roman"/>
          <w:sz w:val="24"/>
        </w:rPr>
        <w:t>power-related regulatory assets as of October 24, 2008 whe</w:t>
      </w:r>
      <w:r w:rsidR="00DC7C46" w:rsidRPr="005C4808">
        <w:rPr>
          <w:rFonts w:ascii="Times New Roman" w:hAnsi="Times New Roman"/>
          <w:sz w:val="24"/>
        </w:rPr>
        <w:t>n PSE received payment</w:t>
      </w:r>
      <w:r w:rsidR="00805D84" w:rsidRPr="005C4808">
        <w:rPr>
          <w:rFonts w:ascii="Times New Roman" w:hAnsi="Times New Roman"/>
          <w:sz w:val="24"/>
        </w:rPr>
        <w:t>.</w:t>
      </w:r>
      <w:r w:rsidR="00805D84">
        <w:rPr>
          <w:rStyle w:val="FootnoteReference"/>
          <w:rFonts w:ascii="Times New Roman" w:hAnsi="Times New Roman"/>
          <w:sz w:val="24"/>
        </w:rPr>
        <w:footnoteReference w:id="189"/>
      </w:r>
    </w:p>
    <w:p w:rsidR="000D5FA8" w:rsidRPr="005C4808" w:rsidRDefault="005C4808" w:rsidP="005C4808">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DC7C46" w:rsidRPr="005C4808">
        <w:rPr>
          <w:rFonts w:ascii="Times New Roman" w:hAnsi="Times New Roman"/>
          <w:sz w:val="24"/>
          <w:szCs w:val="24"/>
        </w:rPr>
        <w:t xml:space="preserve">PSE accepts </w:t>
      </w:r>
      <w:r w:rsidR="002D501E" w:rsidRPr="005C4808">
        <w:rPr>
          <w:rFonts w:ascii="Times New Roman" w:hAnsi="Times New Roman"/>
          <w:sz w:val="24"/>
          <w:szCs w:val="24"/>
        </w:rPr>
        <w:t>S</w:t>
      </w:r>
      <w:r w:rsidR="00805D84" w:rsidRPr="005C4808">
        <w:rPr>
          <w:rFonts w:ascii="Times New Roman" w:hAnsi="Times New Roman"/>
          <w:sz w:val="24"/>
          <w:szCs w:val="24"/>
        </w:rPr>
        <w:t>taff</w:t>
      </w:r>
      <w:r w:rsidR="000628AF" w:rsidRPr="005C4808">
        <w:rPr>
          <w:rFonts w:ascii="Times New Roman" w:hAnsi="Times New Roman"/>
          <w:sz w:val="24"/>
          <w:szCs w:val="24"/>
        </w:rPr>
        <w:t>’s</w:t>
      </w:r>
      <w:r w:rsidR="00805D84" w:rsidRPr="005C4808">
        <w:rPr>
          <w:rFonts w:ascii="Times New Roman" w:hAnsi="Times New Roman"/>
          <w:sz w:val="24"/>
          <w:szCs w:val="24"/>
        </w:rPr>
        <w:t xml:space="preserve"> proposal subject to not having to restate prior period </w:t>
      </w:r>
      <w:r w:rsidR="002D501E" w:rsidRPr="005C4808">
        <w:rPr>
          <w:rFonts w:ascii="Times New Roman" w:hAnsi="Times New Roman"/>
          <w:sz w:val="24"/>
          <w:szCs w:val="24"/>
        </w:rPr>
        <w:t xml:space="preserve">PCA </w:t>
      </w:r>
      <w:r w:rsidR="00805D84" w:rsidRPr="005C4808">
        <w:rPr>
          <w:rFonts w:ascii="Times New Roman" w:hAnsi="Times New Roman"/>
          <w:sz w:val="24"/>
          <w:szCs w:val="24"/>
        </w:rPr>
        <w:t>reports and financ</w:t>
      </w:r>
      <w:r w:rsidR="002D501E" w:rsidRPr="005C4808">
        <w:rPr>
          <w:rFonts w:ascii="Times New Roman" w:hAnsi="Times New Roman"/>
          <w:sz w:val="24"/>
          <w:szCs w:val="24"/>
        </w:rPr>
        <w:t>ial impacts in previous periods</w:t>
      </w:r>
      <w:r w:rsidR="00805D84" w:rsidRPr="005C4808">
        <w:rPr>
          <w:rFonts w:ascii="Times New Roman" w:hAnsi="Times New Roman"/>
          <w:sz w:val="24"/>
          <w:szCs w:val="24"/>
        </w:rPr>
        <w:t xml:space="preserve">. </w:t>
      </w:r>
      <w:r w:rsidR="00407FC6" w:rsidRPr="005C4808">
        <w:rPr>
          <w:rFonts w:ascii="Times New Roman" w:hAnsi="Times New Roman"/>
          <w:sz w:val="24"/>
          <w:szCs w:val="24"/>
        </w:rPr>
        <w:t xml:space="preserve"> </w:t>
      </w:r>
      <w:r w:rsidR="00805D84" w:rsidRPr="005C4808">
        <w:rPr>
          <w:rFonts w:ascii="Times New Roman" w:hAnsi="Times New Roman"/>
          <w:sz w:val="24"/>
          <w:szCs w:val="24"/>
        </w:rPr>
        <w:t xml:space="preserve">PSE states </w:t>
      </w:r>
      <w:r w:rsidR="002D501E" w:rsidRPr="005C4808">
        <w:rPr>
          <w:rFonts w:ascii="Times New Roman" w:hAnsi="Times New Roman"/>
          <w:sz w:val="24"/>
          <w:szCs w:val="24"/>
        </w:rPr>
        <w:t xml:space="preserve">that </w:t>
      </w:r>
      <w:r w:rsidR="00805D84" w:rsidRPr="005C4808">
        <w:rPr>
          <w:rFonts w:ascii="Times New Roman" w:hAnsi="Times New Roman"/>
          <w:sz w:val="24"/>
          <w:szCs w:val="24"/>
        </w:rPr>
        <w:t>these impacts should</w:t>
      </w:r>
      <w:r w:rsidR="00407FC6" w:rsidRPr="005C4808">
        <w:rPr>
          <w:rFonts w:ascii="Times New Roman" w:hAnsi="Times New Roman"/>
          <w:sz w:val="24"/>
          <w:szCs w:val="24"/>
        </w:rPr>
        <w:t>, instead,</w:t>
      </w:r>
      <w:r w:rsidR="00805D84" w:rsidRPr="005C4808">
        <w:rPr>
          <w:rFonts w:ascii="Times New Roman" w:hAnsi="Times New Roman"/>
          <w:sz w:val="24"/>
          <w:szCs w:val="24"/>
        </w:rPr>
        <w:t xml:space="preserve"> be reflected at </w:t>
      </w:r>
      <w:r w:rsidR="00C22E5C" w:rsidRPr="005C4808">
        <w:rPr>
          <w:rFonts w:ascii="Times New Roman" w:hAnsi="Times New Roman"/>
          <w:sz w:val="24"/>
          <w:szCs w:val="24"/>
        </w:rPr>
        <w:t xml:space="preserve">the time </w:t>
      </w:r>
      <w:r w:rsidR="002D501E" w:rsidRPr="005C4808">
        <w:rPr>
          <w:rFonts w:ascii="Times New Roman" w:hAnsi="Times New Roman"/>
          <w:sz w:val="24"/>
          <w:szCs w:val="24"/>
        </w:rPr>
        <w:t xml:space="preserve">an order issues </w:t>
      </w:r>
      <w:r w:rsidR="00E8228C" w:rsidRPr="005C4808">
        <w:rPr>
          <w:rFonts w:ascii="Times New Roman" w:hAnsi="Times New Roman"/>
          <w:sz w:val="24"/>
          <w:szCs w:val="24"/>
        </w:rPr>
        <w:t xml:space="preserve">in </w:t>
      </w:r>
      <w:r w:rsidR="002D501E" w:rsidRPr="005C4808">
        <w:rPr>
          <w:rFonts w:ascii="Times New Roman" w:hAnsi="Times New Roman"/>
          <w:sz w:val="24"/>
          <w:szCs w:val="24"/>
        </w:rPr>
        <w:t>this proceeding</w:t>
      </w:r>
      <w:r w:rsidR="00805D84" w:rsidRPr="005C4808">
        <w:rPr>
          <w:rFonts w:ascii="Times New Roman" w:hAnsi="Times New Roman"/>
          <w:sz w:val="24"/>
          <w:szCs w:val="24"/>
        </w:rPr>
        <w:t>.</w:t>
      </w:r>
      <w:r w:rsidR="002D501E">
        <w:rPr>
          <w:rStyle w:val="FootnoteReference"/>
          <w:rFonts w:ascii="Times New Roman" w:hAnsi="Times New Roman"/>
          <w:sz w:val="24"/>
          <w:szCs w:val="24"/>
        </w:rPr>
        <w:footnoteReference w:id="190"/>
      </w:r>
      <w:r w:rsidR="002D501E" w:rsidRPr="005C4808">
        <w:rPr>
          <w:rFonts w:ascii="Times New Roman" w:hAnsi="Times New Roman"/>
          <w:sz w:val="24"/>
          <w:szCs w:val="24"/>
        </w:rPr>
        <w:t xml:space="preserve">  </w:t>
      </w:r>
    </w:p>
    <w:p w:rsidR="000D5FA8" w:rsidRPr="005C4808" w:rsidRDefault="005C4808" w:rsidP="005C4808">
      <w:pPr>
        <w:pStyle w:val="ListParagraph"/>
        <w:numPr>
          <w:ilvl w:val="0"/>
          <w:numId w:val="11"/>
        </w:numPr>
        <w:tabs>
          <w:tab w:val="left" w:pos="-1440"/>
        </w:tabs>
        <w:spacing w:line="480" w:lineRule="auto"/>
        <w:rPr>
          <w:rFonts w:ascii="Times New Roman" w:hAnsi="Times New Roman"/>
          <w:i/>
          <w:sz w:val="24"/>
          <w:szCs w:val="24"/>
        </w:rPr>
      </w:pPr>
      <w:r>
        <w:rPr>
          <w:rFonts w:ascii="Times New Roman" w:hAnsi="Times New Roman"/>
          <w:sz w:val="24"/>
          <w:szCs w:val="24"/>
        </w:rPr>
        <w:tab/>
      </w:r>
      <w:r w:rsidR="00D22B4D" w:rsidRPr="005C4808">
        <w:rPr>
          <w:rFonts w:ascii="Times New Roman" w:hAnsi="Times New Roman"/>
          <w:sz w:val="24"/>
          <w:szCs w:val="24"/>
        </w:rPr>
        <w:t>However, PSE ignores the fact that a</w:t>
      </w:r>
      <w:r w:rsidR="000D5FA8" w:rsidRPr="005C4808">
        <w:rPr>
          <w:rFonts w:ascii="Times New Roman" w:hAnsi="Times New Roman"/>
          <w:sz w:val="24"/>
          <w:szCs w:val="24"/>
        </w:rPr>
        <w:t xml:space="preserve">djustments to prior PCA periods </w:t>
      </w:r>
      <w:r w:rsidR="0016583B" w:rsidRPr="005C4808">
        <w:rPr>
          <w:rFonts w:ascii="Times New Roman" w:hAnsi="Times New Roman"/>
          <w:sz w:val="24"/>
          <w:szCs w:val="24"/>
        </w:rPr>
        <w:t xml:space="preserve">are addressed </w:t>
      </w:r>
      <w:r w:rsidR="000D5FA8" w:rsidRPr="005C4808">
        <w:rPr>
          <w:rFonts w:ascii="Times New Roman" w:hAnsi="Times New Roman"/>
          <w:sz w:val="24"/>
          <w:szCs w:val="24"/>
        </w:rPr>
        <w:t>by ap</w:t>
      </w:r>
      <w:r w:rsidR="001A7676" w:rsidRPr="005C4808">
        <w:rPr>
          <w:rFonts w:ascii="Times New Roman" w:hAnsi="Times New Roman"/>
          <w:sz w:val="24"/>
          <w:szCs w:val="24"/>
        </w:rPr>
        <w:t xml:space="preserve">proved </w:t>
      </w:r>
      <w:r w:rsidR="000D5FA8" w:rsidRPr="005C4808">
        <w:rPr>
          <w:rFonts w:ascii="Times New Roman" w:hAnsi="Times New Roman"/>
          <w:sz w:val="24"/>
          <w:szCs w:val="24"/>
        </w:rPr>
        <w:t>procedures.</w:t>
      </w:r>
      <w:r w:rsidR="000D5FA8">
        <w:rPr>
          <w:rStyle w:val="FootnoteReference"/>
          <w:rFonts w:ascii="Times New Roman" w:hAnsi="Times New Roman"/>
          <w:sz w:val="24"/>
          <w:szCs w:val="24"/>
        </w:rPr>
        <w:footnoteReference w:id="191"/>
      </w:r>
      <w:r w:rsidR="0016154E" w:rsidRPr="005C4808">
        <w:rPr>
          <w:rFonts w:ascii="Times New Roman" w:hAnsi="Times New Roman"/>
          <w:sz w:val="24"/>
          <w:szCs w:val="24"/>
        </w:rPr>
        <w:t xml:space="preserve"> </w:t>
      </w:r>
      <w:r w:rsidR="000D5FA8" w:rsidRPr="005C4808">
        <w:rPr>
          <w:rFonts w:ascii="Times New Roman" w:hAnsi="Times New Roman"/>
          <w:sz w:val="24"/>
          <w:szCs w:val="24"/>
        </w:rPr>
        <w:t xml:space="preserve"> Adjustments for previous PCA periods </w:t>
      </w:r>
      <w:r w:rsidR="0016583B" w:rsidRPr="005C4808">
        <w:rPr>
          <w:rFonts w:ascii="Times New Roman" w:hAnsi="Times New Roman"/>
          <w:sz w:val="24"/>
          <w:szCs w:val="24"/>
        </w:rPr>
        <w:t xml:space="preserve">of </w:t>
      </w:r>
      <w:r w:rsidR="000D5FA8" w:rsidRPr="005C4808">
        <w:rPr>
          <w:rFonts w:ascii="Times New Roman" w:hAnsi="Times New Roman"/>
          <w:sz w:val="24"/>
          <w:szCs w:val="24"/>
        </w:rPr>
        <w:t>$1</w:t>
      </w:r>
      <w:r w:rsidR="000628AF" w:rsidRPr="005C4808">
        <w:rPr>
          <w:rFonts w:ascii="Times New Roman" w:hAnsi="Times New Roman"/>
          <w:sz w:val="24"/>
          <w:szCs w:val="24"/>
        </w:rPr>
        <w:t xml:space="preserve"> million</w:t>
      </w:r>
      <w:r w:rsidR="0016583B" w:rsidRPr="005C4808">
        <w:rPr>
          <w:rFonts w:ascii="Times New Roman" w:hAnsi="Times New Roman"/>
          <w:sz w:val="24"/>
          <w:szCs w:val="24"/>
        </w:rPr>
        <w:t xml:space="preserve"> or less</w:t>
      </w:r>
      <w:r w:rsidR="000628AF" w:rsidRPr="005C4808">
        <w:rPr>
          <w:rFonts w:ascii="Times New Roman" w:hAnsi="Times New Roman"/>
          <w:sz w:val="24"/>
          <w:szCs w:val="24"/>
        </w:rPr>
        <w:t xml:space="preserve"> (debit or credit) </w:t>
      </w:r>
      <w:r w:rsidR="000D5FA8" w:rsidRPr="005C4808">
        <w:rPr>
          <w:rFonts w:ascii="Times New Roman" w:hAnsi="Times New Roman"/>
          <w:sz w:val="24"/>
          <w:szCs w:val="24"/>
        </w:rPr>
        <w:t>flow t</w:t>
      </w:r>
      <w:r w:rsidR="0016583B" w:rsidRPr="005C4808">
        <w:rPr>
          <w:rFonts w:ascii="Times New Roman" w:hAnsi="Times New Roman"/>
          <w:sz w:val="24"/>
          <w:szCs w:val="24"/>
        </w:rPr>
        <w:t xml:space="preserve">hrough the current month’s </w:t>
      </w:r>
      <w:r w:rsidR="000D5FA8" w:rsidRPr="005C4808">
        <w:rPr>
          <w:rFonts w:ascii="Times New Roman" w:hAnsi="Times New Roman"/>
          <w:sz w:val="24"/>
          <w:szCs w:val="24"/>
        </w:rPr>
        <w:t xml:space="preserve">calculation. </w:t>
      </w:r>
      <w:r w:rsidR="000628AF" w:rsidRPr="005C4808">
        <w:rPr>
          <w:rFonts w:ascii="Times New Roman" w:hAnsi="Times New Roman"/>
          <w:sz w:val="24"/>
          <w:szCs w:val="24"/>
        </w:rPr>
        <w:t xml:space="preserve"> </w:t>
      </w:r>
      <w:r w:rsidR="0016583B" w:rsidRPr="005C4808">
        <w:rPr>
          <w:rFonts w:ascii="Times New Roman" w:hAnsi="Times New Roman"/>
          <w:sz w:val="24"/>
          <w:szCs w:val="24"/>
        </w:rPr>
        <w:t xml:space="preserve">Adjustments above </w:t>
      </w:r>
      <w:r w:rsidR="000628AF" w:rsidRPr="005C4808">
        <w:rPr>
          <w:rFonts w:ascii="Times New Roman" w:hAnsi="Times New Roman"/>
          <w:sz w:val="24"/>
          <w:szCs w:val="24"/>
        </w:rPr>
        <w:t>$1 million</w:t>
      </w:r>
      <w:r w:rsidR="00407FC6" w:rsidRPr="005C4808">
        <w:rPr>
          <w:rFonts w:ascii="Times New Roman" w:hAnsi="Times New Roman"/>
          <w:sz w:val="24"/>
          <w:szCs w:val="24"/>
        </w:rPr>
        <w:t xml:space="preserve"> </w:t>
      </w:r>
      <w:r w:rsidR="000D5FA8" w:rsidRPr="005C4808">
        <w:rPr>
          <w:rFonts w:ascii="Times New Roman" w:hAnsi="Times New Roman"/>
          <w:sz w:val="24"/>
          <w:szCs w:val="24"/>
        </w:rPr>
        <w:t xml:space="preserve">(debit </w:t>
      </w:r>
      <w:r w:rsidR="000628AF" w:rsidRPr="005C4808">
        <w:rPr>
          <w:rFonts w:ascii="Times New Roman" w:hAnsi="Times New Roman"/>
          <w:sz w:val="24"/>
          <w:szCs w:val="24"/>
        </w:rPr>
        <w:t>or credit)</w:t>
      </w:r>
      <w:r w:rsidR="0016154E" w:rsidRPr="005C4808">
        <w:rPr>
          <w:rFonts w:ascii="Times New Roman" w:hAnsi="Times New Roman"/>
          <w:sz w:val="24"/>
          <w:szCs w:val="24"/>
        </w:rPr>
        <w:t xml:space="preserve"> flow</w:t>
      </w:r>
      <w:r w:rsidR="000D5FA8" w:rsidRPr="005C4808">
        <w:rPr>
          <w:rFonts w:ascii="Times New Roman" w:hAnsi="Times New Roman"/>
          <w:sz w:val="24"/>
          <w:szCs w:val="24"/>
        </w:rPr>
        <w:t xml:space="preserve"> through </w:t>
      </w:r>
      <w:r w:rsidR="000628AF" w:rsidRPr="005C4808">
        <w:rPr>
          <w:rFonts w:ascii="Times New Roman" w:hAnsi="Times New Roman"/>
          <w:sz w:val="24"/>
          <w:szCs w:val="24"/>
        </w:rPr>
        <w:t xml:space="preserve">the </w:t>
      </w:r>
      <w:r w:rsidR="0016583B" w:rsidRPr="005C4808">
        <w:rPr>
          <w:rFonts w:ascii="Times New Roman" w:hAnsi="Times New Roman"/>
          <w:sz w:val="24"/>
          <w:szCs w:val="24"/>
        </w:rPr>
        <w:t xml:space="preserve">recalculation of the prior </w:t>
      </w:r>
      <w:r w:rsidR="000D5FA8" w:rsidRPr="005C4808">
        <w:rPr>
          <w:rFonts w:ascii="Times New Roman" w:hAnsi="Times New Roman"/>
          <w:sz w:val="24"/>
          <w:szCs w:val="24"/>
        </w:rPr>
        <w:t>PC</w:t>
      </w:r>
      <w:r w:rsidR="0016583B" w:rsidRPr="005C4808">
        <w:rPr>
          <w:rFonts w:ascii="Times New Roman" w:hAnsi="Times New Roman"/>
          <w:sz w:val="24"/>
          <w:szCs w:val="24"/>
        </w:rPr>
        <w:t>A period</w:t>
      </w:r>
      <w:r w:rsidR="000D5FA8" w:rsidRPr="005C4808">
        <w:rPr>
          <w:rFonts w:ascii="Times New Roman" w:hAnsi="Times New Roman"/>
          <w:sz w:val="24"/>
          <w:szCs w:val="24"/>
        </w:rPr>
        <w:t xml:space="preserve">. </w:t>
      </w:r>
      <w:r w:rsidR="000628AF" w:rsidRPr="005C4808">
        <w:rPr>
          <w:rFonts w:ascii="Times New Roman" w:hAnsi="Times New Roman"/>
          <w:sz w:val="24"/>
          <w:szCs w:val="24"/>
        </w:rPr>
        <w:t xml:space="preserve"> </w:t>
      </w:r>
      <w:r w:rsidR="0016154E" w:rsidRPr="005C4808">
        <w:rPr>
          <w:rFonts w:ascii="Times New Roman" w:hAnsi="Times New Roman"/>
          <w:sz w:val="24"/>
          <w:szCs w:val="24"/>
        </w:rPr>
        <w:t>PS</w:t>
      </w:r>
      <w:r w:rsidR="00ED6B1C" w:rsidRPr="005C4808">
        <w:rPr>
          <w:rFonts w:ascii="Times New Roman" w:hAnsi="Times New Roman"/>
          <w:sz w:val="24"/>
          <w:szCs w:val="24"/>
        </w:rPr>
        <w:t xml:space="preserve">E </w:t>
      </w:r>
      <w:r w:rsidR="0016583B" w:rsidRPr="005C4808">
        <w:rPr>
          <w:rFonts w:ascii="Times New Roman" w:hAnsi="Times New Roman"/>
          <w:sz w:val="24"/>
          <w:szCs w:val="24"/>
        </w:rPr>
        <w:t xml:space="preserve">has </w:t>
      </w:r>
      <w:r w:rsidR="00ED6B1C" w:rsidRPr="005C4808">
        <w:rPr>
          <w:rFonts w:ascii="Times New Roman" w:hAnsi="Times New Roman"/>
          <w:sz w:val="24"/>
          <w:szCs w:val="24"/>
        </w:rPr>
        <w:t>provided no justification to diverge</w:t>
      </w:r>
      <w:r w:rsidR="0016154E" w:rsidRPr="005C4808">
        <w:rPr>
          <w:rFonts w:ascii="Times New Roman" w:hAnsi="Times New Roman"/>
          <w:sz w:val="24"/>
          <w:szCs w:val="24"/>
        </w:rPr>
        <w:t xml:space="preserve"> from these established procedures.</w:t>
      </w:r>
    </w:p>
    <w:p w:rsidR="000D5FA8" w:rsidRDefault="0016154E" w:rsidP="005C4808">
      <w:pPr>
        <w:pStyle w:val="ListParagraph"/>
        <w:keepNext/>
        <w:spacing w:line="480" w:lineRule="auto"/>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sidRPr="0016154E">
        <w:rPr>
          <w:rFonts w:ascii="Times New Roman" w:hAnsi="Times New Roman"/>
          <w:b/>
          <w:sz w:val="24"/>
          <w:szCs w:val="24"/>
        </w:rPr>
        <w:t>ii.</w:t>
      </w:r>
      <w:r w:rsidRPr="0016154E">
        <w:rPr>
          <w:rFonts w:ascii="Times New Roman" w:hAnsi="Times New Roman"/>
          <w:b/>
          <w:sz w:val="24"/>
          <w:szCs w:val="24"/>
        </w:rPr>
        <w:tab/>
        <w:t>White River Proceeds</w:t>
      </w:r>
    </w:p>
    <w:p w:rsidR="00D7427E" w:rsidRDefault="005C4808" w:rsidP="005C4808">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E05E06">
        <w:rPr>
          <w:rFonts w:ascii="Times New Roman" w:hAnsi="Times New Roman"/>
          <w:sz w:val="24"/>
          <w:szCs w:val="24"/>
        </w:rPr>
        <w:t>PSE’s</w:t>
      </w:r>
      <w:r w:rsidR="00F37EFA">
        <w:rPr>
          <w:rFonts w:ascii="Times New Roman" w:hAnsi="Times New Roman"/>
          <w:sz w:val="24"/>
          <w:szCs w:val="24"/>
        </w:rPr>
        <w:t xml:space="preserve"> </w:t>
      </w:r>
      <w:r w:rsidR="000D425E">
        <w:rPr>
          <w:rFonts w:ascii="Times New Roman" w:hAnsi="Times New Roman"/>
          <w:sz w:val="24"/>
          <w:szCs w:val="24"/>
        </w:rPr>
        <w:t xml:space="preserve">adjustment </w:t>
      </w:r>
      <w:r w:rsidR="00CC758A">
        <w:rPr>
          <w:rFonts w:ascii="Times New Roman" w:hAnsi="Times New Roman"/>
          <w:sz w:val="24"/>
          <w:szCs w:val="24"/>
        </w:rPr>
        <w:t xml:space="preserve">reduces </w:t>
      </w:r>
      <w:r w:rsidR="00CF64C2">
        <w:rPr>
          <w:rFonts w:ascii="Times New Roman" w:hAnsi="Times New Roman"/>
          <w:sz w:val="24"/>
          <w:szCs w:val="24"/>
        </w:rPr>
        <w:t xml:space="preserve">rate base </w:t>
      </w:r>
      <w:r w:rsidR="00CC758A">
        <w:rPr>
          <w:rFonts w:ascii="Times New Roman" w:hAnsi="Times New Roman"/>
          <w:sz w:val="24"/>
          <w:szCs w:val="24"/>
        </w:rPr>
        <w:t xml:space="preserve">by </w:t>
      </w:r>
      <w:r w:rsidR="00A90423">
        <w:rPr>
          <w:rFonts w:ascii="Times New Roman" w:hAnsi="Times New Roman"/>
          <w:sz w:val="24"/>
          <w:szCs w:val="24"/>
        </w:rPr>
        <w:t xml:space="preserve">$25,000,000, representing gross proceeds </w:t>
      </w:r>
      <w:r w:rsidR="00CF64C2">
        <w:rPr>
          <w:rFonts w:ascii="Times New Roman" w:hAnsi="Times New Roman"/>
          <w:sz w:val="24"/>
          <w:szCs w:val="24"/>
        </w:rPr>
        <w:t xml:space="preserve">from the anticipated </w:t>
      </w:r>
      <w:r w:rsidR="00D7427E">
        <w:rPr>
          <w:rFonts w:ascii="Times New Roman" w:hAnsi="Times New Roman"/>
          <w:sz w:val="24"/>
          <w:szCs w:val="24"/>
        </w:rPr>
        <w:t xml:space="preserve">White River </w:t>
      </w:r>
      <w:r w:rsidR="00CF64C2">
        <w:rPr>
          <w:rFonts w:ascii="Times New Roman" w:hAnsi="Times New Roman"/>
          <w:sz w:val="24"/>
          <w:szCs w:val="24"/>
        </w:rPr>
        <w:t>sale</w:t>
      </w:r>
      <w:r w:rsidR="0072768D">
        <w:rPr>
          <w:rFonts w:ascii="Times New Roman" w:hAnsi="Times New Roman"/>
          <w:sz w:val="24"/>
          <w:szCs w:val="24"/>
        </w:rPr>
        <w:t xml:space="preserve"> of assets and water rights to Cascade Water Alliance</w:t>
      </w:r>
      <w:r w:rsidR="00A90423">
        <w:rPr>
          <w:rFonts w:ascii="Times New Roman" w:hAnsi="Times New Roman"/>
          <w:sz w:val="24"/>
          <w:szCs w:val="24"/>
        </w:rPr>
        <w:t>.</w:t>
      </w:r>
      <w:r w:rsidR="00A90423">
        <w:rPr>
          <w:rStyle w:val="FootnoteReference"/>
          <w:rFonts w:ascii="Times New Roman" w:hAnsi="Times New Roman"/>
          <w:sz w:val="24"/>
          <w:szCs w:val="24"/>
        </w:rPr>
        <w:footnoteReference w:id="192"/>
      </w:r>
      <w:r w:rsidR="00A90423">
        <w:rPr>
          <w:rFonts w:ascii="Times New Roman" w:hAnsi="Times New Roman"/>
          <w:sz w:val="24"/>
          <w:szCs w:val="24"/>
        </w:rPr>
        <w:t xml:space="preserve">  T</w:t>
      </w:r>
      <w:r w:rsidR="003D1157">
        <w:rPr>
          <w:rFonts w:ascii="Times New Roman" w:hAnsi="Times New Roman"/>
          <w:sz w:val="24"/>
          <w:szCs w:val="24"/>
        </w:rPr>
        <w:t>his is a change from PSE</w:t>
      </w:r>
      <w:r w:rsidR="00A90423">
        <w:rPr>
          <w:rFonts w:ascii="Times New Roman" w:hAnsi="Times New Roman"/>
          <w:sz w:val="24"/>
          <w:szCs w:val="24"/>
        </w:rPr>
        <w:t>’s direct case</w:t>
      </w:r>
      <w:r w:rsidR="00407FC6">
        <w:rPr>
          <w:rFonts w:ascii="Times New Roman" w:hAnsi="Times New Roman"/>
          <w:sz w:val="24"/>
          <w:szCs w:val="24"/>
        </w:rPr>
        <w:t xml:space="preserve">, which </w:t>
      </w:r>
      <w:r w:rsidR="00A90423">
        <w:rPr>
          <w:rFonts w:ascii="Times New Roman" w:hAnsi="Times New Roman"/>
          <w:sz w:val="24"/>
          <w:szCs w:val="24"/>
        </w:rPr>
        <w:t>reduced rate bas</w:t>
      </w:r>
      <w:r w:rsidR="003D1157">
        <w:rPr>
          <w:rFonts w:ascii="Times New Roman" w:hAnsi="Times New Roman"/>
          <w:sz w:val="24"/>
          <w:szCs w:val="24"/>
        </w:rPr>
        <w:t xml:space="preserve">e by $16,250,000.  That </w:t>
      </w:r>
      <w:r w:rsidR="00A90423">
        <w:rPr>
          <w:rFonts w:ascii="Times New Roman" w:hAnsi="Times New Roman"/>
          <w:sz w:val="24"/>
          <w:szCs w:val="24"/>
        </w:rPr>
        <w:t>amount was calculated by reducing th</w:t>
      </w:r>
      <w:r w:rsidR="003D1157">
        <w:rPr>
          <w:rFonts w:ascii="Times New Roman" w:hAnsi="Times New Roman"/>
          <w:sz w:val="24"/>
          <w:szCs w:val="24"/>
        </w:rPr>
        <w:t xml:space="preserve">e gross proceeds </w:t>
      </w:r>
      <w:r w:rsidR="00A90423">
        <w:rPr>
          <w:rFonts w:ascii="Times New Roman" w:hAnsi="Times New Roman"/>
          <w:sz w:val="24"/>
          <w:szCs w:val="24"/>
        </w:rPr>
        <w:t>by</w:t>
      </w:r>
      <w:r w:rsidR="0072768D">
        <w:rPr>
          <w:rFonts w:ascii="Times New Roman" w:hAnsi="Times New Roman"/>
          <w:sz w:val="24"/>
          <w:szCs w:val="24"/>
        </w:rPr>
        <w:t xml:space="preserve"> an expected </w:t>
      </w:r>
      <w:r w:rsidR="00CF64C2">
        <w:rPr>
          <w:rFonts w:ascii="Times New Roman" w:hAnsi="Times New Roman"/>
          <w:sz w:val="24"/>
          <w:szCs w:val="24"/>
        </w:rPr>
        <w:t>tax liability of $8,750,000</w:t>
      </w:r>
      <w:r w:rsidR="00A90423">
        <w:rPr>
          <w:rFonts w:ascii="Times New Roman" w:hAnsi="Times New Roman"/>
          <w:sz w:val="24"/>
          <w:szCs w:val="24"/>
        </w:rPr>
        <w:t>, based on the assumption that</w:t>
      </w:r>
      <w:r w:rsidR="00A90423" w:rsidRPr="00A90423">
        <w:rPr>
          <w:rFonts w:ascii="Times New Roman" w:hAnsi="Times New Roman"/>
          <w:sz w:val="24"/>
          <w:szCs w:val="24"/>
        </w:rPr>
        <w:t xml:space="preserve"> </w:t>
      </w:r>
      <w:r w:rsidR="00F37EFA">
        <w:rPr>
          <w:rFonts w:ascii="Times New Roman" w:hAnsi="Times New Roman"/>
          <w:sz w:val="24"/>
          <w:szCs w:val="24"/>
        </w:rPr>
        <w:t xml:space="preserve">all </w:t>
      </w:r>
      <w:r w:rsidR="00A90423">
        <w:rPr>
          <w:rFonts w:ascii="Times New Roman" w:hAnsi="Times New Roman"/>
          <w:sz w:val="24"/>
          <w:szCs w:val="24"/>
        </w:rPr>
        <w:t>proceeds would be taxable</w:t>
      </w:r>
      <w:r w:rsidR="00CF64C2">
        <w:rPr>
          <w:rFonts w:ascii="Times New Roman" w:hAnsi="Times New Roman"/>
          <w:sz w:val="24"/>
          <w:szCs w:val="24"/>
        </w:rPr>
        <w:t>.</w:t>
      </w:r>
      <w:r w:rsidR="00CC758A">
        <w:rPr>
          <w:rStyle w:val="FootnoteReference"/>
          <w:rFonts w:ascii="Times New Roman" w:hAnsi="Times New Roman"/>
          <w:sz w:val="24"/>
          <w:szCs w:val="24"/>
        </w:rPr>
        <w:footnoteReference w:id="193"/>
      </w:r>
      <w:r w:rsidR="00CF64C2">
        <w:rPr>
          <w:rFonts w:ascii="Times New Roman" w:hAnsi="Times New Roman"/>
          <w:sz w:val="24"/>
          <w:szCs w:val="24"/>
        </w:rPr>
        <w:t xml:space="preserve">  </w:t>
      </w:r>
    </w:p>
    <w:p w:rsidR="00385481" w:rsidRDefault="005C4808" w:rsidP="005C4808">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385481">
        <w:rPr>
          <w:rFonts w:ascii="Times New Roman" w:hAnsi="Times New Roman"/>
          <w:sz w:val="24"/>
          <w:szCs w:val="24"/>
        </w:rPr>
        <w:t>However,</w:t>
      </w:r>
      <w:r w:rsidR="00B131E9">
        <w:rPr>
          <w:rFonts w:ascii="Times New Roman" w:hAnsi="Times New Roman"/>
          <w:sz w:val="24"/>
          <w:szCs w:val="24"/>
        </w:rPr>
        <w:t xml:space="preserve"> Public Counsel notes</w:t>
      </w:r>
      <w:r w:rsidR="00385481">
        <w:rPr>
          <w:rFonts w:ascii="Times New Roman" w:hAnsi="Times New Roman"/>
          <w:sz w:val="24"/>
          <w:szCs w:val="24"/>
        </w:rPr>
        <w:t xml:space="preserve"> </w:t>
      </w:r>
      <w:r w:rsidR="00F37EFA">
        <w:rPr>
          <w:rFonts w:ascii="Times New Roman" w:hAnsi="Times New Roman"/>
          <w:sz w:val="24"/>
          <w:szCs w:val="24"/>
        </w:rPr>
        <w:t xml:space="preserve">that </w:t>
      </w:r>
      <w:r w:rsidR="00385481">
        <w:rPr>
          <w:rFonts w:ascii="Times New Roman" w:hAnsi="Times New Roman"/>
          <w:sz w:val="24"/>
          <w:szCs w:val="24"/>
        </w:rPr>
        <w:t>there is</w:t>
      </w:r>
      <w:r w:rsidR="00E05E06">
        <w:rPr>
          <w:rFonts w:ascii="Times New Roman" w:hAnsi="Times New Roman"/>
          <w:sz w:val="24"/>
          <w:szCs w:val="24"/>
        </w:rPr>
        <w:t xml:space="preserve"> </w:t>
      </w:r>
      <w:r w:rsidR="000D425E">
        <w:rPr>
          <w:rFonts w:ascii="Times New Roman" w:hAnsi="Times New Roman"/>
          <w:sz w:val="24"/>
          <w:szCs w:val="24"/>
        </w:rPr>
        <w:t xml:space="preserve">actually </w:t>
      </w:r>
      <w:r w:rsidR="00385481">
        <w:rPr>
          <w:rFonts w:ascii="Times New Roman" w:hAnsi="Times New Roman"/>
          <w:sz w:val="24"/>
          <w:szCs w:val="24"/>
        </w:rPr>
        <w:t xml:space="preserve">a tax loss on the </w:t>
      </w:r>
      <w:r w:rsidR="00B408D2">
        <w:rPr>
          <w:rFonts w:ascii="Times New Roman" w:hAnsi="Times New Roman"/>
          <w:sz w:val="24"/>
          <w:szCs w:val="24"/>
        </w:rPr>
        <w:t>sale</w:t>
      </w:r>
      <w:r w:rsidR="00385481">
        <w:rPr>
          <w:rFonts w:ascii="Times New Roman" w:hAnsi="Times New Roman"/>
          <w:sz w:val="24"/>
          <w:szCs w:val="24"/>
        </w:rPr>
        <w:t xml:space="preserve"> because the tax basis of the White River facilities is</w:t>
      </w:r>
      <w:r w:rsidR="000D425E">
        <w:rPr>
          <w:rFonts w:ascii="Times New Roman" w:hAnsi="Times New Roman"/>
          <w:sz w:val="24"/>
          <w:szCs w:val="24"/>
        </w:rPr>
        <w:t xml:space="preserve"> </w:t>
      </w:r>
      <w:r w:rsidR="00385481">
        <w:rPr>
          <w:rFonts w:ascii="Times New Roman" w:hAnsi="Times New Roman"/>
          <w:sz w:val="24"/>
          <w:szCs w:val="24"/>
        </w:rPr>
        <w:t xml:space="preserve">greater than the </w:t>
      </w:r>
      <w:r w:rsidR="00202208">
        <w:rPr>
          <w:rFonts w:ascii="Times New Roman" w:hAnsi="Times New Roman"/>
          <w:sz w:val="24"/>
          <w:szCs w:val="24"/>
        </w:rPr>
        <w:t xml:space="preserve">expected </w:t>
      </w:r>
      <w:r w:rsidR="00B408D2">
        <w:rPr>
          <w:rFonts w:ascii="Times New Roman" w:hAnsi="Times New Roman"/>
          <w:sz w:val="24"/>
          <w:szCs w:val="24"/>
        </w:rPr>
        <w:t>proceeds</w:t>
      </w:r>
      <w:r w:rsidR="00202208">
        <w:rPr>
          <w:rFonts w:ascii="Times New Roman" w:hAnsi="Times New Roman"/>
          <w:sz w:val="24"/>
          <w:szCs w:val="24"/>
        </w:rPr>
        <w:t>.  This results in a tax</w:t>
      </w:r>
      <w:r w:rsidR="00E05E06">
        <w:rPr>
          <w:rFonts w:ascii="Times New Roman" w:hAnsi="Times New Roman"/>
          <w:sz w:val="24"/>
          <w:szCs w:val="24"/>
        </w:rPr>
        <w:t>es</w:t>
      </w:r>
      <w:r w:rsidR="00202208">
        <w:rPr>
          <w:rFonts w:ascii="Times New Roman" w:hAnsi="Times New Roman"/>
          <w:sz w:val="24"/>
          <w:szCs w:val="24"/>
        </w:rPr>
        <w:t xml:space="preserve"> receivable</w:t>
      </w:r>
      <w:r w:rsidR="00E05E06">
        <w:rPr>
          <w:rFonts w:ascii="Times New Roman" w:hAnsi="Times New Roman"/>
          <w:sz w:val="24"/>
          <w:szCs w:val="24"/>
        </w:rPr>
        <w:t>.</w:t>
      </w:r>
      <w:r w:rsidR="00202208">
        <w:rPr>
          <w:rFonts w:ascii="Times New Roman" w:hAnsi="Times New Roman"/>
          <w:sz w:val="24"/>
          <w:szCs w:val="24"/>
        </w:rPr>
        <w:t xml:space="preserve">  P</w:t>
      </w:r>
      <w:r w:rsidR="00993051">
        <w:rPr>
          <w:rFonts w:ascii="Times New Roman" w:hAnsi="Times New Roman"/>
          <w:sz w:val="24"/>
          <w:szCs w:val="24"/>
        </w:rPr>
        <w:t xml:space="preserve">ublic Counsel </w:t>
      </w:r>
      <w:r w:rsidR="001A7676">
        <w:rPr>
          <w:rFonts w:ascii="Times New Roman" w:hAnsi="Times New Roman"/>
          <w:sz w:val="24"/>
          <w:szCs w:val="24"/>
        </w:rPr>
        <w:t xml:space="preserve">uses the taxes receivable to </w:t>
      </w:r>
      <w:r w:rsidR="00E05E06">
        <w:rPr>
          <w:rFonts w:ascii="Times New Roman" w:hAnsi="Times New Roman"/>
          <w:sz w:val="24"/>
          <w:szCs w:val="24"/>
        </w:rPr>
        <w:t>revers</w:t>
      </w:r>
      <w:r w:rsidR="001A7676">
        <w:rPr>
          <w:rFonts w:ascii="Times New Roman" w:hAnsi="Times New Roman"/>
          <w:sz w:val="24"/>
          <w:szCs w:val="24"/>
        </w:rPr>
        <w:t>e</w:t>
      </w:r>
      <w:r w:rsidR="00B131E9">
        <w:rPr>
          <w:rFonts w:ascii="Times New Roman" w:hAnsi="Times New Roman"/>
          <w:sz w:val="24"/>
          <w:szCs w:val="24"/>
        </w:rPr>
        <w:t xml:space="preserve"> </w:t>
      </w:r>
      <w:r w:rsidR="0072768D">
        <w:rPr>
          <w:rFonts w:ascii="Times New Roman" w:hAnsi="Times New Roman"/>
          <w:sz w:val="24"/>
          <w:szCs w:val="24"/>
        </w:rPr>
        <w:t>the rate base addition</w:t>
      </w:r>
      <w:r w:rsidR="00E05E06">
        <w:rPr>
          <w:rFonts w:ascii="Times New Roman" w:hAnsi="Times New Roman"/>
          <w:sz w:val="24"/>
          <w:szCs w:val="24"/>
        </w:rPr>
        <w:t xml:space="preserve"> proposed by PSE in the f</w:t>
      </w:r>
      <w:r w:rsidR="001A7676">
        <w:rPr>
          <w:rFonts w:ascii="Times New Roman" w:hAnsi="Times New Roman"/>
          <w:sz w:val="24"/>
          <w:szCs w:val="24"/>
        </w:rPr>
        <w:t>orm of a taxes payable amount</w:t>
      </w:r>
      <w:r w:rsidR="00E05E06">
        <w:rPr>
          <w:rFonts w:ascii="Times New Roman" w:hAnsi="Times New Roman"/>
          <w:sz w:val="24"/>
          <w:szCs w:val="24"/>
        </w:rPr>
        <w:t>.</w:t>
      </w:r>
      <w:r w:rsidR="00202208">
        <w:rPr>
          <w:rStyle w:val="FootnoteReference"/>
          <w:rFonts w:ascii="Times New Roman" w:hAnsi="Times New Roman"/>
          <w:sz w:val="24"/>
          <w:szCs w:val="24"/>
        </w:rPr>
        <w:footnoteReference w:id="194"/>
      </w:r>
      <w:r w:rsidR="00B408D2">
        <w:rPr>
          <w:rFonts w:ascii="Times New Roman" w:hAnsi="Times New Roman"/>
          <w:sz w:val="24"/>
          <w:szCs w:val="24"/>
        </w:rPr>
        <w:t xml:space="preserve">  </w:t>
      </w:r>
    </w:p>
    <w:p w:rsidR="00B408D2" w:rsidRDefault="005C4808" w:rsidP="005C4808">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B131E9">
        <w:rPr>
          <w:rFonts w:ascii="Times New Roman" w:hAnsi="Times New Roman"/>
          <w:sz w:val="24"/>
          <w:szCs w:val="24"/>
        </w:rPr>
        <w:t xml:space="preserve">Staff </w:t>
      </w:r>
      <w:r w:rsidR="00F37EFA">
        <w:rPr>
          <w:rFonts w:ascii="Times New Roman" w:hAnsi="Times New Roman"/>
          <w:sz w:val="24"/>
          <w:szCs w:val="24"/>
        </w:rPr>
        <w:t xml:space="preserve">adopts </w:t>
      </w:r>
      <w:r w:rsidR="00DB6938">
        <w:rPr>
          <w:rFonts w:ascii="Times New Roman" w:hAnsi="Times New Roman"/>
          <w:sz w:val="24"/>
          <w:szCs w:val="24"/>
        </w:rPr>
        <w:t>P</w:t>
      </w:r>
      <w:r w:rsidR="00407FC6">
        <w:rPr>
          <w:rFonts w:ascii="Times New Roman" w:hAnsi="Times New Roman"/>
          <w:sz w:val="24"/>
          <w:szCs w:val="24"/>
        </w:rPr>
        <w:t>ublic Counse</w:t>
      </w:r>
      <w:r w:rsidR="00F37EFA">
        <w:rPr>
          <w:rFonts w:ascii="Times New Roman" w:hAnsi="Times New Roman"/>
          <w:sz w:val="24"/>
          <w:szCs w:val="24"/>
        </w:rPr>
        <w:t>l’s approach.  It is appropriate to recognize</w:t>
      </w:r>
      <w:r w:rsidR="00A90423">
        <w:rPr>
          <w:rFonts w:ascii="Times New Roman" w:hAnsi="Times New Roman"/>
          <w:sz w:val="24"/>
          <w:szCs w:val="24"/>
        </w:rPr>
        <w:t xml:space="preserve"> </w:t>
      </w:r>
      <w:r w:rsidR="00DB6938">
        <w:rPr>
          <w:rFonts w:ascii="Times New Roman" w:hAnsi="Times New Roman"/>
          <w:sz w:val="24"/>
          <w:szCs w:val="24"/>
        </w:rPr>
        <w:t xml:space="preserve">the potential </w:t>
      </w:r>
      <w:r w:rsidR="00B408D2">
        <w:rPr>
          <w:rFonts w:ascii="Times New Roman" w:hAnsi="Times New Roman"/>
          <w:sz w:val="24"/>
          <w:szCs w:val="24"/>
        </w:rPr>
        <w:t xml:space="preserve">tax loss </w:t>
      </w:r>
      <w:r w:rsidR="00A90423">
        <w:rPr>
          <w:rFonts w:ascii="Times New Roman" w:hAnsi="Times New Roman"/>
          <w:sz w:val="24"/>
          <w:szCs w:val="24"/>
        </w:rPr>
        <w:t>on the White River sale.  There is also no di</w:t>
      </w:r>
      <w:r w:rsidR="007123FB">
        <w:rPr>
          <w:rFonts w:ascii="Times New Roman" w:hAnsi="Times New Roman"/>
          <w:sz w:val="24"/>
          <w:szCs w:val="24"/>
        </w:rPr>
        <w:t>spute about the mechanics</w:t>
      </w:r>
      <w:r w:rsidR="00A90423">
        <w:rPr>
          <w:rFonts w:ascii="Times New Roman" w:hAnsi="Times New Roman"/>
          <w:sz w:val="24"/>
          <w:szCs w:val="24"/>
        </w:rPr>
        <w:t xml:space="preserve"> of the adjustment because it use</w:t>
      </w:r>
      <w:r w:rsidR="007123FB">
        <w:rPr>
          <w:rFonts w:ascii="Times New Roman" w:hAnsi="Times New Roman"/>
          <w:sz w:val="24"/>
          <w:szCs w:val="24"/>
        </w:rPr>
        <w:t>s</w:t>
      </w:r>
      <w:r w:rsidR="00A90423">
        <w:rPr>
          <w:rFonts w:ascii="Times New Roman" w:hAnsi="Times New Roman"/>
          <w:sz w:val="24"/>
          <w:szCs w:val="24"/>
        </w:rPr>
        <w:t xml:space="preserve"> a calculation that</w:t>
      </w:r>
      <w:r w:rsidR="00F37EFA">
        <w:rPr>
          <w:rFonts w:ascii="Times New Roman" w:hAnsi="Times New Roman"/>
          <w:sz w:val="24"/>
          <w:szCs w:val="24"/>
        </w:rPr>
        <w:t xml:space="preserve"> PSE </w:t>
      </w:r>
      <w:r w:rsidR="00A90423">
        <w:rPr>
          <w:rFonts w:ascii="Times New Roman" w:hAnsi="Times New Roman"/>
          <w:sz w:val="24"/>
          <w:szCs w:val="24"/>
        </w:rPr>
        <w:t>i</w:t>
      </w:r>
      <w:r w:rsidR="00B263C8">
        <w:rPr>
          <w:rFonts w:ascii="Times New Roman" w:hAnsi="Times New Roman"/>
          <w:sz w:val="24"/>
          <w:szCs w:val="24"/>
        </w:rPr>
        <w:t>tself performed</w:t>
      </w:r>
      <w:r w:rsidR="00DB6938">
        <w:rPr>
          <w:rFonts w:ascii="Times New Roman" w:hAnsi="Times New Roman"/>
          <w:sz w:val="24"/>
          <w:szCs w:val="24"/>
        </w:rPr>
        <w:t>.</w:t>
      </w:r>
      <w:r w:rsidR="00DB6938">
        <w:rPr>
          <w:rStyle w:val="FootnoteReference"/>
          <w:rFonts w:ascii="Times New Roman" w:hAnsi="Times New Roman"/>
          <w:sz w:val="24"/>
          <w:szCs w:val="24"/>
        </w:rPr>
        <w:footnoteReference w:id="195"/>
      </w:r>
      <w:r w:rsidR="00B131E9">
        <w:rPr>
          <w:rFonts w:ascii="Times New Roman" w:hAnsi="Times New Roman"/>
          <w:sz w:val="24"/>
          <w:szCs w:val="24"/>
        </w:rPr>
        <w:t xml:space="preserve">  </w:t>
      </w:r>
    </w:p>
    <w:p w:rsidR="00904B19" w:rsidRDefault="005C4808" w:rsidP="005C4808">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B131E9">
        <w:rPr>
          <w:rFonts w:ascii="Times New Roman" w:hAnsi="Times New Roman"/>
          <w:sz w:val="24"/>
          <w:szCs w:val="24"/>
        </w:rPr>
        <w:t>PSE argues that tax costs or benefits associated with the sale cannot</w:t>
      </w:r>
      <w:r w:rsidR="00C2181E">
        <w:rPr>
          <w:rFonts w:ascii="Times New Roman" w:hAnsi="Times New Roman"/>
          <w:sz w:val="24"/>
          <w:szCs w:val="24"/>
        </w:rPr>
        <w:t xml:space="preserve"> yet be determined because</w:t>
      </w:r>
      <w:r w:rsidR="00B131E9">
        <w:rPr>
          <w:rFonts w:ascii="Times New Roman" w:hAnsi="Times New Roman"/>
          <w:sz w:val="24"/>
          <w:szCs w:val="24"/>
        </w:rPr>
        <w:t xml:space="preserve"> the </w:t>
      </w:r>
      <w:r w:rsidR="00C2181E">
        <w:rPr>
          <w:rFonts w:ascii="Times New Roman" w:hAnsi="Times New Roman"/>
          <w:sz w:val="24"/>
          <w:szCs w:val="24"/>
        </w:rPr>
        <w:t xml:space="preserve">proceeds from the </w:t>
      </w:r>
      <w:r w:rsidR="00B263C8">
        <w:rPr>
          <w:rFonts w:ascii="Times New Roman" w:hAnsi="Times New Roman"/>
          <w:sz w:val="24"/>
          <w:szCs w:val="24"/>
        </w:rPr>
        <w:t>possible sale of s</w:t>
      </w:r>
      <w:r w:rsidR="00B131E9">
        <w:rPr>
          <w:rFonts w:ascii="Times New Roman" w:hAnsi="Times New Roman"/>
          <w:sz w:val="24"/>
          <w:szCs w:val="24"/>
        </w:rPr>
        <w:t>urplus</w:t>
      </w:r>
      <w:r w:rsidR="00C2181E">
        <w:rPr>
          <w:rFonts w:ascii="Times New Roman" w:hAnsi="Times New Roman"/>
          <w:sz w:val="24"/>
          <w:szCs w:val="24"/>
        </w:rPr>
        <w:t xml:space="preserve"> </w:t>
      </w:r>
      <w:r w:rsidR="00B263C8">
        <w:rPr>
          <w:rFonts w:ascii="Times New Roman" w:hAnsi="Times New Roman"/>
          <w:sz w:val="24"/>
          <w:szCs w:val="24"/>
        </w:rPr>
        <w:t>p</w:t>
      </w:r>
      <w:r w:rsidR="00C2181E">
        <w:rPr>
          <w:rFonts w:ascii="Times New Roman" w:hAnsi="Times New Roman"/>
          <w:sz w:val="24"/>
          <w:szCs w:val="24"/>
        </w:rPr>
        <w:t>roperty cannot be estimated.</w:t>
      </w:r>
      <w:r w:rsidR="00C2181E">
        <w:rPr>
          <w:rStyle w:val="FootnoteReference"/>
          <w:rFonts w:ascii="Times New Roman" w:hAnsi="Times New Roman"/>
          <w:sz w:val="24"/>
          <w:szCs w:val="24"/>
        </w:rPr>
        <w:footnoteReference w:id="196"/>
      </w:r>
      <w:r w:rsidR="00C2181E">
        <w:rPr>
          <w:rFonts w:ascii="Times New Roman" w:hAnsi="Times New Roman"/>
          <w:sz w:val="24"/>
          <w:szCs w:val="24"/>
        </w:rPr>
        <w:t xml:space="preserve">  </w:t>
      </w:r>
      <w:r w:rsidR="00B408D2">
        <w:rPr>
          <w:rFonts w:ascii="Times New Roman" w:hAnsi="Times New Roman"/>
          <w:sz w:val="24"/>
          <w:szCs w:val="24"/>
        </w:rPr>
        <w:t>This argument</w:t>
      </w:r>
      <w:r w:rsidR="00993051">
        <w:rPr>
          <w:rFonts w:ascii="Times New Roman" w:hAnsi="Times New Roman"/>
          <w:sz w:val="24"/>
          <w:szCs w:val="24"/>
        </w:rPr>
        <w:t xml:space="preserve"> is</w:t>
      </w:r>
      <w:r w:rsidR="00B263C8">
        <w:rPr>
          <w:rFonts w:ascii="Times New Roman" w:hAnsi="Times New Roman"/>
          <w:sz w:val="24"/>
          <w:szCs w:val="24"/>
        </w:rPr>
        <w:t xml:space="preserve"> striking given PSE</w:t>
      </w:r>
      <w:r w:rsidR="007123FB">
        <w:rPr>
          <w:rFonts w:ascii="Times New Roman" w:hAnsi="Times New Roman"/>
          <w:sz w:val="24"/>
          <w:szCs w:val="24"/>
        </w:rPr>
        <w:t xml:space="preserve">’s initial </w:t>
      </w:r>
      <w:r w:rsidR="00B408D2">
        <w:rPr>
          <w:rFonts w:ascii="Times New Roman" w:hAnsi="Times New Roman"/>
          <w:sz w:val="24"/>
          <w:szCs w:val="24"/>
        </w:rPr>
        <w:t xml:space="preserve">assumption that all gross proceeds </w:t>
      </w:r>
      <w:r w:rsidR="00993051">
        <w:rPr>
          <w:rFonts w:ascii="Times New Roman" w:hAnsi="Times New Roman"/>
          <w:sz w:val="24"/>
          <w:szCs w:val="24"/>
        </w:rPr>
        <w:t xml:space="preserve">from the sale </w:t>
      </w:r>
      <w:r w:rsidR="00F37EFA">
        <w:rPr>
          <w:rFonts w:ascii="Times New Roman" w:hAnsi="Times New Roman"/>
          <w:sz w:val="24"/>
          <w:szCs w:val="24"/>
        </w:rPr>
        <w:t>would be taxed</w:t>
      </w:r>
      <w:r w:rsidR="00B408D2">
        <w:rPr>
          <w:rFonts w:ascii="Times New Roman" w:hAnsi="Times New Roman"/>
          <w:sz w:val="24"/>
          <w:szCs w:val="24"/>
        </w:rPr>
        <w:t xml:space="preserve">.  </w:t>
      </w:r>
    </w:p>
    <w:p w:rsidR="00202208" w:rsidRDefault="005C4808" w:rsidP="005C4808">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EF118B">
        <w:rPr>
          <w:rFonts w:ascii="Times New Roman" w:hAnsi="Times New Roman"/>
          <w:sz w:val="24"/>
          <w:szCs w:val="24"/>
        </w:rPr>
        <w:t>This argumen</w:t>
      </w:r>
      <w:r w:rsidR="00CC758A">
        <w:rPr>
          <w:rFonts w:ascii="Times New Roman" w:hAnsi="Times New Roman"/>
          <w:sz w:val="24"/>
          <w:szCs w:val="24"/>
        </w:rPr>
        <w:t>t is also flawed given PSE</w:t>
      </w:r>
      <w:r w:rsidR="00F37EFA">
        <w:rPr>
          <w:rFonts w:ascii="Times New Roman" w:hAnsi="Times New Roman"/>
          <w:sz w:val="24"/>
          <w:szCs w:val="24"/>
        </w:rPr>
        <w:t xml:space="preserve">’s admission </w:t>
      </w:r>
      <w:r w:rsidR="00904B19">
        <w:rPr>
          <w:rFonts w:ascii="Times New Roman" w:hAnsi="Times New Roman"/>
          <w:sz w:val="24"/>
          <w:szCs w:val="24"/>
        </w:rPr>
        <w:t xml:space="preserve">that the </w:t>
      </w:r>
      <w:r w:rsidR="00F37EFA">
        <w:rPr>
          <w:rFonts w:ascii="Times New Roman" w:hAnsi="Times New Roman"/>
          <w:sz w:val="24"/>
          <w:szCs w:val="24"/>
        </w:rPr>
        <w:t xml:space="preserve">tax impacts of the </w:t>
      </w:r>
      <w:r w:rsidR="00B263C8">
        <w:rPr>
          <w:rFonts w:ascii="Times New Roman" w:hAnsi="Times New Roman"/>
          <w:sz w:val="24"/>
          <w:szCs w:val="24"/>
        </w:rPr>
        <w:t>sale of s</w:t>
      </w:r>
      <w:r w:rsidR="00446EF2">
        <w:rPr>
          <w:rFonts w:ascii="Times New Roman" w:hAnsi="Times New Roman"/>
          <w:sz w:val="24"/>
          <w:szCs w:val="24"/>
        </w:rPr>
        <w:t xml:space="preserve">urplus </w:t>
      </w:r>
      <w:r w:rsidR="00B263C8">
        <w:rPr>
          <w:rFonts w:ascii="Times New Roman" w:hAnsi="Times New Roman"/>
          <w:sz w:val="24"/>
          <w:szCs w:val="24"/>
        </w:rPr>
        <w:t>p</w:t>
      </w:r>
      <w:r w:rsidR="00446EF2">
        <w:rPr>
          <w:rFonts w:ascii="Times New Roman" w:hAnsi="Times New Roman"/>
          <w:sz w:val="24"/>
          <w:szCs w:val="24"/>
        </w:rPr>
        <w:t xml:space="preserve">roperty cannot </w:t>
      </w:r>
      <w:r w:rsidR="00B263C8">
        <w:rPr>
          <w:rFonts w:ascii="Times New Roman" w:hAnsi="Times New Roman"/>
          <w:sz w:val="24"/>
          <w:szCs w:val="24"/>
        </w:rPr>
        <w:t xml:space="preserve">yet </w:t>
      </w:r>
      <w:r w:rsidR="00446EF2">
        <w:rPr>
          <w:rFonts w:ascii="Times New Roman" w:hAnsi="Times New Roman"/>
          <w:sz w:val="24"/>
          <w:szCs w:val="24"/>
        </w:rPr>
        <w:t>be determined</w:t>
      </w:r>
      <w:r w:rsidR="00904B19">
        <w:rPr>
          <w:rFonts w:ascii="Times New Roman" w:hAnsi="Times New Roman"/>
          <w:sz w:val="24"/>
          <w:szCs w:val="24"/>
        </w:rPr>
        <w:t>.</w:t>
      </w:r>
      <w:r w:rsidR="00904B19">
        <w:rPr>
          <w:rStyle w:val="FootnoteReference"/>
          <w:rFonts w:ascii="Times New Roman" w:hAnsi="Times New Roman"/>
          <w:sz w:val="24"/>
          <w:szCs w:val="24"/>
        </w:rPr>
        <w:footnoteReference w:id="197"/>
      </w:r>
      <w:r w:rsidR="00446EF2">
        <w:rPr>
          <w:rFonts w:ascii="Times New Roman" w:hAnsi="Times New Roman"/>
          <w:sz w:val="24"/>
          <w:szCs w:val="24"/>
        </w:rPr>
        <w:t xml:space="preserve">  </w:t>
      </w:r>
      <w:r w:rsidR="00B263C8">
        <w:rPr>
          <w:rFonts w:ascii="Times New Roman" w:hAnsi="Times New Roman"/>
          <w:sz w:val="24"/>
          <w:szCs w:val="24"/>
        </w:rPr>
        <w:t>U</w:t>
      </w:r>
      <w:r w:rsidR="00C2181E">
        <w:rPr>
          <w:rFonts w:ascii="Times New Roman" w:hAnsi="Times New Roman"/>
          <w:sz w:val="24"/>
          <w:szCs w:val="24"/>
        </w:rPr>
        <w:t>nlike the sa</w:t>
      </w:r>
      <w:r w:rsidR="00B263C8">
        <w:rPr>
          <w:rFonts w:ascii="Times New Roman" w:hAnsi="Times New Roman"/>
          <w:sz w:val="24"/>
          <w:szCs w:val="24"/>
        </w:rPr>
        <w:t xml:space="preserve">le of White River assets, the </w:t>
      </w:r>
      <w:r w:rsidR="00B263C8">
        <w:rPr>
          <w:rFonts w:ascii="Times New Roman" w:hAnsi="Times New Roman"/>
          <w:sz w:val="24"/>
          <w:szCs w:val="24"/>
        </w:rPr>
        <w:lastRenderedPageBreak/>
        <w:t>sale of surplus p</w:t>
      </w:r>
      <w:r w:rsidR="00C2181E">
        <w:rPr>
          <w:rFonts w:ascii="Times New Roman" w:hAnsi="Times New Roman"/>
          <w:sz w:val="24"/>
          <w:szCs w:val="24"/>
        </w:rPr>
        <w:t>roperty has not received Commission approval.</w:t>
      </w:r>
      <w:r w:rsidR="00C2181E">
        <w:rPr>
          <w:rStyle w:val="FootnoteReference"/>
          <w:rFonts w:ascii="Times New Roman" w:hAnsi="Times New Roman"/>
          <w:sz w:val="24"/>
          <w:szCs w:val="24"/>
        </w:rPr>
        <w:footnoteReference w:id="198"/>
      </w:r>
      <w:r w:rsidR="00446EF2">
        <w:rPr>
          <w:rFonts w:ascii="Times New Roman" w:hAnsi="Times New Roman"/>
          <w:sz w:val="24"/>
          <w:szCs w:val="24"/>
        </w:rPr>
        <w:t xml:space="preserve">  </w:t>
      </w:r>
      <w:r w:rsidR="00F37EFA">
        <w:rPr>
          <w:rFonts w:ascii="Times New Roman" w:hAnsi="Times New Roman"/>
          <w:sz w:val="24"/>
          <w:szCs w:val="24"/>
        </w:rPr>
        <w:t xml:space="preserve">There is no reason </w:t>
      </w:r>
      <w:r w:rsidR="00650607">
        <w:rPr>
          <w:rFonts w:ascii="Times New Roman" w:hAnsi="Times New Roman"/>
          <w:sz w:val="24"/>
          <w:szCs w:val="24"/>
        </w:rPr>
        <w:t>to delay reflecting the tax impacts of the sale of White River assets.</w:t>
      </w:r>
    </w:p>
    <w:p w:rsidR="00904B19" w:rsidRPr="00D7427E" w:rsidRDefault="005C4808" w:rsidP="005C4808">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904B19">
        <w:rPr>
          <w:rFonts w:ascii="Times New Roman" w:hAnsi="Times New Roman"/>
          <w:sz w:val="24"/>
          <w:szCs w:val="24"/>
        </w:rPr>
        <w:t>Fi</w:t>
      </w:r>
      <w:r w:rsidR="00B33905">
        <w:rPr>
          <w:rFonts w:ascii="Times New Roman" w:hAnsi="Times New Roman"/>
          <w:sz w:val="24"/>
          <w:szCs w:val="24"/>
        </w:rPr>
        <w:t xml:space="preserve">nally, </w:t>
      </w:r>
      <w:r w:rsidR="00F37EFA">
        <w:rPr>
          <w:rFonts w:ascii="Times New Roman" w:hAnsi="Times New Roman"/>
          <w:sz w:val="24"/>
          <w:szCs w:val="24"/>
        </w:rPr>
        <w:t>proceeds from the sale of</w:t>
      </w:r>
      <w:r w:rsidR="00650607">
        <w:rPr>
          <w:rFonts w:ascii="Times New Roman" w:hAnsi="Times New Roman"/>
          <w:sz w:val="24"/>
          <w:szCs w:val="24"/>
        </w:rPr>
        <w:t xml:space="preserve"> </w:t>
      </w:r>
      <w:r w:rsidR="00904B19">
        <w:rPr>
          <w:rFonts w:ascii="Times New Roman" w:hAnsi="Times New Roman"/>
          <w:sz w:val="24"/>
          <w:szCs w:val="24"/>
        </w:rPr>
        <w:t>White River assets and all related costs have been deferred without amortization.</w:t>
      </w:r>
      <w:r w:rsidR="00676BD3">
        <w:rPr>
          <w:rStyle w:val="FootnoteReference"/>
          <w:rFonts w:ascii="Times New Roman" w:hAnsi="Times New Roman"/>
          <w:sz w:val="24"/>
          <w:szCs w:val="24"/>
        </w:rPr>
        <w:footnoteReference w:id="199"/>
      </w:r>
      <w:r w:rsidR="00B002B1">
        <w:rPr>
          <w:rFonts w:ascii="Times New Roman" w:hAnsi="Times New Roman"/>
          <w:sz w:val="24"/>
          <w:szCs w:val="24"/>
        </w:rPr>
        <w:t xml:space="preserve">  Application of the proceeds</w:t>
      </w:r>
      <w:r w:rsidR="00B263C8">
        <w:rPr>
          <w:rFonts w:ascii="Times New Roman" w:hAnsi="Times New Roman"/>
          <w:sz w:val="24"/>
          <w:szCs w:val="24"/>
        </w:rPr>
        <w:t xml:space="preserve"> will be addressed in the </w:t>
      </w:r>
      <w:r w:rsidR="00B002B1">
        <w:rPr>
          <w:rFonts w:ascii="Times New Roman" w:hAnsi="Times New Roman"/>
          <w:sz w:val="24"/>
          <w:szCs w:val="24"/>
        </w:rPr>
        <w:t>next general r</w:t>
      </w:r>
      <w:r w:rsidR="00F37EFA">
        <w:rPr>
          <w:rFonts w:ascii="Times New Roman" w:hAnsi="Times New Roman"/>
          <w:sz w:val="24"/>
          <w:szCs w:val="24"/>
        </w:rPr>
        <w:t>ate ca</w:t>
      </w:r>
      <w:r w:rsidR="00B263C8">
        <w:rPr>
          <w:rFonts w:ascii="Times New Roman" w:hAnsi="Times New Roman"/>
          <w:sz w:val="24"/>
          <w:szCs w:val="24"/>
        </w:rPr>
        <w:t>se after the sale of all</w:t>
      </w:r>
      <w:r w:rsidR="00F37EFA">
        <w:rPr>
          <w:rFonts w:ascii="Times New Roman" w:hAnsi="Times New Roman"/>
          <w:sz w:val="24"/>
          <w:szCs w:val="24"/>
        </w:rPr>
        <w:t xml:space="preserve"> a</w:t>
      </w:r>
      <w:r w:rsidR="00B263C8">
        <w:rPr>
          <w:rFonts w:ascii="Times New Roman" w:hAnsi="Times New Roman"/>
          <w:sz w:val="24"/>
          <w:szCs w:val="24"/>
        </w:rPr>
        <w:t>ssets and surplus p</w:t>
      </w:r>
      <w:r w:rsidR="00B002B1">
        <w:rPr>
          <w:rFonts w:ascii="Times New Roman" w:hAnsi="Times New Roman"/>
          <w:sz w:val="24"/>
          <w:szCs w:val="24"/>
        </w:rPr>
        <w:t>roperty is complete.</w:t>
      </w:r>
      <w:r w:rsidR="00904B19">
        <w:rPr>
          <w:rStyle w:val="FootnoteReference"/>
          <w:rFonts w:ascii="Times New Roman" w:hAnsi="Times New Roman"/>
          <w:sz w:val="24"/>
          <w:szCs w:val="24"/>
        </w:rPr>
        <w:footnoteReference w:id="200"/>
      </w:r>
      <w:r w:rsidR="00B002B1">
        <w:rPr>
          <w:rFonts w:ascii="Times New Roman" w:hAnsi="Times New Roman"/>
          <w:sz w:val="24"/>
          <w:szCs w:val="24"/>
        </w:rPr>
        <w:t xml:space="preserve">  Public Counsel’s adjustment is co</w:t>
      </w:r>
      <w:r w:rsidR="0069535E">
        <w:rPr>
          <w:rFonts w:ascii="Times New Roman" w:hAnsi="Times New Roman"/>
          <w:sz w:val="24"/>
          <w:szCs w:val="24"/>
        </w:rPr>
        <w:t>nsistent with this order</w:t>
      </w:r>
      <w:r w:rsidR="00B002B1">
        <w:rPr>
          <w:rFonts w:ascii="Times New Roman" w:hAnsi="Times New Roman"/>
          <w:sz w:val="24"/>
          <w:szCs w:val="24"/>
        </w:rPr>
        <w:t>.</w:t>
      </w:r>
    </w:p>
    <w:p w:rsidR="002D501E" w:rsidRDefault="0016154E" w:rsidP="00257EC0">
      <w:pPr>
        <w:pStyle w:val="ListParagraph"/>
        <w:spacing w:line="48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iii.</w:t>
      </w:r>
      <w:r>
        <w:rPr>
          <w:rFonts w:ascii="Times New Roman" w:hAnsi="Times New Roman"/>
          <w:b/>
          <w:sz w:val="24"/>
          <w:szCs w:val="24"/>
        </w:rPr>
        <w:tab/>
      </w:r>
      <w:r w:rsidR="001D78D5">
        <w:rPr>
          <w:rFonts w:ascii="Times New Roman" w:hAnsi="Times New Roman"/>
          <w:b/>
          <w:sz w:val="24"/>
          <w:szCs w:val="24"/>
        </w:rPr>
        <w:t>Colstrip Settlement Payment</w:t>
      </w:r>
    </w:p>
    <w:p w:rsidR="00B72875" w:rsidRDefault="005C4808" w:rsidP="005C4808">
      <w:pPr>
        <w:pStyle w:val="NoSpacing"/>
        <w:numPr>
          <w:ilvl w:val="0"/>
          <w:numId w:val="11"/>
        </w:numPr>
        <w:spacing w:line="480" w:lineRule="auto"/>
      </w:pPr>
      <w:r>
        <w:tab/>
      </w:r>
      <w:r w:rsidR="00B72875">
        <w:t xml:space="preserve">PSE seeks to establish and amortize over 5 years a regulatory asset </w:t>
      </w:r>
      <w:r w:rsidR="00E043B1">
        <w:t xml:space="preserve">of $8.4 million, including carrying costs, </w:t>
      </w:r>
      <w:r w:rsidR="00B72875">
        <w:t xml:space="preserve">for </w:t>
      </w:r>
      <w:r w:rsidR="00E043B1">
        <w:t>the Colstrip Settlement payment</w:t>
      </w:r>
      <w:r w:rsidR="00B72875">
        <w:t>.</w:t>
      </w:r>
      <w:r w:rsidR="00B72875">
        <w:rPr>
          <w:rStyle w:val="FootnoteReference"/>
        </w:rPr>
        <w:footnoteReference w:id="201"/>
      </w:r>
      <w:r w:rsidR="00B72875">
        <w:t xml:space="preserve">  Staff opposes the proposal.</w:t>
      </w:r>
    </w:p>
    <w:p w:rsidR="00C46002" w:rsidRDefault="005C4808" w:rsidP="005C4808">
      <w:pPr>
        <w:pStyle w:val="NoSpacing"/>
        <w:numPr>
          <w:ilvl w:val="0"/>
          <w:numId w:val="11"/>
        </w:numPr>
        <w:spacing w:line="480" w:lineRule="auto"/>
      </w:pPr>
      <w:r>
        <w:tab/>
      </w:r>
      <w:r w:rsidR="00EE0423">
        <w:t>As stated above, Commission approval of a</w:t>
      </w:r>
      <w:r w:rsidR="00F35282">
        <w:t xml:space="preserve"> regul</w:t>
      </w:r>
      <w:r w:rsidR="00EE0423">
        <w:t xml:space="preserve">atory asset is </w:t>
      </w:r>
      <w:r w:rsidR="00B72875">
        <w:t xml:space="preserve">considered </w:t>
      </w:r>
      <w:r w:rsidR="00B72875" w:rsidRPr="00E043B1">
        <w:t>only</w:t>
      </w:r>
      <w:r w:rsidR="00B72875">
        <w:t xml:space="preserve"> </w:t>
      </w:r>
      <w:r w:rsidR="00EE0423">
        <w:t>in</w:t>
      </w:r>
      <w:r w:rsidR="00E043B1">
        <w:t xml:space="preserve"> </w:t>
      </w:r>
      <w:r w:rsidR="00B72875">
        <w:t>unusual or extraor</w:t>
      </w:r>
      <w:r w:rsidR="00EE0423">
        <w:t>dinary circumstances</w:t>
      </w:r>
      <w:r w:rsidR="00E043B1">
        <w:t>.</w:t>
      </w:r>
      <w:r w:rsidR="00E043B1">
        <w:rPr>
          <w:rStyle w:val="FootnoteReference"/>
        </w:rPr>
        <w:footnoteReference w:id="202"/>
      </w:r>
      <w:r w:rsidR="00E043B1">
        <w:t xml:space="preserve">  </w:t>
      </w:r>
      <w:r w:rsidR="00C46002">
        <w:t>Otherwise</w:t>
      </w:r>
      <w:r w:rsidR="00B33905">
        <w:t>,</w:t>
      </w:r>
      <w:r w:rsidR="00C46002">
        <w:t xml:space="preserve"> a cost is </w:t>
      </w:r>
      <w:r w:rsidR="00B5740A">
        <w:t>expensed as occur</w:t>
      </w:r>
      <w:r w:rsidR="001A7676">
        <w:t>red, in accordance with FERC’s U</w:t>
      </w:r>
      <w:r w:rsidR="00B5740A">
        <w:t xml:space="preserve">niform </w:t>
      </w:r>
      <w:r w:rsidR="001A7676">
        <w:t>S</w:t>
      </w:r>
      <w:r w:rsidR="00B5740A">
        <w:t xml:space="preserve">ystem of </w:t>
      </w:r>
      <w:r w:rsidR="001A7676">
        <w:t>A</w:t>
      </w:r>
      <w:r w:rsidR="00B5740A">
        <w:t xml:space="preserve">ccounts and </w:t>
      </w:r>
      <w:r w:rsidR="001A7676">
        <w:t>G</w:t>
      </w:r>
      <w:r w:rsidR="00B33905">
        <w:t>AAP</w:t>
      </w:r>
      <w:r w:rsidR="00C46002">
        <w:t xml:space="preserve">.   </w:t>
      </w:r>
    </w:p>
    <w:p w:rsidR="00805D84" w:rsidRPr="00E52AD2" w:rsidRDefault="005C4808" w:rsidP="005C4808">
      <w:pPr>
        <w:pStyle w:val="NoSpacing"/>
        <w:numPr>
          <w:ilvl w:val="0"/>
          <w:numId w:val="11"/>
        </w:numPr>
        <w:spacing w:line="480" w:lineRule="auto"/>
        <w:rPr>
          <w:szCs w:val="24"/>
        </w:rPr>
      </w:pPr>
      <w:r>
        <w:tab/>
      </w:r>
      <w:r w:rsidR="00E043B1">
        <w:t xml:space="preserve">Therefore, </w:t>
      </w:r>
      <w:r w:rsidR="009B6C2C">
        <w:t xml:space="preserve">the significance of an expense should be </w:t>
      </w:r>
      <w:r w:rsidR="00B72875">
        <w:t>e</w:t>
      </w:r>
      <w:r w:rsidR="00C46002">
        <w:t>valuate</w:t>
      </w:r>
      <w:r w:rsidR="009B6C2C">
        <w:t xml:space="preserve">d </w:t>
      </w:r>
      <w:r w:rsidR="00B72875">
        <w:t xml:space="preserve">to determine whether </w:t>
      </w:r>
      <w:r w:rsidR="00C46002">
        <w:t xml:space="preserve">it </w:t>
      </w:r>
      <w:r w:rsidR="00B72875">
        <w:t xml:space="preserve">should </w:t>
      </w:r>
      <w:r w:rsidR="00F35282">
        <w:t xml:space="preserve">be capitalized with </w:t>
      </w:r>
      <w:r w:rsidR="000F32E9">
        <w:t xml:space="preserve">carrying charges for </w:t>
      </w:r>
      <w:r w:rsidR="00B72875">
        <w:t>recovery in future periods</w:t>
      </w:r>
      <w:r w:rsidR="00C46002">
        <w:t xml:space="preserve">.  </w:t>
      </w:r>
      <w:r w:rsidR="00E043B1">
        <w:t>Here, the $8.4 million settlement payment is</w:t>
      </w:r>
      <w:r w:rsidR="009B6C2C">
        <w:t xml:space="preserve"> relatively </w:t>
      </w:r>
      <w:r w:rsidR="003F72C1">
        <w:t xml:space="preserve">immaterial:  </w:t>
      </w:r>
      <w:r w:rsidR="00B72875">
        <w:t>0.42</w:t>
      </w:r>
      <w:r w:rsidR="00E043B1">
        <w:t xml:space="preserve"> percent </w:t>
      </w:r>
      <w:r w:rsidR="00B72875">
        <w:t>of total test year operating expense</w:t>
      </w:r>
      <w:r w:rsidR="00E043B1">
        <w:t>.</w:t>
      </w:r>
      <w:r w:rsidR="00E043B1">
        <w:rPr>
          <w:rStyle w:val="FootnoteReference"/>
        </w:rPr>
        <w:footnoteReference w:id="203"/>
      </w:r>
      <w:r w:rsidR="00E043B1">
        <w:t xml:space="preserve"> </w:t>
      </w:r>
      <w:r w:rsidR="009B6C2C">
        <w:t xml:space="preserve"> </w:t>
      </w:r>
      <w:r w:rsidR="00E043B1">
        <w:t>Therefore, Staff</w:t>
      </w:r>
      <w:r w:rsidR="00B72875">
        <w:t xml:space="preserve"> </w:t>
      </w:r>
      <w:r w:rsidR="00C46002">
        <w:t xml:space="preserve">expensed the entire </w:t>
      </w:r>
      <w:r w:rsidR="00B72875">
        <w:t>amoun</w:t>
      </w:r>
      <w:r w:rsidR="00C46002">
        <w:t>t</w:t>
      </w:r>
      <w:r w:rsidR="00E043B1">
        <w:t>.  This approach recognizes</w:t>
      </w:r>
      <w:r w:rsidR="00B72875">
        <w:t xml:space="preserve"> that costs of this nature do occur from time to time and</w:t>
      </w:r>
      <w:r w:rsidR="001A7676">
        <w:t>, therefore,</w:t>
      </w:r>
      <w:r w:rsidR="00B72875">
        <w:t xml:space="preserve"> should be considered as a cost of business relative to their contribution to total expense.  </w:t>
      </w:r>
    </w:p>
    <w:p w:rsidR="00E52AD2" w:rsidRPr="00E52AD2" w:rsidRDefault="00E52AD2" w:rsidP="00E52AD2">
      <w:pPr>
        <w:pStyle w:val="ListParagraph"/>
        <w:keepNext/>
        <w:tabs>
          <w:tab w:val="left" w:pos="-1440"/>
        </w:tabs>
        <w:spacing w:line="480" w:lineRule="auto"/>
        <w:ind w:left="0"/>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t>g.</w:t>
      </w:r>
      <w:r>
        <w:rPr>
          <w:rFonts w:ascii="Times New Roman" w:hAnsi="Times New Roman"/>
          <w:b/>
          <w:sz w:val="24"/>
          <w:szCs w:val="24"/>
        </w:rPr>
        <w:tab/>
      </w:r>
      <w:r w:rsidRPr="007929BD">
        <w:rPr>
          <w:rFonts w:ascii="Times New Roman" w:hAnsi="Times New Roman"/>
          <w:b/>
          <w:sz w:val="24"/>
          <w:szCs w:val="24"/>
        </w:rPr>
        <w:t>10.33, Fredonia Power Plant</w:t>
      </w:r>
    </w:p>
    <w:p w:rsidR="00D85AD8" w:rsidRPr="00E52AD2" w:rsidRDefault="006326E7" w:rsidP="00E52AD2">
      <w:pPr>
        <w:pStyle w:val="NoSpacing"/>
        <w:numPr>
          <w:ilvl w:val="0"/>
          <w:numId w:val="11"/>
        </w:numPr>
        <w:spacing w:line="480" w:lineRule="auto"/>
        <w:rPr>
          <w:szCs w:val="24"/>
        </w:rPr>
      </w:pPr>
      <w:r w:rsidRPr="00E52AD2">
        <w:rPr>
          <w:b/>
          <w:szCs w:val="24"/>
        </w:rPr>
        <w:tab/>
      </w:r>
      <w:r w:rsidR="00DA4A99" w:rsidRPr="00E52AD2">
        <w:rPr>
          <w:szCs w:val="24"/>
        </w:rPr>
        <w:t xml:space="preserve">The adjustment involves </w:t>
      </w:r>
      <w:r w:rsidR="001A7676" w:rsidRPr="00E52AD2">
        <w:rPr>
          <w:szCs w:val="24"/>
        </w:rPr>
        <w:t xml:space="preserve">the Company’s purchase of </w:t>
      </w:r>
      <w:r w:rsidRPr="00E52AD2">
        <w:rPr>
          <w:szCs w:val="24"/>
        </w:rPr>
        <w:t>Fredonia</w:t>
      </w:r>
      <w:r w:rsidR="001E11FE" w:rsidRPr="00E52AD2">
        <w:rPr>
          <w:szCs w:val="24"/>
        </w:rPr>
        <w:t xml:space="preserve"> Units 3 and 4</w:t>
      </w:r>
      <w:r w:rsidRPr="00E52AD2">
        <w:rPr>
          <w:szCs w:val="24"/>
        </w:rPr>
        <w:t>.</w:t>
      </w:r>
      <w:r w:rsidR="00DA4A99" w:rsidRPr="00E52AD2">
        <w:rPr>
          <w:szCs w:val="24"/>
        </w:rPr>
        <w:t xml:space="preserve">  Staff’s original adjustment </w:t>
      </w:r>
      <w:r w:rsidR="00D85AD8" w:rsidRPr="00E52AD2">
        <w:rPr>
          <w:szCs w:val="24"/>
        </w:rPr>
        <w:t xml:space="preserve">reflected PSE’s </w:t>
      </w:r>
      <w:r w:rsidR="00DA4A99" w:rsidRPr="00E52AD2">
        <w:rPr>
          <w:szCs w:val="24"/>
        </w:rPr>
        <w:t xml:space="preserve">lease payments because the sale </w:t>
      </w:r>
      <w:r w:rsidR="00860ED7" w:rsidRPr="00E52AD2">
        <w:rPr>
          <w:szCs w:val="24"/>
        </w:rPr>
        <w:t xml:space="preserve">had not </w:t>
      </w:r>
      <w:r w:rsidR="00D85AD8" w:rsidRPr="00E52AD2">
        <w:rPr>
          <w:szCs w:val="24"/>
        </w:rPr>
        <w:t>been finalized and the costs used by PSE were estimates based on forecasts.</w:t>
      </w:r>
      <w:r w:rsidR="00D85AD8">
        <w:rPr>
          <w:rStyle w:val="FootnoteReference"/>
          <w:szCs w:val="24"/>
        </w:rPr>
        <w:footnoteReference w:id="204"/>
      </w:r>
      <w:r w:rsidR="00D85AD8" w:rsidRPr="00E52AD2">
        <w:rPr>
          <w:szCs w:val="24"/>
        </w:rPr>
        <w:t xml:space="preserve">  </w:t>
      </w:r>
    </w:p>
    <w:p w:rsidR="00D7570B" w:rsidRPr="00106A33" w:rsidRDefault="00106A33" w:rsidP="00106A33">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1E11FE" w:rsidRPr="00106A33">
        <w:rPr>
          <w:rFonts w:ascii="Times New Roman" w:hAnsi="Times New Roman"/>
          <w:sz w:val="24"/>
          <w:szCs w:val="24"/>
        </w:rPr>
        <w:t>Th</w:t>
      </w:r>
      <w:r w:rsidR="00D85AD8" w:rsidRPr="00106A33">
        <w:rPr>
          <w:rFonts w:ascii="Times New Roman" w:hAnsi="Times New Roman"/>
          <w:sz w:val="24"/>
          <w:szCs w:val="24"/>
        </w:rPr>
        <w:t xml:space="preserve">e purchase was </w:t>
      </w:r>
      <w:r w:rsidR="00B33905" w:rsidRPr="00106A33">
        <w:rPr>
          <w:rFonts w:ascii="Times New Roman" w:hAnsi="Times New Roman"/>
          <w:sz w:val="24"/>
          <w:szCs w:val="24"/>
        </w:rPr>
        <w:t xml:space="preserve">since </w:t>
      </w:r>
      <w:r w:rsidR="00D85AD8" w:rsidRPr="00106A33">
        <w:rPr>
          <w:rFonts w:ascii="Times New Roman" w:hAnsi="Times New Roman"/>
          <w:sz w:val="24"/>
          <w:szCs w:val="24"/>
        </w:rPr>
        <w:t>completed on J</w:t>
      </w:r>
      <w:r w:rsidR="001E11FE" w:rsidRPr="00106A33">
        <w:rPr>
          <w:rFonts w:ascii="Times New Roman" w:hAnsi="Times New Roman"/>
          <w:sz w:val="24"/>
          <w:szCs w:val="24"/>
        </w:rPr>
        <w:t>anuary 13, 2010</w:t>
      </w:r>
      <w:r w:rsidR="00262DF2">
        <w:rPr>
          <w:rFonts w:ascii="Times New Roman" w:hAnsi="Times New Roman"/>
          <w:sz w:val="24"/>
          <w:szCs w:val="24"/>
        </w:rPr>
        <w:t>,</w:t>
      </w:r>
      <w:r w:rsidR="001E11FE" w:rsidRPr="00106A33">
        <w:rPr>
          <w:rFonts w:ascii="Times New Roman" w:hAnsi="Times New Roman"/>
          <w:sz w:val="24"/>
          <w:szCs w:val="24"/>
        </w:rPr>
        <w:t xml:space="preserve"> and was determined by Staff to be prudent</w:t>
      </w:r>
      <w:r w:rsidR="00F460DF" w:rsidRPr="00106A33">
        <w:rPr>
          <w:rFonts w:ascii="Times New Roman" w:hAnsi="Times New Roman"/>
          <w:sz w:val="24"/>
          <w:szCs w:val="24"/>
        </w:rPr>
        <w:t>.</w:t>
      </w:r>
      <w:r w:rsidR="00F460DF">
        <w:rPr>
          <w:rStyle w:val="FootnoteReference"/>
          <w:rFonts w:ascii="Times New Roman" w:hAnsi="Times New Roman"/>
          <w:sz w:val="24"/>
          <w:szCs w:val="24"/>
        </w:rPr>
        <w:footnoteReference w:id="205"/>
      </w:r>
      <w:r w:rsidR="00F460DF" w:rsidRPr="00106A33">
        <w:rPr>
          <w:rFonts w:ascii="Times New Roman" w:hAnsi="Times New Roman"/>
          <w:sz w:val="24"/>
          <w:szCs w:val="24"/>
        </w:rPr>
        <w:t xml:space="preserve">  </w:t>
      </w:r>
      <w:r w:rsidR="00D7570B" w:rsidRPr="00106A33">
        <w:rPr>
          <w:rFonts w:ascii="Times New Roman" w:hAnsi="Times New Roman"/>
          <w:sz w:val="24"/>
          <w:szCs w:val="24"/>
        </w:rPr>
        <w:t>Staff</w:t>
      </w:r>
      <w:r w:rsidR="001E11FE" w:rsidRPr="00106A33">
        <w:rPr>
          <w:rFonts w:ascii="Times New Roman" w:hAnsi="Times New Roman"/>
          <w:sz w:val="24"/>
          <w:szCs w:val="24"/>
        </w:rPr>
        <w:t xml:space="preserve"> has reviewed the final purchase documents and accepts PSE’s adjustment as a reasonable representation of</w:t>
      </w:r>
      <w:r w:rsidR="00860ED7" w:rsidRPr="00106A33">
        <w:rPr>
          <w:rFonts w:ascii="Times New Roman" w:hAnsi="Times New Roman"/>
          <w:sz w:val="24"/>
          <w:szCs w:val="24"/>
        </w:rPr>
        <w:t xml:space="preserve"> </w:t>
      </w:r>
      <w:r w:rsidR="00D7570B" w:rsidRPr="00106A33">
        <w:rPr>
          <w:rFonts w:ascii="Times New Roman" w:hAnsi="Times New Roman"/>
          <w:sz w:val="24"/>
          <w:szCs w:val="24"/>
        </w:rPr>
        <w:t>ra</w:t>
      </w:r>
      <w:r w:rsidR="00860ED7" w:rsidRPr="00106A33">
        <w:rPr>
          <w:rFonts w:ascii="Times New Roman" w:hAnsi="Times New Roman"/>
          <w:sz w:val="24"/>
          <w:szCs w:val="24"/>
        </w:rPr>
        <w:t>te base and depreciation</w:t>
      </w:r>
      <w:r w:rsidR="001E11FE" w:rsidRPr="00106A33">
        <w:rPr>
          <w:rFonts w:ascii="Times New Roman" w:hAnsi="Times New Roman"/>
          <w:sz w:val="24"/>
          <w:szCs w:val="24"/>
        </w:rPr>
        <w:t xml:space="preserve"> expense</w:t>
      </w:r>
      <w:r w:rsidR="00D069AC" w:rsidRPr="00106A33">
        <w:rPr>
          <w:rFonts w:ascii="Times New Roman" w:hAnsi="Times New Roman"/>
          <w:sz w:val="24"/>
          <w:szCs w:val="24"/>
        </w:rPr>
        <w:t xml:space="preserve">.  </w:t>
      </w:r>
      <w:r w:rsidR="001E11FE" w:rsidRPr="00106A33">
        <w:rPr>
          <w:rFonts w:ascii="Times New Roman" w:hAnsi="Times New Roman"/>
          <w:sz w:val="24"/>
          <w:szCs w:val="24"/>
        </w:rPr>
        <w:t xml:space="preserve">Staff also includes an amount for property insurance </w:t>
      </w:r>
      <w:r w:rsidR="00D7570B" w:rsidRPr="00106A33">
        <w:rPr>
          <w:rFonts w:ascii="Times New Roman" w:hAnsi="Times New Roman"/>
          <w:sz w:val="24"/>
          <w:szCs w:val="24"/>
        </w:rPr>
        <w:t>in Adjustment 10.23.</w:t>
      </w:r>
    </w:p>
    <w:p w:rsidR="00F460DF" w:rsidRPr="00106A33" w:rsidRDefault="00106A33" w:rsidP="00106A33">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860ED7" w:rsidRPr="00106A33">
        <w:rPr>
          <w:rFonts w:ascii="Times New Roman" w:hAnsi="Times New Roman"/>
          <w:sz w:val="24"/>
          <w:szCs w:val="24"/>
        </w:rPr>
        <w:t>However, PSE</w:t>
      </w:r>
      <w:r w:rsidR="00D069AC" w:rsidRPr="00106A33">
        <w:rPr>
          <w:rFonts w:ascii="Times New Roman" w:hAnsi="Times New Roman"/>
          <w:sz w:val="24"/>
          <w:szCs w:val="24"/>
        </w:rPr>
        <w:t xml:space="preserve">’s adjustment </w:t>
      </w:r>
      <w:r w:rsidR="00860ED7" w:rsidRPr="00106A33">
        <w:rPr>
          <w:rFonts w:ascii="Times New Roman" w:hAnsi="Times New Roman"/>
          <w:sz w:val="24"/>
          <w:szCs w:val="24"/>
        </w:rPr>
        <w:t xml:space="preserve">includes a </w:t>
      </w:r>
      <w:r w:rsidR="00D069AC" w:rsidRPr="00106A33">
        <w:rPr>
          <w:rFonts w:ascii="Times New Roman" w:hAnsi="Times New Roman"/>
          <w:sz w:val="24"/>
          <w:szCs w:val="24"/>
        </w:rPr>
        <w:t>rate year forecast of property tax expense.</w:t>
      </w:r>
      <w:r w:rsidR="00D069AC">
        <w:rPr>
          <w:rStyle w:val="FootnoteReference"/>
          <w:rFonts w:ascii="Times New Roman" w:hAnsi="Times New Roman"/>
          <w:sz w:val="24"/>
          <w:szCs w:val="24"/>
        </w:rPr>
        <w:footnoteReference w:id="206"/>
      </w:r>
      <w:r w:rsidR="00B33905" w:rsidRPr="00106A33">
        <w:rPr>
          <w:rFonts w:ascii="Times New Roman" w:hAnsi="Times New Roman"/>
          <w:sz w:val="24"/>
          <w:szCs w:val="24"/>
        </w:rPr>
        <w:t xml:space="preserve">  That projection does not </w:t>
      </w:r>
      <w:r w:rsidR="00860ED7" w:rsidRPr="00106A33">
        <w:rPr>
          <w:rFonts w:ascii="Times New Roman" w:hAnsi="Times New Roman"/>
          <w:sz w:val="24"/>
          <w:szCs w:val="24"/>
        </w:rPr>
        <w:t>reflect PSE’s tax liability for Fredonia since PSE is centra</w:t>
      </w:r>
      <w:r w:rsidR="00960354" w:rsidRPr="00106A33">
        <w:rPr>
          <w:rFonts w:ascii="Times New Roman" w:hAnsi="Times New Roman"/>
          <w:sz w:val="24"/>
          <w:szCs w:val="24"/>
        </w:rPr>
        <w:t>lly assessed and levy rate</w:t>
      </w:r>
      <w:r w:rsidR="004D2CA9">
        <w:rPr>
          <w:rFonts w:ascii="Times New Roman" w:hAnsi="Times New Roman"/>
          <w:sz w:val="24"/>
          <w:szCs w:val="24"/>
        </w:rPr>
        <w:t>s</w:t>
      </w:r>
      <w:r w:rsidR="00960354" w:rsidRPr="00106A33">
        <w:rPr>
          <w:rFonts w:ascii="Times New Roman" w:hAnsi="Times New Roman"/>
          <w:sz w:val="24"/>
          <w:szCs w:val="24"/>
        </w:rPr>
        <w:t xml:space="preserve"> have</w:t>
      </w:r>
      <w:r w:rsidR="00B33905" w:rsidRPr="00106A33">
        <w:rPr>
          <w:rFonts w:ascii="Times New Roman" w:hAnsi="Times New Roman"/>
          <w:sz w:val="24"/>
          <w:szCs w:val="24"/>
        </w:rPr>
        <w:t xml:space="preserve"> not been finalized</w:t>
      </w:r>
      <w:r w:rsidR="00D7570B" w:rsidRPr="00106A33">
        <w:rPr>
          <w:rFonts w:ascii="Times New Roman" w:hAnsi="Times New Roman"/>
          <w:sz w:val="24"/>
          <w:szCs w:val="24"/>
        </w:rPr>
        <w:t>.</w:t>
      </w:r>
      <w:r w:rsidR="00860ED7">
        <w:rPr>
          <w:rStyle w:val="FootnoteReference"/>
          <w:rFonts w:ascii="Times New Roman" w:hAnsi="Times New Roman"/>
          <w:sz w:val="24"/>
          <w:szCs w:val="24"/>
        </w:rPr>
        <w:footnoteReference w:id="207"/>
      </w:r>
      <w:r w:rsidR="00D7570B" w:rsidRPr="00106A33">
        <w:rPr>
          <w:rFonts w:ascii="Times New Roman" w:hAnsi="Times New Roman"/>
          <w:sz w:val="24"/>
          <w:szCs w:val="24"/>
        </w:rPr>
        <w:t xml:space="preserve">  Therefore</w:t>
      </w:r>
      <w:r w:rsidR="00860ED7" w:rsidRPr="00106A33">
        <w:rPr>
          <w:rFonts w:ascii="Times New Roman" w:hAnsi="Times New Roman"/>
          <w:sz w:val="24"/>
          <w:szCs w:val="24"/>
        </w:rPr>
        <w:t xml:space="preserve">, Staff </w:t>
      </w:r>
      <w:r w:rsidR="00296994" w:rsidRPr="00106A33">
        <w:rPr>
          <w:rFonts w:ascii="Times New Roman" w:hAnsi="Times New Roman"/>
          <w:sz w:val="24"/>
          <w:szCs w:val="24"/>
        </w:rPr>
        <w:t xml:space="preserve">has rejected PSE’s adjustment for property taxes </w:t>
      </w:r>
      <w:r w:rsidR="00D7570B" w:rsidRPr="00106A33">
        <w:rPr>
          <w:rFonts w:ascii="Times New Roman" w:hAnsi="Times New Roman"/>
          <w:sz w:val="24"/>
          <w:szCs w:val="24"/>
        </w:rPr>
        <w:t>and</w:t>
      </w:r>
      <w:r w:rsidR="00860ED7" w:rsidRPr="00106A33">
        <w:rPr>
          <w:rFonts w:ascii="Times New Roman" w:hAnsi="Times New Roman"/>
          <w:sz w:val="24"/>
          <w:szCs w:val="24"/>
        </w:rPr>
        <w:t>, instead,</w:t>
      </w:r>
      <w:r w:rsidR="00D7570B" w:rsidRPr="00106A33">
        <w:rPr>
          <w:rFonts w:ascii="Times New Roman" w:hAnsi="Times New Roman"/>
          <w:sz w:val="24"/>
          <w:szCs w:val="24"/>
        </w:rPr>
        <w:t xml:space="preserve"> </w:t>
      </w:r>
      <w:r w:rsidR="00B33905" w:rsidRPr="00106A33">
        <w:rPr>
          <w:rFonts w:ascii="Times New Roman" w:hAnsi="Times New Roman"/>
          <w:sz w:val="24"/>
          <w:szCs w:val="24"/>
        </w:rPr>
        <w:t xml:space="preserve">in Adjustment 10.15, </w:t>
      </w:r>
      <w:r w:rsidR="00D7570B" w:rsidRPr="00106A33">
        <w:rPr>
          <w:rFonts w:ascii="Times New Roman" w:hAnsi="Times New Roman"/>
          <w:sz w:val="24"/>
          <w:szCs w:val="24"/>
        </w:rPr>
        <w:t xml:space="preserve">reflected </w:t>
      </w:r>
      <w:r w:rsidR="00860ED7" w:rsidRPr="00106A33">
        <w:rPr>
          <w:rFonts w:ascii="Times New Roman" w:hAnsi="Times New Roman"/>
          <w:sz w:val="24"/>
          <w:szCs w:val="24"/>
        </w:rPr>
        <w:t>an appropriate amount of tax for all properties</w:t>
      </w:r>
      <w:r w:rsidR="00B33905" w:rsidRPr="00106A33">
        <w:rPr>
          <w:rFonts w:ascii="Times New Roman" w:hAnsi="Times New Roman"/>
          <w:sz w:val="24"/>
          <w:szCs w:val="24"/>
        </w:rPr>
        <w:t xml:space="preserve"> based on the Company’s 2008 actual tax liability</w:t>
      </w:r>
      <w:r w:rsidR="00860ED7" w:rsidRPr="00106A33">
        <w:rPr>
          <w:rFonts w:ascii="Times New Roman" w:hAnsi="Times New Roman"/>
          <w:sz w:val="24"/>
          <w:szCs w:val="24"/>
        </w:rPr>
        <w:t>.</w:t>
      </w:r>
      <w:r w:rsidR="00860ED7">
        <w:rPr>
          <w:rStyle w:val="FootnoteReference"/>
          <w:rFonts w:ascii="Times New Roman" w:hAnsi="Times New Roman"/>
          <w:sz w:val="24"/>
          <w:szCs w:val="24"/>
        </w:rPr>
        <w:footnoteReference w:id="208"/>
      </w:r>
    </w:p>
    <w:p w:rsidR="00F4115E" w:rsidRDefault="007929BD" w:rsidP="00F4115E">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h</w:t>
      </w:r>
      <w:r w:rsidR="004F3D91">
        <w:rPr>
          <w:rFonts w:ascii="Times New Roman" w:hAnsi="Times New Roman"/>
          <w:b/>
          <w:sz w:val="24"/>
        </w:rPr>
        <w:t>.</w:t>
      </w:r>
      <w:r w:rsidR="004F3D91">
        <w:rPr>
          <w:rFonts w:ascii="Times New Roman" w:hAnsi="Times New Roman"/>
          <w:b/>
          <w:sz w:val="24"/>
        </w:rPr>
        <w:tab/>
        <w:t>10.34, Mint Farm Deferred Cost</w:t>
      </w:r>
    </w:p>
    <w:p w:rsidR="00227264" w:rsidRPr="00106A3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C950AB" w:rsidRPr="00106A33">
        <w:rPr>
          <w:rFonts w:ascii="Times New Roman" w:hAnsi="Times New Roman"/>
          <w:sz w:val="24"/>
        </w:rPr>
        <w:t xml:space="preserve">PSE </w:t>
      </w:r>
      <w:r w:rsidR="003E7E09" w:rsidRPr="00106A33">
        <w:rPr>
          <w:rFonts w:ascii="Times New Roman" w:hAnsi="Times New Roman"/>
          <w:sz w:val="24"/>
        </w:rPr>
        <w:t xml:space="preserve">requests approval </w:t>
      </w:r>
      <w:r w:rsidR="00C950AB" w:rsidRPr="00106A33">
        <w:rPr>
          <w:rFonts w:ascii="Times New Roman" w:hAnsi="Times New Roman"/>
          <w:sz w:val="24"/>
        </w:rPr>
        <w:t xml:space="preserve">under RCW 80.80.060(6) </w:t>
      </w:r>
      <w:r w:rsidR="003E7E09" w:rsidRPr="00106A33">
        <w:rPr>
          <w:rFonts w:ascii="Times New Roman" w:hAnsi="Times New Roman"/>
          <w:sz w:val="24"/>
        </w:rPr>
        <w:t xml:space="preserve">to defer the fixed and variable costs of Mint Farm, beginning on the </w:t>
      </w:r>
      <w:r w:rsidR="00262DF2" w:rsidRPr="00106A33">
        <w:rPr>
          <w:rFonts w:ascii="Times New Roman" w:hAnsi="Times New Roman"/>
          <w:sz w:val="24"/>
        </w:rPr>
        <w:t xml:space="preserve">acquisition date </w:t>
      </w:r>
      <w:r w:rsidR="00262DF2">
        <w:rPr>
          <w:rFonts w:ascii="Times New Roman" w:hAnsi="Times New Roman"/>
          <w:sz w:val="24"/>
        </w:rPr>
        <w:t xml:space="preserve">of </w:t>
      </w:r>
      <w:r w:rsidR="003E7E09" w:rsidRPr="00106A33">
        <w:rPr>
          <w:rFonts w:ascii="Times New Roman" w:hAnsi="Times New Roman"/>
          <w:sz w:val="24"/>
        </w:rPr>
        <w:t>December 5, 2008</w:t>
      </w:r>
      <w:r w:rsidR="00262DF2">
        <w:rPr>
          <w:rFonts w:ascii="Times New Roman" w:hAnsi="Times New Roman"/>
          <w:sz w:val="24"/>
        </w:rPr>
        <w:t>,</w:t>
      </w:r>
      <w:r w:rsidR="003E7E09" w:rsidRPr="00106A33">
        <w:rPr>
          <w:rFonts w:ascii="Times New Roman" w:hAnsi="Times New Roman"/>
          <w:sz w:val="24"/>
        </w:rPr>
        <w:t xml:space="preserve"> and ending with the effective date of new rates in this proceeding.  </w:t>
      </w:r>
      <w:r w:rsidR="00205739" w:rsidRPr="00106A33">
        <w:rPr>
          <w:rFonts w:ascii="Times New Roman" w:hAnsi="Times New Roman"/>
          <w:sz w:val="24"/>
        </w:rPr>
        <w:t>T</w:t>
      </w:r>
      <w:r w:rsidR="00CF709C" w:rsidRPr="00106A33">
        <w:rPr>
          <w:rFonts w:ascii="Times New Roman" w:hAnsi="Times New Roman"/>
          <w:sz w:val="24"/>
        </w:rPr>
        <w:t xml:space="preserve">he request </w:t>
      </w:r>
      <w:r w:rsidR="00227264" w:rsidRPr="00106A33">
        <w:rPr>
          <w:rFonts w:ascii="Times New Roman" w:hAnsi="Times New Roman"/>
          <w:sz w:val="24"/>
        </w:rPr>
        <w:t>contains several elements:</w:t>
      </w:r>
    </w:p>
    <w:p w:rsidR="00227264" w:rsidRDefault="009C4420" w:rsidP="00C61B17">
      <w:pPr>
        <w:pStyle w:val="ListParagraph"/>
        <w:numPr>
          <w:ilvl w:val="0"/>
          <w:numId w:val="6"/>
        </w:numPr>
        <w:tabs>
          <w:tab w:val="left" w:pos="-1440"/>
        </w:tabs>
        <w:rPr>
          <w:rFonts w:ascii="Times New Roman" w:hAnsi="Times New Roman"/>
          <w:sz w:val="24"/>
        </w:rPr>
      </w:pPr>
      <w:r>
        <w:rPr>
          <w:rFonts w:ascii="Times New Roman" w:hAnsi="Times New Roman"/>
          <w:sz w:val="24"/>
        </w:rPr>
        <w:t>PSE</w:t>
      </w:r>
      <w:r w:rsidR="003E7E09" w:rsidRPr="00227264">
        <w:rPr>
          <w:rFonts w:ascii="Times New Roman" w:hAnsi="Times New Roman"/>
          <w:sz w:val="24"/>
        </w:rPr>
        <w:t xml:space="preserve"> proposes to suspend operation of the new resource recovery provisions of the PCA, as defined by Exhibit G.</w:t>
      </w:r>
      <w:r w:rsidR="00227264">
        <w:rPr>
          <w:rStyle w:val="FootnoteReference"/>
          <w:rFonts w:ascii="Times New Roman" w:hAnsi="Times New Roman"/>
          <w:sz w:val="24"/>
        </w:rPr>
        <w:footnoteReference w:id="209"/>
      </w:r>
      <w:r w:rsidR="00227264" w:rsidRPr="00227264">
        <w:rPr>
          <w:rFonts w:ascii="Times New Roman" w:hAnsi="Times New Roman"/>
          <w:sz w:val="24"/>
        </w:rPr>
        <w:t xml:space="preserve">  </w:t>
      </w:r>
    </w:p>
    <w:p w:rsidR="009C4420" w:rsidRDefault="009C4420" w:rsidP="009C4420">
      <w:pPr>
        <w:pStyle w:val="ListParagraph"/>
        <w:tabs>
          <w:tab w:val="left" w:pos="-1440"/>
        </w:tabs>
        <w:ind w:left="1440"/>
        <w:rPr>
          <w:rFonts w:ascii="Times New Roman" w:hAnsi="Times New Roman"/>
          <w:sz w:val="24"/>
        </w:rPr>
      </w:pPr>
    </w:p>
    <w:p w:rsidR="00227264" w:rsidRDefault="009C4420" w:rsidP="00C61B17">
      <w:pPr>
        <w:pStyle w:val="ListParagraph"/>
        <w:numPr>
          <w:ilvl w:val="0"/>
          <w:numId w:val="6"/>
        </w:numPr>
        <w:tabs>
          <w:tab w:val="left" w:pos="-1440"/>
        </w:tabs>
        <w:rPr>
          <w:rFonts w:ascii="Times New Roman" w:hAnsi="Times New Roman"/>
          <w:sz w:val="24"/>
        </w:rPr>
      </w:pPr>
      <w:r>
        <w:rPr>
          <w:rFonts w:ascii="Times New Roman" w:hAnsi="Times New Roman"/>
          <w:sz w:val="24"/>
        </w:rPr>
        <w:t xml:space="preserve">PSE </w:t>
      </w:r>
      <w:r w:rsidR="00227264" w:rsidRPr="00227264">
        <w:rPr>
          <w:rFonts w:ascii="Times New Roman" w:hAnsi="Times New Roman"/>
          <w:sz w:val="24"/>
        </w:rPr>
        <w:t>proposes to accrue interest on the deferred amounts at the authorized net of tax rate of return of 7 percent.</w:t>
      </w:r>
      <w:r w:rsidR="00227264">
        <w:rPr>
          <w:rStyle w:val="FootnoteReference"/>
          <w:rFonts w:ascii="Times New Roman" w:hAnsi="Times New Roman"/>
          <w:sz w:val="24"/>
        </w:rPr>
        <w:footnoteReference w:id="210"/>
      </w:r>
      <w:r w:rsidR="00227264">
        <w:rPr>
          <w:rFonts w:ascii="Times New Roman" w:hAnsi="Times New Roman"/>
          <w:sz w:val="24"/>
        </w:rPr>
        <w:t xml:space="preserve">  </w:t>
      </w:r>
    </w:p>
    <w:p w:rsidR="009C4420" w:rsidRPr="009C4420" w:rsidRDefault="009C4420" w:rsidP="009C4420">
      <w:pPr>
        <w:tabs>
          <w:tab w:val="left" w:pos="-1440"/>
        </w:tabs>
        <w:rPr>
          <w:rFonts w:ascii="Times New Roman" w:hAnsi="Times New Roman"/>
          <w:sz w:val="24"/>
        </w:rPr>
      </w:pPr>
    </w:p>
    <w:p w:rsidR="002C4DFC" w:rsidRDefault="009C4420" w:rsidP="00C61B17">
      <w:pPr>
        <w:pStyle w:val="ListParagraph"/>
        <w:numPr>
          <w:ilvl w:val="0"/>
          <w:numId w:val="6"/>
        </w:numPr>
        <w:tabs>
          <w:tab w:val="left" w:pos="-1440"/>
        </w:tabs>
        <w:rPr>
          <w:rFonts w:ascii="Times New Roman" w:hAnsi="Times New Roman"/>
          <w:sz w:val="24"/>
        </w:rPr>
      </w:pPr>
      <w:r>
        <w:rPr>
          <w:rFonts w:ascii="Times New Roman" w:hAnsi="Times New Roman"/>
          <w:sz w:val="24"/>
        </w:rPr>
        <w:lastRenderedPageBreak/>
        <w:t xml:space="preserve">PSE </w:t>
      </w:r>
      <w:r w:rsidR="00227264" w:rsidRPr="00227264">
        <w:rPr>
          <w:rFonts w:ascii="Times New Roman" w:hAnsi="Times New Roman"/>
          <w:sz w:val="24"/>
        </w:rPr>
        <w:t>proposes to amortize the deferre</w:t>
      </w:r>
      <w:r w:rsidR="00530494">
        <w:rPr>
          <w:rFonts w:ascii="Times New Roman" w:hAnsi="Times New Roman"/>
          <w:sz w:val="24"/>
        </w:rPr>
        <w:t>d costs plus interest over ten</w:t>
      </w:r>
      <w:r w:rsidR="00227264" w:rsidRPr="00227264">
        <w:rPr>
          <w:rFonts w:ascii="Times New Roman" w:hAnsi="Times New Roman"/>
          <w:sz w:val="24"/>
        </w:rPr>
        <w:t xml:space="preserve"> yea</w:t>
      </w:r>
      <w:r w:rsidR="00530494">
        <w:rPr>
          <w:rFonts w:ascii="Times New Roman" w:hAnsi="Times New Roman"/>
          <w:sz w:val="24"/>
        </w:rPr>
        <w:t>rs</w:t>
      </w:r>
      <w:r w:rsidR="00227264" w:rsidRPr="00227264">
        <w:rPr>
          <w:rFonts w:ascii="Times New Roman" w:hAnsi="Times New Roman"/>
          <w:sz w:val="24"/>
        </w:rPr>
        <w:t>.</w:t>
      </w:r>
      <w:r w:rsidR="00227264">
        <w:rPr>
          <w:rStyle w:val="FootnoteReference"/>
          <w:rFonts w:ascii="Times New Roman" w:hAnsi="Times New Roman"/>
          <w:sz w:val="24"/>
        </w:rPr>
        <w:footnoteReference w:id="211"/>
      </w:r>
    </w:p>
    <w:p w:rsidR="009C4420" w:rsidRPr="009C4420" w:rsidRDefault="009C4420" w:rsidP="009C4420">
      <w:pPr>
        <w:pStyle w:val="ListParagraph"/>
        <w:rPr>
          <w:rFonts w:ascii="Times New Roman" w:hAnsi="Times New Roman"/>
          <w:sz w:val="24"/>
        </w:rPr>
      </w:pPr>
    </w:p>
    <w:p w:rsidR="009C4420" w:rsidRDefault="009C4420" w:rsidP="00C61B17">
      <w:pPr>
        <w:pStyle w:val="ListParagraph"/>
        <w:numPr>
          <w:ilvl w:val="0"/>
          <w:numId w:val="6"/>
        </w:numPr>
        <w:tabs>
          <w:tab w:val="left" w:pos="-1440"/>
        </w:tabs>
        <w:rPr>
          <w:rFonts w:ascii="Times New Roman" w:hAnsi="Times New Roman"/>
          <w:sz w:val="24"/>
        </w:rPr>
      </w:pPr>
      <w:r>
        <w:rPr>
          <w:rFonts w:ascii="Times New Roman" w:hAnsi="Times New Roman"/>
          <w:sz w:val="24"/>
        </w:rPr>
        <w:t>PSE proposes credits to the deferred variable costs to reflect the estimated cost of market purchases that would be displaced with Mint Farm energy.</w:t>
      </w:r>
      <w:r>
        <w:rPr>
          <w:rStyle w:val="FootnoteReference"/>
          <w:rFonts w:ascii="Times New Roman" w:hAnsi="Times New Roman"/>
          <w:sz w:val="24"/>
        </w:rPr>
        <w:footnoteReference w:id="212"/>
      </w:r>
    </w:p>
    <w:p w:rsidR="009C4420" w:rsidRPr="009C4420" w:rsidRDefault="009C4420" w:rsidP="009C4420">
      <w:pPr>
        <w:pStyle w:val="ListParagraph"/>
        <w:rPr>
          <w:rFonts w:ascii="Times New Roman" w:hAnsi="Times New Roman"/>
          <w:sz w:val="24"/>
        </w:rPr>
      </w:pPr>
    </w:p>
    <w:p w:rsidR="009C4420" w:rsidRDefault="009C4420" w:rsidP="00C61B17">
      <w:pPr>
        <w:pStyle w:val="ListParagraph"/>
        <w:numPr>
          <w:ilvl w:val="0"/>
          <w:numId w:val="6"/>
        </w:numPr>
        <w:tabs>
          <w:tab w:val="left" w:pos="-1440"/>
        </w:tabs>
        <w:rPr>
          <w:rFonts w:ascii="Times New Roman" w:hAnsi="Times New Roman"/>
          <w:sz w:val="24"/>
        </w:rPr>
      </w:pPr>
      <w:r>
        <w:rPr>
          <w:rFonts w:ascii="Times New Roman" w:hAnsi="Times New Roman"/>
          <w:sz w:val="24"/>
        </w:rPr>
        <w:t>PSE proposes that any PCA over-collections during the deferral period be used to offset the remaining deferred variable costs of Mint Farm.</w:t>
      </w:r>
      <w:r>
        <w:rPr>
          <w:rStyle w:val="FootnoteReference"/>
          <w:rFonts w:ascii="Times New Roman" w:hAnsi="Times New Roman"/>
          <w:sz w:val="24"/>
        </w:rPr>
        <w:footnoteReference w:id="213"/>
      </w:r>
      <w:r>
        <w:rPr>
          <w:rFonts w:ascii="Times New Roman" w:hAnsi="Times New Roman"/>
          <w:sz w:val="24"/>
        </w:rPr>
        <w:t xml:space="preserve"> </w:t>
      </w:r>
    </w:p>
    <w:p w:rsidR="00530494" w:rsidRPr="00530494" w:rsidRDefault="00530494" w:rsidP="00530494">
      <w:pPr>
        <w:pStyle w:val="ListParagraph"/>
        <w:rPr>
          <w:rFonts w:ascii="Times New Roman" w:hAnsi="Times New Roman"/>
          <w:sz w:val="24"/>
        </w:rPr>
      </w:pPr>
    </w:p>
    <w:p w:rsidR="00C950AB" w:rsidRPr="00106A3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530494" w:rsidRPr="00106A33">
        <w:rPr>
          <w:rFonts w:ascii="Times New Roman" w:hAnsi="Times New Roman"/>
          <w:sz w:val="24"/>
        </w:rPr>
        <w:t xml:space="preserve">Staff supports the Company’s request to defer Mint Farm costs.  </w:t>
      </w:r>
      <w:r w:rsidR="00C950AB" w:rsidRPr="00106A33">
        <w:rPr>
          <w:rFonts w:ascii="Times New Roman" w:hAnsi="Times New Roman"/>
          <w:sz w:val="24"/>
        </w:rPr>
        <w:t>Staff also supports the credit and offset proposals described in the final two bullets above.</w:t>
      </w:r>
    </w:p>
    <w:p w:rsidR="009C4420" w:rsidRPr="00106A3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530494" w:rsidRPr="00106A33">
        <w:rPr>
          <w:rFonts w:ascii="Times New Roman" w:hAnsi="Times New Roman"/>
          <w:sz w:val="24"/>
        </w:rPr>
        <w:t>However, Staff opposes suspension of Exhibit G and opposes carrying costs on the deferral balance.</w:t>
      </w:r>
      <w:r w:rsidR="00B4280F">
        <w:rPr>
          <w:rStyle w:val="FootnoteReference"/>
          <w:rFonts w:ascii="Times New Roman" w:hAnsi="Times New Roman"/>
          <w:sz w:val="24"/>
        </w:rPr>
        <w:footnoteReference w:id="214"/>
      </w:r>
      <w:r w:rsidR="00530494" w:rsidRPr="00106A33">
        <w:rPr>
          <w:rFonts w:ascii="Times New Roman" w:hAnsi="Times New Roman"/>
          <w:sz w:val="24"/>
        </w:rPr>
        <w:t xml:space="preserve">  Staff also recommends an</w:t>
      </w:r>
      <w:r w:rsidR="00360E72" w:rsidRPr="00106A33">
        <w:rPr>
          <w:rFonts w:ascii="Times New Roman" w:hAnsi="Times New Roman"/>
          <w:sz w:val="24"/>
        </w:rPr>
        <w:t xml:space="preserve"> amortization period of 15 </w:t>
      </w:r>
      <w:r w:rsidR="00530494" w:rsidRPr="00106A33">
        <w:rPr>
          <w:rFonts w:ascii="Times New Roman" w:hAnsi="Times New Roman"/>
          <w:sz w:val="24"/>
        </w:rPr>
        <w:t>years.</w:t>
      </w:r>
      <w:r w:rsidR="00B4280F">
        <w:rPr>
          <w:rStyle w:val="FootnoteReference"/>
          <w:rFonts w:ascii="Times New Roman" w:hAnsi="Times New Roman"/>
          <w:sz w:val="24"/>
        </w:rPr>
        <w:footnoteReference w:id="215"/>
      </w:r>
    </w:p>
    <w:p w:rsidR="009C4420" w:rsidRDefault="00C950AB" w:rsidP="00C61B17">
      <w:pPr>
        <w:pStyle w:val="ListParagraph"/>
        <w:numPr>
          <w:ilvl w:val="0"/>
          <w:numId w:val="7"/>
        </w:numPr>
        <w:tabs>
          <w:tab w:val="left" w:pos="-1440"/>
        </w:tabs>
        <w:rPr>
          <w:rFonts w:ascii="Times New Roman" w:hAnsi="Times New Roman"/>
          <w:b/>
          <w:sz w:val="24"/>
        </w:rPr>
      </w:pPr>
      <w:r>
        <w:rPr>
          <w:rFonts w:ascii="Times New Roman" w:hAnsi="Times New Roman"/>
          <w:b/>
          <w:sz w:val="24"/>
        </w:rPr>
        <w:t>The Commission s</w:t>
      </w:r>
      <w:r w:rsidR="009C4420" w:rsidRPr="004A7173">
        <w:rPr>
          <w:rFonts w:ascii="Times New Roman" w:hAnsi="Times New Roman"/>
          <w:b/>
          <w:sz w:val="24"/>
        </w:rPr>
        <w:t xml:space="preserve">hould </w:t>
      </w:r>
      <w:r>
        <w:rPr>
          <w:rFonts w:ascii="Times New Roman" w:hAnsi="Times New Roman"/>
          <w:b/>
          <w:sz w:val="24"/>
        </w:rPr>
        <w:t>n</w:t>
      </w:r>
      <w:r w:rsidR="009C4420" w:rsidRPr="004A7173">
        <w:rPr>
          <w:rFonts w:ascii="Times New Roman" w:hAnsi="Times New Roman"/>
          <w:b/>
          <w:sz w:val="24"/>
        </w:rPr>
        <w:t xml:space="preserve">ot </w:t>
      </w:r>
      <w:r>
        <w:rPr>
          <w:rFonts w:ascii="Times New Roman" w:hAnsi="Times New Roman"/>
          <w:b/>
          <w:sz w:val="24"/>
        </w:rPr>
        <w:t>s</w:t>
      </w:r>
      <w:r w:rsidR="00023633">
        <w:rPr>
          <w:rFonts w:ascii="Times New Roman" w:hAnsi="Times New Roman"/>
          <w:b/>
          <w:sz w:val="24"/>
        </w:rPr>
        <w:t xml:space="preserve">uspend </w:t>
      </w:r>
      <w:r w:rsidR="004A7173" w:rsidRPr="004A7173">
        <w:rPr>
          <w:rFonts w:ascii="Times New Roman" w:hAnsi="Times New Roman"/>
          <w:b/>
          <w:sz w:val="24"/>
        </w:rPr>
        <w:t>PCA Exhibit G</w:t>
      </w:r>
    </w:p>
    <w:p w:rsidR="008F1C4D" w:rsidRDefault="008F1C4D" w:rsidP="00337772">
      <w:pPr>
        <w:pStyle w:val="BodyTextIndent"/>
        <w:spacing w:after="0"/>
        <w:ind w:left="0"/>
        <w:rPr>
          <w:rFonts w:ascii="Times New Roman" w:hAnsi="Times New Roman"/>
          <w:b/>
          <w:sz w:val="24"/>
        </w:rPr>
      </w:pPr>
    </w:p>
    <w:p w:rsidR="00F87B5A"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tab/>
      </w:r>
      <w:r w:rsidR="003D1157">
        <w:rPr>
          <w:rFonts w:ascii="Times New Roman" w:hAnsi="Times New Roman"/>
          <w:sz w:val="24"/>
          <w:szCs w:val="24"/>
        </w:rPr>
        <w:t xml:space="preserve">PSE </w:t>
      </w:r>
      <w:r w:rsidR="00F87B5A">
        <w:rPr>
          <w:rFonts w:ascii="Times New Roman" w:hAnsi="Times New Roman"/>
          <w:sz w:val="24"/>
          <w:szCs w:val="24"/>
        </w:rPr>
        <w:t>provided no reason why</w:t>
      </w:r>
      <w:r w:rsidR="00337772">
        <w:rPr>
          <w:rFonts w:ascii="Times New Roman" w:hAnsi="Times New Roman"/>
          <w:sz w:val="24"/>
          <w:szCs w:val="24"/>
        </w:rPr>
        <w:t xml:space="preserve"> it could not have filed a Power Cost </w:t>
      </w:r>
      <w:r w:rsidR="003D1157">
        <w:rPr>
          <w:rFonts w:ascii="Times New Roman" w:hAnsi="Times New Roman"/>
          <w:sz w:val="24"/>
          <w:szCs w:val="24"/>
        </w:rPr>
        <w:t>O</w:t>
      </w:r>
      <w:r w:rsidR="00337772">
        <w:rPr>
          <w:rFonts w:ascii="Times New Roman" w:hAnsi="Times New Roman"/>
          <w:sz w:val="24"/>
          <w:szCs w:val="24"/>
        </w:rPr>
        <w:t>nly Rate Case</w:t>
      </w:r>
      <w:r w:rsidR="00C84D5B">
        <w:rPr>
          <w:rFonts w:ascii="Times New Roman" w:hAnsi="Times New Roman"/>
          <w:sz w:val="24"/>
          <w:szCs w:val="24"/>
        </w:rPr>
        <w:t xml:space="preserve"> to recover </w:t>
      </w:r>
      <w:r w:rsidR="00F87B5A">
        <w:rPr>
          <w:rFonts w:ascii="Times New Roman" w:hAnsi="Times New Roman"/>
          <w:sz w:val="24"/>
          <w:szCs w:val="24"/>
        </w:rPr>
        <w:t xml:space="preserve">Mint Farm fixed and variable costs after it decided to acquire the facility.  Instead, it seeks to suspend </w:t>
      </w:r>
      <w:r w:rsidR="00C84D5B">
        <w:rPr>
          <w:rFonts w:ascii="Times New Roman" w:hAnsi="Times New Roman"/>
          <w:sz w:val="24"/>
          <w:szCs w:val="24"/>
        </w:rPr>
        <w:t xml:space="preserve">the </w:t>
      </w:r>
      <w:r w:rsidR="00F87B5A">
        <w:rPr>
          <w:rFonts w:ascii="Times New Roman" w:hAnsi="Times New Roman"/>
          <w:sz w:val="24"/>
          <w:szCs w:val="24"/>
        </w:rPr>
        <w:t xml:space="preserve">operation of Exhibit G of the </w:t>
      </w:r>
      <w:r w:rsidR="003D1157">
        <w:rPr>
          <w:rFonts w:ascii="Times New Roman" w:hAnsi="Times New Roman"/>
          <w:sz w:val="24"/>
          <w:szCs w:val="24"/>
        </w:rPr>
        <w:t>P</w:t>
      </w:r>
      <w:r w:rsidR="00F87B5A">
        <w:rPr>
          <w:rFonts w:ascii="Times New Roman" w:hAnsi="Times New Roman"/>
          <w:sz w:val="24"/>
          <w:szCs w:val="24"/>
        </w:rPr>
        <w:t xml:space="preserve">CA </w:t>
      </w:r>
      <w:r w:rsidR="00AE7718">
        <w:rPr>
          <w:rFonts w:ascii="Times New Roman" w:hAnsi="Times New Roman"/>
          <w:sz w:val="24"/>
          <w:szCs w:val="24"/>
        </w:rPr>
        <w:t xml:space="preserve">to assure that </w:t>
      </w:r>
      <w:r w:rsidR="00F87B5A">
        <w:rPr>
          <w:rFonts w:ascii="Times New Roman" w:hAnsi="Times New Roman"/>
          <w:sz w:val="24"/>
          <w:szCs w:val="24"/>
        </w:rPr>
        <w:t xml:space="preserve">it can recover all variable costs </w:t>
      </w:r>
      <w:r w:rsidR="00AE7718">
        <w:rPr>
          <w:rFonts w:ascii="Times New Roman" w:hAnsi="Times New Roman"/>
          <w:sz w:val="24"/>
          <w:szCs w:val="24"/>
        </w:rPr>
        <w:t>of Mint Farm.</w:t>
      </w:r>
      <w:r w:rsidR="00AE7718">
        <w:rPr>
          <w:rStyle w:val="FootnoteReference"/>
          <w:rFonts w:ascii="Times New Roman" w:hAnsi="Times New Roman"/>
          <w:sz w:val="24"/>
          <w:szCs w:val="24"/>
        </w:rPr>
        <w:footnoteReference w:id="216"/>
      </w:r>
    </w:p>
    <w:p w:rsidR="008F1C4D" w:rsidRPr="008F1C4D" w:rsidRDefault="00106A33" w:rsidP="00106A33">
      <w:pPr>
        <w:pStyle w:val="BodyTextIndent"/>
        <w:numPr>
          <w:ilvl w:val="0"/>
          <w:numId w:val="11"/>
        </w:numPr>
        <w:spacing w:after="0" w:line="480" w:lineRule="auto"/>
        <w:rPr>
          <w:rFonts w:ascii="Times New Roman" w:hAnsi="Times New Roman"/>
          <w:sz w:val="24"/>
          <w:szCs w:val="24"/>
        </w:rPr>
      </w:pPr>
      <w:r>
        <w:rPr>
          <w:rFonts w:ascii="Times New Roman" w:hAnsi="Times New Roman"/>
          <w:sz w:val="24"/>
          <w:szCs w:val="24"/>
        </w:rPr>
        <w:tab/>
      </w:r>
      <w:r w:rsidR="00AE7718">
        <w:rPr>
          <w:rFonts w:ascii="Times New Roman" w:hAnsi="Times New Roman"/>
          <w:sz w:val="24"/>
          <w:szCs w:val="24"/>
        </w:rPr>
        <w:t>PSE’s request should be denied</w:t>
      </w:r>
      <w:r w:rsidR="004A7173" w:rsidRPr="008F1C4D">
        <w:rPr>
          <w:rFonts w:ascii="Times New Roman" w:hAnsi="Times New Roman"/>
          <w:sz w:val="24"/>
          <w:szCs w:val="24"/>
        </w:rPr>
        <w:t>.</w:t>
      </w:r>
      <w:r w:rsidR="009673B9">
        <w:rPr>
          <w:rStyle w:val="FootnoteReference"/>
          <w:rFonts w:ascii="Times New Roman" w:hAnsi="Times New Roman"/>
          <w:sz w:val="24"/>
          <w:szCs w:val="24"/>
        </w:rPr>
        <w:footnoteReference w:id="217"/>
      </w:r>
      <w:r w:rsidR="004A7173" w:rsidRPr="008F1C4D">
        <w:rPr>
          <w:rFonts w:ascii="Times New Roman" w:hAnsi="Times New Roman"/>
          <w:sz w:val="24"/>
          <w:szCs w:val="24"/>
        </w:rPr>
        <w:t xml:space="preserve">  </w:t>
      </w:r>
      <w:r w:rsidR="008F1C4D" w:rsidRPr="008F1C4D">
        <w:rPr>
          <w:rFonts w:ascii="Times New Roman" w:hAnsi="Times New Roman"/>
          <w:sz w:val="24"/>
          <w:szCs w:val="24"/>
        </w:rPr>
        <w:t>Sectio</w:t>
      </w:r>
      <w:r w:rsidR="007000A0">
        <w:rPr>
          <w:rFonts w:ascii="Times New Roman" w:hAnsi="Times New Roman"/>
          <w:sz w:val="24"/>
          <w:szCs w:val="24"/>
        </w:rPr>
        <w:t xml:space="preserve">n 7 of the PCA </w:t>
      </w:r>
      <w:r w:rsidR="00AE7718">
        <w:rPr>
          <w:rFonts w:ascii="Times New Roman" w:hAnsi="Times New Roman"/>
          <w:sz w:val="24"/>
          <w:szCs w:val="24"/>
        </w:rPr>
        <w:t xml:space="preserve">addresses </w:t>
      </w:r>
      <w:r w:rsidR="009673B9">
        <w:rPr>
          <w:rFonts w:ascii="Times New Roman" w:hAnsi="Times New Roman"/>
          <w:sz w:val="24"/>
          <w:szCs w:val="24"/>
        </w:rPr>
        <w:t xml:space="preserve">a long-term resource </w:t>
      </w:r>
      <w:r w:rsidR="00536671">
        <w:rPr>
          <w:rFonts w:ascii="Times New Roman" w:hAnsi="Times New Roman"/>
          <w:sz w:val="24"/>
          <w:szCs w:val="24"/>
        </w:rPr>
        <w:t xml:space="preserve">like Mint Farm </w:t>
      </w:r>
      <w:r w:rsidR="009673B9">
        <w:rPr>
          <w:rFonts w:ascii="Times New Roman" w:hAnsi="Times New Roman"/>
          <w:sz w:val="24"/>
          <w:szCs w:val="24"/>
        </w:rPr>
        <w:t>during the period between its acquisition and its inclusion in rat</w:t>
      </w:r>
      <w:r w:rsidR="00851B04">
        <w:rPr>
          <w:rFonts w:ascii="Times New Roman" w:hAnsi="Times New Roman"/>
          <w:sz w:val="24"/>
          <w:szCs w:val="24"/>
        </w:rPr>
        <w:t xml:space="preserve">es.  It provides that </w:t>
      </w:r>
      <w:r w:rsidR="008F1C4D" w:rsidRPr="008F1C4D">
        <w:rPr>
          <w:rFonts w:ascii="Times New Roman" w:hAnsi="Times New Roman"/>
          <w:sz w:val="24"/>
          <w:szCs w:val="24"/>
        </w:rPr>
        <w:t>resource costs may be included in the PCA:</w:t>
      </w:r>
    </w:p>
    <w:p w:rsidR="00AE7718" w:rsidRDefault="008F1C4D" w:rsidP="00AE7718">
      <w:pPr>
        <w:pStyle w:val="BodyTextIndent"/>
        <w:spacing w:after="0"/>
        <w:ind w:left="720" w:right="648"/>
        <w:rPr>
          <w:rFonts w:ascii="Times New Roman" w:hAnsi="Times New Roman"/>
          <w:sz w:val="24"/>
          <w:szCs w:val="24"/>
        </w:rPr>
      </w:pPr>
      <w:r w:rsidRPr="008F1C4D">
        <w:rPr>
          <w:rFonts w:ascii="Times New Roman" w:hAnsi="Times New Roman"/>
          <w:sz w:val="24"/>
          <w:szCs w:val="24"/>
        </w:rPr>
        <w:t>. . . at the lesser of the actual cost or the a</w:t>
      </w:r>
      <w:r w:rsidR="0016015A">
        <w:rPr>
          <w:rFonts w:ascii="Times New Roman" w:hAnsi="Times New Roman"/>
          <w:sz w:val="24"/>
          <w:szCs w:val="24"/>
        </w:rPr>
        <w:t xml:space="preserve">verage embedded cost in the PCA </w:t>
      </w:r>
      <w:r w:rsidRPr="008F1C4D">
        <w:rPr>
          <w:rFonts w:ascii="Times New Roman" w:hAnsi="Times New Roman"/>
          <w:sz w:val="24"/>
          <w:szCs w:val="24"/>
        </w:rPr>
        <w:t xml:space="preserve">(including transmission into PSE’s Puget Sound system) as a bridge </w:t>
      </w:r>
      <w:r w:rsidRPr="008F1C4D">
        <w:rPr>
          <w:rFonts w:ascii="Times New Roman" w:hAnsi="Times New Roman"/>
          <w:sz w:val="24"/>
          <w:szCs w:val="24"/>
        </w:rPr>
        <w:lastRenderedPageBreak/>
        <w:t>mechanism, until the then future costs of these new resources can be reviewed in a Power Cost Only Rate review.</w:t>
      </w:r>
      <w:r w:rsidRPr="008F1C4D">
        <w:rPr>
          <w:rStyle w:val="FootnoteReference"/>
          <w:rFonts w:ascii="Times New Roman" w:hAnsi="Times New Roman"/>
          <w:sz w:val="24"/>
          <w:szCs w:val="24"/>
        </w:rPr>
        <w:footnoteReference w:id="218"/>
      </w:r>
      <w:r w:rsidRPr="008F1C4D">
        <w:rPr>
          <w:rFonts w:ascii="Times New Roman" w:hAnsi="Times New Roman"/>
          <w:sz w:val="24"/>
          <w:szCs w:val="24"/>
        </w:rPr>
        <w:t xml:space="preserve"> </w:t>
      </w:r>
    </w:p>
    <w:p w:rsidR="008F1C4D" w:rsidRDefault="008F1C4D" w:rsidP="00AE7718">
      <w:pPr>
        <w:pStyle w:val="BodyTextIndent"/>
        <w:spacing w:after="0"/>
        <w:ind w:left="720" w:right="648"/>
        <w:rPr>
          <w:rFonts w:ascii="Times New Roman" w:hAnsi="Times New Roman"/>
          <w:sz w:val="24"/>
          <w:szCs w:val="24"/>
        </w:rPr>
      </w:pPr>
      <w:r w:rsidRPr="008F1C4D">
        <w:rPr>
          <w:rFonts w:ascii="Times New Roman" w:hAnsi="Times New Roman"/>
          <w:sz w:val="24"/>
          <w:szCs w:val="24"/>
        </w:rPr>
        <w:tab/>
      </w:r>
    </w:p>
    <w:p w:rsidR="00536671" w:rsidRDefault="00337772" w:rsidP="00536671">
      <w:pPr>
        <w:pStyle w:val="BodyTextIndent"/>
        <w:spacing w:after="0" w:line="480" w:lineRule="auto"/>
        <w:ind w:left="0" w:right="648"/>
        <w:rPr>
          <w:rFonts w:ascii="Times New Roman" w:hAnsi="Times New Roman"/>
          <w:sz w:val="24"/>
          <w:szCs w:val="24"/>
        </w:rPr>
      </w:pPr>
      <w:r>
        <w:rPr>
          <w:rFonts w:ascii="Times New Roman" w:hAnsi="Times New Roman"/>
          <w:sz w:val="24"/>
          <w:szCs w:val="24"/>
        </w:rPr>
        <w:t>Exhibit G implements this provision by comparing</w:t>
      </w:r>
      <w:r w:rsidR="008F1C4D" w:rsidRPr="008F1C4D">
        <w:rPr>
          <w:rFonts w:ascii="Times New Roman" w:hAnsi="Times New Roman"/>
          <w:sz w:val="24"/>
          <w:szCs w:val="24"/>
        </w:rPr>
        <w:t xml:space="preserve"> </w:t>
      </w:r>
      <w:r w:rsidR="00C84D5B">
        <w:rPr>
          <w:rFonts w:ascii="Times New Roman" w:hAnsi="Times New Roman"/>
          <w:sz w:val="24"/>
          <w:szCs w:val="24"/>
        </w:rPr>
        <w:t>the actual variable costs of a</w:t>
      </w:r>
      <w:r w:rsidR="008F1C4D" w:rsidRPr="008F1C4D">
        <w:rPr>
          <w:rFonts w:ascii="Times New Roman" w:hAnsi="Times New Roman"/>
          <w:sz w:val="24"/>
          <w:szCs w:val="24"/>
        </w:rPr>
        <w:t xml:space="preserve"> new resource with the baseline Power Cost Rate</w:t>
      </w:r>
      <w:r w:rsidR="00536671">
        <w:rPr>
          <w:rFonts w:ascii="Times New Roman" w:hAnsi="Times New Roman"/>
          <w:sz w:val="24"/>
          <w:szCs w:val="24"/>
        </w:rPr>
        <w:t>,</w:t>
      </w:r>
      <w:r w:rsidR="008F1C4D" w:rsidRPr="008F1C4D">
        <w:rPr>
          <w:rFonts w:ascii="Times New Roman" w:hAnsi="Times New Roman"/>
          <w:sz w:val="24"/>
          <w:szCs w:val="24"/>
        </w:rPr>
        <w:t xml:space="preserve"> and de</w:t>
      </w:r>
      <w:r>
        <w:rPr>
          <w:rFonts w:ascii="Times New Roman" w:hAnsi="Times New Roman"/>
          <w:sz w:val="24"/>
          <w:szCs w:val="24"/>
        </w:rPr>
        <w:t>termining</w:t>
      </w:r>
      <w:r w:rsidR="00536671">
        <w:rPr>
          <w:rFonts w:ascii="Times New Roman" w:hAnsi="Times New Roman"/>
          <w:sz w:val="24"/>
          <w:szCs w:val="24"/>
        </w:rPr>
        <w:t xml:space="preserve"> whether a price</w:t>
      </w:r>
      <w:r w:rsidR="008F1C4D" w:rsidRPr="008F1C4D">
        <w:rPr>
          <w:rFonts w:ascii="Times New Roman" w:hAnsi="Times New Roman"/>
          <w:sz w:val="24"/>
          <w:szCs w:val="24"/>
        </w:rPr>
        <w:t xml:space="preserve"> adjustment is warranted.</w:t>
      </w:r>
      <w:r w:rsidR="00B8473B">
        <w:rPr>
          <w:rFonts w:ascii="Times New Roman" w:hAnsi="Times New Roman"/>
          <w:sz w:val="24"/>
          <w:szCs w:val="24"/>
        </w:rPr>
        <w:t xml:space="preserve">  Variable costs that exceed </w:t>
      </w:r>
      <w:r w:rsidR="00372936">
        <w:rPr>
          <w:rFonts w:ascii="Times New Roman" w:hAnsi="Times New Roman"/>
          <w:sz w:val="24"/>
          <w:szCs w:val="24"/>
        </w:rPr>
        <w:t>the baseline rate are excluded from that determination</w:t>
      </w:r>
      <w:r w:rsidR="009A3DB1">
        <w:rPr>
          <w:rFonts w:ascii="Times New Roman" w:hAnsi="Times New Roman"/>
          <w:sz w:val="24"/>
          <w:szCs w:val="24"/>
        </w:rPr>
        <w:t>.</w:t>
      </w:r>
      <w:r w:rsidR="007000A0">
        <w:rPr>
          <w:rStyle w:val="FootnoteReference"/>
          <w:rFonts w:ascii="Times New Roman" w:hAnsi="Times New Roman"/>
          <w:sz w:val="24"/>
          <w:szCs w:val="24"/>
        </w:rPr>
        <w:footnoteReference w:id="219"/>
      </w:r>
      <w:r w:rsidR="008F1C4D">
        <w:rPr>
          <w:rFonts w:ascii="Times New Roman" w:hAnsi="Times New Roman"/>
          <w:sz w:val="24"/>
          <w:szCs w:val="24"/>
        </w:rPr>
        <w:t xml:space="preserve">  </w:t>
      </w:r>
    </w:p>
    <w:p w:rsidR="004A7173"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tab/>
      </w:r>
      <w:r w:rsidR="00536671">
        <w:rPr>
          <w:rFonts w:ascii="Times New Roman" w:hAnsi="Times New Roman"/>
          <w:sz w:val="24"/>
          <w:szCs w:val="24"/>
        </w:rPr>
        <w:t>Thus, Exhibit G is a vital component of</w:t>
      </w:r>
      <w:r w:rsidR="00536671" w:rsidRPr="008F1C4D">
        <w:rPr>
          <w:rFonts w:ascii="Times New Roman" w:hAnsi="Times New Roman"/>
          <w:sz w:val="24"/>
          <w:szCs w:val="24"/>
        </w:rPr>
        <w:t xml:space="preserve"> a </w:t>
      </w:r>
      <w:r w:rsidR="00536671">
        <w:rPr>
          <w:rFonts w:ascii="Times New Roman" w:hAnsi="Times New Roman"/>
          <w:sz w:val="24"/>
          <w:szCs w:val="24"/>
        </w:rPr>
        <w:t>complex</w:t>
      </w:r>
      <w:r w:rsidR="00536671" w:rsidRPr="008F1C4D">
        <w:rPr>
          <w:rFonts w:ascii="Times New Roman" w:hAnsi="Times New Roman"/>
          <w:sz w:val="24"/>
          <w:szCs w:val="24"/>
        </w:rPr>
        <w:t xml:space="preserve"> mechanism designed </w:t>
      </w:r>
      <w:r w:rsidR="00851B04">
        <w:rPr>
          <w:rFonts w:ascii="Times New Roman" w:hAnsi="Times New Roman"/>
          <w:sz w:val="24"/>
          <w:szCs w:val="24"/>
        </w:rPr>
        <w:t>specifically</w:t>
      </w:r>
      <w:r w:rsidR="00851B04" w:rsidRPr="008F1C4D">
        <w:rPr>
          <w:rFonts w:ascii="Times New Roman" w:hAnsi="Times New Roman"/>
          <w:sz w:val="24"/>
          <w:szCs w:val="24"/>
        </w:rPr>
        <w:t xml:space="preserve"> </w:t>
      </w:r>
      <w:r w:rsidR="00536671" w:rsidRPr="008F1C4D">
        <w:rPr>
          <w:rFonts w:ascii="Times New Roman" w:hAnsi="Times New Roman"/>
          <w:sz w:val="24"/>
          <w:szCs w:val="24"/>
        </w:rPr>
        <w:t>to ad</w:t>
      </w:r>
      <w:r w:rsidR="00536671">
        <w:rPr>
          <w:rFonts w:ascii="Times New Roman" w:hAnsi="Times New Roman"/>
          <w:sz w:val="24"/>
          <w:szCs w:val="24"/>
        </w:rPr>
        <w:t xml:space="preserve">dress the recovery </w:t>
      </w:r>
      <w:r w:rsidR="00536671" w:rsidRPr="008F1C4D">
        <w:rPr>
          <w:rFonts w:ascii="Times New Roman" w:hAnsi="Times New Roman"/>
          <w:sz w:val="24"/>
          <w:szCs w:val="24"/>
        </w:rPr>
        <w:t xml:space="preserve">of </w:t>
      </w:r>
      <w:r w:rsidR="00536671">
        <w:rPr>
          <w:rFonts w:ascii="Times New Roman" w:hAnsi="Times New Roman"/>
          <w:sz w:val="24"/>
          <w:szCs w:val="24"/>
        </w:rPr>
        <w:t xml:space="preserve">long-term </w:t>
      </w:r>
      <w:r w:rsidR="002003CD">
        <w:rPr>
          <w:rFonts w:ascii="Times New Roman" w:hAnsi="Times New Roman"/>
          <w:sz w:val="24"/>
          <w:szCs w:val="24"/>
        </w:rPr>
        <w:t>resource acquisition</w:t>
      </w:r>
      <w:r w:rsidR="0087452C">
        <w:rPr>
          <w:rFonts w:ascii="Times New Roman" w:hAnsi="Times New Roman"/>
          <w:sz w:val="24"/>
          <w:szCs w:val="24"/>
        </w:rPr>
        <w:t>s</w:t>
      </w:r>
      <w:r w:rsidR="00536671" w:rsidRPr="008F1C4D">
        <w:rPr>
          <w:rFonts w:ascii="Times New Roman" w:hAnsi="Times New Roman"/>
          <w:sz w:val="24"/>
          <w:szCs w:val="24"/>
        </w:rPr>
        <w:t xml:space="preserve">.  </w:t>
      </w:r>
      <w:r w:rsidR="007000A0">
        <w:rPr>
          <w:rFonts w:ascii="Times New Roman" w:hAnsi="Times New Roman"/>
          <w:sz w:val="24"/>
          <w:szCs w:val="24"/>
        </w:rPr>
        <w:t>PSE’s req</w:t>
      </w:r>
      <w:r w:rsidR="009A3DB1">
        <w:rPr>
          <w:rFonts w:ascii="Times New Roman" w:hAnsi="Times New Roman"/>
          <w:sz w:val="24"/>
          <w:szCs w:val="24"/>
        </w:rPr>
        <w:t xml:space="preserve">uest to suspend </w:t>
      </w:r>
      <w:r w:rsidR="008F1C4D">
        <w:rPr>
          <w:rFonts w:ascii="Times New Roman" w:hAnsi="Times New Roman"/>
          <w:sz w:val="24"/>
          <w:szCs w:val="24"/>
        </w:rPr>
        <w:t xml:space="preserve">Exhibit </w:t>
      </w:r>
      <w:r w:rsidR="007000A0">
        <w:rPr>
          <w:rFonts w:ascii="Times New Roman" w:hAnsi="Times New Roman"/>
          <w:sz w:val="24"/>
          <w:szCs w:val="24"/>
        </w:rPr>
        <w:t xml:space="preserve">G </w:t>
      </w:r>
      <w:r w:rsidR="00851B04">
        <w:rPr>
          <w:rFonts w:ascii="Times New Roman" w:hAnsi="Times New Roman"/>
          <w:sz w:val="24"/>
          <w:szCs w:val="24"/>
        </w:rPr>
        <w:t xml:space="preserve">for Mint Farm </w:t>
      </w:r>
      <w:r w:rsidR="007000A0">
        <w:rPr>
          <w:rFonts w:ascii="Times New Roman" w:hAnsi="Times New Roman"/>
          <w:sz w:val="24"/>
          <w:szCs w:val="24"/>
        </w:rPr>
        <w:t>circumvents</w:t>
      </w:r>
      <w:r w:rsidR="0016015A">
        <w:rPr>
          <w:rFonts w:ascii="Times New Roman" w:hAnsi="Times New Roman"/>
          <w:sz w:val="24"/>
          <w:szCs w:val="24"/>
        </w:rPr>
        <w:t xml:space="preserve"> the operation of this </w:t>
      </w:r>
      <w:r w:rsidR="0087452C">
        <w:rPr>
          <w:rFonts w:ascii="Times New Roman" w:hAnsi="Times New Roman"/>
          <w:sz w:val="24"/>
          <w:szCs w:val="24"/>
        </w:rPr>
        <w:t>mechanism</w:t>
      </w:r>
      <w:r w:rsidR="009673B9">
        <w:rPr>
          <w:rFonts w:ascii="Times New Roman" w:hAnsi="Times New Roman"/>
          <w:sz w:val="24"/>
          <w:szCs w:val="24"/>
        </w:rPr>
        <w:t>.</w:t>
      </w:r>
    </w:p>
    <w:p w:rsidR="00536671"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tab/>
      </w:r>
      <w:r w:rsidR="0087452C">
        <w:rPr>
          <w:rFonts w:ascii="Times New Roman" w:hAnsi="Times New Roman"/>
          <w:sz w:val="24"/>
          <w:szCs w:val="24"/>
        </w:rPr>
        <w:t>The Company states that RCW 80.80.060(6) establishes a public policy that justifies</w:t>
      </w:r>
      <w:r w:rsidR="00CF709C">
        <w:rPr>
          <w:rFonts w:ascii="Times New Roman" w:hAnsi="Times New Roman"/>
          <w:sz w:val="24"/>
          <w:szCs w:val="24"/>
        </w:rPr>
        <w:t xml:space="preserve"> its proposal to suspend Exhibit G</w:t>
      </w:r>
      <w:r w:rsidR="0087452C">
        <w:rPr>
          <w:rFonts w:ascii="Times New Roman" w:hAnsi="Times New Roman"/>
          <w:sz w:val="24"/>
          <w:szCs w:val="24"/>
        </w:rPr>
        <w:t xml:space="preserve"> for Mint Farm</w:t>
      </w:r>
      <w:r w:rsidR="00CF709C">
        <w:rPr>
          <w:rFonts w:ascii="Times New Roman" w:hAnsi="Times New Roman"/>
          <w:sz w:val="24"/>
          <w:szCs w:val="24"/>
        </w:rPr>
        <w:t>.</w:t>
      </w:r>
      <w:r w:rsidR="00CF709C">
        <w:rPr>
          <w:rStyle w:val="FootnoteReference"/>
          <w:rFonts w:ascii="Times New Roman" w:hAnsi="Times New Roman"/>
          <w:sz w:val="24"/>
          <w:szCs w:val="24"/>
        </w:rPr>
        <w:footnoteReference w:id="220"/>
      </w:r>
      <w:r w:rsidR="00CF709C">
        <w:rPr>
          <w:rFonts w:ascii="Times New Roman" w:hAnsi="Times New Roman"/>
          <w:sz w:val="24"/>
          <w:szCs w:val="24"/>
        </w:rPr>
        <w:t xml:space="preserve">  However, nothing in that statute restricts the </w:t>
      </w:r>
      <w:r w:rsidR="00DC08AA">
        <w:rPr>
          <w:rFonts w:ascii="Times New Roman" w:hAnsi="Times New Roman"/>
          <w:sz w:val="24"/>
          <w:szCs w:val="24"/>
        </w:rPr>
        <w:t xml:space="preserve">current operation of the PCA.  </w:t>
      </w:r>
      <w:r w:rsidR="00C84D5B">
        <w:rPr>
          <w:rFonts w:ascii="Times New Roman" w:hAnsi="Times New Roman"/>
          <w:sz w:val="24"/>
          <w:szCs w:val="24"/>
        </w:rPr>
        <w:t>In fact, t</w:t>
      </w:r>
      <w:r w:rsidR="00372936">
        <w:rPr>
          <w:rFonts w:ascii="Times New Roman" w:hAnsi="Times New Roman"/>
          <w:sz w:val="24"/>
          <w:szCs w:val="24"/>
        </w:rPr>
        <w:t xml:space="preserve">he </w:t>
      </w:r>
      <w:r w:rsidR="00C950AB">
        <w:rPr>
          <w:rFonts w:ascii="Times New Roman" w:hAnsi="Times New Roman"/>
          <w:sz w:val="24"/>
          <w:szCs w:val="24"/>
        </w:rPr>
        <w:t xml:space="preserve">Commission has affirmed recently </w:t>
      </w:r>
      <w:r w:rsidR="00960354">
        <w:rPr>
          <w:rFonts w:ascii="Times New Roman" w:hAnsi="Times New Roman"/>
          <w:sz w:val="24"/>
          <w:szCs w:val="24"/>
        </w:rPr>
        <w:t xml:space="preserve">that </w:t>
      </w:r>
      <w:r w:rsidR="00C950AB">
        <w:rPr>
          <w:rFonts w:ascii="Times New Roman" w:hAnsi="Times New Roman"/>
          <w:sz w:val="24"/>
          <w:szCs w:val="24"/>
        </w:rPr>
        <w:t>th</w:t>
      </w:r>
      <w:r w:rsidR="00960354">
        <w:rPr>
          <w:rFonts w:ascii="Times New Roman" w:hAnsi="Times New Roman"/>
          <w:sz w:val="24"/>
          <w:szCs w:val="24"/>
        </w:rPr>
        <w:t>e current operation of the PCA i</w:t>
      </w:r>
      <w:r w:rsidR="00372936">
        <w:rPr>
          <w:rFonts w:ascii="Times New Roman" w:hAnsi="Times New Roman"/>
          <w:sz w:val="24"/>
          <w:szCs w:val="24"/>
        </w:rPr>
        <w:t>s</w:t>
      </w:r>
      <w:r w:rsidR="00205739">
        <w:rPr>
          <w:rFonts w:ascii="Times New Roman" w:hAnsi="Times New Roman"/>
          <w:sz w:val="24"/>
          <w:szCs w:val="24"/>
        </w:rPr>
        <w:t xml:space="preserve"> a reasonable </w:t>
      </w:r>
      <w:r w:rsidR="00536671">
        <w:rPr>
          <w:rFonts w:ascii="Times New Roman" w:hAnsi="Times New Roman"/>
          <w:sz w:val="24"/>
          <w:szCs w:val="24"/>
        </w:rPr>
        <w:t>mechanism to recover the costs of new power resources.</w:t>
      </w:r>
      <w:r w:rsidR="00536671">
        <w:rPr>
          <w:rStyle w:val="FootnoteReference"/>
          <w:rFonts w:ascii="Times New Roman" w:hAnsi="Times New Roman"/>
          <w:sz w:val="24"/>
          <w:szCs w:val="24"/>
        </w:rPr>
        <w:footnoteReference w:id="221"/>
      </w:r>
      <w:r w:rsidR="00205739">
        <w:rPr>
          <w:rFonts w:ascii="Times New Roman" w:hAnsi="Times New Roman"/>
          <w:sz w:val="24"/>
          <w:szCs w:val="24"/>
        </w:rPr>
        <w:t xml:space="preserve">  </w:t>
      </w:r>
    </w:p>
    <w:p w:rsidR="00E2796E" w:rsidRDefault="00E2796E" w:rsidP="00C61B17">
      <w:pPr>
        <w:pStyle w:val="BodyTextIndent"/>
        <w:numPr>
          <w:ilvl w:val="0"/>
          <w:numId w:val="7"/>
        </w:numPr>
        <w:spacing w:after="0"/>
        <w:ind w:right="648"/>
        <w:rPr>
          <w:rFonts w:ascii="Times New Roman" w:hAnsi="Times New Roman"/>
          <w:b/>
          <w:sz w:val="24"/>
          <w:szCs w:val="24"/>
        </w:rPr>
      </w:pPr>
      <w:r>
        <w:rPr>
          <w:rFonts w:ascii="Times New Roman" w:hAnsi="Times New Roman"/>
          <w:b/>
          <w:sz w:val="24"/>
          <w:szCs w:val="24"/>
        </w:rPr>
        <w:t>The Commission should not authorize carrying costs on Mint Farm d</w:t>
      </w:r>
      <w:r w:rsidRPr="00E2796E">
        <w:rPr>
          <w:rFonts w:ascii="Times New Roman" w:hAnsi="Times New Roman"/>
          <w:b/>
          <w:sz w:val="24"/>
          <w:szCs w:val="24"/>
        </w:rPr>
        <w:t>eferrals</w:t>
      </w:r>
    </w:p>
    <w:p w:rsidR="00794052" w:rsidRDefault="00794052" w:rsidP="00794052">
      <w:pPr>
        <w:pStyle w:val="BodyTextIndent"/>
        <w:spacing w:after="0"/>
        <w:ind w:left="2880" w:right="648"/>
        <w:rPr>
          <w:rFonts w:ascii="Times New Roman" w:hAnsi="Times New Roman"/>
          <w:b/>
          <w:sz w:val="24"/>
          <w:szCs w:val="24"/>
        </w:rPr>
      </w:pPr>
    </w:p>
    <w:p w:rsidR="009E1D34"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tab/>
      </w:r>
      <w:r w:rsidR="0019640E">
        <w:rPr>
          <w:rFonts w:ascii="Times New Roman" w:hAnsi="Times New Roman"/>
          <w:sz w:val="24"/>
          <w:szCs w:val="24"/>
        </w:rPr>
        <w:t xml:space="preserve">There are several reasons to deny carrying costs on </w:t>
      </w:r>
      <w:r w:rsidR="009E1D34">
        <w:rPr>
          <w:rFonts w:ascii="Times New Roman" w:hAnsi="Times New Roman"/>
          <w:sz w:val="24"/>
          <w:szCs w:val="24"/>
        </w:rPr>
        <w:t xml:space="preserve">Mint Farm </w:t>
      </w:r>
      <w:r w:rsidR="0019640E">
        <w:rPr>
          <w:rFonts w:ascii="Times New Roman" w:hAnsi="Times New Roman"/>
          <w:sz w:val="24"/>
          <w:szCs w:val="24"/>
        </w:rPr>
        <w:t xml:space="preserve">deferred cost balances.  </w:t>
      </w:r>
      <w:r w:rsidR="009E1D34">
        <w:rPr>
          <w:rFonts w:ascii="Times New Roman" w:hAnsi="Times New Roman"/>
          <w:sz w:val="24"/>
          <w:szCs w:val="24"/>
        </w:rPr>
        <w:t>Some of these reasons are found in RCW 80.</w:t>
      </w:r>
      <w:r w:rsidR="0087452C">
        <w:rPr>
          <w:rFonts w:ascii="Times New Roman" w:hAnsi="Times New Roman"/>
          <w:sz w:val="24"/>
          <w:szCs w:val="24"/>
        </w:rPr>
        <w:t>80.060(6) itself</w:t>
      </w:r>
      <w:r w:rsidR="009E1D34">
        <w:rPr>
          <w:rFonts w:ascii="Times New Roman" w:hAnsi="Times New Roman"/>
          <w:sz w:val="24"/>
          <w:szCs w:val="24"/>
        </w:rPr>
        <w:t>.</w:t>
      </w:r>
    </w:p>
    <w:p w:rsidR="00794052"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tab/>
      </w:r>
      <w:r w:rsidR="000A4974">
        <w:rPr>
          <w:rFonts w:ascii="Times New Roman" w:hAnsi="Times New Roman"/>
          <w:sz w:val="24"/>
          <w:szCs w:val="24"/>
        </w:rPr>
        <w:t xml:space="preserve">First, PSE seeks </w:t>
      </w:r>
      <w:r w:rsidR="009E1D34">
        <w:rPr>
          <w:rFonts w:ascii="Times New Roman" w:hAnsi="Times New Roman"/>
          <w:sz w:val="24"/>
          <w:szCs w:val="24"/>
        </w:rPr>
        <w:t>carrying costs</w:t>
      </w:r>
      <w:r w:rsidR="0019640E">
        <w:rPr>
          <w:rFonts w:ascii="Times New Roman" w:hAnsi="Times New Roman"/>
          <w:sz w:val="24"/>
          <w:szCs w:val="24"/>
        </w:rPr>
        <w:t xml:space="preserve"> </w:t>
      </w:r>
      <w:r w:rsidR="009E1D34">
        <w:rPr>
          <w:rFonts w:ascii="Times New Roman" w:hAnsi="Times New Roman"/>
          <w:sz w:val="24"/>
          <w:szCs w:val="24"/>
        </w:rPr>
        <w:t>on the theory that recovery will be in the future and interes</w:t>
      </w:r>
      <w:r w:rsidR="000A4974">
        <w:rPr>
          <w:rFonts w:ascii="Times New Roman" w:hAnsi="Times New Roman"/>
          <w:sz w:val="24"/>
          <w:szCs w:val="24"/>
        </w:rPr>
        <w:t xml:space="preserve">t will </w:t>
      </w:r>
      <w:r w:rsidR="009E1D34">
        <w:rPr>
          <w:rFonts w:ascii="Times New Roman" w:hAnsi="Times New Roman"/>
          <w:sz w:val="24"/>
          <w:szCs w:val="24"/>
        </w:rPr>
        <w:t>make the Company whole.</w:t>
      </w:r>
      <w:r w:rsidR="009E1D34">
        <w:rPr>
          <w:rStyle w:val="FootnoteReference"/>
          <w:rFonts w:ascii="Times New Roman" w:hAnsi="Times New Roman"/>
          <w:sz w:val="24"/>
          <w:szCs w:val="24"/>
        </w:rPr>
        <w:footnoteReference w:id="222"/>
      </w:r>
      <w:r w:rsidR="0019640E">
        <w:rPr>
          <w:rFonts w:ascii="Times New Roman" w:hAnsi="Times New Roman"/>
          <w:sz w:val="24"/>
          <w:szCs w:val="24"/>
        </w:rPr>
        <w:t xml:space="preserve"> </w:t>
      </w:r>
      <w:r w:rsidR="009E1D34">
        <w:rPr>
          <w:rFonts w:ascii="Times New Roman" w:hAnsi="Times New Roman"/>
          <w:sz w:val="24"/>
          <w:szCs w:val="24"/>
        </w:rPr>
        <w:t xml:space="preserve"> </w:t>
      </w:r>
      <w:r w:rsidR="0087452C">
        <w:rPr>
          <w:rFonts w:ascii="Times New Roman" w:hAnsi="Times New Roman"/>
          <w:sz w:val="24"/>
          <w:szCs w:val="24"/>
        </w:rPr>
        <w:t xml:space="preserve">However, </w:t>
      </w:r>
      <w:r w:rsidR="000A4974">
        <w:rPr>
          <w:rFonts w:ascii="Times New Roman" w:hAnsi="Times New Roman"/>
          <w:sz w:val="24"/>
          <w:szCs w:val="24"/>
        </w:rPr>
        <w:t>RCW 80.80.0</w:t>
      </w:r>
      <w:r w:rsidR="00346686">
        <w:rPr>
          <w:rFonts w:ascii="Times New Roman" w:hAnsi="Times New Roman"/>
          <w:sz w:val="24"/>
          <w:szCs w:val="24"/>
        </w:rPr>
        <w:t xml:space="preserve">60(6) deprives PSE of the protection it seeks from regulatory lag.  The statute states expressly that </w:t>
      </w:r>
      <w:r w:rsidR="009E1D34">
        <w:rPr>
          <w:rFonts w:ascii="Times New Roman" w:hAnsi="Times New Roman"/>
          <w:sz w:val="24"/>
          <w:szCs w:val="24"/>
        </w:rPr>
        <w:lastRenderedPageBreak/>
        <w:t xml:space="preserve">the creation of a deferral account </w:t>
      </w:r>
      <w:r w:rsidR="00C75172">
        <w:rPr>
          <w:rFonts w:ascii="Times New Roman" w:hAnsi="Times New Roman"/>
          <w:sz w:val="24"/>
          <w:szCs w:val="24"/>
        </w:rPr>
        <w:t>“</w:t>
      </w:r>
      <w:r w:rsidR="009E1D34">
        <w:rPr>
          <w:rFonts w:ascii="Times New Roman" w:hAnsi="Times New Roman"/>
          <w:sz w:val="24"/>
          <w:szCs w:val="24"/>
        </w:rPr>
        <w:t>does not by itself determine actual costs</w:t>
      </w:r>
      <w:r w:rsidR="00C75172">
        <w:rPr>
          <w:rFonts w:ascii="Times New Roman" w:hAnsi="Times New Roman"/>
          <w:sz w:val="24"/>
          <w:szCs w:val="24"/>
        </w:rPr>
        <w:t xml:space="preserve"> of the [resource addition]</w:t>
      </w:r>
      <w:r w:rsidR="009E1D34">
        <w:rPr>
          <w:rFonts w:ascii="Times New Roman" w:hAnsi="Times New Roman"/>
          <w:sz w:val="24"/>
          <w:szCs w:val="24"/>
        </w:rPr>
        <w:t>, whether recovery of costs is appropriate, or any other issues decided by the Commission in a general rate case.</w:t>
      </w:r>
      <w:r w:rsidR="00C75172">
        <w:rPr>
          <w:rFonts w:ascii="Times New Roman" w:hAnsi="Times New Roman"/>
          <w:sz w:val="24"/>
          <w:szCs w:val="24"/>
        </w:rPr>
        <w:t>”</w:t>
      </w:r>
      <w:r w:rsidR="00346686">
        <w:rPr>
          <w:rFonts w:ascii="Times New Roman" w:hAnsi="Times New Roman"/>
          <w:sz w:val="24"/>
          <w:szCs w:val="24"/>
        </w:rPr>
        <w:t xml:space="preserve">  </w:t>
      </w:r>
    </w:p>
    <w:p w:rsidR="00C75172"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tab/>
      </w:r>
      <w:r w:rsidR="00C75172">
        <w:rPr>
          <w:rFonts w:ascii="Times New Roman" w:hAnsi="Times New Roman"/>
          <w:sz w:val="24"/>
          <w:szCs w:val="24"/>
        </w:rPr>
        <w:t>Se</w:t>
      </w:r>
      <w:r w:rsidR="00BD5584">
        <w:rPr>
          <w:rFonts w:ascii="Times New Roman" w:hAnsi="Times New Roman"/>
          <w:sz w:val="24"/>
          <w:szCs w:val="24"/>
        </w:rPr>
        <w:t xml:space="preserve">cond, RCW 80.80.060(6) limits the length of time deferrals can accumulate:  </w:t>
      </w:r>
      <w:r w:rsidR="00C75172">
        <w:rPr>
          <w:rFonts w:ascii="Times New Roman" w:hAnsi="Times New Roman"/>
          <w:sz w:val="24"/>
          <w:szCs w:val="24"/>
        </w:rPr>
        <w:t>th</w:t>
      </w:r>
      <w:r w:rsidR="009639BA">
        <w:rPr>
          <w:rFonts w:ascii="Times New Roman" w:hAnsi="Times New Roman"/>
          <w:sz w:val="24"/>
          <w:szCs w:val="24"/>
        </w:rPr>
        <w:t xml:space="preserve">e deferral begins when </w:t>
      </w:r>
      <w:r w:rsidR="00C75172">
        <w:rPr>
          <w:rFonts w:ascii="Times New Roman" w:hAnsi="Times New Roman"/>
          <w:sz w:val="24"/>
          <w:szCs w:val="24"/>
        </w:rPr>
        <w:t>a power plant begins commercial operation</w:t>
      </w:r>
      <w:r w:rsidR="00BD5584">
        <w:rPr>
          <w:rFonts w:ascii="Times New Roman" w:hAnsi="Times New Roman"/>
          <w:sz w:val="24"/>
          <w:szCs w:val="24"/>
        </w:rPr>
        <w:t xml:space="preserve"> and continues for no more than 24 months or until a Commission order in a rate case, if a rate case is filed during the 24-m</w:t>
      </w:r>
      <w:r w:rsidR="000A4974">
        <w:rPr>
          <w:rFonts w:ascii="Times New Roman" w:hAnsi="Times New Roman"/>
          <w:sz w:val="24"/>
          <w:szCs w:val="24"/>
        </w:rPr>
        <w:t xml:space="preserve">onth period.  Since PSE </w:t>
      </w:r>
      <w:r w:rsidR="00BD5584">
        <w:rPr>
          <w:rFonts w:ascii="Times New Roman" w:hAnsi="Times New Roman"/>
          <w:sz w:val="24"/>
          <w:szCs w:val="24"/>
        </w:rPr>
        <w:t>controls when it files a rate case, the statute</w:t>
      </w:r>
      <w:r w:rsidR="000A4974">
        <w:rPr>
          <w:rFonts w:ascii="Times New Roman" w:hAnsi="Times New Roman"/>
          <w:sz w:val="24"/>
          <w:szCs w:val="24"/>
        </w:rPr>
        <w:t xml:space="preserve"> effectively allows PSE </w:t>
      </w:r>
      <w:r w:rsidR="00BD5584">
        <w:rPr>
          <w:rFonts w:ascii="Times New Roman" w:hAnsi="Times New Roman"/>
          <w:sz w:val="24"/>
          <w:szCs w:val="24"/>
        </w:rPr>
        <w:t xml:space="preserve">to control how soon cost deferrals will be recovered.  </w:t>
      </w:r>
      <w:r w:rsidR="000A4974">
        <w:rPr>
          <w:rFonts w:ascii="Times New Roman" w:hAnsi="Times New Roman"/>
          <w:sz w:val="24"/>
          <w:szCs w:val="24"/>
        </w:rPr>
        <w:t xml:space="preserve">Allowing PSE to </w:t>
      </w:r>
      <w:r w:rsidR="009639BA">
        <w:rPr>
          <w:rFonts w:ascii="Times New Roman" w:hAnsi="Times New Roman"/>
          <w:sz w:val="24"/>
          <w:szCs w:val="24"/>
        </w:rPr>
        <w:t xml:space="preserve">add </w:t>
      </w:r>
      <w:r w:rsidR="00A57F57">
        <w:rPr>
          <w:rFonts w:ascii="Times New Roman" w:hAnsi="Times New Roman"/>
          <w:sz w:val="24"/>
          <w:szCs w:val="24"/>
        </w:rPr>
        <w:t>carrying</w:t>
      </w:r>
      <w:r w:rsidR="000A4974">
        <w:rPr>
          <w:rFonts w:ascii="Times New Roman" w:hAnsi="Times New Roman"/>
          <w:sz w:val="24"/>
          <w:szCs w:val="24"/>
        </w:rPr>
        <w:t xml:space="preserve"> costs is an a</w:t>
      </w:r>
      <w:r w:rsidR="009639BA">
        <w:rPr>
          <w:rFonts w:ascii="Times New Roman" w:hAnsi="Times New Roman"/>
          <w:sz w:val="24"/>
          <w:szCs w:val="24"/>
        </w:rPr>
        <w:t>dditional, unwarranted</w:t>
      </w:r>
      <w:r w:rsidR="000A4974">
        <w:rPr>
          <w:rFonts w:ascii="Times New Roman" w:hAnsi="Times New Roman"/>
          <w:sz w:val="24"/>
          <w:szCs w:val="24"/>
        </w:rPr>
        <w:t xml:space="preserve"> </w:t>
      </w:r>
      <w:r w:rsidR="00346686">
        <w:rPr>
          <w:rFonts w:ascii="Times New Roman" w:hAnsi="Times New Roman"/>
          <w:sz w:val="24"/>
          <w:szCs w:val="24"/>
        </w:rPr>
        <w:t>advantage</w:t>
      </w:r>
      <w:r w:rsidR="00A57F57">
        <w:rPr>
          <w:rFonts w:ascii="Times New Roman" w:hAnsi="Times New Roman"/>
          <w:sz w:val="24"/>
          <w:szCs w:val="24"/>
        </w:rPr>
        <w:t>.</w:t>
      </w:r>
    </w:p>
    <w:p w:rsidR="00A57F57" w:rsidRPr="0019640E"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tab/>
      </w:r>
      <w:r w:rsidR="00A57F57">
        <w:rPr>
          <w:rFonts w:ascii="Times New Roman" w:hAnsi="Times New Roman"/>
          <w:sz w:val="24"/>
          <w:szCs w:val="24"/>
        </w:rPr>
        <w:t xml:space="preserve">Third, </w:t>
      </w:r>
      <w:r w:rsidR="00262DF2">
        <w:rPr>
          <w:rFonts w:ascii="Times New Roman" w:hAnsi="Times New Roman"/>
          <w:sz w:val="24"/>
          <w:szCs w:val="24"/>
        </w:rPr>
        <w:t xml:space="preserve">in the PCA, </w:t>
      </w:r>
      <w:r w:rsidR="00A57F57">
        <w:rPr>
          <w:rFonts w:ascii="Times New Roman" w:hAnsi="Times New Roman"/>
          <w:sz w:val="24"/>
          <w:szCs w:val="24"/>
        </w:rPr>
        <w:t>a portion of Mint Farm fixed costs is return on net rate base consisting of plant balance, accumulated depreciation, and deferred income tax.  Therefore, if carrying costs are allowed,</w:t>
      </w:r>
      <w:r w:rsidR="00346686">
        <w:rPr>
          <w:rFonts w:ascii="Times New Roman" w:hAnsi="Times New Roman"/>
          <w:sz w:val="24"/>
          <w:szCs w:val="24"/>
        </w:rPr>
        <w:t xml:space="preserve"> the total return on </w:t>
      </w:r>
      <w:r w:rsidR="00A57F57">
        <w:rPr>
          <w:rFonts w:ascii="Times New Roman" w:hAnsi="Times New Roman"/>
          <w:sz w:val="24"/>
          <w:szCs w:val="24"/>
        </w:rPr>
        <w:t>investment will exceed the 7</w:t>
      </w:r>
      <w:r w:rsidR="00346686">
        <w:rPr>
          <w:rFonts w:ascii="Times New Roman" w:hAnsi="Times New Roman"/>
          <w:sz w:val="24"/>
          <w:szCs w:val="24"/>
        </w:rPr>
        <w:t xml:space="preserve"> </w:t>
      </w:r>
      <w:r w:rsidR="00A57F57">
        <w:rPr>
          <w:rFonts w:ascii="Times New Roman" w:hAnsi="Times New Roman"/>
          <w:sz w:val="24"/>
          <w:szCs w:val="24"/>
        </w:rPr>
        <w:t>percent net of tax retu</w:t>
      </w:r>
      <w:r w:rsidR="000A4974">
        <w:rPr>
          <w:rFonts w:ascii="Times New Roman" w:hAnsi="Times New Roman"/>
          <w:sz w:val="24"/>
          <w:szCs w:val="24"/>
        </w:rPr>
        <w:t xml:space="preserve">rn authorized </w:t>
      </w:r>
      <w:r w:rsidR="00A57F57">
        <w:rPr>
          <w:rFonts w:ascii="Times New Roman" w:hAnsi="Times New Roman"/>
          <w:sz w:val="24"/>
          <w:szCs w:val="24"/>
        </w:rPr>
        <w:t>in the las</w:t>
      </w:r>
      <w:r w:rsidR="00346686">
        <w:rPr>
          <w:rFonts w:ascii="Times New Roman" w:hAnsi="Times New Roman"/>
          <w:sz w:val="24"/>
          <w:szCs w:val="24"/>
        </w:rPr>
        <w:t xml:space="preserve">t rate case.  This results in </w:t>
      </w:r>
      <w:r w:rsidR="00A57F57">
        <w:rPr>
          <w:rFonts w:ascii="Times New Roman" w:hAnsi="Times New Roman"/>
          <w:sz w:val="24"/>
          <w:szCs w:val="24"/>
        </w:rPr>
        <w:t>double recovery that violates the Commission’s prior determination of a fair rate of return.</w:t>
      </w:r>
      <w:r w:rsidR="00A57F57">
        <w:rPr>
          <w:rStyle w:val="FootnoteReference"/>
          <w:rFonts w:ascii="Times New Roman" w:hAnsi="Times New Roman"/>
          <w:sz w:val="24"/>
          <w:szCs w:val="24"/>
        </w:rPr>
        <w:footnoteReference w:id="223"/>
      </w:r>
    </w:p>
    <w:p w:rsidR="00E2796E" w:rsidRPr="000A4974"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tab/>
      </w:r>
      <w:r w:rsidR="000A4974">
        <w:rPr>
          <w:rFonts w:ascii="Times New Roman" w:hAnsi="Times New Roman"/>
          <w:sz w:val="24"/>
          <w:szCs w:val="24"/>
        </w:rPr>
        <w:t>Finally, ratemaking includes in rate ba</w:t>
      </w:r>
      <w:r w:rsidR="00346686">
        <w:rPr>
          <w:rFonts w:ascii="Times New Roman" w:hAnsi="Times New Roman"/>
          <w:sz w:val="24"/>
          <w:szCs w:val="24"/>
        </w:rPr>
        <w:t>se</w:t>
      </w:r>
      <w:r w:rsidR="000A4974">
        <w:rPr>
          <w:rFonts w:ascii="Times New Roman" w:hAnsi="Times New Roman"/>
          <w:sz w:val="24"/>
          <w:szCs w:val="24"/>
        </w:rPr>
        <w:t xml:space="preserve"> an allowance for investor-supplied working capital.  This allowance, upon which PSE earns a return, provides the Company with funds to pay its current obligations while awaiting payment from customers.  Since a return on those funds is already embedded in rates, no further allowance for carrying cos</w:t>
      </w:r>
      <w:r w:rsidR="009639BA">
        <w:rPr>
          <w:rFonts w:ascii="Times New Roman" w:hAnsi="Times New Roman"/>
          <w:sz w:val="24"/>
          <w:szCs w:val="24"/>
        </w:rPr>
        <w:t>ts is necessary</w:t>
      </w:r>
      <w:r w:rsidR="000A4974">
        <w:rPr>
          <w:rFonts w:ascii="Times New Roman" w:hAnsi="Times New Roman"/>
          <w:sz w:val="24"/>
          <w:szCs w:val="24"/>
        </w:rPr>
        <w:t>.</w:t>
      </w:r>
    </w:p>
    <w:p w:rsidR="00E2796E" w:rsidRDefault="00E2796E" w:rsidP="00C61B17">
      <w:pPr>
        <w:pStyle w:val="BodyTextIndent"/>
        <w:numPr>
          <w:ilvl w:val="0"/>
          <w:numId w:val="7"/>
        </w:numPr>
        <w:spacing w:after="0"/>
        <w:ind w:right="648"/>
        <w:rPr>
          <w:rFonts w:ascii="Times New Roman" w:hAnsi="Times New Roman"/>
          <w:b/>
          <w:sz w:val="24"/>
          <w:szCs w:val="24"/>
        </w:rPr>
      </w:pPr>
      <w:r>
        <w:rPr>
          <w:rFonts w:ascii="Times New Roman" w:hAnsi="Times New Roman"/>
          <w:b/>
          <w:sz w:val="24"/>
          <w:szCs w:val="24"/>
        </w:rPr>
        <w:t>The Commis</w:t>
      </w:r>
      <w:r w:rsidR="009639BA">
        <w:rPr>
          <w:rFonts w:ascii="Times New Roman" w:hAnsi="Times New Roman"/>
          <w:b/>
          <w:sz w:val="24"/>
          <w:szCs w:val="24"/>
        </w:rPr>
        <w:t>sion should authorize a 15-</w:t>
      </w:r>
      <w:r w:rsidR="00023633">
        <w:rPr>
          <w:rFonts w:ascii="Times New Roman" w:hAnsi="Times New Roman"/>
          <w:b/>
          <w:sz w:val="24"/>
          <w:szCs w:val="24"/>
        </w:rPr>
        <w:t xml:space="preserve">year amortization of </w:t>
      </w:r>
      <w:r>
        <w:rPr>
          <w:rFonts w:ascii="Times New Roman" w:hAnsi="Times New Roman"/>
          <w:b/>
          <w:sz w:val="24"/>
          <w:szCs w:val="24"/>
        </w:rPr>
        <w:t xml:space="preserve">Mint Farm </w:t>
      </w:r>
      <w:r w:rsidR="009639BA">
        <w:rPr>
          <w:rFonts w:ascii="Times New Roman" w:hAnsi="Times New Roman"/>
          <w:b/>
          <w:sz w:val="24"/>
          <w:szCs w:val="24"/>
        </w:rPr>
        <w:t xml:space="preserve">deferred </w:t>
      </w:r>
      <w:r>
        <w:rPr>
          <w:rFonts w:ascii="Times New Roman" w:hAnsi="Times New Roman"/>
          <w:b/>
          <w:sz w:val="24"/>
          <w:szCs w:val="24"/>
        </w:rPr>
        <w:t>costs</w:t>
      </w:r>
    </w:p>
    <w:p w:rsidR="00E2796E" w:rsidRDefault="00E2796E" w:rsidP="00E2796E">
      <w:pPr>
        <w:pStyle w:val="ListParagraph"/>
        <w:rPr>
          <w:rFonts w:ascii="Times New Roman" w:hAnsi="Times New Roman"/>
          <w:b/>
          <w:sz w:val="24"/>
          <w:szCs w:val="24"/>
        </w:rPr>
      </w:pPr>
    </w:p>
    <w:p w:rsidR="00E2796E"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tab/>
      </w:r>
      <w:r w:rsidR="003F2EE3">
        <w:rPr>
          <w:rFonts w:ascii="Times New Roman" w:hAnsi="Times New Roman"/>
          <w:sz w:val="24"/>
          <w:szCs w:val="24"/>
        </w:rPr>
        <w:t>Staff proposes a 15</w:t>
      </w:r>
      <w:r w:rsidR="00E2796E">
        <w:rPr>
          <w:rFonts w:ascii="Times New Roman" w:hAnsi="Times New Roman"/>
          <w:sz w:val="24"/>
          <w:szCs w:val="24"/>
        </w:rPr>
        <w:t>-year amortization peri</w:t>
      </w:r>
      <w:r w:rsidR="00B4280F">
        <w:rPr>
          <w:rFonts w:ascii="Times New Roman" w:hAnsi="Times New Roman"/>
          <w:sz w:val="24"/>
          <w:szCs w:val="24"/>
        </w:rPr>
        <w:t>od for Mint Farm deferred costs.  This compares to the</w:t>
      </w:r>
      <w:r w:rsidR="003F2EE3">
        <w:rPr>
          <w:rFonts w:ascii="Times New Roman" w:hAnsi="Times New Roman"/>
          <w:sz w:val="24"/>
          <w:szCs w:val="24"/>
        </w:rPr>
        <w:t xml:space="preserve"> 10</w:t>
      </w:r>
      <w:r w:rsidR="00E2796E">
        <w:rPr>
          <w:rFonts w:ascii="Times New Roman" w:hAnsi="Times New Roman"/>
          <w:sz w:val="24"/>
          <w:szCs w:val="24"/>
        </w:rPr>
        <w:t xml:space="preserve">-year period proposed by PSE.  </w:t>
      </w:r>
    </w:p>
    <w:p w:rsidR="00B4280F" w:rsidRPr="00E2796E" w:rsidRDefault="00106A33" w:rsidP="00106A33">
      <w:pPr>
        <w:pStyle w:val="BodyTextIndent"/>
        <w:numPr>
          <w:ilvl w:val="0"/>
          <w:numId w:val="11"/>
        </w:numPr>
        <w:spacing w:after="0" w:line="480" w:lineRule="auto"/>
        <w:ind w:right="648"/>
        <w:rPr>
          <w:rFonts w:ascii="Times New Roman" w:hAnsi="Times New Roman"/>
          <w:sz w:val="24"/>
          <w:szCs w:val="24"/>
        </w:rPr>
      </w:pPr>
      <w:r>
        <w:rPr>
          <w:rFonts w:ascii="Times New Roman" w:hAnsi="Times New Roman"/>
          <w:sz w:val="24"/>
          <w:szCs w:val="24"/>
        </w:rPr>
        <w:lastRenderedPageBreak/>
        <w:tab/>
      </w:r>
      <w:r w:rsidR="001A58B5">
        <w:rPr>
          <w:rFonts w:ascii="Times New Roman" w:hAnsi="Times New Roman"/>
          <w:sz w:val="24"/>
          <w:szCs w:val="24"/>
        </w:rPr>
        <w:t>Staff</w:t>
      </w:r>
      <w:r w:rsidR="00372936">
        <w:rPr>
          <w:rFonts w:ascii="Times New Roman" w:hAnsi="Times New Roman"/>
          <w:sz w:val="24"/>
          <w:szCs w:val="24"/>
        </w:rPr>
        <w:t>’s recommendation</w:t>
      </w:r>
      <w:r w:rsidR="001A58B5">
        <w:rPr>
          <w:rFonts w:ascii="Times New Roman" w:hAnsi="Times New Roman"/>
          <w:sz w:val="24"/>
          <w:szCs w:val="24"/>
        </w:rPr>
        <w:t xml:space="preserve"> sho</w:t>
      </w:r>
      <w:r w:rsidR="003F2EE3">
        <w:rPr>
          <w:rFonts w:ascii="Times New Roman" w:hAnsi="Times New Roman"/>
          <w:sz w:val="24"/>
          <w:szCs w:val="24"/>
        </w:rPr>
        <w:t>uld be adopted</w:t>
      </w:r>
      <w:r w:rsidR="001A58B5">
        <w:rPr>
          <w:rFonts w:ascii="Times New Roman" w:hAnsi="Times New Roman"/>
          <w:sz w:val="24"/>
          <w:szCs w:val="24"/>
        </w:rPr>
        <w:t>.  The magnitude of the Mint Farm deferred costs is approximat</w:t>
      </w:r>
      <w:r w:rsidR="00372936">
        <w:rPr>
          <w:rFonts w:ascii="Times New Roman" w:hAnsi="Times New Roman"/>
          <w:sz w:val="24"/>
          <w:szCs w:val="24"/>
        </w:rPr>
        <w:t xml:space="preserve">ely five times greater than </w:t>
      </w:r>
      <w:r w:rsidR="001A58B5">
        <w:rPr>
          <w:rFonts w:ascii="Times New Roman" w:hAnsi="Times New Roman"/>
          <w:sz w:val="24"/>
          <w:szCs w:val="24"/>
        </w:rPr>
        <w:t>Goldendale deferred costs, whic</w:t>
      </w:r>
      <w:r w:rsidR="00794052">
        <w:rPr>
          <w:rFonts w:ascii="Times New Roman" w:hAnsi="Times New Roman"/>
          <w:sz w:val="24"/>
          <w:szCs w:val="24"/>
        </w:rPr>
        <w:t>h were</w:t>
      </w:r>
      <w:r w:rsidR="00372936">
        <w:rPr>
          <w:rFonts w:ascii="Times New Roman" w:hAnsi="Times New Roman"/>
          <w:sz w:val="24"/>
          <w:szCs w:val="24"/>
        </w:rPr>
        <w:t xml:space="preserve"> </w:t>
      </w:r>
      <w:r w:rsidR="003F2EE3">
        <w:rPr>
          <w:rFonts w:ascii="Times New Roman" w:hAnsi="Times New Roman"/>
          <w:sz w:val="24"/>
          <w:szCs w:val="24"/>
        </w:rPr>
        <w:t>amortized over 3</w:t>
      </w:r>
      <w:r w:rsidR="001A58B5">
        <w:rPr>
          <w:rFonts w:ascii="Times New Roman" w:hAnsi="Times New Roman"/>
          <w:sz w:val="24"/>
          <w:szCs w:val="24"/>
        </w:rPr>
        <w:t xml:space="preserve"> years.  Therefore, it is reasonable to amortize Mint Farm deferred costs over </w:t>
      </w:r>
      <w:r w:rsidR="003F2EE3">
        <w:rPr>
          <w:rFonts w:ascii="Times New Roman" w:hAnsi="Times New Roman"/>
          <w:sz w:val="24"/>
          <w:szCs w:val="24"/>
        </w:rPr>
        <w:t>15</w:t>
      </w:r>
      <w:r w:rsidR="001A58B5">
        <w:rPr>
          <w:rFonts w:ascii="Times New Roman" w:hAnsi="Times New Roman"/>
          <w:sz w:val="24"/>
          <w:szCs w:val="24"/>
        </w:rPr>
        <w:t xml:space="preserve"> years in order to mitigate the impact on rates.</w:t>
      </w:r>
      <w:r w:rsidR="001A58B5">
        <w:rPr>
          <w:rStyle w:val="FootnoteReference"/>
          <w:rFonts w:ascii="Times New Roman" w:hAnsi="Times New Roman"/>
          <w:sz w:val="24"/>
          <w:szCs w:val="24"/>
        </w:rPr>
        <w:footnoteReference w:id="224"/>
      </w:r>
    </w:p>
    <w:p w:rsidR="009C4420" w:rsidRPr="00227264" w:rsidRDefault="00106A33" w:rsidP="00106A33">
      <w:pPr>
        <w:pStyle w:val="BodyTextIndent"/>
        <w:numPr>
          <w:ilvl w:val="0"/>
          <w:numId w:val="11"/>
        </w:numPr>
        <w:spacing w:after="0" w:line="480" w:lineRule="auto"/>
        <w:ind w:right="648"/>
        <w:rPr>
          <w:rFonts w:ascii="Times New Roman" w:hAnsi="Times New Roman"/>
          <w:sz w:val="24"/>
        </w:rPr>
      </w:pPr>
      <w:r>
        <w:rPr>
          <w:rFonts w:ascii="Times New Roman" w:hAnsi="Times New Roman"/>
          <w:sz w:val="24"/>
          <w:szCs w:val="24"/>
        </w:rPr>
        <w:tab/>
      </w:r>
      <w:r w:rsidR="001A58B5">
        <w:rPr>
          <w:rFonts w:ascii="Times New Roman" w:hAnsi="Times New Roman"/>
          <w:sz w:val="24"/>
          <w:szCs w:val="24"/>
        </w:rPr>
        <w:t>Mint Farm h</w:t>
      </w:r>
      <w:r w:rsidR="00023633">
        <w:rPr>
          <w:rFonts w:ascii="Times New Roman" w:hAnsi="Times New Roman"/>
          <w:sz w:val="24"/>
          <w:szCs w:val="24"/>
        </w:rPr>
        <w:t xml:space="preserve">as a remaining life of 25-30 </w:t>
      </w:r>
      <w:r w:rsidR="001A58B5">
        <w:rPr>
          <w:rFonts w:ascii="Times New Roman" w:hAnsi="Times New Roman"/>
          <w:sz w:val="24"/>
          <w:szCs w:val="24"/>
        </w:rPr>
        <w:t>years.</w:t>
      </w:r>
      <w:r w:rsidR="00794052">
        <w:rPr>
          <w:rStyle w:val="FootnoteReference"/>
          <w:rFonts w:ascii="Times New Roman" w:hAnsi="Times New Roman"/>
          <w:sz w:val="24"/>
          <w:szCs w:val="24"/>
        </w:rPr>
        <w:footnoteReference w:id="225"/>
      </w:r>
      <w:r w:rsidR="001A58B5">
        <w:rPr>
          <w:rFonts w:ascii="Times New Roman" w:hAnsi="Times New Roman"/>
          <w:sz w:val="24"/>
          <w:szCs w:val="24"/>
        </w:rPr>
        <w:t xml:space="preserve">  Therefore, it would be reasonable to amortize the deferre</w:t>
      </w:r>
      <w:r w:rsidR="00372936">
        <w:rPr>
          <w:rFonts w:ascii="Times New Roman" w:hAnsi="Times New Roman"/>
          <w:sz w:val="24"/>
          <w:szCs w:val="24"/>
        </w:rPr>
        <w:t xml:space="preserve">d costs over that period </w:t>
      </w:r>
      <w:r w:rsidR="001A58B5">
        <w:rPr>
          <w:rFonts w:ascii="Times New Roman" w:hAnsi="Times New Roman"/>
          <w:sz w:val="24"/>
          <w:szCs w:val="24"/>
        </w:rPr>
        <w:t>in order t</w:t>
      </w:r>
      <w:r w:rsidR="00A60FA9">
        <w:rPr>
          <w:rFonts w:ascii="Times New Roman" w:hAnsi="Times New Roman"/>
          <w:sz w:val="24"/>
          <w:szCs w:val="24"/>
        </w:rPr>
        <w:t xml:space="preserve">o match the depreciation of </w:t>
      </w:r>
      <w:r w:rsidR="001A58B5">
        <w:rPr>
          <w:rFonts w:ascii="Times New Roman" w:hAnsi="Times New Roman"/>
          <w:sz w:val="24"/>
          <w:szCs w:val="24"/>
        </w:rPr>
        <w:t>plant cost</w:t>
      </w:r>
      <w:r w:rsidR="00A60FA9">
        <w:rPr>
          <w:rFonts w:ascii="Times New Roman" w:hAnsi="Times New Roman"/>
          <w:sz w:val="24"/>
          <w:szCs w:val="24"/>
        </w:rPr>
        <w:t>s</w:t>
      </w:r>
      <w:r w:rsidR="001A58B5">
        <w:rPr>
          <w:rFonts w:ascii="Times New Roman" w:hAnsi="Times New Roman"/>
          <w:sz w:val="24"/>
          <w:szCs w:val="24"/>
        </w:rPr>
        <w:t>.  Staff’s proposal to shorten that period to 15 years accelerates recovery in the Company’s favor.</w:t>
      </w:r>
    </w:p>
    <w:p w:rsidR="004F3D91" w:rsidRDefault="007929BD" w:rsidP="00F4115E">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i</w:t>
      </w:r>
      <w:r w:rsidR="004F3D91">
        <w:rPr>
          <w:rFonts w:ascii="Times New Roman" w:hAnsi="Times New Roman"/>
          <w:b/>
          <w:sz w:val="24"/>
        </w:rPr>
        <w:t>.</w:t>
      </w:r>
      <w:r w:rsidR="004F3D91">
        <w:rPr>
          <w:rFonts w:ascii="Times New Roman" w:hAnsi="Times New Roman"/>
          <w:b/>
          <w:sz w:val="24"/>
        </w:rPr>
        <w:tab/>
        <w:t>10.38, Wild Horse Deferred Cost</w:t>
      </w:r>
    </w:p>
    <w:p w:rsidR="004F3D91" w:rsidRPr="00106A3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A60FA9" w:rsidRPr="00106A33">
        <w:rPr>
          <w:rFonts w:ascii="Times New Roman" w:hAnsi="Times New Roman"/>
          <w:sz w:val="24"/>
        </w:rPr>
        <w:t xml:space="preserve">This adjustment amortizes </w:t>
      </w:r>
      <w:r w:rsidR="00AB0AB0" w:rsidRPr="00106A33">
        <w:rPr>
          <w:rFonts w:ascii="Times New Roman" w:hAnsi="Times New Roman"/>
          <w:sz w:val="24"/>
        </w:rPr>
        <w:t>deferred c</w:t>
      </w:r>
      <w:r w:rsidR="00346686" w:rsidRPr="00106A33">
        <w:rPr>
          <w:rFonts w:ascii="Times New Roman" w:hAnsi="Times New Roman"/>
          <w:sz w:val="24"/>
        </w:rPr>
        <w:t xml:space="preserve">osts associated with the </w:t>
      </w:r>
      <w:r w:rsidR="00AB0AB0" w:rsidRPr="00106A33">
        <w:rPr>
          <w:rFonts w:ascii="Times New Roman" w:hAnsi="Times New Roman"/>
          <w:sz w:val="24"/>
        </w:rPr>
        <w:t xml:space="preserve">expansion of the Wild Horse Generating Facility.  On October 27, 2009, PSE filed with the Commission a notice of intent to </w:t>
      </w:r>
      <w:r w:rsidR="00794052" w:rsidRPr="00106A33">
        <w:rPr>
          <w:rFonts w:ascii="Times New Roman" w:hAnsi="Times New Roman"/>
          <w:sz w:val="24"/>
        </w:rPr>
        <w:t>defer</w:t>
      </w:r>
      <w:r w:rsidR="00AB0AB0" w:rsidRPr="00106A33">
        <w:rPr>
          <w:rFonts w:ascii="Times New Roman" w:hAnsi="Times New Roman"/>
          <w:sz w:val="24"/>
        </w:rPr>
        <w:t>, as permitted by RCW 80.80.060(6).  Deferrals began on November 9, 2009, the same day</w:t>
      </w:r>
      <w:r w:rsidR="00794052" w:rsidRPr="00106A33">
        <w:rPr>
          <w:rFonts w:ascii="Times New Roman" w:hAnsi="Times New Roman"/>
          <w:sz w:val="24"/>
        </w:rPr>
        <w:t xml:space="preserve"> </w:t>
      </w:r>
      <w:r w:rsidR="00940776" w:rsidRPr="00106A33">
        <w:rPr>
          <w:rFonts w:ascii="Times New Roman" w:hAnsi="Times New Roman"/>
          <w:sz w:val="24"/>
        </w:rPr>
        <w:t>the expansion became operational.</w:t>
      </w:r>
      <w:r w:rsidR="00F416DE">
        <w:rPr>
          <w:rStyle w:val="FootnoteReference"/>
          <w:rFonts w:ascii="Times New Roman" w:hAnsi="Times New Roman"/>
          <w:sz w:val="24"/>
        </w:rPr>
        <w:footnoteReference w:id="226"/>
      </w:r>
    </w:p>
    <w:p w:rsidR="00940776" w:rsidRPr="00106A3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9639BA" w:rsidRPr="00106A33">
        <w:rPr>
          <w:rFonts w:ascii="Times New Roman" w:hAnsi="Times New Roman"/>
          <w:sz w:val="24"/>
        </w:rPr>
        <w:t xml:space="preserve">Staff and PSE </w:t>
      </w:r>
      <w:r w:rsidR="00CF0ECA" w:rsidRPr="00106A33">
        <w:rPr>
          <w:rFonts w:ascii="Times New Roman" w:hAnsi="Times New Roman"/>
          <w:sz w:val="24"/>
        </w:rPr>
        <w:t xml:space="preserve">use </w:t>
      </w:r>
      <w:r w:rsidR="00F416DE" w:rsidRPr="00106A33">
        <w:rPr>
          <w:rFonts w:ascii="Times New Roman" w:hAnsi="Times New Roman"/>
          <w:sz w:val="24"/>
        </w:rPr>
        <w:t>a 24-month amortization period for the deferred costs.  For the same reasons</w:t>
      </w:r>
      <w:r w:rsidR="009639BA" w:rsidRPr="00106A33">
        <w:rPr>
          <w:rFonts w:ascii="Times New Roman" w:hAnsi="Times New Roman"/>
          <w:sz w:val="24"/>
        </w:rPr>
        <w:t xml:space="preserve"> stated above for Mint Farm</w:t>
      </w:r>
      <w:r w:rsidR="00F416DE" w:rsidRPr="00106A33">
        <w:rPr>
          <w:rFonts w:ascii="Times New Roman" w:hAnsi="Times New Roman"/>
          <w:sz w:val="24"/>
        </w:rPr>
        <w:t xml:space="preserve">, Staff’s adjustment excludes carrying costs and </w:t>
      </w:r>
      <w:r w:rsidR="00FC595D" w:rsidRPr="00106A33">
        <w:rPr>
          <w:rFonts w:ascii="Times New Roman" w:hAnsi="Times New Roman"/>
          <w:sz w:val="24"/>
        </w:rPr>
        <w:t>includes the</w:t>
      </w:r>
      <w:r w:rsidR="00F416DE" w:rsidRPr="00106A33">
        <w:rPr>
          <w:rFonts w:ascii="Times New Roman" w:hAnsi="Times New Roman"/>
          <w:sz w:val="24"/>
        </w:rPr>
        <w:t xml:space="preserve"> deferred </w:t>
      </w:r>
      <w:r w:rsidR="00FC595D" w:rsidRPr="00106A33">
        <w:rPr>
          <w:rFonts w:ascii="Times New Roman" w:hAnsi="Times New Roman"/>
          <w:sz w:val="24"/>
        </w:rPr>
        <w:t xml:space="preserve">variable costs net of </w:t>
      </w:r>
      <w:r w:rsidR="00A60FA9" w:rsidRPr="00106A33">
        <w:rPr>
          <w:rFonts w:ascii="Times New Roman" w:hAnsi="Times New Roman"/>
          <w:sz w:val="24"/>
        </w:rPr>
        <w:t xml:space="preserve">the </w:t>
      </w:r>
      <w:r w:rsidR="00FC595D" w:rsidRPr="00106A33">
        <w:rPr>
          <w:rFonts w:ascii="Times New Roman" w:hAnsi="Times New Roman"/>
          <w:sz w:val="24"/>
        </w:rPr>
        <w:t>market price offset</w:t>
      </w:r>
      <w:r w:rsidR="00F416DE" w:rsidRPr="00106A33">
        <w:rPr>
          <w:rFonts w:ascii="Times New Roman" w:hAnsi="Times New Roman"/>
          <w:sz w:val="24"/>
        </w:rPr>
        <w:t>.</w:t>
      </w:r>
      <w:r w:rsidR="00F416DE">
        <w:rPr>
          <w:rStyle w:val="FootnoteReference"/>
          <w:rFonts w:ascii="Times New Roman" w:hAnsi="Times New Roman"/>
          <w:sz w:val="24"/>
        </w:rPr>
        <w:footnoteReference w:id="227"/>
      </w:r>
      <w:r w:rsidR="00CF0ECA" w:rsidRPr="00106A33">
        <w:rPr>
          <w:rFonts w:ascii="Times New Roman" w:hAnsi="Times New Roman"/>
          <w:sz w:val="24"/>
        </w:rPr>
        <w:t xml:space="preserve">  Similarly, Staff </w:t>
      </w:r>
      <w:r w:rsidR="00642B81" w:rsidRPr="00106A33">
        <w:rPr>
          <w:rFonts w:ascii="Times New Roman" w:hAnsi="Times New Roman"/>
          <w:sz w:val="24"/>
        </w:rPr>
        <w:t>recommends</w:t>
      </w:r>
      <w:r w:rsidR="00335336" w:rsidRPr="00106A33">
        <w:rPr>
          <w:rFonts w:ascii="Times New Roman" w:hAnsi="Times New Roman"/>
          <w:sz w:val="24"/>
        </w:rPr>
        <w:t xml:space="preserve"> that the operation of Exhibit G </w:t>
      </w:r>
      <w:r w:rsidR="00642B81" w:rsidRPr="00106A33">
        <w:rPr>
          <w:rFonts w:ascii="Times New Roman" w:hAnsi="Times New Roman"/>
          <w:sz w:val="24"/>
        </w:rPr>
        <w:t>not be suspended</w:t>
      </w:r>
      <w:r w:rsidR="00FC595D" w:rsidRPr="00106A33">
        <w:rPr>
          <w:rFonts w:ascii="Times New Roman" w:hAnsi="Times New Roman"/>
          <w:sz w:val="24"/>
        </w:rPr>
        <w:t xml:space="preserve"> and that over-collections of power costs under the PCA be applied as a credit to the deferred variable cost balance</w:t>
      </w:r>
      <w:r w:rsidR="00642B81" w:rsidRPr="00106A33">
        <w:rPr>
          <w:rFonts w:ascii="Times New Roman" w:hAnsi="Times New Roman"/>
          <w:sz w:val="24"/>
        </w:rPr>
        <w:t>.</w:t>
      </w:r>
      <w:r w:rsidR="00FC595D">
        <w:rPr>
          <w:rStyle w:val="FootnoteReference"/>
          <w:rFonts w:ascii="Times New Roman" w:hAnsi="Times New Roman"/>
          <w:sz w:val="24"/>
        </w:rPr>
        <w:footnoteReference w:id="228"/>
      </w:r>
    </w:p>
    <w:p w:rsidR="00A60FA9" w:rsidRPr="00106A3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361050" w:rsidRPr="00106A33">
        <w:rPr>
          <w:rFonts w:ascii="Times New Roman" w:hAnsi="Times New Roman"/>
          <w:sz w:val="24"/>
        </w:rPr>
        <w:t xml:space="preserve">PSE </w:t>
      </w:r>
      <w:r w:rsidR="00A60FA9" w:rsidRPr="00106A33">
        <w:rPr>
          <w:rFonts w:ascii="Times New Roman" w:hAnsi="Times New Roman"/>
          <w:sz w:val="24"/>
        </w:rPr>
        <w:t>states that application of over-collected power costs</w:t>
      </w:r>
      <w:r w:rsidR="003F056D" w:rsidRPr="00106A33">
        <w:rPr>
          <w:rFonts w:ascii="Times New Roman" w:hAnsi="Times New Roman"/>
          <w:sz w:val="24"/>
        </w:rPr>
        <w:t xml:space="preserve"> </w:t>
      </w:r>
      <w:r w:rsidR="00361050" w:rsidRPr="00106A33">
        <w:rPr>
          <w:rFonts w:ascii="Times New Roman" w:hAnsi="Times New Roman"/>
          <w:sz w:val="24"/>
        </w:rPr>
        <w:t>as a credit to plant deferrals should not app</w:t>
      </w:r>
      <w:r w:rsidR="00335336" w:rsidRPr="00106A33">
        <w:rPr>
          <w:rFonts w:ascii="Times New Roman" w:hAnsi="Times New Roman"/>
          <w:sz w:val="24"/>
        </w:rPr>
        <w:t xml:space="preserve">ly to Wild Horse </w:t>
      </w:r>
      <w:r w:rsidR="00361050" w:rsidRPr="00106A33">
        <w:rPr>
          <w:rFonts w:ascii="Times New Roman" w:hAnsi="Times New Roman"/>
          <w:sz w:val="24"/>
        </w:rPr>
        <w:t>becaus</w:t>
      </w:r>
      <w:r w:rsidR="00422E1F" w:rsidRPr="00106A33">
        <w:rPr>
          <w:rFonts w:ascii="Times New Roman" w:hAnsi="Times New Roman"/>
          <w:sz w:val="24"/>
        </w:rPr>
        <w:t xml:space="preserve">e it </w:t>
      </w:r>
      <w:r w:rsidR="00361050" w:rsidRPr="00106A33">
        <w:rPr>
          <w:rFonts w:ascii="Times New Roman" w:hAnsi="Times New Roman"/>
          <w:sz w:val="24"/>
        </w:rPr>
        <w:t>was intended onl</w:t>
      </w:r>
      <w:r w:rsidR="00335336" w:rsidRPr="00106A33">
        <w:rPr>
          <w:rFonts w:ascii="Times New Roman" w:hAnsi="Times New Roman"/>
          <w:sz w:val="24"/>
        </w:rPr>
        <w:t xml:space="preserve">y as a </w:t>
      </w:r>
      <w:r w:rsidR="00960354" w:rsidRPr="00106A33">
        <w:rPr>
          <w:rFonts w:ascii="Times New Roman" w:hAnsi="Times New Roman"/>
          <w:sz w:val="24"/>
        </w:rPr>
        <w:t>“</w:t>
      </w:r>
      <w:r w:rsidR="00335336" w:rsidRPr="00106A33">
        <w:rPr>
          <w:rFonts w:ascii="Times New Roman" w:hAnsi="Times New Roman"/>
          <w:sz w:val="24"/>
        </w:rPr>
        <w:t>good faith offer</w:t>
      </w:r>
      <w:r w:rsidR="00960354" w:rsidRPr="00106A33">
        <w:rPr>
          <w:rFonts w:ascii="Times New Roman" w:hAnsi="Times New Roman"/>
          <w:sz w:val="24"/>
        </w:rPr>
        <w:t>”</w:t>
      </w:r>
      <w:r w:rsidR="00335336" w:rsidRPr="00106A33">
        <w:rPr>
          <w:rFonts w:ascii="Times New Roman" w:hAnsi="Times New Roman"/>
          <w:sz w:val="24"/>
        </w:rPr>
        <w:t xml:space="preserve"> to </w:t>
      </w:r>
      <w:r w:rsidR="00361050" w:rsidRPr="00106A33">
        <w:rPr>
          <w:rFonts w:ascii="Times New Roman" w:hAnsi="Times New Roman"/>
          <w:sz w:val="24"/>
        </w:rPr>
        <w:lastRenderedPageBreak/>
        <w:t>mitigate Mint Farm variable costs.</w:t>
      </w:r>
      <w:r w:rsidR="00361050">
        <w:rPr>
          <w:rStyle w:val="FootnoteReference"/>
          <w:rFonts w:ascii="Times New Roman" w:hAnsi="Times New Roman"/>
          <w:sz w:val="24"/>
        </w:rPr>
        <w:footnoteReference w:id="229"/>
      </w:r>
      <w:r w:rsidR="00422751" w:rsidRPr="00106A33">
        <w:rPr>
          <w:rFonts w:ascii="Times New Roman" w:hAnsi="Times New Roman"/>
          <w:sz w:val="24"/>
        </w:rPr>
        <w:t xml:space="preserve">  </w:t>
      </w:r>
      <w:r w:rsidR="00346686" w:rsidRPr="00106A33">
        <w:rPr>
          <w:rFonts w:ascii="Times New Roman" w:hAnsi="Times New Roman"/>
          <w:sz w:val="24"/>
        </w:rPr>
        <w:t>T</w:t>
      </w:r>
      <w:r w:rsidR="00361050" w:rsidRPr="00106A33">
        <w:rPr>
          <w:rFonts w:ascii="Times New Roman" w:hAnsi="Times New Roman"/>
          <w:sz w:val="24"/>
        </w:rPr>
        <w:t>he Compa</w:t>
      </w:r>
      <w:r w:rsidR="00422751" w:rsidRPr="00106A33">
        <w:rPr>
          <w:rFonts w:ascii="Times New Roman" w:hAnsi="Times New Roman"/>
          <w:sz w:val="24"/>
        </w:rPr>
        <w:t xml:space="preserve">ny provided no </w:t>
      </w:r>
      <w:r w:rsidR="00335336" w:rsidRPr="00106A33">
        <w:rPr>
          <w:rFonts w:ascii="Times New Roman" w:hAnsi="Times New Roman"/>
          <w:sz w:val="24"/>
        </w:rPr>
        <w:t xml:space="preserve">substantive </w:t>
      </w:r>
      <w:r w:rsidR="00422751" w:rsidRPr="00106A33">
        <w:rPr>
          <w:rFonts w:ascii="Times New Roman" w:hAnsi="Times New Roman"/>
          <w:sz w:val="24"/>
        </w:rPr>
        <w:t xml:space="preserve">rationale to </w:t>
      </w:r>
      <w:r w:rsidR="00794052" w:rsidRPr="00106A33">
        <w:rPr>
          <w:rFonts w:ascii="Times New Roman" w:hAnsi="Times New Roman"/>
          <w:sz w:val="24"/>
        </w:rPr>
        <w:t>distinguish between the plants</w:t>
      </w:r>
      <w:r w:rsidR="00422751" w:rsidRPr="00106A33">
        <w:rPr>
          <w:rFonts w:ascii="Times New Roman" w:hAnsi="Times New Roman"/>
          <w:sz w:val="24"/>
        </w:rPr>
        <w:t xml:space="preserve">.  </w:t>
      </w:r>
      <w:r w:rsidR="00346686" w:rsidRPr="00106A33">
        <w:rPr>
          <w:rFonts w:ascii="Times New Roman" w:hAnsi="Times New Roman"/>
          <w:sz w:val="24"/>
        </w:rPr>
        <w:t>Nor do the PCA and</w:t>
      </w:r>
      <w:r w:rsidR="00794052" w:rsidRPr="00106A33">
        <w:rPr>
          <w:rFonts w:ascii="Times New Roman" w:hAnsi="Times New Roman"/>
          <w:sz w:val="24"/>
        </w:rPr>
        <w:t xml:space="preserve"> RCW 80.80 make </w:t>
      </w:r>
      <w:r w:rsidR="00422E1F" w:rsidRPr="00106A33">
        <w:rPr>
          <w:rFonts w:ascii="Times New Roman" w:hAnsi="Times New Roman"/>
          <w:sz w:val="24"/>
        </w:rPr>
        <w:t xml:space="preserve">such </w:t>
      </w:r>
      <w:r w:rsidR="00794052" w:rsidRPr="00106A33">
        <w:rPr>
          <w:rFonts w:ascii="Times New Roman" w:hAnsi="Times New Roman"/>
          <w:sz w:val="24"/>
        </w:rPr>
        <w:t xml:space="preserve">a </w:t>
      </w:r>
      <w:r w:rsidR="00422E1F" w:rsidRPr="00106A33">
        <w:rPr>
          <w:rFonts w:ascii="Times New Roman" w:hAnsi="Times New Roman"/>
          <w:sz w:val="24"/>
        </w:rPr>
        <w:t xml:space="preserve">distinction. </w:t>
      </w:r>
      <w:r w:rsidR="00435AF7" w:rsidRPr="00106A33">
        <w:rPr>
          <w:rFonts w:ascii="Times New Roman" w:hAnsi="Times New Roman"/>
          <w:sz w:val="24"/>
        </w:rPr>
        <w:t xml:space="preserve"> </w:t>
      </w:r>
      <w:r w:rsidR="00422751" w:rsidRPr="00106A33">
        <w:rPr>
          <w:rFonts w:ascii="Times New Roman" w:hAnsi="Times New Roman"/>
          <w:sz w:val="24"/>
        </w:rPr>
        <w:t xml:space="preserve">There is </w:t>
      </w:r>
      <w:r w:rsidR="00794052" w:rsidRPr="00106A33">
        <w:rPr>
          <w:rFonts w:ascii="Times New Roman" w:hAnsi="Times New Roman"/>
          <w:sz w:val="24"/>
        </w:rPr>
        <w:t xml:space="preserve">simply </w:t>
      </w:r>
      <w:r w:rsidR="009639BA" w:rsidRPr="00106A33">
        <w:rPr>
          <w:rFonts w:ascii="Times New Roman" w:hAnsi="Times New Roman"/>
          <w:sz w:val="24"/>
        </w:rPr>
        <w:t xml:space="preserve">no reason </w:t>
      </w:r>
      <w:r w:rsidR="00422751" w:rsidRPr="00106A33">
        <w:rPr>
          <w:rFonts w:ascii="Times New Roman" w:hAnsi="Times New Roman"/>
          <w:sz w:val="24"/>
        </w:rPr>
        <w:t xml:space="preserve">to </w:t>
      </w:r>
      <w:r w:rsidR="00361050" w:rsidRPr="00106A33">
        <w:rPr>
          <w:rFonts w:ascii="Times New Roman" w:hAnsi="Times New Roman"/>
          <w:sz w:val="24"/>
        </w:rPr>
        <w:t xml:space="preserve">deny ratepayers the benefit </w:t>
      </w:r>
      <w:r w:rsidR="00435AF7" w:rsidRPr="00106A33">
        <w:rPr>
          <w:rFonts w:ascii="Times New Roman" w:hAnsi="Times New Roman"/>
          <w:sz w:val="24"/>
        </w:rPr>
        <w:t xml:space="preserve">of mitigating </w:t>
      </w:r>
      <w:r w:rsidR="00421410" w:rsidRPr="00106A33">
        <w:rPr>
          <w:rFonts w:ascii="Times New Roman" w:hAnsi="Times New Roman"/>
          <w:sz w:val="24"/>
        </w:rPr>
        <w:t>deferred costs</w:t>
      </w:r>
      <w:r w:rsidR="009639BA" w:rsidRPr="00106A33">
        <w:rPr>
          <w:rFonts w:ascii="Times New Roman" w:hAnsi="Times New Roman"/>
          <w:sz w:val="24"/>
        </w:rPr>
        <w:t>,</w:t>
      </w:r>
      <w:r w:rsidR="00421410" w:rsidRPr="00106A33">
        <w:rPr>
          <w:rFonts w:ascii="Times New Roman" w:hAnsi="Times New Roman"/>
          <w:sz w:val="24"/>
        </w:rPr>
        <w:t xml:space="preserve"> </w:t>
      </w:r>
      <w:r w:rsidR="00794052" w:rsidRPr="00106A33">
        <w:rPr>
          <w:rFonts w:ascii="Times New Roman" w:hAnsi="Times New Roman"/>
          <w:sz w:val="24"/>
        </w:rPr>
        <w:t xml:space="preserve">whether those </w:t>
      </w:r>
      <w:r w:rsidR="00435AF7" w:rsidRPr="00106A33">
        <w:rPr>
          <w:rFonts w:ascii="Times New Roman" w:hAnsi="Times New Roman"/>
          <w:sz w:val="24"/>
        </w:rPr>
        <w:t xml:space="preserve">costs </w:t>
      </w:r>
      <w:r w:rsidR="00421410" w:rsidRPr="00106A33">
        <w:rPr>
          <w:rFonts w:ascii="Times New Roman" w:hAnsi="Times New Roman"/>
          <w:sz w:val="24"/>
        </w:rPr>
        <w:t>relate to Mint Farm or Wild Horse.</w:t>
      </w:r>
    </w:p>
    <w:p w:rsidR="00F4115E" w:rsidRDefault="007929BD" w:rsidP="00F4115E">
      <w:pPr>
        <w:tabs>
          <w:tab w:val="left" w:pos="-1440"/>
        </w:tabs>
        <w:spacing w:line="480" w:lineRule="auto"/>
        <w:ind w:left="90" w:hanging="72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j</w:t>
      </w:r>
      <w:r w:rsidR="00F4115E">
        <w:rPr>
          <w:rFonts w:ascii="Times New Roman" w:hAnsi="Times New Roman"/>
          <w:b/>
          <w:sz w:val="24"/>
        </w:rPr>
        <w:t>.</w:t>
      </w:r>
      <w:r w:rsidR="00F4115E">
        <w:rPr>
          <w:rFonts w:ascii="Times New Roman" w:hAnsi="Times New Roman"/>
          <w:b/>
          <w:sz w:val="24"/>
        </w:rPr>
        <w:tab/>
        <w:t>10.37, Production Adjustment</w:t>
      </w:r>
    </w:p>
    <w:p w:rsidR="00CC70AA" w:rsidRPr="00106A3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CC70AA" w:rsidRPr="00106A33">
        <w:rPr>
          <w:rFonts w:ascii="Times New Roman" w:hAnsi="Times New Roman"/>
          <w:sz w:val="24"/>
        </w:rPr>
        <w:t>The Commission has stated that the Production Adjustment</w:t>
      </w:r>
      <w:r w:rsidR="006221FA" w:rsidRPr="00106A33">
        <w:rPr>
          <w:rFonts w:ascii="Times New Roman" w:hAnsi="Times New Roman"/>
          <w:sz w:val="24"/>
        </w:rPr>
        <w:t xml:space="preserve"> </w:t>
      </w:r>
      <w:r w:rsidR="00CC70AA" w:rsidRPr="00106A33">
        <w:rPr>
          <w:rFonts w:ascii="Times New Roman" w:hAnsi="Times New Roman"/>
          <w:sz w:val="24"/>
        </w:rPr>
        <w:t>preserves test year relationships by adjusting rate year costs to ma</w:t>
      </w:r>
      <w:r w:rsidR="00682D43" w:rsidRPr="00106A33">
        <w:rPr>
          <w:rFonts w:ascii="Times New Roman" w:hAnsi="Times New Roman"/>
          <w:sz w:val="24"/>
        </w:rPr>
        <w:t>tch test-year loads.</w:t>
      </w:r>
      <w:r w:rsidR="00682D43">
        <w:rPr>
          <w:rStyle w:val="FootnoteReference"/>
          <w:rFonts w:ascii="Times New Roman" w:hAnsi="Times New Roman"/>
          <w:sz w:val="24"/>
        </w:rPr>
        <w:footnoteReference w:id="230"/>
      </w:r>
      <w:r w:rsidR="00682D43" w:rsidRPr="00106A33">
        <w:rPr>
          <w:rFonts w:ascii="Times New Roman" w:hAnsi="Times New Roman"/>
          <w:sz w:val="24"/>
        </w:rPr>
        <w:t xml:space="preserve">  T</w:t>
      </w:r>
      <w:r w:rsidR="003918E9" w:rsidRPr="00106A33">
        <w:rPr>
          <w:rFonts w:ascii="Times New Roman" w:hAnsi="Times New Roman"/>
          <w:sz w:val="24"/>
        </w:rPr>
        <w:t xml:space="preserve">he </w:t>
      </w:r>
      <w:r w:rsidR="006A1B1B" w:rsidRPr="00106A33">
        <w:rPr>
          <w:rFonts w:ascii="Times New Roman" w:hAnsi="Times New Roman"/>
          <w:sz w:val="24"/>
        </w:rPr>
        <w:t>Commiss</w:t>
      </w:r>
      <w:r w:rsidR="009639BA" w:rsidRPr="00106A33">
        <w:rPr>
          <w:rFonts w:ascii="Times New Roman" w:hAnsi="Times New Roman"/>
          <w:sz w:val="24"/>
        </w:rPr>
        <w:t xml:space="preserve">ion </w:t>
      </w:r>
      <w:r w:rsidR="003D1157" w:rsidRPr="00106A33">
        <w:rPr>
          <w:rFonts w:ascii="Times New Roman" w:hAnsi="Times New Roman"/>
          <w:sz w:val="24"/>
        </w:rPr>
        <w:t xml:space="preserve">has </w:t>
      </w:r>
      <w:r w:rsidR="00CC4769" w:rsidRPr="00106A33">
        <w:rPr>
          <w:rFonts w:ascii="Times New Roman" w:hAnsi="Times New Roman"/>
          <w:sz w:val="24"/>
        </w:rPr>
        <w:t>also stated</w:t>
      </w:r>
      <w:r w:rsidR="009639BA" w:rsidRPr="00106A33">
        <w:rPr>
          <w:rFonts w:ascii="Times New Roman" w:hAnsi="Times New Roman"/>
          <w:sz w:val="24"/>
        </w:rPr>
        <w:t xml:space="preserve"> </w:t>
      </w:r>
      <w:r w:rsidR="00682D43" w:rsidRPr="00106A33">
        <w:rPr>
          <w:rFonts w:ascii="Times New Roman" w:hAnsi="Times New Roman"/>
          <w:sz w:val="24"/>
        </w:rPr>
        <w:t xml:space="preserve">that the </w:t>
      </w:r>
      <w:r w:rsidR="003918E9" w:rsidRPr="00106A33">
        <w:rPr>
          <w:rFonts w:ascii="Times New Roman" w:hAnsi="Times New Roman"/>
          <w:sz w:val="24"/>
        </w:rPr>
        <w:t xml:space="preserve">adjustment </w:t>
      </w:r>
      <w:r w:rsidR="00682D43" w:rsidRPr="00106A33">
        <w:rPr>
          <w:rFonts w:ascii="Times New Roman" w:hAnsi="Times New Roman"/>
          <w:sz w:val="24"/>
        </w:rPr>
        <w:t>is necessary only in</w:t>
      </w:r>
      <w:r w:rsidR="00CC70AA" w:rsidRPr="00106A33">
        <w:rPr>
          <w:rFonts w:ascii="Times New Roman" w:hAnsi="Times New Roman"/>
          <w:sz w:val="24"/>
        </w:rPr>
        <w:t xml:space="preserve"> “appropriate circumstances”.</w:t>
      </w:r>
      <w:r w:rsidR="00CC70AA">
        <w:rPr>
          <w:rStyle w:val="FootnoteReference"/>
          <w:rFonts w:ascii="Times New Roman" w:hAnsi="Times New Roman"/>
          <w:sz w:val="24"/>
        </w:rPr>
        <w:footnoteReference w:id="231"/>
      </w:r>
    </w:p>
    <w:p w:rsidR="003918E9" w:rsidRPr="00106A3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6221FA" w:rsidRPr="00106A33">
        <w:rPr>
          <w:rFonts w:ascii="Times New Roman" w:hAnsi="Times New Roman"/>
          <w:sz w:val="24"/>
        </w:rPr>
        <w:t>Appropriate circumstances do not exist in this case.  For the first time since the adjustment was applied, PSE forecasts a reduction of test-year loads during</w:t>
      </w:r>
      <w:r w:rsidR="003D1157" w:rsidRPr="00106A33">
        <w:rPr>
          <w:rFonts w:ascii="Times New Roman" w:hAnsi="Times New Roman"/>
          <w:sz w:val="24"/>
        </w:rPr>
        <w:t xml:space="preserve"> the rate year, rather than load growth as </w:t>
      </w:r>
      <w:r w:rsidR="00346686" w:rsidRPr="00106A33">
        <w:rPr>
          <w:rFonts w:ascii="Times New Roman" w:hAnsi="Times New Roman"/>
          <w:sz w:val="24"/>
        </w:rPr>
        <w:t>did persist</w:t>
      </w:r>
      <w:r w:rsidR="006221FA" w:rsidRPr="00106A33">
        <w:rPr>
          <w:rFonts w:ascii="Times New Roman" w:hAnsi="Times New Roman"/>
          <w:sz w:val="24"/>
        </w:rPr>
        <w:t xml:space="preserve"> at all other times.</w:t>
      </w:r>
      <w:r w:rsidR="006221FA">
        <w:rPr>
          <w:rStyle w:val="FootnoteReference"/>
          <w:rFonts w:ascii="Times New Roman" w:hAnsi="Times New Roman"/>
          <w:sz w:val="24"/>
        </w:rPr>
        <w:footnoteReference w:id="232"/>
      </w:r>
      <w:r w:rsidR="00121A4E" w:rsidRPr="00106A33">
        <w:rPr>
          <w:rFonts w:ascii="Times New Roman" w:hAnsi="Times New Roman"/>
          <w:sz w:val="24"/>
        </w:rPr>
        <w:t xml:space="preserve">  </w:t>
      </w:r>
      <w:r w:rsidR="00F6258E">
        <w:rPr>
          <w:rFonts w:ascii="Times New Roman" w:hAnsi="Times New Roman"/>
          <w:sz w:val="24"/>
        </w:rPr>
        <w:t xml:space="preserve">PSE </w:t>
      </w:r>
      <w:r w:rsidR="00682D43" w:rsidRPr="00106A33">
        <w:rPr>
          <w:rFonts w:ascii="Times New Roman" w:hAnsi="Times New Roman"/>
          <w:sz w:val="24"/>
        </w:rPr>
        <w:t>does not</w:t>
      </w:r>
      <w:r w:rsidR="00121A4E" w:rsidRPr="00106A33">
        <w:rPr>
          <w:rFonts w:ascii="Times New Roman" w:hAnsi="Times New Roman"/>
          <w:sz w:val="24"/>
        </w:rPr>
        <w:t>, however,</w:t>
      </w:r>
      <w:r w:rsidR="00682D43" w:rsidRPr="00106A33">
        <w:rPr>
          <w:rFonts w:ascii="Times New Roman" w:hAnsi="Times New Roman"/>
          <w:sz w:val="24"/>
        </w:rPr>
        <w:t xml:space="preserve"> p</w:t>
      </w:r>
      <w:r w:rsidR="00346686" w:rsidRPr="00106A33">
        <w:rPr>
          <w:rFonts w:ascii="Times New Roman" w:hAnsi="Times New Roman"/>
          <w:sz w:val="24"/>
        </w:rPr>
        <w:t xml:space="preserve">resent any plan to </w:t>
      </w:r>
      <w:r w:rsidR="00F6258E">
        <w:rPr>
          <w:rFonts w:ascii="Times New Roman" w:hAnsi="Times New Roman"/>
          <w:sz w:val="24"/>
        </w:rPr>
        <w:t xml:space="preserve">manage costs to </w:t>
      </w:r>
      <w:r w:rsidR="00682D43" w:rsidRPr="00106A33">
        <w:rPr>
          <w:rFonts w:ascii="Times New Roman" w:hAnsi="Times New Roman"/>
          <w:sz w:val="24"/>
        </w:rPr>
        <w:t>mitigate the effects of reduc</w:t>
      </w:r>
      <w:r w:rsidR="009C5F79" w:rsidRPr="00106A33">
        <w:rPr>
          <w:rFonts w:ascii="Times New Roman" w:hAnsi="Times New Roman"/>
          <w:sz w:val="24"/>
        </w:rPr>
        <w:t xml:space="preserve">ed load.  Instead, </w:t>
      </w:r>
      <w:r w:rsidR="00A95F69" w:rsidRPr="00106A33">
        <w:rPr>
          <w:rFonts w:ascii="Times New Roman" w:hAnsi="Times New Roman"/>
          <w:sz w:val="24"/>
        </w:rPr>
        <w:t>PSE</w:t>
      </w:r>
      <w:r w:rsidR="00682D43" w:rsidRPr="00106A33">
        <w:rPr>
          <w:rFonts w:ascii="Times New Roman" w:hAnsi="Times New Roman"/>
          <w:sz w:val="24"/>
        </w:rPr>
        <w:t xml:space="preserve"> </w:t>
      </w:r>
      <w:r w:rsidR="00016DB4" w:rsidRPr="00106A33">
        <w:rPr>
          <w:rFonts w:ascii="Times New Roman" w:hAnsi="Times New Roman"/>
          <w:sz w:val="24"/>
        </w:rPr>
        <w:t xml:space="preserve">simply </w:t>
      </w:r>
      <w:r w:rsidR="00682D43" w:rsidRPr="00106A33">
        <w:rPr>
          <w:rFonts w:ascii="Times New Roman" w:hAnsi="Times New Roman"/>
          <w:sz w:val="24"/>
        </w:rPr>
        <w:t>compensate</w:t>
      </w:r>
      <w:r w:rsidR="00016DB4" w:rsidRPr="00106A33">
        <w:rPr>
          <w:rFonts w:ascii="Times New Roman" w:hAnsi="Times New Roman"/>
          <w:sz w:val="24"/>
        </w:rPr>
        <w:t>s</w:t>
      </w:r>
      <w:r w:rsidR="00682D43" w:rsidRPr="00106A33">
        <w:rPr>
          <w:rFonts w:ascii="Times New Roman" w:hAnsi="Times New Roman"/>
          <w:sz w:val="24"/>
        </w:rPr>
        <w:t xml:space="preserve"> itself for the financial consequences of projected reduced loads and the effects </w:t>
      </w:r>
      <w:r w:rsidR="00F6258E">
        <w:rPr>
          <w:rFonts w:ascii="Times New Roman" w:hAnsi="Times New Roman"/>
          <w:sz w:val="24"/>
        </w:rPr>
        <w:t xml:space="preserve">of </w:t>
      </w:r>
      <w:r w:rsidR="00682D43" w:rsidRPr="00106A33">
        <w:rPr>
          <w:rFonts w:ascii="Times New Roman" w:hAnsi="Times New Roman"/>
          <w:sz w:val="24"/>
        </w:rPr>
        <w:t>th</w:t>
      </w:r>
      <w:r w:rsidR="00F6258E">
        <w:rPr>
          <w:rFonts w:ascii="Times New Roman" w:hAnsi="Times New Roman"/>
          <w:sz w:val="24"/>
        </w:rPr>
        <w:t xml:space="preserve">ose reductions </w:t>
      </w:r>
      <w:r w:rsidR="002946E2" w:rsidRPr="00106A33">
        <w:rPr>
          <w:rFonts w:ascii="Times New Roman" w:hAnsi="Times New Roman"/>
          <w:sz w:val="24"/>
        </w:rPr>
        <w:t>o</w:t>
      </w:r>
      <w:r w:rsidR="00682D43" w:rsidRPr="00106A33">
        <w:rPr>
          <w:rFonts w:ascii="Times New Roman" w:hAnsi="Times New Roman"/>
          <w:sz w:val="24"/>
        </w:rPr>
        <w:t>n revenues.  This unfairly</w:t>
      </w:r>
      <w:r w:rsidR="00121A4E" w:rsidRPr="00106A33">
        <w:rPr>
          <w:rFonts w:ascii="Times New Roman" w:hAnsi="Times New Roman"/>
          <w:sz w:val="24"/>
        </w:rPr>
        <w:t xml:space="preserve"> shifts risk </w:t>
      </w:r>
      <w:r w:rsidR="00F6258E">
        <w:rPr>
          <w:rFonts w:ascii="Times New Roman" w:hAnsi="Times New Roman"/>
          <w:sz w:val="24"/>
        </w:rPr>
        <w:t xml:space="preserve">from PSE </w:t>
      </w:r>
      <w:r w:rsidR="003918E9" w:rsidRPr="00106A33">
        <w:rPr>
          <w:rFonts w:ascii="Times New Roman" w:hAnsi="Times New Roman"/>
          <w:sz w:val="24"/>
        </w:rPr>
        <w:t>to ratepayers</w:t>
      </w:r>
      <w:r w:rsidR="00682D43" w:rsidRPr="00106A33">
        <w:rPr>
          <w:rFonts w:ascii="Times New Roman" w:hAnsi="Times New Roman"/>
          <w:sz w:val="24"/>
        </w:rPr>
        <w:t>.</w:t>
      </w:r>
      <w:r w:rsidR="00A95F69">
        <w:rPr>
          <w:rStyle w:val="FootnoteReference"/>
          <w:rFonts w:ascii="Times New Roman" w:hAnsi="Times New Roman"/>
          <w:sz w:val="24"/>
        </w:rPr>
        <w:footnoteReference w:id="233"/>
      </w:r>
      <w:r w:rsidR="00A95F69" w:rsidRPr="00106A33">
        <w:rPr>
          <w:rFonts w:ascii="Times New Roman" w:hAnsi="Times New Roman"/>
          <w:sz w:val="24"/>
        </w:rPr>
        <w:t xml:space="preserve">  </w:t>
      </w:r>
    </w:p>
    <w:p w:rsidR="00A95F69" w:rsidRPr="00106A3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A95F69" w:rsidRPr="00106A33">
        <w:rPr>
          <w:rFonts w:ascii="Times New Roman" w:hAnsi="Times New Roman"/>
          <w:sz w:val="24"/>
        </w:rPr>
        <w:t xml:space="preserve">Moreover, </w:t>
      </w:r>
      <w:r w:rsidR="008A223A" w:rsidRPr="00106A33">
        <w:rPr>
          <w:rFonts w:ascii="Times New Roman" w:hAnsi="Times New Roman"/>
          <w:sz w:val="24"/>
        </w:rPr>
        <w:t>the Production Adjustment was never intended to be an attrition offset for p</w:t>
      </w:r>
      <w:r w:rsidR="00016DB4" w:rsidRPr="00106A33">
        <w:rPr>
          <w:rFonts w:ascii="Times New Roman" w:hAnsi="Times New Roman"/>
          <w:sz w:val="24"/>
        </w:rPr>
        <w:t>rojected load reductions.  I</w:t>
      </w:r>
      <w:r w:rsidR="008A223A" w:rsidRPr="00106A33">
        <w:rPr>
          <w:rFonts w:ascii="Times New Roman" w:hAnsi="Times New Roman"/>
          <w:sz w:val="24"/>
        </w:rPr>
        <w:t xml:space="preserve">t was designed to offset the </w:t>
      </w:r>
      <w:r w:rsidR="00A95F69" w:rsidRPr="00106A33">
        <w:rPr>
          <w:rFonts w:ascii="Times New Roman" w:hAnsi="Times New Roman"/>
          <w:sz w:val="24"/>
        </w:rPr>
        <w:t>pro forma rate base c</w:t>
      </w:r>
      <w:r w:rsidR="00121A4E" w:rsidRPr="00106A33">
        <w:rPr>
          <w:rFonts w:ascii="Times New Roman" w:hAnsi="Times New Roman"/>
          <w:sz w:val="24"/>
        </w:rPr>
        <w:t xml:space="preserve">alculation where new </w:t>
      </w:r>
      <w:r w:rsidR="00A95F69" w:rsidRPr="00106A33">
        <w:rPr>
          <w:rFonts w:ascii="Times New Roman" w:hAnsi="Times New Roman"/>
          <w:sz w:val="24"/>
        </w:rPr>
        <w:t xml:space="preserve">plant was added outside the test year to serve increasing loads.  </w:t>
      </w:r>
      <w:r w:rsidR="00121A4E" w:rsidRPr="00106A33">
        <w:rPr>
          <w:rFonts w:ascii="Times New Roman" w:hAnsi="Times New Roman"/>
          <w:sz w:val="24"/>
        </w:rPr>
        <w:t xml:space="preserve">If PSE </w:t>
      </w:r>
      <w:r w:rsidR="00A95F69" w:rsidRPr="00106A33">
        <w:rPr>
          <w:rFonts w:ascii="Times New Roman" w:hAnsi="Times New Roman"/>
          <w:sz w:val="24"/>
        </w:rPr>
        <w:t>believes that there is an attrition mismatch between test period expenses, revenues and rate base, it had the opportunity to present a proper attrition analysis, but failed to do so.</w:t>
      </w:r>
    </w:p>
    <w:p w:rsidR="00682D43" w:rsidRDefault="00106A33" w:rsidP="00106A33">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lastRenderedPageBreak/>
        <w:tab/>
      </w:r>
      <w:r w:rsidR="009C5F79" w:rsidRPr="00106A33">
        <w:rPr>
          <w:rFonts w:ascii="Times New Roman" w:hAnsi="Times New Roman"/>
          <w:sz w:val="24"/>
        </w:rPr>
        <w:t>PSE’s onl</w:t>
      </w:r>
      <w:r w:rsidR="008A223A" w:rsidRPr="00106A33">
        <w:rPr>
          <w:rFonts w:ascii="Times New Roman" w:hAnsi="Times New Roman"/>
          <w:sz w:val="24"/>
        </w:rPr>
        <w:t xml:space="preserve">y rejoinder </w:t>
      </w:r>
      <w:r w:rsidR="009C5F79" w:rsidRPr="00106A33">
        <w:rPr>
          <w:rFonts w:ascii="Times New Roman" w:hAnsi="Times New Roman"/>
          <w:sz w:val="24"/>
        </w:rPr>
        <w:t xml:space="preserve">is to describe the mechanics of the </w:t>
      </w:r>
      <w:r w:rsidR="008A223A" w:rsidRPr="00106A33">
        <w:rPr>
          <w:rFonts w:ascii="Times New Roman" w:hAnsi="Times New Roman"/>
          <w:sz w:val="24"/>
        </w:rPr>
        <w:t>ad</w:t>
      </w:r>
      <w:r w:rsidR="009C5F79" w:rsidRPr="00106A33">
        <w:rPr>
          <w:rFonts w:ascii="Times New Roman" w:hAnsi="Times New Roman"/>
          <w:sz w:val="24"/>
        </w:rPr>
        <w:t>justment.</w:t>
      </w:r>
      <w:r w:rsidR="009C5F79">
        <w:rPr>
          <w:rStyle w:val="FootnoteReference"/>
          <w:rFonts w:ascii="Times New Roman" w:hAnsi="Times New Roman"/>
          <w:sz w:val="24"/>
        </w:rPr>
        <w:footnoteReference w:id="234"/>
      </w:r>
      <w:r w:rsidR="009C5F79" w:rsidRPr="00106A33">
        <w:rPr>
          <w:rFonts w:ascii="Times New Roman" w:hAnsi="Times New Roman"/>
          <w:sz w:val="24"/>
        </w:rPr>
        <w:t xml:space="preserve">  No rebuttal is offered regarding the </w:t>
      </w:r>
      <w:r w:rsidR="00016DB4" w:rsidRPr="00106A33">
        <w:rPr>
          <w:rFonts w:ascii="Times New Roman" w:hAnsi="Times New Roman"/>
          <w:sz w:val="24"/>
        </w:rPr>
        <w:t>underlying rationale of Staff’s position.</w:t>
      </w:r>
      <w:r>
        <w:rPr>
          <w:rFonts w:ascii="Times New Roman" w:hAnsi="Times New Roman"/>
          <w:sz w:val="24"/>
        </w:rPr>
        <w:t xml:space="preserve">  </w:t>
      </w:r>
    </w:p>
    <w:p w:rsidR="00430FB4" w:rsidRPr="00430FB4" w:rsidRDefault="00430FB4" w:rsidP="00430FB4">
      <w:pPr>
        <w:pStyle w:val="ListParagraph"/>
        <w:tabs>
          <w:tab w:val="left" w:pos="-1440"/>
        </w:tabs>
        <w:spacing w:line="480" w:lineRule="auto"/>
        <w:ind w:left="0"/>
        <w:rPr>
          <w:rFonts w:ascii="Times New Roman" w:hAnsi="Times New Roman"/>
          <w:b/>
          <w:sz w:val="24"/>
        </w:rPr>
      </w:pPr>
      <w:r w:rsidRPr="00430FB4">
        <w:rPr>
          <w:rFonts w:ascii="Times New Roman" w:hAnsi="Times New Roman"/>
          <w:b/>
          <w:sz w:val="24"/>
        </w:rPr>
        <w:tab/>
        <w:t>3.</w:t>
      </w:r>
      <w:r w:rsidRPr="00430FB4">
        <w:rPr>
          <w:rFonts w:ascii="Times New Roman" w:hAnsi="Times New Roman"/>
          <w:b/>
          <w:sz w:val="24"/>
        </w:rPr>
        <w:tab/>
        <w:t>Natural Gas Contested Adjustment:  9.24, Jackson Prairie Plant</w:t>
      </w:r>
    </w:p>
    <w:p w:rsidR="00570785" w:rsidRPr="009D776C" w:rsidRDefault="00A44892" w:rsidP="00430FB4">
      <w:pPr>
        <w:pStyle w:val="ListParagraph"/>
        <w:numPr>
          <w:ilvl w:val="0"/>
          <w:numId w:val="11"/>
        </w:numPr>
        <w:tabs>
          <w:tab w:val="left" w:pos="-1440"/>
        </w:tabs>
        <w:spacing w:line="480" w:lineRule="auto"/>
        <w:rPr>
          <w:rFonts w:ascii="Times New Roman" w:hAnsi="Times New Roman"/>
          <w:sz w:val="24"/>
        </w:rPr>
      </w:pPr>
      <w:r w:rsidRPr="00430FB4">
        <w:rPr>
          <w:rFonts w:ascii="Times New Roman" w:hAnsi="Times New Roman"/>
          <w:b/>
          <w:sz w:val="24"/>
        </w:rPr>
        <w:tab/>
      </w:r>
      <w:r w:rsidR="006A160D" w:rsidRPr="00430FB4">
        <w:rPr>
          <w:rFonts w:ascii="Times New Roman" w:hAnsi="Times New Roman"/>
          <w:sz w:val="24"/>
        </w:rPr>
        <w:t xml:space="preserve">In May 2009, PSE </w:t>
      </w:r>
      <w:r w:rsidR="009B17F7" w:rsidRPr="00430FB4">
        <w:rPr>
          <w:rFonts w:ascii="Times New Roman" w:hAnsi="Times New Roman"/>
          <w:sz w:val="24"/>
        </w:rPr>
        <w:t>received a refund of</w:t>
      </w:r>
      <w:r w:rsidR="004C0949" w:rsidRPr="00430FB4">
        <w:rPr>
          <w:rFonts w:ascii="Times New Roman" w:hAnsi="Times New Roman"/>
          <w:sz w:val="24"/>
        </w:rPr>
        <w:t xml:space="preserve"> sales tax </w:t>
      </w:r>
      <w:r w:rsidR="00960354" w:rsidRPr="00430FB4">
        <w:rPr>
          <w:rFonts w:ascii="Times New Roman" w:hAnsi="Times New Roman"/>
          <w:sz w:val="24"/>
        </w:rPr>
        <w:t>from DOR</w:t>
      </w:r>
      <w:r w:rsidR="009B17F7" w:rsidRPr="00430FB4">
        <w:rPr>
          <w:rFonts w:ascii="Times New Roman" w:hAnsi="Times New Roman"/>
          <w:sz w:val="24"/>
        </w:rPr>
        <w:t xml:space="preserve"> </w:t>
      </w:r>
      <w:r w:rsidR="004C0949" w:rsidRPr="00430FB4">
        <w:rPr>
          <w:rFonts w:ascii="Times New Roman" w:hAnsi="Times New Roman"/>
          <w:sz w:val="24"/>
        </w:rPr>
        <w:t xml:space="preserve">that was originally </w:t>
      </w:r>
      <w:r w:rsidR="006A160D" w:rsidRPr="00430FB4">
        <w:rPr>
          <w:rFonts w:ascii="Times New Roman" w:hAnsi="Times New Roman"/>
          <w:sz w:val="24"/>
        </w:rPr>
        <w:t>paid and capitalized</w:t>
      </w:r>
      <w:r w:rsidR="009B17F7" w:rsidRPr="00430FB4">
        <w:rPr>
          <w:rFonts w:ascii="Times New Roman" w:hAnsi="Times New Roman"/>
          <w:sz w:val="24"/>
        </w:rPr>
        <w:t xml:space="preserve"> to the Jackson Prairie expansion project.</w:t>
      </w:r>
      <w:r w:rsidR="0095656A">
        <w:rPr>
          <w:rStyle w:val="FootnoteReference"/>
          <w:rFonts w:ascii="Times New Roman" w:hAnsi="Times New Roman"/>
          <w:sz w:val="24"/>
        </w:rPr>
        <w:footnoteReference w:id="235"/>
      </w:r>
      <w:r w:rsidR="0095656A" w:rsidRPr="00430FB4">
        <w:rPr>
          <w:rFonts w:ascii="Times New Roman" w:hAnsi="Times New Roman"/>
          <w:sz w:val="24"/>
        </w:rPr>
        <w:t xml:space="preserve"> </w:t>
      </w:r>
      <w:r w:rsidR="006A160D" w:rsidRPr="00430FB4">
        <w:rPr>
          <w:rFonts w:ascii="Times New Roman" w:hAnsi="Times New Roman"/>
          <w:sz w:val="24"/>
        </w:rPr>
        <w:t xml:space="preserve"> </w:t>
      </w:r>
      <w:r w:rsidR="000A576F" w:rsidRPr="00430FB4">
        <w:rPr>
          <w:rFonts w:ascii="Times New Roman" w:hAnsi="Times New Roman"/>
          <w:sz w:val="24"/>
          <w:szCs w:val="24"/>
        </w:rPr>
        <w:t xml:space="preserve">PSE accounted for </w:t>
      </w:r>
      <w:r w:rsidR="00CF57FF" w:rsidRPr="00430FB4">
        <w:rPr>
          <w:rFonts w:ascii="Times New Roman" w:hAnsi="Times New Roman"/>
          <w:sz w:val="24"/>
          <w:szCs w:val="24"/>
        </w:rPr>
        <w:t xml:space="preserve">the </w:t>
      </w:r>
      <w:r w:rsidR="000A576F" w:rsidRPr="00430FB4">
        <w:rPr>
          <w:rFonts w:ascii="Times New Roman" w:hAnsi="Times New Roman"/>
          <w:sz w:val="24"/>
          <w:szCs w:val="24"/>
        </w:rPr>
        <w:t>refund</w:t>
      </w:r>
      <w:r w:rsidR="003E29D0" w:rsidRPr="00430FB4">
        <w:rPr>
          <w:rFonts w:ascii="Times New Roman" w:hAnsi="Times New Roman"/>
          <w:sz w:val="24"/>
          <w:szCs w:val="24"/>
        </w:rPr>
        <w:t xml:space="preserve"> in the same manner as</w:t>
      </w:r>
      <w:r w:rsidR="000A576F" w:rsidRPr="00430FB4">
        <w:rPr>
          <w:rFonts w:ascii="Times New Roman" w:hAnsi="Times New Roman"/>
          <w:sz w:val="24"/>
          <w:szCs w:val="24"/>
        </w:rPr>
        <w:t xml:space="preserve"> the original tax by decreasing Jackson Prairie </w:t>
      </w:r>
      <w:r w:rsidR="003E29D0" w:rsidRPr="00430FB4">
        <w:rPr>
          <w:rFonts w:ascii="Times New Roman" w:hAnsi="Times New Roman"/>
          <w:sz w:val="24"/>
          <w:szCs w:val="24"/>
        </w:rPr>
        <w:t>rate base by $246,875.</w:t>
      </w:r>
      <w:r w:rsidR="000A576F" w:rsidRPr="00430FB4">
        <w:rPr>
          <w:color w:val="FF00FF"/>
          <w:sz w:val="24"/>
          <w:szCs w:val="24"/>
        </w:rPr>
        <w:t xml:space="preserve">  </w:t>
      </w:r>
      <w:r w:rsidR="00102548" w:rsidRPr="00430FB4">
        <w:rPr>
          <w:rFonts w:ascii="Times New Roman" w:hAnsi="Times New Roman"/>
          <w:sz w:val="24"/>
          <w:szCs w:val="24"/>
        </w:rPr>
        <w:t>Public Counsel</w:t>
      </w:r>
      <w:r w:rsidR="006A160D" w:rsidRPr="00430FB4">
        <w:rPr>
          <w:rFonts w:ascii="Times New Roman" w:hAnsi="Times New Roman"/>
          <w:sz w:val="24"/>
          <w:szCs w:val="24"/>
        </w:rPr>
        <w:t xml:space="preserve"> proposes an adjustment to </w:t>
      </w:r>
      <w:r w:rsidR="0095656A" w:rsidRPr="00430FB4">
        <w:rPr>
          <w:rFonts w:ascii="Times New Roman" w:hAnsi="Times New Roman"/>
          <w:sz w:val="24"/>
          <w:szCs w:val="24"/>
        </w:rPr>
        <w:t>reduce the plant balance for Jackson Prairie by the amount of the sales tax refund.</w:t>
      </w:r>
      <w:r w:rsidR="0095656A" w:rsidRPr="00960354">
        <w:rPr>
          <w:rStyle w:val="FootnoteReference"/>
          <w:rFonts w:ascii="Times New Roman" w:hAnsi="Times New Roman"/>
          <w:sz w:val="24"/>
          <w:szCs w:val="24"/>
        </w:rPr>
        <w:footnoteReference w:id="236"/>
      </w:r>
      <w:r w:rsidR="0095656A" w:rsidRPr="00430FB4">
        <w:rPr>
          <w:rFonts w:ascii="Times New Roman" w:hAnsi="Times New Roman"/>
          <w:sz w:val="24"/>
          <w:szCs w:val="24"/>
        </w:rPr>
        <w:t xml:space="preserve">  </w:t>
      </w:r>
      <w:r w:rsidR="000A576F" w:rsidRPr="00430FB4">
        <w:rPr>
          <w:rFonts w:ascii="Times New Roman" w:hAnsi="Times New Roman"/>
          <w:sz w:val="24"/>
          <w:szCs w:val="24"/>
        </w:rPr>
        <w:t>S</w:t>
      </w:r>
      <w:r w:rsidR="004C0949" w:rsidRPr="00430FB4">
        <w:rPr>
          <w:rFonts w:ascii="Times New Roman" w:hAnsi="Times New Roman"/>
          <w:sz w:val="24"/>
          <w:szCs w:val="24"/>
        </w:rPr>
        <w:t>taff has adopted Public Counsel’s rate base adjustment</w:t>
      </w:r>
      <w:r w:rsidR="0095656A" w:rsidRPr="00430FB4">
        <w:rPr>
          <w:rFonts w:ascii="Times New Roman" w:hAnsi="Times New Roman"/>
          <w:sz w:val="24"/>
          <w:szCs w:val="24"/>
        </w:rPr>
        <w:t>.</w:t>
      </w:r>
      <w:r w:rsidR="006A160D" w:rsidRPr="00430FB4">
        <w:rPr>
          <w:rFonts w:ascii="Times New Roman" w:hAnsi="Times New Roman"/>
          <w:sz w:val="24"/>
          <w:szCs w:val="24"/>
        </w:rPr>
        <w:t xml:space="preserve">  PSE </w:t>
      </w:r>
      <w:r w:rsidR="004C0949" w:rsidRPr="00430FB4">
        <w:rPr>
          <w:rFonts w:ascii="Times New Roman" w:hAnsi="Times New Roman"/>
          <w:sz w:val="24"/>
          <w:szCs w:val="24"/>
        </w:rPr>
        <w:t xml:space="preserve">does not </w:t>
      </w:r>
      <w:r w:rsidR="006A160D" w:rsidRPr="00430FB4">
        <w:rPr>
          <w:rFonts w:ascii="Times New Roman" w:hAnsi="Times New Roman"/>
          <w:sz w:val="24"/>
          <w:szCs w:val="24"/>
        </w:rPr>
        <w:t xml:space="preserve">expressly </w:t>
      </w:r>
      <w:r w:rsidR="004C0949" w:rsidRPr="00430FB4">
        <w:rPr>
          <w:rFonts w:ascii="Times New Roman" w:hAnsi="Times New Roman"/>
          <w:sz w:val="24"/>
          <w:szCs w:val="24"/>
        </w:rPr>
        <w:t>oppose the adjust</w:t>
      </w:r>
      <w:r w:rsidR="000A576F" w:rsidRPr="00430FB4">
        <w:rPr>
          <w:rFonts w:ascii="Times New Roman" w:hAnsi="Times New Roman"/>
          <w:sz w:val="24"/>
          <w:szCs w:val="24"/>
        </w:rPr>
        <w:t>ment</w:t>
      </w:r>
      <w:r w:rsidR="004C0949" w:rsidRPr="00430FB4">
        <w:rPr>
          <w:rFonts w:ascii="Times New Roman" w:hAnsi="Times New Roman"/>
          <w:sz w:val="24"/>
          <w:szCs w:val="24"/>
        </w:rPr>
        <w:t>.</w:t>
      </w:r>
      <w:r w:rsidR="004C0949" w:rsidRPr="00960354">
        <w:rPr>
          <w:rStyle w:val="FootnoteReference"/>
          <w:rFonts w:ascii="Times New Roman" w:hAnsi="Times New Roman"/>
          <w:sz w:val="24"/>
          <w:szCs w:val="24"/>
        </w:rPr>
        <w:footnoteReference w:id="237"/>
      </w:r>
      <w:r w:rsidR="009D776C">
        <w:rPr>
          <w:rFonts w:ascii="Times New Roman" w:hAnsi="Times New Roman"/>
          <w:sz w:val="24"/>
          <w:szCs w:val="24"/>
        </w:rPr>
        <w:t xml:space="preserve">  </w:t>
      </w:r>
    </w:p>
    <w:p w:rsidR="009D776C" w:rsidRPr="00570785" w:rsidRDefault="009D776C" w:rsidP="009D776C">
      <w:pPr>
        <w:pStyle w:val="ListParagraph"/>
        <w:spacing w:line="480" w:lineRule="auto"/>
        <w:ind w:left="0"/>
        <w:jc w:val="center"/>
        <w:rPr>
          <w:rFonts w:ascii="Times New Roman" w:hAnsi="Times New Roman"/>
          <w:b/>
          <w:bCs/>
          <w:sz w:val="24"/>
          <w:szCs w:val="24"/>
        </w:rPr>
      </w:pPr>
      <w:r>
        <w:rPr>
          <w:rFonts w:ascii="Times New Roman" w:hAnsi="Times New Roman"/>
          <w:b/>
          <w:bCs/>
          <w:sz w:val="24"/>
          <w:szCs w:val="24"/>
        </w:rPr>
        <w:t xml:space="preserve">IV.  </w:t>
      </w:r>
      <w:r w:rsidRPr="00570785">
        <w:rPr>
          <w:rFonts w:ascii="Times New Roman" w:hAnsi="Times New Roman"/>
          <w:b/>
          <w:bCs/>
          <w:sz w:val="24"/>
          <w:szCs w:val="24"/>
        </w:rPr>
        <w:t>MINT FARM PRUDENCE</w:t>
      </w:r>
    </w:p>
    <w:p w:rsidR="009D776C" w:rsidRDefault="009D776C" w:rsidP="009D776C">
      <w:pPr>
        <w:tabs>
          <w:tab w:val="left" w:pos="-1440"/>
        </w:tabs>
        <w:ind w:left="720" w:hanging="720"/>
        <w:rPr>
          <w:rFonts w:ascii="Times New Roman" w:hAnsi="Times New Roman"/>
          <w:b/>
          <w:sz w:val="24"/>
          <w:szCs w:val="24"/>
        </w:rPr>
      </w:pPr>
      <w:r w:rsidRPr="00D122AA">
        <w:rPr>
          <w:rFonts w:ascii="Times New Roman" w:hAnsi="Times New Roman"/>
          <w:b/>
          <w:sz w:val="24"/>
          <w:szCs w:val="24"/>
        </w:rPr>
        <w:t>A.</w:t>
      </w:r>
      <w:r w:rsidRPr="00D122AA">
        <w:rPr>
          <w:rFonts w:ascii="Times New Roman" w:hAnsi="Times New Roman"/>
          <w:b/>
          <w:sz w:val="24"/>
          <w:szCs w:val="24"/>
        </w:rPr>
        <w:tab/>
      </w:r>
      <w:r>
        <w:rPr>
          <w:rFonts w:ascii="Times New Roman" w:hAnsi="Times New Roman"/>
          <w:b/>
          <w:sz w:val="24"/>
          <w:szCs w:val="24"/>
        </w:rPr>
        <w:t>The Company Met Its Burden To Prove That The Acquisition Of The Mint Farm Energy Center Satisfies Commission Prudence Standards</w:t>
      </w:r>
    </w:p>
    <w:p w:rsidR="009D776C" w:rsidRPr="009D776C" w:rsidRDefault="009D776C" w:rsidP="009D776C">
      <w:pPr>
        <w:tabs>
          <w:tab w:val="left" w:pos="-1440"/>
        </w:tabs>
        <w:ind w:left="720" w:hanging="720"/>
        <w:rPr>
          <w:rFonts w:ascii="Times New Roman" w:hAnsi="Times New Roman"/>
          <w:b/>
          <w:sz w:val="24"/>
          <w:szCs w:val="24"/>
        </w:rPr>
      </w:pPr>
    </w:p>
    <w:p w:rsidR="00570785" w:rsidRPr="009D776C" w:rsidRDefault="00570785" w:rsidP="00570785">
      <w:pPr>
        <w:pStyle w:val="ListParagraph"/>
        <w:numPr>
          <w:ilvl w:val="0"/>
          <w:numId w:val="11"/>
        </w:numPr>
        <w:tabs>
          <w:tab w:val="left" w:pos="-1440"/>
        </w:tabs>
        <w:spacing w:line="480" w:lineRule="auto"/>
        <w:rPr>
          <w:rFonts w:ascii="Times New Roman" w:hAnsi="Times New Roman"/>
          <w:sz w:val="24"/>
        </w:rPr>
      </w:pPr>
      <w:r w:rsidRPr="009D776C">
        <w:rPr>
          <w:rFonts w:ascii="Times New Roman" w:hAnsi="Times New Roman"/>
          <w:sz w:val="24"/>
          <w:szCs w:val="24"/>
        </w:rPr>
        <w:tab/>
        <w:t>The Mint Farm Energy Center (“Mint Farm”) is 311 megawatt (“MW”) natural gas-fired, generation facility located in Longview, Washington.  It was purchased by PSE in December 2008 during a competitive environment for new resource acquisition.</w:t>
      </w:r>
      <w:r>
        <w:rPr>
          <w:rStyle w:val="FootnoteReference"/>
          <w:rFonts w:ascii="Times New Roman" w:hAnsi="Times New Roman"/>
          <w:sz w:val="24"/>
          <w:szCs w:val="24"/>
        </w:rPr>
        <w:footnoteReference w:id="238"/>
      </w:r>
      <w:r w:rsidRPr="009D776C">
        <w:rPr>
          <w:rFonts w:ascii="Times New Roman" w:hAnsi="Times New Roman"/>
          <w:sz w:val="24"/>
          <w:szCs w:val="24"/>
        </w:rPr>
        <w:t xml:space="preserve">  Nevertheless, PSE purchased the plant at a 30 percent discount from the cost to build a new facility.</w:t>
      </w:r>
      <w:r>
        <w:rPr>
          <w:rStyle w:val="FootnoteReference"/>
          <w:rFonts w:ascii="Times New Roman" w:hAnsi="Times New Roman"/>
          <w:sz w:val="24"/>
          <w:szCs w:val="24"/>
        </w:rPr>
        <w:footnoteReference w:id="239"/>
      </w:r>
      <w:r w:rsidRPr="009D776C">
        <w:rPr>
          <w:rFonts w:ascii="Times New Roman" w:hAnsi="Times New Roman"/>
          <w:sz w:val="24"/>
          <w:szCs w:val="24"/>
        </w:rPr>
        <w:t xml:space="preserve">  Mint Farm is currently part of the PSE’s resource portfolio serving customers.</w:t>
      </w:r>
      <w:r>
        <w:rPr>
          <w:rStyle w:val="FootnoteReference"/>
          <w:rFonts w:ascii="Times New Roman" w:hAnsi="Times New Roman"/>
          <w:sz w:val="24"/>
          <w:szCs w:val="24"/>
        </w:rPr>
        <w:footnoteReference w:id="240"/>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lastRenderedPageBreak/>
        <w:tab/>
      </w:r>
      <w:r w:rsidR="00570785" w:rsidRPr="0088344E">
        <w:rPr>
          <w:rFonts w:ascii="Times New Roman" w:hAnsi="Times New Roman"/>
          <w:sz w:val="24"/>
          <w:szCs w:val="24"/>
        </w:rPr>
        <w:t>PSE requests a Commission determination that it was prudent to acquire Mint Farm.</w:t>
      </w:r>
      <w:r w:rsidR="00570785">
        <w:rPr>
          <w:rStyle w:val="FootnoteReference"/>
          <w:rFonts w:ascii="Times New Roman" w:hAnsi="Times New Roman"/>
          <w:sz w:val="24"/>
          <w:szCs w:val="24"/>
        </w:rPr>
        <w:footnoteReference w:id="241"/>
      </w:r>
      <w:r w:rsidR="00570785" w:rsidRPr="0088344E">
        <w:rPr>
          <w:rFonts w:ascii="Times New Roman" w:hAnsi="Times New Roman"/>
          <w:sz w:val="24"/>
          <w:szCs w:val="24"/>
        </w:rPr>
        <w:t xml:space="preserve">  PSE also asks the Commission to determine that Mint Farm complies with the greenhouse gases emissions performance standard (“GHG Standard”) of RCW 80.80.</w:t>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Public Counsel is the only party that challenges the Company’s prudence request.  Public Counsel’s arguments should be rejected by the Commission.</w:t>
      </w:r>
    </w:p>
    <w:p w:rsidR="00570785" w:rsidRDefault="00570785" w:rsidP="00570785">
      <w:pPr>
        <w:tabs>
          <w:tab w:val="left" w:pos="-1440"/>
          <w:tab w:val="left" w:pos="720"/>
        </w:tabs>
        <w:ind w:left="1440" w:hanging="1440"/>
        <w:rPr>
          <w:rFonts w:ascii="Times New Roman" w:hAnsi="Times New Roman"/>
          <w:b/>
          <w:bCs/>
          <w:kern w:val="24"/>
          <w:sz w:val="24"/>
          <w:szCs w:val="24"/>
        </w:rPr>
      </w:pPr>
      <w:r>
        <w:rPr>
          <w:rFonts w:ascii="Times New Roman" w:hAnsi="Times New Roman"/>
          <w:sz w:val="24"/>
          <w:szCs w:val="24"/>
        </w:rPr>
        <w:tab/>
      </w:r>
      <w:r>
        <w:rPr>
          <w:rFonts w:ascii="Times New Roman" w:hAnsi="Times New Roman"/>
          <w:b/>
          <w:sz w:val="24"/>
          <w:szCs w:val="24"/>
        </w:rPr>
        <w:t>1.</w:t>
      </w:r>
      <w:r>
        <w:rPr>
          <w:rFonts w:ascii="Times New Roman" w:hAnsi="Times New Roman"/>
          <w:b/>
          <w:sz w:val="24"/>
          <w:szCs w:val="24"/>
        </w:rPr>
        <w:tab/>
        <w:t xml:space="preserve">PSE </w:t>
      </w:r>
      <w:r w:rsidRPr="004C7019">
        <w:rPr>
          <w:rFonts w:ascii="Times New Roman" w:hAnsi="Times New Roman"/>
          <w:b/>
          <w:bCs/>
          <w:kern w:val="24"/>
          <w:sz w:val="24"/>
          <w:szCs w:val="24"/>
        </w:rPr>
        <w:t>performed the appropriate analyses, decision-making and documentation to satisfy the</w:t>
      </w:r>
      <w:r>
        <w:rPr>
          <w:rFonts w:ascii="Times New Roman" w:hAnsi="Times New Roman"/>
          <w:b/>
          <w:bCs/>
          <w:kern w:val="24"/>
          <w:sz w:val="24"/>
          <w:szCs w:val="24"/>
        </w:rPr>
        <w:t xml:space="preserve"> Commission’s test for prudence</w:t>
      </w:r>
    </w:p>
    <w:p w:rsidR="00570785" w:rsidRPr="004C7019" w:rsidRDefault="00570785" w:rsidP="00570785">
      <w:pPr>
        <w:tabs>
          <w:tab w:val="left" w:pos="-1440"/>
        </w:tabs>
        <w:rPr>
          <w:rFonts w:ascii="Times New Roman" w:hAnsi="Times New Roman"/>
          <w:b/>
          <w:sz w:val="24"/>
          <w:szCs w:val="24"/>
        </w:rPr>
      </w:pPr>
    </w:p>
    <w:p w:rsidR="00570785" w:rsidRPr="00CB20C9" w:rsidRDefault="00570785" w:rsidP="00570785">
      <w:pPr>
        <w:tabs>
          <w:tab w:val="left" w:pos="-1440"/>
        </w:tabs>
        <w:spacing w:line="480" w:lineRule="auto"/>
        <w:rPr>
          <w:rFonts w:ascii="Times New Roman" w:hAnsi="Times New Roman"/>
          <w:sz w:val="24"/>
          <w:szCs w:val="24"/>
        </w:rPr>
      </w:pPr>
      <w:r>
        <w:rPr>
          <w:rFonts w:ascii="Times New Roman" w:hAnsi="Times New Roman"/>
          <w:sz w:val="24"/>
          <w:szCs w:val="24"/>
        </w:rPr>
        <w:tab/>
      </w:r>
      <w:r w:rsidRPr="00CB20C9">
        <w:rPr>
          <w:rFonts w:ascii="Times New Roman" w:hAnsi="Times New Roman"/>
          <w:sz w:val="24"/>
          <w:szCs w:val="24"/>
        </w:rPr>
        <w:t xml:space="preserve">The standard the Commission applies </w:t>
      </w:r>
      <w:r>
        <w:rPr>
          <w:rFonts w:ascii="Times New Roman" w:hAnsi="Times New Roman"/>
          <w:sz w:val="24"/>
          <w:szCs w:val="24"/>
        </w:rPr>
        <w:t>in</w:t>
      </w:r>
      <w:r w:rsidRPr="00CB20C9">
        <w:rPr>
          <w:rFonts w:ascii="Times New Roman" w:hAnsi="Times New Roman"/>
          <w:sz w:val="24"/>
          <w:szCs w:val="24"/>
        </w:rPr>
        <w:t xml:space="preserve"> </w:t>
      </w:r>
      <w:r>
        <w:rPr>
          <w:rFonts w:ascii="Times New Roman" w:hAnsi="Times New Roman"/>
          <w:sz w:val="24"/>
          <w:szCs w:val="24"/>
        </w:rPr>
        <w:t>prudence reviews is not disputed</w:t>
      </w:r>
      <w:r w:rsidRPr="00CB20C9">
        <w:rPr>
          <w:rFonts w:ascii="Times New Roman" w:hAnsi="Times New Roman"/>
          <w:sz w:val="24"/>
          <w:szCs w:val="24"/>
        </w:rPr>
        <w:t>:</w:t>
      </w:r>
    </w:p>
    <w:p w:rsidR="00570785" w:rsidRPr="00CB20C9" w:rsidRDefault="00570785" w:rsidP="00570785">
      <w:pPr>
        <w:tabs>
          <w:tab w:val="left" w:pos="-1440"/>
        </w:tabs>
        <w:ind w:left="720" w:right="720" w:hanging="720"/>
        <w:rPr>
          <w:rFonts w:ascii="Times New Roman" w:hAnsi="Times New Roman"/>
          <w:sz w:val="24"/>
          <w:szCs w:val="24"/>
        </w:rPr>
      </w:pPr>
      <w:r w:rsidRPr="00CB20C9">
        <w:rPr>
          <w:rFonts w:ascii="Times New Roman" w:hAnsi="Times New Roman"/>
          <w:sz w:val="24"/>
          <w:szCs w:val="24"/>
        </w:rPr>
        <w:tab/>
        <w:t xml:space="preserve">The test the Commission applies to measure prudence is what would a reasonable board of directors and company management have decided given what they knew or reasonably </w:t>
      </w:r>
      <w:r>
        <w:rPr>
          <w:rFonts w:ascii="Times New Roman" w:hAnsi="Times New Roman"/>
          <w:sz w:val="24"/>
          <w:szCs w:val="24"/>
        </w:rPr>
        <w:t>s</w:t>
      </w:r>
      <w:r w:rsidRPr="00CB20C9">
        <w:rPr>
          <w:rFonts w:ascii="Times New Roman" w:hAnsi="Times New Roman"/>
          <w:sz w:val="24"/>
          <w:szCs w:val="24"/>
        </w:rPr>
        <w:t>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sidRPr="00CB20C9">
        <w:rPr>
          <w:rStyle w:val="FootnoteReference"/>
          <w:rFonts w:ascii="Times New Roman" w:hAnsi="Times New Roman"/>
          <w:sz w:val="24"/>
          <w:szCs w:val="24"/>
        </w:rPr>
        <w:footnoteReference w:id="242"/>
      </w:r>
    </w:p>
    <w:p w:rsidR="00570785" w:rsidRPr="00CB20C9" w:rsidRDefault="00570785" w:rsidP="00570785">
      <w:pPr>
        <w:tabs>
          <w:tab w:val="left" w:pos="-1440"/>
        </w:tabs>
        <w:rPr>
          <w:rFonts w:ascii="Times New Roman" w:hAnsi="Times New Roman"/>
          <w:b/>
          <w:sz w:val="24"/>
          <w:szCs w:val="24"/>
        </w:rPr>
      </w:pPr>
    </w:p>
    <w:p w:rsidR="00570785" w:rsidRDefault="00570785" w:rsidP="00570785">
      <w:pPr>
        <w:tabs>
          <w:tab w:val="left" w:pos="-1440"/>
        </w:tabs>
        <w:spacing w:line="480" w:lineRule="auto"/>
        <w:ind w:hanging="720"/>
        <w:rPr>
          <w:rFonts w:ascii="Times New Roman" w:hAnsi="Times New Roman"/>
          <w:sz w:val="24"/>
          <w:szCs w:val="24"/>
        </w:rPr>
      </w:pPr>
      <w:r w:rsidRPr="00CB20C9">
        <w:rPr>
          <w:rFonts w:ascii="Times New Roman" w:hAnsi="Times New Roman"/>
          <w:sz w:val="24"/>
          <w:szCs w:val="24"/>
        </w:rPr>
        <w:tab/>
        <w:t>The Commissi</w:t>
      </w:r>
      <w:r>
        <w:rPr>
          <w:rFonts w:ascii="Times New Roman" w:hAnsi="Times New Roman"/>
          <w:sz w:val="24"/>
          <w:szCs w:val="24"/>
        </w:rPr>
        <w:t xml:space="preserve">on has implemented this </w:t>
      </w:r>
      <w:r w:rsidRPr="00CB20C9">
        <w:rPr>
          <w:rFonts w:ascii="Times New Roman" w:hAnsi="Times New Roman"/>
          <w:sz w:val="24"/>
          <w:szCs w:val="24"/>
        </w:rPr>
        <w:t>standard</w:t>
      </w:r>
      <w:r>
        <w:rPr>
          <w:rFonts w:ascii="Times New Roman" w:hAnsi="Times New Roman"/>
          <w:sz w:val="24"/>
          <w:szCs w:val="24"/>
        </w:rPr>
        <w:t xml:space="preserve"> by focusing on the three </w:t>
      </w:r>
      <w:r w:rsidRPr="00CB20C9">
        <w:rPr>
          <w:rFonts w:ascii="Times New Roman" w:hAnsi="Times New Roman"/>
          <w:sz w:val="24"/>
          <w:szCs w:val="24"/>
        </w:rPr>
        <w:t>factors:</w:t>
      </w:r>
      <w:r>
        <w:rPr>
          <w:rStyle w:val="FootnoteReference"/>
          <w:rFonts w:ascii="Times New Roman" w:hAnsi="Times New Roman"/>
          <w:sz w:val="24"/>
          <w:szCs w:val="24"/>
        </w:rPr>
        <w:footnoteReference w:id="243"/>
      </w:r>
    </w:p>
    <w:p w:rsidR="00570785" w:rsidRPr="00122437" w:rsidRDefault="00570785" w:rsidP="00C61B17">
      <w:pPr>
        <w:pStyle w:val="ListParagraph"/>
        <w:numPr>
          <w:ilvl w:val="0"/>
          <w:numId w:val="1"/>
        </w:numPr>
        <w:tabs>
          <w:tab w:val="left" w:pos="-1440"/>
        </w:tabs>
        <w:rPr>
          <w:rFonts w:ascii="Times New Roman" w:hAnsi="Times New Roman"/>
          <w:sz w:val="24"/>
          <w:szCs w:val="24"/>
        </w:rPr>
      </w:pPr>
      <w:r>
        <w:rPr>
          <w:rFonts w:ascii="Times New Roman" w:hAnsi="Times New Roman"/>
          <w:bCs/>
          <w:kern w:val="24"/>
          <w:sz w:val="24"/>
          <w:szCs w:val="24"/>
        </w:rPr>
        <w:t>Whether the new generation resource is needed</w:t>
      </w:r>
      <w:r w:rsidRPr="00D122AA">
        <w:rPr>
          <w:rFonts w:ascii="Times New Roman" w:hAnsi="Times New Roman"/>
          <w:bCs/>
          <w:kern w:val="24"/>
          <w:sz w:val="24"/>
          <w:szCs w:val="24"/>
        </w:rPr>
        <w:t>.</w:t>
      </w:r>
      <w:r w:rsidRPr="00CB20C9">
        <w:rPr>
          <w:kern w:val="24"/>
          <w:vertAlign w:val="superscript"/>
        </w:rPr>
        <w:footnoteReference w:id="244"/>
      </w:r>
      <w:r w:rsidRPr="00D122AA">
        <w:rPr>
          <w:rFonts w:ascii="Times New Roman" w:hAnsi="Times New Roman"/>
          <w:bCs/>
          <w:kern w:val="24"/>
          <w:sz w:val="24"/>
          <w:szCs w:val="24"/>
        </w:rPr>
        <w:t xml:space="preserve"> </w:t>
      </w:r>
    </w:p>
    <w:p w:rsidR="00570785" w:rsidRPr="00D122AA" w:rsidRDefault="00570785" w:rsidP="00570785">
      <w:pPr>
        <w:pStyle w:val="ListParagraph"/>
        <w:tabs>
          <w:tab w:val="left" w:pos="-1440"/>
        </w:tabs>
        <w:ind w:left="1440"/>
        <w:rPr>
          <w:rFonts w:ascii="Times New Roman" w:hAnsi="Times New Roman"/>
          <w:sz w:val="24"/>
          <w:szCs w:val="24"/>
        </w:rPr>
      </w:pPr>
    </w:p>
    <w:p w:rsidR="00570785" w:rsidRPr="008A103E" w:rsidRDefault="00570785" w:rsidP="00C61B17">
      <w:pPr>
        <w:pStyle w:val="ListParagraph"/>
        <w:numPr>
          <w:ilvl w:val="0"/>
          <w:numId w:val="1"/>
        </w:numPr>
        <w:tabs>
          <w:tab w:val="left" w:pos="-1440"/>
        </w:tabs>
        <w:rPr>
          <w:rFonts w:ascii="Times New Roman" w:hAnsi="Times New Roman"/>
          <w:sz w:val="24"/>
          <w:szCs w:val="24"/>
        </w:rPr>
      </w:pPr>
      <w:r>
        <w:rPr>
          <w:rFonts w:ascii="Times New Roman" w:hAnsi="Times New Roman"/>
          <w:bCs/>
          <w:kern w:val="24"/>
          <w:sz w:val="24"/>
          <w:szCs w:val="24"/>
        </w:rPr>
        <w:t xml:space="preserve">Whether the </w:t>
      </w:r>
      <w:r w:rsidRPr="00CB20C9">
        <w:rPr>
          <w:rFonts w:ascii="Times New Roman" w:hAnsi="Times New Roman"/>
          <w:bCs/>
          <w:kern w:val="24"/>
          <w:sz w:val="24"/>
          <w:szCs w:val="24"/>
        </w:rPr>
        <w:t xml:space="preserve">utility </w:t>
      </w:r>
      <w:r>
        <w:rPr>
          <w:rFonts w:ascii="Times New Roman" w:hAnsi="Times New Roman"/>
          <w:bCs/>
          <w:kern w:val="24"/>
          <w:sz w:val="24"/>
          <w:szCs w:val="24"/>
        </w:rPr>
        <w:t>has evaluated alternative resources.</w:t>
      </w:r>
      <w:r w:rsidRPr="00CB20C9">
        <w:rPr>
          <w:rStyle w:val="FootnoteReference"/>
          <w:rFonts w:ascii="Times New Roman" w:hAnsi="Times New Roman"/>
          <w:bCs/>
          <w:kern w:val="24"/>
          <w:sz w:val="24"/>
          <w:szCs w:val="24"/>
        </w:rPr>
        <w:footnoteReference w:id="245"/>
      </w:r>
      <w:r w:rsidRPr="00CB20C9">
        <w:rPr>
          <w:rFonts w:ascii="Times New Roman" w:hAnsi="Times New Roman"/>
          <w:bCs/>
          <w:kern w:val="24"/>
          <w:sz w:val="24"/>
          <w:szCs w:val="24"/>
        </w:rPr>
        <w:t xml:space="preserve"> </w:t>
      </w:r>
    </w:p>
    <w:p w:rsidR="00570785" w:rsidRPr="008A103E" w:rsidRDefault="00570785" w:rsidP="00570785">
      <w:pPr>
        <w:pStyle w:val="ListParagraph"/>
        <w:rPr>
          <w:rFonts w:ascii="Times New Roman" w:hAnsi="Times New Roman"/>
          <w:sz w:val="24"/>
          <w:szCs w:val="24"/>
        </w:rPr>
      </w:pPr>
    </w:p>
    <w:p w:rsidR="00570785" w:rsidRPr="00E301D5" w:rsidRDefault="00570785" w:rsidP="00C61B17">
      <w:pPr>
        <w:pStyle w:val="ListParagraph"/>
        <w:numPr>
          <w:ilvl w:val="0"/>
          <w:numId w:val="1"/>
        </w:numPr>
        <w:tabs>
          <w:tab w:val="left" w:pos="-1440"/>
        </w:tabs>
        <w:spacing w:before="240" w:line="480" w:lineRule="auto"/>
        <w:rPr>
          <w:rFonts w:ascii="Times New Roman" w:hAnsi="Times New Roman"/>
          <w:sz w:val="24"/>
          <w:szCs w:val="24"/>
        </w:rPr>
      </w:pPr>
      <w:r>
        <w:rPr>
          <w:rFonts w:ascii="Times New Roman" w:hAnsi="Times New Roman"/>
          <w:sz w:val="24"/>
          <w:szCs w:val="24"/>
        </w:rPr>
        <w:t xml:space="preserve">Whether the </w:t>
      </w:r>
      <w:r w:rsidRPr="00E301D5">
        <w:rPr>
          <w:rFonts w:ascii="Times New Roman" w:hAnsi="Times New Roman"/>
          <w:sz w:val="24"/>
          <w:szCs w:val="24"/>
        </w:rPr>
        <w:t>resource complies with applicable state laws.</w:t>
      </w:r>
      <w:r>
        <w:rPr>
          <w:rStyle w:val="FootnoteReference"/>
          <w:rFonts w:ascii="Times New Roman" w:hAnsi="Times New Roman"/>
          <w:sz w:val="24"/>
          <w:szCs w:val="24"/>
        </w:rPr>
        <w:footnoteReference w:id="246"/>
      </w:r>
    </w:p>
    <w:p w:rsidR="00570785" w:rsidRPr="0088344E" w:rsidRDefault="0088344E" w:rsidP="0088344E">
      <w:pPr>
        <w:pStyle w:val="ListParagraph"/>
        <w:numPr>
          <w:ilvl w:val="0"/>
          <w:numId w:val="11"/>
        </w:numPr>
        <w:spacing w:line="480" w:lineRule="auto"/>
        <w:rPr>
          <w:rFonts w:ascii="Times New Roman" w:hAnsi="Times New Roman"/>
          <w:bCs/>
          <w:kern w:val="24"/>
          <w:sz w:val="24"/>
          <w:szCs w:val="24"/>
        </w:rPr>
      </w:pPr>
      <w:r>
        <w:rPr>
          <w:rFonts w:ascii="Times New Roman" w:hAnsi="Times New Roman"/>
          <w:bCs/>
          <w:kern w:val="24"/>
          <w:sz w:val="24"/>
          <w:szCs w:val="24"/>
        </w:rPr>
        <w:tab/>
      </w:r>
      <w:r w:rsidR="00570785" w:rsidRPr="0088344E">
        <w:rPr>
          <w:rFonts w:ascii="Times New Roman" w:hAnsi="Times New Roman"/>
          <w:bCs/>
          <w:kern w:val="24"/>
          <w:sz w:val="24"/>
          <w:szCs w:val="24"/>
        </w:rPr>
        <w:t xml:space="preserve">Staff witness David Nightingale conducted an independent review of the entire record addressing Mint Farm.  He also reviewed data request responses, PSE’s 2007 </w:t>
      </w:r>
      <w:r w:rsidR="00570785" w:rsidRPr="0088344E">
        <w:rPr>
          <w:rFonts w:ascii="Times New Roman" w:hAnsi="Times New Roman"/>
          <w:bCs/>
          <w:kern w:val="24"/>
          <w:sz w:val="24"/>
          <w:szCs w:val="24"/>
        </w:rPr>
        <w:lastRenderedPageBreak/>
        <w:t>Integrated Resource Plan (“2007 IRP”) and 2008 All-Source Request for Proposals (“2008 RFP”), and other due diligence documents.</w:t>
      </w:r>
      <w:r w:rsidR="00570785">
        <w:rPr>
          <w:rStyle w:val="FootnoteReference"/>
          <w:rFonts w:ascii="Times New Roman" w:hAnsi="Times New Roman"/>
          <w:bCs/>
          <w:kern w:val="24"/>
          <w:sz w:val="24"/>
          <w:szCs w:val="24"/>
        </w:rPr>
        <w:footnoteReference w:id="247"/>
      </w:r>
      <w:r w:rsidR="00570785" w:rsidRPr="0088344E">
        <w:rPr>
          <w:rFonts w:ascii="Times New Roman" w:hAnsi="Times New Roman"/>
          <w:bCs/>
          <w:kern w:val="24"/>
          <w:sz w:val="24"/>
          <w:szCs w:val="24"/>
        </w:rPr>
        <w:t xml:space="preserve">  His review led Mr. Nightingale to conclude that PSE had performed all appropriate analyses and decision-making to support a prudence finding.  He also concluded that Mint Farm complies with the GHG Standard.   </w:t>
      </w:r>
    </w:p>
    <w:p w:rsidR="00570785" w:rsidRDefault="00570785" w:rsidP="00570785">
      <w:pPr>
        <w:keepNext/>
        <w:spacing w:line="480" w:lineRule="auto"/>
        <w:rPr>
          <w:rFonts w:ascii="Times New Roman" w:hAnsi="Times New Roman"/>
          <w:b/>
          <w:bCs/>
          <w:kern w:val="24"/>
          <w:sz w:val="24"/>
          <w:szCs w:val="24"/>
        </w:rPr>
      </w:pPr>
      <w:r>
        <w:rPr>
          <w:rFonts w:ascii="Times New Roman" w:hAnsi="Times New Roman"/>
          <w:bCs/>
          <w:kern w:val="24"/>
          <w:sz w:val="24"/>
          <w:szCs w:val="24"/>
        </w:rPr>
        <w:tab/>
      </w:r>
      <w:r w:rsidRPr="004F54BF">
        <w:rPr>
          <w:rFonts w:ascii="Times New Roman" w:hAnsi="Times New Roman"/>
          <w:b/>
          <w:bCs/>
          <w:kern w:val="24"/>
          <w:sz w:val="24"/>
          <w:szCs w:val="24"/>
        </w:rPr>
        <w:t>a.</w:t>
      </w:r>
      <w:r w:rsidRPr="004F54BF">
        <w:rPr>
          <w:rFonts w:ascii="Times New Roman" w:hAnsi="Times New Roman"/>
          <w:b/>
          <w:bCs/>
          <w:kern w:val="24"/>
          <w:sz w:val="24"/>
          <w:szCs w:val="24"/>
        </w:rPr>
        <w:tab/>
        <w:t xml:space="preserve">PSE </w:t>
      </w:r>
      <w:r>
        <w:rPr>
          <w:rFonts w:ascii="Times New Roman" w:hAnsi="Times New Roman"/>
          <w:b/>
          <w:bCs/>
          <w:kern w:val="24"/>
          <w:sz w:val="24"/>
          <w:szCs w:val="24"/>
        </w:rPr>
        <w:t>established a need for new resources</w:t>
      </w:r>
    </w:p>
    <w:p w:rsidR="00570785" w:rsidRPr="0088344E" w:rsidRDefault="0088344E" w:rsidP="0088344E">
      <w:pPr>
        <w:pStyle w:val="ListParagraph"/>
        <w:numPr>
          <w:ilvl w:val="0"/>
          <w:numId w:val="11"/>
        </w:numPr>
        <w:spacing w:line="480" w:lineRule="auto"/>
        <w:rPr>
          <w:rFonts w:ascii="Times New Roman" w:hAnsi="Times New Roman"/>
          <w:sz w:val="24"/>
          <w:szCs w:val="24"/>
        </w:rPr>
      </w:pPr>
      <w:r>
        <w:rPr>
          <w:rFonts w:ascii="Times New Roman" w:hAnsi="Times New Roman"/>
          <w:bCs/>
          <w:kern w:val="24"/>
          <w:sz w:val="24"/>
          <w:szCs w:val="24"/>
        </w:rPr>
        <w:tab/>
      </w:r>
      <w:r w:rsidR="00570785" w:rsidRPr="0088344E">
        <w:rPr>
          <w:rFonts w:ascii="Times New Roman" w:hAnsi="Times New Roman"/>
          <w:bCs/>
          <w:kern w:val="24"/>
          <w:sz w:val="24"/>
          <w:szCs w:val="24"/>
        </w:rPr>
        <w:t>PSE has substantial mid- and long-term needs to acquire new electric resources to replace other expiring and retiring resources.</w:t>
      </w:r>
      <w:r w:rsidR="00570785">
        <w:rPr>
          <w:rStyle w:val="FootnoteReference"/>
          <w:rFonts w:ascii="Times New Roman" w:hAnsi="Times New Roman"/>
          <w:bCs/>
          <w:kern w:val="24"/>
          <w:sz w:val="24"/>
          <w:szCs w:val="24"/>
        </w:rPr>
        <w:footnoteReference w:id="248"/>
      </w:r>
      <w:r w:rsidR="00570785" w:rsidRPr="0088344E">
        <w:rPr>
          <w:rFonts w:ascii="Times New Roman" w:hAnsi="Times New Roman"/>
          <w:bCs/>
          <w:kern w:val="24"/>
          <w:sz w:val="24"/>
          <w:szCs w:val="24"/>
        </w:rPr>
        <w:t xml:space="preserve">  T</w:t>
      </w:r>
      <w:r w:rsidR="00570785" w:rsidRPr="0088344E">
        <w:rPr>
          <w:rFonts w:ascii="Times New Roman" w:hAnsi="Times New Roman"/>
          <w:sz w:val="24"/>
          <w:szCs w:val="24"/>
        </w:rPr>
        <w:t>he 2007 IRP projected a need for nearly 700 average Megawatts (“aMW”) by 2011 and more than 1600 aMW by 2015.</w:t>
      </w:r>
      <w:r w:rsidR="00570785">
        <w:rPr>
          <w:rStyle w:val="FootnoteReference"/>
          <w:rFonts w:ascii="Times New Roman" w:hAnsi="Times New Roman"/>
          <w:sz w:val="24"/>
          <w:szCs w:val="24"/>
        </w:rPr>
        <w:footnoteReference w:id="249"/>
      </w:r>
      <w:r w:rsidR="00570785" w:rsidRPr="0088344E">
        <w:rPr>
          <w:rFonts w:ascii="Times New Roman" w:hAnsi="Times New Roman"/>
          <w:sz w:val="24"/>
          <w:szCs w:val="24"/>
        </w:rPr>
        <w:t xml:space="preserve">  The 2007 IRP indicated that most of this energy need that cannot be met through demand-side and renewable resources will be met from 2011 onward by new CCCT generating capacity.</w:t>
      </w:r>
      <w:r w:rsidR="00570785">
        <w:rPr>
          <w:rStyle w:val="FootnoteReference"/>
          <w:rFonts w:ascii="Times New Roman" w:hAnsi="Times New Roman"/>
          <w:szCs w:val="24"/>
        </w:rPr>
        <w:footnoteReference w:id="250"/>
      </w:r>
    </w:p>
    <w:p w:rsidR="00570785" w:rsidRPr="0088344E" w:rsidRDefault="0088344E" w:rsidP="0088344E">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The 2007 IRP load forecast was updated for the 2008 RFP.  PSE’s energy need for supply-side resources for the 2008 RFP was 143 aMW by 2011.</w:t>
      </w:r>
      <w:r w:rsidR="00570785">
        <w:rPr>
          <w:rStyle w:val="FootnoteReference"/>
          <w:rFonts w:ascii="Times New Roman" w:hAnsi="Times New Roman"/>
          <w:sz w:val="24"/>
          <w:szCs w:val="24"/>
        </w:rPr>
        <w:footnoteReference w:id="251"/>
      </w:r>
      <w:r w:rsidR="00570785" w:rsidRPr="0088344E">
        <w:rPr>
          <w:rFonts w:ascii="Times New Roman" w:hAnsi="Times New Roman"/>
          <w:sz w:val="24"/>
          <w:szCs w:val="24"/>
        </w:rPr>
        <w:t xml:space="preserve">  The supply-side energy need grew to 700 aMW by 2012 and 977 aMW by 2013.</w:t>
      </w:r>
      <w:r w:rsidR="00570785">
        <w:rPr>
          <w:rStyle w:val="FootnoteReference"/>
          <w:rFonts w:ascii="Times New Roman" w:hAnsi="Times New Roman"/>
          <w:sz w:val="24"/>
          <w:szCs w:val="24"/>
        </w:rPr>
        <w:footnoteReference w:id="252"/>
      </w:r>
      <w:r w:rsidR="00570785" w:rsidRPr="0088344E">
        <w:rPr>
          <w:rFonts w:ascii="Times New Roman" w:hAnsi="Times New Roman"/>
          <w:sz w:val="24"/>
          <w:szCs w:val="24"/>
        </w:rPr>
        <w:t xml:space="preserve">  There were also significant capacity needs of 208 MW by 2011, 760 MW by 2012, and 771 MW by 2013.</w:t>
      </w:r>
      <w:r w:rsidR="00570785">
        <w:rPr>
          <w:rStyle w:val="FootnoteReference"/>
          <w:rFonts w:ascii="Times New Roman" w:hAnsi="Times New Roman"/>
          <w:szCs w:val="24"/>
        </w:rPr>
        <w:footnoteReference w:id="253"/>
      </w:r>
      <w:r w:rsidR="00570785" w:rsidRPr="0088344E">
        <w:rPr>
          <w:rFonts w:ascii="Times New Roman" w:hAnsi="Times New Roman"/>
          <w:sz w:val="24"/>
          <w:szCs w:val="24"/>
        </w:rPr>
        <w:t xml:space="preserve">  </w:t>
      </w:r>
    </w:p>
    <w:p w:rsidR="00570785" w:rsidRPr="005A5572" w:rsidRDefault="00570785" w:rsidP="00570785">
      <w:pPr>
        <w:spacing w:line="480" w:lineRule="auto"/>
        <w:ind w:firstLine="720"/>
        <w:rPr>
          <w:rFonts w:ascii="Times New Roman" w:hAnsi="Times New Roman"/>
          <w:b/>
          <w:sz w:val="24"/>
          <w:szCs w:val="24"/>
        </w:rPr>
      </w:pPr>
      <w:r w:rsidRPr="005A5572">
        <w:rPr>
          <w:rFonts w:ascii="Times New Roman" w:hAnsi="Times New Roman"/>
          <w:b/>
          <w:sz w:val="24"/>
          <w:szCs w:val="24"/>
        </w:rPr>
        <w:t>b.</w:t>
      </w:r>
      <w:r w:rsidRPr="005A5572">
        <w:rPr>
          <w:rFonts w:ascii="Times New Roman" w:hAnsi="Times New Roman"/>
          <w:b/>
          <w:sz w:val="24"/>
          <w:szCs w:val="24"/>
        </w:rPr>
        <w:tab/>
        <w:t>PSE engaged in a comprehensive evaluation of resource alternatives</w:t>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The 2008 RFP resulted in 31 proposals.</w:t>
      </w:r>
      <w:r w:rsidR="00570785">
        <w:rPr>
          <w:rStyle w:val="FootnoteReference"/>
          <w:rFonts w:ascii="Times New Roman" w:hAnsi="Times New Roman"/>
          <w:sz w:val="24"/>
          <w:szCs w:val="24"/>
        </w:rPr>
        <w:footnoteReference w:id="254"/>
      </w:r>
      <w:r w:rsidR="00570785" w:rsidRPr="0088344E">
        <w:rPr>
          <w:rFonts w:ascii="Times New Roman" w:hAnsi="Times New Roman"/>
          <w:sz w:val="24"/>
          <w:szCs w:val="24"/>
        </w:rPr>
        <w:t xml:space="preserve">  PSE used a two-phase process to analyze the qualitative and quantitative advantages and disadvantages of each proposal.</w:t>
      </w:r>
      <w:r w:rsidR="00F22195" w:rsidRPr="0088344E">
        <w:rPr>
          <w:rFonts w:ascii="Times New Roman" w:hAnsi="Times New Roman"/>
          <w:sz w:val="24"/>
          <w:szCs w:val="24"/>
        </w:rPr>
        <w:t xml:space="preserve">  </w:t>
      </w:r>
      <w:r w:rsidR="00570785" w:rsidRPr="0088344E">
        <w:rPr>
          <w:rFonts w:ascii="Times New Roman" w:hAnsi="Times New Roman"/>
          <w:sz w:val="24"/>
          <w:szCs w:val="24"/>
        </w:rPr>
        <w:t xml:space="preserve">The </w:t>
      </w:r>
      <w:r w:rsidR="00570785" w:rsidRPr="0088344E">
        <w:rPr>
          <w:rFonts w:ascii="Times New Roman" w:hAnsi="Times New Roman"/>
          <w:sz w:val="24"/>
          <w:szCs w:val="24"/>
        </w:rPr>
        <w:lastRenderedPageBreak/>
        <w:t xml:space="preserve">qualitative evaluation addressed compatibility with PSE’s resource needs, cost minimization, risk management, public benefits, and </w:t>
      </w:r>
      <w:r w:rsidR="00F22195" w:rsidRPr="0088344E">
        <w:rPr>
          <w:rFonts w:ascii="Times New Roman" w:hAnsi="Times New Roman"/>
          <w:sz w:val="24"/>
          <w:szCs w:val="24"/>
        </w:rPr>
        <w:t xml:space="preserve">other </w:t>
      </w:r>
      <w:r w:rsidR="00570785" w:rsidRPr="0088344E">
        <w:rPr>
          <w:rFonts w:ascii="Times New Roman" w:hAnsi="Times New Roman"/>
          <w:sz w:val="24"/>
          <w:szCs w:val="24"/>
        </w:rPr>
        <w:t>strategic</w:t>
      </w:r>
      <w:r w:rsidR="00F22195" w:rsidRPr="0088344E">
        <w:rPr>
          <w:rFonts w:ascii="Times New Roman" w:hAnsi="Times New Roman"/>
          <w:sz w:val="24"/>
          <w:szCs w:val="24"/>
        </w:rPr>
        <w:t>, technical</w:t>
      </w:r>
      <w:r w:rsidR="00570785" w:rsidRPr="0088344E">
        <w:rPr>
          <w:rFonts w:ascii="Times New Roman" w:hAnsi="Times New Roman"/>
          <w:sz w:val="24"/>
          <w:szCs w:val="24"/>
        </w:rPr>
        <w:t xml:space="preserve"> and financial factors.</w:t>
      </w:r>
      <w:r w:rsidR="00570785">
        <w:rPr>
          <w:rStyle w:val="FootnoteReference"/>
          <w:rFonts w:ascii="Times New Roman" w:hAnsi="Times New Roman"/>
          <w:sz w:val="24"/>
          <w:szCs w:val="24"/>
        </w:rPr>
        <w:footnoteReference w:id="255"/>
      </w:r>
      <w:r w:rsidR="00570785" w:rsidRPr="0088344E">
        <w:rPr>
          <w:rFonts w:ascii="Times New Roman" w:hAnsi="Times New Roman"/>
          <w:sz w:val="24"/>
          <w:szCs w:val="24"/>
        </w:rPr>
        <w:t xml:space="preserve">  The quanti</w:t>
      </w:r>
      <w:r w:rsidR="00F22195" w:rsidRPr="0088344E">
        <w:rPr>
          <w:rFonts w:ascii="Times New Roman" w:hAnsi="Times New Roman"/>
          <w:sz w:val="24"/>
          <w:szCs w:val="24"/>
        </w:rPr>
        <w:t xml:space="preserve">tative evaluation examined </w:t>
      </w:r>
      <w:r w:rsidR="00B11652" w:rsidRPr="0088344E">
        <w:rPr>
          <w:rFonts w:ascii="Times New Roman" w:hAnsi="Times New Roman"/>
          <w:sz w:val="24"/>
          <w:szCs w:val="24"/>
        </w:rPr>
        <w:t xml:space="preserve">each </w:t>
      </w:r>
      <w:r w:rsidR="00570785" w:rsidRPr="0088344E">
        <w:rPr>
          <w:rFonts w:ascii="Times New Roman" w:hAnsi="Times New Roman"/>
          <w:sz w:val="24"/>
          <w:szCs w:val="24"/>
        </w:rPr>
        <w:t>proposal using three matrices:  the Portfolio Benefit Ratio, 20-Year Levelized Cost, and Portfolio Benefit.</w:t>
      </w:r>
      <w:r w:rsidR="00570785">
        <w:rPr>
          <w:rStyle w:val="FootnoteReference"/>
          <w:rFonts w:ascii="Times New Roman" w:hAnsi="Times New Roman"/>
          <w:sz w:val="24"/>
          <w:szCs w:val="24"/>
        </w:rPr>
        <w:footnoteReference w:id="256"/>
      </w:r>
      <w:r w:rsidR="00570785" w:rsidRPr="0088344E">
        <w:rPr>
          <w:rFonts w:ascii="Times New Roman" w:hAnsi="Times New Roman"/>
          <w:sz w:val="24"/>
          <w:szCs w:val="24"/>
        </w:rPr>
        <w:t xml:space="preserve">  Application of all matrices to each proposal allowed PSE to evaluate each one on equal footing.</w:t>
      </w:r>
      <w:r w:rsidR="00570785">
        <w:rPr>
          <w:rStyle w:val="FootnoteReference"/>
          <w:rFonts w:ascii="Times New Roman" w:hAnsi="Times New Roman"/>
          <w:sz w:val="24"/>
          <w:szCs w:val="24"/>
        </w:rPr>
        <w:footnoteReference w:id="257"/>
      </w:r>
    </w:p>
    <w:p w:rsidR="00570785" w:rsidRPr="0088344E" w:rsidRDefault="0088344E" w:rsidP="0088344E">
      <w:pPr>
        <w:pStyle w:val="ListParagraph"/>
        <w:numPr>
          <w:ilvl w:val="0"/>
          <w:numId w:val="11"/>
        </w:numPr>
        <w:tabs>
          <w:tab w:val="left" w:pos="-1440"/>
        </w:tabs>
        <w:spacing w:line="480" w:lineRule="auto"/>
        <w:rPr>
          <w:rFonts w:ascii="Times New Roman" w:hAnsi="Times New Roman"/>
          <w:bCs/>
          <w:kern w:val="24"/>
          <w:sz w:val="24"/>
          <w:szCs w:val="24"/>
        </w:rPr>
      </w:pPr>
      <w:r>
        <w:rPr>
          <w:rFonts w:ascii="Times New Roman" w:hAnsi="Times New Roman"/>
          <w:bCs/>
          <w:kern w:val="24"/>
          <w:sz w:val="24"/>
          <w:szCs w:val="24"/>
        </w:rPr>
        <w:tab/>
      </w:r>
      <w:r w:rsidR="00570785" w:rsidRPr="0088344E">
        <w:rPr>
          <w:rFonts w:ascii="Times New Roman" w:hAnsi="Times New Roman"/>
          <w:bCs/>
          <w:kern w:val="24"/>
          <w:sz w:val="24"/>
          <w:szCs w:val="24"/>
        </w:rPr>
        <w:t>Mint</w:t>
      </w:r>
      <w:r w:rsidR="00F22195" w:rsidRPr="0088344E">
        <w:rPr>
          <w:rFonts w:ascii="Times New Roman" w:hAnsi="Times New Roman"/>
          <w:bCs/>
          <w:kern w:val="24"/>
          <w:sz w:val="24"/>
          <w:szCs w:val="24"/>
        </w:rPr>
        <w:t xml:space="preserve"> Farm emerged from the evaluation process as a candidate for acquisition </w:t>
      </w:r>
      <w:r w:rsidR="00570785" w:rsidRPr="0088344E">
        <w:rPr>
          <w:rFonts w:ascii="Times New Roman" w:hAnsi="Times New Roman"/>
          <w:bCs/>
          <w:kern w:val="24"/>
          <w:sz w:val="24"/>
          <w:szCs w:val="24"/>
        </w:rPr>
        <w:t xml:space="preserve">because:  </w:t>
      </w:r>
    </w:p>
    <w:p w:rsidR="00570785" w:rsidRDefault="00570785" w:rsidP="00C61B17">
      <w:pPr>
        <w:pStyle w:val="ListParagraph"/>
        <w:numPr>
          <w:ilvl w:val="0"/>
          <w:numId w:val="3"/>
        </w:numPr>
        <w:tabs>
          <w:tab w:val="left" w:pos="-1440"/>
        </w:tabs>
        <w:rPr>
          <w:rFonts w:ascii="Times New Roman" w:hAnsi="Times New Roman"/>
          <w:bCs/>
          <w:kern w:val="24"/>
          <w:sz w:val="24"/>
          <w:szCs w:val="24"/>
        </w:rPr>
      </w:pPr>
      <w:r>
        <w:rPr>
          <w:rFonts w:ascii="Times New Roman" w:hAnsi="Times New Roman"/>
          <w:bCs/>
          <w:kern w:val="24"/>
          <w:sz w:val="24"/>
          <w:szCs w:val="24"/>
        </w:rPr>
        <w:t>Mint Farm provided a significant contribution to meeting PSE’s energy and capacity needs over the mid- to long-term.</w:t>
      </w:r>
      <w:r>
        <w:rPr>
          <w:rStyle w:val="FootnoteReference"/>
          <w:rFonts w:ascii="Times New Roman" w:hAnsi="Times New Roman"/>
          <w:bCs/>
          <w:kern w:val="24"/>
          <w:sz w:val="24"/>
          <w:szCs w:val="24"/>
        </w:rPr>
        <w:footnoteReference w:id="258"/>
      </w:r>
    </w:p>
    <w:p w:rsidR="00570785" w:rsidRDefault="00570785" w:rsidP="00570785">
      <w:pPr>
        <w:pStyle w:val="ListParagraph"/>
        <w:tabs>
          <w:tab w:val="left" w:pos="-1440"/>
        </w:tabs>
        <w:ind w:left="1440"/>
        <w:rPr>
          <w:rFonts w:ascii="Times New Roman" w:hAnsi="Times New Roman"/>
          <w:bCs/>
          <w:kern w:val="24"/>
          <w:sz w:val="24"/>
          <w:szCs w:val="24"/>
        </w:rPr>
      </w:pPr>
    </w:p>
    <w:p w:rsidR="00570785" w:rsidRDefault="00570785" w:rsidP="00C61B17">
      <w:pPr>
        <w:pStyle w:val="ListParagraph"/>
        <w:numPr>
          <w:ilvl w:val="0"/>
          <w:numId w:val="3"/>
        </w:numPr>
        <w:tabs>
          <w:tab w:val="left" w:pos="-1440"/>
        </w:tabs>
        <w:rPr>
          <w:rFonts w:ascii="Times New Roman" w:hAnsi="Times New Roman"/>
          <w:bCs/>
          <w:kern w:val="24"/>
          <w:sz w:val="24"/>
          <w:szCs w:val="24"/>
        </w:rPr>
      </w:pPr>
      <w:r>
        <w:rPr>
          <w:rFonts w:ascii="Times New Roman" w:hAnsi="Times New Roman"/>
          <w:bCs/>
          <w:kern w:val="24"/>
          <w:sz w:val="24"/>
          <w:szCs w:val="24"/>
        </w:rPr>
        <w:t>Mint Farm minimized PSE’s cost of power relative to new CCCT construction</w:t>
      </w:r>
      <w:r w:rsidRPr="0062660B">
        <w:rPr>
          <w:rFonts w:ascii="Times New Roman" w:hAnsi="Times New Roman"/>
          <w:bCs/>
          <w:kern w:val="24"/>
          <w:sz w:val="24"/>
          <w:szCs w:val="24"/>
        </w:rPr>
        <w:t>.</w:t>
      </w:r>
      <w:r>
        <w:rPr>
          <w:rStyle w:val="FootnoteReference"/>
          <w:rFonts w:ascii="Times New Roman" w:hAnsi="Times New Roman"/>
          <w:bCs/>
          <w:kern w:val="24"/>
          <w:sz w:val="24"/>
          <w:szCs w:val="24"/>
        </w:rPr>
        <w:footnoteReference w:id="259"/>
      </w:r>
      <w:r w:rsidRPr="0062660B">
        <w:rPr>
          <w:rFonts w:ascii="Times New Roman" w:hAnsi="Times New Roman"/>
          <w:bCs/>
          <w:kern w:val="24"/>
          <w:sz w:val="24"/>
          <w:szCs w:val="24"/>
        </w:rPr>
        <w:t xml:space="preserve"> </w:t>
      </w:r>
    </w:p>
    <w:p w:rsidR="00570785" w:rsidRPr="0062660B" w:rsidRDefault="00570785" w:rsidP="00570785">
      <w:pPr>
        <w:pStyle w:val="ListParagraph"/>
        <w:tabs>
          <w:tab w:val="left" w:pos="-1440"/>
        </w:tabs>
        <w:ind w:left="1440"/>
        <w:rPr>
          <w:rFonts w:ascii="Times New Roman" w:hAnsi="Times New Roman"/>
          <w:bCs/>
          <w:kern w:val="24"/>
          <w:sz w:val="24"/>
          <w:szCs w:val="24"/>
        </w:rPr>
      </w:pPr>
    </w:p>
    <w:p w:rsidR="00570785" w:rsidRDefault="00570785" w:rsidP="00C61B17">
      <w:pPr>
        <w:pStyle w:val="ListParagraph"/>
        <w:numPr>
          <w:ilvl w:val="0"/>
          <w:numId w:val="2"/>
        </w:numPr>
        <w:tabs>
          <w:tab w:val="left" w:pos="-1440"/>
        </w:tabs>
        <w:spacing w:line="480" w:lineRule="auto"/>
        <w:rPr>
          <w:rFonts w:ascii="Times New Roman" w:hAnsi="Times New Roman"/>
          <w:bCs/>
          <w:kern w:val="24"/>
          <w:sz w:val="24"/>
          <w:szCs w:val="24"/>
        </w:rPr>
      </w:pPr>
      <w:r>
        <w:rPr>
          <w:rFonts w:ascii="Times New Roman" w:hAnsi="Times New Roman"/>
          <w:bCs/>
          <w:kern w:val="24"/>
          <w:sz w:val="24"/>
          <w:szCs w:val="24"/>
        </w:rPr>
        <w:t xml:space="preserve">Mint Farm had </w:t>
      </w:r>
      <w:r w:rsidRPr="00416045">
        <w:rPr>
          <w:rFonts w:ascii="Times New Roman" w:hAnsi="Times New Roman"/>
          <w:bCs/>
          <w:kern w:val="24"/>
          <w:sz w:val="24"/>
          <w:szCs w:val="24"/>
        </w:rPr>
        <w:t>a low heat rate compared to other CCCTs.</w:t>
      </w:r>
      <w:r>
        <w:rPr>
          <w:rStyle w:val="FootnoteReference"/>
          <w:rFonts w:ascii="Times New Roman" w:hAnsi="Times New Roman"/>
          <w:bCs/>
          <w:kern w:val="24"/>
          <w:sz w:val="24"/>
          <w:szCs w:val="24"/>
        </w:rPr>
        <w:footnoteReference w:id="260"/>
      </w:r>
      <w:r w:rsidRPr="00416045">
        <w:rPr>
          <w:rFonts w:ascii="Times New Roman" w:hAnsi="Times New Roman"/>
          <w:bCs/>
          <w:kern w:val="24"/>
          <w:sz w:val="24"/>
          <w:szCs w:val="24"/>
        </w:rPr>
        <w:t xml:space="preserve"> </w:t>
      </w:r>
    </w:p>
    <w:p w:rsidR="00570785" w:rsidRDefault="00570785" w:rsidP="00C61B17">
      <w:pPr>
        <w:pStyle w:val="ListParagraph"/>
        <w:numPr>
          <w:ilvl w:val="0"/>
          <w:numId w:val="2"/>
        </w:numPr>
        <w:tabs>
          <w:tab w:val="left" w:pos="-1440"/>
        </w:tabs>
        <w:rPr>
          <w:rFonts w:ascii="Times New Roman" w:hAnsi="Times New Roman"/>
          <w:bCs/>
          <w:kern w:val="24"/>
          <w:sz w:val="24"/>
          <w:szCs w:val="24"/>
        </w:rPr>
      </w:pPr>
      <w:r>
        <w:rPr>
          <w:rFonts w:ascii="Times New Roman" w:hAnsi="Times New Roman"/>
          <w:bCs/>
          <w:kern w:val="24"/>
          <w:sz w:val="24"/>
          <w:szCs w:val="24"/>
        </w:rPr>
        <w:t xml:space="preserve">Mint Farm had </w:t>
      </w:r>
      <w:r w:rsidRPr="00416045">
        <w:rPr>
          <w:rFonts w:ascii="Times New Roman" w:hAnsi="Times New Roman"/>
          <w:bCs/>
          <w:kern w:val="24"/>
          <w:sz w:val="24"/>
          <w:szCs w:val="24"/>
        </w:rPr>
        <w:t>pre-existing electric t</w:t>
      </w:r>
      <w:r>
        <w:rPr>
          <w:rFonts w:ascii="Times New Roman" w:hAnsi="Times New Roman"/>
          <w:bCs/>
          <w:kern w:val="24"/>
          <w:sz w:val="24"/>
          <w:szCs w:val="24"/>
        </w:rPr>
        <w:t xml:space="preserve">ransmission rights </w:t>
      </w:r>
      <w:r w:rsidRPr="00416045">
        <w:rPr>
          <w:rFonts w:ascii="Times New Roman" w:hAnsi="Times New Roman"/>
          <w:bCs/>
          <w:kern w:val="24"/>
          <w:sz w:val="24"/>
          <w:szCs w:val="24"/>
        </w:rPr>
        <w:t>in Western Washington</w:t>
      </w:r>
      <w:r>
        <w:rPr>
          <w:rFonts w:ascii="Times New Roman" w:hAnsi="Times New Roman"/>
          <w:bCs/>
          <w:kern w:val="24"/>
          <w:sz w:val="24"/>
          <w:szCs w:val="24"/>
        </w:rPr>
        <w:t>.</w:t>
      </w:r>
      <w:r>
        <w:rPr>
          <w:rStyle w:val="FootnoteReference"/>
          <w:rFonts w:ascii="Times New Roman" w:hAnsi="Times New Roman"/>
          <w:bCs/>
          <w:kern w:val="24"/>
          <w:sz w:val="24"/>
          <w:szCs w:val="24"/>
        </w:rPr>
        <w:footnoteReference w:id="261"/>
      </w:r>
      <w:r w:rsidRPr="00416045">
        <w:rPr>
          <w:rFonts w:ascii="Times New Roman" w:hAnsi="Times New Roman"/>
          <w:bCs/>
          <w:kern w:val="24"/>
          <w:sz w:val="24"/>
          <w:szCs w:val="24"/>
        </w:rPr>
        <w:t xml:space="preserve"> </w:t>
      </w:r>
    </w:p>
    <w:p w:rsidR="00570785" w:rsidRDefault="00570785" w:rsidP="00570785">
      <w:pPr>
        <w:pStyle w:val="ListParagraph"/>
        <w:tabs>
          <w:tab w:val="left" w:pos="-1440"/>
        </w:tabs>
        <w:ind w:left="1440"/>
        <w:rPr>
          <w:rFonts w:ascii="Times New Roman" w:hAnsi="Times New Roman"/>
          <w:bCs/>
          <w:kern w:val="24"/>
          <w:sz w:val="24"/>
          <w:szCs w:val="24"/>
        </w:rPr>
      </w:pPr>
    </w:p>
    <w:p w:rsidR="00570785" w:rsidRDefault="00570785" w:rsidP="00C61B17">
      <w:pPr>
        <w:pStyle w:val="ListParagraph"/>
        <w:numPr>
          <w:ilvl w:val="0"/>
          <w:numId w:val="2"/>
        </w:numPr>
        <w:tabs>
          <w:tab w:val="left" w:pos="-1440"/>
        </w:tabs>
        <w:spacing w:line="480" w:lineRule="auto"/>
        <w:rPr>
          <w:rFonts w:ascii="Times New Roman" w:hAnsi="Times New Roman"/>
          <w:bCs/>
          <w:kern w:val="24"/>
          <w:sz w:val="24"/>
          <w:szCs w:val="24"/>
        </w:rPr>
      </w:pPr>
      <w:r>
        <w:rPr>
          <w:rFonts w:ascii="Times New Roman" w:hAnsi="Times New Roman"/>
          <w:bCs/>
          <w:kern w:val="24"/>
          <w:sz w:val="24"/>
          <w:szCs w:val="24"/>
        </w:rPr>
        <w:t>Mint Farm had sufficient</w:t>
      </w:r>
      <w:r w:rsidRPr="00416045">
        <w:rPr>
          <w:rFonts w:ascii="Times New Roman" w:hAnsi="Times New Roman"/>
          <w:bCs/>
          <w:kern w:val="24"/>
          <w:sz w:val="24"/>
          <w:szCs w:val="24"/>
        </w:rPr>
        <w:t xml:space="preserve"> gas transmission and supply</w:t>
      </w:r>
      <w:r>
        <w:rPr>
          <w:rFonts w:ascii="Times New Roman" w:hAnsi="Times New Roman"/>
          <w:bCs/>
          <w:kern w:val="24"/>
          <w:sz w:val="24"/>
          <w:szCs w:val="24"/>
        </w:rPr>
        <w:t>.</w:t>
      </w:r>
      <w:r>
        <w:rPr>
          <w:rStyle w:val="FootnoteReference"/>
          <w:rFonts w:ascii="Times New Roman" w:hAnsi="Times New Roman"/>
          <w:bCs/>
          <w:kern w:val="24"/>
          <w:sz w:val="24"/>
          <w:szCs w:val="24"/>
        </w:rPr>
        <w:footnoteReference w:id="262"/>
      </w:r>
      <w:r w:rsidRPr="00416045">
        <w:rPr>
          <w:rFonts w:ascii="Times New Roman" w:hAnsi="Times New Roman"/>
          <w:bCs/>
          <w:kern w:val="24"/>
          <w:sz w:val="24"/>
          <w:szCs w:val="24"/>
        </w:rPr>
        <w:t xml:space="preserve"> </w:t>
      </w:r>
    </w:p>
    <w:p w:rsidR="00570785" w:rsidRDefault="00570785" w:rsidP="00C61B17">
      <w:pPr>
        <w:pStyle w:val="ListParagraph"/>
        <w:numPr>
          <w:ilvl w:val="0"/>
          <w:numId w:val="2"/>
        </w:numPr>
        <w:tabs>
          <w:tab w:val="left" w:pos="-1440"/>
        </w:tabs>
        <w:rPr>
          <w:rFonts w:ascii="Times New Roman" w:hAnsi="Times New Roman"/>
          <w:bCs/>
          <w:kern w:val="24"/>
          <w:sz w:val="24"/>
          <w:szCs w:val="24"/>
        </w:rPr>
      </w:pPr>
      <w:r>
        <w:rPr>
          <w:rFonts w:ascii="Times New Roman" w:hAnsi="Times New Roman"/>
          <w:bCs/>
          <w:kern w:val="24"/>
          <w:sz w:val="24"/>
          <w:szCs w:val="24"/>
        </w:rPr>
        <w:t xml:space="preserve">Mint Farm was a </w:t>
      </w:r>
      <w:r w:rsidRPr="00416045">
        <w:rPr>
          <w:rFonts w:ascii="Times New Roman" w:hAnsi="Times New Roman"/>
          <w:bCs/>
          <w:kern w:val="24"/>
          <w:sz w:val="24"/>
          <w:szCs w:val="24"/>
        </w:rPr>
        <w:t xml:space="preserve">new plant </w:t>
      </w:r>
      <w:r>
        <w:rPr>
          <w:rFonts w:ascii="Times New Roman" w:hAnsi="Times New Roman"/>
          <w:bCs/>
          <w:kern w:val="24"/>
          <w:sz w:val="24"/>
          <w:szCs w:val="24"/>
        </w:rPr>
        <w:t xml:space="preserve">that, </w:t>
      </w:r>
      <w:r w:rsidRPr="00416045">
        <w:rPr>
          <w:rFonts w:ascii="Times New Roman" w:hAnsi="Times New Roman"/>
          <w:bCs/>
          <w:kern w:val="24"/>
          <w:sz w:val="24"/>
          <w:szCs w:val="24"/>
        </w:rPr>
        <w:t>with good maintenance</w:t>
      </w:r>
      <w:r>
        <w:rPr>
          <w:rFonts w:ascii="Times New Roman" w:hAnsi="Times New Roman"/>
          <w:bCs/>
          <w:kern w:val="24"/>
          <w:sz w:val="24"/>
          <w:szCs w:val="24"/>
        </w:rPr>
        <w:t>, had an expected service life of 25-30 years.</w:t>
      </w:r>
      <w:r>
        <w:rPr>
          <w:rStyle w:val="FootnoteReference"/>
          <w:rFonts w:ascii="Times New Roman" w:hAnsi="Times New Roman"/>
          <w:bCs/>
          <w:kern w:val="24"/>
          <w:sz w:val="24"/>
          <w:szCs w:val="24"/>
        </w:rPr>
        <w:footnoteReference w:id="263"/>
      </w:r>
      <w:r w:rsidRPr="00416045">
        <w:rPr>
          <w:rFonts w:ascii="Times New Roman" w:hAnsi="Times New Roman"/>
          <w:bCs/>
          <w:kern w:val="24"/>
          <w:sz w:val="24"/>
          <w:szCs w:val="24"/>
        </w:rPr>
        <w:t xml:space="preserve">  </w:t>
      </w:r>
    </w:p>
    <w:p w:rsidR="00570785" w:rsidRDefault="00570785" w:rsidP="00570785">
      <w:pPr>
        <w:pStyle w:val="ListParagraph"/>
        <w:tabs>
          <w:tab w:val="left" w:pos="-1440"/>
        </w:tabs>
        <w:ind w:left="1440"/>
        <w:rPr>
          <w:rFonts w:ascii="Times New Roman" w:hAnsi="Times New Roman"/>
          <w:bCs/>
          <w:kern w:val="24"/>
          <w:sz w:val="24"/>
          <w:szCs w:val="24"/>
        </w:rPr>
      </w:pPr>
    </w:p>
    <w:p w:rsidR="00570785" w:rsidRDefault="00570785" w:rsidP="00C61B17">
      <w:pPr>
        <w:pStyle w:val="ListParagraph"/>
        <w:numPr>
          <w:ilvl w:val="0"/>
          <w:numId w:val="2"/>
        </w:numPr>
        <w:tabs>
          <w:tab w:val="left" w:pos="-1440"/>
        </w:tabs>
        <w:rPr>
          <w:rFonts w:ascii="Times New Roman" w:hAnsi="Times New Roman"/>
          <w:bCs/>
          <w:kern w:val="24"/>
          <w:sz w:val="24"/>
          <w:szCs w:val="24"/>
        </w:rPr>
      </w:pPr>
      <w:r>
        <w:rPr>
          <w:rFonts w:ascii="Times New Roman" w:hAnsi="Times New Roman"/>
          <w:bCs/>
          <w:kern w:val="24"/>
          <w:sz w:val="24"/>
          <w:szCs w:val="24"/>
        </w:rPr>
        <w:t xml:space="preserve">Mint Farm posed no </w:t>
      </w:r>
      <w:r w:rsidRPr="00416045">
        <w:rPr>
          <w:rFonts w:ascii="Times New Roman" w:hAnsi="Times New Roman"/>
          <w:bCs/>
          <w:kern w:val="24"/>
          <w:sz w:val="24"/>
          <w:szCs w:val="24"/>
        </w:rPr>
        <w:t>r</w:t>
      </w:r>
      <w:r>
        <w:rPr>
          <w:rFonts w:ascii="Times New Roman" w:hAnsi="Times New Roman"/>
          <w:bCs/>
          <w:kern w:val="24"/>
          <w:sz w:val="24"/>
          <w:szCs w:val="24"/>
        </w:rPr>
        <w:t xml:space="preserve">isk of construction or counterparty default since it </w:t>
      </w:r>
      <w:r w:rsidRPr="00416045">
        <w:rPr>
          <w:rFonts w:ascii="Times New Roman" w:hAnsi="Times New Roman"/>
          <w:bCs/>
          <w:kern w:val="24"/>
          <w:sz w:val="24"/>
          <w:szCs w:val="24"/>
        </w:rPr>
        <w:t>was an existing, operational facility</w:t>
      </w:r>
      <w:r>
        <w:rPr>
          <w:rFonts w:ascii="Times New Roman" w:hAnsi="Times New Roman"/>
          <w:bCs/>
          <w:kern w:val="24"/>
          <w:sz w:val="24"/>
          <w:szCs w:val="24"/>
        </w:rPr>
        <w:t>.</w:t>
      </w:r>
    </w:p>
    <w:p w:rsidR="00570785" w:rsidRDefault="00570785" w:rsidP="00570785">
      <w:pPr>
        <w:pStyle w:val="ListParagraph"/>
        <w:tabs>
          <w:tab w:val="left" w:pos="-1440"/>
        </w:tabs>
        <w:ind w:left="1440"/>
        <w:rPr>
          <w:rFonts w:ascii="Times New Roman" w:hAnsi="Times New Roman"/>
          <w:bCs/>
          <w:kern w:val="24"/>
          <w:sz w:val="24"/>
          <w:szCs w:val="24"/>
        </w:rPr>
      </w:pPr>
    </w:p>
    <w:p w:rsidR="00570785" w:rsidRPr="00512262" w:rsidRDefault="00570785" w:rsidP="00C61B17">
      <w:pPr>
        <w:pStyle w:val="ListParagraph"/>
        <w:numPr>
          <w:ilvl w:val="0"/>
          <w:numId w:val="2"/>
        </w:numPr>
        <w:tabs>
          <w:tab w:val="left" w:pos="-1440"/>
        </w:tabs>
        <w:rPr>
          <w:rFonts w:ascii="Times New Roman" w:hAnsi="Times New Roman"/>
          <w:bCs/>
          <w:kern w:val="24"/>
          <w:sz w:val="24"/>
          <w:szCs w:val="24"/>
        </w:rPr>
      </w:pPr>
      <w:r>
        <w:rPr>
          <w:rFonts w:ascii="Times New Roman" w:hAnsi="Times New Roman"/>
          <w:bCs/>
          <w:kern w:val="24"/>
          <w:sz w:val="24"/>
          <w:szCs w:val="24"/>
        </w:rPr>
        <w:t xml:space="preserve">As the last available CCCT in Washington with firm transmission rights, </w:t>
      </w:r>
      <w:r w:rsidRPr="00512262">
        <w:rPr>
          <w:rFonts w:ascii="Times New Roman" w:hAnsi="Times New Roman"/>
          <w:bCs/>
          <w:kern w:val="24"/>
          <w:sz w:val="24"/>
          <w:szCs w:val="24"/>
        </w:rPr>
        <w:t>Mint Farm was a unique opportunity</w:t>
      </w:r>
      <w:r>
        <w:rPr>
          <w:rFonts w:ascii="Times New Roman" w:hAnsi="Times New Roman"/>
          <w:bCs/>
          <w:kern w:val="24"/>
          <w:sz w:val="24"/>
          <w:szCs w:val="24"/>
        </w:rPr>
        <w:t xml:space="preserve"> not likely to remain available during the Company’s next RFP</w:t>
      </w:r>
      <w:r w:rsidRPr="00512262">
        <w:rPr>
          <w:rFonts w:ascii="Times New Roman" w:hAnsi="Times New Roman"/>
          <w:bCs/>
          <w:kern w:val="24"/>
          <w:sz w:val="24"/>
          <w:szCs w:val="24"/>
        </w:rPr>
        <w:t>.</w:t>
      </w:r>
      <w:r>
        <w:rPr>
          <w:rStyle w:val="FootnoteReference"/>
          <w:rFonts w:ascii="Times New Roman" w:hAnsi="Times New Roman"/>
          <w:bCs/>
          <w:kern w:val="24"/>
          <w:sz w:val="24"/>
          <w:szCs w:val="24"/>
        </w:rPr>
        <w:footnoteReference w:id="264"/>
      </w:r>
    </w:p>
    <w:p w:rsidR="00570785" w:rsidRPr="006A2EFA" w:rsidRDefault="00570785" w:rsidP="00570785">
      <w:pPr>
        <w:pStyle w:val="ListParagraph"/>
        <w:tabs>
          <w:tab w:val="left" w:pos="-1440"/>
        </w:tabs>
        <w:ind w:left="1440"/>
        <w:rPr>
          <w:rFonts w:ascii="Times New Roman" w:hAnsi="Times New Roman"/>
          <w:bCs/>
          <w:kern w:val="24"/>
          <w:sz w:val="24"/>
          <w:szCs w:val="24"/>
        </w:rPr>
      </w:pPr>
    </w:p>
    <w:p w:rsidR="00570785" w:rsidRPr="008A103E" w:rsidRDefault="00570785" w:rsidP="00C61B17">
      <w:pPr>
        <w:pStyle w:val="ListParagraph"/>
        <w:numPr>
          <w:ilvl w:val="0"/>
          <w:numId w:val="2"/>
        </w:numPr>
        <w:tabs>
          <w:tab w:val="left" w:pos="-1440"/>
        </w:tabs>
        <w:rPr>
          <w:rFonts w:ascii="Times New Roman" w:hAnsi="Times New Roman"/>
          <w:bCs/>
          <w:kern w:val="24"/>
          <w:sz w:val="24"/>
          <w:szCs w:val="24"/>
        </w:rPr>
      </w:pPr>
      <w:r w:rsidRPr="008A103E">
        <w:rPr>
          <w:rFonts w:ascii="Times New Roman" w:hAnsi="Times New Roman"/>
          <w:bCs/>
          <w:kern w:val="24"/>
          <w:sz w:val="24"/>
          <w:szCs w:val="24"/>
        </w:rPr>
        <w:t>Mint Farm provided flexibility to meet variable loads including integrating wind resources.</w:t>
      </w:r>
      <w:r>
        <w:rPr>
          <w:rStyle w:val="FootnoteReference"/>
          <w:rFonts w:ascii="Times New Roman" w:hAnsi="Times New Roman"/>
          <w:bCs/>
          <w:kern w:val="24"/>
          <w:sz w:val="24"/>
          <w:szCs w:val="24"/>
        </w:rPr>
        <w:footnoteReference w:id="265"/>
      </w:r>
      <w:r w:rsidRPr="008A103E">
        <w:rPr>
          <w:rFonts w:ascii="Times New Roman" w:hAnsi="Times New Roman"/>
          <w:bCs/>
          <w:kern w:val="24"/>
          <w:sz w:val="24"/>
          <w:szCs w:val="24"/>
        </w:rPr>
        <w:t xml:space="preserve">   </w:t>
      </w:r>
    </w:p>
    <w:p w:rsidR="00570785" w:rsidRDefault="00570785" w:rsidP="00570785">
      <w:pPr>
        <w:tabs>
          <w:tab w:val="left" w:pos="-1440"/>
          <w:tab w:val="left" w:pos="720"/>
        </w:tabs>
        <w:ind w:left="1440" w:hanging="1440"/>
        <w:rPr>
          <w:rFonts w:ascii="Times New Roman" w:hAnsi="Times New Roman"/>
          <w:b/>
          <w:bCs/>
          <w:kern w:val="24"/>
          <w:sz w:val="24"/>
          <w:szCs w:val="24"/>
        </w:rPr>
      </w:pPr>
      <w:r>
        <w:rPr>
          <w:rFonts w:ascii="Times New Roman" w:hAnsi="Times New Roman"/>
          <w:bCs/>
          <w:kern w:val="24"/>
          <w:sz w:val="24"/>
          <w:szCs w:val="24"/>
        </w:rPr>
        <w:tab/>
      </w:r>
    </w:p>
    <w:p w:rsidR="00570785" w:rsidRPr="008A103E" w:rsidRDefault="00570785" w:rsidP="00570785">
      <w:pPr>
        <w:tabs>
          <w:tab w:val="left" w:pos="-1440"/>
          <w:tab w:val="left" w:pos="720"/>
        </w:tabs>
        <w:ind w:left="1440" w:hanging="1440"/>
        <w:rPr>
          <w:rFonts w:ascii="Times New Roman" w:hAnsi="Times New Roman"/>
          <w:bCs/>
          <w:kern w:val="24"/>
          <w:sz w:val="24"/>
          <w:szCs w:val="24"/>
        </w:rPr>
      </w:pPr>
      <w:r>
        <w:rPr>
          <w:rFonts w:ascii="Times New Roman" w:hAnsi="Times New Roman"/>
          <w:bCs/>
          <w:kern w:val="24"/>
          <w:sz w:val="24"/>
          <w:szCs w:val="24"/>
        </w:rPr>
        <w:t xml:space="preserve"> </w:t>
      </w:r>
      <w:r>
        <w:rPr>
          <w:rFonts w:ascii="Times New Roman" w:hAnsi="Times New Roman"/>
          <w:bCs/>
          <w:kern w:val="24"/>
          <w:sz w:val="24"/>
          <w:szCs w:val="24"/>
        </w:rPr>
        <w:tab/>
      </w:r>
      <w:r w:rsidRPr="00795831">
        <w:rPr>
          <w:rFonts w:ascii="Times New Roman" w:hAnsi="Times New Roman"/>
          <w:b/>
          <w:bCs/>
          <w:kern w:val="24"/>
          <w:sz w:val="24"/>
          <w:szCs w:val="24"/>
        </w:rPr>
        <w:t>c.</w:t>
      </w:r>
      <w:r w:rsidRPr="00D21B92">
        <w:rPr>
          <w:rFonts w:ascii="Times New Roman" w:hAnsi="Times New Roman"/>
          <w:b/>
          <w:bCs/>
          <w:kern w:val="24"/>
          <w:sz w:val="24"/>
          <w:szCs w:val="24"/>
        </w:rPr>
        <w:tab/>
        <w:t xml:space="preserve">PSE demonstrated that Mint Farm complies with </w:t>
      </w:r>
      <w:r>
        <w:rPr>
          <w:rFonts w:ascii="Times New Roman" w:hAnsi="Times New Roman"/>
          <w:b/>
          <w:bCs/>
          <w:kern w:val="24"/>
          <w:sz w:val="24"/>
          <w:szCs w:val="24"/>
        </w:rPr>
        <w:t>the GHG Standard</w:t>
      </w:r>
    </w:p>
    <w:p w:rsidR="00570785" w:rsidRDefault="00570785" w:rsidP="00570785">
      <w:pPr>
        <w:tabs>
          <w:tab w:val="left" w:pos="-1440"/>
        </w:tabs>
        <w:ind w:hanging="720"/>
        <w:rPr>
          <w:rFonts w:ascii="Times New Roman" w:hAnsi="Times New Roman"/>
          <w:bCs/>
          <w:kern w:val="24"/>
          <w:sz w:val="24"/>
          <w:szCs w:val="24"/>
        </w:rPr>
      </w:pPr>
    </w:p>
    <w:p w:rsidR="00570785" w:rsidRPr="0088344E" w:rsidRDefault="0088344E" w:rsidP="0088344E">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 xml:space="preserve">RCW 80.80.060(1) states: </w:t>
      </w:r>
    </w:p>
    <w:p w:rsidR="00570785" w:rsidRDefault="00570785" w:rsidP="0088344E">
      <w:pPr>
        <w:ind w:left="720" w:right="1008"/>
        <w:rPr>
          <w:rFonts w:ascii="Times New Roman" w:hAnsi="Times New Roman"/>
          <w:sz w:val="24"/>
          <w:szCs w:val="24"/>
        </w:rPr>
      </w:pPr>
      <w:r w:rsidRPr="00245FEE">
        <w:rPr>
          <w:rFonts w:ascii="Times New Roman" w:hAnsi="Times New Roman"/>
          <w:sz w:val="24"/>
          <w:szCs w:val="24"/>
        </w:rPr>
        <w:t xml:space="preserve">No </w:t>
      </w:r>
      <w:r w:rsidRPr="00A556EB">
        <w:rPr>
          <w:rFonts w:ascii="Times New Roman" w:hAnsi="Times New Roman"/>
          <w:sz w:val="24"/>
          <w:szCs w:val="24"/>
        </w:rPr>
        <w:t>electrical company</w:t>
      </w:r>
      <w:r w:rsidRPr="00245FEE">
        <w:rPr>
          <w:rFonts w:ascii="Times New Roman" w:hAnsi="Times New Roman"/>
          <w:sz w:val="24"/>
          <w:szCs w:val="24"/>
        </w:rPr>
        <w:t xml:space="preserve"> may enter into a long-term financial commitment unless the </w:t>
      </w:r>
      <w:r w:rsidRPr="008A103E">
        <w:rPr>
          <w:rFonts w:ascii="Times New Roman" w:hAnsi="Times New Roman"/>
          <w:sz w:val="24"/>
          <w:szCs w:val="24"/>
        </w:rPr>
        <w:t>baseload electric generation</w:t>
      </w:r>
      <w:r w:rsidRPr="00245FEE">
        <w:rPr>
          <w:rFonts w:ascii="Times New Roman" w:hAnsi="Times New Roman"/>
          <w:sz w:val="24"/>
          <w:szCs w:val="24"/>
        </w:rPr>
        <w:t xml:space="preserve"> supplied under such a </w:t>
      </w:r>
      <w:r w:rsidRPr="00A556EB">
        <w:rPr>
          <w:rFonts w:ascii="Times New Roman" w:hAnsi="Times New Roman"/>
          <w:sz w:val="24"/>
          <w:szCs w:val="24"/>
        </w:rPr>
        <w:t>long-term financial commitment</w:t>
      </w:r>
      <w:r w:rsidRPr="00245FEE">
        <w:rPr>
          <w:rFonts w:ascii="Times New Roman" w:hAnsi="Times New Roman"/>
          <w:sz w:val="24"/>
          <w:szCs w:val="24"/>
        </w:rPr>
        <w:t xml:space="preserve"> complies with the greenhouse gases </w:t>
      </w:r>
      <w:r>
        <w:rPr>
          <w:rFonts w:ascii="Times New Roman" w:hAnsi="Times New Roman"/>
          <w:sz w:val="24"/>
          <w:szCs w:val="24"/>
        </w:rPr>
        <w:t xml:space="preserve">emissions performance standard.  </w:t>
      </w:r>
    </w:p>
    <w:p w:rsidR="00570785" w:rsidRDefault="00570785" w:rsidP="00570785">
      <w:pPr>
        <w:rPr>
          <w:rFonts w:ascii="Times New Roman" w:hAnsi="Times New Roman"/>
          <w:sz w:val="24"/>
          <w:szCs w:val="24"/>
        </w:rPr>
      </w:pPr>
    </w:p>
    <w:p w:rsidR="00570785" w:rsidRDefault="00570785" w:rsidP="0088344E">
      <w:pPr>
        <w:tabs>
          <w:tab w:val="left" w:pos="-1440"/>
        </w:tabs>
        <w:spacing w:line="480" w:lineRule="auto"/>
        <w:rPr>
          <w:rFonts w:ascii="Times New Roman" w:hAnsi="Times New Roman"/>
          <w:sz w:val="24"/>
          <w:szCs w:val="24"/>
        </w:rPr>
      </w:pPr>
      <w:r>
        <w:rPr>
          <w:rFonts w:ascii="Times New Roman" w:hAnsi="Times New Roman"/>
          <w:sz w:val="24"/>
          <w:szCs w:val="24"/>
        </w:rPr>
        <w:t>The GHG Standard is 1100 pounds of greenhouse gases per megawatt-hour.</w:t>
      </w:r>
      <w:r>
        <w:rPr>
          <w:rStyle w:val="FootnoteReference"/>
          <w:rFonts w:ascii="Times New Roman" w:hAnsi="Times New Roman"/>
          <w:sz w:val="24"/>
          <w:szCs w:val="24"/>
        </w:rPr>
        <w:footnoteReference w:id="266"/>
      </w:r>
      <w:r>
        <w:rPr>
          <w:rFonts w:ascii="Times New Roman" w:hAnsi="Times New Roman"/>
          <w:sz w:val="24"/>
          <w:szCs w:val="24"/>
        </w:rPr>
        <w:t xml:space="preserve">  The issue is whether Mint Farm is “baseload electric generation” that must meet this s</w:t>
      </w:r>
      <w:r w:rsidRPr="00245FEE">
        <w:rPr>
          <w:rFonts w:ascii="Times New Roman" w:hAnsi="Times New Roman"/>
          <w:sz w:val="24"/>
          <w:szCs w:val="24"/>
        </w:rPr>
        <w:t>tandard</w:t>
      </w:r>
      <w:r>
        <w:rPr>
          <w:rFonts w:ascii="Times New Roman" w:hAnsi="Times New Roman"/>
          <w:sz w:val="24"/>
          <w:szCs w:val="24"/>
        </w:rPr>
        <w:t xml:space="preserve">. </w:t>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“Baseload electric generation” means energy from a facility that is “designed and intended to provide electricity at an annualized plant capacity factor of at least 60 percent.”</w:t>
      </w:r>
      <w:r w:rsidR="00570785">
        <w:rPr>
          <w:rStyle w:val="FootnoteReference"/>
          <w:rFonts w:ascii="Times New Roman" w:hAnsi="Times New Roman"/>
          <w:szCs w:val="24"/>
        </w:rPr>
        <w:footnoteReference w:id="267"/>
      </w:r>
      <w:r w:rsidR="00570785" w:rsidRPr="0088344E">
        <w:rPr>
          <w:rFonts w:ascii="Times New Roman" w:hAnsi="Times New Roman"/>
          <w:sz w:val="24"/>
          <w:szCs w:val="24"/>
        </w:rPr>
        <w:t xml:space="preserve">  In determining whether a facility is </w:t>
      </w:r>
      <w:r w:rsidR="00F22195" w:rsidRPr="0088344E">
        <w:rPr>
          <w:rFonts w:ascii="Times New Roman" w:hAnsi="Times New Roman"/>
          <w:sz w:val="24"/>
          <w:szCs w:val="24"/>
        </w:rPr>
        <w:t>meets that standard</w:t>
      </w:r>
      <w:r w:rsidR="00570785" w:rsidRPr="0088344E">
        <w:rPr>
          <w:rFonts w:ascii="Times New Roman" w:hAnsi="Times New Roman"/>
          <w:sz w:val="24"/>
          <w:szCs w:val="24"/>
        </w:rPr>
        <w:t xml:space="preserve">, the Commission </w:t>
      </w:r>
      <w:r w:rsidR="00F22195" w:rsidRPr="0088344E">
        <w:rPr>
          <w:rFonts w:ascii="Times New Roman" w:hAnsi="Times New Roman"/>
          <w:sz w:val="24"/>
          <w:szCs w:val="24"/>
        </w:rPr>
        <w:t xml:space="preserve">focuses primarily on plant design and </w:t>
      </w:r>
      <w:r w:rsidR="0086057E" w:rsidRPr="0088344E">
        <w:rPr>
          <w:rFonts w:ascii="Times New Roman" w:hAnsi="Times New Roman"/>
          <w:sz w:val="24"/>
          <w:szCs w:val="24"/>
        </w:rPr>
        <w:t>necessary operating permits</w:t>
      </w:r>
      <w:r w:rsidR="00F22195" w:rsidRPr="0088344E">
        <w:rPr>
          <w:rFonts w:ascii="Times New Roman" w:hAnsi="Times New Roman"/>
          <w:sz w:val="24"/>
          <w:szCs w:val="24"/>
        </w:rPr>
        <w:t>.</w:t>
      </w:r>
      <w:r w:rsidR="00570785">
        <w:rPr>
          <w:rStyle w:val="FootnoteReference"/>
          <w:rFonts w:ascii="Times New Roman" w:hAnsi="Times New Roman"/>
          <w:sz w:val="24"/>
          <w:szCs w:val="24"/>
        </w:rPr>
        <w:footnoteReference w:id="268"/>
      </w:r>
      <w:r w:rsidR="00570785" w:rsidRPr="0088344E">
        <w:rPr>
          <w:rFonts w:ascii="Times New Roman" w:hAnsi="Times New Roman"/>
          <w:sz w:val="24"/>
          <w:szCs w:val="24"/>
        </w:rPr>
        <w:t xml:space="preserve">  </w:t>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 xml:space="preserve">Mint Farm was designed to operate </w:t>
      </w:r>
      <w:r w:rsidR="00B11652" w:rsidRPr="0088344E">
        <w:rPr>
          <w:rFonts w:ascii="Times New Roman" w:hAnsi="Times New Roman"/>
          <w:sz w:val="24"/>
          <w:szCs w:val="24"/>
        </w:rPr>
        <w:t xml:space="preserve">routinely </w:t>
      </w:r>
      <w:r w:rsidR="00570785" w:rsidRPr="0088344E">
        <w:rPr>
          <w:rFonts w:ascii="Times New Roman" w:hAnsi="Times New Roman"/>
          <w:sz w:val="24"/>
          <w:szCs w:val="24"/>
        </w:rPr>
        <w:t>over a 90 percent capacity factor.</w:t>
      </w:r>
      <w:r w:rsidR="00570785">
        <w:rPr>
          <w:rStyle w:val="FootnoteReference"/>
          <w:rFonts w:ascii="Times New Roman" w:hAnsi="Times New Roman"/>
          <w:sz w:val="24"/>
          <w:szCs w:val="24"/>
        </w:rPr>
        <w:footnoteReference w:id="269"/>
      </w:r>
      <w:r w:rsidR="00570785" w:rsidRPr="0088344E">
        <w:rPr>
          <w:rFonts w:ascii="Times New Roman" w:hAnsi="Times New Roman"/>
          <w:sz w:val="24"/>
          <w:szCs w:val="24"/>
        </w:rPr>
        <w:t xml:space="preserve">  PSE has made no alterations that would affect the plant’s capability.</w:t>
      </w:r>
      <w:r w:rsidR="00570785">
        <w:rPr>
          <w:rStyle w:val="FootnoteReference"/>
          <w:rFonts w:ascii="Times New Roman" w:hAnsi="Times New Roman"/>
          <w:sz w:val="24"/>
          <w:szCs w:val="24"/>
        </w:rPr>
        <w:footnoteReference w:id="270"/>
      </w:r>
      <w:r w:rsidR="00570785" w:rsidRPr="0088344E">
        <w:rPr>
          <w:rFonts w:ascii="Times New Roman" w:hAnsi="Times New Roman"/>
          <w:sz w:val="24"/>
          <w:szCs w:val="24"/>
        </w:rPr>
        <w:t xml:space="preserve">  </w:t>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lastRenderedPageBreak/>
        <w:tab/>
      </w:r>
      <w:r w:rsidR="00570785" w:rsidRPr="0088344E">
        <w:rPr>
          <w:rFonts w:ascii="Times New Roman" w:hAnsi="Times New Roman"/>
          <w:sz w:val="24"/>
          <w:szCs w:val="24"/>
        </w:rPr>
        <w:t>There are no air quali</w:t>
      </w:r>
      <w:r w:rsidR="0086057E" w:rsidRPr="0088344E">
        <w:rPr>
          <w:rFonts w:ascii="Times New Roman" w:hAnsi="Times New Roman"/>
          <w:sz w:val="24"/>
          <w:szCs w:val="24"/>
        </w:rPr>
        <w:t xml:space="preserve">ty permit restrictions on </w:t>
      </w:r>
      <w:r w:rsidR="00570785" w:rsidRPr="0088344E">
        <w:rPr>
          <w:rFonts w:ascii="Times New Roman" w:hAnsi="Times New Roman"/>
          <w:sz w:val="24"/>
          <w:szCs w:val="24"/>
        </w:rPr>
        <w:t>Mint Farm’s ability to operate at or above a 60 percent annual capacity factor.</w:t>
      </w:r>
      <w:r w:rsidR="00570785">
        <w:rPr>
          <w:rStyle w:val="FootnoteReference"/>
          <w:rFonts w:ascii="Times New Roman" w:hAnsi="Times New Roman"/>
          <w:sz w:val="24"/>
          <w:szCs w:val="24"/>
        </w:rPr>
        <w:footnoteReference w:id="271"/>
      </w:r>
      <w:r w:rsidR="00570785" w:rsidRPr="0088344E">
        <w:rPr>
          <w:rFonts w:ascii="Times New Roman" w:hAnsi="Times New Roman"/>
          <w:sz w:val="24"/>
          <w:szCs w:val="24"/>
        </w:rPr>
        <w:t xml:space="preserve">  PSE also has sufficient firm gas supply and transportation to operate Mint Farm at or above a 60 percent annual capacity factor.</w:t>
      </w:r>
      <w:r w:rsidR="00570785">
        <w:rPr>
          <w:rStyle w:val="FootnoteReference"/>
          <w:rFonts w:ascii="Times New Roman" w:hAnsi="Times New Roman"/>
          <w:sz w:val="24"/>
          <w:szCs w:val="24"/>
        </w:rPr>
        <w:footnoteReference w:id="272"/>
      </w:r>
      <w:r w:rsidR="00570785" w:rsidRPr="0088344E">
        <w:rPr>
          <w:rFonts w:ascii="Times New Roman" w:hAnsi="Times New Roman"/>
          <w:sz w:val="24"/>
          <w:szCs w:val="24"/>
        </w:rPr>
        <w:t xml:space="preserve">  </w:t>
      </w:r>
    </w:p>
    <w:p w:rsidR="006238C8"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Thus, Mint Farm is baseload electric genera</w:t>
      </w:r>
      <w:r w:rsidR="0086057E" w:rsidRPr="0088344E">
        <w:rPr>
          <w:rFonts w:ascii="Times New Roman" w:hAnsi="Times New Roman"/>
          <w:sz w:val="24"/>
          <w:szCs w:val="24"/>
        </w:rPr>
        <w:t>tion</w:t>
      </w:r>
      <w:r w:rsidR="00570785" w:rsidRPr="0088344E">
        <w:rPr>
          <w:rFonts w:ascii="Times New Roman" w:hAnsi="Times New Roman"/>
          <w:sz w:val="24"/>
          <w:szCs w:val="24"/>
        </w:rPr>
        <w:t>.  Mint Farm emits less than 1100 pounds of greenhouse gases per megawatt-hour.</w:t>
      </w:r>
      <w:r w:rsidR="00570785">
        <w:rPr>
          <w:rStyle w:val="FootnoteReference"/>
          <w:rFonts w:ascii="Times New Roman" w:hAnsi="Times New Roman"/>
          <w:sz w:val="24"/>
          <w:szCs w:val="24"/>
        </w:rPr>
        <w:footnoteReference w:id="273"/>
      </w:r>
      <w:r w:rsidR="0086057E" w:rsidRPr="0088344E">
        <w:rPr>
          <w:rFonts w:ascii="Times New Roman" w:hAnsi="Times New Roman"/>
          <w:sz w:val="24"/>
          <w:szCs w:val="24"/>
        </w:rPr>
        <w:t xml:space="preserve">  Therefore, it </w:t>
      </w:r>
      <w:r w:rsidR="00570785" w:rsidRPr="0088344E">
        <w:rPr>
          <w:rFonts w:ascii="Times New Roman" w:hAnsi="Times New Roman"/>
          <w:sz w:val="24"/>
          <w:szCs w:val="24"/>
        </w:rPr>
        <w:t>meets the GHG Standard.  This satisfies the statutory compliance part of the prudence review and warrants a Commission determination that Mint Farm complies with RCW 80.80.060(1).</w:t>
      </w:r>
      <w:r w:rsidR="00570785">
        <w:rPr>
          <w:rStyle w:val="FootnoteReference"/>
          <w:rFonts w:ascii="Times New Roman" w:hAnsi="Times New Roman"/>
          <w:sz w:val="24"/>
          <w:szCs w:val="24"/>
        </w:rPr>
        <w:footnoteReference w:id="274"/>
      </w:r>
      <w:r w:rsidR="00570785" w:rsidRPr="0088344E">
        <w:rPr>
          <w:rFonts w:ascii="Times New Roman" w:hAnsi="Times New Roman"/>
          <w:sz w:val="24"/>
          <w:szCs w:val="24"/>
        </w:rPr>
        <w:tab/>
      </w:r>
      <w:r w:rsidR="00570785" w:rsidRPr="0088344E">
        <w:rPr>
          <w:rFonts w:ascii="Times New Roman" w:hAnsi="Times New Roman"/>
          <w:sz w:val="24"/>
          <w:szCs w:val="24"/>
        </w:rPr>
        <w:tab/>
      </w:r>
    </w:p>
    <w:p w:rsidR="00570785" w:rsidRDefault="00570785" w:rsidP="006238C8">
      <w:pPr>
        <w:tabs>
          <w:tab w:val="left" w:pos="-1440"/>
        </w:tabs>
        <w:ind w:left="1440" w:hanging="720"/>
        <w:rPr>
          <w:rFonts w:ascii="Times New Roman" w:hAnsi="Times New Roman"/>
          <w:b/>
          <w:sz w:val="24"/>
          <w:szCs w:val="24"/>
        </w:rPr>
      </w:pPr>
      <w:r w:rsidRPr="00CD22CD">
        <w:rPr>
          <w:rFonts w:ascii="Times New Roman" w:hAnsi="Times New Roman"/>
          <w:b/>
          <w:sz w:val="24"/>
          <w:szCs w:val="24"/>
        </w:rPr>
        <w:t>2.</w:t>
      </w:r>
      <w:r w:rsidRPr="00CD22CD">
        <w:rPr>
          <w:rFonts w:ascii="Times New Roman" w:hAnsi="Times New Roman"/>
          <w:b/>
          <w:sz w:val="24"/>
          <w:szCs w:val="24"/>
        </w:rPr>
        <w:tab/>
        <w:t>Public Counsel’s criticisms of the Mi</w:t>
      </w:r>
      <w:r w:rsidR="006238C8">
        <w:rPr>
          <w:rFonts w:ascii="Times New Roman" w:hAnsi="Times New Roman"/>
          <w:b/>
          <w:sz w:val="24"/>
          <w:szCs w:val="24"/>
        </w:rPr>
        <w:t xml:space="preserve">nt Farm acquisition </w:t>
      </w:r>
      <w:r w:rsidRPr="00CD22CD">
        <w:rPr>
          <w:rFonts w:ascii="Times New Roman" w:hAnsi="Times New Roman"/>
          <w:b/>
          <w:sz w:val="24"/>
          <w:szCs w:val="24"/>
        </w:rPr>
        <w:t>should be rejected</w:t>
      </w:r>
    </w:p>
    <w:p w:rsidR="00570785" w:rsidRPr="00CD22CD" w:rsidRDefault="00570785" w:rsidP="00570785">
      <w:pPr>
        <w:tabs>
          <w:tab w:val="left" w:pos="-1440"/>
        </w:tabs>
        <w:ind w:left="90" w:hanging="720"/>
        <w:rPr>
          <w:rFonts w:ascii="Times New Roman" w:hAnsi="Times New Roman"/>
          <w:sz w:val="24"/>
          <w:szCs w:val="24"/>
          <w:u w:val="single"/>
        </w:rPr>
      </w:pPr>
    </w:p>
    <w:p w:rsidR="00570785" w:rsidRPr="0088344E" w:rsidRDefault="0088344E" w:rsidP="0088344E">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Public Counsel admits that “in the long-run ownership of Mint Farm should benefit customers.”</w:t>
      </w:r>
      <w:r w:rsidR="00570785">
        <w:rPr>
          <w:rStyle w:val="FootnoteReference"/>
          <w:rFonts w:ascii="Times New Roman" w:hAnsi="Times New Roman"/>
          <w:sz w:val="24"/>
          <w:szCs w:val="24"/>
        </w:rPr>
        <w:footnoteReference w:id="275"/>
      </w:r>
      <w:r w:rsidR="00570785" w:rsidRPr="0088344E">
        <w:rPr>
          <w:rFonts w:ascii="Times New Roman" w:hAnsi="Times New Roman"/>
          <w:sz w:val="24"/>
          <w:szCs w:val="24"/>
        </w:rPr>
        <w:t xml:space="preserve">  Nevertheless, he challenges the prudence of the acquisition.  His arguments have no merit and should be rejected by the Commission. </w:t>
      </w:r>
    </w:p>
    <w:p w:rsidR="00570785" w:rsidRDefault="00570785" w:rsidP="00570785">
      <w:pPr>
        <w:ind w:left="1440" w:hanging="720"/>
        <w:rPr>
          <w:rFonts w:ascii="Times New Roman" w:hAnsi="Times New Roman"/>
          <w:b/>
          <w:sz w:val="24"/>
          <w:szCs w:val="24"/>
        </w:rPr>
      </w:pPr>
      <w:r w:rsidRPr="00DF497D">
        <w:rPr>
          <w:rFonts w:ascii="Times New Roman" w:hAnsi="Times New Roman"/>
          <w:b/>
          <w:sz w:val="24"/>
          <w:szCs w:val="24"/>
        </w:rPr>
        <w:t>a.</w:t>
      </w:r>
      <w:r w:rsidRPr="00DF497D">
        <w:rPr>
          <w:rFonts w:ascii="Times New Roman" w:hAnsi="Times New Roman"/>
          <w:b/>
          <w:sz w:val="24"/>
          <w:szCs w:val="24"/>
        </w:rPr>
        <w:tab/>
        <w:t>Mint Farm is prudent even though it creates short-term surplu</w:t>
      </w:r>
      <w:r>
        <w:rPr>
          <w:rFonts w:ascii="Times New Roman" w:hAnsi="Times New Roman"/>
          <w:b/>
          <w:sz w:val="24"/>
          <w:szCs w:val="24"/>
        </w:rPr>
        <w:t xml:space="preserve">s </w:t>
      </w:r>
      <w:r w:rsidRPr="00DF497D">
        <w:rPr>
          <w:rFonts w:ascii="Times New Roman" w:hAnsi="Times New Roman"/>
          <w:b/>
          <w:sz w:val="24"/>
          <w:szCs w:val="24"/>
        </w:rPr>
        <w:t>capacity</w:t>
      </w:r>
      <w:r>
        <w:rPr>
          <w:rFonts w:ascii="Times New Roman" w:hAnsi="Times New Roman"/>
          <w:b/>
          <w:sz w:val="24"/>
          <w:szCs w:val="24"/>
        </w:rPr>
        <w:t xml:space="preserve"> according to the 2007 IRP</w:t>
      </w:r>
    </w:p>
    <w:p w:rsidR="00570785" w:rsidRPr="00DF497D" w:rsidRDefault="00570785" w:rsidP="00570785">
      <w:pPr>
        <w:ind w:left="1440" w:hanging="720"/>
        <w:rPr>
          <w:rFonts w:ascii="Times New Roman" w:hAnsi="Times New Roman"/>
          <w:b/>
          <w:sz w:val="24"/>
          <w:szCs w:val="24"/>
        </w:rPr>
      </w:pPr>
    </w:p>
    <w:p w:rsidR="00570785" w:rsidRPr="0088344E" w:rsidRDefault="0088344E" w:rsidP="0088344E">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The 2007 IRP showed that Mint Farm creates surplus capacity through 2011.  Thus, Public Counsel asserts that PSE failed to demonstr</w:t>
      </w:r>
      <w:r w:rsidR="00F6706A" w:rsidRPr="0088344E">
        <w:rPr>
          <w:rFonts w:ascii="Times New Roman" w:hAnsi="Times New Roman"/>
          <w:sz w:val="24"/>
          <w:szCs w:val="24"/>
        </w:rPr>
        <w:t>ate a need to acquire Mint Farm</w:t>
      </w:r>
      <w:r w:rsidR="00570785" w:rsidRPr="0088344E">
        <w:rPr>
          <w:rFonts w:ascii="Times New Roman" w:hAnsi="Times New Roman"/>
          <w:sz w:val="24"/>
          <w:szCs w:val="24"/>
        </w:rPr>
        <w:t>.</w:t>
      </w:r>
      <w:r w:rsidR="00570785">
        <w:rPr>
          <w:rStyle w:val="FootnoteReference"/>
          <w:rFonts w:ascii="Times New Roman" w:hAnsi="Times New Roman"/>
          <w:sz w:val="24"/>
          <w:szCs w:val="24"/>
        </w:rPr>
        <w:footnoteReference w:id="276"/>
      </w:r>
      <w:r w:rsidR="00570785" w:rsidRPr="0088344E">
        <w:rPr>
          <w:rFonts w:ascii="Times New Roman" w:hAnsi="Times New Roman"/>
          <w:sz w:val="24"/>
          <w:szCs w:val="24"/>
        </w:rPr>
        <w:t xml:space="preserve">  </w:t>
      </w:r>
    </w:p>
    <w:p w:rsidR="00570785" w:rsidRPr="0088344E" w:rsidRDefault="0088344E" w:rsidP="0088344E">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Public Counsel’s criticism is striking given his position in another case.  He agreed that the Chehalis Generatin</w:t>
      </w:r>
      <w:r w:rsidR="00F6706A" w:rsidRPr="0088344E">
        <w:rPr>
          <w:rFonts w:ascii="Times New Roman" w:hAnsi="Times New Roman"/>
          <w:sz w:val="24"/>
          <w:szCs w:val="24"/>
        </w:rPr>
        <w:t xml:space="preserve">g Plant was </w:t>
      </w:r>
      <w:r w:rsidR="00570785" w:rsidRPr="0088344E">
        <w:rPr>
          <w:rFonts w:ascii="Times New Roman" w:hAnsi="Times New Roman"/>
          <w:sz w:val="24"/>
          <w:szCs w:val="24"/>
        </w:rPr>
        <w:t xml:space="preserve">a prudent acquisition by PacifiCorp, even </w:t>
      </w:r>
      <w:r w:rsidR="00F6706A" w:rsidRPr="0088344E">
        <w:rPr>
          <w:rFonts w:ascii="Times New Roman" w:hAnsi="Times New Roman"/>
          <w:sz w:val="24"/>
          <w:szCs w:val="24"/>
        </w:rPr>
        <w:t>though the</w:t>
      </w:r>
      <w:r w:rsidR="00570785" w:rsidRPr="0088344E">
        <w:rPr>
          <w:rFonts w:ascii="Times New Roman" w:hAnsi="Times New Roman"/>
          <w:sz w:val="24"/>
          <w:szCs w:val="24"/>
        </w:rPr>
        <w:t xml:space="preserve"> facility was acquired to fill a resource deficit that would not occur until 2012 according to an </w:t>
      </w:r>
      <w:r w:rsidR="00570785" w:rsidRPr="0088344E">
        <w:rPr>
          <w:rFonts w:ascii="Times New Roman" w:hAnsi="Times New Roman"/>
          <w:sz w:val="24"/>
          <w:szCs w:val="24"/>
        </w:rPr>
        <w:lastRenderedPageBreak/>
        <w:t>IRP.</w:t>
      </w:r>
      <w:r w:rsidR="00570785">
        <w:rPr>
          <w:rStyle w:val="FootnoteReference"/>
          <w:rFonts w:ascii="Times New Roman" w:hAnsi="Times New Roman"/>
          <w:sz w:val="24"/>
          <w:szCs w:val="24"/>
        </w:rPr>
        <w:footnoteReference w:id="277"/>
      </w:r>
      <w:r w:rsidR="00570785" w:rsidRPr="0088344E">
        <w:rPr>
          <w:rFonts w:ascii="Times New Roman" w:hAnsi="Times New Roman"/>
          <w:sz w:val="24"/>
          <w:szCs w:val="24"/>
        </w:rPr>
        <w:t xml:space="preserve">  The Commission accepted Public Counsel’s position.</w:t>
      </w:r>
      <w:r w:rsidR="00570785">
        <w:rPr>
          <w:rStyle w:val="FootnoteReference"/>
          <w:rFonts w:ascii="Times New Roman" w:hAnsi="Times New Roman"/>
          <w:sz w:val="24"/>
          <w:szCs w:val="24"/>
        </w:rPr>
        <w:footnoteReference w:id="278"/>
      </w:r>
      <w:r w:rsidR="00570785" w:rsidRPr="0088344E">
        <w:rPr>
          <w:rFonts w:ascii="Times New Roman" w:hAnsi="Times New Roman"/>
          <w:sz w:val="24"/>
          <w:szCs w:val="24"/>
        </w:rPr>
        <w:t xml:space="preserve">  The Co</w:t>
      </w:r>
      <w:r w:rsidR="00F6706A" w:rsidRPr="0088344E">
        <w:rPr>
          <w:rFonts w:ascii="Times New Roman" w:hAnsi="Times New Roman"/>
          <w:sz w:val="24"/>
          <w:szCs w:val="24"/>
        </w:rPr>
        <w:t xml:space="preserve">mmission also saw the benefit </w:t>
      </w:r>
      <w:r w:rsidR="006238C8" w:rsidRPr="0088344E">
        <w:rPr>
          <w:rFonts w:ascii="Times New Roman" w:hAnsi="Times New Roman"/>
          <w:sz w:val="24"/>
          <w:szCs w:val="24"/>
        </w:rPr>
        <w:t xml:space="preserve">of acquiring a plant </w:t>
      </w:r>
      <w:r w:rsidR="00570785" w:rsidRPr="0088344E">
        <w:rPr>
          <w:rFonts w:ascii="Times New Roman" w:hAnsi="Times New Roman"/>
          <w:sz w:val="24"/>
          <w:szCs w:val="24"/>
        </w:rPr>
        <w:t>that, like Mint Farm, otherwise was a “lost opportunity.”</w:t>
      </w:r>
      <w:r w:rsidR="00570785">
        <w:rPr>
          <w:rStyle w:val="FootnoteReference"/>
          <w:rFonts w:ascii="Times New Roman" w:hAnsi="Times New Roman"/>
          <w:sz w:val="24"/>
          <w:szCs w:val="24"/>
        </w:rPr>
        <w:footnoteReference w:id="279"/>
      </w:r>
    </w:p>
    <w:p w:rsidR="00570785" w:rsidRPr="0088344E" w:rsidRDefault="0088344E" w:rsidP="0088344E">
      <w:pPr>
        <w:pStyle w:val="ListParagraph"/>
        <w:numPr>
          <w:ilvl w:val="0"/>
          <w:numId w:val="11"/>
        </w:numPr>
        <w:spacing w:line="480" w:lineRule="auto"/>
        <w:rPr>
          <w:rFonts w:ascii="Times New Roman" w:hAnsi="Times New Roman"/>
          <w:bCs/>
          <w:kern w:val="24"/>
          <w:sz w:val="24"/>
          <w:szCs w:val="24"/>
        </w:rPr>
      </w:pPr>
      <w:r>
        <w:rPr>
          <w:rFonts w:ascii="Times New Roman" w:hAnsi="Times New Roman"/>
          <w:sz w:val="24"/>
          <w:szCs w:val="24"/>
        </w:rPr>
        <w:tab/>
      </w:r>
      <w:r w:rsidR="00570785" w:rsidRPr="0088344E">
        <w:rPr>
          <w:rFonts w:ascii="Times New Roman" w:hAnsi="Times New Roman"/>
          <w:sz w:val="24"/>
          <w:szCs w:val="24"/>
        </w:rPr>
        <w:t xml:space="preserve">Public Counsel also ignores the reality of resource acquisition.  </w:t>
      </w:r>
      <w:r w:rsidR="00570785" w:rsidRPr="0088344E">
        <w:rPr>
          <w:rFonts w:ascii="Times New Roman" w:hAnsi="Times New Roman"/>
          <w:bCs/>
          <w:kern w:val="24"/>
          <w:sz w:val="24"/>
          <w:szCs w:val="24"/>
        </w:rPr>
        <w:t xml:space="preserve">CCCTs become available in large blocks of capacity in a timeframe not often matched </w:t>
      </w:r>
      <w:r w:rsidR="00B11652" w:rsidRPr="0088344E">
        <w:rPr>
          <w:rFonts w:ascii="Times New Roman" w:hAnsi="Times New Roman"/>
          <w:bCs/>
          <w:kern w:val="24"/>
          <w:sz w:val="24"/>
          <w:szCs w:val="24"/>
        </w:rPr>
        <w:t xml:space="preserve">perfectly </w:t>
      </w:r>
      <w:r w:rsidR="00570785" w:rsidRPr="0088344E">
        <w:rPr>
          <w:rFonts w:ascii="Times New Roman" w:hAnsi="Times New Roman"/>
          <w:bCs/>
          <w:kern w:val="24"/>
          <w:sz w:val="24"/>
          <w:szCs w:val="24"/>
        </w:rPr>
        <w:t>to demand.</w:t>
      </w:r>
      <w:r w:rsidR="00570785">
        <w:rPr>
          <w:rStyle w:val="FootnoteReference"/>
          <w:rFonts w:ascii="Times New Roman" w:hAnsi="Times New Roman"/>
          <w:bCs/>
          <w:kern w:val="24"/>
          <w:sz w:val="24"/>
          <w:szCs w:val="24"/>
        </w:rPr>
        <w:footnoteReference w:id="280"/>
      </w:r>
      <w:r w:rsidR="00570785" w:rsidRPr="0088344E">
        <w:rPr>
          <w:rFonts w:ascii="Times New Roman" w:hAnsi="Times New Roman"/>
          <w:bCs/>
          <w:kern w:val="24"/>
          <w:sz w:val="24"/>
          <w:szCs w:val="24"/>
        </w:rPr>
        <w:t xml:space="preserve">  The result of acquiring such “lumpy” resources is that the power portfolio may at times be long.  PSE’s 2007 IRP showed a need for a CCCT by 2011.</w:t>
      </w:r>
      <w:r w:rsidR="00570785">
        <w:rPr>
          <w:rStyle w:val="FootnoteReference"/>
          <w:rFonts w:ascii="Times New Roman" w:hAnsi="Times New Roman"/>
          <w:bCs/>
          <w:kern w:val="24"/>
          <w:sz w:val="24"/>
          <w:szCs w:val="24"/>
        </w:rPr>
        <w:footnoteReference w:id="281"/>
      </w:r>
      <w:r w:rsidR="00B11652" w:rsidRPr="0088344E">
        <w:rPr>
          <w:rFonts w:ascii="Times New Roman" w:hAnsi="Times New Roman"/>
          <w:bCs/>
          <w:kern w:val="24"/>
          <w:sz w:val="24"/>
          <w:szCs w:val="24"/>
        </w:rPr>
        <w:t xml:space="preserve">  T</w:t>
      </w:r>
      <w:r w:rsidR="00570785" w:rsidRPr="0088344E">
        <w:rPr>
          <w:rFonts w:ascii="Times New Roman" w:hAnsi="Times New Roman"/>
          <w:bCs/>
          <w:kern w:val="24"/>
          <w:sz w:val="24"/>
          <w:szCs w:val="24"/>
        </w:rPr>
        <w:t>he fact that Mint Farm created surplus capacity through 2011 is no reason to find the purchase imprudent.</w:t>
      </w:r>
    </w:p>
    <w:p w:rsidR="00570785" w:rsidRPr="0088344E" w:rsidRDefault="0088344E" w:rsidP="0088344E">
      <w:pPr>
        <w:pStyle w:val="ListParagraph"/>
        <w:numPr>
          <w:ilvl w:val="0"/>
          <w:numId w:val="11"/>
        </w:numPr>
        <w:spacing w:line="480" w:lineRule="auto"/>
        <w:rPr>
          <w:rFonts w:ascii="Times New Roman" w:hAnsi="Times New Roman"/>
          <w:sz w:val="24"/>
          <w:szCs w:val="24"/>
        </w:rPr>
      </w:pPr>
      <w:r>
        <w:rPr>
          <w:rFonts w:ascii="Times New Roman" w:hAnsi="Times New Roman"/>
          <w:bCs/>
          <w:kern w:val="24"/>
          <w:sz w:val="24"/>
          <w:szCs w:val="24"/>
        </w:rPr>
        <w:tab/>
      </w:r>
      <w:r w:rsidR="00F6706A" w:rsidRPr="0088344E">
        <w:rPr>
          <w:rFonts w:ascii="Times New Roman" w:hAnsi="Times New Roman"/>
          <w:bCs/>
          <w:kern w:val="24"/>
          <w:sz w:val="24"/>
          <w:szCs w:val="24"/>
        </w:rPr>
        <w:t xml:space="preserve">Finally, the Company </w:t>
      </w:r>
      <w:r w:rsidR="00570785" w:rsidRPr="0088344E">
        <w:rPr>
          <w:rFonts w:ascii="Times New Roman" w:hAnsi="Times New Roman"/>
          <w:bCs/>
          <w:kern w:val="24"/>
          <w:sz w:val="24"/>
          <w:szCs w:val="24"/>
        </w:rPr>
        <w:t xml:space="preserve">showed significant mid- and long-term </w:t>
      </w:r>
      <w:r w:rsidR="00570785" w:rsidRPr="0088344E">
        <w:rPr>
          <w:rFonts w:ascii="Times New Roman" w:hAnsi="Times New Roman"/>
          <w:sz w:val="24"/>
          <w:szCs w:val="24"/>
        </w:rPr>
        <w:t>supply-side energy and capacity ne</w:t>
      </w:r>
      <w:r w:rsidR="00B11652" w:rsidRPr="0088344E">
        <w:rPr>
          <w:rFonts w:ascii="Times New Roman" w:hAnsi="Times New Roman"/>
          <w:sz w:val="24"/>
          <w:szCs w:val="24"/>
        </w:rPr>
        <w:t>eds for new resources.  T</w:t>
      </w:r>
      <w:r w:rsidR="00570785" w:rsidRPr="0088344E">
        <w:rPr>
          <w:rFonts w:ascii="Times New Roman" w:hAnsi="Times New Roman"/>
          <w:sz w:val="24"/>
          <w:szCs w:val="24"/>
        </w:rPr>
        <w:t xml:space="preserve">hese projections are </w:t>
      </w:r>
      <w:r w:rsidR="00B11652" w:rsidRPr="0088344E">
        <w:rPr>
          <w:rFonts w:ascii="Times New Roman" w:hAnsi="Times New Roman"/>
          <w:sz w:val="24"/>
          <w:szCs w:val="24"/>
        </w:rPr>
        <w:t xml:space="preserve">not </w:t>
      </w:r>
      <w:r w:rsidR="00570785" w:rsidRPr="0088344E">
        <w:rPr>
          <w:rFonts w:ascii="Times New Roman" w:hAnsi="Times New Roman"/>
          <w:sz w:val="24"/>
          <w:szCs w:val="24"/>
        </w:rPr>
        <w:t xml:space="preserve">disputed by Public Counsel.  </w:t>
      </w:r>
    </w:p>
    <w:p w:rsidR="00570785" w:rsidRPr="00E4202C" w:rsidRDefault="00570785" w:rsidP="00570785">
      <w:pPr>
        <w:rPr>
          <w:rFonts w:ascii="Times New Roman" w:hAnsi="Times New Roman"/>
          <w:sz w:val="24"/>
          <w:szCs w:val="24"/>
        </w:rPr>
      </w:pPr>
      <w:r>
        <w:rPr>
          <w:rFonts w:ascii="Times New Roman" w:hAnsi="Times New Roman"/>
          <w:sz w:val="24"/>
          <w:szCs w:val="24"/>
        </w:rPr>
        <w:tab/>
      </w:r>
      <w:r w:rsidRPr="00E4202C">
        <w:rPr>
          <w:rFonts w:ascii="Times New Roman" w:hAnsi="Times New Roman"/>
          <w:b/>
          <w:sz w:val="24"/>
          <w:szCs w:val="24"/>
        </w:rPr>
        <w:t>b.</w:t>
      </w:r>
      <w:r w:rsidRPr="00E4202C">
        <w:rPr>
          <w:rFonts w:ascii="Times New Roman" w:hAnsi="Times New Roman"/>
          <w:b/>
          <w:sz w:val="24"/>
          <w:szCs w:val="24"/>
        </w:rPr>
        <w:tab/>
        <w:t xml:space="preserve">Public Counsel inadequately considers all quantitative and qualitative </w:t>
      </w:r>
      <w:r>
        <w:rPr>
          <w:rFonts w:ascii="Times New Roman" w:hAnsi="Times New Roman"/>
          <w:b/>
          <w:sz w:val="24"/>
          <w:szCs w:val="24"/>
        </w:rPr>
        <w:tab/>
      </w:r>
      <w:r>
        <w:rPr>
          <w:rFonts w:ascii="Times New Roman" w:hAnsi="Times New Roman"/>
          <w:b/>
          <w:sz w:val="24"/>
          <w:szCs w:val="24"/>
        </w:rPr>
        <w:tab/>
      </w:r>
      <w:r w:rsidRPr="00E4202C">
        <w:rPr>
          <w:rFonts w:ascii="Times New Roman" w:hAnsi="Times New Roman"/>
          <w:b/>
          <w:sz w:val="24"/>
          <w:szCs w:val="24"/>
        </w:rPr>
        <w:t>measures employed by PSE to assess the Mint Farm acquisition</w:t>
      </w:r>
    </w:p>
    <w:p w:rsidR="00570785" w:rsidRPr="00E4202C" w:rsidRDefault="00570785" w:rsidP="00570785">
      <w:pPr>
        <w:rPr>
          <w:rFonts w:ascii="Times New Roman" w:hAnsi="Times New Roman"/>
          <w:b/>
          <w:sz w:val="24"/>
          <w:szCs w:val="24"/>
        </w:rPr>
      </w:pP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 xml:space="preserve">Public Counsel asserts that </w:t>
      </w:r>
      <w:r w:rsidR="00BB4277" w:rsidRPr="0088344E">
        <w:rPr>
          <w:rFonts w:ascii="Times New Roman" w:hAnsi="Times New Roman"/>
          <w:sz w:val="24"/>
          <w:szCs w:val="24"/>
        </w:rPr>
        <w:t xml:space="preserve">an “Alternative” </w:t>
      </w:r>
      <w:r w:rsidR="00570785" w:rsidRPr="0088344E">
        <w:rPr>
          <w:rFonts w:ascii="Times New Roman" w:hAnsi="Times New Roman"/>
          <w:sz w:val="24"/>
          <w:szCs w:val="24"/>
        </w:rPr>
        <w:t>PPA was a superior choice than Mint Farm from an economic benefit perspective.</w:t>
      </w:r>
      <w:r w:rsidR="00570785">
        <w:rPr>
          <w:rStyle w:val="FootnoteReference"/>
          <w:rFonts w:ascii="Times New Roman" w:hAnsi="Times New Roman"/>
          <w:sz w:val="24"/>
          <w:szCs w:val="24"/>
        </w:rPr>
        <w:footnoteReference w:id="282"/>
      </w:r>
      <w:r w:rsidR="00570785" w:rsidRPr="0088344E">
        <w:rPr>
          <w:rFonts w:ascii="Times New Roman" w:hAnsi="Times New Roman"/>
          <w:sz w:val="24"/>
          <w:szCs w:val="24"/>
        </w:rPr>
        <w:t xml:space="preserve">  This assertion is fraught with errors.  </w:t>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First, Public Counsel focuses on the Portfolio Benefit and Benefit Ratio criteria, and ignores the 20-Year Levelized Cost calculation also used by PSE to evaluate each resource proposal.</w:t>
      </w:r>
      <w:r w:rsidR="00570785">
        <w:rPr>
          <w:rStyle w:val="FootnoteReference"/>
          <w:rFonts w:ascii="Times New Roman" w:hAnsi="Times New Roman"/>
          <w:sz w:val="24"/>
          <w:szCs w:val="24"/>
        </w:rPr>
        <w:footnoteReference w:id="283"/>
      </w:r>
      <w:r w:rsidR="00570785" w:rsidRPr="0088344E">
        <w:rPr>
          <w:rFonts w:ascii="Times New Roman" w:hAnsi="Times New Roman"/>
          <w:sz w:val="24"/>
          <w:szCs w:val="24"/>
        </w:rPr>
        <w:t xml:space="preserve">  In doing so, Public Counsel fai</w:t>
      </w:r>
      <w:r w:rsidR="00B11652" w:rsidRPr="0088344E">
        <w:rPr>
          <w:rFonts w:ascii="Times New Roman" w:hAnsi="Times New Roman"/>
          <w:sz w:val="24"/>
          <w:szCs w:val="24"/>
        </w:rPr>
        <w:t xml:space="preserve">ls to consider PSE’s comprehensive </w:t>
      </w:r>
      <w:r w:rsidR="00570785" w:rsidRPr="0088344E">
        <w:rPr>
          <w:rFonts w:ascii="Times New Roman" w:hAnsi="Times New Roman"/>
          <w:sz w:val="24"/>
          <w:szCs w:val="24"/>
        </w:rPr>
        <w:t>approach to assess all resources individually and collectively with the same criteria in order to provide a transparent platform for reasoned decision-making.</w:t>
      </w:r>
      <w:r w:rsidR="00570785">
        <w:rPr>
          <w:rStyle w:val="FootnoteReference"/>
          <w:rFonts w:ascii="Times New Roman" w:hAnsi="Times New Roman"/>
          <w:sz w:val="24"/>
          <w:szCs w:val="24"/>
        </w:rPr>
        <w:footnoteReference w:id="284"/>
      </w:r>
      <w:r>
        <w:rPr>
          <w:rFonts w:ascii="Times New Roman" w:hAnsi="Times New Roman"/>
          <w:sz w:val="24"/>
          <w:szCs w:val="24"/>
        </w:rPr>
        <w:t xml:space="preserve">   </w:t>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The complete quantitative evaluation that Pu</w:t>
      </w:r>
      <w:r w:rsidR="00F6706A" w:rsidRPr="0088344E">
        <w:rPr>
          <w:rFonts w:ascii="Times New Roman" w:hAnsi="Times New Roman"/>
          <w:sz w:val="24"/>
          <w:szCs w:val="24"/>
        </w:rPr>
        <w:t>blic Counsel ignores shows</w:t>
      </w:r>
      <w:r w:rsidR="00570785" w:rsidRPr="0088344E">
        <w:rPr>
          <w:rFonts w:ascii="Times New Roman" w:hAnsi="Times New Roman"/>
          <w:sz w:val="24"/>
          <w:szCs w:val="24"/>
        </w:rPr>
        <w:t xml:space="preserve"> that Mint Farm had a positive Portfolio Benefit and Benefit </w:t>
      </w:r>
      <w:r w:rsidR="00F6706A" w:rsidRPr="0088344E">
        <w:rPr>
          <w:rFonts w:ascii="Times New Roman" w:hAnsi="Times New Roman"/>
          <w:sz w:val="24"/>
          <w:szCs w:val="24"/>
        </w:rPr>
        <w:t xml:space="preserve">Ratio, although </w:t>
      </w:r>
      <w:r w:rsidR="00570785" w:rsidRPr="0088344E">
        <w:rPr>
          <w:rFonts w:ascii="Times New Roman" w:hAnsi="Times New Roman"/>
          <w:sz w:val="24"/>
          <w:szCs w:val="24"/>
        </w:rPr>
        <w:t xml:space="preserve">not as high as the </w:t>
      </w:r>
      <w:r w:rsidR="00BB4277" w:rsidRPr="0088344E">
        <w:rPr>
          <w:rFonts w:ascii="Times New Roman" w:hAnsi="Times New Roman"/>
          <w:sz w:val="24"/>
          <w:szCs w:val="24"/>
        </w:rPr>
        <w:lastRenderedPageBreak/>
        <w:t xml:space="preserve">Alternative </w:t>
      </w:r>
      <w:r w:rsidR="00570785" w:rsidRPr="0088344E">
        <w:rPr>
          <w:rFonts w:ascii="Times New Roman" w:hAnsi="Times New Roman"/>
          <w:sz w:val="24"/>
          <w:szCs w:val="24"/>
        </w:rPr>
        <w:t>PPA.</w:t>
      </w:r>
      <w:r w:rsidR="00570785">
        <w:rPr>
          <w:rStyle w:val="FootnoteReference"/>
          <w:rFonts w:ascii="Times New Roman" w:hAnsi="Times New Roman"/>
          <w:sz w:val="24"/>
          <w:szCs w:val="24"/>
        </w:rPr>
        <w:footnoteReference w:id="285"/>
      </w:r>
      <w:r w:rsidR="00B11652" w:rsidRPr="0088344E">
        <w:rPr>
          <w:rFonts w:ascii="Times New Roman" w:hAnsi="Times New Roman"/>
          <w:sz w:val="24"/>
          <w:szCs w:val="24"/>
        </w:rPr>
        <w:t xml:space="preserve">  </w:t>
      </w:r>
      <w:r w:rsidR="00570785" w:rsidRPr="0088344E">
        <w:rPr>
          <w:rFonts w:ascii="Times New Roman" w:hAnsi="Times New Roman"/>
          <w:sz w:val="24"/>
          <w:szCs w:val="24"/>
        </w:rPr>
        <w:t xml:space="preserve">Mint Farm’s 20-Year Levelized Cost was 30 percent less than the </w:t>
      </w:r>
      <w:r w:rsidR="00BB4277" w:rsidRPr="0088344E">
        <w:rPr>
          <w:rFonts w:ascii="Times New Roman" w:hAnsi="Times New Roman"/>
          <w:sz w:val="24"/>
          <w:szCs w:val="24"/>
        </w:rPr>
        <w:t xml:space="preserve">Alternative </w:t>
      </w:r>
      <w:r w:rsidR="00570785" w:rsidRPr="0088344E">
        <w:rPr>
          <w:rFonts w:ascii="Times New Roman" w:hAnsi="Times New Roman"/>
          <w:sz w:val="24"/>
          <w:szCs w:val="24"/>
        </w:rPr>
        <w:t xml:space="preserve">PPA, even with the financial burden of Mint Farm </w:t>
      </w:r>
      <w:r w:rsidR="00F6706A" w:rsidRPr="0088344E">
        <w:rPr>
          <w:rFonts w:ascii="Times New Roman" w:hAnsi="Times New Roman"/>
          <w:sz w:val="24"/>
          <w:szCs w:val="24"/>
        </w:rPr>
        <w:t xml:space="preserve">acquisition costs and </w:t>
      </w:r>
      <w:r w:rsidR="00570785" w:rsidRPr="0088344E">
        <w:rPr>
          <w:rFonts w:ascii="Times New Roman" w:hAnsi="Times New Roman"/>
          <w:sz w:val="24"/>
          <w:szCs w:val="24"/>
        </w:rPr>
        <w:t>surplus capacity through 2011.</w:t>
      </w:r>
      <w:r w:rsidR="00570785">
        <w:rPr>
          <w:rStyle w:val="FootnoteReference"/>
          <w:rFonts w:ascii="Times New Roman" w:hAnsi="Times New Roman"/>
          <w:sz w:val="24"/>
          <w:szCs w:val="24"/>
        </w:rPr>
        <w:footnoteReference w:id="286"/>
      </w:r>
      <w:r w:rsidR="00570785" w:rsidRPr="0088344E">
        <w:rPr>
          <w:rFonts w:ascii="Times New Roman" w:hAnsi="Times New Roman"/>
          <w:sz w:val="24"/>
          <w:szCs w:val="24"/>
        </w:rPr>
        <w:t xml:space="preserve">  Thus, the added costs of Mint Farm before 2012 were outweighed by the increased benefits of its lower longer-term operating costs.</w:t>
      </w:r>
      <w:r w:rsidR="00570785">
        <w:rPr>
          <w:rStyle w:val="FootnoteReference"/>
          <w:rFonts w:ascii="Times New Roman" w:hAnsi="Times New Roman"/>
          <w:sz w:val="24"/>
          <w:szCs w:val="24"/>
        </w:rPr>
        <w:footnoteReference w:id="287"/>
      </w:r>
      <w:r w:rsidR="00570785" w:rsidRPr="0088344E">
        <w:rPr>
          <w:rFonts w:ascii="Times New Roman" w:hAnsi="Times New Roman"/>
          <w:sz w:val="24"/>
          <w:szCs w:val="24"/>
        </w:rPr>
        <w:t xml:space="preserve">  </w:t>
      </w:r>
    </w:p>
    <w:p w:rsidR="00570785" w:rsidRPr="0088344E" w:rsidRDefault="0088344E" w:rsidP="0088344E">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 xml:space="preserve">The complete qualitative evaluation that Public Counsel also ignores shows that Mint Farm will run many more years and many more hours in any year due to its longer service life and lower heat rate.  Thus, Mint Farm provides a cheaper variable source of energy.  Had PSE acquired the </w:t>
      </w:r>
      <w:r w:rsidR="00BB4277" w:rsidRPr="0088344E">
        <w:rPr>
          <w:rFonts w:ascii="Times New Roman" w:hAnsi="Times New Roman"/>
          <w:sz w:val="24"/>
          <w:szCs w:val="24"/>
        </w:rPr>
        <w:t xml:space="preserve">Alternative </w:t>
      </w:r>
      <w:r w:rsidR="00570785" w:rsidRPr="0088344E">
        <w:rPr>
          <w:rFonts w:ascii="Times New Roman" w:hAnsi="Times New Roman"/>
          <w:sz w:val="24"/>
          <w:szCs w:val="24"/>
        </w:rPr>
        <w:t>PPA, PSE would have been exposed more often to variable marke</w:t>
      </w:r>
      <w:r w:rsidR="00B11652" w:rsidRPr="0088344E">
        <w:rPr>
          <w:rFonts w:ascii="Times New Roman" w:hAnsi="Times New Roman"/>
          <w:sz w:val="24"/>
          <w:szCs w:val="24"/>
        </w:rPr>
        <w:t xml:space="preserve">t </w:t>
      </w:r>
      <w:r w:rsidR="00570785" w:rsidRPr="0088344E">
        <w:rPr>
          <w:rFonts w:ascii="Times New Roman" w:hAnsi="Times New Roman"/>
          <w:sz w:val="24"/>
          <w:szCs w:val="24"/>
        </w:rPr>
        <w:t>pricing because it would have produced less energy to meet load.</w:t>
      </w:r>
      <w:r w:rsidR="00570785">
        <w:rPr>
          <w:rStyle w:val="FootnoteReference"/>
          <w:rFonts w:ascii="Times New Roman" w:hAnsi="Times New Roman"/>
          <w:sz w:val="24"/>
          <w:szCs w:val="24"/>
        </w:rPr>
        <w:footnoteReference w:id="288"/>
      </w:r>
      <w:r w:rsidR="00570785" w:rsidRPr="0088344E">
        <w:rPr>
          <w:rFonts w:ascii="Times New Roman" w:hAnsi="Times New Roman"/>
          <w:sz w:val="24"/>
          <w:szCs w:val="24"/>
        </w:rPr>
        <w:t xml:space="preserve">  </w:t>
      </w:r>
    </w:p>
    <w:p w:rsidR="00570785" w:rsidRPr="0088344E" w:rsidRDefault="0088344E" w:rsidP="0088344E">
      <w:pPr>
        <w:pStyle w:val="ListParagraph"/>
        <w:numPr>
          <w:ilvl w:val="0"/>
          <w:numId w:val="11"/>
        </w:numPr>
        <w:spacing w:line="480" w:lineRule="auto"/>
        <w:rPr>
          <w:rFonts w:ascii="Times New Roman" w:hAnsi="Times New Roman"/>
          <w:sz w:val="24"/>
          <w:szCs w:val="24"/>
        </w:rPr>
      </w:pPr>
      <w:r>
        <w:rPr>
          <w:rFonts w:ascii="Times New Roman" w:hAnsi="Times New Roman"/>
          <w:sz w:val="24"/>
          <w:szCs w:val="24"/>
        </w:rPr>
        <w:tab/>
      </w:r>
      <w:r w:rsidR="00570785" w:rsidRPr="0088344E">
        <w:rPr>
          <w:rFonts w:ascii="Times New Roman" w:hAnsi="Times New Roman"/>
          <w:sz w:val="24"/>
          <w:szCs w:val="24"/>
        </w:rPr>
        <w:t xml:space="preserve">Finally, the </w:t>
      </w:r>
      <w:r w:rsidR="00BB4277" w:rsidRPr="0088344E">
        <w:rPr>
          <w:rFonts w:ascii="Times New Roman" w:hAnsi="Times New Roman"/>
          <w:sz w:val="24"/>
          <w:szCs w:val="24"/>
        </w:rPr>
        <w:t xml:space="preserve">Alternative </w:t>
      </w:r>
      <w:r w:rsidR="00570785" w:rsidRPr="0088344E">
        <w:rPr>
          <w:rFonts w:ascii="Times New Roman" w:hAnsi="Times New Roman"/>
          <w:sz w:val="24"/>
          <w:szCs w:val="24"/>
        </w:rPr>
        <w:t xml:space="preserve">PPA was not a suitable fit to meet PSE’s resource needs in 2011 </w:t>
      </w:r>
      <w:r w:rsidR="00347808">
        <w:rPr>
          <w:rFonts w:ascii="Times New Roman" w:hAnsi="Times New Roman"/>
          <w:sz w:val="24"/>
          <w:szCs w:val="24"/>
        </w:rPr>
        <w:t>due to pre-existing contractual requirements</w:t>
      </w:r>
      <w:r w:rsidR="00570785" w:rsidRPr="0088344E">
        <w:rPr>
          <w:rFonts w:ascii="Times New Roman" w:hAnsi="Times New Roman"/>
          <w:sz w:val="24"/>
          <w:szCs w:val="24"/>
        </w:rPr>
        <w:t>.</w:t>
      </w:r>
      <w:r w:rsidR="00570785">
        <w:rPr>
          <w:rStyle w:val="FootnoteReference"/>
          <w:rFonts w:ascii="Times New Roman" w:hAnsi="Times New Roman"/>
          <w:sz w:val="24"/>
          <w:szCs w:val="24"/>
        </w:rPr>
        <w:footnoteReference w:id="289"/>
      </w:r>
      <w:r w:rsidR="00570785" w:rsidRPr="0088344E">
        <w:rPr>
          <w:rFonts w:ascii="Times New Roman" w:hAnsi="Times New Roman"/>
          <w:sz w:val="24"/>
          <w:szCs w:val="24"/>
        </w:rPr>
        <w:t xml:space="preserve">  </w:t>
      </w:r>
      <w:r w:rsidR="00BB4277" w:rsidRPr="0088344E">
        <w:rPr>
          <w:rFonts w:ascii="Times New Roman" w:hAnsi="Times New Roman"/>
          <w:sz w:val="24"/>
          <w:szCs w:val="24"/>
        </w:rPr>
        <w:t>It was</w:t>
      </w:r>
      <w:r w:rsidR="00570785" w:rsidRPr="0088344E">
        <w:rPr>
          <w:rFonts w:ascii="Times New Roman" w:hAnsi="Times New Roman"/>
          <w:sz w:val="24"/>
          <w:szCs w:val="24"/>
        </w:rPr>
        <w:t xml:space="preserve"> placed on the “Continuing Investigation List” for future monitoring.</w:t>
      </w:r>
      <w:r w:rsidR="00570785">
        <w:rPr>
          <w:rStyle w:val="FootnoteReference"/>
          <w:rFonts w:ascii="Times New Roman" w:hAnsi="Times New Roman"/>
          <w:sz w:val="24"/>
          <w:szCs w:val="24"/>
        </w:rPr>
        <w:footnoteReference w:id="290"/>
      </w:r>
      <w:r w:rsidR="00570785" w:rsidRPr="0088344E">
        <w:rPr>
          <w:rFonts w:ascii="Times New Roman" w:hAnsi="Times New Roman"/>
          <w:sz w:val="24"/>
          <w:szCs w:val="24"/>
        </w:rPr>
        <w:t xml:space="preserve">  Th</w:t>
      </w:r>
      <w:r w:rsidR="00BB4277" w:rsidRPr="0088344E">
        <w:rPr>
          <w:rFonts w:ascii="Times New Roman" w:hAnsi="Times New Roman"/>
          <w:sz w:val="24"/>
          <w:szCs w:val="24"/>
        </w:rPr>
        <w:t xml:space="preserve">us, </w:t>
      </w:r>
      <w:r w:rsidR="00570785" w:rsidRPr="0088344E">
        <w:rPr>
          <w:rFonts w:ascii="Times New Roman" w:hAnsi="Times New Roman"/>
          <w:sz w:val="24"/>
          <w:szCs w:val="24"/>
        </w:rPr>
        <w:t xml:space="preserve">future opportunities to extend the </w:t>
      </w:r>
      <w:r w:rsidR="00BB4277" w:rsidRPr="0088344E">
        <w:rPr>
          <w:rFonts w:ascii="Times New Roman" w:hAnsi="Times New Roman"/>
          <w:sz w:val="24"/>
          <w:szCs w:val="24"/>
        </w:rPr>
        <w:t xml:space="preserve">Alternative </w:t>
      </w:r>
      <w:r w:rsidR="00570785" w:rsidRPr="0088344E">
        <w:rPr>
          <w:rFonts w:ascii="Times New Roman" w:hAnsi="Times New Roman"/>
          <w:sz w:val="24"/>
          <w:szCs w:val="24"/>
        </w:rPr>
        <w:t>PPA</w:t>
      </w:r>
      <w:r w:rsidR="00BB4277" w:rsidRPr="0088344E">
        <w:rPr>
          <w:rFonts w:ascii="Times New Roman" w:hAnsi="Times New Roman"/>
          <w:sz w:val="24"/>
          <w:szCs w:val="24"/>
        </w:rPr>
        <w:t xml:space="preserve"> have not been foreclosed</w:t>
      </w:r>
      <w:r w:rsidR="00570785" w:rsidRPr="0088344E">
        <w:rPr>
          <w:rFonts w:ascii="Times New Roman" w:hAnsi="Times New Roman"/>
          <w:sz w:val="24"/>
          <w:szCs w:val="24"/>
        </w:rPr>
        <w:t>.</w:t>
      </w:r>
    </w:p>
    <w:p w:rsidR="00570785" w:rsidRDefault="00570785" w:rsidP="00570785">
      <w:pPr>
        <w:ind w:left="90" w:firstLine="630"/>
        <w:rPr>
          <w:rFonts w:ascii="Times New Roman" w:hAnsi="Times New Roman"/>
          <w:b/>
          <w:sz w:val="24"/>
          <w:szCs w:val="24"/>
        </w:rPr>
      </w:pPr>
      <w:r w:rsidRPr="00E72882">
        <w:rPr>
          <w:rFonts w:ascii="Times New Roman" w:hAnsi="Times New Roman"/>
          <w:b/>
          <w:sz w:val="24"/>
          <w:szCs w:val="24"/>
        </w:rPr>
        <w:t>3.</w:t>
      </w:r>
      <w:r w:rsidRPr="00E72882">
        <w:rPr>
          <w:rFonts w:ascii="Times New Roman" w:hAnsi="Times New Roman"/>
          <w:b/>
          <w:sz w:val="24"/>
          <w:szCs w:val="24"/>
        </w:rPr>
        <w:tab/>
        <w:t xml:space="preserve">PSE should be required to assess the dike system around Mint Farm and </w:t>
      </w:r>
      <w:r>
        <w:rPr>
          <w:rFonts w:ascii="Times New Roman" w:hAnsi="Times New Roman"/>
          <w:b/>
          <w:sz w:val="24"/>
          <w:szCs w:val="24"/>
        </w:rPr>
        <w:tab/>
      </w:r>
      <w:r>
        <w:rPr>
          <w:rFonts w:ascii="Times New Roman" w:hAnsi="Times New Roman"/>
          <w:b/>
          <w:sz w:val="24"/>
          <w:szCs w:val="24"/>
        </w:rPr>
        <w:tab/>
      </w:r>
      <w:r w:rsidRPr="00E72882">
        <w:rPr>
          <w:rFonts w:ascii="Times New Roman" w:hAnsi="Times New Roman"/>
          <w:b/>
          <w:sz w:val="24"/>
          <w:szCs w:val="24"/>
        </w:rPr>
        <w:t>develop a flood contingency plan</w:t>
      </w:r>
    </w:p>
    <w:p w:rsidR="00570785" w:rsidRPr="00E72882" w:rsidRDefault="00570785" w:rsidP="00570785">
      <w:pPr>
        <w:ind w:left="90" w:firstLine="630"/>
        <w:rPr>
          <w:rFonts w:ascii="Times New Roman" w:hAnsi="Times New Roman"/>
          <w:b/>
          <w:sz w:val="24"/>
          <w:szCs w:val="24"/>
        </w:rPr>
      </w:pPr>
    </w:p>
    <w:p w:rsidR="00294C10" w:rsidRPr="0088344E" w:rsidRDefault="0088344E" w:rsidP="0088344E">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294C10" w:rsidRPr="0088344E">
        <w:rPr>
          <w:rFonts w:ascii="Times New Roman" w:hAnsi="Times New Roman"/>
          <w:sz w:val="24"/>
        </w:rPr>
        <w:t xml:space="preserve">While Staff concludes that the acquisition of Mint Farm was prudent, Staff does recommend that the Commission order PSE to perform a detailed potential hazard </w:t>
      </w:r>
      <w:r w:rsidR="00294C10" w:rsidRPr="0088344E">
        <w:rPr>
          <w:rFonts w:ascii="Times New Roman" w:hAnsi="Times New Roman"/>
          <w:sz w:val="24"/>
        </w:rPr>
        <w:lastRenderedPageBreak/>
        <w:t>assessment of the dike system protecting Mint Farm.  PSE should also develop a flood contingency plan and determine necessary actions to protect the site from flooding.</w:t>
      </w:r>
      <w:r w:rsidR="00294C10">
        <w:rPr>
          <w:rStyle w:val="FootnoteReference"/>
          <w:rFonts w:ascii="Times New Roman" w:hAnsi="Times New Roman"/>
          <w:sz w:val="24"/>
        </w:rPr>
        <w:footnoteReference w:id="291"/>
      </w:r>
      <w:r w:rsidR="00294C10" w:rsidRPr="0088344E">
        <w:rPr>
          <w:rFonts w:ascii="Times New Roman" w:hAnsi="Times New Roman"/>
          <w:sz w:val="24"/>
        </w:rPr>
        <w:t xml:space="preserve">  </w:t>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570785" w:rsidRPr="0088344E">
        <w:rPr>
          <w:rFonts w:ascii="Times New Roman" w:hAnsi="Times New Roman"/>
          <w:sz w:val="24"/>
        </w:rPr>
        <w:t>PSE challenges these requirements solely with a 2007 inspection report of the U.S. Army Corps of Engineers.</w:t>
      </w:r>
      <w:r w:rsidR="00570785">
        <w:rPr>
          <w:rStyle w:val="FootnoteReference"/>
          <w:rFonts w:ascii="Times New Roman" w:hAnsi="Times New Roman"/>
          <w:sz w:val="24"/>
        </w:rPr>
        <w:footnoteReference w:id="292"/>
      </w:r>
      <w:r w:rsidR="00570785" w:rsidRPr="0088344E">
        <w:rPr>
          <w:rFonts w:ascii="Times New Roman" w:hAnsi="Times New Roman"/>
          <w:sz w:val="24"/>
        </w:rPr>
        <w:t xml:space="preserve">  However, this 4-page document merely concludes, without analysis, that “[t]he levee and pumping plants appear to be in good condition.”  No evidence was presented that the levee has been evaluated for long-term stab</w:t>
      </w:r>
      <w:r w:rsidR="00294C10" w:rsidRPr="0088344E">
        <w:rPr>
          <w:rFonts w:ascii="Times New Roman" w:hAnsi="Times New Roman"/>
          <w:sz w:val="24"/>
        </w:rPr>
        <w:t xml:space="preserve">ility.  Nor is there evidence of </w:t>
      </w:r>
      <w:r w:rsidR="00570785" w:rsidRPr="0088344E">
        <w:rPr>
          <w:rFonts w:ascii="Times New Roman" w:hAnsi="Times New Roman"/>
          <w:sz w:val="24"/>
        </w:rPr>
        <w:t xml:space="preserve">actual </w:t>
      </w:r>
      <w:r w:rsidR="00294C10" w:rsidRPr="0088344E">
        <w:rPr>
          <w:rFonts w:ascii="Times New Roman" w:hAnsi="Times New Roman"/>
          <w:sz w:val="24"/>
        </w:rPr>
        <w:t xml:space="preserve">system performance </w:t>
      </w:r>
      <w:r w:rsidR="00570785" w:rsidRPr="0088344E">
        <w:rPr>
          <w:rFonts w:ascii="Times New Roman" w:hAnsi="Times New Roman"/>
          <w:sz w:val="24"/>
        </w:rPr>
        <w:t>during floods.</w:t>
      </w:r>
    </w:p>
    <w:p w:rsidR="00570785" w:rsidRPr="0088344E" w:rsidRDefault="0088344E" w:rsidP="0088344E">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570785" w:rsidRPr="0088344E">
        <w:rPr>
          <w:rFonts w:ascii="Times New Roman" w:hAnsi="Times New Roman"/>
          <w:sz w:val="24"/>
        </w:rPr>
        <w:t xml:space="preserve">Flood protection facilities should be assessed </w:t>
      </w:r>
      <w:r w:rsidR="00F6706A" w:rsidRPr="0088344E">
        <w:rPr>
          <w:rFonts w:ascii="Times New Roman" w:hAnsi="Times New Roman"/>
          <w:sz w:val="24"/>
        </w:rPr>
        <w:t xml:space="preserve">routinely </w:t>
      </w:r>
      <w:r w:rsidR="00570785" w:rsidRPr="0088344E">
        <w:rPr>
          <w:rFonts w:ascii="Times New Roman" w:hAnsi="Times New Roman"/>
          <w:sz w:val="24"/>
        </w:rPr>
        <w:t xml:space="preserve">for structural integrity.  This is </w:t>
      </w:r>
      <w:r w:rsidR="00F6706A" w:rsidRPr="0088344E">
        <w:rPr>
          <w:rFonts w:ascii="Times New Roman" w:hAnsi="Times New Roman"/>
          <w:sz w:val="24"/>
        </w:rPr>
        <w:t xml:space="preserve">especially important for a </w:t>
      </w:r>
      <w:r w:rsidR="00294C10" w:rsidRPr="0088344E">
        <w:rPr>
          <w:rFonts w:ascii="Times New Roman" w:hAnsi="Times New Roman"/>
          <w:sz w:val="24"/>
        </w:rPr>
        <w:t xml:space="preserve">plant that will </w:t>
      </w:r>
      <w:r w:rsidR="00570785" w:rsidRPr="0088344E">
        <w:rPr>
          <w:rFonts w:ascii="Times New Roman" w:hAnsi="Times New Roman"/>
          <w:sz w:val="24"/>
        </w:rPr>
        <w:t>run another 25-30 years</w:t>
      </w:r>
      <w:r w:rsidR="00294C10" w:rsidRPr="0088344E">
        <w:rPr>
          <w:rFonts w:ascii="Times New Roman" w:hAnsi="Times New Roman"/>
          <w:sz w:val="24"/>
        </w:rPr>
        <w:t xml:space="preserve"> and is located near the</w:t>
      </w:r>
      <w:r w:rsidR="001B1DC3" w:rsidRPr="0088344E">
        <w:rPr>
          <w:rFonts w:ascii="Times New Roman" w:hAnsi="Times New Roman"/>
          <w:sz w:val="24"/>
        </w:rPr>
        <w:t xml:space="preserve"> Columbia River on flat land</w:t>
      </w:r>
      <w:r w:rsidR="00294C10" w:rsidRPr="0088344E">
        <w:rPr>
          <w:rFonts w:ascii="Times New Roman" w:hAnsi="Times New Roman"/>
          <w:sz w:val="24"/>
        </w:rPr>
        <w:t xml:space="preserve">.  </w:t>
      </w:r>
    </w:p>
    <w:p w:rsidR="00570785" w:rsidRDefault="0088344E" w:rsidP="0088344E">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DC5AF8" w:rsidRPr="0088344E">
        <w:rPr>
          <w:rFonts w:ascii="Times New Roman" w:hAnsi="Times New Roman"/>
          <w:sz w:val="24"/>
        </w:rPr>
        <w:t xml:space="preserve">The Commission </w:t>
      </w:r>
      <w:r w:rsidR="00570785" w:rsidRPr="0088344E">
        <w:rPr>
          <w:rFonts w:ascii="Times New Roman" w:hAnsi="Times New Roman"/>
          <w:sz w:val="24"/>
        </w:rPr>
        <w:t>should adopt Staff’s recommendation for a hazard assessment and contingency plan.  Staff is ready to work with PSE on the detail of these measures to ensure they are developed in a timely</w:t>
      </w:r>
      <w:r w:rsidR="00DC5AF8" w:rsidRPr="0088344E">
        <w:rPr>
          <w:rFonts w:ascii="Times New Roman" w:hAnsi="Times New Roman"/>
          <w:sz w:val="24"/>
        </w:rPr>
        <w:t xml:space="preserve"> way without undue burden</w:t>
      </w:r>
      <w:r w:rsidR="00570785" w:rsidRPr="0088344E">
        <w:rPr>
          <w:rFonts w:ascii="Times New Roman" w:hAnsi="Times New Roman"/>
          <w:sz w:val="24"/>
        </w:rPr>
        <w:t>.</w:t>
      </w:r>
      <w:r w:rsidR="00C47EE0">
        <w:rPr>
          <w:rFonts w:ascii="Times New Roman" w:hAnsi="Times New Roman"/>
          <w:sz w:val="24"/>
        </w:rPr>
        <w:t xml:space="preserve">  </w:t>
      </w:r>
    </w:p>
    <w:p w:rsidR="00C47EE0" w:rsidRPr="00C47EE0" w:rsidRDefault="00C47EE0" w:rsidP="00C47EE0">
      <w:pPr>
        <w:pStyle w:val="ListParagraph"/>
        <w:tabs>
          <w:tab w:val="left" w:pos="-1440"/>
        </w:tabs>
        <w:spacing w:line="480" w:lineRule="auto"/>
        <w:ind w:left="0"/>
        <w:jc w:val="center"/>
        <w:rPr>
          <w:rFonts w:ascii="Times New Roman" w:hAnsi="Times New Roman"/>
          <w:b/>
          <w:sz w:val="24"/>
        </w:rPr>
      </w:pPr>
      <w:r w:rsidRPr="00066E02">
        <w:rPr>
          <w:rFonts w:ascii="Times New Roman" w:hAnsi="Times New Roman"/>
          <w:b/>
          <w:sz w:val="24"/>
        </w:rPr>
        <w:t>V.</w:t>
      </w:r>
      <w:r w:rsidRPr="00066E02">
        <w:rPr>
          <w:rFonts w:ascii="Times New Roman" w:hAnsi="Times New Roman"/>
          <w:b/>
          <w:sz w:val="24"/>
        </w:rPr>
        <w:tab/>
        <w:t>RATE SPREAD AND RATE DESIGN</w:t>
      </w:r>
    </w:p>
    <w:p w:rsidR="00066E02" w:rsidRPr="00C47EE0" w:rsidRDefault="00066E02" w:rsidP="00066E02">
      <w:pPr>
        <w:pStyle w:val="ListParagraph"/>
        <w:numPr>
          <w:ilvl w:val="0"/>
          <w:numId w:val="11"/>
        </w:numPr>
        <w:tabs>
          <w:tab w:val="left" w:pos="-1440"/>
        </w:tabs>
        <w:spacing w:line="480" w:lineRule="auto"/>
        <w:rPr>
          <w:rFonts w:ascii="Times New Roman" w:hAnsi="Times New Roman"/>
          <w:sz w:val="24"/>
        </w:rPr>
      </w:pPr>
      <w:r w:rsidRPr="00C47EE0">
        <w:rPr>
          <w:rFonts w:ascii="Times New Roman" w:hAnsi="Times New Roman"/>
          <w:sz w:val="24"/>
        </w:rPr>
        <w:tab/>
        <w:t xml:space="preserve">On January 15, 2010, all relevant parties in this proceeding filed </w:t>
      </w:r>
      <w:r w:rsidR="00975306" w:rsidRPr="00C47EE0">
        <w:rPr>
          <w:rFonts w:ascii="Times New Roman" w:hAnsi="Times New Roman"/>
          <w:sz w:val="24"/>
        </w:rPr>
        <w:t xml:space="preserve">separate </w:t>
      </w:r>
      <w:r w:rsidRPr="00C47EE0">
        <w:rPr>
          <w:rFonts w:ascii="Times New Roman" w:hAnsi="Times New Roman"/>
          <w:sz w:val="24"/>
        </w:rPr>
        <w:t>multi-party settlement</w:t>
      </w:r>
      <w:r w:rsidR="00975306" w:rsidRPr="00C47EE0">
        <w:rPr>
          <w:rFonts w:ascii="Times New Roman" w:hAnsi="Times New Roman"/>
          <w:sz w:val="24"/>
        </w:rPr>
        <w:t xml:space="preserve"> agreement</w:t>
      </w:r>
      <w:r w:rsidRPr="00C47EE0">
        <w:rPr>
          <w:rFonts w:ascii="Times New Roman" w:hAnsi="Times New Roman"/>
          <w:sz w:val="24"/>
        </w:rPr>
        <w:t>s on electricity and natural gas rate spread and rate design</w:t>
      </w:r>
      <w:r w:rsidR="00975306" w:rsidRPr="00C47EE0">
        <w:rPr>
          <w:rFonts w:ascii="Times New Roman" w:hAnsi="Times New Roman"/>
          <w:sz w:val="24"/>
        </w:rPr>
        <w:t>.</w:t>
      </w:r>
      <w:r w:rsidR="00975306">
        <w:rPr>
          <w:rStyle w:val="FootnoteReference"/>
          <w:rFonts w:ascii="Times New Roman" w:hAnsi="Times New Roman"/>
          <w:sz w:val="24"/>
        </w:rPr>
        <w:footnoteReference w:id="293"/>
      </w:r>
      <w:r w:rsidR="00975306" w:rsidRPr="00C47EE0">
        <w:rPr>
          <w:rFonts w:ascii="Times New Roman" w:hAnsi="Times New Roman"/>
          <w:sz w:val="24"/>
        </w:rPr>
        <w:t xml:space="preserve">  Each settlement agreement was accompanied by</w:t>
      </w:r>
      <w:r w:rsidRPr="00C47EE0">
        <w:rPr>
          <w:rFonts w:ascii="Times New Roman" w:hAnsi="Times New Roman"/>
          <w:sz w:val="24"/>
        </w:rPr>
        <w:t xml:space="preserve"> </w:t>
      </w:r>
      <w:r w:rsidR="00975306" w:rsidRPr="00C47EE0">
        <w:rPr>
          <w:rFonts w:ascii="Times New Roman" w:hAnsi="Times New Roman"/>
          <w:sz w:val="24"/>
        </w:rPr>
        <w:t xml:space="preserve">supporting </w:t>
      </w:r>
      <w:r w:rsidRPr="00C47EE0">
        <w:rPr>
          <w:rFonts w:ascii="Times New Roman" w:hAnsi="Times New Roman"/>
          <w:sz w:val="24"/>
        </w:rPr>
        <w:t>test</w:t>
      </w:r>
      <w:r w:rsidR="00975306" w:rsidRPr="00C47EE0">
        <w:rPr>
          <w:rFonts w:ascii="Times New Roman" w:hAnsi="Times New Roman"/>
          <w:sz w:val="24"/>
        </w:rPr>
        <w:t>imony</w:t>
      </w:r>
      <w:r w:rsidRPr="00C47EE0">
        <w:rPr>
          <w:rFonts w:ascii="Times New Roman" w:hAnsi="Times New Roman"/>
          <w:sz w:val="24"/>
        </w:rPr>
        <w:t>.</w:t>
      </w:r>
      <w:r w:rsidR="00975306">
        <w:rPr>
          <w:rStyle w:val="FootnoteReference"/>
          <w:rFonts w:ascii="Times New Roman" w:hAnsi="Times New Roman"/>
          <w:sz w:val="24"/>
        </w:rPr>
        <w:footnoteReference w:id="294"/>
      </w:r>
      <w:r w:rsidRPr="00C47EE0">
        <w:rPr>
          <w:rFonts w:ascii="Times New Roman" w:hAnsi="Times New Roman"/>
          <w:sz w:val="24"/>
        </w:rPr>
        <w:t xml:space="preserve">  </w:t>
      </w:r>
    </w:p>
    <w:p w:rsidR="00066E02" w:rsidRPr="00066E02" w:rsidRDefault="00C47EE0" w:rsidP="00C47EE0">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066E02">
        <w:rPr>
          <w:rFonts w:ascii="Times New Roman" w:hAnsi="Times New Roman"/>
          <w:sz w:val="24"/>
        </w:rPr>
        <w:t>For the reasons set forth in the supporting testimony, the settlement agreements are in the public interest, and will produce rates that are just, fair, reasonable and sufficient.  Staff recommends that the Commission adopt the settlement agreements in their entirety</w:t>
      </w:r>
      <w:r w:rsidR="00975306">
        <w:rPr>
          <w:rFonts w:ascii="Times New Roman" w:hAnsi="Times New Roman"/>
          <w:sz w:val="24"/>
        </w:rPr>
        <w:t>.</w:t>
      </w:r>
      <w:r w:rsidR="00066E02">
        <w:rPr>
          <w:rFonts w:ascii="Times New Roman" w:hAnsi="Times New Roman"/>
          <w:sz w:val="24"/>
        </w:rPr>
        <w:t xml:space="preserve"> </w:t>
      </w:r>
    </w:p>
    <w:p w:rsidR="0088344E" w:rsidRDefault="0088344E" w:rsidP="00C47EE0">
      <w:pPr>
        <w:keepNext/>
        <w:tabs>
          <w:tab w:val="left" w:pos="-1440"/>
        </w:tabs>
        <w:ind w:left="86" w:hanging="720"/>
        <w:jc w:val="center"/>
        <w:rPr>
          <w:rFonts w:ascii="Times New Roman" w:hAnsi="Times New Roman"/>
          <w:b/>
          <w:sz w:val="24"/>
        </w:rPr>
      </w:pPr>
      <w:r>
        <w:rPr>
          <w:rFonts w:ascii="Times New Roman" w:hAnsi="Times New Roman"/>
          <w:b/>
          <w:sz w:val="24"/>
        </w:rPr>
        <w:lastRenderedPageBreak/>
        <w:t>V</w:t>
      </w:r>
      <w:r w:rsidR="00066E02">
        <w:rPr>
          <w:rFonts w:ascii="Times New Roman" w:hAnsi="Times New Roman"/>
          <w:b/>
          <w:sz w:val="24"/>
        </w:rPr>
        <w:t>I.</w:t>
      </w:r>
      <w:r w:rsidR="00066E02">
        <w:rPr>
          <w:rFonts w:ascii="Times New Roman" w:hAnsi="Times New Roman"/>
          <w:b/>
          <w:sz w:val="24"/>
        </w:rPr>
        <w:tab/>
      </w:r>
      <w:r w:rsidR="004C0450">
        <w:rPr>
          <w:rFonts w:ascii="Times New Roman" w:hAnsi="Times New Roman"/>
          <w:b/>
          <w:sz w:val="24"/>
        </w:rPr>
        <w:t xml:space="preserve">THE COMMISSION HAS LEGAL AUTHORITY </w:t>
      </w:r>
    </w:p>
    <w:p w:rsidR="0088344E" w:rsidRDefault="004C0450" w:rsidP="00C47EE0">
      <w:pPr>
        <w:keepNext/>
        <w:tabs>
          <w:tab w:val="left" w:pos="-1440"/>
        </w:tabs>
        <w:ind w:left="86" w:hanging="720"/>
        <w:jc w:val="center"/>
        <w:rPr>
          <w:rFonts w:ascii="Times New Roman" w:hAnsi="Times New Roman"/>
          <w:b/>
          <w:sz w:val="24"/>
        </w:rPr>
      </w:pPr>
      <w:r>
        <w:rPr>
          <w:rFonts w:ascii="Times New Roman" w:hAnsi="Times New Roman"/>
          <w:b/>
          <w:sz w:val="24"/>
        </w:rPr>
        <w:t xml:space="preserve">TO ORDER AN INCREASE IN </w:t>
      </w:r>
      <w:r w:rsidR="00B979F7">
        <w:rPr>
          <w:rFonts w:ascii="Times New Roman" w:hAnsi="Times New Roman"/>
          <w:b/>
          <w:sz w:val="24"/>
        </w:rPr>
        <w:t xml:space="preserve">NATURAL GAS </w:t>
      </w:r>
      <w:r>
        <w:rPr>
          <w:rFonts w:ascii="Times New Roman" w:hAnsi="Times New Roman"/>
          <w:b/>
          <w:sz w:val="24"/>
        </w:rPr>
        <w:t xml:space="preserve">REVENUES </w:t>
      </w:r>
    </w:p>
    <w:p w:rsidR="004C0450" w:rsidRDefault="004C0450" w:rsidP="004C0450">
      <w:pPr>
        <w:tabs>
          <w:tab w:val="left" w:pos="-1440"/>
        </w:tabs>
        <w:ind w:left="90" w:hanging="720"/>
        <w:jc w:val="center"/>
        <w:rPr>
          <w:rFonts w:ascii="Times New Roman" w:hAnsi="Times New Roman"/>
          <w:b/>
          <w:sz w:val="24"/>
        </w:rPr>
      </w:pPr>
      <w:r>
        <w:rPr>
          <w:rFonts w:ascii="Times New Roman" w:hAnsi="Times New Roman"/>
          <w:b/>
          <w:sz w:val="24"/>
        </w:rPr>
        <w:t>ABOVE THE AMOUNT PRODUCED BY THE FILED TARIFFS</w:t>
      </w:r>
    </w:p>
    <w:p w:rsidR="004C0450" w:rsidRDefault="004C0450" w:rsidP="004C0450">
      <w:pPr>
        <w:tabs>
          <w:tab w:val="left" w:pos="-1440"/>
        </w:tabs>
        <w:ind w:left="90" w:hanging="720"/>
        <w:jc w:val="center"/>
        <w:rPr>
          <w:rFonts w:ascii="Times New Roman" w:hAnsi="Times New Roman"/>
          <w:b/>
          <w:sz w:val="24"/>
        </w:rPr>
      </w:pPr>
    </w:p>
    <w:p w:rsidR="00002B3A" w:rsidRPr="0088344E" w:rsidRDefault="0088344E" w:rsidP="0088344E">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3B3CD2">
        <w:rPr>
          <w:rFonts w:ascii="Times New Roman" w:hAnsi="Times New Roman"/>
          <w:sz w:val="24"/>
        </w:rPr>
        <w:t>PSE seeks</w:t>
      </w:r>
      <w:r w:rsidR="00DC5AF8" w:rsidRPr="0088344E">
        <w:rPr>
          <w:rFonts w:ascii="Times New Roman" w:hAnsi="Times New Roman"/>
          <w:sz w:val="24"/>
        </w:rPr>
        <w:t xml:space="preserve"> to increase</w:t>
      </w:r>
      <w:r w:rsidR="00405628" w:rsidRPr="0088344E">
        <w:rPr>
          <w:rFonts w:ascii="Times New Roman" w:hAnsi="Times New Roman"/>
          <w:sz w:val="24"/>
        </w:rPr>
        <w:t xml:space="preserve"> </w:t>
      </w:r>
      <w:r w:rsidR="00BC508A" w:rsidRPr="0088344E">
        <w:rPr>
          <w:rFonts w:ascii="Times New Roman" w:hAnsi="Times New Roman"/>
          <w:sz w:val="24"/>
        </w:rPr>
        <w:t xml:space="preserve">natural gas </w:t>
      </w:r>
      <w:r w:rsidR="001B1DC3" w:rsidRPr="0088344E">
        <w:rPr>
          <w:rFonts w:ascii="Times New Roman" w:hAnsi="Times New Roman"/>
          <w:sz w:val="24"/>
        </w:rPr>
        <w:t xml:space="preserve">revenues </w:t>
      </w:r>
      <w:r w:rsidR="00DC5AF8" w:rsidRPr="0088344E">
        <w:rPr>
          <w:rFonts w:ascii="Times New Roman" w:hAnsi="Times New Roman"/>
          <w:sz w:val="24"/>
        </w:rPr>
        <w:t xml:space="preserve">by </w:t>
      </w:r>
      <w:r w:rsidR="00F976EA" w:rsidRPr="0088344E">
        <w:rPr>
          <w:rFonts w:ascii="Times New Roman" w:hAnsi="Times New Roman"/>
          <w:sz w:val="24"/>
        </w:rPr>
        <w:t>$28.3</w:t>
      </w:r>
      <w:r w:rsidR="00405628" w:rsidRPr="0088344E">
        <w:rPr>
          <w:rFonts w:ascii="Times New Roman" w:hAnsi="Times New Roman"/>
          <w:sz w:val="24"/>
        </w:rPr>
        <w:t xml:space="preserve"> million.  </w:t>
      </w:r>
      <w:r w:rsidR="001B1DC3" w:rsidRPr="0088344E">
        <w:rPr>
          <w:rFonts w:ascii="Times New Roman" w:hAnsi="Times New Roman"/>
          <w:sz w:val="24"/>
        </w:rPr>
        <w:t xml:space="preserve">However, </w:t>
      </w:r>
      <w:r w:rsidR="00405628" w:rsidRPr="0088344E">
        <w:rPr>
          <w:rFonts w:ascii="Times New Roman" w:hAnsi="Times New Roman"/>
          <w:sz w:val="24"/>
        </w:rPr>
        <w:t xml:space="preserve">the tariffs under suspension produce </w:t>
      </w:r>
      <w:r w:rsidR="00121A4E" w:rsidRPr="0088344E">
        <w:rPr>
          <w:rFonts w:ascii="Times New Roman" w:hAnsi="Times New Roman"/>
          <w:sz w:val="24"/>
        </w:rPr>
        <w:t xml:space="preserve">a lesser amount </w:t>
      </w:r>
      <w:r w:rsidR="00405628" w:rsidRPr="0088344E">
        <w:rPr>
          <w:rFonts w:ascii="Times New Roman" w:hAnsi="Times New Roman"/>
          <w:sz w:val="24"/>
        </w:rPr>
        <w:t>of $27.2 million.</w:t>
      </w:r>
      <w:r w:rsidR="00405628">
        <w:rPr>
          <w:rStyle w:val="FootnoteReference"/>
          <w:rFonts w:ascii="Times New Roman" w:hAnsi="Times New Roman"/>
          <w:sz w:val="24"/>
        </w:rPr>
        <w:footnoteReference w:id="295"/>
      </w:r>
      <w:r w:rsidR="00405628" w:rsidRPr="0088344E">
        <w:rPr>
          <w:rFonts w:ascii="Times New Roman" w:hAnsi="Times New Roman"/>
          <w:sz w:val="24"/>
        </w:rPr>
        <w:t xml:space="preserve">  </w:t>
      </w:r>
      <w:r w:rsidR="00F26912" w:rsidRPr="0088344E">
        <w:rPr>
          <w:rFonts w:ascii="Times New Roman" w:hAnsi="Times New Roman"/>
          <w:sz w:val="24"/>
        </w:rPr>
        <w:t xml:space="preserve">Therefore, Public Counsel may </w:t>
      </w:r>
      <w:r w:rsidR="000B415F" w:rsidRPr="0088344E">
        <w:rPr>
          <w:rFonts w:ascii="Times New Roman" w:hAnsi="Times New Roman"/>
          <w:sz w:val="24"/>
        </w:rPr>
        <w:t xml:space="preserve">argue that the Commission does not have legal authority to grant </w:t>
      </w:r>
      <w:r w:rsidR="000628AF" w:rsidRPr="0088344E">
        <w:rPr>
          <w:rFonts w:ascii="Times New Roman" w:hAnsi="Times New Roman"/>
          <w:sz w:val="24"/>
        </w:rPr>
        <w:t xml:space="preserve">the full </w:t>
      </w:r>
      <w:r w:rsidR="000B415F" w:rsidRPr="0088344E">
        <w:rPr>
          <w:rFonts w:ascii="Times New Roman" w:hAnsi="Times New Roman"/>
          <w:sz w:val="24"/>
        </w:rPr>
        <w:t>inc</w:t>
      </w:r>
      <w:r w:rsidR="00002B3A" w:rsidRPr="0088344E">
        <w:rPr>
          <w:rFonts w:ascii="Times New Roman" w:hAnsi="Times New Roman"/>
          <w:sz w:val="24"/>
        </w:rPr>
        <w:t>rease sought by PSE</w:t>
      </w:r>
      <w:r w:rsidR="00F6706A" w:rsidRPr="0088344E">
        <w:rPr>
          <w:rFonts w:ascii="Times New Roman" w:hAnsi="Times New Roman"/>
          <w:sz w:val="24"/>
        </w:rPr>
        <w:t xml:space="preserve">, despite the </w:t>
      </w:r>
      <w:r w:rsidR="00DC5AF8" w:rsidRPr="0088344E">
        <w:rPr>
          <w:rFonts w:ascii="Times New Roman" w:hAnsi="Times New Roman"/>
          <w:sz w:val="24"/>
        </w:rPr>
        <w:t>like</w:t>
      </w:r>
      <w:r w:rsidR="00574DF0" w:rsidRPr="0088344E">
        <w:rPr>
          <w:rFonts w:ascii="Times New Roman" w:hAnsi="Times New Roman"/>
          <w:sz w:val="24"/>
        </w:rPr>
        <w:t>ly theoretical</w:t>
      </w:r>
      <w:r w:rsidR="00F6706A" w:rsidRPr="0088344E">
        <w:rPr>
          <w:rFonts w:ascii="Times New Roman" w:hAnsi="Times New Roman"/>
          <w:sz w:val="24"/>
        </w:rPr>
        <w:t xml:space="preserve"> nature of the issue in this case</w:t>
      </w:r>
      <w:r w:rsidR="00574DF0" w:rsidRPr="0088344E">
        <w:rPr>
          <w:rFonts w:ascii="Times New Roman" w:hAnsi="Times New Roman"/>
          <w:sz w:val="24"/>
        </w:rPr>
        <w:t>.</w:t>
      </w:r>
    </w:p>
    <w:p w:rsidR="000B415F" w:rsidRPr="0088344E" w:rsidRDefault="0088344E" w:rsidP="0088344E">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tab/>
      </w:r>
      <w:r w:rsidR="00D23C1D" w:rsidRPr="0088344E">
        <w:rPr>
          <w:rFonts w:ascii="Times New Roman" w:hAnsi="Times New Roman"/>
          <w:sz w:val="24"/>
        </w:rPr>
        <w:t xml:space="preserve">Public Counsel’s </w:t>
      </w:r>
      <w:r w:rsidR="003B3CD2">
        <w:rPr>
          <w:rFonts w:ascii="Times New Roman" w:hAnsi="Times New Roman"/>
          <w:sz w:val="24"/>
        </w:rPr>
        <w:t xml:space="preserve">argument is </w:t>
      </w:r>
      <w:r w:rsidR="008653F7" w:rsidRPr="0088344E">
        <w:rPr>
          <w:rFonts w:ascii="Times New Roman" w:hAnsi="Times New Roman"/>
          <w:sz w:val="24"/>
        </w:rPr>
        <w:t>refuted by RCW 80.28.020:</w:t>
      </w:r>
    </w:p>
    <w:p w:rsidR="000B415F" w:rsidRPr="000B415F" w:rsidRDefault="000B415F" w:rsidP="000B415F">
      <w:pPr>
        <w:ind w:left="720"/>
        <w:rPr>
          <w:rFonts w:ascii="Times New Roman" w:hAnsi="Times New Roman"/>
          <w:i/>
          <w:sz w:val="24"/>
        </w:rPr>
      </w:pPr>
      <w:r w:rsidRPr="000B415F">
        <w:rPr>
          <w:rFonts w:ascii="Times New Roman" w:hAnsi="Times New Roman"/>
          <w:sz w:val="24"/>
        </w:rPr>
        <w:t xml:space="preserve">Whenever the commission shall find, </w:t>
      </w:r>
      <w:r w:rsidRPr="000B415F">
        <w:rPr>
          <w:rFonts w:ascii="Times New Roman" w:hAnsi="Times New Roman"/>
          <w:i/>
          <w:sz w:val="24"/>
        </w:rPr>
        <w:t>after a hearing had upon its own motion, or upon complaint</w:t>
      </w:r>
      <w:r w:rsidRPr="000B415F">
        <w:rPr>
          <w:rFonts w:ascii="Times New Roman" w:hAnsi="Times New Roman"/>
          <w:sz w:val="24"/>
        </w:rPr>
        <w:t xml:space="preserve">, </w:t>
      </w:r>
      <w:r w:rsidRPr="000B415F">
        <w:rPr>
          <w:rFonts w:ascii="Times New Roman" w:hAnsi="Times New Roman"/>
          <w:i/>
          <w:sz w:val="24"/>
        </w:rPr>
        <w:t>that the rates or charges demanded, exacted, charged or collected by any gas company, electrical company</w:t>
      </w:r>
      <w:r w:rsidRPr="000B415F">
        <w:rPr>
          <w:rFonts w:ascii="Times New Roman" w:hAnsi="Times New Roman"/>
          <w:sz w:val="24"/>
        </w:rPr>
        <w:t xml:space="preserve"> or water company, for gas, electricity or water, or in connection therewith, or that the rules, regulations, practices or contracts affecting such rates or charges </w:t>
      </w:r>
      <w:r w:rsidRPr="000B415F">
        <w:rPr>
          <w:rFonts w:ascii="Times New Roman" w:hAnsi="Times New Roman"/>
          <w:i/>
          <w:sz w:val="24"/>
        </w:rPr>
        <w:t>are unjust, unreasonable</w:t>
      </w:r>
      <w:r w:rsidRPr="000B415F">
        <w:rPr>
          <w:rFonts w:ascii="Times New Roman" w:hAnsi="Times New Roman"/>
          <w:sz w:val="24"/>
        </w:rPr>
        <w:t xml:space="preserve">, unjustly discriminatory or unduly preferential, or in any wise in violation of the provisions of the law, </w:t>
      </w:r>
      <w:r w:rsidRPr="000B415F">
        <w:rPr>
          <w:rFonts w:ascii="Times New Roman" w:hAnsi="Times New Roman"/>
          <w:i/>
          <w:sz w:val="24"/>
        </w:rPr>
        <w:t xml:space="preserve">or that such rates or charges are insufficient to yield a reasonable compensation for the service rendered, the commission shall determine the just, reasonable, or sufficient rates, charges, regulations, practices or contracts to be thereafter observed and in force, and shall fix the same by order. </w:t>
      </w:r>
      <w:r w:rsidRPr="000B415F">
        <w:rPr>
          <w:rFonts w:ascii="Times New Roman" w:hAnsi="Times New Roman"/>
          <w:sz w:val="24"/>
        </w:rPr>
        <w:t xml:space="preserve"> (Emphasis added.)</w:t>
      </w:r>
      <w:r w:rsidRPr="000B415F">
        <w:rPr>
          <w:rFonts w:ascii="Times New Roman" w:hAnsi="Times New Roman"/>
          <w:i/>
          <w:sz w:val="24"/>
        </w:rPr>
        <w:tab/>
      </w:r>
    </w:p>
    <w:p w:rsidR="000B415F" w:rsidRPr="000B415F" w:rsidRDefault="000B415F" w:rsidP="000B415F">
      <w:pPr>
        <w:ind w:left="720"/>
        <w:rPr>
          <w:rFonts w:ascii="Times New Roman" w:hAnsi="Times New Roman"/>
          <w:i/>
          <w:sz w:val="24"/>
        </w:rPr>
      </w:pPr>
    </w:p>
    <w:p w:rsidR="000B415F" w:rsidRPr="000B415F" w:rsidRDefault="000B415F" w:rsidP="000B415F">
      <w:pPr>
        <w:spacing w:line="480" w:lineRule="auto"/>
        <w:rPr>
          <w:rFonts w:ascii="Times New Roman" w:hAnsi="Times New Roman"/>
          <w:color w:val="000000"/>
          <w:sz w:val="24"/>
        </w:rPr>
      </w:pPr>
      <w:r w:rsidRPr="000B415F">
        <w:rPr>
          <w:rFonts w:ascii="Times New Roman" w:hAnsi="Times New Roman"/>
          <w:color w:val="000000"/>
          <w:sz w:val="24"/>
        </w:rPr>
        <w:t>RCW 80.28.020 does not restrict the Commission to the proposed tariff</w:t>
      </w:r>
      <w:r w:rsidR="00E31861">
        <w:rPr>
          <w:rFonts w:ascii="Times New Roman" w:hAnsi="Times New Roman"/>
          <w:color w:val="000000"/>
          <w:sz w:val="24"/>
        </w:rPr>
        <w:t>s.</w:t>
      </w:r>
      <w:r w:rsidRPr="000B415F">
        <w:rPr>
          <w:rFonts w:ascii="Times New Roman" w:hAnsi="Times New Roman"/>
          <w:color w:val="000000"/>
          <w:sz w:val="24"/>
        </w:rPr>
        <w:t xml:space="preserve">  The statute allows the Commission to set whatever rates the evidence produced at hearing demonstrates are just, reasonable and sufficient, whether such rates are above or below the </w:t>
      </w:r>
      <w:r w:rsidR="00E31861">
        <w:rPr>
          <w:rFonts w:ascii="Times New Roman" w:hAnsi="Times New Roman"/>
          <w:color w:val="000000"/>
          <w:sz w:val="24"/>
        </w:rPr>
        <w:t xml:space="preserve">proposed </w:t>
      </w:r>
      <w:r w:rsidRPr="000B415F">
        <w:rPr>
          <w:rFonts w:ascii="Times New Roman" w:hAnsi="Times New Roman"/>
          <w:color w:val="000000"/>
          <w:sz w:val="24"/>
        </w:rPr>
        <w:t>tarif</w:t>
      </w:r>
      <w:r w:rsidR="00E31861">
        <w:rPr>
          <w:rFonts w:ascii="Times New Roman" w:hAnsi="Times New Roman"/>
          <w:color w:val="000000"/>
          <w:sz w:val="24"/>
        </w:rPr>
        <w:t>fs</w:t>
      </w:r>
      <w:r w:rsidRPr="000B415F">
        <w:rPr>
          <w:rFonts w:ascii="Times New Roman" w:hAnsi="Times New Roman"/>
          <w:color w:val="000000"/>
          <w:sz w:val="24"/>
        </w:rPr>
        <w:t>.</w:t>
      </w:r>
    </w:p>
    <w:p w:rsidR="000B415F" w:rsidRPr="0088344E" w:rsidRDefault="0088344E" w:rsidP="0088344E">
      <w:pPr>
        <w:pStyle w:val="ListParagraph"/>
        <w:numPr>
          <w:ilvl w:val="0"/>
          <w:numId w:val="11"/>
        </w:numPr>
        <w:spacing w:line="480" w:lineRule="auto"/>
        <w:rPr>
          <w:rFonts w:ascii="Times New Roman" w:hAnsi="Times New Roman"/>
          <w:color w:val="000000"/>
          <w:sz w:val="24"/>
        </w:rPr>
      </w:pPr>
      <w:r>
        <w:rPr>
          <w:rFonts w:ascii="Times New Roman" w:hAnsi="Times New Roman"/>
          <w:color w:val="000000"/>
          <w:sz w:val="24"/>
        </w:rPr>
        <w:tab/>
      </w:r>
      <w:r w:rsidR="000B415F" w:rsidRPr="0088344E">
        <w:rPr>
          <w:rFonts w:ascii="Times New Roman" w:hAnsi="Times New Roman"/>
          <w:color w:val="000000"/>
          <w:sz w:val="24"/>
        </w:rPr>
        <w:t>RCW 80.28.060</w:t>
      </w:r>
      <w:r w:rsidR="00D23C1D" w:rsidRPr="0088344E">
        <w:rPr>
          <w:rFonts w:ascii="Times New Roman" w:hAnsi="Times New Roman"/>
          <w:color w:val="000000"/>
          <w:sz w:val="24"/>
        </w:rPr>
        <w:t xml:space="preserve"> does state</w:t>
      </w:r>
      <w:r w:rsidR="00121A4E" w:rsidRPr="0088344E">
        <w:rPr>
          <w:rFonts w:ascii="Times New Roman" w:hAnsi="Times New Roman"/>
          <w:color w:val="000000"/>
          <w:sz w:val="24"/>
        </w:rPr>
        <w:t xml:space="preserve"> that </w:t>
      </w:r>
      <w:r w:rsidR="000B415F" w:rsidRPr="0088344E">
        <w:rPr>
          <w:rFonts w:ascii="Times New Roman" w:hAnsi="Times New Roman"/>
          <w:color w:val="000000"/>
          <w:sz w:val="24"/>
        </w:rPr>
        <w:t xml:space="preserve">companies </w:t>
      </w:r>
      <w:r w:rsidR="008653F7" w:rsidRPr="0088344E">
        <w:rPr>
          <w:rFonts w:ascii="Times New Roman" w:hAnsi="Times New Roman"/>
          <w:color w:val="000000"/>
          <w:sz w:val="24"/>
        </w:rPr>
        <w:t xml:space="preserve">cannot change their rates </w:t>
      </w:r>
      <w:r w:rsidR="000B415F" w:rsidRPr="0088344E">
        <w:rPr>
          <w:rFonts w:ascii="Times New Roman" w:hAnsi="Times New Roman"/>
          <w:color w:val="000000"/>
          <w:sz w:val="24"/>
        </w:rPr>
        <w:t xml:space="preserve">except upon </w:t>
      </w:r>
      <w:r w:rsidR="008653F7" w:rsidRPr="0088344E">
        <w:rPr>
          <w:rFonts w:ascii="Times New Roman" w:hAnsi="Times New Roman"/>
          <w:color w:val="000000"/>
          <w:sz w:val="24"/>
        </w:rPr>
        <w:t>30-days notice</w:t>
      </w:r>
      <w:r w:rsidR="00D23C1D" w:rsidRPr="0088344E">
        <w:rPr>
          <w:rFonts w:ascii="Times New Roman" w:hAnsi="Times New Roman"/>
          <w:color w:val="000000"/>
          <w:sz w:val="24"/>
        </w:rPr>
        <w:t>.  However, that statute also states</w:t>
      </w:r>
      <w:r w:rsidR="000B415F" w:rsidRPr="0088344E">
        <w:rPr>
          <w:rFonts w:ascii="Times New Roman" w:hAnsi="Times New Roman"/>
          <w:color w:val="000000"/>
          <w:sz w:val="24"/>
        </w:rPr>
        <w:t xml:space="preserve"> that</w:t>
      </w:r>
      <w:r w:rsidR="00BC508A" w:rsidRPr="0088344E">
        <w:rPr>
          <w:rFonts w:ascii="Times New Roman" w:hAnsi="Times New Roman"/>
          <w:color w:val="000000"/>
          <w:sz w:val="24"/>
        </w:rPr>
        <w:t xml:space="preserve"> the Commission may allow changes</w:t>
      </w:r>
      <w:r w:rsidR="000B415F" w:rsidRPr="0088344E">
        <w:rPr>
          <w:rFonts w:ascii="Times New Roman" w:hAnsi="Times New Roman"/>
          <w:color w:val="000000"/>
          <w:sz w:val="24"/>
        </w:rPr>
        <w:t>:</w:t>
      </w:r>
    </w:p>
    <w:p w:rsidR="000B415F" w:rsidRPr="000B415F" w:rsidRDefault="00BC508A" w:rsidP="000B415F">
      <w:pPr>
        <w:spacing w:line="264" w:lineRule="auto"/>
        <w:ind w:left="720"/>
        <w:rPr>
          <w:rFonts w:ascii="Times New Roman" w:hAnsi="Times New Roman"/>
          <w:color w:val="000000"/>
          <w:sz w:val="24"/>
        </w:rPr>
      </w:pPr>
      <w:r>
        <w:rPr>
          <w:rFonts w:ascii="Times New Roman" w:hAnsi="Times New Roman"/>
          <w:sz w:val="24"/>
        </w:rPr>
        <w:t xml:space="preserve">. . . </w:t>
      </w:r>
      <w:r w:rsidR="000B415F" w:rsidRPr="000B415F">
        <w:rPr>
          <w:rFonts w:ascii="Times New Roman" w:hAnsi="Times New Roman"/>
          <w:sz w:val="24"/>
        </w:rPr>
        <w:t>without requiring the thirty days' notice by duly filing, in such manner as it may direct, an order specifying the changes so to be made and the time when it shall take effect.</w:t>
      </w:r>
    </w:p>
    <w:p w:rsidR="000B415F" w:rsidRPr="000B415F" w:rsidRDefault="000B415F" w:rsidP="000B415F">
      <w:pPr>
        <w:rPr>
          <w:rFonts w:ascii="Times New Roman" w:hAnsi="Times New Roman"/>
          <w:sz w:val="24"/>
        </w:rPr>
      </w:pPr>
    </w:p>
    <w:p w:rsidR="00ED33A8" w:rsidRDefault="000B415F" w:rsidP="000B415F">
      <w:pPr>
        <w:spacing w:line="480" w:lineRule="auto"/>
        <w:rPr>
          <w:rFonts w:ascii="Times New Roman" w:hAnsi="Times New Roman"/>
          <w:sz w:val="24"/>
        </w:rPr>
      </w:pPr>
      <w:r w:rsidRPr="000B415F">
        <w:rPr>
          <w:rFonts w:ascii="Times New Roman" w:hAnsi="Times New Roman"/>
          <w:sz w:val="24"/>
        </w:rPr>
        <w:t>Thus,</w:t>
      </w:r>
      <w:r w:rsidR="00BC508A">
        <w:rPr>
          <w:rFonts w:ascii="Times New Roman" w:hAnsi="Times New Roman"/>
          <w:sz w:val="24"/>
        </w:rPr>
        <w:t xml:space="preserve"> if evidence shows a </w:t>
      </w:r>
      <w:r w:rsidRPr="000B415F">
        <w:rPr>
          <w:rFonts w:ascii="Times New Roman" w:hAnsi="Times New Roman"/>
          <w:sz w:val="24"/>
        </w:rPr>
        <w:t xml:space="preserve">need </w:t>
      </w:r>
      <w:r w:rsidR="00BC508A">
        <w:rPr>
          <w:rFonts w:ascii="Times New Roman" w:hAnsi="Times New Roman"/>
          <w:sz w:val="24"/>
        </w:rPr>
        <w:t xml:space="preserve">for revenue above the proposed tariffs, the Commission may </w:t>
      </w:r>
      <w:r w:rsidR="008653F7">
        <w:rPr>
          <w:rFonts w:ascii="Times New Roman" w:hAnsi="Times New Roman"/>
          <w:sz w:val="24"/>
        </w:rPr>
        <w:t xml:space="preserve">allow PSE </w:t>
      </w:r>
      <w:r w:rsidRPr="000B415F">
        <w:rPr>
          <w:rFonts w:ascii="Times New Roman" w:hAnsi="Times New Roman"/>
          <w:sz w:val="24"/>
        </w:rPr>
        <w:t xml:space="preserve">to file for the higher amount on less </w:t>
      </w:r>
      <w:r w:rsidR="008653F7">
        <w:rPr>
          <w:rFonts w:ascii="Times New Roman" w:hAnsi="Times New Roman"/>
          <w:sz w:val="24"/>
        </w:rPr>
        <w:t xml:space="preserve">than 30-days </w:t>
      </w:r>
      <w:r w:rsidRPr="000B415F">
        <w:rPr>
          <w:rFonts w:ascii="Times New Roman" w:hAnsi="Times New Roman"/>
          <w:sz w:val="24"/>
        </w:rPr>
        <w:t>no</w:t>
      </w:r>
      <w:r w:rsidR="008653F7">
        <w:rPr>
          <w:rFonts w:ascii="Times New Roman" w:hAnsi="Times New Roman"/>
          <w:sz w:val="24"/>
        </w:rPr>
        <w:t xml:space="preserve">tice.  RCW 80.28.060 would </w:t>
      </w:r>
      <w:r w:rsidRPr="000B415F">
        <w:rPr>
          <w:rFonts w:ascii="Times New Roman" w:hAnsi="Times New Roman"/>
          <w:sz w:val="24"/>
        </w:rPr>
        <w:t>allow that</w:t>
      </w:r>
      <w:r w:rsidR="008653F7">
        <w:rPr>
          <w:rFonts w:ascii="Times New Roman" w:hAnsi="Times New Roman"/>
          <w:sz w:val="24"/>
        </w:rPr>
        <w:t xml:space="preserve"> to occur through the </w:t>
      </w:r>
      <w:r w:rsidRPr="000B415F">
        <w:rPr>
          <w:rFonts w:ascii="Times New Roman" w:hAnsi="Times New Roman"/>
          <w:sz w:val="24"/>
        </w:rPr>
        <w:t>compliance filing.</w:t>
      </w:r>
    </w:p>
    <w:p w:rsidR="001B011D" w:rsidRDefault="0088344E" w:rsidP="0088344E">
      <w:pPr>
        <w:pStyle w:val="ListParagraph"/>
        <w:numPr>
          <w:ilvl w:val="0"/>
          <w:numId w:val="11"/>
        </w:numPr>
        <w:tabs>
          <w:tab w:val="left" w:pos="-1440"/>
        </w:tabs>
        <w:spacing w:line="480" w:lineRule="auto"/>
        <w:rPr>
          <w:rFonts w:ascii="Times New Roman" w:hAnsi="Times New Roman"/>
          <w:sz w:val="24"/>
        </w:rPr>
      </w:pPr>
      <w:r>
        <w:rPr>
          <w:rFonts w:ascii="Times New Roman" w:hAnsi="Times New Roman"/>
          <w:sz w:val="24"/>
        </w:rPr>
        <w:lastRenderedPageBreak/>
        <w:tab/>
      </w:r>
      <w:r w:rsidR="00DC5AF8" w:rsidRPr="0088344E">
        <w:rPr>
          <w:rFonts w:ascii="Times New Roman" w:hAnsi="Times New Roman"/>
          <w:sz w:val="24"/>
        </w:rPr>
        <w:t xml:space="preserve">In sum, tariff </w:t>
      </w:r>
      <w:r w:rsidR="00D23C1D" w:rsidRPr="0088344E">
        <w:rPr>
          <w:rFonts w:ascii="Times New Roman" w:hAnsi="Times New Roman"/>
          <w:sz w:val="24"/>
        </w:rPr>
        <w:t xml:space="preserve">revisions </w:t>
      </w:r>
      <w:r w:rsidR="00F91902" w:rsidRPr="0088344E">
        <w:rPr>
          <w:rFonts w:ascii="Times New Roman" w:hAnsi="Times New Roman"/>
          <w:sz w:val="24"/>
        </w:rPr>
        <w:t xml:space="preserve">are suspended </w:t>
      </w:r>
      <w:r w:rsidR="00D23C1D" w:rsidRPr="0088344E">
        <w:rPr>
          <w:rFonts w:ascii="Times New Roman" w:hAnsi="Times New Roman"/>
          <w:sz w:val="24"/>
        </w:rPr>
        <w:t>and set for he</w:t>
      </w:r>
      <w:r w:rsidR="008653F7" w:rsidRPr="0088344E">
        <w:rPr>
          <w:rFonts w:ascii="Times New Roman" w:hAnsi="Times New Roman"/>
          <w:sz w:val="24"/>
        </w:rPr>
        <w:t xml:space="preserve">aring, the Commission has </w:t>
      </w:r>
      <w:r w:rsidR="00D23C1D" w:rsidRPr="0088344E">
        <w:rPr>
          <w:rFonts w:ascii="Times New Roman" w:hAnsi="Times New Roman"/>
          <w:sz w:val="24"/>
        </w:rPr>
        <w:t>authority to</w:t>
      </w:r>
      <w:r w:rsidR="00EE6D77" w:rsidRPr="0088344E">
        <w:rPr>
          <w:rFonts w:ascii="Times New Roman" w:hAnsi="Times New Roman"/>
          <w:sz w:val="24"/>
        </w:rPr>
        <w:t xml:space="preserve"> </w:t>
      </w:r>
      <w:r w:rsidR="00D23C1D" w:rsidRPr="0088344E">
        <w:rPr>
          <w:rFonts w:ascii="Times New Roman" w:hAnsi="Times New Roman"/>
          <w:sz w:val="24"/>
        </w:rPr>
        <w:t>set just, reasonable and sufficient rates above or below th</w:t>
      </w:r>
      <w:r w:rsidR="00121A4E" w:rsidRPr="0088344E">
        <w:rPr>
          <w:rFonts w:ascii="Times New Roman" w:hAnsi="Times New Roman"/>
          <w:sz w:val="24"/>
        </w:rPr>
        <w:t>e proposed tariffs</w:t>
      </w:r>
      <w:r w:rsidR="00D23C1D" w:rsidRPr="0088344E">
        <w:rPr>
          <w:rFonts w:ascii="Times New Roman" w:hAnsi="Times New Roman"/>
          <w:sz w:val="24"/>
        </w:rPr>
        <w:t>, e</w:t>
      </w:r>
      <w:r w:rsidR="00CF57FF" w:rsidRPr="0088344E">
        <w:rPr>
          <w:rFonts w:ascii="Times New Roman" w:hAnsi="Times New Roman"/>
          <w:sz w:val="24"/>
        </w:rPr>
        <w:t xml:space="preserve">ven if that generates </w:t>
      </w:r>
      <w:r w:rsidR="008653F7" w:rsidRPr="0088344E">
        <w:rPr>
          <w:rFonts w:ascii="Times New Roman" w:hAnsi="Times New Roman"/>
          <w:sz w:val="24"/>
        </w:rPr>
        <w:t>an increase above</w:t>
      </w:r>
      <w:r w:rsidR="00D23C1D" w:rsidRPr="0088344E">
        <w:rPr>
          <w:rFonts w:ascii="Times New Roman" w:hAnsi="Times New Roman"/>
          <w:sz w:val="24"/>
        </w:rPr>
        <w:t xml:space="preserve"> the proposed</w:t>
      </w:r>
      <w:r w:rsidR="008653F7" w:rsidRPr="0088344E">
        <w:rPr>
          <w:rFonts w:ascii="Times New Roman" w:hAnsi="Times New Roman"/>
          <w:sz w:val="24"/>
        </w:rPr>
        <w:t xml:space="preserve"> </w:t>
      </w:r>
      <w:r w:rsidR="00D23C1D" w:rsidRPr="0088344E">
        <w:rPr>
          <w:rFonts w:ascii="Times New Roman" w:hAnsi="Times New Roman"/>
          <w:sz w:val="24"/>
        </w:rPr>
        <w:t xml:space="preserve">revenue </w:t>
      </w:r>
      <w:r w:rsidR="00DD3E80" w:rsidRPr="0088344E">
        <w:rPr>
          <w:rFonts w:ascii="Times New Roman" w:hAnsi="Times New Roman"/>
          <w:sz w:val="24"/>
        </w:rPr>
        <w:t>requirement.</w:t>
      </w:r>
      <w:r w:rsidR="00ED33A8">
        <w:rPr>
          <w:rStyle w:val="FootnoteReference"/>
          <w:rFonts w:ascii="Times New Roman" w:hAnsi="Times New Roman"/>
          <w:sz w:val="24"/>
        </w:rPr>
        <w:footnoteReference w:id="296"/>
      </w:r>
      <w:r w:rsidR="00DD3E80" w:rsidRPr="0088344E">
        <w:rPr>
          <w:rFonts w:ascii="Times New Roman" w:hAnsi="Times New Roman"/>
          <w:sz w:val="24"/>
        </w:rPr>
        <w:t xml:space="preserve">  Public Counsel’s</w:t>
      </w:r>
      <w:r w:rsidR="00D23C1D" w:rsidRPr="0088344E">
        <w:rPr>
          <w:rFonts w:ascii="Times New Roman" w:hAnsi="Times New Roman"/>
          <w:sz w:val="24"/>
        </w:rPr>
        <w:t xml:space="preserve"> arguments to the contrary should be rejected.</w:t>
      </w:r>
      <w:r>
        <w:rPr>
          <w:rFonts w:ascii="Times New Roman" w:hAnsi="Times New Roman"/>
          <w:sz w:val="24"/>
        </w:rPr>
        <w:t xml:space="preserve">  </w:t>
      </w:r>
    </w:p>
    <w:p w:rsidR="00CB20C9" w:rsidRPr="00CB20C9" w:rsidRDefault="003705BE" w:rsidP="00CB20C9">
      <w:pPr>
        <w:ind w:left="720"/>
        <w:rPr>
          <w:rFonts w:ascii="Times New Roman" w:hAnsi="Times New Roman"/>
          <w:sz w:val="24"/>
          <w:szCs w:val="24"/>
        </w:rPr>
      </w:pPr>
      <w:r w:rsidRPr="00CB20C9">
        <w:rPr>
          <w:rFonts w:ascii="Times New Roman" w:eastAsia="Times New Roman" w:hAnsi="Times New Roman"/>
          <w:bCs/>
          <w:kern w:val="24"/>
          <w:sz w:val="24"/>
          <w:szCs w:val="24"/>
        </w:rPr>
        <w:tab/>
      </w:r>
      <w:r w:rsidR="00CB20C9">
        <w:rPr>
          <w:rFonts w:ascii="Times New Roman" w:hAnsi="Times New Roman"/>
          <w:sz w:val="24"/>
          <w:szCs w:val="24"/>
        </w:rPr>
        <w:t>DATED this 19</w:t>
      </w:r>
      <w:r w:rsidR="00CB20C9" w:rsidRPr="00CB20C9">
        <w:rPr>
          <w:rFonts w:ascii="Times New Roman" w:hAnsi="Times New Roman"/>
          <w:sz w:val="24"/>
          <w:szCs w:val="24"/>
          <w:vertAlign w:val="superscript"/>
        </w:rPr>
        <w:t>th</w:t>
      </w:r>
      <w:r w:rsidR="00CB20C9">
        <w:rPr>
          <w:rFonts w:ascii="Times New Roman" w:hAnsi="Times New Roman"/>
          <w:sz w:val="24"/>
          <w:szCs w:val="24"/>
        </w:rPr>
        <w:t xml:space="preserve"> </w:t>
      </w:r>
      <w:r w:rsidR="00CB20C9" w:rsidRPr="00CB20C9">
        <w:rPr>
          <w:rFonts w:ascii="Times New Roman" w:hAnsi="Times New Roman"/>
          <w:sz w:val="24"/>
          <w:szCs w:val="24"/>
        </w:rPr>
        <w:t xml:space="preserve">day of </w:t>
      </w:r>
      <w:r w:rsidR="00CB20C9">
        <w:rPr>
          <w:rFonts w:ascii="Times New Roman" w:hAnsi="Times New Roman"/>
          <w:sz w:val="24"/>
          <w:szCs w:val="24"/>
        </w:rPr>
        <w:t xml:space="preserve">February </w:t>
      </w:r>
      <w:r w:rsidR="00CB20C9" w:rsidRPr="00CB20C9">
        <w:rPr>
          <w:rFonts w:ascii="Times New Roman" w:hAnsi="Times New Roman"/>
          <w:sz w:val="24"/>
          <w:szCs w:val="24"/>
        </w:rPr>
        <w:t>20</w:t>
      </w:r>
      <w:r w:rsidR="00CB20C9">
        <w:rPr>
          <w:rFonts w:ascii="Times New Roman" w:hAnsi="Times New Roman"/>
          <w:sz w:val="24"/>
          <w:szCs w:val="24"/>
        </w:rPr>
        <w:t>1</w:t>
      </w:r>
      <w:r w:rsidR="00CB20C9" w:rsidRPr="00CB20C9">
        <w:rPr>
          <w:rFonts w:ascii="Times New Roman" w:hAnsi="Times New Roman"/>
          <w:sz w:val="24"/>
          <w:szCs w:val="24"/>
        </w:rPr>
        <w:t>0.</w:t>
      </w:r>
    </w:p>
    <w:p w:rsidR="00CB20C9" w:rsidRPr="00CB20C9" w:rsidRDefault="00CB20C9" w:rsidP="00CB20C9">
      <w:pPr>
        <w:pStyle w:val="BodyTextIndent2"/>
        <w:spacing w:after="0" w:line="240" w:lineRule="auto"/>
        <w:rPr>
          <w:rFonts w:ascii="Times New Roman" w:hAnsi="Times New Roman"/>
          <w:sz w:val="24"/>
          <w:szCs w:val="24"/>
        </w:rPr>
      </w:pPr>
    </w:p>
    <w:p w:rsidR="00CB20C9" w:rsidRPr="00CB20C9" w:rsidRDefault="00CB20C9" w:rsidP="00CB20C9">
      <w:pPr>
        <w:ind w:left="4320"/>
        <w:jc w:val="both"/>
        <w:rPr>
          <w:rFonts w:ascii="Times New Roman" w:hAnsi="Times New Roman"/>
          <w:sz w:val="24"/>
          <w:szCs w:val="24"/>
        </w:rPr>
      </w:pPr>
      <w:r w:rsidRPr="00CB20C9">
        <w:rPr>
          <w:rFonts w:ascii="Times New Roman" w:hAnsi="Times New Roman"/>
          <w:sz w:val="24"/>
          <w:szCs w:val="24"/>
        </w:rPr>
        <w:t xml:space="preserve">ROBERT M. MCKENNA </w:t>
      </w:r>
    </w:p>
    <w:p w:rsidR="00CB20C9" w:rsidRPr="00CB20C9" w:rsidRDefault="00CB20C9" w:rsidP="00CB20C9">
      <w:pPr>
        <w:ind w:left="4320"/>
        <w:jc w:val="both"/>
        <w:rPr>
          <w:rFonts w:ascii="Times New Roman" w:hAnsi="Times New Roman"/>
          <w:sz w:val="24"/>
          <w:szCs w:val="24"/>
        </w:rPr>
      </w:pPr>
      <w:r w:rsidRPr="00CB20C9">
        <w:rPr>
          <w:rFonts w:ascii="Times New Roman" w:hAnsi="Times New Roman"/>
          <w:sz w:val="24"/>
          <w:szCs w:val="24"/>
        </w:rPr>
        <w:t>Attorney General</w:t>
      </w:r>
    </w:p>
    <w:p w:rsidR="00CB20C9" w:rsidRPr="00CB20C9" w:rsidRDefault="00CB20C9" w:rsidP="00CB20C9">
      <w:pPr>
        <w:ind w:left="4320"/>
        <w:jc w:val="both"/>
        <w:rPr>
          <w:rFonts w:ascii="Times New Roman" w:hAnsi="Times New Roman"/>
          <w:sz w:val="24"/>
          <w:szCs w:val="24"/>
        </w:rPr>
      </w:pPr>
    </w:p>
    <w:p w:rsidR="00CB20C9" w:rsidRPr="00CB20C9" w:rsidRDefault="00CB20C9" w:rsidP="00CB20C9">
      <w:pPr>
        <w:ind w:left="4320"/>
        <w:jc w:val="both"/>
        <w:rPr>
          <w:rFonts w:ascii="Times New Roman" w:hAnsi="Times New Roman"/>
          <w:sz w:val="24"/>
          <w:szCs w:val="24"/>
        </w:rPr>
      </w:pPr>
    </w:p>
    <w:p w:rsidR="00CB20C9" w:rsidRPr="00CB20C9" w:rsidRDefault="00CB20C9" w:rsidP="00CB20C9">
      <w:pPr>
        <w:ind w:left="4320"/>
        <w:jc w:val="both"/>
        <w:rPr>
          <w:rFonts w:ascii="Times New Roman" w:hAnsi="Times New Roman"/>
          <w:sz w:val="24"/>
          <w:szCs w:val="24"/>
        </w:rPr>
      </w:pPr>
    </w:p>
    <w:p w:rsidR="00CB20C9" w:rsidRPr="00CB20C9" w:rsidRDefault="00CB20C9" w:rsidP="00CB20C9">
      <w:pPr>
        <w:pBdr>
          <w:bottom w:val="single" w:sz="12" w:space="1" w:color="auto"/>
        </w:pBdr>
        <w:ind w:left="4320"/>
        <w:jc w:val="both"/>
        <w:rPr>
          <w:rFonts w:ascii="Times New Roman" w:hAnsi="Times New Roman"/>
          <w:sz w:val="24"/>
          <w:szCs w:val="24"/>
        </w:rPr>
      </w:pPr>
    </w:p>
    <w:p w:rsidR="00CB20C9" w:rsidRDefault="00CB20C9" w:rsidP="00CB20C9">
      <w:pPr>
        <w:ind w:left="4320"/>
        <w:jc w:val="both"/>
        <w:rPr>
          <w:rFonts w:ascii="Times New Roman" w:hAnsi="Times New Roman"/>
          <w:sz w:val="24"/>
          <w:szCs w:val="24"/>
        </w:rPr>
      </w:pPr>
      <w:r>
        <w:rPr>
          <w:rFonts w:ascii="Times New Roman" w:hAnsi="Times New Roman"/>
          <w:sz w:val="24"/>
          <w:szCs w:val="24"/>
        </w:rPr>
        <w:t xml:space="preserve">ROBERT D. CEDARBAUM </w:t>
      </w:r>
    </w:p>
    <w:p w:rsidR="00CB20C9" w:rsidRPr="00CB20C9" w:rsidRDefault="00CB20C9" w:rsidP="00CB20C9">
      <w:pPr>
        <w:ind w:left="4320"/>
        <w:jc w:val="both"/>
        <w:rPr>
          <w:rFonts w:ascii="Times New Roman" w:hAnsi="Times New Roman"/>
          <w:sz w:val="24"/>
          <w:szCs w:val="24"/>
        </w:rPr>
      </w:pPr>
      <w:r w:rsidRPr="00CB20C9">
        <w:rPr>
          <w:rFonts w:ascii="Times New Roman" w:hAnsi="Times New Roman"/>
          <w:sz w:val="24"/>
          <w:szCs w:val="24"/>
        </w:rPr>
        <w:t>Assistant Attorney General</w:t>
      </w:r>
    </w:p>
    <w:p w:rsidR="00CB20C9" w:rsidRPr="00CB20C9" w:rsidRDefault="00CB20C9" w:rsidP="00CB20C9">
      <w:pPr>
        <w:ind w:left="4320"/>
        <w:jc w:val="both"/>
        <w:rPr>
          <w:rFonts w:ascii="Times New Roman" w:hAnsi="Times New Roman"/>
          <w:sz w:val="24"/>
          <w:szCs w:val="24"/>
        </w:rPr>
      </w:pPr>
      <w:r w:rsidRPr="00CB20C9">
        <w:rPr>
          <w:rFonts w:ascii="Times New Roman" w:hAnsi="Times New Roman"/>
          <w:sz w:val="24"/>
          <w:szCs w:val="24"/>
        </w:rPr>
        <w:t>Counsel for Washington Utilities and</w:t>
      </w:r>
    </w:p>
    <w:p w:rsidR="00CB20C9" w:rsidRPr="00CB20C9" w:rsidRDefault="00CB20C9" w:rsidP="00CB20C9">
      <w:pPr>
        <w:ind w:left="4320"/>
        <w:jc w:val="both"/>
        <w:rPr>
          <w:rFonts w:ascii="Times New Roman" w:hAnsi="Times New Roman"/>
          <w:sz w:val="24"/>
          <w:szCs w:val="24"/>
        </w:rPr>
      </w:pPr>
      <w:r w:rsidRPr="00CB20C9">
        <w:rPr>
          <w:rFonts w:ascii="Times New Roman" w:hAnsi="Times New Roman"/>
          <w:sz w:val="24"/>
          <w:szCs w:val="24"/>
        </w:rPr>
        <w:t>Transportation Commission Staff</w:t>
      </w:r>
    </w:p>
    <w:p w:rsidR="0017547C" w:rsidRPr="00CB20C9" w:rsidRDefault="0017547C" w:rsidP="00CB20C9">
      <w:pPr>
        <w:spacing w:line="480" w:lineRule="auto"/>
        <w:rPr>
          <w:rFonts w:ascii="Times New Roman" w:hAnsi="Times New Roman"/>
          <w:sz w:val="24"/>
          <w:szCs w:val="24"/>
        </w:rPr>
      </w:pPr>
    </w:p>
    <w:sectPr w:rsidR="0017547C" w:rsidRPr="00CB20C9" w:rsidSect="004D3E34">
      <w:pgSz w:w="12240" w:h="15840"/>
      <w:pgMar w:top="1440" w:right="1440" w:bottom="1440" w:left="187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0C1" w:rsidRDefault="000570C1" w:rsidP="00B24AF7">
      <w:r>
        <w:separator/>
      </w:r>
    </w:p>
  </w:endnote>
  <w:endnote w:type="continuationSeparator" w:id="0">
    <w:p w:rsidR="000570C1" w:rsidRDefault="000570C1" w:rsidP="00B24A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C1" w:rsidRPr="00FF431B" w:rsidRDefault="000570C1">
    <w:pPr>
      <w:pStyle w:val="Footer"/>
    </w:pPr>
  </w:p>
  <w:p w:rsidR="000570C1" w:rsidRPr="00FF431B" w:rsidRDefault="000570C1">
    <w:pPr>
      <w:pStyle w:val="Footer"/>
      <w:rPr>
        <w:sz w:val="20"/>
        <w:szCs w:val="20"/>
      </w:rPr>
    </w:pPr>
    <w:r>
      <w:rPr>
        <w:sz w:val="20"/>
        <w:szCs w:val="20"/>
      </w:rPr>
      <w:t>BRIEF OF COMMISSION STAFF</w:t>
    </w:r>
    <w:r w:rsidRPr="00FF431B">
      <w:rPr>
        <w:sz w:val="20"/>
        <w:szCs w:val="20"/>
      </w:rPr>
      <w:t xml:space="preserve"> - </w:t>
    </w:r>
    <w:r w:rsidR="00D85D3A" w:rsidRPr="00FF431B">
      <w:rPr>
        <w:rStyle w:val="PageNumber"/>
        <w:sz w:val="20"/>
        <w:szCs w:val="20"/>
      </w:rPr>
      <w:fldChar w:fldCharType="begin"/>
    </w:r>
    <w:r w:rsidRPr="00FF431B">
      <w:rPr>
        <w:rStyle w:val="PageNumber"/>
        <w:sz w:val="20"/>
        <w:szCs w:val="20"/>
      </w:rPr>
      <w:instrText xml:space="preserve"> PAGE </w:instrText>
    </w:r>
    <w:r w:rsidR="00D85D3A" w:rsidRPr="00FF431B">
      <w:rPr>
        <w:rStyle w:val="PageNumber"/>
        <w:sz w:val="20"/>
        <w:szCs w:val="20"/>
      </w:rPr>
      <w:fldChar w:fldCharType="separate"/>
    </w:r>
    <w:r w:rsidR="001F3967">
      <w:rPr>
        <w:rStyle w:val="PageNumber"/>
        <w:noProof/>
        <w:sz w:val="20"/>
        <w:szCs w:val="20"/>
      </w:rPr>
      <w:t>32</w:t>
    </w:r>
    <w:r w:rsidR="00D85D3A" w:rsidRPr="00FF431B">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0C1" w:rsidRDefault="000570C1" w:rsidP="00B24AF7">
      <w:r>
        <w:separator/>
      </w:r>
    </w:p>
  </w:footnote>
  <w:footnote w:type="continuationSeparator" w:id="0">
    <w:p w:rsidR="000570C1" w:rsidRDefault="000570C1" w:rsidP="00B24AF7">
      <w:r>
        <w:continuationSeparator/>
      </w:r>
    </w:p>
  </w:footnote>
  <w:footnote w:id="1">
    <w:p w:rsidR="000570C1" w:rsidRPr="005607ED" w:rsidRDefault="000570C1" w:rsidP="00F358F7">
      <w:pPr>
        <w:pStyle w:val="FootnoteText"/>
        <w:rPr>
          <w:rFonts w:ascii="Times New Roman" w:hAnsi="Times New Roman"/>
        </w:rPr>
      </w:pPr>
      <w:r w:rsidRPr="005607ED">
        <w:rPr>
          <w:rStyle w:val="FootnoteReference"/>
          <w:rFonts w:ascii="Times New Roman" w:hAnsi="Times New Roman"/>
        </w:rPr>
        <w:footnoteRef/>
      </w:r>
      <w:r>
        <w:rPr>
          <w:rFonts w:ascii="Times New Roman" w:hAnsi="Times New Roman"/>
        </w:rPr>
        <w:t xml:space="preserve"> Exhibit No. B-2 at Attachments C and D.  </w:t>
      </w:r>
    </w:p>
  </w:footnote>
  <w:footnote w:id="2">
    <w:p w:rsidR="000570C1" w:rsidRPr="000C2680" w:rsidRDefault="000570C1">
      <w:pPr>
        <w:pStyle w:val="FootnoteText"/>
        <w:rPr>
          <w:rFonts w:ascii="Times New Roman" w:hAnsi="Times New Roman"/>
        </w:rPr>
      </w:pPr>
      <w:r w:rsidRPr="000C2680">
        <w:rPr>
          <w:rStyle w:val="FootnoteReference"/>
          <w:rFonts w:ascii="Times New Roman" w:hAnsi="Times New Roman"/>
        </w:rPr>
        <w:footnoteRef/>
      </w:r>
      <w:r>
        <w:rPr>
          <w:rFonts w:ascii="Times New Roman" w:hAnsi="Times New Roman"/>
        </w:rPr>
        <w:t xml:space="preserve"> Exhibit No. B-3 at Exhibit Nos. KHB-2 and KHB-3.</w:t>
      </w:r>
    </w:p>
  </w:footnote>
  <w:footnote w:id="3">
    <w:p w:rsidR="000570C1" w:rsidRPr="000D4128" w:rsidRDefault="000570C1">
      <w:pPr>
        <w:pStyle w:val="FootnoteText"/>
        <w:rPr>
          <w:rFonts w:ascii="Times New Roman" w:hAnsi="Times New Roman"/>
        </w:rPr>
      </w:pPr>
      <w:r w:rsidRPr="000D4128">
        <w:rPr>
          <w:rStyle w:val="FootnoteReference"/>
          <w:rFonts w:ascii="Times New Roman" w:hAnsi="Times New Roman"/>
        </w:rPr>
        <w:footnoteRef/>
      </w:r>
      <w:r w:rsidRPr="000D4128">
        <w:rPr>
          <w:rFonts w:ascii="Times New Roman" w:hAnsi="Times New Roman"/>
        </w:rPr>
        <w:t xml:space="preserve"> </w:t>
      </w:r>
      <w:r w:rsidRPr="000D4128">
        <w:rPr>
          <w:rFonts w:ascii="Times New Roman" w:hAnsi="Times New Roman"/>
          <w:i/>
        </w:rPr>
        <w:t>WUTC v. Avista Corporation</w:t>
      </w:r>
      <w:r>
        <w:rPr>
          <w:rFonts w:ascii="Times New Roman" w:hAnsi="Times New Roman"/>
          <w:i/>
        </w:rPr>
        <w:t>, d/b/a Avista Utili</w:t>
      </w:r>
      <w:r w:rsidRPr="000D4128">
        <w:rPr>
          <w:rFonts w:ascii="Times New Roman" w:hAnsi="Times New Roman"/>
          <w:i/>
        </w:rPr>
        <w:t>ties</w:t>
      </w:r>
      <w:r>
        <w:rPr>
          <w:rFonts w:ascii="Times New Roman" w:hAnsi="Times New Roman"/>
        </w:rPr>
        <w:t xml:space="preserve">, Dockets </w:t>
      </w:r>
      <w:r w:rsidRPr="000D4128">
        <w:rPr>
          <w:rFonts w:ascii="Times New Roman" w:hAnsi="Times New Roman"/>
        </w:rPr>
        <w:t xml:space="preserve">UE-090134 and UG-090135, Order 10 </w:t>
      </w:r>
      <w:r>
        <w:rPr>
          <w:rFonts w:ascii="Times New Roman" w:hAnsi="Times New Roman"/>
        </w:rPr>
        <w:t>(</w:t>
      </w:r>
      <w:r w:rsidRPr="000D4128">
        <w:rPr>
          <w:rFonts w:ascii="Times New Roman" w:hAnsi="Times New Roman"/>
        </w:rPr>
        <w:t>December 22, 2009)</w:t>
      </w:r>
      <w:r>
        <w:rPr>
          <w:rFonts w:ascii="Times New Roman" w:hAnsi="Times New Roman"/>
        </w:rPr>
        <w:t xml:space="preserve"> (“Avista Order”)</w:t>
      </w:r>
      <w:r w:rsidRPr="000D4128">
        <w:rPr>
          <w:rFonts w:ascii="Times New Roman" w:hAnsi="Times New Roman"/>
        </w:rPr>
        <w:t>.</w:t>
      </w:r>
    </w:p>
  </w:footnote>
  <w:footnote w:id="4">
    <w:p w:rsidR="000570C1" w:rsidRPr="006A1E53" w:rsidRDefault="000570C1">
      <w:pPr>
        <w:pStyle w:val="FootnoteText"/>
        <w:rPr>
          <w:rFonts w:ascii="Times New Roman" w:hAnsi="Times New Roman"/>
        </w:rPr>
      </w:pPr>
      <w:r w:rsidRPr="006A1E53">
        <w:rPr>
          <w:rStyle w:val="FootnoteReference"/>
          <w:rFonts w:ascii="Times New Roman" w:hAnsi="Times New Roman"/>
        </w:rPr>
        <w:footnoteRef/>
      </w:r>
      <w:r w:rsidRPr="006A1E53">
        <w:rPr>
          <w:rFonts w:ascii="Times New Roman" w:hAnsi="Times New Roman"/>
        </w:rPr>
        <w:t xml:space="preserve"> </w:t>
      </w:r>
      <w:r w:rsidRPr="006A1E53">
        <w:rPr>
          <w:rFonts w:ascii="Times New Roman" w:hAnsi="Times New Roman"/>
          <w:i/>
        </w:rPr>
        <w:t>In the Matter of the Joint Application of Puget Holdings LLC and Puget Sound Energy, Inc.,</w:t>
      </w:r>
      <w:r w:rsidRPr="006A1E53">
        <w:rPr>
          <w:rFonts w:ascii="Times New Roman" w:hAnsi="Times New Roman"/>
        </w:rPr>
        <w:t xml:space="preserve"> Docket U-072375, Order 08 (December 30, 2008)</w:t>
      </w:r>
      <w:r>
        <w:rPr>
          <w:rFonts w:ascii="Times New Roman" w:hAnsi="Times New Roman"/>
        </w:rPr>
        <w:t xml:space="preserve"> (“2008 Acquisition”).</w:t>
      </w:r>
    </w:p>
  </w:footnote>
  <w:footnote w:id="5">
    <w:p w:rsidR="000570C1" w:rsidRDefault="000570C1">
      <w:pPr>
        <w:pStyle w:val="FootnoteText"/>
      </w:pPr>
      <w:r w:rsidRPr="005A17F0">
        <w:rPr>
          <w:rStyle w:val="FootnoteReference"/>
          <w:rFonts w:ascii="Times New Roman" w:hAnsi="Times New Roman"/>
        </w:rPr>
        <w:footnoteRef/>
      </w:r>
      <w:r w:rsidRPr="005A17F0">
        <w:rPr>
          <w:rFonts w:ascii="Times New Roman" w:hAnsi="Times New Roman"/>
        </w:rPr>
        <w:t xml:space="preserve"> Exhibit No. DCP-1T at 2:13-19.  The parties agree to a 2.47 percent cost of short-term debt applied to a 3.95 percent short-term debt ratio.  Mr. Parcell derived a long-term debt ratio of 51.05 percent by adding to the long-term debt level proposed by PSE the amount necessary for total capital to remain the same.</w:t>
      </w:r>
      <w:r w:rsidRPr="008A4FF9">
        <w:rPr>
          <w:rFonts w:ascii="Times New Roman" w:hAnsi="Times New Roman"/>
        </w:rPr>
        <w:t xml:space="preserve">  Exhibit No. DCP-1T at 28:5-11 and Exhibit No. DCP-3.</w:t>
      </w:r>
    </w:p>
  </w:footnote>
  <w:footnote w:id="6">
    <w:p w:rsidR="000570C1" w:rsidRDefault="000570C1" w:rsidP="00864C65">
      <w:pPr>
        <w:pStyle w:val="FootnoteText"/>
      </w:pPr>
      <w:r w:rsidRPr="00AF5BC2">
        <w:rPr>
          <w:rStyle w:val="FootnoteReference"/>
          <w:rFonts w:ascii="Times New Roman" w:hAnsi="Times New Roman"/>
        </w:rPr>
        <w:footnoteRef/>
      </w:r>
      <w:r>
        <w:rPr>
          <w:rFonts w:ascii="Times New Roman" w:hAnsi="Times New Roman"/>
        </w:rPr>
        <w:t xml:space="preserve"> Exhibit No. SGH-5C at 1.</w:t>
      </w:r>
    </w:p>
  </w:footnote>
  <w:footnote w:id="7">
    <w:p w:rsidR="000570C1" w:rsidRPr="00124864" w:rsidRDefault="000570C1" w:rsidP="00864C65">
      <w:pPr>
        <w:pStyle w:val="FootnoteText"/>
        <w:rPr>
          <w:rFonts w:ascii="Times New Roman" w:hAnsi="Times New Roman"/>
        </w:rPr>
      </w:pPr>
      <w:r w:rsidRPr="00124864">
        <w:rPr>
          <w:rStyle w:val="FootnoteReference"/>
          <w:rFonts w:ascii="Times New Roman" w:hAnsi="Times New Roman"/>
        </w:rPr>
        <w:footnoteRef/>
      </w:r>
      <w:r w:rsidRPr="00124864">
        <w:rPr>
          <w:rFonts w:ascii="Times New Roman" w:hAnsi="Times New Roman"/>
        </w:rPr>
        <w:t xml:space="preserve"> Tr. 707:5-16 (Parcell).</w:t>
      </w:r>
    </w:p>
  </w:footnote>
  <w:footnote w:id="8">
    <w:p w:rsidR="000570C1" w:rsidRPr="00444815" w:rsidRDefault="000570C1" w:rsidP="00864C65">
      <w:pPr>
        <w:pStyle w:val="FootnoteText"/>
        <w:rPr>
          <w:rFonts w:ascii="Times New Roman" w:hAnsi="Times New Roman"/>
        </w:rPr>
      </w:pPr>
      <w:r w:rsidRPr="00444815">
        <w:rPr>
          <w:rStyle w:val="FootnoteReference"/>
          <w:rFonts w:ascii="Times New Roman" w:hAnsi="Times New Roman"/>
        </w:rPr>
        <w:footnoteRef/>
      </w:r>
      <w:r w:rsidRPr="00444815">
        <w:rPr>
          <w:rFonts w:ascii="Times New Roman" w:hAnsi="Times New Roman"/>
        </w:rPr>
        <w:t xml:space="preserve"> Exhibit No. DEG-11CT at 3:13-18.  </w:t>
      </w:r>
    </w:p>
  </w:footnote>
  <w:footnote w:id="9">
    <w:p w:rsidR="000570C1" w:rsidRPr="00444815" w:rsidRDefault="000570C1" w:rsidP="00864C65">
      <w:pPr>
        <w:pStyle w:val="FootnoteText"/>
        <w:rPr>
          <w:rFonts w:ascii="Times New Roman" w:hAnsi="Times New Roman"/>
        </w:rPr>
      </w:pPr>
      <w:r w:rsidRPr="00444815">
        <w:rPr>
          <w:rStyle w:val="FootnoteReference"/>
          <w:rFonts w:ascii="Times New Roman" w:hAnsi="Times New Roman"/>
        </w:rPr>
        <w:footnoteRef/>
      </w:r>
      <w:r w:rsidRPr="00444815">
        <w:rPr>
          <w:rFonts w:ascii="Times New Roman" w:hAnsi="Times New Roman"/>
        </w:rPr>
        <w:t xml:space="preserve"> </w:t>
      </w:r>
      <w:r>
        <w:rPr>
          <w:rFonts w:ascii="Times New Roman" w:hAnsi="Times New Roman"/>
        </w:rPr>
        <w:t xml:space="preserve">Tr. 723:5-22 (Hill), </w:t>
      </w:r>
      <w:r w:rsidRPr="00444815">
        <w:rPr>
          <w:rFonts w:ascii="Times New Roman" w:hAnsi="Times New Roman"/>
        </w:rPr>
        <w:t>Exh</w:t>
      </w:r>
      <w:r>
        <w:rPr>
          <w:rFonts w:ascii="Times New Roman" w:hAnsi="Times New Roman"/>
        </w:rPr>
        <w:t xml:space="preserve">ibit No. DCP-1T at </w:t>
      </w:r>
      <w:r w:rsidRPr="00444815">
        <w:rPr>
          <w:rFonts w:ascii="Times New Roman" w:hAnsi="Times New Roman"/>
        </w:rPr>
        <w:t>26</w:t>
      </w:r>
      <w:r>
        <w:rPr>
          <w:rFonts w:ascii="Times New Roman" w:hAnsi="Times New Roman"/>
        </w:rPr>
        <w:t>:18-27:2, and Exhibit No. SGH 1-HCT at 12-15.</w:t>
      </w:r>
    </w:p>
  </w:footnote>
  <w:footnote w:id="10">
    <w:p w:rsidR="000570C1" w:rsidRPr="00210CE6" w:rsidRDefault="000570C1" w:rsidP="00864C65">
      <w:pPr>
        <w:rPr>
          <w:rFonts w:ascii="Times New Roman" w:hAnsi="Times New Roman"/>
          <w:sz w:val="20"/>
          <w:szCs w:val="20"/>
        </w:rPr>
      </w:pPr>
      <w:r w:rsidRPr="00210CE6">
        <w:rPr>
          <w:rStyle w:val="FootnoteReference"/>
          <w:rFonts w:ascii="Times New Roman" w:hAnsi="Times New Roman"/>
          <w:sz w:val="20"/>
          <w:szCs w:val="20"/>
        </w:rPr>
        <w:footnoteRef/>
      </w:r>
      <w:r w:rsidRPr="00210CE6">
        <w:rPr>
          <w:rFonts w:ascii="Times New Roman" w:hAnsi="Times New Roman"/>
          <w:sz w:val="20"/>
          <w:szCs w:val="20"/>
        </w:rPr>
        <w:t xml:space="preserve"> Exhibit No. DCP-1T at 27:3-7 and Tr. 707:5 to 708:1 (Parcell). </w:t>
      </w:r>
      <w:r>
        <w:rPr>
          <w:rFonts w:ascii="Times New Roman" w:hAnsi="Times New Roman"/>
          <w:sz w:val="20"/>
          <w:szCs w:val="20"/>
        </w:rPr>
        <w:t xml:space="preserve">  </w:t>
      </w:r>
    </w:p>
  </w:footnote>
  <w:footnote w:id="11">
    <w:p w:rsidR="000570C1" w:rsidRPr="00587DC4" w:rsidRDefault="000570C1" w:rsidP="00864C65">
      <w:pPr>
        <w:rPr>
          <w:rFonts w:ascii="Times New Roman" w:hAnsi="Times New Roman"/>
        </w:rPr>
      </w:pPr>
      <w:r w:rsidRPr="00684CDE">
        <w:rPr>
          <w:rStyle w:val="FootnoteReference"/>
          <w:rFonts w:ascii="Times New Roman" w:hAnsi="Times New Roman"/>
          <w:sz w:val="20"/>
          <w:szCs w:val="20"/>
        </w:rPr>
        <w:footnoteRef/>
      </w:r>
      <w:r w:rsidRPr="00684CDE">
        <w:rPr>
          <w:rFonts w:ascii="Times New Roman" w:hAnsi="Times New Roman"/>
          <w:sz w:val="20"/>
          <w:szCs w:val="20"/>
        </w:rPr>
        <w:t xml:space="preserve"> Exhibit No. SGH 1</w:t>
      </w:r>
      <w:r>
        <w:rPr>
          <w:rFonts w:ascii="Times New Roman" w:hAnsi="Times New Roman"/>
          <w:sz w:val="20"/>
          <w:szCs w:val="20"/>
        </w:rPr>
        <w:t>HC</w:t>
      </w:r>
      <w:r w:rsidRPr="00684CDE">
        <w:rPr>
          <w:rFonts w:ascii="Times New Roman" w:hAnsi="Times New Roman"/>
          <w:sz w:val="20"/>
          <w:szCs w:val="20"/>
        </w:rPr>
        <w:t xml:space="preserve">T at 9-17 and Tr. 703:10-704:2 (Parcell). </w:t>
      </w:r>
      <w:r>
        <w:rPr>
          <w:rFonts w:ascii="Times New Roman" w:hAnsi="Times New Roman"/>
        </w:rPr>
        <w:t xml:space="preserve"> </w:t>
      </w:r>
      <w:r>
        <w:rPr>
          <w:rFonts w:ascii="Times New Roman" w:hAnsi="Times New Roman"/>
          <w:sz w:val="20"/>
          <w:szCs w:val="20"/>
        </w:rPr>
        <w:t xml:space="preserve">PSE </w:t>
      </w:r>
      <w:r w:rsidRPr="00210CE6">
        <w:rPr>
          <w:rFonts w:ascii="Times New Roman" w:hAnsi="Times New Roman"/>
          <w:sz w:val="20"/>
          <w:szCs w:val="20"/>
        </w:rPr>
        <w:t>may dispute this claim given the ring-fen</w:t>
      </w:r>
      <w:r>
        <w:rPr>
          <w:rFonts w:ascii="Times New Roman" w:hAnsi="Times New Roman"/>
          <w:sz w:val="20"/>
          <w:szCs w:val="20"/>
        </w:rPr>
        <w:t xml:space="preserve">cing provisions of </w:t>
      </w:r>
      <w:r w:rsidRPr="00210CE6">
        <w:rPr>
          <w:rFonts w:ascii="Times New Roman" w:hAnsi="Times New Roman"/>
          <w:sz w:val="20"/>
          <w:szCs w:val="20"/>
        </w:rPr>
        <w:t xml:space="preserve">the 2008 Acquisition.  </w:t>
      </w:r>
      <w:r>
        <w:rPr>
          <w:rFonts w:ascii="Times New Roman" w:hAnsi="Times New Roman"/>
          <w:sz w:val="20"/>
          <w:szCs w:val="20"/>
        </w:rPr>
        <w:t>However, t</w:t>
      </w:r>
      <w:r w:rsidRPr="00210CE6">
        <w:rPr>
          <w:rFonts w:ascii="Times New Roman" w:hAnsi="Times New Roman"/>
          <w:sz w:val="20"/>
          <w:szCs w:val="20"/>
        </w:rPr>
        <w:t xml:space="preserve">he issue </w:t>
      </w:r>
      <w:r>
        <w:rPr>
          <w:rFonts w:ascii="Times New Roman" w:hAnsi="Times New Roman"/>
          <w:sz w:val="20"/>
          <w:szCs w:val="20"/>
        </w:rPr>
        <w:t xml:space="preserve">here involves control of PSE’s </w:t>
      </w:r>
      <w:r w:rsidRPr="00210CE6">
        <w:rPr>
          <w:rFonts w:ascii="Times New Roman" w:hAnsi="Times New Roman"/>
          <w:sz w:val="20"/>
          <w:szCs w:val="20"/>
        </w:rPr>
        <w:t xml:space="preserve">capital structure </w:t>
      </w:r>
      <w:r>
        <w:rPr>
          <w:rFonts w:ascii="Times New Roman" w:hAnsi="Times New Roman"/>
          <w:sz w:val="20"/>
          <w:szCs w:val="20"/>
        </w:rPr>
        <w:t xml:space="preserve">by its new owners who have the incentive </w:t>
      </w:r>
      <w:r w:rsidRPr="00210CE6">
        <w:rPr>
          <w:rFonts w:ascii="Times New Roman" w:hAnsi="Times New Roman"/>
          <w:sz w:val="20"/>
          <w:szCs w:val="20"/>
        </w:rPr>
        <w:t xml:space="preserve">to maximize the </w:t>
      </w:r>
      <w:r>
        <w:rPr>
          <w:rFonts w:ascii="Times New Roman" w:hAnsi="Times New Roman"/>
          <w:sz w:val="20"/>
          <w:szCs w:val="20"/>
        </w:rPr>
        <w:t xml:space="preserve">equity in PSE </w:t>
      </w:r>
      <w:r w:rsidRPr="00210CE6">
        <w:rPr>
          <w:rFonts w:ascii="Times New Roman" w:hAnsi="Times New Roman"/>
          <w:sz w:val="20"/>
          <w:szCs w:val="20"/>
        </w:rPr>
        <w:t>in order t</w:t>
      </w:r>
      <w:r>
        <w:rPr>
          <w:rFonts w:ascii="Times New Roman" w:hAnsi="Times New Roman"/>
          <w:sz w:val="20"/>
          <w:szCs w:val="20"/>
        </w:rPr>
        <w:t xml:space="preserve">o maximize their returns.  Ring fencing only protects PSE from the risks of </w:t>
      </w:r>
      <w:r w:rsidRPr="00210CE6">
        <w:rPr>
          <w:rFonts w:ascii="Times New Roman" w:hAnsi="Times New Roman"/>
          <w:sz w:val="20"/>
          <w:szCs w:val="20"/>
        </w:rPr>
        <w:t xml:space="preserve">leverage within the new ownership hierarchy.  </w:t>
      </w:r>
    </w:p>
  </w:footnote>
  <w:footnote w:id="12">
    <w:p w:rsidR="000570C1" w:rsidRPr="00587DC4" w:rsidRDefault="000570C1" w:rsidP="00864C65">
      <w:pPr>
        <w:pStyle w:val="FootnoteText"/>
        <w:rPr>
          <w:rFonts w:ascii="Times New Roman" w:hAnsi="Times New Roman"/>
        </w:rPr>
      </w:pPr>
      <w:r w:rsidRPr="00587DC4">
        <w:rPr>
          <w:rStyle w:val="FootnoteReference"/>
          <w:rFonts w:ascii="Times New Roman" w:hAnsi="Times New Roman"/>
        </w:rPr>
        <w:footnoteRef/>
      </w:r>
      <w:r>
        <w:rPr>
          <w:rFonts w:ascii="Times New Roman" w:hAnsi="Times New Roman"/>
        </w:rPr>
        <w:t xml:space="preserve"> Exhibit No. DCP 1T at 25:11-12</w:t>
      </w:r>
      <w:r w:rsidRPr="00587DC4">
        <w:rPr>
          <w:rFonts w:ascii="Times New Roman" w:hAnsi="Times New Roman"/>
        </w:rPr>
        <w:t>.</w:t>
      </w:r>
    </w:p>
  </w:footnote>
  <w:footnote w:id="13">
    <w:p w:rsidR="000570C1" w:rsidRPr="008C001D" w:rsidRDefault="000570C1" w:rsidP="00864C65">
      <w:pPr>
        <w:pStyle w:val="FootnoteText"/>
        <w:rPr>
          <w:rFonts w:ascii="Times New Roman" w:hAnsi="Times New Roman"/>
        </w:rPr>
      </w:pPr>
      <w:r w:rsidRPr="00587DC4">
        <w:rPr>
          <w:rStyle w:val="FootnoteReference"/>
          <w:rFonts w:ascii="Times New Roman" w:hAnsi="Times New Roman"/>
        </w:rPr>
        <w:footnoteRef/>
      </w:r>
      <w:r w:rsidRPr="00587DC4">
        <w:rPr>
          <w:rFonts w:ascii="Times New Roman" w:hAnsi="Times New Roman"/>
        </w:rPr>
        <w:t xml:space="preserve"> Exh</w:t>
      </w:r>
      <w:r>
        <w:rPr>
          <w:rFonts w:ascii="Times New Roman" w:hAnsi="Times New Roman"/>
        </w:rPr>
        <w:t xml:space="preserve">ibit No. DCP 1T at 25:13-15.  PSE argues that these </w:t>
      </w:r>
      <w:r w:rsidRPr="008C001D">
        <w:rPr>
          <w:rFonts w:ascii="Times New Roman" w:hAnsi="Times New Roman"/>
        </w:rPr>
        <w:t>publicly-traded electric utilities</w:t>
      </w:r>
      <w:r>
        <w:rPr>
          <w:rFonts w:ascii="Times New Roman" w:hAnsi="Times New Roman"/>
        </w:rPr>
        <w:t xml:space="preserve"> provide an inappropriate comparison because they include holding companies that own unregulated utility subsidiaries.  Exhibit No. DEG-11HCT at 4:8-15.  This criticism is unfounded.  The unregulated operations of the holding companies will be reflected in cost of equity models, which will then result in higher results than required for regulated operations.  Exhibit No. DEG-12 (Staff Response to PSE Data Request No. 7).</w:t>
      </w:r>
    </w:p>
  </w:footnote>
  <w:footnote w:id="14">
    <w:p w:rsidR="000570C1" w:rsidRPr="00A84C85" w:rsidRDefault="000570C1" w:rsidP="00864C65">
      <w:pPr>
        <w:pStyle w:val="FootnoteText"/>
        <w:rPr>
          <w:rFonts w:ascii="Times New Roman" w:hAnsi="Times New Roman"/>
        </w:rPr>
      </w:pPr>
      <w:r w:rsidRPr="00A84C85">
        <w:rPr>
          <w:rStyle w:val="FootnoteReference"/>
          <w:rFonts w:ascii="Times New Roman" w:hAnsi="Times New Roman"/>
        </w:rPr>
        <w:footnoteRef/>
      </w:r>
      <w:r w:rsidRPr="00A84C85">
        <w:rPr>
          <w:rFonts w:ascii="Times New Roman" w:hAnsi="Times New Roman"/>
        </w:rPr>
        <w:t xml:space="preserve"> </w:t>
      </w:r>
      <w:r w:rsidRPr="00A84C85">
        <w:rPr>
          <w:rFonts w:ascii="Times New Roman" w:hAnsi="Times New Roman"/>
          <w:i/>
        </w:rPr>
        <w:t>WUTC v. Puget Sound Energy, Inc.</w:t>
      </w:r>
      <w:r w:rsidRPr="00A84C85">
        <w:rPr>
          <w:rFonts w:ascii="Times New Roman" w:hAnsi="Times New Roman"/>
        </w:rPr>
        <w:t>, Dockets UE-040641 and UG-040640, Order 06 at ¶27 (February 1</w:t>
      </w:r>
      <w:r>
        <w:rPr>
          <w:rFonts w:ascii="Times New Roman" w:hAnsi="Times New Roman"/>
        </w:rPr>
        <w:t>8, 2007)</w:t>
      </w:r>
      <w:r w:rsidRPr="00083D0F">
        <w:rPr>
          <w:rFonts w:ascii="Times New Roman" w:hAnsi="Times New Roman"/>
        </w:rPr>
        <w:t>.</w:t>
      </w:r>
    </w:p>
  </w:footnote>
  <w:footnote w:id="15">
    <w:p w:rsidR="000570C1" w:rsidRPr="00F65570" w:rsidRDefault="000570C1" w:rsidP="000570C1">
      <w:pPr>
        <w:pStyle w:val="FootnoteText"/>
        <w:ind w:right="-72"/>
        <w:rPr>
          <w:rFonts w:ascii="Times New Roman" w:hAnsi="Times New Roman"/>
        </w:rPr>
      </w:pPr>
      <w:r w:rsidRPr="00F65570">
        <w:rPr>
          <w:rStyle w:val="FootnoteReference"/>
          <w:rFonts w:ascii="Times New Roman" w:hAnsi="Times New Roman"/>
        </w:rPr>
        <w:footnoteRef/>
      </w:r>
      <w:r w:rsidRPr="00F65570">
        <w:rPr>
          <w:rFonts w:ascii="Times New Roman" w:hAnsi="Times New Roman"/>
        </w:rPr>
        <w:t xml:space="preserve"> </w:t>
      </w:r>
      <w:r w:rsidRPr="00F65570">
        <w:rPr>
          <w:rFonts w:ascii="Times New Roman" w:hAnsi="Times New Roman"/>
          <w:i/>
        </w:rPr>
        <w:t>WUTC v. Puget Sound Energy, Inc.</w:t>
      </w:r>
      <w:r w:rsidRPr="00F65570">
        <w:rPr>
          <w:rFonts w:ascii="Times New Roman" w:hAnsi="Times New Roman"/>
        </w:rPr>
        <w:t>, Dockets UE-072300 and UG-072301, Order 12 at ¶116 (October 8, 2008).</w:t>
      </w:r>
    </w:p>
  </w:footnote>
  <w:footnote w:id="16">
    <w:p w:rsidR="000570C1" w:rsidRPr="00E40DE6" w:rsidRDefault="000570C1">
      <w:pPr>
        <w:pStyle w:val="FootnoteText"/>
        <w:rPr>
          <w:rFonts w:ascii="Times New Roman" w:hAnsi="Times New Roman"/>
        </w:rPr>
      </w:pPr>
      <w:r w:rsidRPr="00E40DE6">
        <w:rPr>
          <w:rStyle w:val="FootnoteReference"/>
          <w:rFonts w:ascii="Times New Roman" w:hAnsi="Times New Roman"/>
        </w:rPr>
        <w:footnoteRef/>
      </w:r>
      <w:r w:rsidRPr="00E40DE6">
        <w:rPr>
          <w:rFonts w:ascii="Times New Roman" w:hAnsi="Times New Roman"/>
        </w:rPr>
        <w:t xml:space="preserve"> </w:t>
      </w:r>
      <w:r>
        <w:rPr>
          <w:rFonts w:ascii="Times New Roman" w:hAnsi="Times New Roman"/>
        </w:rPr>
        <w:t>There is even good reason to presume that Dr. Morin’s return on equity is upwardly biased.  In the Company’s 2006 rate case, Dr. Morin recommended a return on equity of 11.25 percent.  The Commission authorized 10.4 percent.  In PSE’s 2007 rate case, Dr. Morin recommended a cost of equity of 10.8 percent to 11.25 percent.  The Commission approved 10.15 percent.  Exhibit No. RAM-22.</w:t>
      </w:r>
    </w:p>
  </w:footnote>
  <w:footnote w:id="17">
    <w:p w:rsidR="000570C1" w:rsidRPr="004935A1" w:rsidRDefault="000570C1">
      <w:pPr>
        <w:pStyle w:val="FootnoteText"/>
        <w:rPr>
          <w:rFonts w:ascii="Times New Roman" w:hAnsi="Times New Roman"/>
        </w:rPr>
      </w:pPr>
      <w:r w:rsidRPr="004935A1">
        <w:rPr>
          <w:rStyle w:val="FootnoteReference"/>
          <w:rFonts w:ascii="Times New Roman" w:hAnsi="Times New Roman"/>
        </w:rPr>
        <w:footnoteRef/>
      </w:r>
      <w:r w:rsidRPr="004935A1">
        <w:rPr>
          <w:rFonts w:ascii="Times New Roman" w:hAnsi="Times New Roman"/>
        </w:rPr>
        <w:t xml:space="preserve"> </w:t>
      </w:r>
      <w:r>
        <w:rPr>
          <w:rFonts w:ascii="Times New Roman" w:hAnsi="Times New Roman"/>
        </w:rPr>
        <w:t xml:space="preserve">The Commission found the rates granted in those cases to be just, fair, reasonable and sufficient.  Avista Order at ¶330; </w:t>
      </w:r>
      <w:r w:rsidRPr="009F3AB4">
        <w:rPr>
          <w:rFonts w:ascii="Times New Roman" w:hAnsi="Times New Roman"/>
          <w:i/>
        </w:rPr>
        <w:t>WUTC v. PacifiCorp, d/b/a Pacif</w:t>
      </w:r>
      <w:r>
        <w:rPr>
          <w:rFonts w:ascii="Times New Roman" w:hAnsi="Times New Roman"/>
          <w:i/>
        </w:rPr>
        <w:t>ic</w:t>
      </w:r>
      <w:r w:rsidRPr="009F3AB4">
        <w:rPr>
          <w:rFonts w:ascii="Times New Roman" w:hAnsi="Times New Roman"/>
          <w:i/>
        </w:rPr>
        <w:t xml:space="preserve"> Power &amp; Light Co</w:t>
      </w:r>
      <w:r>
        <w:rPr>
          <w:rFonts w:ascii="Times New Roman" w:hAnsi="Times New Roman"/>
        </w:rPr>
        <w:t>., Docket UE-090205, Order 09 at ¶76 (December 16, 2009).  Thus, it is irrelevant that the 10.2 percent return on equity resulted from a settlement.</w:t>
      </w:r>
    </w:p>
  </w:footnote>
  <w:footnote w:id="18">
    <w:p w:rsidR="000570C1" w:rsidRPr="000570C1" w:rsidRDefault="000570C1">
      <w:pPr>
        <w:pStyle w:val="FootnoteText"/>
        <w:rPr>
          <w:rFonts w:ascii="Times New Roman" w:hAnsi="Times New Roman"/>
        </w:rPr>
      </w:pPr>
      <w:r w:rsidRPr="00967839">
        <w:rPr>
          <w:rStyle w:val="FootnoteReference"/>
          <w:rFonts w:ascii="Times New Roman" w:hAnsi="Times New Roman"/>
        </w:rPr>
        <w:footnoteRef/>
      </w:r>
      <w:r w:rsidRPr="00967839">
        <w:rPr>
          <w:rFonts w:ascii="Times New Roman" w:hAnsi="Times New Roman"/>
        </w:rPr>
        <w:t xml:space="preserve"> C</w:t>
      </w:r>
      <w:r w:rsidRPr="00967839">
        <w:rPr>
          <w:rFonts w:ascii="Times New Roman" w:hAnsi="Times New Roman"/>
          <w:bCs/>
        </w:rPr>
        <w:t xml:space="preserve">ost of capital witnesses must support any change in the authorized return on equity with evidence of changed circumstances in the capital markets and the particular company under consideration.  </w:t>
      </w:r>
      <w:r w:rsidRPr="00967839">
        <w:rPr>
          <w:rFonts w:ascii="Times New Roman" w:hAnsi="Times New Roman"/>
          <w:i/>
        </w:rPr>
        <w:t>WUTC v. Puget Sound Energy, Inc</w:t>
      </w:r>
      <w:r w:rsidRPr="00967839">
        <w:rPr>
          <w:rFonts w:ascii="Times New Roman" w:hAnsi="Times New Roman"/>
        </w:rPr>
        <w:t>., Dockets UE-060266 and UG-060267, Order 08 at ¶84 (January 5, 2007) (“Little of the extensive testimony</w:t>
      </w:r>
      <w:r>
        <w:rPr>
          <w:rFonts w:ascii="Times New Roman" w:hAnsi="Times New Roman"/>
        </w:rPr>
        <w:t xml:space="preserve"> offered on this subject focuses on what might have changed in the capital markets or at PSE in the last 18 months to justify a change in the ROE set by the Commission in February of 2005”).</w:t>
      </w:r>
    </w:p>
  </w:footnote>
  <w:footnote w:id="19">
    <w:p w:rsidR="000570C1" w:rsidRPr="00FD765D" w:rsidRDefault="000570C1">
      <w:pPr>
        <w:pStyle w:val="FootnoteText"/>
        <w:rPr>
          <w:rFonts w:ascii="Times New Roman" w:hAnsi="Times New Roman"/>
        </w:rPr>
      </w:pPr>
      <w:r w:rsidRPr="00FD765D">
        <w:rPr>
          <w:rStyle w:val="FootnoteReference"/>
          <w:rFonts w:ascii="Times New Roman" w:hAnsi="Times New Roman"/>
        </w:rPr>
        <w:footnoteRef/>
      </w:r>
      <w:r w:rsidRPr="00FD765D">
        <w:rPr>
          <w:rFonts w:ascii="Times New Roman" w:hAnsi="Times New Roman"/>
        </w:rPr>
        <w:t xml:space="preserve"> Exhibit No. DCP-1T at 5-8 and 12-17.</w:t>
      </w:r>
    </w:p>
  </w:footnote>
  <w:footnote w:id="20">
    <w:p w:rsidR="000570C1" w:rsidRPr="00287B47" w:rsidRDefault="000570C1" w:rsidP="00DA167C">
      <w:pPr>
        <w:pStyle w:val="FootnoteText"/>
        <w:rPr>
          <w:rFonts w:ascii="Times New Roman" w:hAnsi="Times New Roman"/>
        </w:rPr>
      </w:pPr>
      <w:r w:rsidRPr="00287B47">
        <w:rPr>
          <w:rStyle w:val="FootnoteReference"/>
          <w:rFonts w:ascii="Times New Roman" w:hAnsi="Times New Roman"/>
        </w:rPr>
        <w:footnoteRef/>
      </w:r>
      <w:r w:rsidRPr="00287B47">
        <w:rPr>
          <w:rFonts w:ascii="Times New Roman" w:hAnsi="Times New Roman"/>
        </w:rPr>
        <w:t xml:space="preserve"> Exhibit No. DCP-4</w:t>
      </w:r>
      <w:r>
        <w:rPr>
          <w:rFonts w:ascii="Times New Roman" w:hAnsi="Times New Roman"/>
        </w:rPr>
        <w:t xml:space="preserve"> at 3-4</w:t>
      </w:r>
      <w:r w:rsidRPr="00287B47">
        <w:rPr>
          <w:rFonts w:ascii="Times New Roman" w:hAnsi="Times New Roman"/>
        </w:rPr>
        <w:t>.</w:t>
      </w:r>
    </w:p>
  </w:footnote>
  <w:footnote w:id="21">
    <w:p w:rsidR="000570C1" w:rsidRPr="00FD765D" w:rsidRDefault="000570C1" w:rsidP="00356DA6">
      <w:pPr>
        <w:pStyle w:val="FootnoteText"/>
        <w:rPr>
          <w:rFonts w:ascii="Times New Roman" w:hAnsi="Times New Roman"/>
        </w:rPr>
      </w:pPr>
      <w:r w:rsidRPr="00FD765D">
        <w:rPr>
          <w:rStyle w:val="FootnoteReference"/>
          <w:rFonts w:ascii="Times New Roman" w:hAnsi="Times New Roman"/>
        </w:rPr>
        <w:footnoteRef/>
      </w:r>
      <w:r w:rsidRPr="00FD765D">
        <w:rPr>
          <w:rFonts w:ascii="Times New Roman" w:hAnsi="Times New Roman"/>
        </w:rPr>
        <w:t xml:space="preserve"> Exhibit No. DEG-11HCT at 19:9-10.</w:t>
      </w:r>
      <w:r>
        <w:rPr>
          <w:rFonts w:ascii="Times New Roman" w:hAnsi="Times New Roman"/>
        </w:rPr>
        <w:t xml:space="preserve">  The stabilization of the capital markets and resulting lower cost of capital are shown graphically by Exhibit No. SGH-1HCT, page 24.  The yield spread differential between corporate bonds and long-term Treasuries has declined to a level below that experienced prior to the crisis.  </w:t>
      </w:r>
    </w:p>
  </w:footnote>
  <w:footnote w:id="22">
    <w:p w:rsidR="000570C1" w:rsidRDefault="000570C1">
      <w:pPr>
        <w:pStyle w:val="FootnoteText"/>
      </w:pPr>
      <w:r w:rsidRPr="002B7D54">
        <w:rPr>
          <w:rStyle w:val="FootnoteReference"/>
          <w:rFonts w:ascii="Times New Roman" w:hAnsi="Times New Roman"/>
        </w:rPr>
        <w:footnoteRef/>
      </w:r>
      <w:r>
        <w:rPr>
          <w:rFonts w:ascii="Times New Roman" w:hAnsi="Times New Roman"/>
        </w:rPr>
        <w:t xml:space="preserve"> Dr. Morin disputes</w:t>
      </w:r>
      <w:r w:rsidRPr="002F75FC">
        <w:rPr>
          <w:rFonts w:ascii="Times New Roman" w:hAnsi="Times New Roman"/>
        </w:rPr>
        <w:t xml:space="preserve"> this assertion on the theory that PSE must still compete for </w:t>
      </w:r>
      <w:r>
        <w:rPr>
          <w:rFonts w:ascii="Times New Roman" w:hAnsi="Times New Roman"/>
        </w:rPr>
        <w:t xml:space="preserve">the </w:t>
      </w:r>
      <w:r w:rsidRPr="002F75FC">
        <w:rPr>
          <w:rFonts w:ascii="Times New Roman" w:hAnsi="Times New Roman"/>
        </w:rPr>
        <w:t>capita</w:t>
      </w:r>
      <w:r>
        <w:rPr>
          <w:rFonts w:ascii="Times New Roman" w:hAnsi="Times New Roman"/>
        </w:rPr>
        <w:t xml:space="preserve">l and other goods and services it needs to provide </w:t>
      </w:r>
      <w:r w:rsidRPr="002F75FC">
        <w:rPr>
          <w:rFonts w:ascii="Times New Roman" w:hAnsi="Times New Roman"/>
        </w:rPr>
        <w:t>utility service.  Tr. 686:6-687:16 (Morin).</w:t>
      </w:r>
      <w:r>
        <w:rPr>
          <w:rFonts w:ascii="Times New Roman" w:hAnsi="Times New Roman"/>
        </w:rPr>
        <w:t xml:space="preserve">  Apparently, he chooses to single out PSE for increased profits despite other businesses whose profits have declined and customers who have no choice but to purchase PSE’s products and services.</w:t>
      </w:r>
    </w:p>
  </w:footnote>
  <w:footnote w:id="23">
    <w:p w:rsidR="000570C1" w:rsidRPr="00D3707C" w:rsidRDefault="000570C1" w:rsidP="00356DA6">
      <w:pPr>
        <w:pStyle w:val="FootnoteText"/>
        <w:rPr>
          <w:rFonts w:ascii="Times New Roman" w:hAnsi="Times New Roman"/>
        </w:rPr>
      </w:pPr>
      <w:r w:rsidRPr="00D3707C">
        <w:rPr>
          <w:rStyle w:val="FootnoteReference"/>
          <w:rFonts w:ascii="Times New Roman" w:hAnsi="Times New Roman"/>
        </w:rPr>
        <w:footnoteRef/>
      </w:r>
      <w:r>
        <w:rPr>
          <w:rFonts w:ascii="Times New Roman" w:hAnsi="Times New Roman"/>
        </w:rPr>
        <w:t xml:space="preserve"> Tr. 672:13-20 (Morin)</w:t>
      </w:r>
      <w:r w:rsidRPr="00D3707C">
        <w:rPr>
          <w:rFonts w:ascii="Times New Roman" w:hAnsi="Times New Roman"/>
        </w:rPr>
        <w:t>.</w:t>
      </w:r>
    </w:p>
  </w:footnote>
  <w:footnote w:id="24">
    <w:p w:rsidR="000570C1" w:rsidRPr="00BA1CFE" w:rsidRDefault="000570C1">
      <w:pPr>
        <w:pStyle w:val="FootnoteText"/>
        <w:rPr>
          <w:rFonts w:ascii="Times New Roman" w:hAnsi="Times New Roman"/>
        </w:rPr>
      </w:pPr>
      <w:r w:rsidRPr="00BA1CFE">
        <w:rPr>
          <w:rStyle w:val="FootnoteReference"/>
          <w:rFonts w:ascii="Times New Roman" w:hAnsi="Times New Roman"/>
        </w:rPr>
        <w:footnoteRef/>
      </w:r>
      <w:r w:rsidRPr="00BA1CFE">
        <w:rPr>
          <w:rFonts w:ascii="Times New Roman" w:hAnsi="Times New Roman"/>
        </w:rPr>
        <w:t xml:space="preserve"> </w:t>
      </w:r>
      <w:r w:rsidRPr="00BA1CFE">
        <w:rPr>
          <w:rFonts w:ascii="Times New Roman" w:hAnsi="Times New Roman"/>
          <w:i/>
        </w:rPr>
        <w:t>Bluefield Water Works and Improvement Co. v. Pub. Serv. Comm’n of West Virginia</w:t>
      </w:r>
      <w:r w:rsidRPr="00BA1CFE">
        <w:rPr>
          <w:rFonts w:ascii="Times New Roman" w:hAnsi="Times New Roman"/>
        </w:rPr>
        <w:t>, 262 U.S. 679, 693 (1923).</w:t>
      </w:r>
    </w:p>
  </w:footnote>
  <w:footnote w:id="25">
    <w:p w:rsidR="000570C1" w:rsidRPr="00EF4A96" w:rsidRDefault="000570C1" w:rsidP="00EF4A96">
      <w:pPr>
        <w:pStyle w:val="FootnoteText"/>
        <w:rPr>
          <w:rFonts w:ascii="Times New Roman" w:hAnsi="Times New Roman"/>
        </w:rPr>
      </w:pPr>
      <w:r w:rsidRPr="00EF4A96">
        <w:rPr>
          <w:rStyle w:val="FootnoteReference"/>
          <w:rFonts w:ascii="Times New Roman" w:hAnsi="Times New Roman"/>
        </w:rPr>
        <w:footnoteRef/>
      </w:r>
      <w:r>
        <w:rPr>
          <w:rFonts w:ascii="Times New Roman" w:hAnsi="Times New Roman"/>
        </w:rPr>
        <w:t xml:space="preserve"> Tr. 312:5-10 (Markell) and Exhibit No. DCP-1T at 19:9-17.</w:t>
      </w:r>
    </w:p>
  </w:footnote>
  <w:footnote w:id="26">
    <w:p w:rsidR="000570C1" w:rsidRPr="00EF4A96" w:rsidRDefault="000570C1">
      <w:pPr>
        <w:pStyle w:val="FootnoteText"/>
        <w:rPr>
          <w:rFonts w:ascii="Times New Roman" w:hAnsi="Times New Roman"/>
        </w:rPr>
      </w:pPr>
      <w:r w:rsidRPr="00EF4A96">
        <w:rPr>
          <w:rStyle w:val="FootnoteReference"/>
          <w:rFonts w:ascii="Times New Roman" w:hAnsi="Times New Roman"/>
        </w:rPr>
        <w:footnoteRef/>
      </w:r>
      <w:r w:rsidRPr="00EF4A96">
        <w:rPr>
          <w:rFonts w:ascii="Times New Roman" w:hAnsi="Times New Roman"/>
        </w:rPr>
        <w:t xml:space="preserve"> Exhibit No. EMM-5T at </w:t>
      </w:r>
      <w:r>
        <w:rPr>
          <w:rFonts w:ascii="Times New Roman" w:hAnsi="Times New Roman"/>
        </w:rPr>
        <w:t xml:space="preserve">17:10-14, and Exhibit Nos. BAV-3, BAV-4C and BAV-5C. </w:t>
      </w:r>
    </w:p>
  </w:footnote>
  <w:footnote w:id="27">
    <w:p w:rsidR="000570C1" w:rsidRPr="00D5673F" w:rsidRDefault="000570C1" w:rsidP="003C0221">
      <w:pPr>
        <w:pStyle w:val="FootnoteText"/>
        <w:rPr>
          <w:rFonts w:ascii="Times New Roman" w:hAnsi="Times New Roman"/>
        </w:rPr>
      </w:pPr>
      <w:r w:rsidRPr="00D5673F">
        <w:rPr>
          <w:rStyle w:val="FootnoteReference"/>
          <w:rFonts w:ascii="Times New Roman" w:hAnsi="Times New Roman"/>
        </w:rPr>
        <w:footnoteRef/>
      </w:r>
      <w:r>
        <w:rPr>
          <w:rFonts w:ascii="Times New Roman" w:hAnsi="Times New Roman"/>
        </w:rPr>
        <w:t xml:space="preserve"> Tr. 711:7-22</w:t>
      </w:r>
      <w:r w:rsidRPr="00D5673F">
        <w:rPr>
          <w:rFonts w:ascii="Times New Roman" w:hAnsi="Times New Roman"/>
        </w:rPr>
        <w:t xml:space="preserve"> (Parcell).</w:t>
      </w:r>
    </w:p>
  </w:footnote>
  <w:footnote w:id="28">
    <w:p w:rsidR="000570C1" w:rsidRPr="001F3941" w:rsidRDefault="000570C1" w:rsidP="003C0221">
      <w:pPr>
        <w:pStyle w:val="FootnoteText"/>
        <w:rPr>
          <w:rFonts w:ascii="Times New Roman" w:hAnsi="Times New Roman"/>
        </w:rPr>
      </w:pPr>
      <w:r w:rsidRPr="001F3941">
        <w:rPr>
          <w:rStyle w:val="FootnoteReference"/>
          <w:rFonts w:ascii="Times New Roman" w:hAnsi="Times New Roman"/>
        </w:rPr>
        <w:footnoteRef/>
      </w:r>
      <w:r>
        <w:rPr>
          <w:rFonts w:ascii="Times New Roman" w:hAnsi="Times New Roman"/>
        </w:rPr>
        <w:t xml:space="preserve"> Tr. 711:24-712:1</w:t>
      </w:r>
      <w:r w:rsidRPr="001F3941">
        <w:rPr>
          <w:rFonts w:ascii="Times New Roman" w:hAnsi="Times New Roman"/>
        </w:rPr>
        <w:t xml:space="preserve"> (Parcell).</w:t>
      </w:r>
      <w:r>
        <w:rPr>
          <w:rFonts w:ascii="Times New Roman" w:hAnsi="Times New Roman"/>
        </w:rPr>
        <w:t xml:space="preserve">  Even Dr. Morin was only lukewarm to PSE’s assertion of higher construction risk.  He stated that PSE is only “slightly” more risky than other utilities.  Tr. 682:8-13 (Morin).  </w:t>
      </w:r>
    </w:p>
  </w:footnote>
  <w:footnote w:id="29">
    <w:p w:rsidR="000570C1" w:rsidRPr="001E66BA" w:rsidRDefault="000570C1" w:rsidP="00FE17ED">
      <w:pPr>
        <w:pStyle w:val="FootnoteText"/>
        <w:rPr>
          <w:rFonts w:ascii="Times New Roman" w:hAnsi="Times New Roman"/>
        </w:rPr>
      </w:pPr>
      <w:r w:rsidRPr="003B4456">
        <w:rPr>
          <w:rStyle w:val="FootnoteReference"/>
          <w:rFonts w:ascii="Times New Roman" w:hAnsi="Times New Roman"/>
        </w:rPr>
        <w:footnoteRef/>
      </w:r>
      <w:r w:rsidRPr="003B4456">
        <w:rPr>
          <w:rFonts w:ascii="Times New Roman" w:hAnsi="Times New Roman"/>
        </w:rPr>
        <w:t xml:space="preserve"> Exhibit No. EMM-11</w:t>
      </w:r>
      <w:r>
        <w:rPr>
          <w:rFonts w:ascii="Times New Roman" w:hAnsi="Times New Roman"/>
        </w:rPr>
        <w:t xml:space="preserve">, Part a.  </w:t>
      </w:r>
      <w:r w:rsidRPr="001E66BA">
        <w:rPr>
          <w:rFonts w:ascii="Times New Roman" w:hAnsi="Times New Roman"/>
          <w:bCs/>
        </w:rPr>
        <w:t>The Company also admitted that its capital budget has not grown significantly over last year.</w:t>
      </w:r>
      <w:r w:rsidRPr="001E66BA">
        <w:rPr>
          <w:rFonts w:ascii="Times New Roman" w:hAnsi="Times New Roman"/>
        </w:rPr>
        <w:t xml:space="preserve"> </w:t>
      </w:r>
      <w:r>
        <w:rPr>
          <w:rFonts w:ascii="Times New Roman" w:hAnsi="Times New Roman"/>
        </w:rPr>
        <w:t xml:space="preserve"> </w:t>
      </w:r>
      <w:r w:rsidRPr="0016587C">
        <w:rPr>
          <w:rFonts w:ascii="Times New Roman" w:hAnsi="Times New Roman"/>
        </w:rPr>
        <w:t>Exhibit No. EMM-11, Part b.</w:t>
      </w:r>
    </w:p>
  </w:footnote>
  <w:footnote w:id="30">
    <w:p w:rsidR="000570C1" w:rsidRPr="001E66BA" w:rsidRDefault="000570C1" w:rsidP="00D06CC0">
      <w:pPr>
        <w:pStyle w:val="FootnoteText"/>
        <w:rPr>
          <w:rFonts w:ascii="Times New Roman" w:hAnsi="Times New Roman"/>
        </w:rPr>
      </w:pPr>
      <w:r w:rsidRPr="001E66BA">
        <w:rPr>
          <w:rStyle w:val="FootnoteReference"/>
          <w:rFonts w:ascii="Times New Roman" w:hAnsi="Times New Roman"/>
        </w:rPr>
        <w:footnoteRef/>
      </w:r>
      <w:r>
        <w:rPr>
          <w:rFonts w:ascii="Times New Roman" w:hAnsi="Times New Roman"/>
        </w:rPr>
        <w:t xml:space="preserve"> Tr. 726:21-727:3</w:t>
      </w:r>
      <w:r w:rsidRPr="001E66BA">
        <w:rPr>
          <w:rFonts w:ascii="Times New Roman" w:hAnsi="Times New Roman"/>
        </w:rPr>
        <w:t xml:space="preserve"> (Hill).</w:t>
      </w:r>
    </w:p>
  </w:footnote>
  <w:footnote w:id="31">
    <w:p w:rsidR="000570C1" w:rsidRPr="003B4456" w:rsidRDefault="000570C1" w:rsidP="00FE17ED">
      <w:pPr>
        <w:pStyle w:val="FootnoteText"/>
        <w:rPr>
          <w:rFonts w:ascii="Times New Roman" w:hAnsi="Times New Roman"/>
        </w:rPr>
      </w:pPr>
      <w:r w:rsidRPr="003B4456">
        <w:rPr>
          <w:rStyle w:val="FootnoteReference"/>
          <w:rFonts w:ascii="Times New Roman" w:hAnsi="Times New Roman"/>
        </w:rPr>
        <w:footnoteRef/>
      </w:r>
      <w:r>
        <w:rPr>
          <w:rFonts w:ascii="Times New Roman" w:hAnsi="Times New Roman"/>
        </w:rPr>
        <w:t xml:space="preserve"> Tr. 731</w:t>
      </w:r>
      <w:r w:rsidRPr="003B4456">
        <w:rPr>
          <w:rFonts w:ascii="Times New Roman" w:hAnsi="Times New Roman"/>
        </w:rPr>
        <w:t>:</w:t>
      </w:r>
      <w:r>
        <w:rPr>
          <w:rFonts w:ascii="Times New Roman" w:hAnsi="Times New Roman"/>
        </w:rPr>
        <w:t>18-732:2</w:t>
      </w:r>
      <w:r w:rsidRPr="003B4456">
        <w:rPr>
          <w:rFonts w:ascii="Times New Roman" w:hAnsi="Times New Roman"/>
        </w:rPr>
        <w:t xml:space="preserve"> (Gaines)</w:t>
      </w:r>
      <w:r>
        <w:rPr>
          <w:rFonts w:ascii="Times New Roman" w:hAnsi="Times New Roman"/>
        </w:rPr>
        <w:t xml:space="preserve"> and Tr. 726:10-13 (Hill)</w:t>
      </w:r>
      <w:r w:rsidRPr="003B4456">
        <w:rPr>
          <w:rFonts w:ascii="Times New Roman" w:hAnsi="Times New Roman"/>
        </w:rPr>
        <w:t>.</w:t>
      </w:r>
    </w:p>
  </w:footnote>
  <w:footnote w:id="32">
    <w:p w:rsidR="000570C1" w:rsidRDefault="000570C1" w:rsidP="00FE17ED">
      <w:pPr>
        <w:pStyle w:val="FootnoteText"/>
      </w:pPr>
      <w:r w:rsidRPr="00CB2A19">
        <w:rPr>
          <w:rStyle w:val="FootnoteReference"/>
          <w:rFonts w:ascii="Times New Roman" w:hAnsi="Times New Roman"/>
        </w:rPr>
        <w:footnoteRef/>
      </w:r>
      <w:r w:rsidRPr="00CB2A19">
        <w:rPr>
          <w:rFonts w:ascii="Times New Roman" w:hAnsi="Times New Roman"/>
        </w:rPr>
        <w:t xml:space="preserve"> Tr. 305:19-306:8 (Markell).</w:t>
      </w:r>
    </w:p>
  </w:footnote>
  <w:footnote w:id="33">
    <w:p w:rsidR="000570C1" w:rsidRPr="001E66BA" w:rsidRDefault="000570C1" w:rsidP="00FE17ED">
      <w:pPr>
        <w:pStyle w:val="FootnoteText"/>
        <w:rPr>
          <w:rFonts w:ascii="Times New Roman" w:hAnsi="Times New Roman"/>
        </w:rPr>
      </w:pPr>
      <w:r w:rsidRPr="001E66BA">
        <w:rPr>
          <w:rStyle w:val="FootnoteReference"/>
          <w:rFonts w:ascii="Times New Roman" w:hAnsi="Times New Roman"/>
        </w:rPr>
        <w:footnoteRef/>
      </w:r>
      <w:r>
        <w:rPr>
          <w:rFonts w:ascii="Times New Roman" w:hAnsi="Times New Roman"/>
        </w:rPr>
        <w:t xml:space="preserve"> Tr. 678:22-679:18 (Morin).  </w:t>
      </w:r>
    </w:p>
  </w:footnote>
  <w:footnote w:id="34">
    <w:p w:rsidR="000570C1" w:rsidRPr="007015AC" w:rsidRDefault="000570C1" w:rsidP="00FE17ED">
      <w:pPr>
        <w:pStyle w:val="FootnoteText"/>
        <w:rPr>
          <w:rFonts w:ascii="Times New Roman" w:hAnsi="Times New Roman"/>
        </w:rPr>
      </w:pPr>
      <w:r w:rsidRPr="007015AC">
        <w:rPr>
          <w:rStyle w:val="FootnoteReference"/>
          <w:rFonts w:ascii="Times New Roman" w:hAnsi="Times New Roman"/>
        </w:rPr>
        <w:footnoteRef/>
      </w:r>
      <w:r>
        <w:rPr>
          <w:rFonts w:ascii="Times New Roman" w:hAnsi="Times New Roman"/>
        </w:rPr>
        <w:t xml:space="preserve"> Tr. 727:5-9</w:t>
      </w:r>
      <w:r w:rsidRPr="007015AC">
        <w:rPr>
          <w:rFonts w:ascii="Times New Roman" w:hAnsi="Times New Roman"/>
        </w:rPr>
        <w:t xml:space="preserve"> (Hill).</w:t>
      </w:r>
    </w:p>
  </w:footnote>
  <w:footnote w:id="35">
    <w:p w:rsidR="000570C1" w:rsidRPr="00CA02EB" w:rsidRDefault="000570C1">
      <w:pPr>
        <w:pStyle w:val="FootnoteText"/>
        <w:rPr>
          <w:rFonts w:ascii="Times New Roman" w:hAnsi="Times New Roman"/>
        </w:rPr>
      </w:pPr>
      <w:r w:rsidRPr="00CA02EB">
        <w:rPr>
          <w:rStyle w:val="FootnoteReference"/>
          <w:rFonts w:ascii="Times New Roman" w:hAnsi="Times New Roman"/>
        </w:rPr>
        <w:footnoteRef/>
      </w:r>
      <w:r w:rsidRPr="00CA02EB">
        <w:rPr>
          <w:rFonts w:ascii="Times New Roman" w:hAnsi="Times New Roman"/>
        </w:rPr>
        <w:t xml:space="preserve"> Exhibit No. RAM-1T at 3:11-20.</w:t>
      </w:r>
    </w:p>
  </w:footnote>
  <w:footnote w:id="36">
    <w:p w:rsidR="000570C1" w:rsidRPr="00CA02EB" w:rsidRDefault="000570C1">
      <w:pPr>
        <w:pStyle w:val="FootnoteText"/>
        <w:rPr>
          <w:rFonts w:ascii="Times New Roman" w:hAnsi="Times New Roman"/>
        </w:rPr>
      </w:pPr>
      <w:r w:rsidRPr="00CA02EB">
        <w:rPr>
          <w:rStyle w:val="FootnoteReference"/>
          <w:rFonts w:ascii="Times New Roman" w:hAnsi="Times New Roman"/>
        </w:rPr>
        <w:footnoteRef/>
      </w:r>
      <w:r w:rsidRPr="00CA02EB">
        <w:rPr>
          <w:rFonts w:ascii="Times New Roman" w:hAnsi="Times New Roman"/>
        </w:rPr>
        <w:t xml:space="preserve"> Tr. 654:6-9 (Morin).</w:t>
      </w:r>
    </w:p>
  </w:footnote>
  <w:footnote w:id="37">
    <w:p w:rsidR="000570C1" w:rsidRPr="000140AF" w:rsidRDefault="000570C1">
      <w:pPr>
        <w:pStyle w:val="FootnoteText"/>
        <w:rPr>
          <w:rFonts w:ascii="Times New Roman" w:hAnsi="Times New Roman"/>
        </w:rPr>
      </w:pPr>
      <w:r w:rsidRPr="000140AF">
        <w:rPr>
          <w:rStyle w:val="FootnoteReference"/>
          <w:rFonts w:ascii="Times New Roman" w:hAnsi="Times New Roman"/>
        </w:rPr>
        <w:footnoteRef/>
      </w:r>
      <w:r>
        <w:rPr>
          <w:rFonts w:ascii="Times New Roman" w:hAnsi="Times New Roman"/>
        </w:rPr>
        <w:t xml:space="preserve"> Tr. 677:22- 678:4 </w:t>
      </w:r>
      <w:r w:rsidRPr="000140AF">
        <w:rPr>
          <w:rFonts w:ascii="Times New Roman" w:hAnsi="Times New Roman"/>
        </w:rPr>
        <w:t>(Morin).</w:t>
      </w:r>
    </w:p>
  </w:footnote>
  <w:footnote w:id="38">
    <w:p w:rsidR="000570C1" w:rsidRPr="000140AF" w:rsidRDefault="000570C1" w:rsidP="000140AF">
      <w:pPr>
        <w:rPr>
          <w:rFonts w:ascii="Times New Roman" w:hAnsi="Times New Roman"/>
          <w:sz w:val="20"/>
          <w:szCs w:val="20"/>
        </w:rPr>
      </w:pPr>
      <w:r w:rsidRPr="000140AF">
        <w:rPr>
          <w:rStyle w:val="FootnoteReference"/>
          <w:rFonts w:ascii="Times New Roman" w:hAnsi="Times New Roman"/>
          <w:sz w:val="20"/>
          <w:szCs w:val="20"/>
        </w:rPr>
        <w:footnoteRef/>
      </w:r>
      <w:r w:rsidRPr="000140AF">
        <w:rPr>
          <w:rFonts w:ascii="Times New Roman" w:hAnsi="Times New Roman"/>
          <w:sz w:val="20"/>
          <w:szCs w:val="20"/>
        </w:rPr>
        <w:t xml:space="preserve"> Exh</w:t>
      </w:r>
      <w:r>
        <w:rPr>
          <w:rFonts w:ascii="Times New Roman" w:hAnsi="Times New Roman"/>
          <w:sz w:val="20"/>
          <w:szCs w:val="20"/>
        </w:rPr>
        <w:t>ibit No. DCP 1T at 4:20 a</w:t>
      </w:r>
      <w:r w:rsidRPr="000140AF">
        <w:rPr>
          <w:rFonts w:ascii="Times New Roman" w:hAnsi="Times New Roman"/>
          <w:sz w:val="20"/>
          <w:szCs w:val="20"/>
        </w:rPr>
        <w:t>nd 44</w:t>
      </w:r>
      <w:r>
        <w:rPr>
          <w:rFonts w:ascii="Times New Roman" w:hAnsi="Times New Roman"/>
          <w:sz w:val="20"/>
          <w:szCs w:val="20"/>
        </w:rPr>
        <w:t xml:space="preserve">:17-18, and Tr. 696:4-23 (Parcell), citing, </w:t>
      </w:r>
      <w:r w:rsidRPr="003C0DB7">
        <w:rPr>
          <w:rFonts w:ascii="Times New Roman" w:hAnsi="Times New Roman"/>
          <w:i/>
          <w:sz w:val="20"/>
          <w:szCs w:val="20"/>
        </w:rPr>
        <w:t>WUTC v. Puget Sound Energy, Inc</w:t>
      </w:r>
      <w:r>
        <w:rPr>
          <w:rFonts w:ascii="Times New Roman" w:hAnsi="Times New Roman"/>
          <w:sz w:val="20"/>
          <w:szCs w:val="20"/>
        </w:rPr>
        <w:t>., Dockets UG-040641 and UG-040640, Order 06 at ¶73 (February 18, 2005).</w:t>
      </w:r>
    </w:p>
  </w:footnote>
  <w:footnote w:id="39">
    <w:p w:rsidR="000570C1" w:rsidRPr="000140AF" w:rsidRDefault="000570C1">
      <w:pPr>
        <w:pStyle w:val="FootnoteText"/>
        <w:rPr>
          <w:rFonts w:ascii="Times New Roman" w:hAnsi="Times New Roman"/>
        </w:rPr>
      </w:pPr>
      <w:r w:rsidRPr="000140AF">
        <w:rPr>
          <w:rStyle w:val="FootnoteReference"/>
          <w:rFonts w:ascii="Times New Roman" w:hAnsi="Times New Roman"/>
        </w:rPr>
        <w:footnoteRef/>
      </w:r>
      <w:r>
        <w:rPr>
          <w:rFonts w:ascii="Times New Roman" w:hAnsi="Times New Roman"/>
        </w:rPr>
        <w:t xml:space="preserve"> Tr. 677:677:5-10 (Morin) and Tr. 720:19-21</w:t>
      </w:r>
      <w:r w:rsidRPr="000140AF">
        <w:rPr>
          <w:rFonts w:ascii="Times New Roman" w:hAnsi="Times New Roman"/>
        </w:rPr>
        <w:t xml:space="preserve"> (Hill).</w:t>
      </w:r>
    </w:p>
  </w:footnote>
  <w:footnote w:id="40">
    <w:p w:rsidR="000570C1" w:rsidRPr="00493842" w:rsidRDefault="000570C1">
      <w:pPr>
        <w:pStyle w:val="FootnoteText"/>
        <w:rPr>
          <w:rFonts w:ascii="Times New Roman" w:hAnsi="Times New Roman"/>
        </w:rPr>
      </w:pPr>
      <w:r w:rsidRPr="00493842">
        <w:rPr>
          <w:rStyle w:val="FootnoteReference"/>
          <w:rFonts w:ascii="Times New Roman" w:hAnsi="Times New Roman"/>
        </w:rPr>
        <w:footnoteRef/>
      </w:r>
      <w:r w:rsidRPr="00493842">
        <w:rPr>
          <w:rFonts w:ascii="Times New Roman" w:hAnsi="Times New Roman"/>
        </w:rPr>
        <w:t xml:space="preserve"> </w:t>
      </w:r>
      <w:r>
        <w:rPr>
          <w:rFonts w:ascii="Times New Roman" w:hAnsi="Times New Roman"/>
        </w:rPr>
        <w:t xml:space="preserve">Exhibit No. DCP-1T at 31:10-13.  </w:t>
      </w:r>
      <w:r w:rsidRPr="00493842">
        <w:rPr>
          <w:rFonts w:ascii="Times New Roman" w:hAnsi="Times New Roman"/>
        </w:rPr>
        <w:t xml:space="preserve">Mr. Parcell </w:t>
      </w:r>
      <w:r>
        <w:rPr>
          <w:rFonts w:ascii="Times New Roman" w:hAnsi="Times New Roman"/>
        </w:rPr>
        <w:t>analyzed three groups of proxy utilities.  Two groups were the same as chosen by Dr. Morin</w:t>
      </w:r>
      <w:r w:rsidRPr="00493842">
        <w:rPr>
          <w:rFonts w:ascii="Times New Roman" w:hAnsi="Times New Roman"/>
        </w:rPr>
        <w:t xml:space="preserve">.  </w:t>
      </w:r>
      <w:r>
        <w:rPr>
          <w:rFonts w:ascii="Times New Roman" w:hAnsi="Times New Roman"/>
        </w:rPr>
        <w:t xml:space="preserve">Exhibit No. DCP-1T at 29:17-30:4 and </w:t>
      </w:r>
      <w:r w:rsidRPr="00493842">
        <w:rPr>
          <w:rFonts w:ascii="Times New Roman" w:hAnsi="Times New Roman"/>
        </w:rPr>
        <w:t>Tr. 664:2-3 (Morin).</w:t>
      </w:r>
    </w:p>
  </w:footnote>
  <w:footnote w:id="41">
    <w:p w:rsidR="000570C1" w:rsidRPr="008D310C" w:rsidRDefault="000570C1">
      <w:pPr>
        <w:pStyle w:val="FootnoteText"/>
        <w:rPr>
          <w:rFonts w:ascii="Times New Roman" w:hAnsi="Times New Roman"/>
        </w:rPr>
      </w:pPr>
      <w:r w:rsidRPr="008D310C">
        <w:rPr>
          <w:rStyle w:val="FootnoteReference"/>
          <w:rFonts w:ascii="Times New Roman" w:hAnsi="Times New Roman"/>
        </w:rPr>
        <w:footnoteRef/>
      </w:r>
      <w:r w:rsidRPr="008D310C">
        <w:rPr>
          <w:rFonts w:ascii="Times New Roman" w:hAnsi="Times New Roman"/>
        </w:rPr>
        <w:t xml:space="preserve"> Exhibit No. DCP-1T at 32:1-3.</w:t>
      </w:r>
    </w:p>
  </w:footnote>
  <w:footnote w:id="42">
    <w:p w:rsidR="000570C1" w:rsidRDefault="000570C1">
      <w:pPr>
        <w:pStyle w:val="FootnoteText"/>
      </w:pPr>
      <w:r w:rsidRPr="008D310C">
        <w:rPr>
          <w:rStyle w:val="FootnoteReference"/>
          <w:rFonts w:ascii="Times New Roman" w:hAnsi="Times New Roman"/>
        </w:rPr>
        <w:footnoteRef/>
      </w:r>
      <w:r w:rsidRPr="008D310C">
        <w:rPr>
          <w:rFonts w:ascii="Times New Roman" w:hAnsi="Times New Roman"/>
        </w:rPr>
        <w:t xml:space="preserve"> </w:t>
      </w:r>
      <w:r>
        <w:rPr>
          <w:rFonts w:ascii="Times New Roman" w:hAnsi="Times New Roman"/>
        </w:rPr>
        <w:t>Exhibit No. DCP-1T at 33:10-16</w:t>
      </w:r>
      <w:r w:rsidRPr="008D310C">
        <w:rPr>
          <w:rFonts w:ascii="Times New Roman" w:hAnsi="Times New Roman"/>
        </w:rPr>
        <w:t>.</w:t>
      </w:r>
    </w:p>
  </w:footnote>
  <w:footnote w:id="43">
    <w:p w:rsidR="000570C1" w:rsidRDefault="000570C1">
      <w:pPr>
        <w:pStyle w:val="FootnoteText"/>
      </w:pPr>
      <w:r w:rsidRPr="008D310C">
        <w:rPr>
          <w:rStyle w:val="FootnoteReference"/>
          <w:rFonts w:ascii="Times New Roman" w:hAnsi="Times New Roman"/>
        </w:rPr>
        <w:footnoteRef/>
      </w:r>
      <w:r w:rsidRPr="008D310C">
        <w:rPr>
          <w:rFonts w:ascii="Times New Roman" w:hAnsi="Times New Roman"/>
        </w:rPr>
        <w:t xml:space="preserve"> Exhibit No</w:t>
      </w:r>
      <w:r>
        <w:rPr>
          <w:rFonts w:ascii="Times New Roman" w:hAnsi="Times New Roman"/>
        </w:rPr>
        <w:t>. DCP-1T at 34:7-11.</w:t>
      </w:r>
    </w:p>
  </w:footnote>
  <w:footnote w:id="44">
    <w:p w:rsidR="000570C1" w:rsidRPr="00213EBE" w:rsidRDefault="000570C1">
      <w:pPr>
        <w:pStyle w:val="FootnoteText"/>
        <w:rPr>
          <w:rFonts w:ascii="Times New Roman" w:hAnsi="Times New Roman"/>
        </w:rPr>
      </w:pPr>
      <w:r w:rsidRPr="00213EBE">
        <w:rPr>
          <w:rStyle w:val="FootnoteReference"/>
          <w:rFonts w:ascii="Times New Roman" w:hAnsi="Times New Roman"/>
        </w:rPr>
        <w:footnoteRef/>
      </w:r>
      <w:r w:rsidRPr="00213EBE">
        <w:rPr>
          <w:rFonts w:ascii="Times New Roman" w:hAnsi="Times New Roman"/>
        </w:rPr>
        <w:t xml:space="preserve"> Exhibit No. DCP-1T at 34:20-21.</w:t>
      </w:r>
    </w:p>
  </w:footnote>
  <w:footnote w:id="45">
    <w:p w:rsidR="000570C1" w:rsidRDefault="000570C1">
      <w:pPr>
        <w:pStyle w:val="FootnoteText"/>
      </w:pPr>
      <w:r>
        <w:rPr>
          <w:rStyle w:val="FootnoteReference"/>
        </w:rPr>
        <w:footnoteRef/>
      </w:r>
      <w:r>
        <w:t xml:space="preserve"> </w:t>
      </w:r>
      <w:r w:rsidRPr="008D310C">
        <w:rPr>
          <w:rFonts w:ascii="Times New Roman" w:hAnsi="Times New Roman"/>
        </w:rPr>
        <w:t>Exhibit No</w:t>
      </w:r>
      <w:r>
        <w:rPr>
          <w:rFonts w:ascii="Times New Roman" w:hAnsi="Times New Roman"/>
        </w:rPr>
        <w:t>. DCP-1T at 50:1-12</w:t>
      </w:r>
      <w:r w:rsidRPr="00FD795B">
        <w:rPr>
          <w:rFonts w:ascii="Times New Roman" w:hAnsi="Times New Roman"/>
        </w:rPr>
        <w:t>.</w:t>
      </w:r>
    </w:p>
  </w:footnote>
  <w:footnote w:id="46">
    <w:p w:rsidR="000570C1" w:rsidRPr="00FD795B" w:rsidRDefault="000570C1">
      <w:pPr>
        <w:pStyle w:val="FootnoteText"/>
        <w:rPr>
          <w:rFonts w:ascii="Times New Roman" w:hAnsi="Times New Roman"/>
        </w:rPr>
      </w:pPr>
      <w:r w:rsidRPr="00FD795B">
        <w:rPr>
          <w:rStyle w:val="FootnoteReference"/>
          <w:rFonts w:ascii="Times New Roman" w:hAnsi="Times New Roman"/>
        </w:rPr>
        <w:footnoteRef/>
      </w:r>
      <w:r>
        <w:rPr>
          <w:rFonts w:ascii="Times New Roman" w:hAnsi="Times New Roman"/>
        </w:rPr>
        <w:t xml:space="preserve"> </w:t>
      </w:r>
      <w:r w:rsidRPr="008D310C">
        <w:rPr>
          <w:rFonts w:ascii="Times New Roman" w:hAnsi="Times New Roman"/>
        </w:rPr>
        <w:t>Exhibit No</w:t>
      </w:r>
      <w:r>
        <w:rPr>
          <w:rFonts w:ascii="Times New Roman" w:hAnsi="Times New Roman"/>
        </w:rPr>
        <w:t>. DCP-1T at 34:20-35:16 and Tr. 697:11-689:17</w:t>
      </w:r>
      <w:r w:rsidRPr="00FD795B">
        <w:rPr>
          <w:rFonts w:ascii="Times New Roman" w:hAnsi="Times New Roman"/>
        </w:rPr>
        <w:t xml:space="preserve"> (Parcell).</w:t>
      </w:r>
      <w:r w:rsidRPr="00693CD8">
        <w:rPr>
          <w:rFonts w:ascii="Times New Roman" w:hAnsi="Times New Roman"/>
        </w:rPr>
        <w:t xml:space="preserve"> </w:t>
      </w:r>
    </w:p>
  </w:footnote>
  <w:footnote w:id="47">
    <w:p w:rsidR="000570C1" w:rsidRDefault="000570C1">
      <w:pPr>
        <w:pStyle w:val="FootnoteText"/>
      </w:pPr>
      <w:r w:rsidRPr="00D744A5">
        <w:rPr>
          <w:rStyle w:val="FootnoteReference"/>
          <w:rFonts w:ascii="Times New Roman" w:hAnsi="Times New Roman"/>
        </w:rPr>
        <w:footnoteRef/>
      </w:r>
      <w:r w:rsidRPr="00D744A5">
        <w:rPr>
          <w:rFonts w:ascii="Times New Roman" w:hAnsi="Times New Roman"/>
        </w:rPr>
        <w:t xml:space="preserve"> Exhibit</w:t>
      </w:r>
      <w:r w:rsidRPr="008D310C">
        <w:rPr>
          <w:rFonts w:ascii="Times New Roman" w:hAnsi="Times New Roman"/>
        </w:rPr>
        <w:t xml:space="preserve"> No</w:t>
      </w:r>
      <w:r>
        <w:rPr>
          <w:rFonts w:ascii="Times New Roman" w:hAnsi="Times New Roman"/>
        </w:rPr>
        <w:t>. DCP-1T at 35:2-16.</w:t>
      </w:r>
    </w:p>
  </w:footnote>
  <w:footnote w:id="48">
    <w:p w:rsidR="000570C1" w:rsidRDefault="000570C1">
      <w:pPr>
        <w:pStyle w:val="FootnoteText"/>
      </w:pPr>
      <w:r w:rsidRPr="00D744A5">
        <w:rPr>
          <w:rStyle w:val="FootnoteReference"/>
          <w:rFonts w:ascii="Times New Roman" w:hAnsi="Times New Roman"/>
        </w:rPr>
        <w:footnoteRef/>
      </w:r>
      <w:r w:rsidRPr="00D744A5">
        <w:rPr>
          <w:rFonts w:ascii="Times New Roman" w:hAnsi="Times New Roman"/>
        </w:rPr>
        <w:t xml:space="preserve"> Exhibit</w:t>
      </w:r>
      <w:r w:rsidRPr="008D310C">
        <w:rPr>
          <w:rFonts w:ascii="Times New Roman" w:hAnsi="Times New Roman"/>
        </w:rPr>
        <w:t xml:space="preserve"> No</w:t>
      </w:r>
      <w:r>
        <w:rPr>
          <w:rFonts w:ascii="Times New Roman" w:hAnsi="Times New Roman"/>
        </w:rPr>
        <w:t>. DCP-1T at 43:2-4.</w:t>
      </w:r>
    </w:p>
  </w:footnote>
  <w:footnote w:id="49">
    <w:p w:rsidR="000570C1" w:rsidRPr="003E5C65" w:rsidRDefault="000570C1">
      <w:pPr>
        <w:pStyle w:val="FootnoteText"/>
        <w:rPr>
          <w:rFonts w:ascii="Times New Roman" w:hAnsi="Times New Roman"/>
        </w:rPr>
      </w:pPr>
      <w:r w:rsidRPr="003E5C65">
        <w:rPr>
          <w:rStyle w:val="FootnoteReference"/>
          <w:rFonts w:ascii="Times New Roman" w:hAnsi="Times New Roman"/>
        </w:rPr>
        <w:footnoteRef/>
      </w:r>
      <w:r w:rsidRPr="003E5C65">
        <w:rPr>
          <w:rFonts w:ascii="Times New Roman" w:hAnsi="Times New Roman"/>
        </w:rPr>
        <w:t xml:space="preserve"> Exhibit No. DEG</w:t>
      </w:r>
      <w:r>
        <w:rPr>
          <w:rFonts w:ascii="Times New Roman" w:hAnsi="Times New Roman"/>
        </w:rPr>
        <w:t>-</w:t>
      </w:r>
      <w:r w:rsidRPr="003E5C65">
        <w:rPr>
          <w:rFonts w:ascii="Times New Roman" w:hAnsi="Times New Roman"/>
        </w:rPr>
        <w:t>5C at 5:31-33.</w:t>
      </w:r>
    </w:p>
  </w:footnote>
  <w:footnote w:id="50">
    <w:p w:rsidR="000570C1" w:rsidRPr="008B2D84" w:rsidRDefault="000570C1">
      <w:pPr>
        <w:pStyle w:val="FootnoteText"/>
        <w:rPr>
          <w:rFonts w:ascii="Times New Roman" w:hAnsi="Times New Roman"/>
        </w:rPr>
      </w:pPr>
      <w:r w:rsidRPr="008B2D84">
        <w:rPr>
          <w:rStyle w:val="FootnoteReference"/>
          <w:rFonts w:ascii="Times New Roman" w:hAnsi="Times New Roman"/>
        </w:rPr>
        <w:footnoteRef/>
      </w:r>
      <w:r w:rsidRPr="008B2D84">
        <w:rPr>
          <w:rFonts w:ascii="Times New Roman" w:hAnsi="Times New Roman"/>
        </w:rPr>
        <w:t xml:space="preserve"> Exhibit No. DEG-12:18-13:8.</w:t>
      </w:r>
    </w:p>
  </w:footnote>
  <w:footnote w:id="51">
    <w:p w:rsidR="000570C1" w:rsidRPr="00BF46DE" w:rsidRDefault="000570C1">
      <w:pPr>
        <w:pStyle w:val="FootnoteText"/>
        <w:rPr>
          <w:rFonts w:ascii="Times New Roman" w:hAnsi="Times New Roman"/>
        </w:rPr>
      </w:pPr>
      <w:r w:rsidRPr="00BF46DE">
        <w:rPr>
          <w:rStyle w:val="FootnoteReference"/>
          <w:rFonts w:ascii="Times New Roman" w:hAnsi="Times New Roman"/>
        </w:rPr>
        <w:footnoteRef/>
      </w:r>
      <w:r w:rsidRPr="00BF46DE">
        <w:rPr>
          <w:rFonts w:ascii="Times New Roman" w:hAnsi="Times New Roman"/>
        </w:rPr>
        <w:t xml:space="preserve"> Exhibit No. DEG-9</w:t>
      </w:r>
      <w:r>
        <w:rPr>
          <w:rFonts w:ascii="Times New Roman" w:hAnsi="Times New Roman"/>
        </w:rPr>
        <w:t>C</w:t>
      </w:r>
      <w:r w:rsidRPr="00BF46DE">
        <w:rPr>
          <w:rFonts w:ascii="Times New Roman" w:hAnsi="Times New Roman"/>
        </w:rPr>
        <w:t>T at 14:2-6 and Exhibit No. DEG-10C at 5:31-33.</w:t>
      </w:r>
    </w:p>
  </w:footnote>
  <w:footnote w:id="52">
    <w:p w:rsidR="000570C1" w:rsidRPr="007A6291" w:rsidRDefault="000570C1" w:rsidP="007A6291">
      <w:pPr>
        <w:pStyle w:val="FootnoteText"/>
        <w:rPr>
          <w:rFonts w:ascii="Times New Roman" w:hAnsi="Times New Roman"/>
        </w:rPr>
      </w:pPr>
      <w:r w:rsidRPr="00501F86">
        <w:rPr>
          <w:rStyle w:val="FootnoteReference"/>
          <w:rFonts w:ascii="Times New Roman" w:hAnsi="Times New Roman"/>
        </w:rPr>
        <w:footnoteRef/>
      </w:r>
      <w:r w:rsidRPr="00501F86">
        <w:rPr>
          <w:rFonts w:ascii="Times New Roman" w:hAnsi="Times New Roman"/>
        </w:rPr>
        <w:t xml:space="preserve"> Exhibit No. DCP-1T at 28:22-29:2 and Exhibit No. DCP-3 at 2.</w:t>
      </w:r>
      <w:r>
        <w:rPr>
          <w:rFonts w:ascii="Times New Roman" w:hAnsi="Times New Roman"/>
        </w:rPr>
        <w:t xml:space="preserve">  </w:t>
      </w:r>
      <w:r>
        <w:rPr>
          <w:rFonts w:ascii="Times New Roman" w:hAnsi="Times New Roman"/>
          <w:bCs/>
        </w:rPr>
        <w:t xml:space="preserve">Mr. Parcell </w:t>
      </w:r>
      <w:r w:rsidRPr="007A6291">
        <w:rPr>
          <w:rFonts w:ascii="Times New Roman" w:hAnsi="Times New Roman"/>
          <w:bCs/>
        </w:rPr>
        <w:t xml:space="preserve">used the same </w:t>
      </w:r>
      <w:r>
        <w:rPr>
          <w:rFonts w:ascii="Times New Roman" w:hAnsi="Times New Roman"/>
          <w:bCs/>
        </w:rPr>
        <w:t xml:space="preserve">5.757 percent </w:t>
      </w:r>
      <w:r w:rsidRPr="007A6291">
        <w:rPr>
          <w:rFonts w:ascii="Times New Roman" w:hAnsi="Times New Roman"/>
          <w:bCs/>
        </w:rPr>
        <w:t xml:space="preserve">cost rate to price the </w:t>
      </w:r>
      <w:r>
        <w:rPr>
          <w:rFonts w:ascii="Times New Roman" w:hAnsi="Times New Roman"/>
          <w:bCs/>
        </w:rPr>
        <w:t xml:space="preserve">3 percent differential between PSE and Staff </w:t>
      </w:r>
      <w:r w:rsidRPr="007A6291">
        <w:rPr>
          <w:rFonts w:ascii="Times New Roman" w:hAnsi="Times New Roman"/>
          <w:bCs/>
        </w:rPr>
        <w:t>recommended equity ra</w:t>
      </w:r>
      <w:r>
        <w:rPr>
          <w:rFonts w:ascii="Times New Roman" w:hAnsi="Times New Roman"/>
          <w:bCs/>
        </w:rPr>
        <w:t>tios</w:t>
      </w:r>
      <w:r w:rsidRPr="007A6291">
        <w:rPr>
          <w:rFonts w:ascii="Times New Roman" w:hAnsi="Times New Roman"/>
          <w:bCs/>
        </w:rPr>
        <w:t xml:space="preserve">.  </w:t>
      </w:r>
    </w:p>
  </w:footnote>
  <w:footnote w:id="53">
    <w:p w:rsidR="000570C1" w:rsidRPr="008379C1" w:rsidRDefault="000570C1" w:rsidP="002176F9">
      <w:pPr>
        <w:pStyle w:val="ListParagraph"/>
        <w:ind w:left="0"/>
        <w:rPr>
          <w:rFonts w:ascii="Times New Roman" w:hAnsi="Times New Roman"/>
        </w:rPr>
      </w:pPr>
      <w:r w:rsidRPr="002176F9">
        <w:rPr>
          <w:rStyle w:val="FootnoteReference"/>
          <w:rFonts w:ascii="Times New Roman" w:hAnsi="Times New Roman"/>
          <w:sz w:val="20"/>
          <w:szCs w:val="20"/>
        </w:rPr>
        <w:footnoteRef/>
      </w:r>
      <w:r w:rsidRPr="002176F9">
        <w:rPr>
          <w:rFonts w:ascii="Times New Roman" w:hAnsi="Times New Roman"/>
          <w:sz w:val="20"/>
          <w:szCs w:val="20"/>
        </w:rPr>
        <w:t xml:space="preserve"> Exhibit No. DCP-17.  A 3.03 coverage </w:t>
      </w:r>
      <w:r w:rsidRPr="002176F9">
        <w:rPr>
          <w:rFonts w:ascii="Times New Roman" w:hAnsi="Times New Roman"/>
          <w:bCs/>
          <w:sz w:val="20"/>
          <w:szCs w:val="20"/>
        </w:rPr>
        <w:t>exceeds le</w:t>
      </w:r>
      <w:r>
        <w:rPr>
          <w:rFonts w:ascii="Times New Roman" w:hAnsi="Times New Roman"/>
          <w:bCs/>
          <w:sz w:val="20"/>
          <w:szCs w:val="20"/>
        </w:rPr>
        <w:t xml:space="preserve">vels experienced by PSE </w:t>
      </w:r>
      <w:r w:rsidRPr="002176F9">
        <w:rPr>
          <w:rFonts w:ascii="Times New Roman" w:hAnsi="Times New Roman"/>
          <w:bCs/>
          <w:sz w:val="20"/>
          <w:szCs w:val="20"/>
        </w:rPr>
        <w:t>over the last 5 years.</w:t>
      </w:r>
      <w:r w:rsidRPr="002176F9">
        <w:rPr>
          <w:rFonts w:ascii="Times New Roman" w:hAnsi="Times New Roman"/>
          <w:sz w:val="20"/>
          <w:szCs w:val="20"/>
        </w:rPr>
        <w:t xml:space="preserve"> </w:t>
      </w:r>
      <w:r>
        <w:rPr>
          <w:rFonts w:ascii="Times New Roman" w:hAnsi="Times New Roman"/>
          <w:sz w:val="20"/>
          <w:szCs w:val="20"/>
        </w:rPr>
        <w:t xml:space="preserve"> </w:t>
      </w:r>
      <w:r w:rsidRPr="002176F9">
        <w:rPr>
          <w:rFonts w:ascii="Times New Roman" w:hAnsi="Times New Roman"/>
          <w:sz w:val="20"/>
          <w:szCs w:val="20"/>
        </w:rPr>
        <w:t xml:space="preserve">Tr. 722:9-16 (Hill).  </w:t>
      </w:r>
      <w:r w:rsidRPr="002176F9">
        <w:rPr>
          <w:rFonts w:ascii="Times New Roman" w:hAnsi="Times New Roman"/>
          <w:bCs/>
          <w:sz w:val="20"/>
          <w:szCs w:val="20"/>
        </w:rPr>
        <w:t>Thu</w:t>
      </w:r>
      <w:r>
        <w:rPr>
          <w:rFonts w:ascii="Times New Roman" w:hAnsi="Times New Roman"/>
          <w:bCs/>
          <w:sz w:val="20"/>
          <w:szCs w:val="20"/>
        </w:rPr>
        <w:t>s, Mr. Parcell’s</w:t>
      </w:r>
      <w:r w:rsidRPr="002176F9">
        <w:rPr>
          <w:rFonts w:ascii="Times New Roman" w:hAnsi="Times New Roman"/>
          <w:bCs/>
          <w:sz w:val="20"/>
          <w:szCs w:val="20"/>
        </w:rPr>
        <w:t xml:space="preserve"> recommendation will allow PSE to improve its pre-tax interest coverage.</w:t>
      </w:r>
    </w:p>
  </w:footnote>
  <w:footnote w:id="54">
    <w:p w:rsidR="000570C1" w:rsidRPr="008379C1" w:rsidRDefault="000570C1" w:rsidP="002176F9">
      <w:pPr>
        <w:pStyle w:val="FootnoteText"/>
        <w:rPr>
          <w:rFonts w:ascii="Times New Roman" w:hAnsi="Times New Roman"/>
        </w:rPr>
      </w:pPr>
      <w:r w:rsidRPr="008379C1">
        <w:rPr>
          <w:rStyle w:val="FootnoteReference"/>
          <w:rFonts w:ascii="Times New Roman" w:hAnsi="Times New Roman"/>
        </w:rPr>
        <w:footnoteRef/>
      </w:r>
      <w:r w:rsidRPr="008379C1">
        <w:rPr>
          <w:rFonts w:ascii="Times New Roman" w:hAnsi="Times New Roman"/>
        </w:rPr>
        <w:t xml:space="preserve"> Exhibit No. DCP-17.</w:t>
      </w:r>
    </w:p>
  </w:footnote>
  <w:footnote w:id="55">
    <w:p w:rsidR="000570C1" w:rsidRPr="008379C1" w:rsidRDefault="000570C1" w:rsidP="002176F9">
      <w:pPr>
        <w:pStyle w:val="FootnoteText"/>
        <w:rPr>
          <w:rFonts w:ascii="Times New Roman" w:hAnsi="Times New Roman"/>
        </w:rPr>
      </w:pPr>
      <w:r w:rsidRPr="008379C1">
        <w:rPr>
          <w:rStyle w:val="FootnoteReference"/>
          <w:rFonts w:ascii="Times New Roman" w:hAnsi="Times New Roman"/>
        </w:rPr>
        <w:footnoteRef/>
      </w:r>
      <w:r>
        <w:rPr>
          <w:rFonts w:ascii="Times New Roman" w:hAnsi="Times New Roman"/>
        </w:rPr>
        <w:t xml:space="preserve"> </w:t>
      </w:r>
      <w:r w:rsidRPr="007F4BD8">
        <w:rPr>
          <w:rFonts w:ascii="Times New Roman" w:hAnsi="Times New Roman"/>
          <w:i/>
        </w:rPr>
        <w:t>Id</w:t>
      </w:r>
      <w:r>
        <w:rPr>
          <w:rFonts w:ascii="Times New Roman" w:hAnsi="Times New Roman"/>
        </w:rPr>
        <w:t>.</w:t>
      </w:r>
    </w:p>
  </w:footnote>
  <w:footnote w:id="56">
    <w:p w:rsidR="000570C1" w:rsidRPr="001407CB" w:rsidRDefault="000570C1">
      <w:pPr>
        <w:pStyle w:val="FootnoteText"/>
        <w:rPr>
          <w:rFonts w:ascii="Times New Roman" w:hAnsi="Times New Roman"/>
        </w:rPr>
      </w:pPr>
      <w:r w:rsidRPr="001407CB">
        <w:rPr>
          <w:rStyle w:val="FootnoteReference"/>
          <w:rFonts w:ascii="Times New Roman" w:hAnsi="Times New Roman"/>
        </w:rPr>
        <w:footnoteRef/>
      </w:r>
      <w:r w:rsidRPr="001407CB">
        <w:rPr>
          <w:rFonts w:ascii="Times New Roman" w:hAnsi="Times New Roman"/>
        </w:rPr>
        <w:t xml:space="preserve"> Exhibit No. DEG-11HCT at 23:7-28:12 and Exhibit No. DEG-19.</w:t>
      </w:r>
    </w:p>
  </w:footnote>
  <w:footnote w:id="57">
    <w:p w:rsidR="000570C1" w:rsidRDefault="000570C1">
      <w:pPr>
        <w:pStyle w:val="FootnoteText"/>
      </w:pPr>
      <w:r w:rsidRPr="001407CB">
        <w:rPr>
          <w:rStyle w:val="FootnoteReference"/>
          <w:rFonts w:ascii="Times New Roman" w:hAnsi="Times New Roman"/>
        </w:rPr>
        <w:footnoteRef/>
      </w:r>
      <w:r w:rsidRPr="001407CB">
        <w:rPr>
          <w:rFonts w:ascii="Times New Roman" w:hAnsi="Times New Roman"/>
        </w:rPr>
        <w:t xml:space="preserve"> Exhibit</w:t>
      </w:r>
      <w:r>
        <w:rPr>
          <w:rFonts w:ascii="Times New Roman" w:hAnsi="Times New Roman"/>
        </w:rPr>
        <w:t xml:space="preserve"> No. DEG-19 at 1.</w:t>
      </w:r>
    </w:p>
  </w:footnote>
  <w:footnote w:id="58">
    <w:p w:rsidR="000570C1" w:rsidRPr="0026558E" w:rsidRDefault="000570C1">
      <w:pPr>
        <w:pStyle w:val="FootnoteText"/>
        <w:rPr>
          <w:rFonts w:ascii="Times New Roman" w:hAnsi="Times New Roman"/>
        </w:rPr>
      </w:pPr>
      <w:r w:rsidRPr="0026558E">
        <w:rPr>
          <w:rStyle w:val="FootnoteReference"/>
          <w:rFonts w:ascii="Times New Roman" w:hAnsi="Times New Roman"/>
        </w:rPr>
        <w:footnoteRef/>
      </w:r>
      <w:r w:rsidRPr="0026558E">
        <w:rPr>
          <w:rFonts w:ascii="Times New Roman" w:hAnsi="Times New Roman"/>
        </w:rPr>
        <w:t xml:space="preserve"> Exhibit No. DCP-1T at 20:10-42 and Exhibit No. DEG-20.</w:t>
      </w:r>
    </w:p>
  </w:footnote>
  <w:footnote w:id="59">
    <w:p w:rsidR="000570C1" w:rsidRPr="00F27348" w:rsidRDefault="000570C1">
      <w:pPr>
        <w:pStyle w:val="FootnoteText"/>
        <w:rPr>
          <w:rFonts w:ascii="Times New Roman" w:hAnsi="Times New Roman"/>
        </w:rPr>
      </w:pPr>
      <w:r w:rsidRPr="00F27348">
        <w:rPr>
          <w:rStyle w:val="FootnoteReference"/>
          <w:rFonts w:ascii="Times New Roman" w:hAnsi="Times New Roman"/>
        </w:rPr>
        <w:footnoteRef/>
      </w:r>
      <w:r>
        <w:rPr>
          <w:rFonts w:ascii="Times New Roman" w:hAnsi="Times New Roman"/>
        </w:rPr>
        <w:t xml:space="preserve"> Exhibit No. B-3 at Exhibit Nos. KHB-2 and KHB-3, columns entitled “Actual Results of Operations”, and Exhibit No. B-2, Attachments C and D, columns entitled “Actual Results of Operations”.</w:t>
      </w:r>
    </w:p>
  </w:footnote>
  <w:footnote w:id="60">
    <w:p w:rsidR="000570C1" w:rsidRPr="00470876" w:rsidRDefault="000570C1" w:rsidP="00B56C89">
      <w:pPr>
        <w:tabs>
          <w:tab w:val="left" w:pos="-1440"/>
        </w:tabs>
        <w:ind w:hanging="630"/>
        <w:rPr>
          <w:rFonts w:ascii="Times New Roman" w:hAnsi="Times New Roman"/>
        </w:rPr>
      </w:pPr>
      <w:r>
        <w:rPr>
          <w:rFonts w:ascii="Times New Roman" w:hAnsi="Times New Roman"/>
          <w:sz w:val="20"/>
          <w:szCs w:val="20"/>
        </w:rPr>
        <w:tab/>
      </w:r>
      <w:r w:rsidRPr="00C871DE">
        <w:rPr>
          <w:rStyle w:val="FootnoteReference"/>
          <w:rFonts w:ascii="Times New Roman" w:hAnsi="Times New Roman"/>
          <w:sz w:val="20"/>
          <w:szCs w:val="20"/>
        </w:rPr>
        <w:footnoteRef/>
      </w:r>
      <w:r w:rsidRPr="00C871DE">
        <w:rPr>
          <w:rFonts w:ascii="Times New Roman" w:hAnsi="Times New Roman"/>
          <w:sz w:val="20"/>
          <w:szCs w:val="20"/>
        </w:rPr>
        <w:t xml:space="preserve"> Exhibit No. RCM-1T at 8:7-22, Exhibit No. DPK-1T at 8:5-15 and 10:20-11:12, Exhibit No. DPK-3T, and Exhibit No. MJS-12T at 9:3-24.  The agreement to reduce gas rate base by the customer deposit balance is also reflected in uncontested Adjustments 10.19 and 9.13.</w:t>
      </w:r>
    </w:p>
  </w:footnote>
  <w:footnote w:id="61">
    <w:p w:rsidR="000570C1" w:rsidRPr="00D43DB3" w:rsidRDefault="000570C1">
      <w:pPr>
        <w:pStyle w:val="FootnoteText"/>
        <w:rPr>
          <w:rFonts w:ascii="Times New Roman" w:hAnsi="Times New Roman"/>
        </w:rPr>
      </w:pPr>
      <w:r w:rsidRPr="00D43DB3">
        <w:rPr>
          <w:rStyle w:val="FootnoteReference"/>
          <w:rFonts w:ascii="Times New Roman" w:hAnsi="Times New Roman"/>
        </w:rPr>
        <w:footnoteRef/>
      </w:r>
      <w:r w:rsidRPr="00D43DB3">
        <w:rPr>
          <w:rFonts w:ascii="Times New Roman" w:hAnsi="Times New Roman"/>
        </w:rPr>
        <w:t xml:space="preserve"> Exhibit No. JHS-14T at 27:1-6 and Exhibit No. MRM-4T at 20-25:10.</w:t>
      </w:r>
    </w:p>
  </w:footnote>
  <w:footnote w:id="62">
    <w:p w:rsidR="000570C1" w:rsidRPr="00A47898" w:rsidRDefault="000570C1">
      <w:pPr>
        <w:pStyle w:val="FootnoteText"/>
        <w:rPr>
          <w:rFonts w:ascii="Times New Roman" w:hAnsi="Times New Roman"/>
        </w:rPr>
      </w:pPr>
      <w:r w:rsidRPr="00A47898">
        <w:rPr>
          <w:rStyle w:val="FootnoteReference"/>
          <w:rFonts w:ascii="Times New Roman" w:hAnsi="Times New Roman"/>
        </w:rPr>
        <w:footnoteRef/>
      </w:r>
      <w:r>
        <w:rPr>
          <w:rFonts w:ascii="Times New Roman" w:hAnsi="Times New Roman"/>
        </w:rPr>
        <w:t xml:space="preserve"> Exhibit No. B</w:t>
      </w:r>
      <w:r w:rsidRPr="00A47898">
        <w:rPr>
          <w:rFonts w:ascii="Times New Roman" w:hAnsi="Times New Roman"/>
        </w:rPr>
        <w:t>-3 at Exhibit No. KHB-2, page 2.11 and Exhibit No. KHB-3, page 3.9.</w:t>
      </w:r>
    </w:p>
  </w:footnote>
  <w:footnote w:id="63">
    <w:p w:rsidR="000570C1" w:rsidRPr="00D43DB3" w:rsidRDefault="000570C1">
      <w:pPr>
        <w:pStyle w:val="FootnoteText"/>
        <w:rPr>
          <w:rFonts w:ascii="Times New Roman" w:hAnsi="Times New Roman"/>
        </w:rPr>
      </w:pPr>
      <w:r w:rsidRPr="00D43DB3">
        <w:rPr>
          <w:rStyle w:val="FootnoteReference"/>
          <w:rFonts w:ascii="Times New Roman" w:hAnsi="Times New Roman"/>
        </w:rPr>
        <w:footnoteRef/>
      </w:r>
      <w:r w:rsidRPr="00D43DB3">
        <w:rPr>
          <w:rFonts w:ascii="Times New Roman" w:hAnsi="Times New Roman"/>
        </w:rPr>
        <w:t xml:space="preserve"> Exhibit No. MDF-1T at 5:8-7:25.</w:t>
      </w:r>
    </w:p>
  </w:footnote>
  <w:footnote w:id="64">
    <w:p w:rsidR="000570C1" w:rsidRPr="00AB6A42" w:rsidRDefault="000570C1">
      <w:pPr>
        <w:pStyle w:val="FootnoteText"/>
        <w:rPr>
          <w:rFonts w:ascii="Times New Roman" w:hAnsi="Times New Roman"/>
        </w:rPr>
      </w:pPr>
      <w:r w:rsidRPr="00AB6A42">
        <w:rPr>
          <w:rStyle w:val="FootnoteReference"/>
          <w:rFonts w:ascii="Times New Roman" w:hAnsi="Times New Roman"/>
        </w:rPr>
        <w:footnoteRef/>
      </w:r>
      <w:r w:rsidRPr="00AB6A42">
        <w:rPr>
          <w:rFonts w:ascii="Times New Roman" w:hAnsi="Times New Roman"/>
        </w:rPr>
        <w:t xml:space="preserve"> Tr. 173:21-174:3 (Valdman).</w:t>
      </w:r>
    </w:p>
  </w:footnote>
  <w:footnote w:id="65">
    <w:p w:rsidR="000570C1" w:rsidRPr="00B44D61" w:rsidRDefault="000570C1">
      <w:pPr>
        <w:pStyle w:val="FootnoteText"/>
        <w:rPr>
          <w:rFonts w:ascii="Times New Roman" w:hAnsi="Times New Roman"/>
        </w:rPr>
      </w:pPr>
      <w:r w:rsidRPr="00B44D61">
        <w:rPr>
          <w:rStyle w:val="FootnoteReference"/>
          <w:rFonts w:ascii="Times New Roman" w:hAnsi="Times New Roman"/>
        </w:rPr>
        <w:footnoteRef/>
      </w:r>
      <w:r>
        <w:rPr>
          <w:rFonts w:ascii="Times New Roman" w:hAnsi="Times New Roman"/>
        </w:rPr>
        <w:t xml:space="preserve"> Exhibit No. B</w:t>
      </w:r>
      <w:r w:rsidRPr="00B44D61">
        <w:rPr>
          <w:rFonts w:ascii="Times New Roman" w:hAnsi="Times New Roman"/>
        </w:rPr>
        <w:t xml:space="preserve">-3 at Exhibit No. KHB-2, page </w:t>
      </w:r>
      <w:r>
        <w:rPr>
          <w:rFonts w:ascii="Times New Roman" w:hAnsi="Times New Roman"/>
        </w:rPr>
        <w:t>2.21</w:t>
      </w:r>
      <w:r w:rsidRPr="00B44D61">
        <w:rPr>
          <w:rFonts w:ascii="Times New Roman" w:hAnsi="Times New Roman"/>
        </w:rPr>
        <w:t>and Exhibit No. KHB-3, page 3.14.</w:t>
      </w:r>
    </w:p>
  </w:footnote>
  <w:footnote w:id="66">
    <w:p w:rsidR="000570C1" w:rsidRDefault="000570C1">
      <w:pPr>
        <w:pStyle w:val="FootnoteText"/>
      </w:pPr>
      <w:r w:rsidRPr="00500AB0">
        <w:rPr>
          <w:rStyle w:val="FootnoteReference"/>
          <w:rFonts w:ascii="Times New Roman" w:hAnsi="Times New Roman"/>
        </w:rPr>
        <w:footnoteRef/>
      </w:r>
      <w:r>
        <w:rPr>
          <w:rFonts w:ascii="Times New Roman" w:hAnsi="Times New Roman"/>
        </w:rPr>
        <w:t xml:space="preserve"> Exhibit No. B</w:t>
      </w:r>
      <w:r w:rsidRPr="00B44D61">
        <w:rPr>
          <w:rFonts w:ascii="Times New Roman" w:hAnsi="Times New Roman"/>
        </w:rPr>
        <w:t xml:space="preserve">-3 at Exhibit No. KHB-2, page </w:t>
      </w:r>
      <w:r>
        <w:rPr>
          <w:rFonts w:ascii="Times New Roman" w:hAnsi="Times New Roman"/>
        </w:rPr>
        <w:t>2.29and Exhibit No. KHB-3, page 3.20</w:t>
      </w:r>
      <w:r w:rsidRPr="00B44D61">
        <w:rPr>
          <w:rFonts w:ascii="Times New Roman" w:hAnsi="Times New Roman"/>
        </w:rPr>
        <w:t>.</w:t>
      </w:r>
    </w:p>
  </w:footnote>
  <w:footnote w:id="67">
    <w:p w:rsidR="000570C1" w:rsidRPr="00281550" w:rsidRDefault="000570C1">
      <w:pPr>
        <w:pStyle w:val="FootnoteText"/>
        <w:rPr>
          <w:rFonts w:ascii="Times New Roman" w:hAnsi="Times New Roman"/>
        </w:rPr>
      </w:pPr>
      <w:r w:rsidRPr="00281550">
        <w:rPr>
          <w:rStyle w:val="FootnoteReference"/>
          <w:rFonts w:ascii="Times New Roman" w:hAnsi="Times New Roman"/>
        </w:rPr>
        <w:footnoteRef/>
      </w:r>
      <w:r w:rsidRPr="00281550">
        <w:rPr>
          <w:rFonts w:ascii="Times New Roman" w:hAnsi="Times New Roman"/>
        </w:rPr>
        <w:t xml:space="preserve"> Tr. 600:14-601:17 (Story).</w:t>
      </w:r>
    </w:p>
  </w:footnote>
  <w:footnote w:id="68">
    <w:p w:rsidR="000570C1" w:rsidRPr="00DC2E53" w:rsidRDefault="000570C1">
      <w:pPr>
        <w:pStyle w:val="FootnoteText"/>
        <w:rPr>
          <w:rFonts w:ascii="Times New Roman" w:hAnsi="Times New Roman"/>
        </w:rPr>
      </w:pPr>
      <w:r w:rsidRPr="00DC2E53">
        <w:rPr>
          <w:rStyle w:val="FootnoteReference"/>
          <w:rFonts w:ascii="Times New Roman" w:hAnsi="Times New Roman"/>
        </w:rPr>
        <w:footnoteRef/>
      </w:r>
      <w:r w:rsidRPr="00DC2E53">
        <w:rPr>
          <w:rFonts w:ascii="Times New Roman" w:hAnsi="Times New Roman"/>
        </w:rPr>
        <w:t xml:space="preserve"> Public Counsel and the Federal Executive Agencies propose other adjustments not discussed in the Staff Brief.  Staff takes no position o</w:t>
      </w:r>
      <w:r>
        <w:rPr>
          <w:rFonts w:ascii="Times New Roman" w:hAnsi="Times New Roman"/>
        </w:rPr>
        <w:t>n</w:t>
      </w:r>
      <w:r w:rsidRPr="00DC2E53">
        <w:rPr>
          <w:rFonts w:ascii="Times New Roman" w:hAnsi="Times New Roman"/>
        </w:rPr>
        <w:t xml:space="preserve"> those adjustments.</w:t>
      </w:r>
    </w:p>
  </w:footnote>
  <w:footnote w:id="69">
    <w:p w:rsidR="000570C1" w:rsidRPr="004D720E" w:rsidRDefault="000570C1">
      <w:pPr>
        <w:pStyle w:val="FootnoteText"/>
        <w:rPr>
          <w:rFonts w:ascii="Times New Roman" w:hAnsi="Times New Roman"/>
        </w:rPr>
      </w:pPr>
      <w:r w:rsidRPr="004D720E">
        <w:rPr>
          <w:rStyle w:val="FootnoteReference"/>
          <w:rFonts w:ascii="Times New Roman" w:hAnsi="Times New Roman"/>
        </w:rPr>
        <w:footnoteRef/>
      </w:r>
      <w:r w:rsidRPr="004D720E">
        <w:rPr>
          <w:rFonts w:ascii="Times New Roman" w:hAnsi="Times New Roman"/>
        </w:rPr>
        <w:t xml:space="preserve"> WAC 480-07-510(3)(iii).</w:t>
      </w:r>
    </w:p>
  </w:footnote>
  <w:footnote w:id="70">
    <w:p w:rsidR="000570C1" w:rsidRPr="00890D41" w:rsidRDefault="000570C1">
      <w:pPr>
        <w:pStyle w:val="FootnoteText"/>
        <w:rPr>
          <w:rFonts w:ascii="Times New Roman" w:hAnsi="Times New Roman"/>
        </w:rPr>
      </w:pPr>
      <w:r w:rsidRPr="00890D41">
        <w:rPr>
          <w:rStyle w:val="FootnoteReference"/>
          <w:rFonts w:ascii="Times New Roman" w:hAnsi="Times New Roman"/>
        </w:rPr>
        <w:footnoteRef/>
      </w:r>
      <w:r w:rsidRPr="00890D41">
        <w:rPr>
          <w:rFonts w:ascii="Times New Roman" w:hAnsi="Times New Roman"/>
        </w:rPr>
        <w:t xml:space="preserve"> Exhibit No. MPP-1T at 4:26-11:28</w:t>
      </w:r>
      <w:r>
        <w:rPr>
          <w:rFonts w:ascii="Times New Roman" w:hAnsi="Times New Roman"/>
        </w:rPr>
        <w:t xml:space="preserve"> and Exhibit No. KHB-1TC at 20:8-22:12.</w:t>
      </w:r>
    </w:p>
  </w:footnote>
  <w:footnote w:id="71">
    <w:p w:rsidR="000570C1" w:rsidRDefault="000570C1">
      <w:pPr>
        <w:pStyle w:val="FootnoteText"/>
      </w:pPr>
      <w:r w:rsidRPr="00F93A68">
        <w:rPr>
          <w:rStyle w:val="FootnoteReference"/>
          <w:rFonts w:ascii="Times New Roman" w:hAnsi="Times New Roman"/>
        </w:rPr>
        <w:footnoteRef/>
      </w:r>
      <w:r w:rsidRPr="00F93A68">
        <w:rPr>
          <w:rFonts w:ascii="Times New Roman" w:hAnsi="Times New Roman"/>
        </w:rPr>
        <w:t xml:space="preserve"> Exhibit</w:t>
      </w:r>
      <w:r w:rsidRPr="00890D41">
        <w:rPr>
          <w:rFonts w:ascii="Times New Roman" w:hAnsi="Times New Roman"/>
        </w:rPr>
        <w:t xml:space="preserve"> No. MPP-1T at</w:t>
      </w:r>
      <w:r>
        <w:rPr>
          <w:rFonts w:ascii="Times New Roman" w:hAnsi="Times New Roman"/>
        </w:rPr>
        <w:t xml:space="preserve"> 11:30-12:8 and Exhibit No. KHB-1TC at 26:7-20.</w:t>
      </w:r>
    </w:p>
  </w:footnote>
  <w:footnote w:id="72">
    <w:p w:rsidR="000570C1" w:rsidRPr="00D87E84" w:rsidRDefault="000570C1">
      <w:pPr>
        <w:pStyle w:val="FootnoteText"/>
        <w:rPr>
          <w:rFonts w:ascii="Times New Roman" w:hAnsi="Times New Roman"/>
        </w:rPr>
      </w:pPr>
      <w:r w:rsidRPr="00D87E84">
        <w:rPr>
          <w:rStyle w:val="FootnoteReference"/>
          <w:rFonts w:ascii="Times New Roman" w:hAnsi="Times New Roman"/>
        </w:rPr>
        <w:footnoteRef/>
      </w:r>
      <w:r>
        <w:rPr>
          <w:rFonts w:ascii="Times New Roman" w:hAnsi="Times New Roman"/>
        </w:rPr>
        <w:t xml:space="preserve"> Exhibit No. JHS-14T at 4:14-12:4.</w:t>
      </w:r>
    </w:p>
  </w:footnote>
  <w:footnote w:id="73">
    <w:p w:rsidR="000570C1" w:rsidRPr="00AD0D76" w:rsidRDefault="000570C1">
      <w:pPr>
        <w:pStyle w:val="FootnoteText"/>
        <w:rPr>
          <w:rFonts w:ascii="Times New Roman" w:hAnsi="Times New Roman"/>
        </w:rPr>
      </w:pPr>
      <w:r w:rsidRPr="00AD0D76">
        <w:rPr>
          <w:rStyle w:val="FootnoteReference"/>
          <w:rFonts w:ascii="Times New Roman" w:hAnsi="Times New Roman"/>
        </w:rPr>
        <w:footnoteRef/>
      </w:r>
      <w:r w:rsidRPr="00AD0D76">
        <w:rPr>
          <w:rFonts w:ascii="Times New Roman" w:hAnsi="Times New Roman"/>
        </w:rPr>
        <w:t xml:space="preserve"> Exhibit No. EMM-5T at 4:12-18 and 21:19-22.</w:t>
      </w:r>
    </w:p>
  </w:footnote>
  <w:footnote w:id="74">
    <w:p w:rsidR="000570C1" w:rsidRPr="001E5A2A" w:rsidRDefault="000570C1">
      <w:pPr>
        <w:pStyle w:val="FootnoteText"/>
        <w:rPr>
          <w:rFonts w:ascii="Times New Roman" w:hAnsi="Times New Roman"/>
        </w:rPr>
      </w:pPr>
      <w:r w:rsidRPr="001E5A2A">
        <w:rPr>
          <w:rStyle w:val="FootnoteReference"/>
          <w:rFonts w:ascii="Times New Roman" w:hAnsi="Times New Roman"/>
        </w:rPr>
        <w:footnoteRef/>
      </w:r>
      <w:r w:rsidRPr="001E5A2A">
        <w:rPr>
          <w:rFonts w:ascii="Times New Roman" w:hAnsi="Times New Roman"/>
        </w:rPr>
        <w:t xml:space="preserve"> Avista Order at ¶57 </w:t>
      </w:r>
      <w:r>
        <w:rPr>
          <w:rFonts w:ascii="Times New Roman" w:hAnsi="Times New Roman"/>
        </w:rPr>
        <w:t xml:space="preserve">(“Explaining the factors driving its need to make new plant investments, Avista points to the need to strengthen [its] transmission and distribution systems, aging infrastructure, physical degradation and to meet the costs of municipal compliance including street relocations.  [Avista] asserts that these necessary plant investments are increasingly expensive and exceed depreciation revenue due to increased construction materials in the range of 55 percent to 170 percent since 2003.”).  </w:t>
      </w:r>
      <w:r w:rsidRPr="005F4542">
        <w:rPr>
          <w:rFonts w:ascii="Times New Roman" w:hAnsi="Times New Roman"/>
          <w:i/>
        </w:rPr>
        <w:t>Id.</w:t>
      </w:r>
      <w:r>
        <w:rPr>
          <w:rFonts w:ascii="Times New Roman" w:hAnsi="Times New Roman"/>
        </w:rPr>
        <w:t xml:space="preserve"> at </w:t>
      </w:r>
      <w:r w:rsidRPr="001E5A2A">
        <w:rPr>
          <w:rFonts w:ascii="Times New Roman" w:hAnsi="Times New Roman"/>
        </w:rPr>
        <w:t xml:space="preserve"> ¶62</w:t>
      </w:r>
      <w:r>
        <w:rPr>
          <w:rFonts w:ascii="Times New Roman" w:hAnsi="Times New Roman"/>
        </w:rPr>
        <w:t xml:space="preserve"> (“[Avista] counters that Commission precedent treats many costs as known and measurable for purposes of pro forma adjustment even though they are estimates and not precisely known.”)</w:t>
      </w:r>
      <w:r w:rsidRPr="001E5A2A">
        <w:rPr>
          <w:rFonts w:ascii="Times New Roman" w:hAnsi="Times New Roman"/>
        </w:rPr>
        <w:t>.</w:t>
      </w:r>
    </w:p>
  </w:footnote>
  <w:footnote w:id="75">
    <w:p w:rsidR="000570C1" w:rsidRPr="003D2569" w:rsidRDefault="000570C1">
      <w:pPr>
        <w:pStyle w:val="FootnoteText"/>
        <w:rPr>
          <w:rFonts w:ascii="Times New Roman" w:hAnsi="Times New Roman"/>
        </w:rPr>
      </w:pPr>
      <w:r w:rsidRPr="003D2569">
        <w:rPr>
          <w:rStyle w:val="FootnoteReference"/>
          <w:rFonts w:ascii="Times New Roman" w:hAnsi="Times New Roman"/>
        </w:rPr>
        <w:footnoteRef/>
      </w:r>
      <w:r>
        <w:rPr>
          <w:rFonts w:ascii="Times New Roman" w:hAnsi="Times New Roman"/>
        </w:rPr>
        <w:t xml:space="preserve"> Avista Order at ¶45 and Exhibit No. MPP-1T at 10:1-4.  The Commission did state that power cost and production plant adjustments are allowed despite their use of estimates or forecasts, because they use well-established mechanisms accompanied by rigorous and specific analysis.  Avista Order at ¶¶49-50.  PSE’s projections of power cost O&amp;M expense do not meet such exacting standards and, thus, should not be allowed, as we discuss below in Section III, C, 2, a.   In Section III, C, 2, j below, Staff addresses why the production plant adjustment also should not be allowed in this case in light of Company forecasts for a reduction in load.</w:t>
      </w:r>
    </w:p>
  </w:footnote>
  <w:footnote w:id="76">
    <w:p w:rsidR="000570C1" w:rsidRPr="00CD2CFE" w:rsidRDefault="000570C1">
      <w:pPr>
        <w:pStyle w:val="FootnoteText"/>
        <w:rPr>
          <w:rFonts w:ascii="Times New Roman" w:hAnsi="Times New Roman"/>
        </w:rPr>
      </w:pPr>
      <w:r w:rsidRPr="00CD2CFE">
        <w:rPr>
          <w:rStyle w:val="FootnoteReference"/>
          <w:rFonts w:ascii="Times New Roman" w:hAnsi="Times New Roman"/>
        </w:rPr>
        <w:footnoteRef/>
      </w:r>
      <w:r>
        <w:rPr>
          <w:rFonts w:ascii="Times New Roman" w:hAnsi="Times New Roman"/>
        </w:rPr>
        <w:t xml:space="preserve"> Avista Order at ¶94, and Exhibit No. MPP-1T at 6:14-21 and 8:20-9:3.</w:t>
      </w:r>
    </w:p>
  </w:footnote>
  <w:footnote w:id="77">
    <w:p w:rsidR="000570C1" w:rsidRPr="00F363F7" w:rsidRDefault="000570C1">
      <w:pPr>
        <w:pStyle w:val="FootnoteText"/>
        <w:rPr>
          <w:rFonts w:ascii="Times New Roman" w:hAnsi="Times New Roman"/>
        </w:rPr>
      </w:pPr>
      <w:r w:rsidRPr="00F363F7">
        <w:rPr>
          <w:rStyle w:val="FootnoteReference"/>
          <w:rFonts w:ascii="Times New Roman" w:hAnsi="Times New Roman"/>
        </w:rPr>
        <w:footnoteRef/>
      </w:r>
      <w:r w:rsidRPr="00F363F7">
        <w:rPr>
          <w:rFonts w:ascii="Times New Roman" w:hAnsi="Times New Roman"/>
        </w:rPr>
        <w:t xml:space="preserve"> Avista Order at ¶</w:t>
      </w:r>
      <w:r>
        <w:rPr>
          <w:rFonts w:ascii="Times New Roman" w:hAnsi="Times New Roman"/>
        </w:rPr>
        <w:t>¶71 and 78, and Exhibit No. MPP-1T at 11:31-12:5.</w:t>
      </w:r>
    </w:p>
  </w:footnote>
  <w:footnote w:id="78">
    <w:p w:rsidR="000570C1" w:rsidRPr="009E364C" w:rsidRDefault="000570C1">
      <w:pPr>
        <w:pStyle w:val="FootnoteText"/>
        <w:rPr>
          <w:rFonts w:ascii="Times New Roman" w:hAnsi="Times New Roman"/>
        </w:rPr>
      </w:pPr>
      <w:r w:rsidRPr="009E364C">
        <w:rPr>
          <w:rStyle w:val="FootnoteReference"/>
          <w:rFonts w:ascii="Times New Roman" w:hAnsi="Times New Roman"/>
        </w:rPr>
        <w:footnoteRef/>
      </w:r>
      <w:r w:rsidRPr="009E364C">
        <w:rPr>
          <w:rFonts w:ascii="Times New Roman" w:hAnsi="Times New Roman"/>
        </w:rPr>
        <w:t xml:space="preserve"> Avista Order at ¶70.</w:t>
      </w:r>
    </w:p>
  </w:footnote>
  <w:footnote w:id="79">
    <w:p w:rsidR="000570C1" w:rsidRPr="005C64FA" w:rsidRDefault="000570C1">
      <w:pPr>
        <w:pStyle w:val="FootnoteText"/>
        <w:rPr>
          <w:rFonts w:ascii="Times New Roman" w:hAnsi="Times New Roman"/>
        </w:rPr>
      </w:pPr>
      <w:r w:rsidRPr="005C64FA">
        <w:rPr>
          <w:rStyle w:val="FootnoteReference"/>
          <w:rFonts w:ascii="Times New Roman" w:hAnsi="Times New Roman"/>
        </w:rPr>
        <w:footnoteRef/>
      </w:r>
      <w:r w:rsidRPr="005C64FA">
        <w:rPr>
          <w:rFonts w:ascii="Times New Roman" w:hAnsi="Times New Roman"/>
        </w:rPr>
        <w:t xml:space="preserve"> Exhibit No. JAP-1T at 18:12-14.</w:t>
      </w:r>
    </w:p>
  </w:footnote>
  <w:footnote w:id="80">
    <w:p w:rsidR="000570C1" w:rsidRPr="006A698C" w:rsidRDefault="000570C1" w:rsidP="00F64FC0">
      <w:pPr>
        <w:pStyle w:val="FootnoteText"/>
        <w:rPr>
          <w:rFonts w:ascii="Times New Roman" w:hAnsi="Times New Roman"/>
        </w:rPr>
      </w:pPr>
      <w:r w:rsidRPr="006A698C">
        <w:rPr>
          <w:rStyle w:val="FootnoteReference"/>
          <w:rFonts w:ascii="Times New Roman" w:hAnsi="Times New Roman"/>
        </w:rPr>
        <w:footnoteRef/>
      </w:r>
      <w:r w:rsidRPr="006A698C">
        <w:rPr>
          <w:rFonts w:ascii="Times New Roman" w:hAnsi="Times New Roman"/>
        </w:rPr>
        <w:t xml:space="preserve"> Exhibit No. MPP-1T at 13:19-22.</w:t>
      </w:r>
    </w:p>
  </w:footnote>
  <w:footnote w:id="81">
    <w:p w:rsidR="000570C1" w:rsidRDefault="000570C1">
      <w:pPr>
        <w:pStyle w:val="FootnoteText"/>
      </w:pPr>
      <w:r w:rsidRPr="00290903">
        <w:rPr>
          <w:rStyle w:val="FootnoteReference"/>
          <w:rFonts w:ascii="Times New Roman" w:hAnsi="Times New Roman"/>
        </w:rPr>
        <w:footnoteRef/>
      </w:r>
      <w:r w:rsidRPr="00290903">
        <w:rPr>
          <w:rFonts w:ascii="Times New Roman" w:hAnsi="Times New Roman"/>
        </w:rPr>
        <w:t xml:space="preserve"> Exhibit</w:t>
      </w:r>
      <w:r w:rsidRPr="005C64FA">
        <w:rPr>
          <w:rFonts w:ascii="Times New Roman" w:hAnsi="Times New Roman"/>
        </w:rPr>
        <w:t xml:space="preserve"> No. JAP-1T at</w:t>
      </w:r>
      <w:r>
        <w:rPr>
          <w:rFonts w:ascii="Times New Roman" w:hAnsi="Times New Roman"/>
        </w:rPr>
        <w:t xml:space="preserve"> 19:18-20:13.</w:t>
      </w:r>
    </w:p>
  </w:footnote>
  <w:footnote w:id="82">
    <w:p w:rsidR="000570C1" w:rsidRPr="00290903" w:rsidRDefault="000570C1">
      <w:pPr>
        <w:pStyle w:val="FootnoteText"/>
        <w:rPr>
          <w:rFonts w:ascii="Times New Roman" w:hAnsi="Times New Roman"/>
        </w:rPr>
      </w:pPr>
      <w:r w:rsidRPr="00290903">
        <w:rPr>
          <w:rStyle w:val="FootnoteReference"/>
          <w:rFonts w:ascii="Times New Roman" w:hAnsi="Times New Roman"/>
        </w:rPr>
        <w:footnoteRef/>
      </w:r>
      <w:r w:rsidRPr="00290903">
        <w:rPr>
          <w:rFonts w:ascii="Times New Roman" w:hAnsi="Times New Roman"/>
        </w:rPr>
        <w:t xml:space="preserve"> Exhibit No. MPP-1T at 14:3-13</w:t>
      </w:r>
      <w:r>
        <w:rPr>
          <w:rFonts w:ascii="Times New Roman" w:hAnsi="Times New Roman"/>
        </w:rPr>
        <w:t xml:space="preserve"> citing Robert L. Hahne and Gregory E. Aliff, </w:t>
      </w:r>
      <w:r w:rsidRPr="000C27A4">
        <w:rPr>
          <w:rFonts w:ascii="Times New Roman" w:hAnsi="Times New Roman"/>
          <w:i/>
        </w:rPr>
        <w:t>Accounting for Public Utilities</w:t>
      </w:r>
      <w:r>
        <w:rPr>
          <w:rFonts w:ascii="Times New Roman" w:hAnsi="Times New Roman"/>
        </w:rPr>
        <w:t>, §7.05 (2006).</w:t>
      </w:r>
    </w:p>
  </w:footnote>
  <w:footnote w:id="83">
    <w:p w:rsidR="000570C1" w:rsidRPr="00983EF4" w:rsidRDefault="000570C1">
      <w:pPr>
        <w:pStyle w:val="FootnoteText"/>
        <w:rPr>
          <w:rFonts w:ascii="Times New Roman" w:hAnsi="Times New Roman"/>
        </w:rPr>
      </w:pPr>
      <w:r w:rsidRPr="00F95946">
        <w:rPr>
          <w:rStyle w:val="FootnoteReference"/>
          <w:rFonts w:ascii="Times New Roman" w:hAnsi="Times New Roman"/>
        </w:rPr>
        <w:footnoteRef/>
      </w:r>
      <w:r w:rsidRPr="00F95946">
        <w:rPr>
          <w:rFonts w:ascii="Times New Roman" w:hAnsi="Times New Roman"/>
        </w:rPr>
        <w:t xml:space="preserve"> </w:t>
      </w:r>
      <w:r w:rsidRPr="00983EF4">
        <w:rPr>
          <w:rFonts w:ascii="Times New Roman" w:hAnsi="Times New Roman"/>
        </w:rPr>
        <w:t>Exhibit JAP-5T at 3:13-5:14.</w:t>
      </w:r>
    </w:p>
  </w:footnote>
  <w:footnote w:id="84">
    <w:p w:rsidR="000570C1" w:rsidRDefault="000570C1">
      <w:pPr>
        <w:pStyle w:val="FootnoteText"/>
      </w:pPr>
      <w:r w:rsidRPr="00983EF4">
        <w:rPr>
          <w:rStyle w:val="FootnoteReference"/>
          <w:rFonts w:ascii="Times New Roman" w:hAnsi="Times New Roman"/>
        </w:rPr>
        <w:footnoteRef/>
      </w:r>
      <w:r w:rsidRPr="00983EF4">
        <w:rPr>
          <w:rFonts w:ascii="Times New Roman" w:hAnsi="Times New Roman"/>
        </w:rPr>
        <w:t xml:space="preserve"> Tr. 546:14-547:24 (Piliaris).</w:t>
      </w:r>
    </w:p>
  </w:footnote>
  <w:footnote w:id="85">
    <w:p w:rsidR="000570C1" w:rsidRPr="00E230D5" w:rsidRDefault="000570C1">
      <w:pPr>
        <w:pStyle w:val="FootnoteText"/>
        <w:rPr>
          <w:rFonts w:ascii="Times New Roman" w:hAnsi="Times New Roman"/>
        </w:rPr>
      </w:pPr>
      <w:r w:rsidRPr="00E230D5">
        <w:rPr>
          <w:rStyle w:val="FootnoteReference"/>
          <w:rFonts w:ascii="Times New Roman" w:hAnsi="Times New Roman"/>
        </w:rPr>
        <w:footnoteRef/>
      </w:r>
      <w:r>
        <w:rPr>
          <w:rFonts w:ascii="Times New Roman" w:hAnsi="Times New Roman"/>
        </w:rPr>
        <w:t xml:space="preserve"> Tr. 563:9-25 (Piliaris) and Tr. </w:t>
      </w:r>
      <w:r w:rsidRPr="00E230D5">
        <w:rPr>
          <w:rFonts w:ascii="Times New Roman" w:hAnsi="Times New Roman"/>
        </w:rPr>
        <w:t>564:8-17 (Piliaris).</w:t>
      </w:r>
    </w:p>
  </w:footnote>
  <w:footnote w:id="86">
    <w:p w:rsidR="000570C1" w:rsidRPr="004B6509" w:rsidRDefault="000570C1" w:rsidP="00F24BF8">
      <w:pPr>
        <w:pStyle w:val="FootnoteText"/>
        <w:rPr>
          <w:rFonts w:ascii="Times New Roman" w:hAnsi="Times New Roman"/>
        </w:rPr>
      </w:pPr>
      <w:r w:rsidRPr="004B6509">
        <w:rPr>
          <w:rStyle w:val="FootnoteReference"/>
          <w:rFonts w:ascii="Times New Roman" w:hAnsi="Times New Roman"/>
        </w:rPr>
        <w:footnoteRef/>
      </w:r>
      <w:r w:rsidRPr="004B6509">
        <w:rPr>
          <w:rFonts w:ascii="Times New Roman" w:hAnsi="Times New Roman"/>
        </w:rPr>
        <w:t xml:space="preserve"> </w:t>
      </w:r>
      <w:r>
        <w:rPr>
          <w:rFonts w:ascii="Times New Roman" w:hAnsi="Times New Roman"/>
        </w:rPr>
        <w:t xml:space="preserve">Exhibit No. JAP-5T at 10:4-5 and </w:t>
      </w:r>
      <w:r w:rsidRPr="004B6509">
        <w:rPr>
          <w:rFonts w:ascii="Times New Roman" w:hAnsi="Times New Roman"/>
        </w:rPr>
        <w:t>Tr. 555:15-18 (Piliaris).</w:t>
      </w:r>
    </w:p>
  </w:footnote>
  <w:footnote w:id="87">
    <w:p w:rsidR="000570C1" w:rsidRPr="003B046B" w:rsidRDefault="000570C1">
      <w:pPr>
        <w:pStyle w:val="FootnoteText"/>
        <w:rPr>
          <w:rFonts w:ascii="Times New Roman" w:hAnsi="Times New Roman"/>
        </w:rPr>
      </w:pPr>
      <w:r w:rsidRPr="003B046B">
        <w:rPr>
          <w:rStyle w:val="FootnoteReference"/>
          <w:rFonts w:ascii="Times New Roman" w:hAnsi="Times New Roman"/>
        </w:rPr>
        <w:footnoteRef/>
      </w:r>
      <w:r>
        <w:rPr>
          <w:rFonts w:ascii="Times New Roman" w:hAnsi="Times New Roman"/>
        </w:rPr>
        <w:t xml:space="preserve"> Exhibit No. MPP-1T at 16:12</w:t>
      </w:r>
      <w:r w:rsidRPr="003B046B">
        <w:rPr>
          <w:rFonts w:ascii="Times New Roman" w:hAnsi="Times New Roman"/>
        </w:rPr>
        <w:t>-23.</w:t>
      </w:r>
    </w:p>
  </w:footnote>
  <w:footnote w:id="88">
    <w:p w:rsidR="000570C1" w:rsidRPr="003B046B" w:rsidRDefault="000570C1">
      <w:pPr>
        <w:pStyle w:val="FootnoteText"/>
        <w:rPr>
          <w:rFonts w:ascii="Times New Roman" w:hAnsi="Times New Roman"/>
        </w:rPr>
      </w:pPr>
      <w:r w:rsidRPr="003B046B">
        <w:rPr>
          <w:rStyle w:val="FootnoteReference"/>
          <w:rFonts w:ascii="Times New Roman" w:hAnsi="Times New Roman"/>
        </w:rPr>
        <w:footnoteRef/>
      </w:r>
      <w:r w:rsidRPr="003B046B">
        <w:rPr>
          <w:rFonts w:ascii="Times New Roman" w:hAnsi="Times New Roman"/>
        </w:rPr>
        <w:t xml:space="preserve"> Avista Order at ¶350.</w:t>
      </w:r>
    </w:p>
  </w:footnote>
  <w:footnote w:id="89">
    <w:p w:rsidR="000570C1" w:rsidRPr="002F589E" w:rsidRDefault="000570C1">
      <w:pPr>
        <w:pStyle w:val="FootnoteText"/>
        <w:rPr>
          <w:rFonts w:ascii="Times New Roman" w:hAnsi="Times New Roman"/>
        </w:rPr>
      </w:pPr>
      <w:r w:rsidRPr="002F589E">
        <w:rPr>
          <w:rStyle w:val="FootnoteReference"/>
          <w:rFonts w:ascii="Times New Roman" w:hAnsi="Times New Roman"/>
        </w:rPr>
        <w:footnoteRef/>
      </w:r>
      <w:r>
        <w:rPr>
          <w:rFonts w:ascii="Times New Roman" w:hAnsi="Times New Roman"/>
        </w:rPr>
        <w:t xml:space="preserve"> PSE’s overall expenditures for </w:t>
      </w:r>
      <w:r w:rsidRPr="002F589E">
        <w:rPr>
          <w:rFonts w:ascii="Times New Roman" w:hAnsi="Times New Roman"/>
        </w:rPr>
        <w:t>conservation have more than doubled since 2</w:t>
      </w:r>
      <w:r>
        <w:rPr>
          <w:rFonts w:ascii="Times New Roman" w:hAnsi="Times New Roman"/>
        </w:rPr>
        <w:t>004.  Exhibit No. JAP-6 at 15</w:t>
      </w:r>
      <w:r w:rsidRPr="002F589E">
        <w:rPr>
          <w:rFonts w:ascii="Times New Roman" w:hAnsi="Times New Roman"/>
        </w:rPr>
        <w:t>.</w:t>
      </w:r>
    </w:p>
  </w:footnote>
  <w:footnote w:id="90">
    <w:p w:rsidR="000570C1" w:rsidRPr="00DF2CA7" w:rsidRDefault="000570C1">
      <w:pPr>
        <w:pStyle w:val="FootnoteText"/>
        <w:rPr>
          <w:rFonts w:ascii="Times New Roman" w:hAnsi="Times New Roman"/>
        </w:rPr>
      </w:pPr>
      <w:r w:rsidRPr="00DF2CA7">
        <w:rPr>
          <w:rStyle w:val="FootnoteReference"/>
          <w:rFonts w:ascii="Times New Roman" w:hAnsi="Times New Roman"/>
        </w:rPr>
        <w:footnoteRef/>
      </w:r>
      <w:r w:rsidRPr="00DF2CA7">
        <w:rPr>
          <w:rFonts w:ascii="Times New Roman" w:hAnsi="Times New Roman"/>
        </w:rPr>
        <w:t xml:space="preserve"> Exhibit No. JAP-5T at 10:1-14.</w:t>
      </w:r>
      <w:r>
        <w:rPr>
          <w:rFonts w:ascii="Times New Roman" w:hAnsi="Times New Roman"/>
        </w:rPr>
        <w:t xml:space="preserve">  A penalty-only mechanism was in place from 2003 to 2006.  It was replaced in 2007 with the reward/penalty Electric Conservation Incentive Mechanism.</w:t>
      </w:r>
    </w:p>
  </w:footnote>
  <w:footnote w:id="91">
    <w:p w:rsidR="000570C1" w:rsidRPr="005C64FA" w:rsidRDefault="000570C1">
      <w:pPr>
        <w:pStyle w:val="FootnoteText"/>
        <w:rPr>
          <w:rFonts w:ascii="Times New Roman" w:hAnsi="Times New Roman"/>
        </w:rPr>
      </w:pPr>
      <w:r w:rsidRPr="005C64FA">
        <w:rPr>
          <w:rStyle w:val="FootnoteReference"/>
          <w:rFonts w:ascii="Times New Roman" w:hAnsi="Times New Roman"/>
        </w:rPr>
        <w:footnoteRef/>
      </w:r>
      <w:r w:rsidRPr="005C64FA">
        <w:rPr>
          <w:rFonts w:ascii="Times New Roman" w:hAnsi="Times New Roman"/>
        </w:rPr>
        <w:t xml:space="preserve"> Exhibit No. TES-1T at 3:22-4:2.</w:t>
      </w:r>
    </w:p>
  </w:footnote>
  <w:footnote w:id="92">
    <w:p w:rsidR="000570C1" w:rsidRPr="000C4E57" w:rsidRDefault="000570C1">
      <w:pPr>
        <w:pStyle w:val="FootnoteText"/>
        <w:rPr>
          <w:rFonts w:ascii="Times New Roman" w:hAnsi="Times New Roman"/>
        </w:rPr>
      </w:pPr>
      <w:r w:rsidRPr="000C4E57">
        <w:rPr>
          <w:rStyle w:val="FootnoteReference"/>
          <w:rFonts w:ascii="Times New Roman" w:hAnsi="Times New Roman"/>
        </w:rPr>
        <w:footnoteRef/>
      </w:r>
      <w:r w:rsidRPr="000C4E57">
        <w:rPr>
          <w:rFonts w:ascii="Times New Roman" w:hAnsi="Times New Roman"/>
        </w:rPr>
        <w:t xml:space="preserve"> Exhibit </w:t>
      </w:r>
      <w:r>
        <w:rPr>
          <w:rFonts w:ascii="Times New Roman" w:hAnsi="Times New Roman"/>
        </w:rPr>
        <w:t xml:space="preserve">No. </w:t>
      </w:r>
      <w:r w:rsidRPr="000C4E57">
        <w:rPr>
          <w:rFonts w:ascii="Times New Roman" w:hAnsi="Times New Roman"/>
        </w:rPr>
        <w:t>JAP-11.</w:t>
      </w:r>
    </w:p>
  </w:footnote>
  <w:footnote w:id="93">
    <w:p w:rsidR="000570C1" w:rsidRPr="00C5277C" w:rsidRDefault="000570C1">
      <w:pPr>
        <w:pStyle w:val="FootnoteText"/>
        <w:rPr>
          <w:rFonts w:ascii="Times New Roman" w:hAnsi="Times New Roman"/>
        </w:rPr>
      </w:pPr>
      <w:r w:rsidRPr="00C5277C">
        <w:rPr>
          <w:rStyle w:val="FootnoteReference"/>
          <w:rFonts w:ascii="Times New Roman" w:hAnsi="Times New Roman"/>
        </w:rPr>
        <w:footnoteRef/>
      </w:r>
      <w:r w:rsidRPr="00C5277C">
        <w:rPr>
          <w:rFonts w:ascii="Times New Roman" w:hAnsi="Times New Roman"/>
        </w:rPr>
        <w:t xml:space="preserve"> Exhibit No. JAP-5T at 10:14-11:9, citing Exhibit No. JAP-6.</w:t>
      </w:r>
    </w:p>
  </w:footnote>
  <w:footnote w:id="94">
    <w:p w:rsidR="000570C1" w:rsidRPr="0088789B" w:rsidRDefault="000570C1" w:rsidP="0088789B">
      <w:pPr>
        <w:pStyle w:val="FootnoteText"/>
        <w:rPr>
          <w:rFonts w:ascii="Times New Roman" w:hAnsi="Times New Roman"/>
        </w:rPr>
      </w:pPr>
      <w:r w:rsidRPr="0088789B">
        <w:rPr>
          <w:rStyle w:val="FootnoteReference"/>
          <w:rFonts w:ascii="Times New Roman" w:hAnsi="Times New Roman"/>
        </w:rPr>
        <w:footnoteRef/>
      </w:r>
      <w:r>
        <w:rPr>
          <w:rFonts w:ascii="Times New Roman" w:hAnsi="Times New Roman"/>
        </w:rPr>
        <w:t xml:space="preserve"> Exhibit No. JAP-6</w:t>
      </w:r>
      <w:r w:rsidRPr="0088789B">
        <w:rPr>
          <w:rFonts w:ascii="Times New Roman" w:hAnsi="Times New Roman"/>
        </w:rPr>
        <w:t xml:space="preserve"> at 62-63.</w:t>
      </w:r>
    </w:p>
  </w:footnote>
  <w:footnote w:id="95">
    <w:p w:rsidR="000570C1" w:rsidRPr="00E06425" w:rsidRDefault="000570C1">
      <w:pPr>
        <w:pStyle w:val="FootnoteText"/>
        <w:rPr>
          <w:rFonts w:ascii="Times New Roman" w:hAnsi="Times New Roman"/>
        </w:rPr>
      </w:pPr>
      <w:r w:rsidRPr="00E06425">
        <w:rPr>
          <w:rStyle w:val="FootnoteReference"/>
          <w:rFonts w:ascii="Times New Roman" w:hAnsi="Times New Roman"/>
        </w:rPr>
        <w:footnoteRef/>
      </w:r>
      <w:r>
        <w:rPr>
          <w:rFonts w:ascii="Times New Roman" w:hAnsi="Times New Roman"/>
        </w:rPr>
        <w:t xml:space="preserve"> The Request for Proposal</w:t>
      </w:r>
      <w:r w:rsidRPr="00E06425">
        <w:rPr>
          <w:rFonts w:ascii="Times New Roman" w:hAnsi="Times New Roman"/>
        </w:rPr>
        <w:t xml:space="preserve"> through which Blue Ridge was selected was issued on June 5, 2009</w:t>
      </w:r>
      <w:r>
        <w:rPr>
          <w:rFonts w:ascii="Times New Roman" w:hAnsi="Times New Roman"/>
        </w:rPr>
        <w:t xml:space="preserve"> and contract completion did not occur until July 31, 2009</w:t>
      </w:r>
      <w:r w:rsidRPr="00E06425">
        <w:rPr>
          <w:rFonts w:ascii="Times New Roman" w:hAnsi="Times New Roman"/>
        </w:rPr>
        <w:t xml:space="preserve">.  Tr. 529:19-20 </w:t>
      </w:r>
      <w:r>
        <w:rPr>
          <w:rFonts w:ascii="Times New Roman" w:hAnsi="Times New Roman"/>
        </w:rPr>
        <w:t xml:space="preserve">and 530:16-22 </w:t>
      </w:r>
      <w:r w:rsidRPr="00E06425">
        <w:rPr>
          <w:rFonts w:ascii="Times New Roman" w:hAnsi="Times New Roman"/>
        </w:rPr>
        <w:t xml:space="preserve">(Piliaris).  </w:t>
      </w:r>
      <w:r>
        <w:rPr>
          <w:rFonts w:ascii="Times New Roman" w:hAnsi="Times New Roman"/>
        </w:rPr>
        <w:t>Thereafter, d</w:t>
      </w:r>
      <w:r w:rsidRPr="00E06425">
        <w:rPr>
          <w:rFonts w:ascii="Times New Roman" w:hAnsi="Times New Roman"/>
        </w:rPr>
        <w:t xml:space="preserve">ata collection, analysis and report drafting all had to be completed by </w:t>
      </w:r>
      <w:r>
        <w:rPr>
          <w:rFonts w:ascii="Times New Roman" w:hAnsi="Times New Roman"/>
        </w:rPr>
        <w:t xml:space="preserve">the submission date of </w:t>
      </w:r>
      <w:r w:rsidRPr="00E06425">
        <w:rPr>
          <w:rFonts w:ascii="Times New Roman" w:hAnsi="Times New Roman"/>
        </w:rPr>
        <w:t xml:space="preserve">October </w:t>
      </w:r>
      <w:r>
        <w:rPr>
          <w:rFonts w:ascii="Times New Roman" w:hAnsi="Times New Roman"/>
        </w:rPr>
        <w:t>24, 2009</w:t>
      </w:r>
      <w:r w:rsidRPr="00E06425">
        <w:rPr>
          <w:rFonts w:ascii="Times New Roman" w:hAnsi="Times New Roman"/>
        </w:rPr>
        <w:t>.  Exhibit No. JAP-6 at 1.</w:t>
      </w:r>
    </w:p>
  </w:footnote>
  <w:footnote w:id="96">
    <w:p w:rsidR="000570C1" w:rsidRPr="00E406BA" w:rsidRDefault="000570C1">
      <w:pPr>
        <w:pStyle w:val="FootnoteText"/>
        <w:rPr>
          <w:rFonts w:ascii="Times New Roman" w:hAnsi="Times New Roman"/>
        </w:rPr>
      </w:pPr>
      <w:r w:rsidRPr="00E406BA">
        <w:rPr>
          <w:rStyle w:val="FootnoteReference"/>
          <w:rFonts w:ascii="Times New Roman" w:hAnsi="Times New Roman"/>
        </w:rPr>
        <w:footnoteRef/>
      </w:r>
      <w:r w:rsidRPr="00E406BA">
        <w:rPr>
          <w:rFonts w:ascii="Times New Roman" w:hAnsi="Times New Roman"/>
        </w:rPr>
        <w:t xml:space="preserve"> Exhibit No. JAP-6 and Tr. 531:1-24 (Piliaris).</w:t>
      </w:r>
    </w:p>
  </w:footnote>
  <w:footnote w:id="97">
    <w:p w:rsidR="000570C1" w:rsidRDefault="000570C1">
      <w:pPr>
        <w:pStyle w:val="FootnoteText"/>
      </w:pPr>
      <w:r w:rsidRPr="00E406BA">
        <w:rPr>
          <w:rStyle w:val="FootnoteReference"/>
          <w:rFonts w:ascii="Times New Roman" w:hAnsi="Times New Roman"/>
        </w:rPr>
        <w:footnoteRef/>
      </w:r>
      <w:r w:rsidRPr="00E406BA">
        <w:rPr>
          <w:rFonts w:ascii="Times New Roman" w:hAnsi="Times New Roman"/>
        </w:rPr>
        <w:t xml:space="preserve"> Exhibit No. J</w:t>
      </w:r>
      <w:r>
        <w:rPr>
          <w:rFonts w:ascii="Times New Roman" w:hAnsi="Times New Roman"/>
        </w:rPr>
        <w:t>AP-6 at 3.</w:t>
      </w:r>
    </w:p>
  </w:footnote>
  <w:footnote w:id="98">
    <w:p w:rsidR="000570C1" w:rsidRPr="00C668D8" w:rsidRDefault="000570C1">
      <w:pPr>
        <w:pStyle w:val="FootnoteText"/>
        <w:rPr>
          <w:rFonts w:ascii="Times New Roman" w:hAnsi="Times New Roman"/>
        </w:rPr>
      </w:pPr>
      <w:r w:rsidRPr="00C668D8">
        <w:rPr>
          <w:rStyle w:val="FootnoteReference"/>
          <w:rFonts w:ascii="Times New Roman" w:hAnsi="Times New Roman"/>
        </w:rPr>
        <w:footnoteRef/>
      </w:r>
      <w:r w:rsidRPr="00C668D8">
        <w:rPr>
          <w:rFonts w:ascii="Times New Roman" w:hAnsi="Times New Roman"/>
        </w:rPr>
        <w:t xml:space="preserve"> Exhibit No. JAP-6 at 37.</w:t>
      </w:r>
    </w:p>
  </w:footnote>
  <w:footnote w:id="99">
    <w:p w:rsidR="000570C1" w:rsidRPr="00A47898" w:rsidRDefault="000570C1" w:rsidP="002D2275">
      <w:pPr>
        <w:pStyle w:val="FootnoteText"/>
        <w:rPr>
          <w:rFonts w:ascii="Times New Roman" w:hAnsi="Times New Roman"/>
        </w:rPr>
      </w:pPr>
      <w:r w:rsidRPr="00A47898">
        <w:rPr>
          <w:rStyle w:val="FootnoteReference"/>
          <w:rFonts w:ascii="Times New Roman" w:hAnsi="Times New Roman"/>
        </w:rPr>
        <w:footnoteRef/>
      </w:r>
      <w:r w:rsidRPr="00A47898">
        <w:rPr>
          <w:rFonts w:ascii="Times New Roman" w:hAnsi="Times New Roman"/>
        </w:rPr>
        <w:t xml:space="preserve"> Exhibit No. JRD-1CT at 37:7-</w:t>
      </w:r>
      <w:r>
        <w:rPr>
          <w:rFonts w:ascii="Times New Roman" w:hAnsi="Times New Roman"/>
        </w:rPr>
        <w:t>38:2.</w:t>
      </w:r>
    </w:p>
  </w:footnote>
  <w:footnote w:id="100">
    <w:p w:rsidR="000570C1" w:rsidRPr="000641C9" w:rsidRDefault="000570C1" w:rsidP="002D2275">
      <w:pPr>
        <w:pStyle w:val="FootnoteText"/>
        <w:rPr>
          <w:rFonts w:ascii="Times New Roman" w:hAnsi="Times New Roman"/>
        </w:rPr>
      </w:pPr>
      <w:r w:rsidRPr="000641C9">
        <w:rPr>
          <w:rStyle w:val="FootnoteReference"/>
          <w:rFonts w:ascii="Times New Roman" w:hAnsi="Times New Roman"/>
        </w:rPr>
        <w:footnoteRef/>
      </w:r>
      <w:r w:rsidRPr="000641C9">
        <w:rPr>
          <w:rFonts w:ascii="Times New Roman" w:hAnsi="Times New Roman"/>
        </w:rPr>
        <w:t xml:space="preserve"> Tr. 560:1-25 and </w:t>
      </w:r>
      <w:r>
        <w:rPr>
          <w:rFonts w:ascii="Times New Roman" w:hAnsi="Times New Roman"/>
        </w:rPr>
        <w:t xml:space="preserve">Tr. </w:t>
      </w:r>
      <w:r w:rsidRPr="000641C9">
        <w:rPr>
          <w:rFonts w:ascii="Times New Roman" w:hAnsi="Times New Roman"/>
        </w:rPr>
        <w:t>561:9-12 (Piliaris).</w:t>
      </w:r>
    </w:p>
  </w:footnote>
  <w:footnote w:id="101">
    <w:p w:rsidR="000570C1" w:rsidRPr="006918A2" w:rsidRDefault="000570C1">
      <w:pPr>
        <w:pStyle w:val="FootnoteText"/>
        <w:rPr>
          <w:rFonts w:ascii="Times New Roman" w:hAnsi="Times New Roman"/>
        </w:rPr>
      </w:pPr>
      <w:r w:rsidRPr="006918A2">
        <w:rPr>
          <w:rStyle w:val="FootnoteReference"/>
          <w:rFonts w:ascii="Times New Roman" w:hAnsi="Times New Roman"/>
        </w:rPr>
        <w:footnoteRef/>
      </w:r>
      <w:r w:rsidRPr="006918A2">
        <w:rPr>
          <w:rFonts w:ascii="Times New Roman" w:hAnsi="Times New Roman"/>
        </w:rPr>
        <w:t xml:space="preserve"> Exhibit No. MPP-1T at 14:20-15:6.</w:t>
      </w:r>
    </w:p>
  </w:footnote>
  <w:footnote w:id="102">
    <w:p w:rsidR="000570C1" w:rsidRPr="00CA0858" w:rsidRDefault="000570C1">
      <w:pPr>
        <w:pStyle w:val="FootnoteText"/>
        <w:rPr>
          <w:rFonts w:ascii="Times New Roman" w:hAnsi="Times New Roman"/>
        </w:rPr>
      </w:pPr>
      <w:r w:rsidRPr="00CA0858">
        <w:rPr>
          <w:rStyle w:val="FootnoteReference"/>
          <w:rFonts w:ascii="Times New Roman" w:hAnsi="Times New Roman"/>
        </w:rPr>
        <w:footnoteRef/>
      </w:r>
      <w:r w:rsidRPr="00CA0858">
        <w:rPr>
          <w:rFonts w:ascii="Times New Roman" w:hAnsi="Times New Roman"/>
        </w:rPr>
        <w:t xml:space="preserve"> Exhibit No. JAP-1T at 20:18.</w:t>
      </w:r>
    </w:p>
  </w:footnote>
  <w:footnote w:id="103">
    <w:p w:rsidR="000570C1" w:rsidRPr="00CA0858" w:rsidRDefault="000570C1">
      <w:pPr>
        <w:pStyle w:val="FootnoteText"/>
        <w:rPr>
          <w:rFonts w:ascii="Times New Roman" w:hAnsi="Times New Roman"/>
        </w:rPr>
      </w:pPr>
      <w:r w:rsidRPr="00CA0858">
        <w:rPr>
          <w:rStyle w:val="FootnoteReference"/>
          <w:rFonts w:ascii="Times New Roman" w:hAnsi="Times New Roman"/>
        </w:rPr>
        <w:footnoteRef/>
      </w:r>
      <w:r w:rsidRPr="00CA0858">
        <w:rPr>
          <w:rFonts w:ascii="Times New Roman" w:hAnsi="Times New Roman"/>
        </w:rPr>
        <w:t xml:space="preserve"> Exhibit No. MPP-1T at 15:17-19, citing PSE’s Response to Staff Data Request No. 190.</w:t>
      </w:r>
    </w:p>
  </w:footnote>
  <w:footnote w:id="104">
    <w:p w:rsidR="000570C1" w:rsidRPr="00F55169" w:rsidRDefault="000570C1">
      <w:pPr>
        <w:pStyle w:val="FootnoteText"/>
        <w:rPr>
          <w:rFonts w:ascii="Times New Roman" w:hAnsi="Times New Roman"/>
        </w:rPr>
      </w:pPr>
      <w:r w:rsidRPr="00F55169">
        <w:rPr>
          <w:rStyle w:val="FootnoteReference"/>
          <w:rFonts w:ascii="Times New Roman" w:hAnsi="Times New Roman"/>
        </w:rPr>
        <w:footnoteRef/>
      </w:r>
      <w:r w:rsidRPr="00F55169">
        <w:rPr>
          <w:rFonts w:ascii="Times New Roman" w:hAnsi="Times New Roman"/>
        </w:rPr>
        <w:t xml:space="preserve"> </w:t>
      </w:r>
      <w:r>
        <w:rPr>
          <w:rFonts w:ascii="Times New Roman" w:hAnsi="Times New Roman"/>
        </w:rPr>
        <w:t>Tr. 565:14-24 (P</w:t>
      </w:r>
      <w:r w:rsidRPr="00F55169">
        <w:rPr>
          <w:rFonts w:ascii="Times New Roman" w:hAnsi="Times New Roman"/>
        </w:rPr>
        <w:t>iliaris).</w:t>
      </w:r>
      <w:r>
        <w:rPr>
          <w:rFonts w:ascii="Times New Roman" w:hAnsi="Times New Roman"/>
        </w:rPr>
        <w:t xml:space="preserve">  The question arose at hearing whether the Conservation Phase-In proposal is a decoupling mechanism that violates commitments in the 2008 Acquisition.  Tr. 565:8-566:1 (Piliaris). Decoupling is a mechanism that breaks the link between revenues and retail sales. Avista Order at ¶242.  Because PSE’s proposal does not meet that standard, it does not violate 2008 Acquisition commitments.</w:t>
      </w:r>
    </w:p>
  </w:footnote>
  <w:footnote w:id="105">
    <w:p w:rsidR="000570C1" w:rsidRPr="00323AED" w:rsidRDefault="000570C1">
      <w:pPr>
        <w:pStyle w:val="FootnoteText"/>
        <w:rPr>
          <w:rFonts w:ascii="Times New Roman" w:hAnsi="Times New Roman"/>
        </w:rPr>
      </w:pPr>
      <w:r w:rsidRPr="00323AED">
        <w:rPr>
          <w:rStyle w:val="FootnoteReference"/>
          <w:rFonts w:ascii="Times New Roman" w:hAnsi="Times New Roman"/>
        </w:rPr>
        <w:footnoteRef/>
      </w:r>
      <w:r w:rsidRPr="00323AED">
        <w:rPr>
          <w:rFonts w:ascii="Times New Roman" w:hAnsi="Times New Roman"/>
        </w:rPr>
        <w:t xml:space="preserve"> Exhibit No. JAP-5T at 20:6-18.</w:t>
      </w:r>
    </w:p>
  </w:footnote>
  <w:footnote w:id="106">
    <w:p w:rsidR="000570C1" w:rsidRPr="004F14D8" w:rsidRDefault="000570C1">
      <w:pPr>
        <w:pStyle w:val="FootnoteText"/>
        <w:rPr>
          <w:rFonts w:ascii="Times New Roman" w:hAnsi="Times New Roman"/>
        </w:rPr>
      </w:pPr>
      <w:r w:rsidRPr="004F14D8">
        <w:rPr>
          <w:rStyle w:val="FootnoteReference"/>
          <w:rFonts w:ascii="Times New Roman" w:hAnsi="Times New Roman"/>
        </w:rPr>
        <w:footnoteRef/>
      </w:r>
      <w:r w:rsidRPr="004F14D8">
        <w:rPr>
          <w:rFonts w:ascii="Times New Roman" w:hAnsi="Times New Roman"/>
        </w:rPr>
        <w:t xml:space="preserve"> Exhibit No. JAP-5T at 8:6-10.</w:t>
      </w:r>
    </w:p>
  </w:footnote>
  <w:footnote w:id="107">
    <w:p w:rsidR="000570C1" w:rsidRPr="004F14D8" w:rsidRDefault="000570C1">
      <w:pPr>
        <w:pStyle w:val="FootnoteText"/>
        <w:rPr>
          <w:rFonts w:ascii="Times New Roman" w:hAnsi="Times New Roman"/>
        </w:rPr>
      </w:pPr>
      <w:r w:rsidRPr="004F14D8">
        <w:rPr>
          <w:rStyle w:val="FootnoteReference"/>
          <w:rFonts w:ascii="Times New Roman" w:hAnsi="Times New Roman"/>
        </w:rPr>
        <w:footnoteRef/>
      </w:r>
      <w:r w:rsidRPr="004F14D8">
        <w:rPr>
          <w:rFonts w:ascii="Times New Roman" w:hAnsi="Times New Roman"/>
        </w:rPr>
        <w:t xml:space="preserve"> Exhibit No. JAP-5T at 15:5-12.</w:t>
      </w:r>
    </w:p>
  </w:footnote>
  <w:footnote w:id="108">
    <w:p w:rsidR="000570C1" w:rsidRPr="00FD0E75" w:rsidRDefault="000570C1">
      <w:pPr>
        <w:pStyle w:val="FootnoteText"/>
        <w:rPr>
          <w:rFonts w:ascii="Times New Roman" w:hAnsi="Times New Roman"/>
        </w:rPr>
      </w:pPr>
      <w:r w:rsidRPr="00FD0E75">
        <w:rPr>
          <w:rStyle w:val="FootnoteReference"/>
          <w:rFonts w:ascii="Times New Roman" w:hAnsi="Times New Roman"/>
        </w:rPr>
        <w:footnoteRef/>
      </w:r>
      <w:r w:rsidRPr="00FD0E75">
        <w:rPr>
          <w:rFonts w:ascii="Times New Roman" w:hAnsi="Times New Roman"/>
        </w:rPr>
        <w:t xml:space="preserve"> Tr. 549:20-22 and 552:19-22 (Piliaris).</w:t>
      </w:r>
    </w:p>
  </w:footnote>
  <w:footnote w:id="109">
    <w:p w:rsidR="000570C1" w:rsidRPr="00FD0E75" w:rsidRDefault="000570C1">
      <w:pPr>
        <w:pStyle w:val="FootnoteText"/>
        <w:rPr>
          <w:rFonts w:ascii="Times New Roman" w:hAnsi="Times New Roman"/>
        </w:rPr>
      </w:pPr>
      <w:r w:rsidRPr="00FD0E75">
        <w:rPr>
          <w:rStyle w:val="FootnoteReference"/>
          <w:rFonts w:ascii="Times New Roman" w:hAnsi="Times New Roman"/>
        </w:rPr>
        <w:footnoteRef/>
      </w:r>
      <w:r w:rsidRPr="00FD0E75">
        <w:rPr>
          <w:rFonts w:ascii="Times New Roman" w:hAnsi="Times New Roman"/>
        </w:rPr>
        <w:t xml:space="preserve"> Tr. 572:1-576:18 (Piliaris).</w:t>
      </w:r>
    </w:p>
  </w:footnote>
  <w:footnote w:id="110">
    <w:p w:rsidR="000570C1" w:rsidRPr="00A87D70" w:rsidRDefault="000570C1">
      <w:pPr>
        <w:pStyle w:val="FootnoteText"/>
        <w:rPr>
          <w:rFonts w:ascii="Times New Roman" w:hAnsi="Times New Roman"/>
        </w:rPr>
      </w:pPr>
      <w:r w:rsidRPr="00A87D70">
        <w:rPr>
          <w:rStyle w:val="FootnoteReference"/>
          <w:rFonts w:ascii="Times New Roman" w:hAnsi="Times New Roman"/>
        </w:rPr>
        <w:footnoteRef/>
      </w:r>
      <w:r>
        <w:rPr>
          <w:rFonts w:ascii="Times New Roman" w:hAnsi="Times New Roman"/>
        </w:rPr>
        <w:t xml:space="preserve"> Tr. 576:</w:t>
      </w:r>
      <w:r w:rsidRPr="00A87D70">
        <w:rPr>
          <w:rFonts w:ascii="Times New Roman" w:hAnsi="Times New Roman"/>
        </w:rPr>
        <w:t>16-18 (Piliaris).</w:t>
      </w:r>
    </w:p>
  </w:footnote>
  <w:footnote w:id="111">
    <w:p w:rsidR="000570C1" w:rsidRPr="00BE1F92" w:rsidRDefault="000570C1">
      <w:pPr>
        <w:pStyle w:val="FootnoteText"/>
        <w:rPr>
          <w:rFonts w:ascii="Times New Roman" w:hAnsi="Times New Roman"/>
        </w:rPr>
      </w:pPr>
      <w:r w:rsidRPr="00BE1F92">
        <w:rPr>
          <w:rStyle w:val="FootnoteReference"/>
          <w:rFonts w:ascii="Times New Roman" w:hAnsi="Times New Roman"/>
        </w:rPr>
        <w:footnoteRef/>
      </w:r>
      <w:r w:rsidRPr="00BE1F92">
        <w:rPr>
          <w:rFonts w:ascii="Times New Roman" w:hAnsi="Times New Roman"/>
        </w:rPr>
        <w:t xml:space="preserve"> Tr. 551:24-552:18 (Piliaris).</w:t>
      </w:r>
      <w:r>
        <w:rPr>
          <w:rFonts w:ascii="Times New Roman" w:hAnsi="Times New Roman"/>
        </w:rPr>
        <w:t xml:space="preserve">  In fact, Blue Ridge suggested that PSE’s lack of awareness concerning conservation-related lost revenues and lost margins may indicate “the lack of impact of these disincentives in terms of harm to the financial health of the Company.”  Exhibit No. JAP-6 at 78.</w:t>
      </w:r>
    </w:p>
  </w:footnote>
  <w:footnote w:id="112">
    <w:p w:rsidR="000570C1" w:rsidRPr="00555ECA" w:rsidRDefault="000570C1">
      <w:pPr>
        <w:pStyle w:val="FootnoteText"/>
        <w:rPr>
          <w:rFonts w:ascii="Times New Roman" w:hAnsi="Times New Roman"/>
        </w:rPr>
      </w:pPr>
      <w:r w:rsidRPr="00555ECA">
        <w:rPr>
          <w:rStyle w:val="FootnoteReference"/>
          <w:rFonts w:ascii="Times New Roman" w:hAnsi="Times New Roman"/>
        </w:rPr>
        <w:footnoteRef/>
      </w:r>
      <w:r w:rsidRPr="00555ECA">
        <w:rPr>
          <w:rFonts w:ascii="Times New Roman" w:hAnsi="Times New Roman"/>
        </w:rPr>
        <w:t xml:space="preserve"> Avista Order at ¶154.</w:t>
      </w:r>
    </w:p>
  </w:footnote>
  <w:footnote w:id="113">
    <w:p w:rsidR="000570C1" w:rsidRPr="00566A43" w:rsidRDefault="000570C1">
      <w:pPr>
        <w:pStyle w:val="FootnoteText"/>
        <w:rPr>
          <w:rFonts w:ascii="Times New Roman" w:hAnsi="Times New Roman"/>
        </w:rPr>
      </w:pPr>
      <w:r w:rsidRPr="00566A43">
        <w:rPr>
          <w:rStyle w:val="FootnoteReference"/>
          <w:rFonts w:ascii="Times New Roman" w:hAnsi="Times New Roman"/>
        </w:rPr>
        <w:footnoteRef/>
      </w:r>
      <w:r w:rsidRPr="00566A43">
        <w:rPr>
          <w:rFonts w:ascii="Times New Roman" w:hAnsi="Times New Roman"/>
        </w:rPr>
        <w:t xml:space="preserve"> </w:t>
      </w:r>
      <w:r>
        <w:rPr>
          <w:rFonts w:ascii="Times New Roman" w:hAnsi="Times New Roman"/>
        </w:rPr>
        <w:t xml:space="preserve">Exhibit No. B-2 at </w:t>
      </w:r>
      <w:r w:rsidRPr="00566A43">
        <w:rPr>
          <w:rFonts w:ascii="Times New Roman" w:hAnsi="Times New Roman"/>
        </w:rPr>
        <w:t>Exhibit</w:t>
      </w:r>
      <w:r>
        <w:rPr>
          <w:rFonts w:ascii="Times New Roman" w:hAnsi="Times New Roman"/>
        </w:rPr>
        <w:t xml:space="preserve"> No. KHB-2, page 2.22 and Exhibit No. KHB-3, page 3.15, Exhibit No. MRM-9, and Tr. 465:7-</w:t>
      </w:r>
      <w:r w:rsidRPr="00EA27E4">
        <w:rPr>
          <w:rFonts w:ascii="Times New Roman" w:hAnsi="Times New Roman"/>
        </w:rPr>
        <w:t xml:space="preserve">466:16 </w:t>
      </w:r>
      <w:r>
        <w:rPr>
          <w:rFonts w:ascii="Times New Roman" w:hAnsi="Times New Roman"/>
        </w:rPr>
        <w:t xml:space="preserve">and Tr. 519:10-19 </w:t>
      </w:r>
      <w:r w:rsidRPr="00EA27E4">
        <w:rPr>
          <w:rFonts w:ascii="Times New Roman" w:hAnsi="Times New Roman"/>
        </w:rPr>
        <w:t>(Marcelia)</w:t>
      </w:r>
      <w:r w:rsidRPr="00566A43">
        <w:rPr>
          <w:rFonts w:ascii="Times New Roman" w:hAnsi="Times New Roman"/>
        </w:rPr>
        <w:t>.</w:t>
      </w:r>
      <w:r>
        <w:rPr>
          <w:rFonts w:ascii="Times New Roman" w:hAnsi="Times New Roman"/>
        </w:rPr>
        <w:t xml:space="preserve">  The Company’s operating properties are assessed en masse by DOR.  Exhibit No. MRM-5 at 1.  DOR determines the total value of all property regardless of location.   Assets, including energy producing facilities, are not individually assessed.</w:t>
      </w:r>
    </w:p>
  </w:footnote>
  <w:footnote w:id="114">
    <w:p w:rsidR="000570C1" w:rsidRPr="00CC1BAF" w:rsidRDefault="000570C1">
      <w:pPr>
        <w:pStyle w:val="FootnoteText"/>
        <w:rPr>
          <w:rFonts w:ascii="Times New Roman" w:hAnsi="Times New Roman"/>
        </w:rPr>
      </w:pPr>
      <w:r w:rsidRPr="00CC1BAF">
        <w:rPr>
          <w:rStyle w:val="FootnoteReference"/>
          <w:rFonts w:ascii="Times New Roman" w:hAnsi="Times New Roman"/>
        </w:rPr>
        <w:footnoteRef/>
      </w:r>
      <w:r w:rsidRPr="00CC1BAF">
        <w:rPr>
          <w:rFonts w:ascii="Times New Roman" w:hAnsi="Times New Roman"/>
        </w:rPr>
        <w:t xml:space="preserve"> E</w:t>
      </w:r>
      <w:r>
        <w:rPr>
          <w:rFonts w:ascii="Times New Roman" w:hAnsi="Times New Roman"/>
        </w:rPr>
        <w:t>xhibit No. MRM-4T at</w:t>
      </w:r>
      <w:r w:rsidRPr="00CC1BAF">
        <w:rPr>
          <w:rFonts w:ascii="Times New Roman" w:hAnsi="Times New Roman"/>
        </w:rPr>
        <w:t xml:space="preserve"> 9:17-18</w:t>
      </w:r>
      <w:r>
        <w:rPr>
          <w:rFonts w:ascii="Times New Roman" w:hAnsi="Times New Roman"/>
        </w:rPr>
        <w:t xml:space="preserve"> and Exhibit No. MRM-5</w:t>
      </w:r>
      <w:r w:rsidRPr="00CC1BAF">
        <w:rPr>
          <w:rFonts w:ascii="Times New Roman" w:hAnsi="Times New Roman"/>
        </w:rPr>
        <w:t>.</w:t>
      </w:r>
    </w:p>
  </w:footnote>
  <w:footnote w:id="115">
    <w:p w:rsidR="000570C1" w:rsidRPr="00E24713" w:rsidRDefault="000570C1">
      <w:pPr>
        <w:pStyle w:val="FootnoteText"/>
        <w:rPr>
          <w:rFonts w:ascii="Times New Roman" w:hAnsi="Times New Roman"/>
        </w:rPr>
      </w:pPr>
      <w:r w:rsidRPr="00E24713">
        <w:rPr>
          <w:rStyle w:val="FootnoteReference"/>
          <w:rFonts w:ascii="Times New Roman" w:hAnsi="Times New Roman"/>
        </w:rPr>
        <w:footnoteRef/>
      </w:r>
      <w:r w:rsidRPr="00E24713">
        <w:rPr>
          <w:rFonts w:ascii="Times New Roman" w:hAnsi="Times New Roman"/>
        </w:rPr>
        <w:t xml:space="preserve"> Exhibit No. MRM-4T at </w:t>
      </w:r>
      <w:r>
        <w:rPr>
          <w:rFonts w:ascii="Times New Roman" w:hAnsi="Times New Roman"/>
        </w:rPr>
        <w:t xml:space="preserve">8:13-20 and </w:t>
      </w:r>
      <w:r w:rsidRPr="00E24713">
        <w:rPr>
          <w:rFonts w:ascii="Times New Roman" w:hAnsi="Times New Roman"/>
        </w:rPr>
        <w:t>9:17-10:2.</w:t>
      </w:r>
    </w:p>
  </w:footnote>
  <w:footnote w:id="116">
    <w:p w:rsidR="000570C1" w:rsidRDefault="000570C1">
      <w:pPr>
        <w:pStyle w:val="FootnoteText"/>
      </w:pPr>
      <w:r w:rsidRPr="00C97A77">
        <w:rPr>
          <w:rStyle w:val="FootnoteReference"/>
          <w:rFonts w:ascii="Times New Roman" w:hAnsi="Times New Roman"/>
        </w:rPr>
        <w:footnoteRef/>
      </w:r>
      <w:r w:rsidRPr="00C97A77">
        <w:rPr>
          <w:rFonts w:ascii="Times New Roman" w:hAnsi="Times New Roman"/>
        </w:rPr>
        <w:t xml:space="preserve"> Exhibit</w:t>
      </w:r>
      <w:r w:rsidRPr="00D84C3D">
        <w:rPr>
          <w:rFonts w:ascii="Times New Roman" w:hAnsi="Times New Roman"/>
        </w:rPr>
        <w:t xml:space="preserve"> No. JHS-10 at 21</w:t>
      </w:r>
      <w:r>
        <w:rPr>
          <w:rFonts w:ascii="Times New Roman" w:hAnsi="Times New Roman"/>
        </w:rPr>
        <w:t>.</w:t>
      </w:r>
    </w:p>
  </w:footnote>
  <w:footnote w:id="117">
    <w:p w:rsidR="000570C1" w:rsidRDefault="000570C1">
      <w:pPr>
        <w:pStyle w:val="FootnoteText"/>
      </w:pPr>
      <w:r w:rsidRPr="00C97A77">
        <w:rPr>
          <w:rStyle w:val="FootnoteReference"/>
          <w:rFonts w:ascii="Times New Roman" w:hAnsi="Times New Roman"/>
        </w:rPr>
        <w:footnoteRef/>
      </w:r>
      <w:r w:rsidRPr="00C97A77">
        <w:rPr>
          <w:rFonts w:ascii="Times New Roman" w:hAnsi="Times New Roman"/>
        </w:rPr>
        <w:t xml:space="preserve"> Exhibit</w:t>
      </w:r>
      <w:r>
        <w:rPr>
          <w:rFonts w:ascii="Times New Roman" w:hAnsi="Times New Roman"/>
        </w:rPr>
        <w:t xml:space="preserve"> No. B-2 at Attachment C, page 2.22.</w:t>
      </w:r>
    </w:p>
  </w:footnote>
  <w:footnote w:id="118">
    <w:p w:rsidR="000570C1" w:rsidRPr="00D84C3D" w:rsidRDefault="000570C1">
      <w:pPr>
        <w:pStyle w:val="FootnoteText"/>
        <w:rPr>
          <w:rFonts w:ascii="Times New Roman" w:hAnsi="Times New Roman"/>
        </w:rPr>
      </w:pPr>
      <w:r w:rsidRPr="00D84C3D">
        <w:rPr>
          <w:rStyle w:val="FootnoteReference"/>
          <w:rFonts w:ascii="Times New Roman" w:hAnsi="Times New Roman"/>
        </w:rPr>
        <w:footnoteRef/>
      </w:r>
      <w:r w:rsidRPr="00D84C3D">
        <w:rPr>
          <w:rFonts w:ascii="Times New Roman" w:hAnsi="Times New Roman"/>
        </w:rPr>
        <w:t xml:space="preserve"> Exhibit No. MJS-9 at 9.10</w:t>
      </w:r>
      <w:r>
        <w:rPr>
          <w:rFonts w:ascii="Times New Roman" w:hAnsi="Times New Roman"/>
        </w:rPr>
        <w:t xml:space="preserve"> and Exhibit B-2 at Attachment D, page 3.15</w:t>
      </w:r>
      <w:r w:rsidRPr="00D84C3D">
        <w:rPr>
          <w:rFonts w:ascii="Times New Roman" w:hAnsi="Times New Roman"/>
        </w:rPr>
        <w:t>.</w:t>
      </w:r>
    </w:p>
  </w:footnote>
  <w:footnote w:id="119">
    <w:p w:rsidR="000570C1" w:rsidRPr="008F0B34" w:rsidRDefault="000570C1">
      <w:pPr>
        <w:pStyle w:val="FootnoteText"/>
        <w:rPr>
          <w:rFonts w:ascii="Times New Roman" w:hAnsi="Times New Roman"/>
        </w:rPr>
      </w:pPr>
      <w:r w:rsidRPr="008F0B34">
        <w:rPr>
          <w:rStyle w:val="FootnoteReference"/>
          <w:rFonts w:ascii="Times New Roman" w:hAnsi="Times New Roman"/>
        </w:rPr>
        <w:footnoteRef/>
      </w:r>
      <w:r w:rsidRPr="008F0B34">
        <w:rPr>
          <w:rFonts w:ascii="Times New Roman" w:hAnsi="Times New Roman"/>
        </w:rPr>
        <w:t xml:space="preserve"> Exhibit No. AMCL-1T at 4:7-14.</w:t>
      </w:r>
    </w:p>
  </w:footnote>
  <w:footnote w:id="120">
    <w:p w:rsidR="000570C1" w:rsidRPr="00411CF3" w:rsidRDefault="000570C1">
      <w:pPr>
        <w:pStyle w:val="FootnoteText"/>
        <w:rPr>
          <w:rFonts w:ascii="Times New Roman" w:hAnsi="Times New Roman"/>
        </w:rPr>
      </w:pPr>
      <w:r w:rsidRPr="008F0B34">
        <w:rPr>
          <w:rStyle w:val="FootnoteReference"/>
          <w:rFonts w:ascii="Times New Roman" w:hAnsi="Times New Roman"/>
        </w:rPr>
        <w:footnoteRef/>
      </w:r>
      <w:r w:rsidRPr="008F0B34">
        <w:rPr>
          <w:rFonts w:ascii="Times New Roman" w:hAnsi="Times New Roman"/>
        </w:rPr>
        <w:t xml:space="preserve"> </w:t>
      </w:r>
      <w:r w:rsidRPr="00411CF3">
        <w:rPr>
          <w:rFonts w:ascii="Times New Roman" w:hAnsi="Times New Roman"/>
        </w:rPr>
        <w:t>Avista Order at ¶136.</w:t>
      </w:r>
    </w:p>
  </w:footnote>
  <w:footnote w:id="121">
    <w:p w:rsidR="000570C1" w:rsidRDefault="000570C1" w:rsidP="00F76275">
      <w:r w:rsidRPr="00411CF3">
        <w:rPr>
          <w:rStyle w:val="FootnoteReference"/>
          <w:rFonts w:ascii="Times New Roman" w:hAnsi="Times New Roman"/>
        </w:rPr>
        <w:footnoteRef/>
      </w:r>
      <w:r>
        <w:rPr>
          <w:rFonts w:ascii="Times New Roman" w:hAnsi="Times New Roman"/>
        </w:rPr>
        <w:t xml:space="preserve"> </w:t>
      </w:r>
      <w:r w:rsidRPr="00F76275">
        <w:rPr>
          <w:rFonts w:ascii="Times New Roman" w:hAnsi="Times New Roman"/>
          <w:sz w:val="20"/>
          <w:szCs w:val="20"/>
        </w:rPr>
        <w:t xml:space="preserve">For example, </w:t>
      </w:r>
      <w:r w:rsidRPr="00F76275">
        <w:rPr>
          <w:rFonts w:ascii="Times New Roman" w:hAnsi="Times New Roman"/>
          <w:i/>
          <w:iCs/>
          <w:sz w:val="20"/>
          <w:szCs w:val="20"/>
        </w:rPr>
        <w:t>See</w:t>
      </w:r>
      <w:r w:rsidRPr="00F76275">
        <w:rPr>
          <w:rFonts w:ascii="Times New Roman" w:hAnsi="Times New Roman"/>
          <w:sz w:val="20"/>
          <w:szCs w:val="20"/>
        </w:rPr>
        <w:t xml:space="preserve"> </w:t>
      </w:r>
      <w:r w:rsidRPr="00F76275">
        <w:rPr>
          <w:rFonts w:ascii="Times New Roman" w:hAnsi="Times New Roman"/>
          <w:i/>
          <w:iCs/>
          <w:sz w:val="20"/>
          <w:szCs w:val="20"/>
        </w:rPr>
        <w:t xml:space="preserve">Re Connecticut Light and Power Co., </w:t>
      </w:r>
      <w:r w:rsidRPr="00F76275">
        <w:rPr>
          <w:rFonts w:ascii="Times New Roman" w:hAnsi="Times New Roman"/>
          <w:sz w:val="20"/>
          <w:szCs w:val="20"/>
        </w:rPr>
        <w:t>124 P.U.R.</w:t>
      </w:r>
      <w:r w:rsidR="00F24EFB">
        <w:rPr>
          <w:rFonts w:ascii="Times New Roman" w:hAnsi="Times New Roman"/>
          <w:sz w:val="20"/>
          <w:szCs w:val="20"/>
        </w:rPr>
        <w:t xml:space="preserve"> 4th 532, 560 (Conn. </w:t>
      </w:r>
      <w:proofErr w:type="spellStart"/>
      <w:r w:rsidR="00F24EFB">
        <w:rPr>
          <w:rFonts w:ascii="Times New Roman" w:hAnsi="Times New Roman"/>
          <w:sz w:val="20"/>
          <w:szCs w:val="20"/>
        </w:rPr>
        <w:t>D.P.U.C.</w:t>
      </w:r>
      <w:proofErr w:type="spellEnd"/>
      <w:r w:rsidR="00F24EFB">
        <w:rPr>
          <w:rFonts w:ascii="Times New Roman" w:hAnsi="Times New Roman"/>
          <w:sz w:val="20"/>
          <w:szCs w:val="20"/>
        </w:rPr>
        <w:t xml:space="preserve"> </w:t>
      </w:r>
      <w:r w:rsidRPr="00F76275">
        <w:rPr>
          <w:rFonts w:ascii="Times New Roman" w:hAnsi="Times New Roman"/>
          <w:sz w:val="20"/>
          <w:szCs w:val="20"/>
        </w:rPr>
        <w:t>1991) (“Given the fact that the majority of the lawsuits would be initiated by shareholders, the Authority [Commission] agrees . . . that the costs should be borne equally between</w:t>
      </w:r>
      <w:r>
        <w:rPr>
          <w:rFonts w:ascii="Times New Roman" w:hAnsi="Times New Roman"/>
          <w:sz w:val="20"/>
          <w:szCs w:val="20"/>
        </w:rPr>
        <w:t xml:space="preserve"> shareholders and ratepayers.”). </w:t>
      </w:r>
      <w:r w:rsidRPr="00F76275">
        <w:rPr>
          <w:rFonts w:ascii="Times New Roman" w:hAnsi="Times New Roman"/>
          <w:sz w:val="20"/>
          <w:szCs w:val="20"/>
        </w:rPr>
        <w:t xml:space="preserve"> </w:t>
      </w:r>
      <w:r>
        <w:rPr>
          <w:rFonts w:ascii="Times New Roman" w:hAnsi="Times New Roman"/>
          <w:sz w:val="20"/>
          <w:szCs w:val="20"/>
        </w:rPr>
        <w:t>More recently</w:t>
      </w:r>
      <w:r w:rsidRPr="00F76275">
        <w:rPr>
          <w:rFonts w:ascii="Times New Roman" w:hAnsi="Times New Roman"/>
          <w:sz w:val="20"/>
          <w:szCs w:val="20"/>
        </w:rPr>
        <w:t>, the Connectic</w:t>
      </w:r>
      <w:r>
        <w:rPr>
          <w:rFonts w:ascii="Times New Roman" w:hAnsi="Times New Roman"/>
          <w:sz w:val="20"/>
          <w:szCs w:val="20"/>
        </w:rPr>
        <w:t xml:space="preserve">ut commission has </w:t>
      </w:r>
      <w:r w:rsidRPr="00F76275">
        <w:rPr>
          <w:rFonts w:ascii="Times New Roman" w:hAnsi="Times New Roman"/>
          <w:sz w:val="20"/>
          <w:szCs w:val="20"/>
        </w:rPr>
        <w:t>noted that while it historically has allowed a portion of D&amp;O insurance to be charged in rates, to assure some level of ratepayer protection from catas</w:t>
      </w:r>
      <w:r>
        <w:rPr>
          <w:rFonts w:ascii="Times New Roman" w:hAnsi="Times New Roman"/>
          <w:sz w:val="20"/>
          <w:szCs w:val="20"/>
        </w:rPr>
        <w:t>trophic lawsuits, the Department</w:t>
      </w:r>
      <w:r w:rsidRPr="00F76275">
        <w:rPr>
          <w:rFonts w:ascii="Times New Roman" w:hAnsi="Times New Roman"/>
          <w:sz w:val="20"/>
          <w:szCs w:val="20"/>
        </w:rPr>
        <w:t xml:space="preserve"> “ag</w:t>
      </w:r>
      <w:r>
        <w:rPr>
          <w:rFonts w:ascii="Times New Roman" w:hAnsi="Times New Roman"/>
          <w:sz w:val="20"/>
          <w:szCs w:val="20"/>
        </w:rPr>
        <w:t>rees . . .</w:t>
      </w:r>
      <w:r w:rsidRPr="00F76275">
        <w:rPr>
          <w:rFonts w:ascii="Times New Roman" w:hAnsi="Times New Roman"/>
          <w:sz w:val="20"/>
          <w:szCs w:val="20"/>
        </w:rPr>
        <w:t xml:space="preserve"> that the shareholders should bear the weight of their decisions in appointing directors (who appoint the officers of the Company).”</w:t>
      </w:r>
      <w:r>
        <w:rPr>
          <w:rFonts w:ascii="Times New Roman" w:hAnsi="Times New Roman"/>
          <w:sz w:val="20"/>
          <w:szCs w:val="20"/>
        </w:rPr>
        <w:t xml:space="preserve"> </w:t>
      </w:r>
      <w:r w:rsidRPr="003365A3">
        <w:rPr>
          <w:rFonts w:ascii="Times New Roman" w:hAnsi="Times New Roman"/>
          <w:i/>
          <w:sz w:val="20"/>
          <w:szCs w:val="20"/>
        </w:rPr>
        <w:t>In re The United Illuminating Co</w:t>
      </w:r>
      <w:r>
        <w:rPr>
          <w:rFonts w:ascii="Times New Roman" w:hAnsi="Times New Roman"/>
          <w:sz w:val="20"/>
          <w:szCs w:val="20"/>
        </w:rPr>
        <w:t>., 246 P.U.R. 4</w:t>
      </w:r>
      <w:r w:rsidRPr="003365A3">
        <w:rPr>
          <w:rFonts w:ascii="Times New Roman" w:hAnsi="Times New Roman"/>
          <w:sz w:val="20"/>
          <w:szCs w:val="20"/>
          <w:vertAlign w:val="superscript"/>
        </w:rPr>
        <w:t>th</w:t>
      </w:r>
      <w:r>
        <w:rPr>
          <w:rFonts w:ascii="Times New Roman" w:hAnsi="Times New Roman"/>
          <w:sz w:val="20"/>
          <w:szCs w:val="20"/>
        </w:rPr>
        <w:t xml:space="preserve"> 357, 403 (Conn. D.P.U.C. 2006).  See also, </w:t>
      </w:r>
      <w:r w:rsidRPr="00F76275">
        <w:rPr>
          <w:rFonts w:ascii="Times New Roman" w:hAnsi="Times New Roman"/>
          <w:i/>
          <w:iCs/>
          <w:sz w:val="20"/>
          <w:szCs w:val="20"/>
        </w:rPr>
        <w:t xml:space="preserve">Re CenterPoint Arkla, a Division of CenterPoint Energy Resources Corp., </w:t>
      </w:r>
      <w:r w:rsidRPr="00F76275">
        <w:rPr>
          <w:rFonts w:ascii="Times New Roman" w:hAnsi="Times New Roman"/>
          <w:sz w:val="20"/>
          <w:szCs w:val="20"/>
        </w:rPr>
        <w:t>245 P.U</w:t>
      </w:r>
      <w:r w:rsidR="00F24EFB">
        <w:rPr>
          <w:rFonts w:ascii="Times New Roman" w:hAnsi="Times New Roman"/>
          <w:sz w:val="20"/>
          <w:szCs w:val="20"/>
        </w:rPr>
        <w:t xml:space="preserve">.R. 4th 384, 409 (Ark. </w:t>
      </w:r>
      <w:proofErr w:type="spellStart"/>
      <w:r w:rsidR="00F24EFB">
        <w:rPr>
          <w:rFonts w:ascii="Times New Roman" w:hAnsi="Times New Roman"/>
          <w:sz w:val="20"/>
          <w:szCs w:val="20"/>
        </w:rPr>
        <w:t>P.S.C.</w:t>
      </w:r>
      <w:proofErr w:type="spellEnd"/>
      <w:r w:rsidR="00F24EFB">
        <w:rPr>
          <w:rFonts w:ascii="Times New Roman" w:hAnsi="Times New Roman"/>
          <w:sz w:val="20"/>
          <w:szCs w:val="20"/>
        </w:rPr>
        <w:t xml:space="preserve"> </w:t>
      </w:r>
      <w:r w:rsidRPr="00F76275">
        <w:rPr>
          <w:rFonts w:ascii="Times New Roman" w:hAnsi="Times New Roman"/>
          <w:sz w:val="20"/>
          <w:szCs w:val="20"/>
        </w:rPr>
        <w:t>2</w:t>
      </w:r>
      <w:r>
        <w:rPr>
          <w:rFonts w:ascii="Times New Roman" w:hAnsi="Times New Roman"/>
          <w:sz w:val="20"/>
          <w:szCs w:val="20"/>
        </w:rPr>
        <w:t>005) (“</w:t>
      </w:r>
      <w:r w:rsidRPr="00F76275">
        <w:rPr>
          <w:rFonts w:ascii="Times New Roman" w:hAnsi="Times New Roman"/>
          <w:sz w:val="20"/>
          <w:szCs w:val="20"/>
        </w:rPr>
        <w:t>The Commission agrees with AG that more often than not it is the current shareholders who sue management and who receive a large portion of the proceeds from the D&amp;O insurance payouts.”)</w:t>
      </w:r>
      <w:r>
        <w:rPr>
          <w:rFonts w:ascii="Times New Roman" w:hAnsi="Times New Roman"/>
          <w:sz w:val="20"/>
          <w:szCs w:val="20"/>
        </w:rPr>
        <w:t xml:space="preserve">.  </w:t>
      </w:r>
    </w:p>
  </w:footnote>
  <w:footnote w:id="122">
    <w:p w:rsidR="000570C1" w:rsidRPr="00411CF3" w:rsidRDefault="000570C1" w:rsidP="007F0CEC">
      <w:pPr>
        <w:pStyle w:val="FootnoteText"/>
        <w:rPr>
          <w:rFonts w:ascii="Times New Roman" w:hAnsi="Times New Roman"/>
        </w:rPr>
      </w:pPr>
      <w:r w:rsidRPr="00411CF3">
        <w:rPr>
          <w:rStyle w:val="FootnoteReference"/>
          <w:rFonts w:ascii="Times New Roman" w:hAnsi="Times New Roman"/>
        </w:rPr>
        <w:footnoteRef/>
      </w:r>
      <w:r w:rsidRPr="00411CF3">
        <w:rPr>
          <w:rFonts w:ascii="Times New Roman" w:hAnsi="Times New Roman"/>
        </w:rPr>
        <w:t xml:space="preserve"> Avista Order at ¶136.</w:t>
      </w:r>
    </w:p>
  </w:footnote>
  <w:footnote w:id="123">
    <w:p w:rsidR="000570C1" w:rsidRPr="007F0CEC" w:rsidRDefault="000570C1">
      <w:pPr>
        <w:pStyle w:val="FootnoteText"/>
        <w:rPr>
          <w:rFonts w:ascii="Times New Roman" w:hAnsi="Times New Roman"/>
        </w:rPr>
      </w:pPr>
      <w:r w:rsidRPr="007F0CEC">
        <w:rPr>
          <w:rStyle w:val="FootnoteReference"/>
          <w:rFonts w:ascii="Times New Roman" w:hAnsi="Times New Roman"/>
        </w:rPr>
        <w:footnoteRef/>
      </w:r>
      <w:r w:rsidRPr="007F0CEC">
        <w:rPr>
          <w:rFonts w:ascii="Times New Roman" w:hAnsi="Times New Roman"/>
        </w:rPr>
        <w:t xml:space="preserve"> Exhibit No. MJS-12T at 21:1-8.</w:t>
      </w:r>
    </w:p>
  </w:footnote>
  <w:footnote w:id="124">
    <w:p w:rsidR="000570C1" w:rsidRPr="007F0CEC" w:rsidRDefault="000570C1">
      <w:pPr>
        <w:pStyle w:val="FootnoteText"/>
        <w:rPr>
          <w:rFonts w:ascii="Times New Roman" w:hAnsi="Times New Roman"/>
        </w:rPr>
      </w:pPr>
      <w:r w:rsidRPr="007F0CEC">
        <w:rPr>
          <w:rStyle w:val="FootnoteReference"/>
          <w:rFonts w:ascii="Times New Roman" w:hAnsi="Times New Roman"/>
        </w:rPr>
        <w:footnoteRef/>
      </w:r>
      <w:r w:rsidRPr="007F0CEC">
        <w:rPr>
          <w:rFonts w:ascii="Times New Roman" w:hAnsi="Times New Roman"/>
        </w:rPr>
        <w:t xml:space="preserve"> In the Avista Order, the Commission allocated D&amp;O insurance based on the allocation of executive compensation.  Avista Order at ¶137.</w:t>
      </w:r>
      <w:r>
        <w:rPr>
          <w:rFonts w:ascii="Times New Roman" w:hAnsi="Times New Roman"/>
        </w:rPr>
        <w:t xml:space="preserve">  A similar approach would allocate 92.5 percent of D&amp;O insurance to ratepayers and 7.5 percent to shareholders.  Exhibit No. JHS-28 and Tr. 386:17-21 (Stranik).</w:t>
      </w:r>
    </w:p>
  </w:footnote>
  <w:footnote w:id="125">
    <w:p w:rsidR="000570C1" w:rsidRPr="00D1714B" w:rsidRDefault="000570C1" w:rsidP="00E0310F">
      <w:pPr>
        <w:pStyle w:val="FootnoteText"/>
        <w:rPr>
          <w:rFonts w:ascii="Times New Roman" w:hAnsi="Times New Roman"/>
        </w:rPr>
      </w:pPr>
      <w:r w:rsidRPr="00D1714B">
        <w:rPr>
          <w:rStyle w:val="FootnoteReference"/>
          <w:rFonts w:ascii="Times New Roman" w:hAnsi="Times New Roman"/>
        </w:rPr>
        <w:footnoteRef/>
      </w:r>
      <w:r>
        <w:rPr>
          <w:rFonts w:ascii="Times New Roman" w:hAnsi="Times New Roman"/>
        </w:rPr>
        <w:t xml:space="preserve"> Exhibit No. MJS-12T at </w:t>
      </w:r>
      <w:r w:rsidRPr="00D1714B">
        <w:rPr>
          <w:rFonts w:ascii="Times New Roman" w:hAnsi="Times New Roman"/>
        </w:rPr>
        <w:t xml:space="preserve">26:9-10. </w:t>
      </w:r>
    </w:p>
  </w:footnote>
  <w:footnote w:id="126">
    <w:p w:rsidR="000570C1" w:rsidRPr="00D1714B" w:rsidRDefault="000570C1" w:rsidP="00D1714B">
      <w:pPr>
        <w:pStyle w:val="FootnoteText"/>
        <w:rPr>
          <w:rFonts w:ascii="Times New Roman" w:hAnsi="Times New Roman"/>
        </w:rPr>
      </w:pPr>
      <w:r w:rsidRPr="00D1714B">
        <w:rPr>
          <w:rStyle w:val="FootnoteReference"/>
          <w:rFonts w:ascii="Times New Roman" w:hAnsi="Times New Roman"/>
        </w:rPr>
        <w:footnoteRef/>
      </w:r>
      <w:r>
        <w:rPr>
          <w:rFonts w:ascii="Times New Roman" w:hAnsi="Times New Roman"/>
        </w:rPr>
        <w:t xml:space="preserve"> Exhibit No. MJS-12T at 26: 9-16 and </w:t>
      </w:r>
      <w:r w:rsidRPr="00D1714B">
        <w:rPr>
          <w:rFonts w:ascii="Times New Roman" w:hAnsi="Times New Roman"/>
        </w:rPr>
        <w:t xml:space="preserve">Exhibit </w:t>
      </w:r>
      <w:r>
        <w:rPr>
          <w:rFonts w:ascii="Times New Roman" w:hAnsi="Times New Roman"/>
        </w:rPr>
        <w:t>No. TMH-9CT at 27:20-</w:t>
      </w:r>
      <w:r w:rsidRPr="00D1714B">
        <w:rPr>
          <w:rFonts w:ascii="Times New Roman" w:hAnsi="Times New Roman"/>
        </w:rPr>
        <w:t xml:space="preserve">28:1. </w:t>
      </w:r>
    </w:p>
  </w:footnote>
  <w:footnote w:id="127">
    <w:p w:rsidR="000570C1" w:rsidRPr="00D1714B" w:rsidRDefault="000570C1" w:rsidP="00D1714B">
      <w:pPr>
        <w:pStyle w:val="FootnoteText"/>
        <w:rPr>
          <w:rFonts w:ascii="Times New Roman" w:hAnsi="Times New Roman"/>
        </w:rPr>
      </w:pPr>
      <w:r w:rsidRPr="00D1714B">
        <w:rPr>
          <w:rStyle w:val="FootnoteReference"/>
          <w:rFonts w:ascii="Times New Roman" w:hAnsi="Times New Roman"/>
        </w:rPr>
        <w:footnoteRef/>
      </w:r>
      <w:r w:rsidRPr="00D1714B">
        <w:rPr>
          <w:rFonts w:ascii="Times New Roman" w:hAnsi="Times New Roman"/>
        </w:rPr>
        <w:t xml:space="preserve"> Exhibit </w:t>
      </w:r>
      <w:r>
        <w:rPr>
          <w:rFonts w:ascii="Times New Roman" w:hAnsi="Times New Roman"/>
        </w:rPr>
        <w:t xml:space="preserve">No. </w:t>
      </w:r>
      <w:r w:rsidRPr="00D1714B">
        <w:rPr>
          <w:rFonts w:ascii="Times New Roman" w:hAnsi="Times New Roman"/>
        </w:rPr>
        <w:t xml:space="preserve">MJS-20.  </w:t>
      </w:r>
    </w:p>
  </w:footnote>
  <w:footnote w:id="128">
    <w:p w:rsidR="000570C1" w:rsidRPr="00D1714B" w:rsidRDefault="000570C1" w:rsidP="00D1714B">
      <w:pPr>
        <w:pStyle w:val="FootnoteText"/>
        <w:rPr>
          <w:rFonts w:ascii="Times New Roman" w:hAnsi="Times New Roman"/>
        </w:rPr>
      </w:pPr>
      <w:r w:rsidRPr="00D1714B">
        <w:rPr>
          <w:rStyle w:val="FootnoteReference"/>
          <w:rFonts w:ascii="Times New Roman" w:hAnsi="Times New Roman"/>
        </w:rPr>
        <w:footnoteRef/>
      </w:r>
      <w:r w:rsidRPr="00D1714B">
        <w:rPr>
          <w:rFonts w:ascii="Times New Roman" w:hAnsi="Times New Roman"/>
        </w:rPr>
        <w:t xml:space="preserve"> </w:t>
      </w:r>
      <w:r>
        <w:rPr>
          <w:rFonts w:ascii="Times New Roman" w:hAnsi="Times New Roman"/>
        </w:rPr>
        <w:t>Exhibit No. B-3 at Exhibit No.</w:t>
      </w:r>
      <w:r w:rsidRPr="00D1714B">
        <w:rPr>
          <w:rFonts w:ascii="Times New Roman" w:hAnsi="Times New Roman"/>
        </w:rPr>
        <w:t xml:space="preserve"> KHB-2</w:t>
      </w:r>
      <w:r>
        <w:rPr>
          <w:rFonts w:ascii="Times New Roman" w:hAnsi="Times New Roman"/>
        </w:rPr>
        <w:t>, page 2.32 and Exhibit No. KHB-3, page 3.23.</w:t>
      </w:r>
    </w:p>
  </w:footnote>
  <w:footnote w:id="129">
    <w:p w:rsidR="000570C1" w:rsidRPr="00D30BCE" w:rsidRDefault="000570C1" w:rsidP="00D1714B">
      <w:pPr>
        <w:pStyle w:val="FootnoteText"/>
        <w:rPr>
          <w:rFonts w:ascii="Times New Roman" w:hAnsi="Times New Roman"/>
        </w:rPr>
      </w:pPr>
      <w:r w:rsidRPr="00D30BCE">
        <w:rPr>
          <w:rStyle w:val="FootnoteReference"/>
          <w:rFonts w:ascii="Times New Roman" w:hAnsi="Times New Roman"/>
        </w:rPr>
        <w:footnoteRef/>
      </w:r>
      <w:r>
        <w:rPr>
          <w:rFonts w:ascii="Times New Roman" w:hAnsi="Times New Roman"/>
        </w:rPr>
        <w:t xml:space="preserve"> </w:t>
      </w:r>
      <w:r w:rsidRPr="00D30BCE">
        <w:rPr>
          <w:rFonts w:ascii="Times New Roman" w:hAnsi="Times New Roman"/>
        </w:rPr>
        <w:t xml:space="preserve">Exhibit </w:t>
      </w:r>
      <w:r>
        <w:rPr>
          <w:rFonts w:ascii="Times New Roman" w:hAnsi="Times New Roman"/>
        </w:rPr>
        <w:t>No. JH-</w:t>
      </w:r>
      <w:r w:rsidRPr="00D30BCE">
        <w:rPr>
          <w:rFonts w:ascii="Times New Roman" w:hAnsi="Times New Roman"/>
        </w:rPr>
        <w:t>3</w:t>
      </w:r>
      <w:r>
        <w:rPr>
          <w:rFonts w:ascii="Times New Roman" w:hAnsi="Times New Roman"/>
        </w:rPr>
        <w:t xml:space="preserve"> at 4:21-23 and </w:t>
      </w:r>
      <w:r w:rsidRPr="00D30BCE">
        <w:rPr>
          <w:rFonts w:ascii="Times New Roman" w:hAnsi="Times New Roman"/>
        </w:rPr>
        <w:t xml:space="preserve">Exhibit </w:t>
      </w:r>
      <w:r>
        <w:rPr>
          <w:rFonts w:ascii="Times New Roman" w:hAnsi="Times New Roman"/>
        </w:rPr>
        <w:t xml:space="preserve">No. </w:t>
      </w:r>
      <w:r w:rsidRPr="00D30BCE">
        <w:rPr>
          <w:rFonts w:ascii="Times New Roman" w:hAnsi="Times New Roman"/>
        </w:rPr>
        <w:t>MJS-20</w:t>
      </w:r>
      <w:r>
        <w:rPr>
          <w:rFonts w:ascii="Times New Roman" w:hAnsi="Times New Roman"/>
        </w:rPr>
        <w:t xml:space="preserve"> at 1</w:t>
      </w:r>
      <w:r w:rsidRPr="00D30BCE">
        <w:rPr>
          <w:rFonts w:ascii="Times New Roman" w:hAnsi="Times New Roman"/>
        </w:rPr>
        <w:t xml:space="preserve">.  </w:t>
      </w:r>
    </w:p>
  </w:footnote>
  <w:footnote w:id="130">
    <w:p w:rsidR="000570C1" w:rsidRPr="00EE5FB8" w:rsidRDefault="000570C1">
      <w:pPr>
        <w:pStyle w:val="FootnoteText"/>
        <w:rPr>
          <w:rFonts w:ascii="Times New Roman" w:hAnsi="Times New Roman"/>
        </w:rPr>
      </w:pPr>
      <w:r w:rsidRPr="00EE5FB8">
        <w:rPr>
          <w:rStyle w:val="FootnoteReference"/>
          <w:rFonts w:ascii="Times New Roman" w:hAnsi="Times New Roman"/>
        </w:rPr>
        <w:footnoteRef/>
      </w:r>
      <w:r w:rsidRPr="00EE5FB8">
        <w:rPr>
          <w:rFonts w:ascii="Times New Roman" w:hAnsi="Times New Roman"/>
        </w:rPr>
        <w:t xml:space="preserve"> Exhibit No. TMH-20.</w:t>
      </w:r>
    </w:p>
  </w:footnote>
  <w:footnote w:id="131">
    <w:p w:rsidR="000570C1" w:rsidRPr="00EE5FB8" w:rsidRDefault="000570C1" w:rsidP="00D30BCE">
      <w:pPr>
        <w:pStyle w:val="FootnoteText"/>
        <w:rPr>
          <w:rFonts w:ascii="Times New Roman" w:hAnsi="Times New Roman"/>
        </w:rPr>
      </w:pPr>
      <w:r w:rsidRPr="00EE5FB8">
        <w:rPr>
          <w:rStyle w:val="FootnoteReference"/>
          <w:rFonts w:ascii="Times New Roman" w:hAnsi="Times New Roman"/>
        </w:rPr>
        <w:footnoteRef/>
      </w:r>
      <w:r>
        <w:rPr>
          <w:rFonts w:ascii="Times New Roman" w:hAnsi="Times New Roman"/>
        </w:rPr>
        <w:t xml:space="preserve"> Avista Order at </w:t>
      </w:r>
      <w:r w:rsidRPr="00EE5FB8">
        <w:rPr>
          <w:rFonts w:ascii="Times New Roman" w:hAnsi="Times New Roman"/>
        </w:rPr>
        <w:t xml:space="preserve">¶110.  </w:t>
      </w:r>
    </w:p>
  </w:footnote>
  <w:footnote w:id="132">
    <w:p w:rsidR="000570C1" w:rsidRDefault="000570C1">
      <w:pPr>
        <w:pStyle w:val="FootnoteText"/>
      </w:pPr>
      <w:r w:rsidRPr="00ED072E">
        <w:rPr>
          <w:rStyle w:val="FootnoteReference"/>
          <w:rFonts w:ascii="Times New Roman" w:hAnsi="Times New Roman"/>
        </w:rPr>
        <w:footnoteRef/>
      </w:r>
      <w:r w:rsidRPr="00ED072E">
        <w:rPr>
          <w:rFonts w:ascii="Times New Roman" w:hAnsi="Times New Roman"/>
        </w:rPr>
        <w:t xml:space="preserve"> Exhibit No. TMH-20.</w:t>
      </w:r>
    </w:p>
  </w:footnote>
  <w:footnote w:id="133">
    <w:p w:rsidR="000570C1" w:rsidRPr="004D2AE9" w:rsidRDefault="000570C1" w:rsidP="00D30BCE">
      <w:pPr>
        <w:pStyle w:val="FootnoteText"/>
        <w:rPr>
          <w:rFonts w:ascii="Times New Roman" w:hAnsi="Times New Roman"/>
        </w:rPr>
      </w:pPr>
      <w:r w:rsidRPr="004D2AE9">
        <w:rPr>
          <w:rStyle w:val="FootnoteReference"/>
          <w:rFonts w:ascii="Times New Roman" w:hAnsi="Times New Roman"/>
        </w:rPr>
        <w:footnoteRef/>
      </w:r>
      <w:r>
        <w:rPr>
          <w:rFonts w:ascii="Times New Roman" w:hAnsi="Times New Roman"/>
        </w:rPr>
        <w:t xml:space="preserve"> Exhibit No. TMH-20; Tr. 449:23-25 and 458:10-</w:t>
      </w:r>
      <w:r w:rsidRPr="004D2AE9">
        <w:rPr>
          <w:rFonts w:ascii="Times New Roman" w:hAnsi="Times New Roman"/>
        </w:rPr>
        <w:t xml:space="preserve"> 459:12 (Hunt)</w:t>
      </w:r>
      <w:r>
        <w:rPr>
          <w:rFonts w:ascii="Times New Roman" w:hAnsi="Times New Roman"/>
        </w:rPr>
        <w:t>.</w:t>
      </w:r>
    </w:p>
  </w:footnote>
  <w:footnote w:id="134">
    <w:p w:rsidR="000570C1" w:rsidRPr="004D2AE9" w:rsidRDefault="000570C1" w:rsidP="00D30BCE">
      <w:pPr>
        <w:pStyle w:val="FootnoteText"/>
        <w:rPr>
          <w:rFonts w:ascii="Times New Roman" w:hAnsi="Times New Roman"/>
        </w:rPr>
      </w:pPr>
      <w:r w:rsidRPr="004D2AE9">
        <w:rPr>
          <w:rStyle w:val="FootnoteReference"/>
          <w:rFonts w:ascii="Times New Roman" w:hAnsi="Times New Roman"/>
        </w:rPr>
        <w:footnoteRef/>
      </w:r>
      <w:r>
        <w:rPr>
          <w:rFonts w:ascii="Times New Roman" w:hAnsi="Times New Roman"/>
        </w:rPr>
        <w:t xml:space="preserve"> Tr. </w:t>
      </w:r>
      <w:r w:rsidRPr="004D2AE9">
        <w:rPr>
          <w:rFonts w:ascii="Times New Roman" w:hAnsi="Times New Roman"/>
        </w:rPr>
        <w:t>454:15-23 (Hunt)</w:t>
      </w:r>
    </w:p>
  </w:footnote>
  <w:footnote w:id="135">
    <w:p w:rsidR="000570C1" w:rsidRPr="003F2EE3" w:rsidRDefault="000570C1" w:rsidP="003F2EE3">
      <w:pPr>
        <w:pStyle w:val="FootnoteText"/>
        <w:rPr>
          <w:rFonts w:ascii="Times New Roman" w:hAnsi="Times New Roman"/>
        </w:rPr>
      </w:pPr>
      <w:r w:rsidRPr="003F2EE3">
        <w:rPr>
          <w:rStyle w:val="FootnoteReference"/>
          <w:rFonts w:ascii="Times New Roman" w:hAnsi="Times New Roman"/>
        </w:rPr>
        <w:footnoteRef/>
      </w:r>
      <w:r>
        <w:rPr>
          <w:rFonts w:ascii="Times New Roman" w:hAnsi="Times New Roman"/>
        </w:rPr>
        <w:t xml:space="preserve"> Exhibit JH-1T at 7:14-16 and Exhibit No. MJS-12T at </w:t>
      </w:r>
      <w:r w:rsidRPr="003F2EE3">
        <w:rPr>
          <w:rFonts w:ascii="Times New Roman" w:hAnsi="Times New Roman"/>
        </w:rPr>
        <w:t xml:space="preserve">27:12-14.  </w:t>
      </w:r>
    </w:p>
  </w:footnote>
  <w:footnote w:id="136">
    <w:p w:rsidR="000570C1" w:rsidRPr="003F2EE3" w:rsidRDefault="000570C1" w:rsidP="00337772">
      <w:pPr>
        <w:pStyle w:val="FootnoteText"/>
        <w:rPr>
          <w:rFonts w:ascii="Times New Roman" w:hAnsi="Times New Roman"/>
        </w:rPr>
      </w:pPr>
      <w:r w:rsidRPr="003F2EE3">
        <w:rPr>
          <w:rStyle w:val="FootnoteReference"/>
          <w:rFonts w:ascii="Times New Roman" w:hAnsi="Times New Roman"/>
        </w:rPr>
        <w:footnoteRef/>
      </w:r>
      <w:r>
        <w:rPr>
          <w:rFonts w:ascii="Times New Roman" w:hAnsi="Times New Roman"/>
        </w:rPr>
        <w:t xml:space="preserve"> Exhibit No. MJS-12T at </w:t>
      </w:r>
      <w:r w:rsidRPr="003F2EE3">
        <w:rPr>
          <w:rFonts w:ascii="Times New Roman" w:hAnsi="Times New Roman"/>
        </w:rPr>
        <w:t xml:space="preserve">27:15-18.  </w:t>
      </w:r>
    </w:p>
  </w:footnote>
  <w:footnote w:id="137">
    <w:p w:rsidR="000570C1" w:rsidRPr="003F2EE3" w:rsidRDefault="000570C1" w:rsidP="00337772">
      <w:pPr>
        <w:pStyle w:val="FootnoteText"/>
        <w:rPr>
          <w:rFonts w:ascii="Times New Roman" w:hAnsi="Times New Roman"/>
        </w:rPr>
      </w:pPr>
      <w:r w:rsidRPr="003F2EE3">
        <w:rPr>
          <w:rStyle w:val="FootnoteReference"/>
          <w:rFonts w:ascii="Times New Roman" w:hAnsi="Times New Roman"/>
        </w:rPr>
        <w:footnoteRef/>
      </w:r>
      <w:r w:rsidRPr="003F2EE3">
        <w:rPr>
          <w:rFonts w:ascii="Times New Roman" w:hAnsi="Times New Roman"/>
        </w:rPr>
        <w:t xml:space="preserve"> Exhibit </w:t>
      </w:r>
      <w:r>
        <w:rPr>
          <w:rFonts w:ascii="Times New Roman" w:hAnsi="Times New Roman"/>
        </w:rPr>
        <w:t xml:space="preserve">No. MJS-12T at </w:t>
      </w:r>
      <w:r w:rsidRPr="003F2EE3">
        <w:rPr>
          <w:rFonts w:ascii="Times New Roman" w:hAnsi="Times New Roman"/>
        </w:rPr>
        <w:t>27:18-19.</w:t>
      </w:r>
    </w:p>
  </w:footnote>
  <w:footnote w:id="138">
    <w:p w:rsidR="000570C1" w:rsidRPr="00DE2836" w:rsidRDefault="000570C1" w:rsidP="00DE2836">
      <w:pPr>
        <w:pStyle w:val="FootnoteText"/>
        <w:rPr>
          <w:rFonts w:ascii="Times New Roman" w:hAnsi="Times New Roman"/>
        </w:rPr>
      </w:pPr>
      <w:r w:rsidRPr="00DE2836">
        <w:rPr>
          <w:rStyle w:val="FootnoteReference"/>
          <w:rFonts w:ascii="Times New Roman" w:hAnsi="Times New Roman"/>
        </w:rPr>
        <w:footnoteRef/>
      </w:r>
      <w:r w:rsidRPr="00DE2836">
        <w:rPr>
          <w:rFonts w:ascii="Times New Roman" w:hAnsi="Times New Roman"/>
        </w:rPr>
        <w:t xml:space="preserve"> Exhibit No. RCM-1T at 12:6-16:17 and Exhibit No. RCM-2.  </w:t>
      </w:r>
    </w:p>
  </w:footnote>
  <w:footnote w:id="139">
    <w:p w:rsidR="000570C1" w:rsidRPr="00DE2836" w:rsidRDefault="000570C1" w:rsidP="00DE2836">
      <w:pPr>
        <w:pStyle w:val="FootnoteText"/>
        <w:rPr>
          <w:rFonts w:ascii="Times New Roman" w:hAnsi="Times New Roman"/>
        </w:rPr>
      </w:pPr>
      <w:r w:rsidRPr="00DE2836">
        <w:rPr>
          <w:rStyle w:val="FootnoteReference"/>
          <w:rFonts w:ascii="Times New Roman" w:hAnsi="Times New Roman"/>
        </w:rPr>
        <w:footnoteRef/>
      </w:r>
      <w:r w:rsidRPr="00DE2836">
        <w:rPr>
          <w:rFonts w:ascii="Times New Roman" w:hAnsi="Times New Roman"/>
        </w:rPr>
        <w:t xml:space="preserve"> </w:t>
      </w:r>
      <w:r w:rsidRPr="00DE2836">
        <w:rPr>
          <w:rFonts w:ascii="Times New Roman" w:hAnsi="Times New Roman"/>
          <w:i/>
        </w:rPr>
        <w:t>WUTC v. Puget Sound Energy, Inc.</w:t>
      </w:r>
      <w:r w:rsidRPr="00DE2836">
        <w:rPr>
          <w:rFonts w:ascii="Times New Roman" w:hAnsi="Times New Roman"/>
        </w:rPr>
        <w:t>, Dockets UE-040641 and UG-040640, Order 06 at ¶27 (February 18, 2007).</w:t>
      </w:r>
    </w:p>
  </w:footnote>
  <w:footnote w:id="140">
    <w:p w:rsidR="000570C1" w:rsidRPr="00DE2836" w:rsidRDefault="000570C1" w:rsidP="00DE2836">
      <w:pPr>
        <w:pStyle w:val="FootnoteText"/>
        <w:rPr>
          <w:rFonts w:ascii="Times New Roman" w:hAnsi="Times New Roman"/>
        </w:rPr>
      </w:pPr>
      <w:r w:rsidRPr="00DE2836">
        <w:rPr>
          <w:rStyle w:val="FootnoteReference"/>
          <w:rFonts w:ascii="Times New Roman" w:hAnsi="Times New Roman"/>
        </w:rPr>
        <w:footnoteRef/>
      </w:r>
      <w:r w:rsidRPr="00DE2836">
        <w:rPr>
          <w:rFonts w:ascii="Times New Roman" w:hAnsi="Times New Roman"/>
        </w:rPr>
        <w:t xml:space="preserve"> Exhibit No. MRM-4T at 37:16-38:2 and Tr.  462:12-22 (Marcelia).</w:t>
      </w:r>
    </w:p>
  </w:footnote>
  <w:footnote w:id="141">
    <w:p w:rsidR="000570C1" w:rsidRPr="00DE2836" w:rsidRDefault="000570C1" w:rsidP="00DE2836">
      <w:pPr>
        <w:pStyle w:val="FootnoteText"/>
        <w:rPr>
          <w:rFonts w:ascii="Times New Roman" w:hAnsi="Times New Roman"/>
        </w:rPr>
      </w:pPr>
      <w:r w:rsidRPr="00DE2836">
        <w:rPr>
          <w:rStyle w:val="FootnoteReference"/>
          <w:rFonts w:ascii="Times New Roman" w:hAnsi="Times New Roman"/>
        </w:rPr>
        <w:footnoteRef/>
      </w:r>
      <w:r w:rsidRPr="00DE2836">
        <w:rPr>
          <w:rFonts w:ascii="Times New Roman" w:hAnsi="Times New Roman"/>
        </w:rPr>
        <w:t xml:space="preserve"> Exhibit No. MRM-8.  </w:t>
      </w:r>
    </w:p>
  </w:footnote>
  <w:footnote w:id="142">
    <w:p w:rsidR="000570C1" w:rsidRPr="00DE2836" w:rsidRDefault="000570C1" w:rsidP="00DE2836">
      <w:pPr>
        <w:pStyle w:val="FootnoteText"/>
        <w:rPr>
          <w:rFonts w:ascii="Times New Roman" w:hAnsi="Times New Roman"/>
        </w:rPr>
      </w:pPr>
      <w:r w:rsidRPr="00DE2836">
        <w:rPr>
          <w:rStyle w:val="FootnoteReference"/>
          <w:rFonts w:ascii="Times New Roman" w:hAnsi="Times New Roman"/>
        </w:rPr>
        <w:footnoteRef/>
      </w:r>
      <w:r w:rsidRPr="00DE2836">
        <w:rPr>
          <w:rFonts w:ascii="Times New Roman" w:hAnsi="Times New Roman"/>
        </w:rPr>
        <w:t xml:space="preserve"> Tr. 462:23-463:12 (Marcelia).</w:t>
      </w:r>
    </w:p>
  </w:footnote>
  <w:footnote w:id="143">
    <w:p w:rsidR="000570C1" w:rsidRPr="00DE2836" w:rsidRDefault="000570C1" w:rsidP="00DE2836">
      <w:pPr>
        <w:pStyle w:val="FootnoteText"/>
        <w:rPr>
          <w:rFonts w:ascii="Times New Roman" w:hAnsi="Times New Roman"/>
        </w:rPr>
      </w:pPr>
      <w:r w:rsidRPr="00DE2836">
        <w:rPr>
          <w:rStyle w:val="FootnoteReference"/>
          <w:rFonts w:ascii="Times New Roman" w:hAnsi="Times New Roman"/>
        </w:rPr>
        <w:footnoteRef/>
      </w:r>
      <w:r w:rsidRPr="00DE2836">
        <w:rPr>
          <w:rFonts w:ascii="Times New Roman" w:hAnsi="Times New Roman"/>
        </w:rPr>
        <w:t xml:space="preserve"> Exhibit No. RCM-2. </w:t>
      </w:r>
    </w:p>
  </w:footnote>
  <w:footnote w:id="144">
    <w:p w:rsidR="000570C1" w:rsidRPr="00796A45" w:rsidRDefault="000570C1" w:rsidP="00DE2836">
      <w:pPr>
        <w:pStyle w:val="FootnoteText"/>
        <w:rPr>
          <w:rFonts w:ascii="Times New Roman" w:hAnsi="Times New Roman"/>
        </w:rPr>
      </w:pPr>
      <w:r w:rsidRPr="00796A45">
        <w:rPr>
          <w:rStyle w:val="FootnoteReference"/>
          <w:rFonts w:ascii="Times New Roman" w:hAnsi="Times New Roman"/>
        </w:rPr>
        <w:footnoteRef/>
      </w:r>
      <w:r w:rsidRPr="00796A45">
        <w:rPr>
          <w:rFonts w:ascii="Times New Roman" w:hAnsi="Times New Roman"/>
        </w:rPr>
        <w:t xml:space="preserve"> </w:t>
      </w:r>
      <w:r w:rsidRPr="00796A45">
        <w:rPr>
          <w:rFonts w:ascii="Times New Roman" w:hAnsi="Times New Roman"/>
          <w:i/>
        </w:rPr>
        <w:t xml:space="preserve">WUTC v. Puget Sound Energy, Inc., </w:t>
      </w:r>
      <w:r w:rsidRPr="00796A45">
        <w:rPr>
          <w:rFonts w:ascii="Times New Roman" w:hAnsi="Times New Roman"/>
        </w:rPr>
        <w:t xml:space="preserve">Dockets </w:t>
      </w:r>
      <w:r>
        <w:rPr>
          <w:rFonts w:ascii="Times New Roman" w:hAnsi="Times New Roman"/>
        </w:rPr>
        <w:t>UE-040641 and UG-040640</w:t>
      </w:r>
      <w:r w:rsidRPr="00796A45">
        <w:rPr>
          <w:rFonts w:ascii="Times New Roman" w:hAnsi="Times New Roman"/>
        </w:rPr>
        <w:t>, Order No. 06 at ¶159 (Feb</w:t>
      </w:r>
      <w:r>
        <w:rPr>
          <w:rFonts w:ascii="Times New Roman" w:hAnsi="Times New Roman"/>
        </w:rPr>
        <w:t>ruary </w:t>
      </w:r>
      <w:r w:rsidRPr="00796A45">
        <w:rPr>
          <w:rFonts w:ascii="Times New Roman" w:hAnsi="Times New Roman"/>
        </w:rPr>
        <w:t xml:space="preserve">18, 2005).  </w:t>
      </w:r>
    </w:p>
  </w:footnote>
  <w:footnote w:id="145">
    <w:p w:rsidR="000570C1" w:rsidRPr="00796A45" w:rsidRDefault="000570C1" w:rsidP="00DE2836">
      <w:pPr>
        <w:pStyle w:val="FootnoteText"/>
        <w:rPr>
          <w:rFonts w:ascii="Times New Roman" w:hAnsi="Times New Roman"/>
        </w:rPr>
      </w:pPr>
      <w:r w:rsidRPr="00796A45">
        <w:rPr>
          <w:rStyle w:val="FootnoteReference"/>
          <w:rFonts w:ascii="Times New Roman" w:hAnsi="Times New Roman"/>
        </w:rPr>
        <w:footnoteRef/>
      </w:r>
      <w:r w:rsidRPr="00796A45">
        <w:rPr>
          <w:rFonts w:ascii="Times New Roman" w:hAnsi="Times New Roman"/>
        </w:rPr>
        <w:t xml:space="preserve"> </w:t>
      </w:r>
      <w:r w:rsidRPr="00796A45">
        <w:rPr>
          <w:rFonts w:ascii="Times New Roman" w:hAnsi="Times New Roman"/>
          <w:i/>
        </w:rPr>
        <w:t>In the Matter of the P</w:t>
      </w:r>
      <w:r>
        <w:rPr>
          <w:rFonts w:ascii="Times New Roman" w:hAnsi="Times New Roman"/>
          <w:i/>
        </w:rPr>
        <w:t xml:space="preserve">etition of Puget Sound Energy, </w:t>
      </w:r>
      <w:r w:rsidRPr="00796A45">
        <w:rPr>
          <w:rFonts w:ascii="Times New Roman" w:hAnsi="Times New Roman"/>
        </w:rPr>
        <w:t>Dockets UE-051527 and UG-051528, Order No. 01 (Oct</w:t>
      </w:r>
      <w:r>
        <w:rPr>
          <w:rFonts w:ascii="Times New Roman" w:hAnsi="Times New Roman"/>
        </w:rPr>
        <w:t>ober</w:t>
      </w:r>
      <w:r w:rsidRPr="00796A45">
        <w:rPr>
          <w:rFonts w:ascii="Times New Roman" w:hAnsi="Times New Roman"/>
        </w:rPr>
        <w:t xml:space="preserve"> 26, 2005).</w:t>
      </w:r>
    </w:p>
  </w:footnote>
  <w:footnote w:id="146">
    <w:p w:rsidR="000570C1" w:rsidRPr="00796A45" w:rsidRDefault="000570C1" w:rsidP="00DE2836">
      <w:pPr>
        <w:pStyle w:val="FootnoteText"/>
        <w:rPr>
          <w:rFonts w:ascii="Times New Roman" w:hAnsi="Times New Roman"/>
        </w:rPr>
      </w:pPr>
      <w:r w:rsidRPr="00796A45">
        <w:rPr>
          <w:rStyle w:val="FootnoteReference"/>
          <w:rFonts w:ascii="Times New Roman" w:hAnsi="Times New Roman"/>
        </w:rPr>
        <w:footnoteRef/>
      </w:r>
      <w:r w:rsidRPr="00796A45">
        <w:rPr>
          <w:rFonts w:ascii="Times New Roman" w:hAnsi="Times New Roman"/>
        </w:rPr>
        <w:t xml:space="preserve"> </w:t>
      </w:r>
      <w:r w:rsidRPr="00796A45">
        <w:rPr>
          <w:rFonts w:ascii="Times New Roman" w:hAnsi="Times New Roman"/>
          <w:i/>
        </w:rPr>
        <w:t>WUTC v. Puget Sound Energy, Inc.,</w:t>
      </w:r>
      <w:r w:rsidRPr="00796A45">
        <w:rPr>
          <w:rFonts w:ascii="Times New Roman" w:hAnsi="Times New Roman"/>
        </w:rPr>
        <w:t xml:space="preserve"> Dockets UE-060266 and UG-060267, Order No. 08 (Jan</w:t>
      </w:r>
      <w:r>
        <w:rPr>
          <w:rFonts w:ascii="Times New Roman" w:hAnsi="Times New Roman"/>
        </w:rPr>
        <w:t xml:space="preserve">uary </w:t>
      </w:r>
      <w:r w:rsidRPr="00796A45">
        <w:rPr>
          <w:rFonts w:ascii="Times New Roman" w:hAnsi="Times New Roman"/>
        </w:rPr>
        <w:t>5, 2007</w:t>
      </w:r>
      <w:r>
        <w:rPr>
          <w:rFonts w:ascii="Times New Roman" w:hAnsi="Times New Roman"/>
        </w:rPr>
        <w:t>).</w:t>
      </w:r>
    </w:p>
  </w:footnote>
  <w:footnote w:id="147">
    <w:p w:rsidR="000570C1" w:rsidRPr="00796A45" w:rsidRDefault="000570C1" w:rsidP="00DE2836">
      <w:pPr>
        <w:pStyle w:val="FootnoteText"/>
        <w:rPr>
          <w:rFonts w:ascii="Times New Roman" w:hAnsi="Times New Roman"/>
        </w:rPr>
      </w:pPr>
      <w:r w:rsidRPr="00796A45">
        <w:rPr>
          <w:rStyle w:val="FootnoteReference"/>
          <w:rFonts w:ascii="Times New Roman" w:hAnsi="Times New Roman"/>
        </w:rPr>
        <w:footnoteRef/>
      </w:r>
      <w:r>
        <w:rPr>
          <w:rFonts w:ascii="Times New Roman" w:hAnsi="Times New Roman"/>
        </w:rPr>
        <w:t xml:space="preserve"> Tr.</w:t>
      </w:r>
      <w:r w:rsidRPr="00796A45">
        <w:rPr>
          <w:rFonts w:ascii="Times New Roman" w:hAnsi="Times New Roman"/>
        </w:rPr>
        <w:t xml:space="preserve"> 512:9-24 (Marcelia).</w:t>
      </w:r>
    </w:p>
  </w:footnote>
  <w:footnote w:id="148">
    <w:p w:rsidR="000570C1" w:rsidRPr="00D84803" w:rsidRDefault="000570C1">
      <w:pPr>
        <w:pStyle w:val="FootnoteText"/>
        <w:rPr>
          <w:rFonts w:ascii="Times New Roman" w:hAnsi="Times New Roman"/>
        </w:rPr>
      </w:pPr>
      <w:r w:rsidRPr="00D84803">
        <w:rPr>
          <w:rStyle w:val="FootnoteReference"/>
          <w:rFonts w:ascii="Times New Roman" w:hAnsi="Times New Roman"/>
        </w:rPr>
        <w:footnoteRef/>
      </w:r>
      <w:r>
        <w:rPr>
          <w:rFonts w:ascii="Times New Roman" w:hAnsi="Times New Roman"/>
        </w:rPr>
        <w:t xml:space="preserve"> Compare Exhibit No. B</w:t>
      </w:r>
      <w:r w:rsidRPr="00D84803">
        <w:rPr>
          <w:rFonts w:ascii="Times New Roman" w:hAnsi="Times New Roman"/>
        </w:rPr>
        <w:t>-2 at Attachment C, page 2.10</w:t>
      </w:r>
      <w:r>
        <w:rPr>
          <w:rFonts w:ascii="Times New Roman" w:hAnsi="Times New Roman"/>
        </w:rPr>
        <w:t>(A), line 18 with Exhibit No. B</w:t>
      </w:r>
      <w:r w:rsidRPr="00D84803">
        <w:rPr>
          <w:rFonts w:ascii="Times New Roman" w:hAnsi="Times New Roman"/>
        </w:rPr>
        <w:t>-3 at Exhibit No. KHB-2, page 2.10, line 18.</w:t>
      </w:r>
    </w:p>
  </w:footnote>
  <w:footnote w:id="149">
    <w:p w:rsidR="000570C1" w:rsidRPr="007B1518" w:rsidRDefault="000570C1">
      <w:pPr>
        <w:pStyle w:val="FootnoteText"/>
        <w:rPr>
          <w:rFonts w:ascii="Times New Roman" w:hAnsi="Times New Roman"/>
        </w:rPr>
      </w:pPr>
      <w:r w:rsidRPr="007B1518">
        <w:rPr>
          <w:rStyle w:val="FootnoteReference"/>
          <w:rFonts w:ascii="Times New Roman" w:hAnsi="Times New Roman"/>
        </w:rPr>
        <w:footnoteRef/>
      </w:r>
      <w:r>
        <w:rPr>
          <w:rFonts w:ascii="Times New Roman" w:hAnsi="Times New Roman"/>
        </w:rPr>
        <w:t xml:space="preserve"> Exhibit No. JHS-29, part a.  The AICPA Guide for Airlines is incorporated into the Financial Accounting Standards Board Accounting Standards Codification Section 908, Airlines.  Exhibit No. KHB-1TC at 9:19-21.  The AICPA Guide for Airlines defines “major maintenance” as a significant overhaul or maintenance of plant and equipment.  Exhibit No. KHB-1TC at 10:1-3.</w:t>
      </w:r>
    </w:p>
  </w:footnote>
  <w:footnote w:id="150">
    <w:p w:rsidR="000570C1" w:rsidRPr="000F7836" w:rsidRDefault="000570C1">
      <w:pPr>
        <w:pStyle w:val="FootnoteText"/>
        <w:rPr>
          <w:rFonts w:ascii="Times New Roman" w:hAnsi="Times New Roman"/>
        </w:rPr>
      </w:pPr>
      <w:r w:rsidRPr="000F7836">
        <w:rPr>
          <w:rStyle w:val="FootnoteReference"/>
          <w:rFonts w:ascii="Times New Roman" w:hAnsi="Times New Roman"/>
        </w:rPr>
        <w:footnoteRef/>
      </w:r>
      <w:r w:rsidRPr="000F7836">
        <w:rPr>
          <w:rFonts w:ascii="Times New Roman" w:hAnsi="Times New Roman"/>
        </w:rPr>
        <w:t xml:space="preserve"> Exhibit No. KHB-1TC at 14:15-19 and 16:21-17:1.</w:t>
      </w:r>
    </w:p>
  </w:footnote>
  <w:footnote w:id="151">
    <w:p w:rsidR="000570C1" w:rsidRPr="002E0481" w:rsidRDefault="000570C1">
      <w:pPr>
        <w:pStyle w:val="FootnoteText"/>
        <w:rPr>
          <w:rFonts w:ascii="Times New Roman" w:hAnsi="Times New Roman"/>
        </w:rPr>
      </w:pPr>
      <w:r w:rsidRPr="002E0481">
        <w:rPr>
          <w:rStyle w:val="FootnoteReference"/>
          <w:rFonts w:ascii="Times New Roman" w:hAnsi="Times New Roman"/>
        </w:rPr>
        <w:footnoteRef/>
      </w:r>
      <w:r w:rsidRPr="002E0481">
        <w:rPr>
          <w:rFonts w:ascii="Times New Roman" w:hAnsi="Times New Roman"/>
        </w:rPr>
        <w:t xml:space="preserve"> Exhibit No. LEO-13CT at 4:3-9</w:t>
      </w:r>
      <w:r>
        <w:rPr>
          <w:rFonts w:ascii="Times New Roman" w:hAnsi="Times New Roman"/>
        </w:rPr>
        <w:t xml:space="preserve"> and Tr. 789:1-14 (Odom).</w:t>
      </w:r>
    </w:p>
  </w:footnote>
  <w:footnote w:id="152">
    <w:p w:rsidR="000570C1" w:rsidRPr="004270E1" w:rsidRDefault="000570C1">
      <w:pPr>
        <w:pStyle w:val="FootnoteText"/>
        <w:rPr>
          <w:rFonts w:ascii="Times New Roman" w:hAnsi="Times New Roman"/>
        </w:rPr>
      </w:pPr>
      <w:r w:rsidRPr="004270E1">
        <w:rPr>
          <w:rStyle w:val="FootnoteReference"/>
          <w:rFonts w:ascii="Times New Roman" w:hAnsi="Times New Roman"/>
        </w:rPr>
        <w:footnoteRef/>
      </w:r>
      <w:r w:rsidRPr="004270E1">
        <w:rPr>
          <w:rFonts w:ascii="Times New Roman" w:hAnsi="Times New Roman"/>
        </w:rPr>
        <w:t xml:space="preserve"> Tr. 794</w:t>
      </w:r>
      <w:r>
        <w:rPr>
          <w:rFonts w:ascii="Times New Roman" w:hAnsi="Times New Roman"/>
        </w:rPr>
        <w:t xml:space="preserve">:16-23 (Odom) and Tr. 795:15-796:1 (Odom), and Exhibit No. LEO-16, part d. </w:t>
      </w:r>
    </w:p>
  </w:footnote>
  <w:footnote w:id="153">
    <w:p w:rsidR="000570C1" w:rsidRDefault="000570C1">
      <w:pPr>
        <w:pStyle w:val="FootnoteText"/>
      </w:pPr>
      <w:r w:rsidRPr="00046393">
        <w:rPr>
          <w:rStyle w:val="FootnoteReference"/>
          <w:rFonts w:ascii="Times New Roman" w:hAnsi="Times New Roman"/>
        </w:rPr>
        <w:footnoteRef/>
      </w:r>
      <w:r w:rsidRPr="00046393">
        <w:rPr>
          <w:rFonts w:ascii="Times New Roman" w:hAnsi="Times New Roman"/>
        </w:rPr>
        <w:t xml:space="preserve"> </w:t>
      </w:r>
      <w:r w:rsidRPr="00C46002">
        <w:rPr>
          <w:rFonts w:ascii="Times New Roman" w:hAnsi="Times New Roman"/>
          <w:i/>
          <w:iCs/>
        </w:rPr>
        <w:t>Re Puget Sound Power &amp; Light Co</w:t>
      </w:r>
      <w:r>
        <w:rPr>
          <w:rFonts w:ascii="Times New Roman" w:hAnsi="Times New Roman"/>
        </w:rPr>
        <w:t xml:space="preserve">., Dockets </w:t>
      </w:r>
      <w:r w:rsidRPr="00C46002">
        <w:rPr>
          <w:rFonts w:ascii="Times New Roman" w:hAnsi="Times New Roman"/>
        </w:rPr>
        <w:t>UE-920433, 920499 and 921262</w:t>
      </w:r>
      <w:r>
        <w:rPr>
          <w:rFonts w:ascii="Times New Roman" w:hAnsi="Times New Roman"/>
        </w:rPr>
        <w:t xml:space="preserve">, </w:t>
      </w:r>
      <w:r w:rsidRPr="00C46002">
        <w:rPr>
          <w:rFonts w:ascii="Times New Roman" w:hAnsi="Times New Roman"/>
        </w:rPr>
        <w:t>11</w:t>
      </w:r>
      <w:r w:rsidRPr="00C46002">
        <w:rPr>
          <w:rFonts w:ascii="Times New Roman" w:hAnsi="Times New Roman"/>
          <w:vertAlign w:val="superscript"/>
        </w:rPr>
        <w:t>th</w:t>
      </w:r>
      <w:r>
        <w:rPr>
          <w:rFonts w:ascii="Times New Roman" w:hAnsi="Times New Roman"/>
        </w:rPr>
        <w:t xml:space="preserve"> Supp. Order </w:t>
      </w:r>
      <w:r w:rsidRPr="00C46002">
        <w:rPr>
          <w:rFonts w:ascii="Times New Roman" w:hAnsi="Times New Roman"/>
        </w:rPr>
        <w:t xml:space="preserve">at 53 </w:t>
      </w:r>
      <w:r>
        <w:rPr>
          <w:rFonts w:ascii="Times New Roman" w:hAnsi="Times New Roman"/>
        </w:rPr>
        <w:t>(</w:t>
      </w:r>
      <w:r w:rsidR="001F3967">
        <w:rPr>
          <w:rFonts w:ascii="Times New Roman" w:hAnsi="Times New Roman"/>
        </w:rPr>
        <w:t xml:space="preserve">September 21, </w:t>
      </w:r>
      <w:r>
        <w:rPr>
          <w:rFonts w:ascii="Times New Roman" w:hAnsi="Times New Roman"/>
        </w:rPr>
        <w:t xml:space="preserve">1993) </w:t>
      </w:r>
      <w:r w:rsidRPr="00C46002">
        <w:rPr>
          <w:rFonts w:ascii="Times New Roman" w:hAnsi="Times New Roman"/>
        </w:rPr>
        <w:t xml:space="preserve">(rejecting deferred accounting of costs without a Commission order approving same) and </w:t>
      </w:r>
      <w:r w:rsidRPr="00C46002">
        <w:rPr>
          <w:rFonts w:ascii="Times New Roman" w:hAnsi="Times New Roman"/>
          <w:i/>
          <w:iCs/>
        </w:rPr>
        <w:t>Re Pacific Power &amp; Light Co</w:t>
      </w:r>
      <w:r w:rsidRPr="00C46002">
        <w:rPr>
          <w:rFonts w:ascii="Times New Roman" w:hAnsi="Times New Roman"/>
        </w:rPr>
        <w:t>., Cause Nos. U-82-12 and U-82-</w:t>
      </w:r>
      <w:r>
        <w:rPr>
          <w:rFonts w:ascii="Times New Roman" w:hAnsi="Times New Roman"/>
        </w:rPr>
        <w:t xml:space="preserve">35, </w:t>
      </w:r>
      <w:r w:rsidRPr="00C46002">
        <w:rPr>
          <w:rFonts w:ascii="Times New Roman" w:hAnsi="Times New Roman"/>
        </w:rPr>
        <w:t>4</w:t>
      </w:r>
      <w:r w:rsidRPr="00C46002">
        <w:rPr>
          <w:rFonts w:ascii="Times New Roman" w:hAnsi="Times New Roman"/>
          <w:vertAlign w:val="superscript"/>
        </w:rPr>
        <w:t>th</w:t>
      </w:r>
      <w:r w:rsidRPr="00C46002">
        <w:rPr>
          <w:rFonts w:ascii="Times New Roman" w:hAnsi="Times New Roman"/>
        </w:rPr>
        <w:t xml:space="preserve"> Supp. Order</w:t>
      </w:r>
      <w:r>
        <w:rPr>
          <w:rFonts w:ascii="Times New Roman" w:hAnsi="Times New Roman"/>
        </w:rPr>
        <w:t xml:space="preserve"> at 23-24 (</w:t>
      </w:r>
      <w:r w:rsidR="001F3967">
        <w:rPr>
          <w:rFonts w:ascii="Times New Roman" w:hAnsi="Times New Roman"/>
        </w:rPr>
        <w:t xml:space="preserve">February 1, </w:t>
      </w:r>
      <w:r>
        <w:rPr>
          <w:rFonts w:ascii="Times New Roman" w:hAnsi="Times New Roman"/>
        </w:rPr>
        <w:t xml:space="preserve">1983) </w:t>
      </w:r>
      <w:r w:rsidRPr="00C46002">
        <w:rPr>
          <w:rFonts w:ascii="Times New Roman" w:hAnsi="Times New Roman"/>
        </w:rPr>
        <w:t>(rejecting deferred accounting of expenses into capital accounts to the extent the company failed to achieve its authorized return). </w:t>
      </w:r>
    </w:p>
  </w:footnote>
  <w:footnote w:id="154">
    <w:p w:rsidR="000570C1" w:rsidRPr="00CC6917" w:rsidRDefault="000570C1">
      <w:pPr>
        <w:pStyle w:val="FootnoteText"/>
        <w:rPr>
          <w:rFonts w:ascii="Times New Roman" w:hAnsi="Times New Roman"/>
        </w:rPr>
      </w:pPr>
      <w:r w:rsidRPr="00CC6917">
        <w:rPr>
          <w:rStyle w:val="FootnoteReference"/>
          <w:rFonts w:ascii="Times New Roman" w:hAnsi="Times New Roman"/>
        </w:rPr>
        <w:footnoteRef/>
      </w:r>
      <w:r w:rsidRPr="00CC6917">
        <w:rPr>
          <w:rFonts w:ascii="Times New Roman" w:hAnsi="Times New Roman"/>
        </w:rPr>
        <w:t xml:space="preserve"> Exhibit No. KHB-1TC at 17:16-20.</w:t>
      </w:r>
    </w:p>
  </w:footnote>
  <w:footnote w:id="155">
    <w:p w:rsidR="000570C1" w:rsidRPr="00D035B6" w:rsidRDefault="000570C1">
      <w:pPr>
        <w:pStyle w:val="FootnoteText"/>
        <w:rPr>
          <w:rFonts w:ascii="Times New Roman" w:hAnsi="Times New Roman"/>
        </w:rPr>
      </w:pPr>
      <w:r w:rsidRPr="00FD4FFD">
        <w:rPr>
          <w:rStyle w:val="FootnoteReference"/>
          <w:rFonts w:ascii="Times New Roman" w:hAnsi="Times New Roman"/>
        </w:rPr>
        <w:footnoteRef/>
      </w:r>
      <w:r w:rsidRPr="00FD4FFD">
        <w:rPr>
          <w:rFonts w:ascii="Times New Roman" w:hAnsi="Times New Roman"/>
        </w:rPr>
        <w:t xml:space="preserve"> </w:t>
      </w:r>
      <w:r>
        <w:rPr>
          <w:rFonts w:ascii="Times New Roman" w:hAnsi="Times New Roman"/>
        </w:rPr>
        <w:t xml:space="preserve">Financial Accounting Standards Board, Accounting Standards Codification Section 980, Regulated Operations (previously, </w:t>
      </w:r>
      <w:r w:rsidRPr="00FD4FFD">
        <w:rPr>
          <w:rFonts w:ascii="Times New Roman" w:hAnsi="Times New Roman"/>
        </w:rPr>
        <w:t>Statement</w:t>
      </w:r>
      <w:r>
        <w:rPr>
          <w:rFonts w:ascii="Times New Roman" w:hAnsi="Times New Roman"/>
        </w:rPr>
        <w:t xml:space="preserve"> of Financial Accounting Standards No</w:t>
      </w:r>
      <w:r w:rsidRPr="00FD4FFD">
        <w:rPr>
          <w:rFonts w:ascii="Times New Roman" w:hAnsi="Times New Roman"/>
        </w:rPr>
        <w:t>. 71, Accounting for the Effects of Certain Types of Regulation</w:t>
      </w:r>
      <w:r>
        <w:rPr>
          <w:rFonts w:ascii="Times New Roman" w:hAnsi="Times New Roman"/>
        </w:rPr>
        <w:t>).</w:t>
      </w:r>
    </w:p>
  </w:footnote>
  <w:footnote w:id="156">
    <w:p w:rsidR="000570C1" w:rsidRPr="00427592" w:rsidRDefault="000570C1">
      <w:pPr>
        <w:pStyle w:val="FootnoteText"/>
        <w:rPr>
          <w:rFonts w:ascii="Times New Roman" w:hAnsi="Times New Roman"/>
        </w:rPr>
      </w:pPr>
      <w:r w:rsidRPr="00427592">
        <w:rPr>
          <w:rStyle w:val="FootnoteReference"/>
          <w:rFonts w:ascii="Times New Roman" w:hAnsi="Times New Roman"/>
        </w:rPr>
        <w:footnoteRef/>
      </w:r>
      <w:r w:rsidRPr="00427592">
        <w:rPr>
          <w:rFonts w:ascii="Times New Roman" w:hAnsi="Times New Roman"/>
        </w:rPr>
        <w:t xml:space="preserve"> This administrative bur</w:t>
      </w:r>
      <w:r>
        <w:rPr>
          <w:rFonts w:ascii="Times New Roman" w:hAnsi="Times New Roman"/>
        </w:rPr>
        <w:t xml:space="preserve">den </w:t>
      </w:r>
      <w:r w:rsidRPr="00427592">
        <w:rPr>
          <w:rFonts w:ascii="Times New Roman" w:hAnsi="Times New Roman"/>
        </w:rPr>
        <w:t>results from the specific process contem</w:t>
      </w:r>
      <w:r>
        <w:rPr>
          <w:rFonts w:ascii="Times New Roman" w:hAnsi="Times New Roman"/>
        </w:rPr>
        <w:t>plated by PSE</w:t>
      </w:r>
      <w:r w:rsidRPr="00427592">
        <w:rPr>
          <w:rFonts w:ascii="Times New Roman" w:hAnsi="Times New Roman"/>
        </w:rPr>
        <w:t>.  Exhibit No. LEO-16, part d.</w:t>
      </w:r>
      <w:r>
        <w:rPr>
          <w:rFonts w:ascii="Times New Roman" w:hAnsi="Times New Roman"/>
        </w:rPr>
        <w:t xml:space="preserve">  PSE will </w:t>
      </w:r>
      <w:r w:rsidRPr="00427592">
        <w:rPr>
          <w:rFonts w:ascii="Times New Roman" w:hAnsi="Times New Roman"/>
        </w:rPr>
        <w:t>determine an amortization period for each major maintenance event f</w:t>
      </w:r>
      <w:r>
        <w:rPr>
          <w:rFonts w:ascii="Times New Roman" w:hAnsi="Times New Roman"/>
        </w:rPr>
        <w:t xml:space="preserve">or each facility.  This </w:t>
      </w:r>
      <w:r w:rsidRPr="00427592">
        <w:rPr>
          <w:rFonts w:ascii="Times New Roman" w:hAnsi="Times New Roman"/>
        </w:rPr>
        <w:t xml:space="preserve">will require the Commission to </w:t>
      </w:r>
      <w:r>
        <w:rPr>
          <w:rFonts w:ascii="Times New Roman" w:hAnsi="Times New Roman"/>
        </w:rPr>
        <w:t>set</w:t>
      </w:r>
      <w:r w:rsidRPr="00427592">
        <w:rPr>
          <w:rFonts w:ascii="Times New Roman" w:hAnsi="Times New Roman"/>
        </w:rPr>
        <w:t xml:space="preserve"> new accounting guidelines because the process is otherwise prohibited by the AICPA Guide for Airlines and GAAP for </w:t>
      </w:r>
      <w:r>
        <w:rPr>
          <w:rFonts w:ascii="Times New Roman" w:hAnsi="Times New Roman"/>
        </w:rPr>
        <w:t>peaking plants and other facilities</w:t>
      </w:r>
      <w:r w:rsidRPr="00427592">
        <w:rPr>
          <w:rFonts w:ascii="Times New Roman" w:hAnsi="Times New Roman"/>
        </w:rPr>
        <w:t xml:space="preserve"> without service agreeme</w:t>
      </w:r>
      <w:r>
        <w:rPr>
          <w:rFonts w:ascii="Times New Roman" w:hAnsi="Times New Roman"/>
        </w:rPr>
        <w:t xml:space="preserve">nts where the timing </w:t>
      </w:r>
      <w:r w:rsidRPr="00427592">
        <w:rPr>
          <w:rFonts w:ascii="Times New Roman" w:hAnsi="Times New Roman"/>
        </w:rPr>
        <w:t xml:space="preserve">of the expense is unpredictable.  PSE will then file an accounting petition for Commission approval to defer and amortize costs over the time period </w:t>
      </w:r>
      <w:r>
        <w:rPr>
          <w:rFonts w:ascii="Times New Roman" w:hAnsi="Times New Roman"/>
        </w:rPr>
        <w:t>it selects</w:t>
      </w:r>
      <w:r w:rsidRPr="00427592">
        <w:rPr>
          <w:rFonts w:ascii="Times New Roman" w:hAnsi="Times New Roman"/>
        </w:rPr>
        <w:t xml:space="preserve">.  Approval of each petition will allow PSE to transfer the associated account to a regulatory asset.  </w:t>
      </w:r>
    </w:p>
  </w:footnote>
  <w:footnote w:id="157">
    <w:p w:rsidR="000570C1" w:rsidRPr="00C035F3" w:rsidRDefault="000570C1">
      <w:pPr>
        <w:pStyle w:val="FootnoteText"/>
        <w:rPr>
          <w:rFonts w:ascii="Times New Roman" w:hAnsi="Times New Roman"/>
        </w:rPr>
      </w:pPr>
      <w:r w:rsidRPr="00C035F3">
        <w:rPr>
          <w:rStyle w:val="FootnoteReference"/>
          <w:rFonts w:ascii="Times New Roman" w:hAnsi="Times New Roman"/>
        </w:rPr>
        <w:footnoteRef/>
      </w:r>
      <w:r w:rsidRPr="00C035F3">
        <w:rPr>
          <w:rFonts w:ascii="Times New Roman" w:hAnsi="Times New Roman"/>
        </w:rPr>
        <w:t xml:space="preserve"> Exhibit No. LEO-13CT at 6:16-17.</w:t>
      </w:r>
    </w:p>
  </w:footnote>
  <w:footnote w:id="158">
    <w:p w:rsidR="000570C1" w:rsidRPr="00F56B70" w:rsidRDefault="000570C1">
      <w:pPr>
        <w:pStyle w:val="FootnoteText"/>
        <w:rPr>
          <w:rFonts w:ascii="Times New Roman" w:hAnsi="Times New Roman"/>
        </w:rPr>
      </w:pPr>
      <w:r w:rsidRPr="00F56B70">
        <w:rPr>
          <w:rStyle w:val="FootnoteReference"/>
          <w:rFonts w:ascii="Times New Roman" w:hAnsi="Times New Roman"/>
        </w:rPr>
        <w:footnoteRef/>
      </w:r>
      <w:r w:rsidRPr="00F56B70">
        <w:rPr>
          <w:rFonts w:ascii="Times New Roman" w:hAnsi="Times New Roman"/>
        </w:rPr>
        <w:t xml:space="preserve"> Exhibit No. KHB-1TC at 24:1-2.</w:t>
      </w:r>
    </w:p>
  </w:footnote>
  <w:footnote w:id="159">
    <w:p w:rsidR="000570C1" w:rsidRPr="00F56B70" w:rsidRDefault="000570C1">
      <w:pPr>
        <w:pStyle w:val="FootnoteText"/>
        <w:rPr>
          <w:rFonts w:ascii="Times New Roman" w:hAnsi="Times New Roman"/>
        </w:rPr>
      </w:pPr>
      <w:r w:rsidRPr="00F56B70">
        <w:rPr>
          <w:rStyle w:val="FootnoteReference"/>
          <w:rFonts w:ascii="Times New Roman" w:hAnsi="Times New Roman"/>
        </w:rPr>
        <w:footnoteRef/>
      </w:r>
      <w:r w:rsidRPr="00F56B70">
        <w:rPr>
          <w:rFonts w:ascii="Times New Roman" w:hAnsi="Times New Roman"/>
        </w:rPr>
        <w:t xml:space="preserve"> The test year average for Whitehorn was more than twice the 5-year average.  Exhibit No. K</w:t>
      </w:r>
      <w:r>
        <w:rPr>
          <w:rFonts w:ascii="Times New Roman" w:hAnsi="Times New Roman"/>
        </w:rPr>
        <w:t>HB-6C at 6.2, line 14, column (b</w:t>
      </w:r>
      <w:r w:rsidRPr="00F56B70">
        <w:rPr>
          <w:rFonts w:ascii="Times New Roman" w:hAnsi="Times New Roman"/>
        </w:rPr>
        <w:t>) versus column (k).</w:t>
      </w:r>
    </w:p>
  </w:footnote>
  <w:footnote w:id="160">
    <w:p w:rsidR="000570C1" w:rsidRPr="00743A8D" w:rsidRDefault="000570C1">
      <w:pPr>
        <w:pStyle w:val="FootnoteText"/>
        <w:rPr>
          <w:rFonts w:ascii="Times New Roman" w:hAnsi="Times New Roman"/>
        </w:rPr>
      </w:pPr>
      <w:r w:rsidRPr="00743A8D">
        <w:rPr>
          <w:rStyle w:val="FootnoteReference"/>
          <w:rFonts w:ascii="Times New Roman" w:hAnsi="Times New Roman"/>
        </w:rPr>
        <w:footnoteRef/>
      </w:r>
      <w:r w:rsidRPr="00743A8D">
        <w:rPr>
          <w:rFonts w:ascii="Times New Roman" w:hAnsi="Times New Roman"/>
        </w:rPr>
        <w:t xml:space="preserve"> Exhibit No</w:t>
      </w:r>
      <w:r>
        <w:rPr>
          <w:rFonts w:ascii="Times New Roman" w:hAnsi="Times New Roman"/>
        </w:rPr>
        <w:t>.</w:t>
      </w:r>
      <w:r w:rsidRPr="00743A8D">
        <w:rPr>
          <w:rFonts w:ascii="Times New Roman" w:hAnsi="Times New Roman"/>
        </w:rPr>
        <w:t xml:space="preserve"> KHB-1TC at 24:15-17 and Exhibit No. KHB-6C at lines 1, 2, 4, 10, 14, 15 and 16.</w:t>
      </w:r>
    </w:p>
  </w:footnote>
  <w:footnote w:id="161">
    <w:p w:rsidR="000570C1" w:rsidRPr="005A0AC0" w:rsidRDefault="000570C1">
      <w:pPr>
        <w:pStyle w:val="FootnoteText"/>
        <w:rPr>
          <w:rFonts w:ascii="Times New Roman" w:hAnsi="Times New Roman"/>
        </w:rPr>
      </w:pPr>
      <w:r w:rsidRPr="005A0AC0">
        <w:rPr>
          <w:rStyle w:val="FootnoteReference"/>
          <w:rFonts w:ascii="Times New Roman" w:hAnsi="Times New Roman"/>
        </w:rPr>
        <w:footnoteRef/>
      </w:r>
      <w:r w:rsidRPr="005A0AC0">
        <w:rPr>
          <w:rFonts w:ascii="Times New Roman" w:hAnsi="Times New Roman"/>
        </w:rPr>
        <w:t xml:space="preserve"> Exhibit No. KHB-1TC at 25:1-5 and Exhibit No. KHB-6C at lines 13, </w:t>
      </w:r>
      <w:r>
        <w:rPr>
          <w:rFonts w:ascii="Times New Roman" w:hAnsi="Times New Roman"/>
        </w:rPr>
        <w:t xml:space="preserve">17, </w:t>
      </w:r>
      <w:r w:rsidRPr="005A0AC0">
        <w:rPr>
          <w:rFonts w:ascii="Times New Roman" w:hAnsi="Times New Roman"/>
        </w:rPr>
        <w:t>19 and 20.</w:t>
      </w:r>
    </w:p>
  </w:footnote>
  <w:footnote w:id="162">
    <w:p w:rsidR="000570C1" w:rsidRPr="0075568C" w:rsidRDefault="000570C1">
      <w:pPr>
        <w:pStyle w:val="FootnoteText"/>
        <w:rPr>
          <w:rFonts w:ascii="Times New Roman" w:hAnsi="Times New Roman"/>
        </w:rPr>
      </w:pPr>
      <w:r w:rsidRPr="0075568C">
        <w:rPr>
          <w:rStyle w:val="FootnoteReference"/>
          <w:rFonts w:ascii="Times New Roman" w:hAnsi="Times New Roman"/>
        </w:rPr>
        <w:footnoteRef/>
      </w:r>
      <w:r w:rsidRPr="0075568C">
        <w:rPr>
          <w:rFonts w:ascii="Times New Roman" w:hAnsi="Times New Roman"/>
        </w:rPr>
        <w:t xml:space="preserve"> </w:t>
      </w:r>
      <w:r>
        <w:rPr>
          <w:rFonts w:ascii="Times New Roman" w:hAnsi="Times New Roman"/>
        </w:rPr>
        <w:t>Exhibit No. KHB-6C at line 12.</w:t>
      </w:r>
    </w:p>
  </w:footnote>
  <w:footnote w:id="163">
    <w:p w:rsidR="000570C1" w:rsidRPr="003C2783" w:rsidRDefault="000570C1">
      <w:pPr>
        <w:pStyle w:val="FootnoteText"/>
        <w:rPr>
          <w:rFonts w:ascii="Times New Roman" w:hAnsi="Times New Roman"/>
        </w:rPr>
      </w:pPr>
      <w:r w:rsidRPr="003C2783">
        <w:rPr>
          <w:rStyle w:val="FootnoteReference"/>
          <w:rFonts w:ascii="Times New Roman" w:hAnsi="Times New Roman"/>
        </w:rPr>
        <w:footnoteRef/>
      </w:r>
      <w:r w:rsidRPr="003C2783">
        <w:rPr>
          <w:rFonts w:ascii="Times New Roman" w:hAnsi="Times New Roman"/>
        </w:rPr>
        <w:t xml:space="preserve"> Exh</w:t>
      </w:r>
      <w:r>
        <w:rPr>
          <w:rFonts w:ascii="Times New Roman" w:hAnsi="Times New Roman"/>
        </w:rPr>
        <w:t>ibit No. B</w:t>
      </w:r>
      <w:r w:rsidRPr="003C2783">
        <w:rPr>
          <w:rFonts w:ascii="Times New Roman" w:hAnsi="Times New Roman"/>
        </w:rPr>
        <w:t>-3 at Exhibit No. KHB-2, page 2.10.</w:t>
      </w:r>
    </w:p>
  </w:footnote>
  <w:footnote w:id="164">
    <w:p w:rsidR="000570C1" w:rsidRPr="00E02147" w:rsidRDefault="000570C1">
      <w:pPr>
        <w:pStyle w:val="FootnoteText"/>
        <w:rPr>
          <w:rFonts w:ascii="Times New Roman" w:hAnsi="Times New Roman"/>
        </w:rPr>
      </w:pPr>
      <w:r w:rsidRPr="00E02147">
        <w:rPr>
          <w:rStyle w:val="FootnoteReference"/>
          <w:rFonts w:ascii="Times New Roman" w:hAnsi="Times New Roman"/>
        </w:rPr>
        <w:footnoteRef/>
      </w:r>
      <w:r w:rsidRPr="00E02147">
        <w:rPr>
          <w:rFonts w:ascii="Times New Roman" w:hAnsi="Times New Roman"/>
        </w:rPr>
        <w:t xml:space="preserve"> Exhibit No. KHB-1TC at 24:5 and 25:1-16.</w:t>
      </w:r>
    </w:p>
  </w:footnote>
  <w:footnote w:id="165">
    <w:p w:rsidR="000570C1" w:rsidRPr="00A40FA5" w:rsidRDefault="000570C1">
      <w:pPr>
        <w:pStyle w:val="FootnoteText"/>
        <w:rPr>
          <w:rFonts w:ascii="Times New Roman" w:hAnsi="Times New Roman"/>
        </w:rPr>
      </w:pPr>
      <w:r w:rsidRPr="00A40FA5">
        <w:rPr>
          <w:rStyle w:val="FootnoteReference"/>
          <w:rFonts w:ascii="Times New Roman" w:hAnsi="Times New Roman"/>
        </w:rPr>
        <w:footnoteRef/>
      </w:r>
      <w:r w:rsidRPr="00A40FA5">
        <w:rPr>
          <w:rFonts w:ascii="Times New Roman" w:hAnsi="Times New Roman"/>
        </w:rPr>
        <w:t xml:space="preserve"> Exhibit No. LEO-13CT at 7:3-4.</w:t>
      </w:r>
    </w:p>
  </w:footnote>
  <w:footnote w:id="166">
    <w:p w:rsidR="000570C1" w:rsidRPr="00FC0973" w:rsidRDefault="000570C1">
      <w:pPr>
        <w:pStyle w:val="FootnoteText"/>
        <w:rPr>
          <w:rFonts w:ascii="Times New Roman" w:hAnsi="Times New Roman"/>
        </w:rPr>
      </w:pPr>
      <w:r w:rsidRPr="00FC0973">
        <w:rPr>
          <w:rStyle w:val="FootnoteReference"/>
          <w:rFonts w:ascii="Times New Roman" w:hAnsi="Times New Roman"/>
        </w:rPr>
        <w:footnoteRef/>
      </w:r>
      <w:r w:rsidRPr="00FC0973">
        <w:rPr>
          <w:rFonts w:ascii="Times New Roman" w:hAnsi="Times New Roman"/>
        </w:rPr>
        <w:t xml:space="preserve"> Exhibit No. DEM-15, </w:t>
      </w:r>
      <w:r>
        <w:rPr>
          <w:rFonts w:ascii="Times New Roman" w:hAnsi="Times New Roman"/>
        </w:rPr>
        <w:t xml:space="preserve">column entitled “Adjustment”, </w:t>
      </w:r>
      <w:r w:rsidRPr="00FC0973">
        <w:rPr>
          <w:rFonts w:ascii="Times New Roman" w:hAnsi="Times New Roman"/>
        </w:rPr>
        <w:t>Tr. 784:6-12 (Odom),</w:t>
      </w:r>
      <w:r>
        <w:rPr>
          <w:rFonts w:ascii="Times New Roman" w:hAnsi="Times New Roman"/>
        </w:rPr>
        <w:t xml:space="preserve"> and PSE R</w:t>
      </w:r>
      <w:r w:rsidRPr="00FC0973">
        <w:rPr>
          <w:rFonts w:ascii="Times New Roman" w:hAnsi="Times New Roman"/>
        </w:rPr>
        <w:t xml:space="preserve">esponse to Bench Request No. 6. </w:t>
      </w:r>
    </w:p>
  </w:footnote>
  <w:footnote w:id="167">
    <w:p w:rsidR="000570C1" w:rsidRPr="00FC0973" w:rsidRDefault="000570C1">
      <w:pPr>
        <w:pStyle w:val="FootnoteText"/>
        <w:rPr>
          <w:rFonts w:ascii="Times New Roman" w:hAnsi="Times New Roman"/>
        </w:rPr>
      </w:pPr>
      <w:r w:rsidRPr="00FC0973">
        <w:rPr>
          <w:rStyle w:val="FootnoteReference"/>
          <w:rFonts w:ascii="Times New Roman" w:hAnsi="Times New Roman"/>
        </w:rPr>
        <w:footnoteRef/>
      </w:r>
      <w:r w:rsidRPr="00FC0973">
        <w:rPr>
          <w:rFonts w:ascii="Times New Roman" w:hAnsi="Times New Roman"/>
        </w:rPr>
        <w:t xml:space="preserve"> Exhibit Nos. LEO-14</w:t>
      </w:r>
      <w:r>
        <w:rPr>
          <w:rFonts w:ascii="Times New Roman" w:hAnsi="Times New Roman"/>
        </w:rPr>
        <w:t>C, column D</w:t>
      </w:r>
      <w:r w:rsidRPr="00FC0973">
        <w:rPr>
          <w:rFonts w:ascii="Times New Roman" w:hAnsi="Times New Roman"/>
        </w:rPr>
        <w:t xml:space="preserve"> and LEO-16, part a).</w:t>
      </w:r>
    </w:p>
  </w:footnote>
  <w:footnote w:id="168">
    <w:p w:rsidR="000570C1" w:rsidRPr="00E62897" w:rsidRDefault="000570C1">
      <w:pPr>
        <w:pStyle w:val="FootnoteText"/>
        <w:rPr>
          <w:rFonts w:ascii="Times New Roman" w:hAnsi="Times New Roman"/>
        </w:rPr>
      </w:pPr>
      <w:r w:rsidRPr="00E62897">
        <w:rPr>
          <w:rStyle w:val="FootnoteReference"/>
          <w:rFonts w:ascii="Times New Roman" w:hAnsi="Times New Roman"/>
        </w:rPr>
        <w:footnoteRef/>
      </w:r>
      <w:r w:rsidRPr="00E62897">
        <w:rPr>
          <w:rFonts w:ascii="Times New Roman" w:hAnsi="Times New Roman"/>
        </w:rPr>
        <w:t xml:space="preserve"> </w:t>
      </w:r>
      <w:r>
        <w:rPr>
          <w:rFonts w:ascii="Times New Roman" w:hAnsi="Times New Roman"/>
        </w:rPr>
        <w:t>Exhibit No. LEO-14C, Note C.</w:t>
      </w:r>
    </w:p>
  </w:footnote>
  <w:footnote w:id="169">
    <w:p w:rsidR="000570C1" w:rsidRPr="00BD5FF5" w:rsidRDefault="000570C1">
      <w:pPr>
        <w:pStyle w:val="FootnoteText"/>
        <w:rPr>
          <w:rFonts w:ascii="Times New Roman" w:hAnsi="Times New Roman"/>
        </w:rPr>
      </w:pPr>
      <w:r w:rsidRPr="00BD5FF5">
        <w:rPr>
          <w:rStyle w:val="FootnoteReference"/>
          <w:rFonts w:ascii="Times New Roman" w:hAnsi="Times New Roman"/>
        </w:rPr>
        <w:footnoteRef/>
      </w:r>
      <w:r w:rsidRPr="00BD5FF5">
        <w:rPr>
          <w:rFonts w:ascii="Times New Roman" w:hAnsi="Times New Roman"/>
        </w:rPr>
        <w:t xml:space="preserve"> Exhibit No. LEO-13CT at 9:10-12.</w:t>
      </w:r>
    </w:p>
  </w:footnote>
  <w:footnote w:id="170">
    <w:p w:rsidR="000570C1" w:rsidRPr="00912BE5" w:rsidRDefault="000570C1">
      <w:pPr>
        <w:pStyle w:val="FootnoteText"/>
        <w:rPr>
          <w:rFonts w:ascii="Times New Roman" w:hAnsi="Times New Roman"/>
        </w:rPr>
      </w:pPr>
      <w:r w:rsidRPr="00912BE5">
        <w:rPr>
          <w:rStyle w:val="FootnoteReference"/>
          <w:rFonts w:ascii="Times New Roman" w:hAnsi="Times New Roman"/>
        </w:rPr>
        <w:footnoteRef/>
      </w:r>
      <w:r w:rsidRPr="00912BE5">
        <w:rPr>
          <w:rFonts w:ascii="Times New Roman" w:hAnsi="Times New Roman"/>
        </w:rPr>
        <w:t xml:space="preserve"> Exhibit No. KWL-1T.</w:t>
      </w:r>
    </w:p>
  </w:footnote>
  <w:footnote w:id="171">
    <w:p w:rsidR="000570C1" w:rsidRPr="00A631AA" w:rsidRDefault="000570C1">
      <w:pPr>
        <w:pStyle w:val="FootnoteText"/>
        <w:rPr>
          <w:rFonts w:ascii="Times New Roman" w:hAnsi="Times New Roman"/>
        </w:rPr>
      </w:pPr>
      <w:r w:rsidRPr="00A631AA">
        <w:rPr>
          <w:rStyle w:val="FootnoteReference"/>
          <w:rFonts w:ascii="Times New Roman" w:hAnsi="Times New Roman"/>
        </w:rPr>
        <w:footnoteRef/>
      </w:r>
      <w:r w:rsidRPr="00A631AA">
        <w:rPr>
          <w:rFonts w:ascii="Times New Roman" w:hAnsi="Times New Roman"/>
        </w:rPr>
        <w:t xml:space="preserve"> Exhibit No. MLJ-5CT.</w:t>
      </w:r>
    </w:p>
  </w:footnote>
  <w:footnote w:id="172">
    <w:p w:rsidR="000570C1" w:rsidRPr="007601E4" w:rsidRDefault="000570C1">
      <w:pPr>
        <w:pStyle w:val="FootnoteText"/>
        <w:rPr>
          <w:rFonts w:ascii="Times New Roman" w:hAnsi="Times New Roman"/>
        </w:rPr>
      </w:pPr>
      <w:r w:rsidRPr="00004F0C">
        <w:rPr>
          <w:rStyle w:val="FootnoteReference"/>
          <w:rFonts w:ascii="Times New Roman" w:hAnsi="Times New Roman"/>
        </w:rPr>
        <w:footnoteRef/>
      </w:r>
      <w:r w:rsidRPr="00004F0C">
        <w:rPr>
          <w:rFonts w:ascii="Times New Roman" w:hAnsi="Times New Roman"/>
        </w:rPr>
        <w:t xml:space="preserve"> </w:t>
      </w:r>
      <w:r w:rsidRPr="007601E4">
        <w:rPr>
          <w:rFonts w:ascii="Times New Roman" w:hAnsi="Times New Roman"/>
        </w:rPr>
        <w:t xml:space="preserve">Exhibit No. LEO-13CT at 16-29. </w:t>
      </w:r>
      <w:r>
        <w:rPr>
          <w:rFonts w:ascii="Times New Roman" w:hAnsi="Times New Roman"/>
        </w:rPr>
        <w:t xml:space="preserve"> </w:t>
      </w:r>
      <w:r w:rsidRPr="007601E4">
        <w:rPr>
          <w:rFonts w:ascii="Times New Roman" w:hAnsi="Times New Roman"/>
        </w:rPr>
        <w:t>PSE assumed a 3 percent escalation rate for the Hopkins Ridge Vestas contract even though the rate varied from 4.3 percent to 0.00 percent since 2006.  Exhibit No. LEO-13CT at 17:14-18:2.</w:t>
      </w:r>
      <w:r>
        <w:rPr>
          <w:rFonts w:ascii="Times New Roman" w:hAnsi="Times New Roman"/>
        </w:rPr>
        <w:t xml:space="preserve">  </w:t>
      </w:r>
      <w:r w:rsidRPr="007601E4">
        <w:rPr>
          <w:rFonts w:ascii="Times New Roman" w:hAnsi="Times New Roman"/>
        </w:rPr>
        <w:t xml:space="preserve">PSE used a 3 percent escalation rate for the Wild Horse Vestas contract even though the rate varied from 3.2 percent to .6 percent since 2005. </w:t>
      </w:r>
      <w:r>
        <w:rPr>
          <w:rFonts w:ascii="Times New Roman" w:hAnsi="Times New Roman"/>
        </w:rPr>
        <w:t xml:space="preserve"> </w:t>
      </w:r>
      <w:r w:rsidRPr="007601E4">
        <w:rPr>
          <w:rFonts w:ascii="Times New Roman" w:hAnsi="Times New Roman"/>
        </w:rPr>
        <w:t>Exhibit No. LEO-13CT at 24:5-15.</w:t>
      </w:r>
    </w:p>
  </w:footnote>
  <w:footnote w:id="173">
    <w:p w:rsidR="000570C1" w:rsidRPr="00F26706" w:rsidRDefault="000570C1">
      <w:pPr>
        <w:pStyle w:val="FootnoteText"/>
        <w:rPr>
          <w:rFonts w:ascii="Times New Roman" w:hAnsi="Times New Roman"/>
        </w:rPr>
      </w:pPr>
      <w:r w:rsidRPr="00F26706">
        <w:rPr>
          <w:rStyle w:val="FootnoteReference"/>
          <w:rFonts w:ascii="Times New Roman" w:hAnsi="Times New Roman"/>
        </w:rPr>
        <w:footnoteRef/>
      </w:r>
      <w:r w:rsidRPr="00F26706">
        <w:rPr>
          <w:rFonts w:ascii="Times New Roman" w:hAnsi="Times New Roman"/>
        </w:rPr>
        <w:t xml:space="preserve"> Exhibit No. DEM-15, column entitled “Difference From 9.28 Update”, lines for Colstrip 1/2, Colstrip 3/4, Upper Baker &amp; Baker Licensing, Snoqualmie 1/2, incl Licensing, Freddie 1, </w:t>
      </w:r>
      <w:r>
        <w:rPr>
          <w:rFonts w:ascii="Times New Roman" w:hAnsi="Times New Roman"/>
        </w:rPr>
        <w:t xml:space="preserve">Mint Farm, </w:t>
      </w:r>
      <w:r w:rsidRPr="00F26706">
        <w:rPr>
          <w:rFonts w:ascii="Times New Roman" w:hAnsi="Times New Roman"/>
        </w:rPr>
        <w:t>Hopkins Ridge + Expansion, and Wild Horse and Wild Horse Expansion.</w:t>
      </w:r>
    </w:p>
  </w:footnote>
  <w:footnote w:id="174">
    <w:p w:rsidR="000570C1" w:rsidRPr="0027126C" w:rsidRDefault="000570C1">
      <w:pPr>
        <w:pStyle w:val="FootnoteText"/>
        <w:rPr>
          <w:rFonts w:ascii="Times New Roman" w:hAnsi="Times New Roman"/>
        </w:rPr>
      </w:pPr>
      <w:r w:rsidRPr="00FC0973">
        <w:rPr>
          <w:rStyle w:val="FootnoteReference"/>
          <w:rFonts w:ascii="Times New Roman" w:hAnsi="Times New Roman"/>
        </w:rPr>
        <w:footnoteRef/>
      </w:r>
      <w:r w:rsidRPr="00FC0973">
        <w:rPr>
          <w:rFonts w:ascii="Times New Roman" w:hAnsi="Times New Roman"/>
        </w:rPr>
        <w:t xml:space="preserve"> A c</w:t>
      </w:r>
      <w:r>
        <w:rPr>
          <w:rFonts w:ascii="Times New Roman" w:hAnsi="Times New Roman"/>
        </w:rPr>
        <w:t xml:space="preserve">omparison of Exhibit Nos. B-2 and B-3 </w:t>
      </w:r>
      <w:r w:rsidRPr="00FC0973">
        <w:rPr>
          <w:rFonts w:ascii="Times New Roman" w:hAnsi="Times New Roman"/>
        </w:rPr>
        <w:t>demonstrate that PSE has otherwise</w:t>
      </w:r>
      <w:r>
        <w:rPr>
          <w:rFonts w:ascii="Times New Roman" w:hAnsi="Times New Roman"/>
        </w:rPr>
        <w:t xml:space="preserve"> </w:t>
      </w:r>
      <w:r w:rsidRPr="0027126C">
        <w:rPr>
          <w:rFonts w:ascii="Times New Roman" w:hAnsi="Times New Roman"/>
        </w:rPr>
        <w:t xml:space="preserve">accepted Staff’s calculation of </w:t>
      </w:r>
      <w:r>
        <w:rPr>
          <w:rFonts w:ascii="Times New Roman" w:hAnsi="Times New Roman"/>
        </w:rPr>
        <w:t>these adjustments</w:t>
      </w:r>
      <w:r w:rsidRPr="0027126C">
        <w:rPr>
          <w:rFonts w:ascii="Times New Roman" w:hAnsi="Times New Roman"/>
        </w:rPr>
        <w:t xml:space="preserve"> based on</w:t>
      </w:r>
      <w:r>
        <w:rPr>
          <w:rFonts w:ascii="Times New Roman" w:hAnsi="Times New Roman"/>
        </w:rPr>
        <w:t xml:space="preserve"> actual August 2009 plant balances.</w:t>
      </w:r>
      <w:r w:rsidRPr="0027126C">
        <w:rPr>
          <w:rFonts w:ascii="Times New Roman" w:hAnsi="Times New Roman"/>
        </w:rPr>
        <w:t> </w:t>
      </w:r>
    </w:p>
  </w:footnote>
  <w:footnote w:id="175">
    <w:p w:rsidR="000570C1" w:rsidRDefault="000570C1">
      <w:pPr>
        <w:pStyle w:val="FootnoteText"/>
      </w:pPr>
      <w:r w:rsidRPr="001D4E3A">
        <w:rPr>
          <w:rStyle w:val="FootnoteReference"/>
          <w:rFonts w:ascii="Times New Roman" w:hAnsi="Times New Roman"/>
        </w:rPr>
        <w:footnoteRef/>
      </w:r>
      <w:r w:rsidRPr="001D4E3A">
        <w:rPr>
          <w:rFonts w:ascii="Times New Roman" w:hAnsi="Times New Roman"/>
        </w:rPr>
        <w:t xml:space="preserve"> Exhibit</w:t>
      </w:r>
      <w:r>
        <w:rPr>
          <w:rFonts w:ascii="Times New Roman" w:hAnsi="Times New Roman"/>
        </w:rPr>
        <w:t xml:space="preserve"> No. MRM-4T at</w:t>
      </w:r>
      <w:r w:rsidRPr="00CC1BAF">
        <w:rPr>
          <w:rFonts w:ascii="Times New Roman" w:hAnsi="Times New Roman"/>
        </w:rPr>
        <w:t xml:space="preserve"> 9:17-18</w:t>
      </w:r>
      <w:r>
        <w:rPr>
          <w:rFonts w:ascii="Times New Roman" w:hAnsi="Times New Roman"/>
        </w:rPr>
        <w:t xml:space="preserve"> and Exhibit No. MRM-5.</w:t>
      </w:r>
    </w:p>
  </w:footnote>
  <w:footnote w:id="176">
    <w:p w:rsidR="000570C1" w:rsidRPr="00C106E4" w:rsidRDefault="000570C1">
      <w:pPr>
        <w:pStyle w:val="FootnoteText"/>
        <w:rPr>
          <w:rFonts w:ascii="Times New Roman" w:hAnsi="Times New Roman"/>
        </w:rPr>
      </w:pPr>
      <w:r w:rsidRPr="00C106E4">
        <w:rPr>
          <w:rStyle w:val="FootnoteReference"/>
          <w:rFonts w:ascii="Times New Roman" w:hAnsi="Times New Roman"/>
        </w:rPr>
        <w:footnoteRef/>
      </w:r>
      <w:r w:rsidRPr="00C106E4">
        <w:rPr>
          <w:rFonts w:ascii="Times New Roman" w:hAnsi="Times New Roman"/>
        </w:rPr>
        <w:t xml:space="preserve"> Exhibit No</w:t>
      </w:r>
      <w:r>
        <w:rPr>
          <w:rFonts w:ascii="Times New Roman" w:hAnsi="Times New Roman"/>
        </w:rPr>
        <w:t>.</w:t>
      </w:r>
      <w:r w:rsidRPr="00C106E4">
        <w:rPr>
          <w:rFonts w:ascii="Times New Roman" w:hAnsi="Times New Roman"/>
        </w:rPr>
        <w:t xml:space="preserve"> JHS-14T at 30:6-14.</w:t>
      </w:r>
    </w:p>
  </w:footnote>
  <w:footnote w:id="177">
    <w:p w:rsidR="000570C1" w:rsidRPr="00C106E4" w:rsidRDefault="000570C1">
      <w:pPr>
        <w:pStyle w:val="FootnoteText"/>
        <w:rPr>
          <w:rFonts w:ascii="Times New Roman" w:hAnsi="Times New Roman"/>
        </w:rPr>
      </w:pPr>
      <w:r w:rsidRPr="00C106E4">
        <w:rPr>
          <w:rStyle w:val="FootnoteReference"/>
          <w:rFonts w:ascii="Times New Roman" w:hAnsi="Times New Roman"/>
        </w:rPr>
        <w:footnoteRef/>
      </w:r>
      <w:r w:rsidRPr="00C106E4">
        <w:rPr>
          <w:rFonts w:ascii="Times New Roman" w:hAnsi="Times New Roman"/>
        </w:rPr>
        <w:t xml:space="preserve"> Compare Exhibit No. </w:t>
      </w:r>
      <w:r>
        <w:rPr>
          <w:rFonts w:ascii="Times New Roman" w:hAnsi="Times New Roman"/>
        </w:rPr>
        <w:t>JHS-10 at 13 with Exhibit No. B</w:t>
      </w:r>
      <w:r w:rsidRPr="00C106E4">
        <w:rPr>
          <w:rFonts w:ascii="Times New Roman" w:hAnsi="Times New Roman"/>
        </w:rPr>
        <w:t>-2 at Attachment C, page 2.14.</w:t>
      </w:r>
    </w:p>
  </w:footnote>
  <w:footnote w:id="178">
    <w:p w:rsidR="000570C1" w:rsidRPr="00216DE2" w:rsidRDefault="000570C1">
      <w:pPr>
        <w:pStyle w:val="FootnoteText"/>
        <w:rPr>
          <w:rFonts w:ascii="Times New Roman" w:hAnsi="Times New Roman"/>
        </w:rPr>
      </w:pPr>
      <w:r w:rsidRPr="00216DE2">
        <w:rPr>
          <w:rStyle w:val="FootnoteReference"/>
          <w:rFonts w:ascii="Times New Roman" w:hAnsi="Times New Roman"/>
        </w:rPr>
        <w:footnoteRef/>
      </w:r>
      <w:r w:rsidRPr="00216DE2">
        <w:rPr>
          <w:rFonts w:ascii="Times New Roman" w:hAnsi="Times New Roman"/>
        </w:rPr>
        <w:t xml:space="preserve"> Exhibit No. KHB-1TC at 28:14-17.</w:t>
      </w:r>
    </w:p>
  </w:footnote>
  <w:footnote w:id="179">
    <w:p w:rsidR="000570C1" w:rsidRPr="00216DE2" w:rsidRDefault="000570C1">
      <w:pPr>
        <w:pStyle w:val="FootnoteText"/>
        <w:rPr>
          <w:rFonts w:ascii="Times New Roman" w:hAnsi="Times New Roman"/>
        </w:rPr>
      </w:pPr>
      <w:r w:rsidRPr="00216DE2">
        <w:rPr>
          <w:rStyle w:val="FootnoteReference"/>
          <w:rFonts w:ascii="Times New Roman" w:hAnsi="Times New Roman"/>
        </w:rPr>
        <w:footnoteRef/>
      </w:r>
      <w:r>
        <w:rPr>
          <w:rFonts w:ascii="Times New Roman" w:hAnsi="Times New Roman"/>
        </w:rPr>
        <w:t xml:space="preserve"> Exhibit No. B</w:t>
      </w:r>
      <w:r w:rsidRPr="00216DE2">
        <w:rPr>
          <w:rFonts w:ascii="Times New Roman" w:hAnsi="Times New Roman"/>
        </w:rPr>
        <w:t>-3 at Exhibit No. KHB-2, page 2.14.</w:t>
      </w:r>
    </w:p>
  </w:footnote>
  <w:footnote w:id="180">
    <w:p w:rsidR="000570C1" w:rsidRPr="00EF648B" w:rsidRDefault="000570C1">
      <w:pPr>
        <w:pStyle w:val="FootnoteText"/>
        <w:rPr>
          <w:rFonts w:ascii="Times New Roman" w:hAnsi="Times New Roman"/>
        </w:rPr>
      </w:pPr>
      <w:r w:rsidRPr="00EF648B">
        <w:rPr>
          <w:rStyle w:val="FootnoteReference"/>
          <w:rFonts w:ascii="Times New Roman" w:hAnsi="Times New Roman"/>
        </w:rPr>
        <w:footnoteRef/>
      </w:r>
      <w:r w:rsidRPr="00EF648B">
        <w:rPr>
          <w:rFonts w:ascii="Times New Roman" w:hAnsi="Times New Roman"/>
        </w:rPr>
        <w:t xml:space="preserve"> Exhibit No. JHS-14T at 33:9-11.</w:t>
      </w:r>
    </w:p>
  </w:footnote>
  <w:footnote w:id="181">
    <w:p w:rsidR="000570C1" w:rsidRDefault="000570C1">
      <w:pPr>
        <w:pStyle w:val="FootnoteText"/>
      </w:pPr>
      <w:r w:rsidRPr="00EF648B">
        <w:rPr>
          <w:rStyle w:val="FootnoteReference"/>
          <w:rFonts w:ascii="Times New Roman" w:hAnsi="Times New Roman"/>
        </w:rPr>
        <w:footnoteRef/>
      </w:r>
      <w:r>
        <w:rPr>
          <w:rFonts w:ascii="Times New Roman" w:hAnsi="Times New Roman"/>
        </w:rPr>
        <w:t xml:space="preserve"> Compare Exhibit No. B</w:t>
      </w:r>
      <w:r w:rsidRPr="00EF648B">
        <w:rPr>
          <w:rFonts w:ascii="Times New Roman" w:hAnsi="Times New Roman"/>
        </w:rPr>
        <w:t>-2</w:t>
      </w:r>
      <w:r>
        <w:rPr>
          <w:rFonts w:ascii="Times New Roman" w:hAnsi="Times New Roman"/>
        </w:rPr>
        <w:t xml:space="preserve"> at Attachment C, page 2.15 with </w:t>
      </w:r>
      <w:r w:rsidRPr="00EF648B">
        <w:rPr>
          <w:rFonts w:ascii="Times New Roman" w:hAnsi="Times New Roman"/>
        </w:rPr>
        <w:t>Exhibit No. JHS-10 at 14</w:t>
      </w:r>
      <w:r>
        <w:t>.</w:t>
      </w:r>
    </w:p>
  </w:footnote>
  <w:footnote w:id="182">
    <w:p w:rsidR="000570C1" w:rsidRPr="00617BA0" w:rsidRDefault="000570C1">
      <w:pPr>
        <w:pStyle w:val="FootnoteText"/>
        <w:rPr>
          <w:rFonts w:ascii="Times New Roman" w:hAnsi="Times New Roman"/>
        </w:rPr>
      </w:pPr>
      <w:r w:rsidRPr="00617BA0">
        <w:rPr>
          <w:rStyle w:val="FootnoteReference"/>
          <w:rFonts w:ascii="Times New Roman" w:hAnsi="Times New Roman"/>
        </w:rPr>
        <w:footnoteRef/>
      </w:r>
      <w:r w:rsidRPr="00617BA0">
        <w:rPr>
          <w:rFonts w:ascii="Times New Roman" w:hAnsi="Times New Roman"/>
        </w:rPr>
        <w:t xml:space="preserve"> Exhibit No. KHB-1TC at 29:16-22.</w:t>
      </w:r>
    </w:p>
  </w:footnote>
  <w:footnote w:id="183">
    <w:p w:rsidR="000570C1" w:rsidRPr="005E700B" w:rsidRDefault="000570C1">
      <w:pPr>
        <w:pStyle w:val="FootnoteText"/>
        <w:rPr>
          <w:rFonts w:ascii="Times New Roman" w:hAnsi="Times New Roman"/>
        </w:rPr>
      </w:pPr>
      <w:r w:rsidRPr="005E700B">
        <w:rPr>
          <w:rStyle w:val="FootnoteReference"/>
          <w:rFonts w:ascii="Times New Roman" w:hAnsi="Times New Roman"/>
        </w:rPr>
        <w:footnoteRef/>
      </w:r>
      <w:r w:rsidRPr="005E700B">
        <w:rPr>
          <w:rFonts w:ascii="Times New Roman" w:hAnsi="Times New Roman"/>
        </w:rPr>
        <w:t xml:space="preserve"> Exhibit No. JHS-14T at 40:3-4.</w:t>
      </w:r>
    </w:p>
  </w:footnote>
  <w:footnote w:id="184">
    <w:p w:rsidR="000570C1" w:rsidRPr="000206A0" w:rsidRDefault="000570C1">
      <w:pPr>
        <w:pStyle w:val="FootnoteText"/>
        <w:rPr>
          <w:rFonts w:ascii="Times New Roman" w:hAnsi="Times New Roman"/>
        </w:rPr>
      </w:pPr>
      <w:r w:rsidRPr="000206A0">
        <w:rPr>
          <w:rStyle w:val="FootnoteReference"/>
          <w:rFonts w:ascii="Times New Roman" w:hAnsi="Times New Roman"/>
        </w:rPr>
        <w:footnoteRef/>
      </w:r>
      <w:r>
        <w:rPr>
          <w:rFonts w:ascii="Times New Roman" w:hAnsi="Times New Roman"/>
        </w:rPr>
        <w:t xml:space="preserve"> Exhibit No. B</w:t>
      </w:r>
      <w:r w:rsidRPr="000206A0">
        <w:rPr>
          <w:rFonts w:ascii="Times New Roman" w:hAnsi="Times New Roman"/>
        </w:rPr>
        <w:t>-3 at KHB-2, page 2.18.  Staff corrected the amortization rate and accumulated defe</w:t>
      </w:r>
      <w:r>
        <w:rPr>
          <w:rFonts w:ascii="Times New Roman" w:hAnsi="Times New Roman"/>
        </w:rPr>
        <w:t xml:space="preserve">rred income tax to conform to </w:t>
      </w:r>
      <w:r w:rsidRPr="000206A0">
        <w:rPr>
          <w:rFonts w:ascii="Times New Roman" w:hAnsi="Times New Roman"/>
        </w:rPr>
        <w:t>the Company’s adjustment.  See Exhibit No. JHS-14T at 41:3-20.</w:t>
      </w:r>
    </w:p>
  </w:footnote>
  <w:footnote w:id="185">
    <w:p w:rsidR="000570C1" w:rsidRPr="000206A0" w:rsidRDefault="000570C1">
      <w:pPr>
        <w:pStyle w:val="FootnoteText"/>
        <w:rPr>
          <w:rFonts w:ascii="Times New Roman" w:hAnsi="Times New Roman"/>
        </w:rPr>
      </w:pPr>
      <w:r w:rsidRPr="000206A0">
        <w:rPr>
          <w:rStyle w:val="FootnoteReference"/>
          <w:rFonts w:ascii="Times New Roman" w:hAnsi="Times New Roman"/>
        </w:rPr>
        <w:footnoteRef/>
      </w:r>
      <w:r>
        <w:rPr>
          <w:rFonts w:ascii="Times New Roman" w:hAnsi="Times New Roman"/>
        </w:rPr>
        <w:t xml:space="preserve"> Exhibit No. KHB-1TC at 32:17</w:t>
      </w:r>
      <w:r w:rsidRPr="000206A0">
        <w:rPr>
          <w:rFonts w:ascii="Times New Roman" w:hAnsi="Times New Roman"/>
        </w:rPr>
        <w:t>.</w:t>
      </w:r>
    </w:p>
  </w:footnote>
  <w:footnote w:id="186">
    <w:p w:rsidR="000570C1" w:rsidRPr="000206A0" w:rsidRDefault="000570C1">
      <w:pPr>
        <w:pStyle w:val="FootnoteText"/>
        <w:rPr>
          <w:rFonts w:ascii="Times New Roman" w:hAnsi="Times New Roman"/>
        </w:rPr>
      </w:pPr>
      <w:r w:rsidRPr="000206A0">
        <w:rPr>
          <w:rStyle w:val="FootnoteReference"/>
          <w:rFonts w:ascii="Times New Roman" w:hAnsi="Times New Roman"/>
        </w:rPr>
        <w:footnoteRef/>
      </w:r>
      <w:r>
        <w:rPr>
          <w:rFonts w:ascii="Times New Roman" w:hAnsi="Times New Roman"/>
        </w:rPr>
        <w:t xml:space="preserve"> Exhibit No. B</w:t>
      </w:r>
      <w:r w:rsidRPr="000206A0">
        <w:rPr>
          <w:rFonts w:ascii="Times New Roman" w:hAnsi="Times New Roman"/>
        </w:rPr>
        <w:t>-2 at</w:t>
      </w:r>
      <w:r>
        <w:rPr>
          <w:rFonts w:ascii="Times New Roman" w:hAnsi="Times New Roman"/>
        </w:rPr>
        <w:t xml:space="preserve"> Attachment C, page 2.18 and Exhibit No KWL-1T at 9:4-21.</w:t>
      </w:r>
    </w:p>
  </w:footnote>
  <w:footnote w:id="187">
    <w:p w:rsidR="000570C1" w:rsidRPr="0041266C" w:rsidRDefault="000570C1">
      <w:pPr>
        <w:pStyle w:val="FootnoteText"/>
        <w:rPr>
          <w:rFonts w:ascii="Times New Roman" w:hAnsi="Times New Roman"/>
        </w:rPr>
      </w:pPr>
      <w:r w:rsidRPr="0041266C">
        <w:rPr>
          <w:rStyle w:val="FootnoteReference"/>
          <w:rFonts w:ascii="Times New Roman" w:hAnsi="Times New Roman"/>
        </w:rPr>
        <w:footnoteRef/>
      </w:r>
      <w:r>
        <w:rPr>
          <w:rFonts w:ascii="Times New Roman" w:hAnsi="Times New Roman"/>
        </w:rPr>
        <w:t xml:space="preserve"> The Company </w:t>
      </w:r>
      <w:r w:rsidRPr="0041266C">
        <w:rPr>
          <w:rFonts w:ascii="Times New Roman" w:hAnsi="Times New Roman"/>
        </w:rPr>
        <w:t>accepted Staff’s proposal to remove a regulatory liability related to an over-collection o</w:t>
      </w:r>
      <w:r>
        <w:rPr>
          <w:rFonts w:ascii="Times New Roman" w:hAnsi="Times New Roman"/>
        </w:rPr>
        <w:t>f maintenance expense</w:t>
      </w:r>
      <w:r w:rsidRPr="0041266C">
        <w:rPr>
          <w:rFonts w:ascii="Times New Roman" w:hAnsi="Times New Roman"/>
        </w:rPr>
        <w:t>.  Exhibit No. KHB-1TC at 34:17-35:15 and Exhibit No. JHS-14T at 47:19-24.</w:t>
      </w:r>
    </w:p>
  </w:footnote>
  <w:footnote w:id="188">
    <w:p w:rsidR="000570C1" w:rsidRPr="00B74531" w:rsidRDefault="000570C1">
      <w:pPr>
        <w:pStyle w:val="FootnoteText"/>
        <w:rPr>
          <w:rFonts w:ascii="Times New Roman" w:hAnsi="Times New Roman"/>
        </w:rPr>
      </w:pPr>
      <w:r w:rsidRPr="00B74531">
        <w:rPr>
          <w:rStyle w:val="FootnoteReference"/>
          <w:rFonts w:ascii="Times New Roman" w:hAnsi="Times New Roman"/>
        </w:rPr>
        <w:footnoteRef/>
      </w:r>
      <w:r w:rsidRPr="00B74531">
        <w:rPr>
          <w:rFonts w:ascii="Times New Roman" w:hAnsi="Times New Roman"/>
        </w:rPr>
        <w:t xml:space="preserve"> Exhibit No. RCM-1T at 9:15-20.</w:t>
      </w:r>
    </w:p>
  </w:footnote>
  <w:footnote w:id="189">
    <w:p w:rsidR="000570C1" w:rsidRDefault="000570C1">
      <w:pPr>
        <w:pStyle w:val="FootnoteText"/>
      </w:pPr>
      <w:r w:rsidRPr="00805D84">
        <w:rPr>
          <w:rStyle w:val="FootnoteReference"/>
          <w:rFonts w:ascii="Times New Roman" w:hAnsi="Times New Roman"/>
        </w:rPr>
        <w:footnoteRef/>
      </w:r>
      <w:r w:rsidRPr="00805D84">
        <w:rPr>
          <w:rFonts w:ascii="Times New Roman" w:hAnsi="Times New Roman"/>
        </w:rPr>
        <w:t xml:space="preserve"> Exhibit</w:t>
      </w:r>
      <w:r w:rsidRPr="00B74531">
        <w:rPr>
          <w:rFonts w:ascii="Times New Roman" w:hAnsi="Times New Roman"/>
        </w:rPr>
        <w:t xml:space="preserve"> No. RCM-1T at</w:t>
      </w:r>
      <w:r>
        <w:rPr>
          <w:rFonts w:ascii="Times New Roman" w:hAnsi="Times New Roman"/>
        </w:rPr>
        <w:t xml:space="preserve"> 10:1-8.</w:t>
      </w:r>
    </w:p>
  </w:footnote>
  <w:footnote w:id="190">
    <w:p w:rsidR="000570C1" w:rsidRPr="002D501E" w:rsidRDefault="000570C1">
      <w:pPr>
        <w:pStyle w:val="FootnoteText"/>
        <w:rPr>
          <w:rFonts w:ascii="Times New Roman" w:hAnsi="Times New Roman"/>
        </w:rPr>
      </w:pPr>
      <w:r w:rsidRPr="002D501E">
        <w:rPr>
          <w:rStyle w:val="FootnoteReference"/>
          <w:rFonts w:ascii="Times New Roman" w:hAnsi="Times New Roman"/>
        </w:rPr>
        <w:footnoteRef/>
      </w:r>
      <w:r w:rsidRPr="002D501E">
        <w:rPr>
          <w:rFonts w:ascii="Times New Roman" w:hAnsi="Times New Roman"/>
        </w:rPr>
        <w:t xml:space="preserve"> Exhibit No. JHS-14T at 48:2-9.</w:t>
      </w:r>
    </w:p>
  </w:footnote>
  <w:footnote w:id="191">
    <w:p w:rsidR="000570C1" w:rsidRPr="0016154E" w:rsidRDefault="000570C1">
      <w:pPr>
        <w:pStyle w:val="FootnoteText"/>
        <w:rPr>
          <w:rFonts w:ascii="Times New Roman" w:hAnsi="Times New Roman"/>
        </w:rPr>
      </w:pPr>
      <w:r w:rsidRPr="0016154E">
        <w:rPr>
          <w:rStyle w:val="FootnoteReference"/>
          <w:rFonts w:ascii="Times New Roman" w:hAnsi="Times New Roman"/>
        </w:rPr>
        <w:footnoteRef/>
      </w:r>
      <w:r w:rsidRPr="0016154E">
        <w:rPr>
          <w:rFonts w:ascii="Times New Roman" w:hAnsi="Times New Roman"/>
        </w:rPr>
        <w:t xml:space="preserve"> </w:t>
      </w:r>
      <w:r w:rsidRPr="0016154E">
        <w:rPr>
          <w:rFonts w:ascii="Times New Roman" w:hAnsi="Times New Roman"/>
          <w:i/>
        </w:rPr>
        <w:t>In the Matter of the Petition of Puget Sound Energy, Inc</w:t>
      </w:r>
      <w:r>
        <w:rPr>
          <w:rFonts w:ascii="Times New Roman" w:hAnsi="Times New Roman"/>
        </w:rPr>
        <w:t xml:space="preserve">., Docket </w:t>
      </w:r>
      <w:r w:rsidRPr="0016154E">
        <w:rPr>
          <w:rFonts w:ascii="Times New Roman" w:hAnsi="Times New Roman"/>
        </w:rPr>
        <w:t>UE-031389, Order 04, Attachment A, Exhibit A, Section C (January 14, 2004).</w:t>
      </w:r>
    </w:p>
  </w:footnote>
  <w:footnote w:id="192">
    <w:p w:rsidR="000570C1" w:rsidRPr="00A90423" w:rsidRDefault="000570C1">
      <w:pPr>
        <w:pStyle w:val="FootnoteText"/>
        <w:rPr>
          <w:rFonts w:ascii="Times New Roman" w:hAnsi="Times New Roman"/>
        </w:rPr>
      </w:pPr>
      <w:r w:rsidRPr="00A90423">
        <w:rPr>
          <w:rStyle w:val="FootnoteReference"/>
          <w:rFonts w:ascii="Times New Roman" w:hAnsi="Times New Roman"/>
        </w:rPr>
        <w:footnoteRef/>
      </w:r>
      <w:r>
        <w:rPr>
          <w:rFonts w:ascii="Times New Roman" w:hAnsi="Times New Roman"/>
        </w:rPr>
        <w:t xml:space="preserve"> Exhibit No.</w:t>
      </w:r>
      <w:r w:rsidRPr="00A90423">
        <w:rPr>
          <w:rFonts w:ascii="Times New Roman" w:hAnsi="Times New Roman"/>
        </w:rPr>
        <w:t xml:space="preserve"> JHS-14T at 47:4-7.</w:t>
      </w:r>
    </w:p>
  </w:footnote>
  <w:footnote w:id="193">
    <w:p w:rsidR="000570C1" w:rsidRPr="00CC758A" w:rsidRDefault="000570C1">
      <w:pPr>
        <w:pStyle w:val="FootnoteText"/>
        <w:rPr>
          <w:rFonts w:ascii="Times New Roman" w:hAnsi="Times New Roman"/>
        </w:rPr>
      </w:pPr>
      <w:r w:rsidRPr="00CC758A">
        <w:rPr>
          <w:rStyle w:val="FootnoteReference"/>
          <w:rFonts w:ascii="Times New Roman" w:hAnsi="Times New Roman"/>
        </w:rPr>
        <w:footnoteRef/>
      </w:r>
      <w:r w:rsidRPr="00CC758A">
        <w:rPr>
          <w:rFonts w:ascii="Times New Roman" w:hAnsi="Times New Roman"/>
        </w:rPr>
        <w:t xml:space="preserve"> Exhibit No. JRD-1CT at 14:25-15:8.</w:t>
      </w:r>
    </w:p>
  </w:footnote>
  <w:footnote w:id="194">
    <w:p w:rsidR="000570C1" w:rsidRPr="00202208" w:rsidRDefault="000570C1">
      <w:pPr>
        <w:pStyle w:val="FootnoteText"/>
        <w:rPr>
          <w:rFonts w:ascii="Times New Roman" w:hAnsi="Times New Roman"/>
        </w:rPr>
      </w:pPr>
      <w:r w:rsidRPr="00202208">
        <w:rPr>
          <w:rStyle w:val="FootnoteReference"/>
          <w:rFonts w:ascii="Times New Roman" w:hAnsi="Times New Roman"/>
        </w:rPr>
        <w:footnoteRef/>
      </w:r>
      <w:r w:rsidRPr="00202208">
        <w:rPr>
          <w:rFonts w:ascii="Times New Roman" w:hAnsi="Times New Roman"/>
        </w:rPr>
        <w:t xml:space="preserve"> Exhibit No. JRD-1CT </w:t>
      </w:r>
      <w:r>
        <w:rPr>
          <w:rFonts w:ascii="Times New Roman" w:hAnsi="Times New Roman"/>
        </w:rPr>
        <w:t>at 15:9-20</w:t>
      </w:r>
      <w:r w:rsidRPr="00202208">
        <w:rPr>
          <w:rFonts w:ascii="Times New Roman" w:hAnsi="Times New Roman"/>
        </w:rPr>
        <w:t>.</w:t>
      </w:r>
    </w:p>
  </w:footnote>
  <w:footnote w:id="195">
    <w:p w:rsidR="000570C1" w:rsidRPr="00DB6938" w:rsidRDefault="000570C1">
      <w:pPr>
        <w:pStyle w:val="FootnoteText"/>
        <w:rPr>
          <w:rFonts w:ascii="Times New Roman" w:hAnsi="Times New Roman"/>
        </w:rPr>
      </w:pPr>
      <w:r w:rsidRPr="00DB6938">
        <w:rPr>
          <w:rStyle w:val="FootnoteReference"/>
          <w:rFonts w:ascii="Times New Roman" w:hAnsi="Times New Roman"/>
        </w:rPr>
        <w:footnoteRef/>
      </w:r>
      <w:r w:rsidRPr="00DB6938">
        <w:rPr>
          <w:rFonts w:ascii="Times New Roman" w:hAnsi="Times New Roman"/>
        </w:rPr>
        <w:t xml:space="preserve"> Exhibit No. JRD-4 at 4.</w:t>
      </w:r>
    </w:p>
  </w:footnote>
  <w:footnote w:id="196">
    <w:p w:rsidR="000570C1" w:rsidRPr="00C2181E" w:rsidRDefault="000570C1">
      <w:pPr>
        <w:pStyle w:val="FootnoteText"/>
        <w:rPr>
          <w:rFonts w:ascii="Times New Roman" w:hAnsi="Times New Roman"/>
        </w:rPr>
      </w:pPr>
      <w:r w:rsidRPr="00C2181E">
        <w:rPr>
          <w:rStyle w:val="FootnoteReference"/>
          <w:rFonts w:ascii="Times New Roman" w:hAnsi="Times New Roman"/>
        </w:rPr>
        <w:footnoteRef/>
      </w:r>
      <w:r w:rsidRPr="00C2181E">
        <w:rPr>
          <w:rFonts w:ascii="Times New Roman" w:hAnsi="Times New Roman"/>
        </w:rPr>
        <w:t xml:space="preserve"> Exhibit No. MRM-4T at 3:16-20.</w:t>
      </w:r>
    </w:p>
  </w:footnote>
  <w:footnote w:id="197">
    <w:p w:rsidR="000570C1" w:rsidRPr="00904B19" w:rsidRDefault="000570C1">
      <w:pPr>
        <w:pStyle w:val="FootnoteText"/>
        <w:rPr>
          <w:rFonts w:ascii="Times New Roman" w:hAnsi="Times New Roman"/>
        </w:rPr>
      </w:pPr>
      <w:r w:rsidRPr="00904B19">
        <w:rPr>
          <w:rStyle w:val="FootnoteReference"/>
          <w:rFonts w:ascii="Times New Roman" w:hAnsi="Times New Roman"/>
        </w:rPr>
        <w:footnoteRef/>
      </w:r>
      <w:r w:rsidRPr="00904B19">
        <w:rPr>
          <w:rFonts w:ascii="Times New Roman" w:hAnsi="Times New Roman"/>
        </w:rPr>
        <w:t xml:space="preserve"> Exhibit No. MRM-4T at 3:17-19.</w:t>
      </w:r>
    </w:p>
  </w:footnote>
  <w:footnote w:id="198">
    <w:p w:rsidR="000570C1" w:rsidRDefault="000570C1" w:rsidP="00AF0EA8">
      <w:pPr>
        <w:pStyle w:val="NoSpacing"/>
        <w:ind w:hanging="720"/>
      </w:pPr>
      <w:r>
        <w:tab/>
      </w:r>
      <w:r w:rsidRPr="00C2181E">
        <w:rPr>
          <w:rStyle w:val="FootnoteReference"/>
          <w:sz w:val="20"/>
          <w:szCs w:val="20"/>
        </w:rPr>
        <w:footnoteRef/>
      </w:r>
      <w:r w:rsidRPr="00C2181E">
        <w:rPr>
          <w:sz w:val="20"/>
          <w:szCs w:val="20"/>
        </w:rPr>
        <w:t xml:space="preserve"> PSE requested</w:t>
      </w:r>
      <w:r>
        <w:rPr>
          <w:sz w:val="20"/>
          <w:szCs w:val="20"/>
        </w:rPr>
        <w:t xml:space="preserve"> waiver of the </w:t>
      </w:r>
      <w:r w:rsidRPr="00C2181E">
        <w:rPr>
          <w:sz w:val="20"/>
          <w:szCs w:val="20"/>
        </w:rPr>
        <w:t xml:space="preserve">requirement </w:t>
      </w:r>
      <w:r>
        <w:rPr>
          <w:sz w:val="20"/>
          <w:szCs w:val="20"/>
        </w:rPr>
        <w:t xml:space="preserve">for Commission approval of the sale of </w:t>
      </w:r>
      <w:r w:rsidRPr="00C2181E">
        <w:rPr>
          <w:sz w:val="20"/>
          <w:szCs w:val="20"/>
        </w:rPr>
        <w:t>Surplus Property</w:t>
      </w:r>
      <w:r>
        <w:rPr>
          <w:sz w:val="20"/>
          <w:szCs w:val="20"/>
        </w:rPr>
        <w:t xml:space="preserve">, but its request was denied. </w:t>
      </w:r>
      <w:r w:rsidRPr="00C2181E">
        <w:rPr>
          <w:i/>
          <w:sz w:val="20"/>
          <w:szCs w:val="20"/>
        </w:rPr>
        <w:t xml:space="preserve"> In the Matter of the Application </w:t>
      </w:r>
      <w:r>
        <w:rPr>
          <w:i/>
          <w:sz w:val="20"/>
          <w:szCs w:val="20"/>
        </w:rPr>
        <w:t xml:space="preserve">of Puget Sound Energy, Inc., </w:t>
      </w:r>
      <w:r w:rsidRPr="00C2181E">
        <w:rPr>
          <w:sz w:val="20"/>
          <w:szCs w:val="20"/>
        </w:rPr>
        <w:t>Docket UE-090399, Order 01 at ¶12</w:t>
      </w:r>
      <w:r>
        <w:rPr>
          <w:sz w:val="20"/>
          <w:szCs w:val="20"/>
        </w:rPr>
        <w:t xml:space="preserve"> (May 14, 2009)</w:t>
      </w:r>
      <w:r w:rsidRPr="00C2181E">
        <w:rPr>
          <w:sz w:val="20"/>
          <w:szCs w:val="20"/>
        </w:rPr>
        <w:t>.</w:t>
      </w:r>
    </w:p>
  </w:footnote>
  <w:footnote w:id="199">
    <w:p w:rsidR="000570C1" w:rsidRDefault="000570C1" w:rsidP="00676BD3">
      <w:pPr>
        <w:pStyle w:val="NoSpacing"/>
      </w:pPr>
      <w:r w:rsidRPr="00676BD3">
        <w:rPr>
          <w:rStyle w:val="FootnoteReference"/>
          <w:sz w:val="20"/>
          <w:szCs w:val="20"/>
        </w:rPr>
        <w:footnoteRef/>
      </w:r>
      <w:r w:rsidRPr="00676BD3">
        <w:rPr>
          <w:i/>
          <w:sz w:val="20"/>
          <w:szCs w:val="20"/>
        </w:rPr>
        <w:t>In the Matter of the Petitio</w:t>
      </w:r>
      <w:r>
        <w:rPr>
          <w:i/>
          <w:sz w:val="20"/>
          <w:szCs w:val="20"/>
        </w:rPr>
        <w:t>n of Puget Sound Energy, Inc.</w:t>
      </w:r>
      <w:r w:rsidRPr="00676BD3">
        <w:rPr>
          <w:i/>
          <w:sz w:val="20"/>
          <w:szCs w:val="20"/>
        </w:rPr>
        <w:t>,</w:t>
      </w:r>
      <w:r>
        <w:rPr>
          <w:i/>
          <w:sz w:val="20"/>
          <w:szCs w:val="20"/>
        </w:rPr>
        <w:t xml:space="preserve"> </w:t>
      </w:r>
      <w:r w:rsidRPr="00676BD3">
        <w:rPr>
          <w:sz w:val="20"/>
          <w:szCs w:val="20"/>
        </w:rPr>
        <w:t>Docket UE-032043, Order 06 at ¶¶251-253 (February 18, 2005).</w:t>
      </w:r>
      <w:r>
        <w:t xml:space="preserve"> </w:t>
      </w:r>
    </w:p>
  </w:footnote>
  <w:footnote w:id="200">
    <w:p w:rsidR="000570C1" w:rsidRPr="003F72C1" w:rsidRDefault="000570C1" w:rsidP="008A79C8">
      <w:pPr>
        <w:pStyle w:val="NoSpacing"/>
        <w:rPr>
          <w:sz w:val="20"/>
          <w:szCs w:val="20"/>
        </w:rPr>
      </w:pPr>
      <w:r w:rsidRPr="003F72C1">
        <w:rPr>
          <w:rStyle w:val="FootnoteReference"/>
          <w:sz w:val="20"/>
          <w:szCs w:val="20"/>
        </w:rPr>
        <w:footnoteRef/>
      </w:r>
      <w:r w:rsidRPr="003F72C1">
        <w:rPr>
          <w:sz w:val="20"/>
          <w:szCs w:val="20"/>
        </w:rPr>
        <w:t xml:space="preserve"> </w:t>
      </w:r>
      <w:r w:rsidRPr="003F72C1">
        <w:rPr>
          <w:i/>
          <w:sz w:val="20"/>
          <w:szCs w:val="20"/>
        </w:rPr>
        <w:t xml:space="preserve">In the Matter of the Application of Puget Sound Energy, Inc., </w:t>
      </w:r>
      <w:r w:rsidRPr="003F72C1">
        <w:rPr>
          <w:sz w:val="20"/>
          <w:szCs w:val="20"/>
        </w:rPr>
        <w:t xml:space="preserve">Docket UE-090399, Order 01 at ¶13 (May 14, 2009).  </w:t>
      </w:r>
    </w:p>
  </w:footnote>
  <w:footnote w:id="201">
    <w:p w:rsidR="000570C1" w:rsidRPr="003F72C1" w:rsidRDefault="000570C1" w:rsidP="00B72875">
      <w:pPr>
        <w:pStyle w:val="FootnoteText"/>
        <w:rPr>
          <w:rFonts w:ascii="Times New Roman" w:hAnsi="Times New Roman"/>
        </w:rPr>
      </w:pPr>
      <w:r w:rsidRPr="003F72C1">
        <w:rPr>
          <w:rStyle w:val="FootnoteReference"/>
          <w:rFonts w:ascii="Times New Roman" w:hAnsi="Times New Roman"/>
        </w:rPr>
        <w:footnoteRef/>
      </w:r>
      <w:r w:rsidRPr="003F72C1">
        <w:rPr>
          <w:rFonts w:ascii="Times New Roman" w:hAnsi="Times New Roman"/>
        </w:rPr>
        <w:t xml:space="preserve"> Exhibit No</w:t>
      </w:r>
      <w:r>
        <w:rPr>
          <w:rFonts w:ascii="Times New Roman" w:hAnsi="Times New Roman"/>
        </w:rPr>
        <w:t>. JHS-14T at 47:16.</w:t>
      </w:r>
    </w:p>
  </w:footnote>
  <w:footnote w:id="202">
    <w:p w:rsidR="000570C1" w:rsidRPr="00C46002" w:rsidRDefault="000570C1">
      <w:pPr>
        <w:pStyle w:val="FootnoteText"/>
        <w:rPr>
          <w:rFonts w:ascii="Times New Roman" w:hAnsi="Times New Roman"/>
        </w:rPr>
      </w:pPr>
      <w:r w:rsidRPr="003F72C1">
        <w:rPr>
          <w:rStyle w:val="FootnoteReference"/>
          <w:rFonts w:ascii="Times New Roman" w:hAnsi="Times New Roman"/>
        </w:rPr>
        <w:footnoteRef/>
      </w:r>
      <w:r>
        <w:rPr>
          <w:rFonts w:ascii="Times New Roman" w:hAnsi="Times New Roman"/>
        </w:rPr>
        <w:t xml:space="preserve"> </w:t>
      </w:r>
      <w:r w:rsidRPr="00046393">
        <w:rPr>
          <w:rFonts w:ascii="Times New Roman" w:hAnsi="Times New Roman"/>
          <w:i/>
          <w:iCs/>
        </w:rPr>
        <w:t>Supra</w:t>
      </w:r>
      <w:r>
        <w:rPr>
          <w:rFonts w:ascii="Times New Roman" w:hAnsi="Times New Roman"/>
          <w:iCs/>
        </w:rPr>
        <w:t>, fn.153.</w:t>
      </w:r>
      <w:r w:rsidRPr="00C46002">
        <w:rPr>
          <w:rFonts w:ascii="Times New Roman" w:hAnsi="Times New Roman"/>
        </w:rPr>
        <w:t> </w:t>
      </w:r>
    </w:p>
  </w:footnote>
  <w:footnote w:id="203">
    <w:p w:rsidR="000570C1" w:rsidRPr="00D85AD8" w:rsidRDefault="000570C1">
      <w:pPr>
        <w:pStyle w:val="FootnoteText"/>
        <w:rPr>
          <w:rFonts w:ascii="Times New Roman" w:hAnsi="Times New Roman"/>
        </w:rPr>
      </w:pPr>
      <w:r w:rsidRPr="003F72C1">
        <w:rPr>
          <w:rStyle w:val="FootnoteReference"/>
          <w:rFonts w:ascii="Times New Roman" w:hAnsi="Times New Roman"/>
        </w:rPr>
        <w:footnoteRef/>
      </w:r>
      <w:r>
        <w:rPr>
          <w:rFonts w:ascii="Times New Roman" w:hAnsi="Times New Roman"/>
        </w:rPr>
        <w:t xml:space="preserve"> Colstrip </w:t>
      </w:r>
      <w:r w:rsidRPr="003F72C1">
        <w:rPr>
          <w:rFonts w:ascii="Times New Roman" w:hAnsi="Times New Roman"/>
        </w:rPr>
        <w:t xml:space="preserve">Settlement </w:t>
      </w:r>
      <w:r>
        <w:rPr>
          <w:rFonts w:ascii="Times New Roman" w:hAnsi="Times New Roman"/>
        </w:rPr>
        <w:t xml:space="preserve">of </w:t>
      </w:r>
      <w:r w:rsidRPr="003F72C1">
        <w:rPr>
          <w:rFonts w:ascii="Times New Roman" w:hAnsi="Times New Roman"/>
        </w:rPr>
        <w:t>$8,403,596 (Exhibit N</w:t>
      </w:r>
      <w:r>
        <w:rPr>
          <w:rFonts w:ascii="Times New Roman" w:hAnsi="Times New Roman"/>
        </w:rPr>
        <w:t>o. JHS-14T at 47:</w:t>
      </w:r>
      <w:r w:rsidRPr="003F72C1">
        <w:rPr>
          <w:rFonts w:ascii="Times New Roman" w:hAnsi="Times New Roman"/>
        </w:rPr>
        <w:t xml:space="preserve">16) divided by total test year </w:t>
      </w:r>
      <w:r w:rsidRPr="00D85AD8">
        <w:rPr>
          <w:rFonts w:ascii="Times New Roman" w:hAnsi="Times New Roman"/>
        </w:rPr>
        <w:t>expense of $1,992,758,652 (Exhibit No. JHS-16 at 1:32).</w:t>
      </w:r>
    </w:p>
  </w:footnote>
  <w:footnote w:id="204">
    <w:p w:rsidR="000570C1" w:rsidRDefault="000570C1">
      <w:pPr>
        <w:pStyle w:val="FootnoteText"/>
      </w:pPr>
      <w:r w:rsidRPr="00D85AD8">
        <w:rPr>
          <w:rStyle w:val="FootnoteReference"/>
          <w:rFonts w:ascii="Times New Roman" w:hAnsi="Times New Roman"/>
        </w:rPr>
        <w:footnoteRef/>
      </w:r>
      <w:r w:rsidRPr="00D85AD8">
        <w:rPr>
          <w:rFonts w:ascii="Times New Roman" w:hAnsi="Times New Roman"/>
        </w:rPr>
        <w:t xml:space="preserve"> Exhibit No. KHB-1TC at 36:14-19.</w:t>
      </w:r>
    </w:p>
  </w:footnote>
  <w:footnote w:id="205">
    <w:p w:rsidR="000570C1" w:rsidRDefault="000570C1">
      <w:pPr>
        <w:pStyle w:val="FootnoteText"/>
      </w:pPr>
      <w:r w:rsidRPr="00F460DF">
        <w:rPr>
          <w:rStyle w:val="FootnoteReference"/>
          <w:rFonts w:ascii="Times New Roman" w:hAnsi="Times New Roman"/>
        </w:rPr>
        <w:footnoteRef/>
      </w:r>
      <w:r w:rsidRPr="00F460DF">
        <w:rPr>
          <w:rFonts w:ascii="Times New Roman" w:hAnsi="Times New Roman"/>
        </w:rPr>
        <w:t xml:space="preserve"> </w:t>
      </w:r>
      <w:r>
        <w:rPr>
          <w:rFonts w:ascii="Times New Roman" w:hAnsi="Times New Roman"/>
        </w:rPr>
        <w:t>Exhibit No. RG-53HCT at 48:4-5 and Exhibit No. DN-1HCT at 29-32.</w:t>
      </w:r>
    </w:p>
  </w:footnote>
  <w:footnote w:id="206">
    <w:p w:rsidR="000570C1" w:rsidRPr="00D069AC" w:rsidRDefault="000570C1">
      <w:pPr>
        <w:pStyle w:val="FootnoteText"/>
        <w:rPr>
          <w:rFonts w:ascii="Times New Roman" w:hAnsi="Times New Roman"/>
        </w:rPr>
      </w:pPr>
      <w:r w:rsidRPr="00D069AC">
        <w:rPr>
          <w:rStyle w:val="FootnoteReference"/>
          <w:rFonts w:ascii="Times New Roman" w:hAnsi="Times New Roman"/>
        </w:rPr>
        <w:footnoteRef/>
      </w:r>
      <w:r w:rsidRPr="00D069AC">
        <w:rPr>
          <w:rFonts w:ascii="Times New Roman" w:hAnsi="Times New Roman"/>
        </w:rPr>
        <w:t xml:space="preserve"> Exhibit No. JHS-1T at 55:12-13.</w:t>
      </w:r>
    </w:p>
  </w:footnote>
  <w:footnote w:id="207">
    <w:p w:rsidR="000570C1" w:rsidRPr="00860ED7" w:rsidRDefault="000570C1">
      <w:pPr>
        <w:pStyle w:val="FootnoteText"/>
        <w:rPr>
          <w:rFonts w:ascii="Times New Roman" w:hAnsi="Times New Roman"/>
        </w:rPr>
      </w:pPr>
      <w:r w:rsidRPr="00860ED7">
        <w:rPr>
          <w:rStyle w:val="FootnoteReference"/>
          <w:rFonts w:ascii="Times New Roman" w:hAnsi="Times New Roman"/>
        </w:rPr>
        <w:footnoteRef/>
      </w:r>
      <w:r w:rsidRPr="00860ED7">
        <w:rPr>
          <w:rFonts w:ascii="Times New Roman" w:hAnsi="Times New Roman"/>
        </w:rPr>
        <w:t xml:space="preserve"> Exhibit No. MRM-5.</w:t>
      </w:r>
    </w:p>
  </w:footnote>
  <w:footnote w:id="208">
    <w:p w:rsidR="000570C1" w:rsidRPr="00860ED7" w:rsidRDefault="000570C1">
      <w:pPr>
        <w:pStyle w:val="FootnoteText"/>
        <w:rPr>
          <w:rFonts w:ascii="Times New Roman" w:hAnsi="Times New Roman"/>
        </w:rPr>
      </w:pPr>
      <w:r w:rsidRPr="00860ED7">
        <w:rPr>
          <w:rStyle w:val="FootnoteReference"/>
          <w:rFonts w:ascii="Times New Roman" w:hAnsi="Times New Roman"/>
        </w:rPr>
        <w:footnoteRef/>
      </w:r>
      <w:r>
        <w:rPr>
          <w:rFonts w:ascii="Times New Roman" w:hAnsi="Times New Roman"/>
        </w:rPr>
        <w:t xml:space="preserve"> Exhibit No. B</w:t>
      </w:r>
      <w:r w:rsidRPr="00860ED7">
        <w:rPr>
          <w:rFonts w:ascii="Times New Roman" w:hAnsi="Times New Roman"/>
        </w:rPr>
        <w:t>-3 at Exhibit No. KHB-2, page 2.40.</w:t>
      </w:r>
    </w:p>
  </w:footnote>
  <w:footnote w:id="209">
    <w:p w:rsidR="000570C1" w:rsidRPr="00227264" w:rsidRDefault="000570C1">
      <w:pPr>
        <w:pStyle w:val="FootnoteText"/>
        <w:rPr>
          <w:rFonts w:ascii="Times New Roman" w:hAnsi="Times New Roman"/>
        </w:rPr>
      </w:pPr>
      <w:r w:rsidRPr="00227264">
        <w:rPr>
          <w:rStyle w:val="FootnoteReference"/>
          <w:rFonts w:ascii="Times New Roman" w:hAnsi="Times New Roman"/>
        </w:rPr>
        <w:footnoteRef/>
      </w:r>
      <w:r w:rsidRPr="00227264">
        <w:rPr>
          <w:rFonts w:ascii="Times New Roman" w:hAnsi="Times New Roman"/>
        </w:rPr>
        <w:t xml:space="preserve"> Exhibit No. JHS-1T at 69-70.</w:t>
      </w:r>
    </w:p>
  </w:footnote>
  <w:footnote w:id="210">
    <w:p w:rsidR="000570C1" w:rsidRPr="00227264" w:rsidRDefault="000570C1">
      <w:pPr>
        <w:pStyle w:val="FootnoteText"/>
        <w:rPr>
          <w:rFonts w:ascii="Times New Roman" w:hAnsi="Times New Roman"/>
        </w:rPr>
      </w:pPr>
      <w:r w:rsidRPr="00227264">
        <w:rPr>
          <w:rStyle w:val="FootnoteReference"/>
          <w:rFonts w:ascii="Times New Roman" w:hAnsi="Times New Roman"/>
        </w:rPr>
        <w:footnoteRef/>
      </w:r>
      <w:r w:rsidRPr="00227264">
        <w:rPr>
          <w:rFonts w:ascii="Times New Roman" w:hAnsi="Times New Roman"/>
        </w:rPr>
        <w:t xml:space="preserve"> Exhibit No. JHS-1T at 73.</w:t>
      </w:r>
    </w:p>
  </w:footnote>
  <w:footnote w:id="211">
    <w:p w:rsidR="000570C1" w:rsidRPr="00227264" w:rsidRDefault="000570C1">
      <w:pPr>
        <w:pStyle w:val="FootnoteText"/>
        <w:rPr>
          <w:rFonts w:ascii="Times New Roman" w:hAnsi="Times New Roman"/>
        </w:rPr>
      </w:pPr>
      <w:r w:rsidRPr="00227264">
        <w:rPr>
          <w:rStyle w:val="FootnoteReference"/>
          <w:rFonts w:ascii="Times New Roman" w:hAnsi="Times New Roman"/>
        </w:rPr>
        <w:footnoteRef/>
      </w:r>
      <w:r>
        <w:rPr>
          <w:rFonts w:ascii="Times New Roman" w:hAnsi="Times New Roman"/>
        </w:rPr>
        <w:t xml:space="preserve"> Exhibit No. JHS-14</w:t>
      </w:r>
      <w:r w:rsidRPr="00227264">
        <w:rPr>
          <w:rFonts w:ascii="Times New Roman" w:hAnsi="Times New Roman"/>
        </w:rPr>
        <w:t xml:space="preserve">T at </w:t>
      </w:r>
      <w:r>
        <w:rPr>
          <w:rFonts w:ascii="Times New Roman" w:hAnsi="Times New Roman"/>
        </w:rPr>
        <w:t>52:4-5.</w:t>
      </w:r>
    </w:p>
  </w:footnote>
  <w:footnote w:id="212">
    <w:p w:rsidR="000570C1" w:rsidRPr="009C4420" w:rsidRDefault="000570C1">
      <w:pPr>
        <w:pStyle w:val="FootnoteText"/>
        <w:rPr>
          <w:rFonts w:ascii="Times New Roman" w:hAnsi="Times New Roman"/>
        </w:rPr>
      </w:pPr>
      <w:r w:rsidRPr="009C4420">
        <w:rPr>
          <w:rStyle w:val="FootnoteReference"/>
          <w:rFonts w:ascii="Times New Roman" w:hAnsi="Times New Roman"/>
        </w:rPr>
        <w:footnoteRef/>
      </w:r>
      <w:r w:rsidRPr="009C4420">
        <w:rPr>
          <w:rFonts w:ascii="Times New Roman" w:hAnsi="Times New Roman"/>
        </w:rPr>
        <w:t xml:space="preserve"> Exhibit No. JHS-1T at 71.</w:t>
      </w:r>
    </w:p>
  </w:footnote>
  <w:footnote w:id="213">
    <w:p w:rsidR="000570C1" w:rsidRPr="009C4420" w:rsidRDefault="000570C1">
      <w:pPr>
        <w:pStyle w:val="FootnoteText"/>
        <w:rPr>
          <w:rFonts w:ascii="Times New Roman" w:hAnsi="Times New Roman"/>
        </w:rPr>
      </w:pPr>
      <w:r w:rsidRPr="009C4420">
        <w:rPr>
          <w:rStyle w:val="FootnoteReference"/>
          <w:rFonts w:ascii="Times New Roman" w:hAnsi="Times New Roman"/>
        </w:rPr>
        <w:footnoteRef/>
      </w:r>
      <w:r w:rsidRPr="009C4420">
        <w:rPr>
          <w:rFonts w:ascii="Times New Roman" w:hAnsi="Times New Roman"/>
        </w:rPr>
        <w:t xml:space="preserve"> Exhibit No. JHS-1T at 72.</w:t>
      </w:r>
    </w:p>
  </w:footnote>
  <w:footnote w:id="214">
    <w:p w:rsidR="000570C1" w:rsidRPr="00B4280F" w:rsidRDefault="000570C1">
      <w:pPr>
        <w:pStyle w:val="FootnoteText"/>
        <w:rPr>
          <w:rFonts w:ascii="Times New Roman" w:hAnsi="Times New Roman"/>
        </w:rPr>
      </w:pPr>
      <w:r w:rsidRPr="00B4280F">
        <w:rPr>
          <w:rStyle w:val="FootnoteReference"/>
          <w:rFonts w:ascii="Times New Roman" w:hAnsi="Times New Roman"/>
        </w:rPr>
        <w:footnoteRef/>
      </w:r>
      <w:r w:rsidRPr="00B4280F">
        <w:rPr>
          <w:rFonts w:ascii="Times New Roman" w:hAnsi="Times New Roman"/>
        </w:rPr>
        <w:t xml:space="preserve"> Exhibit No. RCM-1T at 20:21-22:7 and 22:19-24:16.</w:t>
      </w:r>
    </w:p>
  </w:footnote>
  <w:footnote w:id="215">
    <w:p w:rsidR="000570C1" w:rsidRDefault="000570C1" w:rsidP="000724BB">
      <w:pPr>
        <w:pStyle w:val="CommentText"/>
      </w:pPr>
      <w:r w:rsidRPr="00B4280F">
        <w:rPr>
          <w:rStyle w:val="FootnoteReference"/>
          <w:rFonts w:ascii="Times New Roman" w:hAnsi="Times New Roman"/>
        </w:rPr>
        <w:footnoteRef/>
      </w:r>
      <w:r w:rsidRPr="00B4280F">
        <w:rPr>
          <w:rFonts w:ascii="Times New Roman" w:hAnsi="Times New Roman"/>
        </w:rPr>
        <w:t xml:space="preserve"> Exhibit No. RCM-1T at</w:t>
      </w:r>
      <w:r>
        <w:rPr>
          <w:rFonts w:ascii="Times New Roman" w:hAnsi="Times New Roman"/>
        </w:rPr>
        <w:t xml:space="preserve"> 22:8-17.  </w:t>
      </w:r>
      <w:r w:rsidRPr="000724BB">
        <w:rPr>
          <w:rFonts w:ascii="Times New Roman" w:hAnsi="Times New Roman"/>
        </w:rPr>
        <w:t xml:space="preserve">Mint </w:t>
      </w:r>
      <w:r>
        <w:rPr>
          <w:rFonts w:ascii="Times New Roman" w:hAnsi="Times New Roman"/>
        </w:rPr>
        <w:t xml:space="preserve">Farm deferred costs include </w:t>
      </w:r>
      <w:r w:rsidRPr="000724BB">
        <w:rPr>
          <w:rFonts w:ascii="Times New Roman" w:hAnsi="Times New Roman"/>
        </w:rPr>
        <w:t>fixed and variable costs</w:t>
      </w:r>
      <w:r>
        <w:rPr>
          <w:rFonts w:ascii="Times New Roman" w:hAnsi="Times New Roman"/>
        </w:rPr>
        <w:t>,</w:t>
      </w:r>
      <w:r w:rsidRPr="000724BB">
        <w:rPr>
          <w:rFonts w:ascii="Times New Roman" w:hAnsi="Times New Roman"/>
        </w:rPr>
        <w:t xml:space="preserve"> as defined </w:t>
      </w:r>
      <w:r>
        <w:rPr>
          <w:rFonts w:ascii="Times New Roman" w:hAnsi="Times New Roman"/>
        </w:rPr>
        <w:t>by the PCA</w:t>
      </w:r>
      <w:r w:rsidRPr="000724BB">
        <w:rPr>
          <w:rFonts w:ascii="Times New Roman" w:hAnsi="Times New Roman"/>
        </w:rPr>
        <w:t>. E</w:t>
      </w:r>
      <w:r>
        <w:rPr>
          <w:rFonts w:ascii="Times New Roman" w:hAnsi="Times New Roman"/>
        </w:rPr>
        <w:t xml:space="preserve">xhibit No. </w:t>
      </w:r>
      <w:r w:rsidRPr="000724BB">
        <w:rPr>
          <w:rFonts w:ascii="Times New Roman" w:hAnsi="Times New Roman"/>
        </w:rPr>
        <w:t>JHS</w:t>
      </w:r>
      <w:r>
        <w:rPr>
          <w:rFonts w:ascii="Times New Roman" w:hAnsi="Times New Roman"/>
        </w:rPr>
        <w:t xml:space="preserve">-1T at 66: </w:t>
      </w:r>
      <w:r w:rsidRPr="000724BB">
        <w:rPr>
          <w:rFonts w:ascii="Times New Roman" w:hAnsi="Times New Roman"/>
        </w:rPr>
        <w:t xml:space="preserve">13-14. </w:t>
      </w:r>
      <w:r>
        <w:rPr>
          <w:rFonts w:ascii="Times New Roman" w:hAnsi="Times New Roman"/>
        </w:rPr>
        <w:t xml:space="preserve"> However, in calculating its adjustment, PSE excluded variable costs </w:t>
      </w:r>
      <w:r w:rsidRPr="000724BB">
        <w:rPr>
          <w:rFonts w:ascii="Times New Roman" w:hAnsi="Times New Roman"/>
        </w:rPr>
        <w:t>on the a</w:t>
      </w:r>
      <w:r>
        <w:rPr>
          <w:rFonts w:ascii="Times New Roman" w:hAnsi="Times New Roman"/>
        </w:rPr>
        <w:t xml:space="preserve">ssumption that all such costs </w:t>
      </w:r>
      <w:r w:rsidRPr="000724BB">
        <w:rPr>
          <w:rFonts w:ascii="Times New Roman" w:hAnsi="Times New Roman"/>
        </w:rPr>
        <w:t>will be offset</w:t>
      </w:r>
      <w:r>
        <w:rPr>
          <w:rFonts w:ascii="Times New Roman" w:hAnsi="Times New Roman"/>
        </w:rPr>
        <w:t xml:space="preserve"> by the credit for market power or the credit for over-recovery of power costs. </w:t>
      </w:r>
      <w:r w:rsidRPr="000724BB">
        <w:rPr>
          <w:rFonts w:ascii="Times New Roman" w:hAnsi="Times New Roman"/>
        </w:rPr>
        <w:t xml:space="preserve"> This will be trued-up in a subsequent </w:t>
      </w:r>
      <w:r>
        <w:rPr>
          <w:rFonts w:ascii="Times New Roman" w:hAnsi="Times New Roman"/>
        </w:rPr>
        <w:t>rate cases based on actual deferrals</w:t>
      </w:r>
      <w:r w:rsidRPr="000724BB">
        <w:rPr>
          <w:rFonts w:ascii="Times New Roman" w:hAnsi="Times New Roman"/>
        </w:rPr>
        <w:t xml:space="preserve">. </w:t>
      </w:r>
      <w:r>
        <w:rPr>
          <w:rFonts w:ascii="Times New Roman" w:hAnsi="Times New Roman"/>
        </w:rPr>
        <w:t xml:space="preserve">  Exhibit No. JHS-1T at 56:</w:t>
      </w:r>
      <w:r w:rsidRPr="000724BB">
        <w:rPr>
          <w:rFonts w:ascii="Times New Roman" w:hAnsi="Times New Roman"/>
        </w:rPr>
        <w:t>12-16.</w:t>
      </w:r>
      <w:r>
        <w:rPr>
          <w:rFonts w:ascii="Times New Roman" w:hAnsi="Times New Roman"/>
        </w:rPr>
        <w:t xml:space="preserve">  </w:t>
      </w:r>
      <w:r w:rsidRPr="000724BB">
        <w:rPr>
          <w:rFonts w:ascii="Times New Roman" w:hAnsi="Times New Roman"/>
        </w:rPr>
        <w:t>Rather than</w:t>
      </w:r>
      <w:r>
        <w:rPr>
          <w:rFonts w:ascii="Times New Roman" w:hAnsi="Times New Roman"/>
        </w:rPr>
        <w:t xml:space="preserve"> assuming that all </w:t>
      </w:r>
      <w:r w:rsidRPr="000724BB">
        <w:rPr>
          <w:rFonts w:ascii="Times New Roman" w:hAnsi="Times New Roman"/>
        </w:rPr>
        <w:t>variable cost</w:t>
      </w:r>
      <w:r>
        <w:rPr>
          <w:rFonts w:ascii="Times New Roman" w:hAnsi="Times New Roman"/>
        </w:rPr>
        <w:t>s will be offset</w:t>
      </w:r>
      <w:r w:rsidRPr="000724BB">
        <w:rPr>
          <w:rFonts w:ascii="Times New Roman" w:hAnsi="Times New Roman"/>
        </w:rPr>
        <w:t xml:space="preserve"> and wai</w:t>
      </w:r>
      <w:r>
        <w:rPr>
          <w:rFonts w:ascii="Times New Roman" w:hAnsi="Times New Roman"/>
        </w:rPr>
        <w:t xml:space="preserve">ting for the </w:t>
      </w:r>
      <w:r w:rsidRPr="000724BB">
        <w:rPr>
          <w:rFonts w:ascii="Times New Roman" w:hAnsi="Times New Roman"/>
        </w:rPr>
        <w:t>true-up, St</w:t>
      </w:r>
      <w:r>
        <w:rPr>
          <w:rFonts w:ascii="Times New Roman" w:hAnsi="Times New Roman"/>
        </w:rPr>
        <w:t>aff’s adjustment includes actual deferred variable costs</w:t>
      </w:r>
      <w:r w:rsidRPr="000724BB">
        <w:rPr>
          <w:rFonts w:ascii="Times New Roman" w:hAnsi="Times New Roman"/>
        </w:rPr>
        <w:t xml:space="preserve"> as of November 2009 from Exhibit </w:t>
      </w:r>
      <w:r>
        <w:rPr>
          <w:rFonts w:ascii="Times New Roman" w:hAnsi="Times New Roman"/>
        </w:rPr>
        <w:t xml:space="preserve">No. </w:t>
      </w:r>
      <w:r w:rsidRPr="000724BB">
        <w:rPr>
          <w:rFonts w:ascii="Times New Roman" w:hAnsi="Times New Roman"/>
        </w:rPr>
        <w:t xml:space="preserve">JHS-27C.  </w:t>
      </w:r>
      <w:r>
        <w:rPr>
          <w:rFonts w:ascii="Times New Roman" w:hAnsi="Times New Roman"/>
        </w:rPr>
        <w:t xml:space="preserve">Staff’s adjustment is shown on Exhibit No. B-3 at Exhibit No. KHB-2, page 2.41.  </w:t>
      </w:r>
    </w:p>
  </w:footnote>
  <w:footnote w:id="216">
    <w:p w:rsidR="000570C1" w:rsidRDefault="000570C1">
      <w:pPr>
        <w:pStyle w:val="FootnoteText"/>
      </w:pPr>
      <w:r w:rsidRPr="00AE7718">
        <w:rPr>
          <w:rStyle w:val="FootnoteReference"/>
          <w:rFonts w:ascii="Times New Roman" w:hAnsi="Times New Roman"/>
        </w:rPr>
        <w:footnoteRef/>
      </w:r>
      <w:r w:rsidRPr="00AE7718">
        <w:rPr>
          <w:rFonts w:ascii="Times New Roman" w:hAnsi="Times New Roman"/>
        </w:rPr>
        <w:t xml:space="preserve"> Exhibit</w:t>
      </w:r>
      <w:r w:rsidRPr="00227264">
        <w:rPr>
          <w:rFonts w:ascii="Times New Roman" w:hAnsi="Times New Roman"/>
        </w:rPr>
        <w:t xml:space="preserve"> No. JHS-1T at</w:t>
      </w:r>
      <w:r>
        <w:rPr>
          <w:rFonts w:ascii="Times New Roman" w:hAnsi="Times New Roman"/>
        </w:rPr>
        <w:t xml:space="preserve"> 70:3-10.</w:t>
      </w:r>
    </w:p>
  </w:footnote>
  <w:footnote w:id="217">
    <w:p w:rsidR="000570C1" w:rsidRPr="009673B9" w:rsidRDefault="000570C1">
      <w:pPr>
        <w:pStyle w:val="FootnoteText"/>
        <w:rPr>
          <w:rFonts w:ascii="Times New Roman" w:hAnsi="Times New Roman"/>
        </w:rPr>
      </w:pPr>
      <w:r w:rsidRPr="009673B9">
        <w:rPr>
          <w:rStyle w:val="FootnoteReference"/>
          <w:rFonts w:ascii="Times New Roman" w:hAnsi="Times New Roman"/>
        </w:rPr>
        <w:footnoteRef/>
      </w:r>
      <w:r w:rsidRPr="009673B9">
        <w:rPr>
          <w:rFonts w:ascii="Times New Roman" w:hAnsi="Times New Roman"/>
        </w:rPr>
        <w:t xml:space="preserve"> Exhibit No</w:t>
      </w:r>
      <w:r>
        <w:rPr>
          <w:rFonts w:ascii="Times New Roman" w:hAnsi="Times New Roman"/>
        </w:rPr>
        <w:t>.</w:t>
      </w:r>
      <w:r w:rsidRPr="009673B9">
        <w:rPr>
          <w:rFonts w:ascii="Times New Roman" w:hAnsi="Times New Roman"/>
        </w:rPr>
        <w:t xml:space="preserve"> RCM-1T at 22:19-24:16.</w:t>
      </w:r>
    </w:p>
  </w:footnote>
  <w:footnote w:id="218">
    <w:p w:rsidR="000570C1" w:rsidRPr="008240F6" w:rsidRDefault="000570C1" w:rsidP="007000A0">
      <w:pPr>
        <w:pStyle w:val="FootnoteText"/>
        <w:rPr>
          <w:rFonts w:ascii="Times New Roman" w:hAnsi="Times New Roman"/>
        </w:rPr>
      </w:pPr>
      <w:r w:rsidRPr="008240F6">
        <w:rPr>
          <w:rStyle w:val="FootnoteReference"/>
          <w:rFonts w:ascii="Times New Roman" w:hAnsi="Times New Roman"/>
        </w:rPr>
        <w:footnoteRef/>
      </w:r>
      <w:r w:rsidRPr="008240F6">
        <w:rPr>
          <w:rFonts w:ascii="Times New Roman" w:hAnsi="Times New Roman"/>
        </w:rPr>
        <w:t xml:space="preserve"> </w:t>
      </w:r>
      <w:r w:rsidRPr="008240F6">
        <w:rPr>
          <w:rFonts w:ascii="Times New Roman" w:hAnsi="Times New Roman"/>
          <w:i/>
        </w:rPr>
        <w:t>Id</w:t>
      </w:r>
      <w:r w:rsidRPr="008240F6">
        <w:rPr>
          <w:rFonts w:ascii="Times New Roman" w:hAnsi="Times New Roman"/>
        </w:rPr>
        <w:t xml:space="preserve">. </w:t>
      </w:r>
    </w:p>
  </w:footnote>
  <w:footnote w:id="219">
    <w:p w:rsidR="000570C1" w:rsidRDefault="000570C1" w:rsidP="00B4280F">
      <w:pPr>
        <w:pStyle w:val="BodyTextIndent"/>
        <w:spacing w:after="0"/>
        <w:ind w:left="0"/>
      </w:pPr>
      <w:r w:rsidRPr="00F87B5A">
        <w:rPr>
          <w:rStyle w:val="FootnoteReference"/>
          <w:rFonts w:ascii="Times New Roman" w:hAnsi="Times New Roman"/>
        </w:rPr>
        <w:footnoteRef/>
      </w:r>
      <w:r w:rsidRPr="00F87B5A">
        <w:rPr>
          <w:rFonts w:ascii="Times New Roman" w:hAnsi="Times New Roman"/>
        </w:rPr>
        <w:t xml:space="preserve"> </w:t>
      </w:r>
      <w:r w:rsidRPr="000724BB">
        <w:rPr>
          <w:rFonts w:ascii="Times New Roman" w:hAnsi="Times New Roman"/>
          <w:sz w:val="20"/>
          <w:szCs w:val="20"/>
        </w:rPr>
        <w:t>The excluded variable</w:t>
      </w:r>
      <w:r>
        <w:rPr>
          <w:rFonts w:ascii="Times New Roman" w:hAnsi="Times New Roman"/>
          <w:sz w:val="20"/>
          <w:szCs w:val="20"/>
        </w:rPr>
        <w:t xml:space="preserve"> costs</w:t>
      </w:r>
      <w:r>
        <w:rPr>
          <w:rFonts w:ascii="Times New Roman" w:hAnsi="Times New Roman"/>
        </w:rPr>
        <w:t xml:space="preserve"> </w:t>
      </w:r>
      <w:r>
        <w:rPr>
          <w:rFonts w:ascii="Times New Roman" w:hAnsi="Times New Roman"/>
          <w:sz w:val="20"/>
          <w:szCs w:val="20"/>
        </w:rPr>
        <w:t>lower the allowable costs available for sharing</w:t>
      </w:r>
      <w:r w:rsidRPr="007000A0">
        <w:rPr>
          <w:rFonts w:ascii="Times New Roman" w:hAnsi="Times New Roman"/>
          <w:sz w:val="20"/>
          <w:szCs w:val="20"/>
        </w:rPr>
        <w:t xml:space="preserve">.  A negative balance of the ratepayer share reduces rates when the cumulative customer share of the credit reaches $30 million or more.  If the balance is positive, PSE can increase rates when the balance of the deferral account is approximately $30 million. </w:t>
      </w:r>
      <w:r>
        <w:rPr>
          <w:rFonts w:ascii="Times New Roman" w:hAnsi="Times New Roman"/>
          <w:sz w:val="20"/>
          <w:szCs w:val="20"/>
        </w:rPr>
        <w:t xml:space="preserve"> Exhibit No. RCM-1T at 23:17-23.</w:t>
      </w:r>
    </w:p>
  </w:footnote>
  <w:footnote w:id="220">
    <w:p w:rsidR="000570C1" w:rsidRPr="003322B1" w:rsidRDefault="000570C1" w:rsidP="00CF709C">
      <w:pPr>
        <w:pStyle w:val="FootnoteText"/>
        <w:rPr>
          <w:rFonts w:ascii="Times New Roman" w:hAnsi="Times New Roman"/>
        </w:rPr>
      </w:pPr>
      <w:r w:rsidRPr="003322B1">
        <w:rPr>
          <w:rStyle w:val="FootnoteReference"/>
          <w:rFonts w:ascii="Times New Roman" w:hAnsi="Times New Roman"/>
        </w:rPr>
        <w:footnoteRef/>
      </w:r>
      <w:r>
        <w:rPr>
          <w:rFonts w:ascii="Times New Roman" w:hAnsi="Times New Roman"/>
        </w:rPr>
        <w:t xml:space="preserve"> Exhibit No. JHS-14T at 55:16-56:32</w:t>
      </w:r>
      <w:r w:rsidRPr="003322B1">
        <w:rPr>
          <w:rFonts w:ascii="Times New Roman" w:hAnsi="Times New Roman"/>
        </w:rPr>
        <w:t>.</w:t>
      </w:r>
    </w:p>
  </w:footnote>
  <w:footnote w:id="221">
    <w:p w:rsidR="000570C1" w:rsidRPr="00536671" w:rsidRDefault="000570C1">
      <w:pPr>
        <w:pStyle w:val="FootnoteText"/>
        <w:rPr>
          <w:rFonts w:ascii="Times New Roman" w:hAnsi="Times New Roman"/>
        </w:rPr>
      </w:pPr>
      <w:r w:rsidRPr="00536671">
        <w:rPr>
          <w:rStyle w:val="FootnoteReference"/>
          <w:rFonts w:ascii="Times New Roman" w:hAnsi="Times New Roman"/>
        </w:rPr>
        <w:footnoteRef/>
      </w:r>
      <w:r w:rsidRPr="00536671">
        <w:rPr>
          <w:rFonts w:ascii="Times New Roman" w:hAnsi="Times New Roman"/>
        </w:rPr>
        <w:t xml:space="preserve"> </w:t>
      </w:r>
      <w:r w:rsidRPr="00536671">
        <w:rPr>
          <w:rFonts w:ascii="Times New Roman" w:hAnsi="Times New Roman"/>
          <w:i/>
        </w:rPr>
        <w:t>WUTC v. Puget Sound Energy, Inc</w:t>
      </w:r>
      <w:r w:rsidRPr="00536671">
        <w:rPr>
          <w:rFonts w:ascii="Times New Roman" w:hAnsi="Times New Roman"/>
        </w:rPr>
        <w:t>., Dockets UE-072300 and UG-072301, Order 13 (January 15, 2009).</w:t>
      </w:r>
    </w:p>
  </w:footnote>
  <w:footnote w:id="222">
    <w:p w:rsidR="000570C1" w:rsidRPr="009E1D34" w:rsidRDefault="000570C1">
      <w:pPr>
        <w:pStyle w:val="FootnoteText"/>
        <w:rPr>
          <w:rFonts w:ascii="Times New Roman" w:hAnsi="Times New Roman"/>
        </w:rPr>
      </w:pPr>
      <w:r w:rsidRPr="009E1D34">
        <w:rPr>
          <w:rStyle w:val="FootnoteReference"/>
          <w:rFonts w:ascii="Times New Roman" w:hAnsi="Times New Roman"/>
        </w:rPr>
        <w:footnoteRef/>
      </w:r>
      <w:r>
        <w:rPr>
          <w:rFonts w:ascii="Times New Roman" w:hAnsi="Times New Roman"/>
        </w:rPr>
        <w:t xml:space="preserve"> Exhibit No. JHS-1T at 73:13-15</w:t>
      </w:r>
      <w:r w:rsidRPr="009E1D34">
        <w:rPr>
          <w:rFonts w:ascii="Times New Roman" w:hAnsi="Times New Roman"/>
        </w:rPr>
        <w:t>.</w:t>
      </w:r>
      <w:r>
        <w:rPr>
          <w:rFonts w:ascii="Times New Roman" w:hAnsi="Times New Roman"/>
        </w:rPr>
        <w:t xml:space="preserve">  </w:t>
      </w:r>
    </w:p>
  </w:footnote>
  <w:footnote w:id="223">
    <w:p w:rsidR="000570C1" w:rsidRPr="00A57F57" w:rsidRDefault="000570C1">
      <w:pPr>
        <w:pStyle w:val="FootnoteText"/>
        <w:rPr>
          <w:rFonts w:ascii="Times New Roman" w:hAnsi="Times New Roman"/>
        </w:rPr>
      </w:pPr>
      <w:r w:rsidRPr="00A57F57">
        <w:rPr>
          <w:rStyle w:val="FootnoteReference"/>
          <w:rFonts w:ascii="Times New Roman" w:hAnsi="Times New Roman"/>
        </w:rPr>
        <w:footnoteRef/>
      </w:r>
      <w:r w:rsidRPr="00A57F57">
        <w:rPr>
          <w:rFonts w:ascii="Times New Roman" w:hAnsi="Times New Roman"/>
        </w:rPr>
        <w:t xml:space="preserve"> Exhibit No. RCM-1T at 21:1-7.</w:t>
      </w:r>
    </w:p>
  </w:footnote>
  <w:footnote w:id="224">
    <w:p w:rsidR="000570C1" w:rsidRDefault="000570C1">
      <w:pPr>
        <w:pStyle w:val="FootnoteText"/>
      </w:pPr>
      <w:r w:rsidRPr="001A58B5">
        <w:rPr>
          <w:rStyle w:val="FootnoteReference"/>
          <w:rFonts w:ascii="Times New Roman" w:hAnsi="Times New Roman"/>
        </w:rPr>
        <w:footnoteRef/>
      </w:r>
      <w:r w:rsidRPr="001A58B5">
        <w:rPr>
          <w:rFonts w:ascii="Times New Roman" w:hAnsi="Times New Roman"/>
        </w:rPr>
        <w:t xml:space="preserve"> Exhibit No. RCM-1T at 22:8-17.</w:t>
      </w:r>
    </w:p>
  </w:footnote>
  <w:footnote w:id="225">
    <w:p w:rsidR="000570C1" w:rsidRPr="00794052" w:rsidRDefault="000570C1">
      <w:pPr>
        <w:pStyle w:val="FootnoteText"/>
        <w:rPr>
          <w:rFonts w:ascii="Times New Roman" w:hAnsi="Times New Roman"/>
        </w:rPr>
      </w:pPr>
      <w:r w:rsidRPr="00794052">
        <w:rPr>
          <w:rStyle w:val="FootnoteReference"/>
          <w:rFonts w:ascii="Times New Roman" w:hAnsi="Times New Roman"/>
        </w:rPr>
        <w:footnoteRef/>
      </w:r>
      <w:r>
        <w:rPr>
          <w:rFonts w:ascii="Times New Roman" w:hAnsi="Times New Roman"/>
        </w:rPr>
        <w:t xml:space="preserve"> Exhibit No. DN-1HCT at </w:t>
      </w:r>
      <w:r w:rsidRPr="006A2EFA">
        <w:rPr>
          <w:rFonts w:ascii="Times New Roman" w:hAnsi="Times New Roman"/>
        </w:rPr>
        <w:t>16:14-19</w:t>
      </w:r>
      <w:r w:rsidRPr="00794052">
        <w:rPr>
          <w:rFonts w:ascii="Times New Roman" w:hAnsi="Times New Roman"/>
        </w:rPr>
        <w:t>.</w:t>
      </w:r>
    </w:p>
  </w:footnote>
  <w:footnote w:id="226">
    <w:p w:rsidR="000570C1" w:rsidRPr="00F416DE" w:rsidRDefault="000570C1">
      <w:pPr>
        <w:pStyle w:val="FootnoteText"/>
        <w:rPr>
          <w:rFonts w:ascii="Times New Roman" w:hAnsi="Times New Roman"/>
        </w:rPr>
      </w:pPr>
      <w:r w:rsidRPr="00F416DE">
        <w:rPr>
          <w:rStyle w:val="FootnoteReference"/>
          <w:rFonts w:ascii="Times New Roman" w:hAnsi="Times New Roman"/>
        </w:rPr>
        <w:footnoteRef/>
      </w:r>
      <w:r w:rsidRPr="00F416DE">
        <w:rPr>
          <w:rFonts w:ascii="Times New Roman" w:hAnsi="Times New Roman"/>
        </w:rPr>
        <w:t xml:space="preserve"> Exhibit No. RCM-1T at 17:11-19.</w:t>
      </w:r>
    </w:p>
  </w:footnote>
  <w:footnote w:id="227">
    <w:p w:rsidR="000570C1" w:rsidRPr="00642B81" w:rsidRDefault="000570C1" w:rsidP="00642B81">
      <w:pPr>
        <w:pStyle w:val="FootnoteText"/>
        <w:rPr>
          <w:rFonts w:ascii="Times New Roman" w:hAnsi="Times New Roman"/>
        </w:rPr>
      </w:pPr>
      <w:r w:rsidRPr="00642B81">
        <w:rPr>
          <w:rStyle w:val="FootnoteReference"/>
          <w:rFonts w:ascii="Times New Roman" w:hAnsi="Times New Roman"/>
        </w:rPr>
        <w:footnoteRef/>
      </w:r>
      <w:r w:rsidRPr="00642B81">
        <w:rPr>
          <w:rFonts w:ascii="Times New Roman" w:hAnsi="Times New Roman"/>
        </w:rPr>
        <w:t xml:space="preserve"> Sta</w:t>
      </w:r>
      <w:r>
        <w:rPr>
          <w:rFonts w:ascii="Times New Roman" w:hAnsi="Times New Roman"/>
        </w:rPr>
        <w:t xml:space="preserve">ff’s adjustment uses the </w:t>
      </w:r>
      <w:r w:rsidRPr="00642B81">
        <w:rPr>
          <w:rFonts w:ascii="Times New Roman" w:hAnsi="Times New Roman"/>
        </w:rPr>
        <w:t xml:space="preserve">actual data </w:t>
      </w:r>
      <w:r>
        <w:rPr>
          <w:rFonts w:ascii="Times New Roman" w:hAnsi="Times New Roman"/>
        </w:rPr>
        <w:t xml:space="preserve">through December 2009 </w:t>
      </w:r>
      <w:r w:rsidRPr="00642B81">
        <w:rPr>
          <w:rFonts w:ascii="Times New Roman" w:hAnsi="Times New Roman"/>
        </w:rPr>
        <w:t>and monthly estimates for the remainder of the deferral period, as provided in Exhibit No</w:t>
      </w:r>
      <w:r>
        <w:rPr>
          <w:rFonts w:ascii="Times New Roman" w:hAnsi="Times New Roman"/>
        </w:rPr>
        <w:t>.</w:t>
      </w:r>
      <w:r w:rsidRPr="00642B81">
        <w:rPr>
          <w:rFonts w:ascii="Times New Roman" w:hAnsi="Times New Roman"/>
        </w:rPr>
        <w:t xml:space="preserve"> JHS-34 at 3 and 5.</w:t>
      </w:r>
      <w:r>
        <w:rPr>
          <w:rFonts w:ascii="Times New Roman" w:hAnsi="Times New Roman"/>
        </w:rPr>
        <w:t xml:space="preserve">  The calculation of Staff’s adjustment is shown on Exhibit No. B-3 at Exhibit No. KHB-2, page 2.45.</w:t>
      </w:r>
    </w:p>
  </w:footnote>
  <w:footnote w:id="228">
    <w:p w:rsidR="000570C1" w:rsidRPr="00A710EE" w:rsidRDefault="000570C1">
      <w:pPr>
        <w:pStyle w:val="FootnoteText"/>
        <w:rPr>
          <w:rFonts w:ascii="Times New Roman" w:hAnsi="Times New Roman"/>
        </w:rPr>
      </w:pPr>
      <w:r w:rsidRPr="00A710EE">
        <w:rPr>
          <w:rStyle w:val="FootnoteReference"/>
          <w:rFonts w:ascii="Times New Roman" w:hAnsi="Times New Roman"/>
        </w:rPr>
        <w:footnoteRef/>
      </w:r>
      <w:r w:rsidRPr="00A710EE">
        <w:rPr>
          <w:rFonts w:ascii="Times New Roman" w:hAnsi="Times New Roman"/>
        </w:rPr>
        <w:t xml:space="preserve"> Exhibit No. RCM-1T at 18:7-8.</w:t>
      </w:r>
    </w:p>
  </w:footnote>
  <w:footnote w:id="229">
    <w:p w:rsidR="000570C1" w:rsidRPr="00361050" w:rsidRDefault="000570C1">
      <w:pPr>
        <w:pStyle w:val="FootnoteText"/>
        <w:rPr>
          <w:rFonts w:ascii="Times New Roman" w:hAnsi="Times New Roman"/>
        </w:rPr>
      </w:pPr>
      <w:r w:rsidRPr="00361050">
        <w:rPr>
          <w:rStyle w:val="FootnoteReference"/>
          <w:rFonts w:ascii="Times New Roman" w:hAnsi="Times New Roman"/>
        </w:rPr>
        <w:footnoteRef/>
      </w:r>
      <w:r w:rsidRPr="00361050">
        <w:rPr>
          <w:rFonts w:ascii="Times New Roman" w:hAnsi="Times New Roman"/>
        </w:rPr>
        <w:t xml:space="preserve"> Exhibit No. JHS-14T at 58:10-19.</w:t>
      </w:r>
    </w:p>
  </w:footnote>
  <w:footnote w:id="230">
    <w:p w:rsidR="000570C1" w:rsidRDefault="000570C1">
      <w:pPr>
        <w:pStyle w:val="FootnoteText"/>
      </w:pPr>
      <w:r w:rsidRPr="00682D43">
        <w:rPr>
          <w:rStyle w:val="FootnoteReference"/>
          <w:rFonts w:ascii="Times New Roman" w:hAnsi="Times New Roman"/>
        </w:rPr>
        <w:footnoteRef/>
      </w:r>
      <w:r w:rsidRPr="00682D43">
        <w:rPr>
          <w:rFonts w:ascii="Times New Roman" w:hAnsi="Times New Roman"/>
        </w:rPr>
        <w:t xml:space="preserve"> Avista</w:t>
      </w:r>
      <w:r w:rsidRPr="00CC70AA">
        <w:rPr>
          <w:rFonts w:ascii="Times New Roman" w:hAnsi="Times New Roman"/>
        </w:rPr>
        <w:t xml:space="preserve"> Order at ¶50.</w:t>
      </w:r>
    </w:p>
  </w:footnote>
  <w:footnote w:id="231">
    <w:p w:rsidR="000570C1" w:rsidRPr="00CC70AA" w:rsidRDefault="000570C1">
      <w:pPr>
        <w:pStyle w:val="FootnoteText"/>
        <w:rPr>
          <w:rFonts w:ascii="Times New Roman" w:hAnsi="Times New Roman"/>
        </w:rPr>
      </w:pPr>
      <w:r w:rsidRPr="00CC70AA">
        <w:rPr>
          <w:rStyle w:val="FootnoteReference"/>
          <w:rFonts w:ascii="Times New Roman" w:hAnsi="Times New Roman"/>
        </w:rPr>
        <w:footnoteRef/>
      </w:r>
      <w:r>
        <w:rPr>
          <w:rFonts w:ascii="Times New Roman" w:hAnsi="Times New Roman"/>
        </w:rPr>
        <w:t xml:space="preserve"> </w:t>
      </w:r>
      <w:r>
        <w:rPr>
          <w:rFonts w:ascii="Times New Roman" w:hAnsi="Times New Roman"/>
          <w:i/>
        </w:rPr>
        <w:t>Id</w:t>
      </w:r>
      <w:r w:rsidRPr="00CC70AA">
        <w:rPr>
          <w:rFonts w:ascii="Times New Roman" w:hAnsi="Times New Roman"/>
        </w:rPr>
        <w:t>.</w:t>
      </w:r>
    </w:p>
  </w:footnote>
  <w:footnote w:id="232">
    <w:p w:rsidR="000570C1" w:rsidRPr="003918E9" w:rsidRDefault="000570C1" w:rsidP="006221FA">
      <w:pPr>
        <w:pStyle w:val="FootnoteText"/>
        <w:rPr>
          <w:rFonts w:ascii="Times New Roman" w:hAnsi="Times New Roman"/>
        </w:rPr>
      </w:pPr>
      <w:r w:rsidRPr="003918E9">
        <w:rPr>
          <w:rStyle w:val="FootnoteReference"/>
          <w:rFonts w:ascii="Times New Roman" w:hAnsi="Times New Roman"/>
        </w:rPr>
        <w:footnoteRef/>
      </w:r>
      <w:r>
        <w:rPr>
          <w:rFonts w:ascii="Times New Roman" w:hAnsi="Times New Roman"/>
        </w:rPr>
        <w:t xml:space="preserve"> T</w:t>
      </w:r>
      <w:r w:rsidRPr="003918E9">
        <w:rPr>
          <w:rFonts w:ascii="Times New Roman" w:hAnsi="Times New Roman"/>
        </w:rPr>
        <w:t xml:space="preserve">he Company </w:t>
      </w:r>
      <w:r>
        <w:rPr>
          <w:rFonts w:ascii="Times New Roman" w:hAnsi="Times New Roman"/>
        </w:rPr>
        <w:t>forecasts a load reduction</w:t>
      </w:r>
      <w:r w:rsidRPr="003918E9">
        <w:rPr>
          <w:rFonts w:ascii="Times New Roman" w:hAnsi="Times New Roman"/>
        </w:rPr>
        <w:t xml:space="preserve"> of</w:t>
      </w:r>
      <w:r>
        <w:rPr>
          <w:rFonts w:ascii="Times New Roman" w:hAnsi="Times New Roman"/>
        </w:rPr>
        <w:t xml:space="preserve"> </w:t>
      </w:r>
      <w:r w:rsidRPr="003918E9">
        <w:rPr>
          <w:rFonts w:ascii="Times New Roman" w:hAnsi="Times New Roman"/>
        </w:rPr>
        <w:t>3.9 percent.  Exhibit No</w:t>
      </w:r>
      <w:r>
        <w:rPr>
          <w:rFonts w:ascii="Times New Roman" w:hAnsi="Times New Roman"/>
        </w:rPr>
        <w:t>.</w:t>
      </w:r>
      <w:r w:rsidRPr="003918E9">
        <w:rPr>
          <w:rFonts w:ascii="Times New Roman" w:hAnsi="Times New Roman"/>
        </w:rPr>
        <w:t xml:space="preserve"> DEG-9</w:t>
      </w:r>
      <w:r>
        <w:rPr>
          <w:rFonts w:ascii="Times New Roman" w:hAnsi="Times New Roman"/>
        </w:rPr>
        <w:t>C</w:t>
      </w:r>
      <w:r w:rsidRPr="003918E9">
        <w:rPr>
          <w:rFonts w:ascii="Times New Roman" w:hAnsi="Times New Roman"/>
        </w:rPr>
        <w:t>T at 9, Table 1.</w:t>
      </w:r>
    </w:p>
  </w:footnote>
  <w:footnote w:id="233">
    <w:p w:rsidR="000570C1" w:rsidRPr="00A95F69" w:rsidRDefault="000570C1">
      <w:pPr>
        <w:pStyle w:val="FootnoteText"/>
        <w:rPr>
          <w:rFonts w:ascii="Times New Roman" w:hAnsi="Times New Roman"/>
        </w:rPr>
      </w:pPr>
      <w:r w:rsidRPr="00A95F69">
        <w:rPr>
          <w:rStyle w:val="FootnoteReference"/>
          <w:rFonts w:ascii="Times New Roman" w:hAnsi="Times New Roman"/>
        </w:rPr>
        <w:footnoteRef/>
      </w:r>
      <w:r w:rsidRPr="00A95F69">
        <w:rPr>
          <w:rFonts w:ascii="Times New Roman" w:hAnsi="Times New Roman"/>
        </w:rPr>
        <w:t xml:space="preserve"> Exhibit N</w:t>
      </w:r>
      <w:r>
        <w:rPr>
          <w:rFonts w:ascii="Times New Roman" w:hAnsi="Times New Roman"/>
        </w:rPr>
        <w:t>o. MPP</w:t>
      </w:r>
      <w:r w:rsidRPr="00A95F69">
        <w:rPr>
          <w:rFonts w:ascii="Times New Roman" w:hAnsi="Times New Roman"/>
        </w:rPr>
        <w:t>-1T at 19:11-19.</w:t>
      </w:r>
    </w:p>
  </w:footnote>
  <w:footnote w:id="234">
    <w:p w:rsidR="000570C1" w:rsidRPr="002946E2" w:rsidRDefault="000570C1" w:rsidP="009C5F79">
      <w:pPr>
        <w:pStyle w:val="FootnoteText"/>
        <w:rPr>
          <w:rFonts w:ascii="Times New Roman" w:hAnsi="Times New Roman"/>
        </w:rPr>
      </w:pPr>
      <w:r w:rsidRPr="002946E2">
        <w:rPr>
          <w:rStyle w:val="FootnoteReference"/>
          <w:rFonts w:ascii="Times New Roman" w:hAnsi="Times New Roman"/>
        </w:rPr>
        <w:footnoteRef/>
      </w:r>
      <w:r w:rsidRPr="002946E2">
        <w:rPr>
          <w:rFonts w:ascii="Times New Roman" w:hAnsi="Times New Roman"/>
        </w:rPr>
        <w:t xml:space="preserve"> Exhibit No. JHS-14T at 15:3-9.</w:t>
      </w:r>
    </w:p>
  </w:footnote>
  <w:footnote w:id="235">
    <w:p w:rsidR="000570C1" w:rsidRPr="0095656A" w:rsidRDefault="000570C1">
      <w:pPr>
        <w:pStyle w:val="FootnoteText"/>
        <w:rPr>
          <w:rFonts w:ascii="Times New Roman" w:hAnsi="Times New Roman"/>
        </w:rPr>
      </w:pPr>
      <w:r w:rsidRPr="0095656A">
        <w:rPr>
          <w:rStyle w:val="FootnoteReference"/>
          <w:rFonts w:ascii="Times New Roman" w:hAnsi="Times New Roman"/>
        </w:rPr>
        <w:footnoteRef/>
      </w:r>
      <w:r w:rsidRPr="0095656A">
        <w:rPr>
          <w:rFonts w:ascii="Times New Roman" w:hAnsi="Times New Roman"/>
        </w:rPr>
        <w:t xml:space="preserve"> Exhibit No. MRM-4T at 4:5-17.</w:t>
      </w:r>
    </w:p>
  </w:footnote>
  <w:footnote w:id="236">
    <w:p w:rsidR="000570C1" w:rsidRPr="0095656A" w:rsidRDefault="000570C1">
      <w:pPr>
        <w:pStyle w:val="FootnoteText"/>
        <w:rPr>
          <w:rFonts w:ascii="Times New Roman" w:hAnsi="Times New Roman"/>
        </w:rPr>
      </w:pPr>
      <w:r w:rsidRPr="0095656A">
        <w:rPr>
          <w:rStyle w:val="FootnoteReference"/>
          <w:rFonts w:ascii="Times New Roman" w:hAnsi="Times New Roman"/>
        </w:rPr>
        <w:footnoteRef/>
      </w:r>
      <w:r w:rsidRPr="0095656A">
        <w:rPr>
          <w:rFonts w:ascii="Times New Roman" w:hAnsi="Times New Roman"/>
        </w:rPr>
        <w:t xml:space="preserve"> Exhibit No. JRD-1CT at 17:5-15.</w:t>
      </w:r>
    </w:p>
  </w:footnote>
  <w:footnote w:id="237">
    <w:p w:rsidR="000570C1" w:rsidRPr="004C0949" w:rsidRDefault="000570C1">
      <w:pPr>
        <w:pStyle w:val="FootnoteText"/>
        <w:rPr>
          <w:rFonts w:ascii="Times New Roman" w:hAnsi="Times New Roman"/>
        </w:rPr>
      </w:pPr>
      <w:r w:rsidRPr="004C0949">
        <w:rPr>
          <w:rStyle w:val="FootnoteReference"/>
          <w:rFonts w:ascii="Times New Roman" w:hAnsi="Times New Roman"/>
        </w:rPr>
        <w:footnoteRef/>
      </w:r>
      <w:r w:rsidRPr="004C0949">
        <w:rPr>
          <w:rFonts w:ascii="Times New Roman" w:hAnsi="Times New Roman"/>
        </w:rPr>
        <w:t xml:space="preserve"> Exhibit No. MRM-4T at 5:3-9.</w:t>
      </w:r>
    </w:p>
  </w:footnote>
  <w:footnote w:id="238">
    <w:p w:rsidR="000570C1" w:rsidRPr="00CE0B70" w:rsidRDefault="000570C1" w:rsidP="00570785">
      <w:pPr>
        <w:pStyle w:val="FootnoteText"/>
        <w:rPr>
          <w:rFonts w:ascii="Times New Roman" w:hAnsi="Times New Roman"/>
        </w:rPr>
      </w:pPr>
      <w:r w:rsidRPr="00CE0B70">
        <w:rPr>
          <w:rStyle w:val="FootnoteReference"/>
          <w:rFonts w:ascii="Times New Roman" w:hAnsi="Times New Roman"/>
        </w:rPr>
        <w:footnoteRef/>
      </w:r>
      <w:r w:rsidRPr="00CE0B70">
        <w:rPr>
          <w:rFonts w:ascii="Times New Roman" w:hAnsi="Times New Roman"/>
        </w:rPr>
        <w:t xml:space="preserve"> </w:t>
      </w:r>
      <w:r>
        <w:rPr>
          <w:rFonts w:ascii="Times New Roman" w:hAnsi="Times New Roman"/>
        </w:rPr>
        <w:t xml:space="preserve">Exhibit No. RG-3HC at 8-10, </w:t>
      </w:r>
      <w:r w:rsidRPr="00CE0B70">
        <w:rPr>
          <w:rFonts w:ascii="Times New Roman" w:hAnsi="Times New Roman"/>
        </w:rPr>
        <w:t>Exhibit No. RG-53HCT at 4:7-6:16</w:t>
      </w:r>
      <w:r>
        <w:rPr>
          <w:rFonts w:ascii="Times New Roman" w:hAnsi="Times New Roman"/>
        </w:rPr>
        <w:t xml:space="preserve"> and Exhibit No. DN-3HCT at 7:9-10</w:t>
      </w:r>
      <w:r w:rsidRPr="00CE0B70">
        <w:rPr>
          <w:rFonts w:ascii="Times New Roman" w:hAnsi="Times New Roman"/>
        </w:rPr>
        <w:t>.</w:t>
      </w:r>
    </w:p>
  </w:footnote>
  <w:footnote w:id="239">
    <w:p w:rsidR="000570C1" w:rsidRPr="00303B27" w:rsidRDefault="000570C1" w:rsidP="00570785">
      <w:pPr>
        <w:pStyle w:val="FootnoteText"/>
        <w:rPr>
          <w:rFonts w:ascii="Times New Roman" w:hAnsi="Times New Roman"/>
        </w:rPr>
      </w:pPr>
      <w:r w:rsidRPr="00303B27">
        <w:rPr>
          <w:rStyle w:val="FootnoteReference"/>
          <w:rFonts w:ascii="Times New Roman" w:hAnsi="Times New Roman"/>
        </w:rPr>
        <w:footnoteRef/>
      </w:r>
      <w:r w:rsidRPr="00303B27">
        <w:rPr>
          <w:rFonts w:ascii="Times New Roman" w:hAnsi="Times New Roman"/>
        </w:rPr>
        <w:t xml:space="preserve"> Exhibit No. RG-53HCT at </w:t>
      </w:r>
      <w:r>
        <w:rPr>
          <w:rFonts w:ascii="Times New Roman" w:hAnsi="Times New Roman"/>
        </w:rPr>
        <w:t xml:space="preserve">27:21-22 and </w:t>
      </w:r>
      <w:r w:rsidRPr="00303B27">
        <w:rPr>
          <w:rFonts w:ascii="Times New Roman" w:hAnsi="Times New Roman"/>
        </w:rPr>
        <w:t>44:15-16.</w:t>
      </w:r>
    </w:p>
  </w:footnote>
  <w:footnote w:id="240">
    <w:p w:rsidR="000570C1" w:rsidRPr="00EA7FCA" w:rsidRDefault="000570C1" w:rsidP="00570785">
      <w:pPr>
        <w:pStyle w:val="FootnoteText"/>
        <w:rPr>
          <w:rFonts w:ascii="Times New Roman" w:hAnsi="Times New Roman"/>
        </w:rPr>
      </w:pPr>
      <w:r w:rsidRPr="00EA7FCA">
        <w:rPr>
          <w:rStyle w:val="FootnoteReference"/>
          <w:rFonts w:ascii="Times New Roman" w:hAnsi="Times New Roman"/>
        </w:rPr>
        <w:footnoteRef/>
      </w:r>
      <w:r w:rsidRPr="00EA7FCA">
        <w:rPr>
          <w:rFonts w:ascii="Times New Roman" w:hAnsi="Times New Roman"/>
        </w:rPr>
        <w:t xml:space="preserve"> Exhibit </w:t>
      </w:r>
      <w:r>
        <w:rPr>
          <w:rFonts w:ascii="Times New Roman" w:hAnsi="Times New Roman"/>
        </w:rPr>
        <w:t xml:space="preserve">No. </w:t>
      </w:r>
      <w:r w:rsidRPr="00EA7FCA">
        <w:rPr>
          <w:rFonts w:ascii="Times New Roman" w:hAnsi="Times New Roman"/>
        </w:rPr>
        <w:t>DN-1T at 9:18-19.</w:t>
      </w:r>
    </w:p>
  </w:footnote>
  <w:footnote w:id="241">
    <w:p w:rsidR="000570C1" w:rsidRPr="00E431D5" w:rsidRDefault="000570C1" w:rsidP="00570785">
      <w:pPr>
        <w:pStyle w:val="FootnoteText"/>
        <w:rPr>
          <w:rFonts w:ascii="Times New Roman" w:hAnsi="Times New Roman"/>
        </w:rPr>
      </w:pPr>
      <w:r w:rsidRPr="00E431D5">
        <w:rPr>
          <w:rStyle w:val="FootnoteReference"/>
          <w:rFonts w:ascii="Times New Roman" w:hAnsi="Times New Roman"/>
        </w:rPr>
        <w:footnoteRef/>
      </w:r>
      <w:r>
        <w:rPr>
          <w:rFonts w:ascii="Times New Roman" w:hAnsi="Times New Roman"/>
        </w:rPr>
        <w:t xml:space="preserve"> PSE </w:t>
      </w:r>
      <w:r w:rsidRPr="00E431D5">
        <w:rPr>
          <w:rFonts w:ascii="Times New Roman" w:hAnsi="Times New Roman"/>
        </w:rPr>
        <w:t>also s</w:t>
      </w:r>
      <w:r>
        <w:rPr>
          <w:rFonts w:ascii="Times New Roman" w:hAnsi="Times New Roman"/>
        </w:rPr>
        <w:t xml:space="preserve">eeks a Commission ruling </w:t>
      </w:r>
      <w:r w:rsidRPr="00E431D5">
        <w:rPr>
          <w:rFonts w:ascii="Times New Roman" w:hAnsi="Times New Roman"/>
        </w:rPr>
        <w:t>that</w:t>
      </w:r>
      <w:r>
        <w:rPr>
          <w:rFonts w:ascii="Times New Roman" w:hAnsi="Times New Roman"/>
        </w:rPr>
        <w:t xml:space="preserve"> it was prudent </w:t>
      </w:r>
      <w:r w:rsidRPr="00E431D5">
        <w:rPr>
          <w:rFonts w:ascii="Times New Roman" w:hAnsi="Times New Roman"/>
        </w:rPr>
        <w:t>to acquire Fredonia Units 3 and 4, the expansion of the W</w:t>
      </w:r>
      <w:r>
        <w:rPr>
          <w:rFonts w:ascii="Times New Roman" w:hAnsi="Times New Roman"/>
        </w:rPr>
        <w:t xml:space="preserve">ild Horse wind project, and </w:t>
      </w:r>
      <w:r w:rsidRPr="00E431D5">
        <w:rPr>
          <w:rFonts w:ascii="Times New Roman" w:hAnsi="Times New Roman"/>
        </w:rPr>
        <w:t xml:space="preserve">power purchase agreements </w:t>
      </w:r>
      <w:r>
        <w:rPr>
          <w:rFonts w:ascii="Times New Roman" w:hAnsi="Times New Roman"/>
        </w:rPr>
        <w:t xml:space="preserve">(“PPAs”) </w:t>
      </w:r>
      <w:r w:rsidRPr="00E431D5">
        <w:rPr>
          <w:rFonts w:ascii="Times New Roman" w:hAnsi="Times New Roman"/>
        </w:rPr>
        <w:t>with Cr</w:t>
      </w:r>
      <w:r>
        <w:rPr>
          <w:rFonts w:ascii="Times New Roman" w:hAnsi="Times New Roman"/>
        </w:rPr>
        <w:t>e</w:t>
      </w:r>
      <w:r w:rsidRPr="00E431D5">
        <w:rPr>
          <w:rFonts w:ascii="Times New Roman" w:hAnsi="Times New Roman"/>
        </w:rPr>
        <w:t xml:space="preserve">dit Suisse, Barclay’s Bank, Puget Sound Hydro, and Qualco Energy.  </w:t>
      </w:r>
      <w:r>
        <w:rPr>
          <w:rFonts w:ascii="Times New Roman" w:hAnsi="Times New Roman"/>
        </w:rPr>
        <w:t xml:space="preserve">Staff’s analysis supports that request.  Exhibit No. DN-1T at 21-37.  No other party challenges that request.  Thus, they are not discussed further.  </w:t>
      </w:r>
    </w:p>
  </w:footnote>
  <w:footnote w:id="242">
    <w:p w:rsidR="000570C1" w:rsidRPr="004926E3" w:rsidRDefault="000570C1" w:rsidP="00570785">
      <w:pPr>
        <w:pStyle w:val="FootnoteText"/>
        <w:rPr>
          <w:rFonts w:ascii="Times New Roman" w:hAnsi="Times New Roman"/>
        </w:rPr>
      </w:pPr>
      <w:r w:rsidRPr="00BB55BC">
        <w:rPr>
          <w:rStyle w:val="FootnoteReference"/>
          <w:rFonts w:ascii="Times New Roman" w:hAnsi="Times New Roman"/>
        </w:rPr>
        <w:footnoteRef/>
      </w:r>
      <w:r w:rsidRPr="00D17B52">
        <w:rPr>
          <w:rFonts w:ascii="Times New Roman" w:hAnsi="Times New Roman"/>
        </w:rPr>
        <w:t xml:space="preserve"> </w:t>
      </w:r>
      <w:r w:rsidRPr="004926E3">
        <w:rPr>
          <w:rFonts w:ascii="Times New Roman" w:hAnsi="Times New Roman"/>
          <w:i/>
        </w:rPr>
        <w:t>W</w:t>
      </w:r>
      <w:r>
        <w:rPr>
          <w:rFonts w:ascii="Times New Roman" w:hAnsi="Times New Roman"/>
          <w:i/>
        </w:rPr>
        <w:t xml:space="preserve">UTC </w:t>
      </w:r>
      <w:r w:rsidRPr="004926E3">
        <w:rPr>
          <w:rFonts w:ascii="Times New Roman" w:hAnsi="Times New Roman"/>
          <w:i/>
        </w:rPr>
        <w:t>v. Puget Sound Energy, Inc.,</w:t>
      </w:r>
      <w:r w:rsidRPr="004926E3">
        <w:rPr>
          <w:rFonts w:ascii="Times New Roman" w:hAnsi="Times New Roman"/>
        </w:rPr>
        <w:t xml:space="preserve"> Docket UE-031725, Order 12 a</w:t>
      </w:r>
      <w:r>
        <w:rPr>
          <w:rFonts w:ascii="Times New Roman" w:hAnsi="Times New Roman"/>
        </w:rPr>
        <w:t>t ¶ 19 (April 7, 2004)</w:t>
      </w:r>
      <w:r w:rsidRPr="004926E3">
        <w:rPr>
          <w:rFonts w:ascii="Times New Roman" w:hAnsi="Times New Roman"/>
        </w:rPr>
        <w:t xml:space="preserve">.  </w:t>
      </w:r>
    </w:p>
  </w:footnote>
  <w:footnote w:id="243">
    <w:p w:rsidR="000570C1" w:rsidRPr="008A103E" w:rsidRDefault="000570C1" w:rsidP="00570785">
      <w:pPr>
        <w:pStyle w:val="FootnoteText"/>
        <w:rPr>
          <w:rFonts w:ascii="Times New Roman" w:hAnsi="Times New Roman"/>
        </w:rPr>
      </w:pPr>
      <w:r w:rsidRPr="008A103E">
        <w:rPr>
          <w:rStyle w:val="FootnoteReference"/>
          <w:rFonts w:ascii="Times New Roman" w:hAnsi="Times New Roman"/>
        </w:rPr>
        <w:footnoteRef/>
      </w:r>
      <w:r>
        <w:rPr>
          <w:rFonts w:ascii="Times New Roman" w:hAnsi="Times New Roman"/>
        </w:rPr>
        <w:t xml:space="preserve"> In addition</w:t>
      </w:r>
      <w:r w:rsidRPr="008A103E">
        <w:rPr>
          <w:rFonts w:ascii="Times New Roman" w:hAnsi="Times New Roman"/>
        </w:rPr>
        <w:t>, the Commission examines</w:t>
      </w:r>
      <w:r>
        <w:rPr>
          <w:rFonts w:ascii="Times New Roman" w:hAnsi="Times New Roman"/>
        </w:rPr>
        <w:t xml:space="preserve"> whether the utility </w:t>
      </w:r>
      <w:r w:rsidRPr="008A103E">
        <w:rPr>
          <w:rFonts w:ascii="Times New Roman" w:hAnsi="Times New Roman"/>
        </w:rPr>
        <w:t>involved the boa</w:t>
      </w:r>
      <w:r>
        <w:rPr>
          <w:rFonts w:ascii="Times New Roman" w:hAnsi="Times New Roman"/>
        </w:rPr>
        <w:t>rd of directors and whether its</w:t>
      </w:r>
      <w:r w:rsidRPr="008A103E">
        <w:rPr>
          <w:rFonts w:ascii="Times New Roman" w:hAnsi="Times New Roman"/>
        </w:rPr>
        <w:t xml:space="preserve"> decision was adequately documented.  </w:t>
      </w:r>
      <w:r w:rsidRPr="008A103E">
        <w:rPr>
          <w:rFonts w:ascii="Times New Roman" w:hAnsi="Times New Roman"/>
          <w:i/>
        </w:rPr>
        <w:t>Id</w:t>
      </w:r>
      <w:r w:rsidRPr="008A103E">
        <w:rPr>
          <w:rFonts w:ascii="Times New Roman" w:hAnsi="Times New Roman"/>
        </w:rPr>
        <w:t>.</w:t>
      </w:r>
      <w:r>
        <w:rPr>
          <w:rFonts w:ascii="Times New Roman" w:hAnsi="Times New Roman"/>
        </w:rPr>
        <w:t xml:space="preserve">  Public Counsel does not challenge PSE on these factors.</w:t>
      </w:r>
    </w:p>
  </w:footnote>
  <w:footnote w:id="244">
    <w:p w:rsidR="000570C1" w:rsidRPr="004926E3" w:rsidRDefault="000570C1" w:rsidP="00570785">
      <w:pPr>
        <w:pStyle w:val="FootnoteText"/>
        <w:rPr>
          <w:rFonts w:ascii="Times New Roman" w:hAnsi="Times New Roman"/>
        </w:rPr>
      </w:pPr>
      <w:r w:rsidRPr="004926E3">
        <w:rPr>
          <w:rStyle w:val="FootnoteReference"/>
          <w:rFonts w:ascii="Times New Roman" w:hAnsi="Times New Roman"/>
        </w:rPr>
        <w:footnoteRef/>
      </w:r>
      <w:r w:rsidRPr="004926E3">
        <w:rPr>
          <w:rFonts w:ascii="Times New Roman" w:hAnsi="Times New Roman"/>
        </w:rPr>
        <w:t xml:space="preserve"> </w:t>
      </w:r>
      <w:r w:rsidRPr="004926E3">
        <w:rPr>
          <w:rFonts w:ascii="Times New Roman" w:hAnsi="Times New Roman"/>
          <w:i/>
        </w:rPr>
        <w:t>W</w:t>
      </w:r>
      <w:r>
        <w:rPr>
          <w:rFonts w:ascii="Times New Roman" w:hAnsi="Times New Roman"/>
          <w:i/>
        </w:rPr>
        <w:t>UTC</w:t>
      </w:r>
      <w:r w:rsidRPr="004926E3">
        <w:rPr>
          <w:rFonts w:ascii="Times New Roman" w:hAnsi="Times New Roman"/>
          <w:i/>
        </w:rPr>
        <w:t xml:space="preserve"> v. Puget Sound Power &amp; Light Co., </w:t>
      </w:r>
      <w:r w:rsidRPr="004926E3">
        <w:rPr>
          <w:rFonts w:ascii="Times New Roman" w:hAnsi="Times New Roman"/>
        </w:rPr>
        <w:t>Docket UE-921262</w:t>
      </w:r>
      <w:r w:rsidRPr="004926E3">
        <w:rPr>
          <w:rFonts w:ascii="Times New Roman" w:hAnsi="Times New Roman"/>
          <w:i/>
        </w:rPr>
        <w:t>, et al.,</w:t>
      </w:r>
      <w:r>
        <w:rPr>
          <w:rFonts w:ascii="Times New Roman" w:hAnsi="Times New Roman"/>
        </w:rPr>
        <w:t xml:space="preserve"> 19th Suppl.</w:t>
      </w:r>
      <w:r w:rsidRPr="004926E3">
        <w:rPr>
          <w:rFonts w:ascii="Times New Roman" w:hAnsi="Times New Roman"/>
        </w:rPr>
        <w:t xml:space="preserve"> Order at 11 (Sept</w:t>
      </w:r>
      <w:r>
        <w:rPr>
          <w:rFonts w:ascii="Times New Roman" w:hAnsi="Times New Roman"/>
        </w:rPr>
        <w:t>ember</w:t>
      </w:r>
      <w:r w:rsidR="00C47EE0">
        <w:rPr>
          <w:rFonts w:ascii="Times New Roman" w:hAnsi="Times New Roman"/>
        </w:rPr>
        <w:t> </w:t>
      </w:r>
      <w:r w:rsidRPr="004926E3">
        <w:rPr>
          <w:rFonts w:ascii="Times New Roman" w:hAnsi="Times New Roman"/>
        </w:rPr>
        <w:t>27, 1994).</w:t>
      </w:r>
    </w:p>
  </w:footnote>
  <w:footnote w:id="245">
    <w:p w:rsidR="000570C1" w:rsidRPr="009C1895" w:rsidRDefault="000570C1" w:rsidP="00570785">
      <w:pPr>
        <w:pStyle w:val="FootnoteText"/>
        <w:rPr>
          <w:rFonts w:ascii="Times New Roman" w:hAnsi="Times New Roman"/>
        </w:rPr>
      </w:pPr>
      <w:r w:rsidRPr="009C1895">
        <w:rPr>
          <w:rStyle w:val="FootnoteReference"/>
          <w:rFonts w:ascii="Times New Roman" w:hAnsi="Times New Roman"/>
        </w:rPr>
        <w:footnoteRef/>
      </w:r>
      <w:r w:rsidRPr="009C1895">
        <w:rPr>
          <w:rFonts w:ascii="Times New Roman" w:hAnsi="Times New Roman"/>
        </w:rPr>
        <w:t xml:space="preserve"> </w:t>
      </w:r>
      <w:r w:rsidRPr="009C1895">
        <w:rPr>
          <w:rFonts w:ascii="Times New Roman" w:hAnsi="Times New Roman"/>
          <w:i/>
        </w:rPr>
        <w:t>Id</w:t>
      </w:r>
      <w:r w:rsidRPr="009C1895">
        <w:rPr>
          <w:rFonts w:ascii="Times New Roman" w:hAnsi="Times New Roman"/>
        </w:rPr>
        <w:t xml:space="preserve">. </w:t>
      </w:r>
      <w:r>
        <w:rPr>
          <w:rFonts w:ascii="Times New Roman" w:hAnsi="Times New Roman"/>
        </w:rPr>
        <w:t xml:space="preserve"> </w:t>
      </w:r>
    </w:p>
  </w:footnote>
  <w:footnote w:id="246">
    <w:p w:rsidR="000570C1" w:rsidRDefault="000570C1" w:rsidP="00570785">
      <w:pPr>
        <w:pStyle w:val="FootnoteText"/>
      </w:pPr>
      <w:r w:rsidRPr="000E23CA">
        <w:rPr>
          <w:rStyle w:val="FootnoteReference"/>
          <w:rFonts w:ascii="Times New Roman" w:hAnsi="Times New Roman"/>
        </w:rPr>
        <w:footnoteRef/>
      </w:r>
      <w:r w:rsidRPr="000E23CA">
        <w:rPr>
          <w:rFonts w:ascii="Times New Roman" w:hAnsi="Times New Roman"/>
        </w:rPr>
        <w:t xml:space="preserve"> </w:t>
      </w:r>
      <w:r w:rsidRPr="00DF497D">
        <w:rPr>
          <w:rFonts w:ascii="Times New Roman" w:hAnsi="Times New Roman"/>
          <w:i/>
        </w:rPr>
        <w:t>WUTC v. PacifiCorp, d/b/a, Pacific Power &amp; Light Co</w:t>
      </w:r>
      <w:r w:rsidRPr="00DF497D">
        <w:rPr>
          <w:rFonts w:ascii="Times New Roman" w:hAnsi="Times New Roman"/>
        </w:rPr>
        <w:t>., Docket UE-090205, Order 09</w:t>
      </w:r>
      <w:r>
        <w:rPr>
          <w:rFonts w:ascii="Times New Roman" w:hAnsi="Times New Roman"/>
        </w:rPr>
        <w:t xml:space="preserve"> at ¶67</w:t>
      </w:r>
      <w:r w:rsidRPr="00DF497D">
        <w:rPr>
          <w:rFonts w:ascii="Times New Roman" w:hAnsi="Times New Roman"/>
        </w:rPr>
        <w:t xml:space="preserve"> (December</w:t>
      </w:r>
      <w:r w:rsidR="00C47EE0">
        <w:rPr>
          <w:rFonts w:ascii="Times New Roman" w:hAnsi="Times New Roman"/>
        </w:rPr>
        <w:t> </w:t>
      </w:r>
      <w:r w:rsidRPr="00DF497D">
        <w:rPr>
          <w:rFonts w:ascii="Times New Roman" w:hAnsi="Times New Roman"/>
        </w:rPr>
        <w:t>16, 2009).</w:t>
      </w:r>
    </w:p>
  </w:footnote>
  <w:footnote w:id="247">
    <w:p w:rsidR="000570C1" w:rsidRPr="002940FC" w:rsidRDefault="000570C1" w:rsidP="00570785">
      <w:pPr>
        <w:pStyle w:val="FootnoteText"/>
        <w:rPr>
          <w:rFonts w:ascii="Times New Roman" w:hAnsi="Times New Roman"/>
        </w:rPr>
      </w:pPr>
      <w:r w:rsidRPr="002940FC">
        <w:rPr>
          <w:rStyle w:val="FootnoteReference"/>
          <w:rFonts w:ascii="Times New Roman" w:hAnsi="Times New Roman"/>
        </w:rPr>
        <w:footnoteRef/>
      </w:r>
      <w:r>
        <w:rPr>
          <w:rFonts w:ascii="Times New Roman" w:hAnsi="Times New Roman"/>
        </w:rPr>
        <w:t xml:space="preserve"> Public Counsel may question the independence of </w:t>
      </w:r>
      <w:r w:rsidRPr="002940FC">
        <w:rPr>
          <w:rFonts w:ascii="Times New Roman" w:hAnsi="Times New Roman"/>
        </w:rPr>
        <w:t>Mr. Nightingale’s evaluation.  See Exhibit Nos. DN-4, DN-5, DN-6, DN-8, DN-9 and DN-10.</w:t>
      </w:r>
      <w:r>
        <w:rPr>
          <w:rFonts w:ascii="Times New Roman" w:hAnsi="Times New Roman"/>
        </w:rPr>
        <w:t xml:space="preserve">  H</w:t>
      </w:r>
      <w:r w:rsidRPr="002940FC">
        <w:rPr>
          <w:rFonts w:ascii="Times New Roman" w:hAnsi="Times New Roman"/>
        </w:rPr>
        <w:t>owever, the burden to prove that the acquisition of Mint Farm was pru</w:t>
      </w:r>
      <w:r>
        <w:rPr>
          <w:rFonts w:ascii="Times New Roman" w:hAnsi="Times New Roman"/>
        </w:rPr>
        <w:t>dent falls only upon the PSE</w:t>
      </w:r>
      <w:r w:rsidRPr="002940FC">
        <w:rPr>
          <w:rFonts w:ascii="Times New Roman" w:hAnsi="Times New Roman"/>
        </w:rPr>
        <w:t>.  Exhibit No. DN-4.  Mr. Nightingale confirmed that the Company met that burden through his com</w:t>
      </w:r>
      <w:r>
        <w:rPr>
          <w:rFonts w:ascii="Times New Roman" w:hAnsi="Times New Roman"/>
        </w:rPr>
        <w:t xml:space="preserve">prehensive review of all </w:t>
      </w:r>
      <w:r w:rsidRPr="002940FC">
        <w:rPr>
          <w:rFonts w:ascii="Times New Roman" w:hAnsi="Times New Roman"/>
        </w:rPr>
        <w:t>evidence presented by PSE</w:t>
      </w:r>
      <w:r>
        <w:rPr>
          <w:rFonts w:ascii="Times New Roman" w:hAnsi="Times New Roman"/>
        </w:rPr>
        <w:t xml:space="preserve">, which Public Counsel does not challenge for authenticity.  </w:t>
      </w:r>
      <w:r w:rsidRPr="002940FC">
        <w:rPr>
          <w:rFonts w:ascii="Times New Roman" w:hAnsi="Times New Roman"/>
        </w:rPr>
        <w:t>Mr. Nightingale also revi</w:t>
      </w:r>
      <w:r>
        <w:rPr>
          <w:rFonts w:ascii="Times New Roman" w:hAnsi="Times New Roman"/>
        </w:rPr>
        <w:t xml:space="preserve">ewed the testimony of Public Counsel.  He found significant flaws in </w:t>
      </w:r>
      <w:r w:rsidRPr="002940FC">
        <w:rPr>
          <w:rFonts w:ascii="Times New Roman" w:hAnsi="Times New Roman"/>
        </w:rPr>
        <w:t xml:space="preserve">Public Counsel’s presentation.  Exhibit No. DN-3HTC.  </w:t>
      </w:r>
    </w:p>
  </w:footnote>
  <w:footnote w:id="248">
    <w:p w:rsidR="000570C1" w:rsidRPr="009A2BDF" w:rsidRDefault="000570C1" w:rsidP="00570785">
      <w:pPr>
        <w:pStyle w:val="FootnoteText"/>
        <w:rPr>
          <w:rFonts w:ascii="Times New Roman" w:hAnsi="Times New Roman"/>
        </w:rPr>
      </w:pPr>
      <w:r w:rsidRPr="009A2BDF">
        <w:rPr>
          <w:rStyle w:val="FootnoteReference"/>
          <w:rFonts w:ascii="Times New Roman" w:hAnsi="Times New Roman"/>
        </w:rPr>
        <w:footnoteRef/>
      </w:r>
      <w:r w:rsidRPr="009A2BDF">
        <w:rPr>
          <w:rFonts w:ascii="Times New Roman" w:hAnsi="Times New Roman"/>
        </w:rPr>
        <w:t xml:space="preserve"> Exhibit No. KJH-5 at 8.</w:t>
      </w:r>
      <w:r>
        <w:rPr>
          <w:rFonts w:ascii="Times New Roman" w:hAnsi="Times New Roman"/>
        </w:rPr>
        <w:t xml:space="preserve">  From 2010 through 2012, PSE expects a reduction of over 787 MW in generation capacity due to expiring contracts.  Exhibit No. WJE-21HCT at 7:10-11.</w:t>
      </w:r>
    </w:p>
  </w:footnote>
  <w:footnote w:id="249">
    <w:p w:rsidR="000570C1" w:rsidRPr="00D92D5B" w:rsidRDefault="000570C1" w:rsidP="00570785">
      <w:pPr>
        <w:pStyle w:val="FootnoteText"/>
        <w:rPr>
          <w:rFonts w:ascii="Times New Roman" w:hAnsi="Times New Roman"/>
        </w:rPr>
      </w:pPr>
      <w:r w:rsidRPr="00D92D5B">
        <w:rPr>
          <w:rStyle w:val="FootnoteReference"/>
          <w:rFonts w:ascii="Times New Roman" w:hAnsi="Times New Roman"/>
        </w:rPr>
        <w:footnoteRef/>
      </w:r>
      <w:r>
        <w:rPr>
          <w:rFonts w:ascii="Times New Roman" w:hAnsi="Times New Roman"/>
        </w:rPr>
        <w:t xml:space="preserve"> </w:t>
      </w:r>
      <w:r w:rsidRPr="009A2BDF">
        <w:rPr>
          <w:rFonts w:ascii="Times New Roman" w:hAnsi="Times New Roman"/>
          <w:i/>
        </w:rPr>
        <w:t>Id</w:t>
      </w:r>
      <w:r>
        <w:rPr>
          <w:rFonts w:ascii="Times New Roman" w:hAnsi="Times New Roman"/>
        </w:rPr>
        <w:t xml:space="preserve">.  See also, </w:t>
      </w:r>
      <w:r w:rsidRPr="00D92D5B">
        <w:rPr>
          <w:rFonts w:ascii="Times New Roman" w:hAnsi="Times New Roman"/>
        </w:rPr>
        <w:t>Exhibit WJE-21HCT at 4:7-9.</w:t>
      </w:r>
    </w:p>
  </w:footnote>
  <w:footnote w:id="250">
    <w:p w:rsidR="000570C1" w:rsidRPr="007616D9" w:rsidRDefault="000570C1" w:rsidP="00570785">
      <w:pPr>
        <w:pStyle w:val="FootnoteText"/>
        <w:rPr>
          <w:rFonts w:ascii="Times New Roman" w:hAnsi="Times New Roman"/>
        </w:rPr>
      </w:pPr>
      <w:r w:rsidRPr="007616D9">
        <w:rPr>
          <w:rStyle w:val="FootnoteReference"/>
          <w:rFonts w:ascii="Times New Roman" w:hAnsi="Times New Roman"/>
        </w:rPr>
        <w:footnoteRef/>
      </w:r>
      <w:r>
        <w:rPr>
          <w:rFonts w:ascii="Times New Roman" w:hAnsi="Times New Roman"/>
        </w:rPr>
        <w:t xml:space="preserve"> Exhibit No. KJH-5 at 218-</w:t>
      </w:r>
      <w:r w:rsidRPr="007616D9">
        <w:rPr>
          <w:rFonts w:ascii="Times New Roman" w:hAnsi="Times New Roman"/>
        </w:rPr>
        <w:t>219 (2007 IRP, page</w:t>
      </w:r>
      <w:r>
        <w:rPr>
          <w:rFonts w:ascii="Times New Roman" w:hAnsi="Times New Roman"/>
        </w:rPr>
        <w:t>s</w:t>
      </w:r>
      <w:r w:rsidRPr="007616D9">
        <w:rPr>
          <w:rFonts w:ascii="Times New Roman" w:hAnsi="Times New Roman"/>
        </w:rPr>
        <w:t xml:space="preserve"> 8-2</w:t>
      </w:r>
      <w:r>
        <w:rPr>
          <w:rFonts w:ascii="Times New Roman" w:hAnsi="Times New Roman"/>
        </w:rPr>
        <w:t xml:space="preserve"> and 8-3</w:t>
      </w:r>
      <w:r w:rsidRPr="007616D9">
        <w:rPr>
          <w:rFonts w:ascii="Times New Roman" w:hAnsi="Times New Roman"/>
        </w:rPr>
        <w:t>).</w:t>
      </w:r>
    </w:p>
  </w:footnote>
  <w:footnote w:id="251">
    <w:p w:rsidR="000570C1" w:rsidRDefault="000570C1" w:rsidP="00570785">
      <w:pPr>
        <w:pStyle w:val="FootnoteText"/>
      </w:pPr>
      <w:r w:rsidRPr="00B665E5">
        <w:rPr>
          <w:rStyle w:val="FootnoteReference"/>
          <w:rFonts w:ascii="Times New Roman" w:hAnsi="Times New Roman"/>
        </w:rPr>
        <w:footnoteRef/>
      </w:r>
      <w:r w:rsidRPr="00B665E5">
        <w:rPr>
          <w:rFonts w:ascii="Times New Roman" w:hAnsi="Times New Roman"/>
        </w:rPr>
        <w:t xml:space="preserve"> </w:t>
      </w:r>
      <w:r w:rsidRPr="004F54BF">
        <w:rPr>
          <w:rFonts w:ascii="Times New Roman" w:hAnsi="Times New Roman"/>
        </w:rPr>
        <w:t>Exhibit No. WJE-3.</w:t>
      </w:r>
    </w:p>
  </w:footnote>
  <w:footnote w:id="252">
    <w:p w:rsidR="000570C1" w:rsidRPr="004F54BF" w:rsidRDefault="000570C1" w:rsidP="00570785">
      <w:pPr>
        <w:pStyle w:val="FootnoteText"/>
        <w:rPr>
          <w:rFonts w:ascii="Times New Roman" w:hAnsi="Times New Roman"/>
        </w:rPr>
      </w:pPr>
      <w:r w:rsidRPr="004F54BF">
        <w:rPr>
          <w:rStyle w:val="FootnoteReference"/>
          <w:rFonts w:ascii="Times New Roman" w:hAnsi="Times New Roman"/>
        </w:rPr>
        <w:footnoteRef/>
      </w:r>
      <w:r w:rsidRPr="00B665E5">
        <w:rPr>
          <w:rFonts w:ascii="Times New Roman" w:hAnsi="Times New Roman"/>
          <w:i/>
        </w:rPr>
        <w:t xml:space="preserve"> Id</w:t>
      </w:r>
      <w:r>
        <w:rPr>
          <w:rFonts w:ascii="Times New Roman" w:hAnsi="Times New Roman"/>
        </w:rPr>
        <w:t>.</w:t>
      </w:r>
    </w:p>
  </w:footnote>
  <w:footnote w:id="253">
    <w:p w:rsidR="000570C1" w:rsidRPr="007616D9" w:rsidRDefault="000570C1" w:rsidP="00570785">
      <w:pPr>
        <w:pStyle w:val="FootnoteText"/>
        <w:rPr>
          <w:rFonts w:ascii="Times New Roman" w:hAnsi="Times New Roman"/>
        </w:rPr>
      </w:pPr>
      <w:r w:rsidRPr="007616D9">
        <w:rPr>
          <w:rStyle w:val="FootnoteReference"/>
          <w:rFonts w:ascii="Times New Roman" w:hAnsi="Times New Roman"/>
        </w:rPr>
        <w:footnoteRef/>
      </w:r>
      <w:r>
        <w:rPr>
          <w:rFonts w:ascii="Times New Roman" w:hAnsi="Times New Roman"/>
        </w:rPr>
        <w:t xml:space="preserve"> </w:t>
      </w:r>
      <w:r w:rsidRPr="00F07839">
        <w:rPr>
          <w:rFonts w:ascii="Times New Roman" w:hAnsi="Times New Roman"/>
          <w:i/>
        </w:rPr>
        <w:t>Id</w:t>
      </w:r>
      <w:r>
        <w:rPr>
          <w:rFonts w:ascii="Times New Roman" w:hAnsi="Times New Roman"/>
        </w:rPr>
        <w:t xml:space="preserve">.   </w:t>
      </w:r>
    </w:p>
  </w:footnote>
  <w:footnote w:id="254">
    <w:p w:rsidR="000570C1" w:rsidRPr="0024723C" w:rsidRDefault="000570C1" w:rsidP="00570785">
      <w:pPr>
        <w:pStyle w:val="FootnoteText"/>
        <w:rPr>
          <w:rFonts w:ascii="Times New Roman" w:hAnsi="Times New Roman"/>
        </w:rPr>
      </w:pPr>
      <w:r w:rsidRPr="0024723C">
        <w:rPr>
          <w:rStyle w:val="FootnoteReference"/>
          <w:rFonts w:ascii="Times New Roman" w:hAnsi="Times New Roman"/>
        </w:rPr>
        <w:footnoteRef/>
      </w:r>
      <w:r>
        <w:rPr>
          <w:rFonts w:ascii="Times New Roman" w:hAnsi="Times New Roman"/>
        </w:rPr>
        <w:t xml:space="preserve"> Exhibit No</w:t>
      </w:r>
      <w:r w:rsidRPr="0024723C">
        <w:rPr>
          <w:rFonts w:ascii="Times New Roman" w:hAnsi="Times New Roman"/>
        </w:rPr>
        <w:t>.</w:t>
      </w:r>
      <w:r>
        <w:rPr>
          <w:rFonts w:ascii="Times New Roman" w:hAnsi="Times New Roman"/>
        </w:rPr>
        <w:t xml:space="preserve"> WJE-1HCT at 9:5-10.</w:t>
      </w:r>
    </w:p>
  </w:footnote>
  <w:footnote w:id="255">
    <w:p w:rsidR="000570C1" w:rsidRPr="00285486" w:rsidRDefault="000570C1" w:rsidP="00570785">
      <w:pPr>
        <w:pStyle w:val="FootnoteText"/>
        <w:rPr>
          <w:rFonts w:ascii="Times New Roman" w:hAnsi="Times New Roman"/>
        </w:rPr>
      </w:pPr>
      <w:r w:rsidRPr="00285486">
        <w:rPr>
          <w:rStyle w:val="FootnoteReference"/>
          <w:rFonts w:ascii="Times New Roman" w:hAnsi="Times New Roman"/>
        </w:rPr>
        <w:footnoteRef/>
      </w:r>
      <w:r w:rsidRPr="00285486">
        <w:rPr>
          <w:rFonts w:ascii="Times New Roman" w:hAnsi="Times New Roman"/>
        </w:rPr>
        <w:t xml:space="preserve"> Exhibit No. RG-1HCT at 6:20-7:5</w:t>
      </w:r>
      <w:r>
        <w:rPr>
          <w:rFonts w:ascii="Times New Roman" w:hAnsi="Times New Roman"/>
        </w:rPr>
        <w:t xml:space="preserve"> and Exhibit No. RG-3HC at 13</w:t>
      </w:r>
      <w:r w:rsidRPr="00285486">
        <w:rPr>
          <w:rFonts w:ascii="Times New Roman" w:hAnsi="Times New Roman"/>
        </w:rPr>
        <w:t>.</w:t>
      </w:r>
    </w:p>
  </w:footnote>
  <w:footnote w:id="256">
    <w:p w:rsidR="000570C1" w:rsidRPr="00225B78" w:rsidRDefault="000570C1" w:rsidP="00570785">
      <w:pPr>
        <w:pStyle w:val="FootnoteText"/>
        <w:rPr>
          <w:rFonts w:ascii="Times New Roman" w:hAnsi="Times New Roman"/>
        </w:rPr>
      </w:pPr>
      <w:r w:rsidRPr="00225B78">
        <w:rPr>
          <w:rStyle w:val="FootnoteReference"/>
          <w:rFonts w:ascii="Times New Roman" w:hAnsi="Times New Roman"/>
        </w:rPr>
        <w:footnoteRef/>
      </w:r>
      <w:r w:rsidRPr="00225B78">
        <w:rPr>
          <w:rFonts w:ascii="Times New Roman" w:hAnsi="Times New Roman"/>
        </w:rPr>
        <w:t xml:space="preserve"> Exhibit No. RG-3HC at 15.</w:t>
      </w:r>
    </w:p>
  </w:footnote>
  <w:footnote w:id="257">
    <w:p w:rsidR="000570C1" w:rsidRPr="001A0F39" w:rsidRDefault="000570C1" w:rsidP="00570785">
      <w:pPr>
        <w:pStyle w:val="FootnoteText"/>
        <w:rPr>
          <w:rFonts w:ascii="Times New Roman" w:hAnsi="Times New Roman"/>
        </w:rPr>
      </w:pPr>
      <w:r w:rsidRPr="001A0F39">
        <w:rPr>
          <w:rStyle w:val="FootnoteReference"/>
          <w:rFonts w:ascii="Times New Roman" w:hAnsi="Times New Roman"/>
        </w:rPr>
        <w:footnoteRef/>
      </w:r>
      <w:r w:rsidRPr="001A0F39">
        <w:rPr>
          <w:rFonts w:ascii="Times New Roman" w:hAnsi="Times New Roman"/>
        </w:rPr>
        <w:t xml:space="preserve"> Exhibit No. DN-3HCT at 4:1-6.</w:t>
      </w:r>
    </w:p>
  </w:footnote>
  <w:footnote w:id="258">
    <w:p w:rsidR="000570C1" w:rsidRPr="0062660B" w:rsidRDefault="000570C1" w:rsidP="00570785">
      <w:pPr>
        <w:pStyle w:val="FootnoteText"/>
        <w:rPr>
          <w:rFonts w:ascii="Times New Roman" w:hAnsi="Times New Roman"/>
        </w:rPr>
      </w:pPr>
      <w:r w:rsidRPr="0062660B">
        <w:rPr>
          <w:rStyle w:val="FootnoteReference"/>
          <w:rFonts w:ascii="Times New Roman" w:hAnsi="Times New Roman"/>
        </w:rPr>
        <w:footnoteRef/>
      </w:r>
      <w:r w:rsidRPr="0062660B">
        <w:rPr>
          <w:rFonts w:ascii="Times New Roman" w:hAnsi="Times New Roman"/>
        </w:rPr>
        <w:t xml:space="preserve"> Exhibit No. RG-1HCT at 42:7-14.</w:t>
      </w:r>
    </w:p>
  </w:footnote>
  <w:footnote w:id="259">
    <w:p w:rsidR="000570C1" w:rsidRDefault="000570C1" w:rsidP="00570785">
      <w:pPr>
        <w:pStyle w:val="FootnoteText"/>
      </w:pPr>
      <w:r w:rsidRPr="003C5199">
        <w:rPr>
          <w:rStyle w:val="FootnoteReference"/>
          <w:rFonts w:ascii="Times New Roman" w:hAnsi="Times New Roman"/>
        </w:rPr>
        <w:footnoteRef/>
      </w:r>
      <w:r w:rsidRPr="003C5199">
        <w:rPr>
          <w:rFonts w:ascii="Times New Roman" w:hAnsi="Times New Roman"/>
        </w:rPr>
        <w:t xml:space="preserve"> </w:t>
      </w:r>
      <w:r>
        <w:rPr>
          <w:rFonts w:ascii="Times New Roman" w:hAnsi="Times New Roman"/>
        </w:rPr>
        <w:t xml:space="preserve">Mint Farm’s “all-in” cost is about 60 percent of the price for new CCCT construction.  Compare </w:t>
      </w:r>
      <w:r w:rsidRPr="003C5199">
        <w:rPr>
          <w:rFonts w:ascii="Times New Roman" w:hAnsi="Times New Roman"/>
        </w:rPr>
        <w:t>Exhibit</w:t>
      </w:r>
      <w:r w:rsidRPr="0062660B">
        <w:rPr>
          <w:rFonts w:ascii="Times New Roman" w:hAnsi="Times New Roman"/>
        </w:rPr>
        <w:t xml:space="preserve"> No. RG-1HCT at 42:</w:t>
      </w:r>
      <w:r>
        <w:rPr>
          <w:rFonts w:ascii="Times New Roman" w:hAnsi="Times New Roman"/>
        </w:rPr>
        <w:t>15-19 with Exhibit No. RG-3HC at 179 and Exhibit No. WEJ-1HCT at 30:10.</w:t>
      </w:r>
    </w:p>
  </w:footnote>
  <w:footnote w:id="260">
    <w:p w:rsidR="000570C1" w:rsidRPr="003C5199" w:rsidRDefault="000570C1" w:rsidP="00570785">
      <w:pPr>
        <w:pStyle w:val="FootnoteText"/>
        <w:rPr>
          <w:rFonts w:ascii="Times New Roman" w:hAnsi="Times New Roman"/>
        </w:rPr>
      </w:pPr>
      <w:r w:rsidRPr="003C5199">
        <w:rPr>
          <w:rStyle w:val="FootnoteReference"/>
          <w:rFonts w:ascii="Times New Roman" w:hAnsi="Times New Roman"/>
        </w:rPr>
        <w:footnoteRef/>
      </w:r>
      <w:r w:rsidRPr="003C5199">
        <w:rPr>
          <w:rFonts w:ascii="Times New Roman" w:hAnsi="Times New Roman"/>
        </w:rPr>
        <w:t xml:space="preserve"> </w:t>
      </w:r>
      <w:r>
        <w:rPr>
          <w:rFonts w:ascii="Times New Roman" w:hAnsi="Times New Roman"/>
        </w:rPr>
        <w:t xml:space="preserve">Exhibit No. DN-1T at 5:13-19.  A lower heat rate means that Mint Farm requires less fuel supply than a higher heat rate CCCT to produce the same amount of energy.  </w:t>
      </w:r>
    </w:p>
  </w:footnote>
  <w:footnote w:id="261">
    <w:p w:rsidR="000570C1" w:rsidRDefault="000570C1" w:rsidP="00570785">
      <w:pPr>
        <w:pStyle w:val="FootnoteText"/>
      </w:pPr>
      <w:r w:rsidRPr="00CC43C3">
        <w:rPr>
          <w:rStyle w:val="FootnoteReference"/>
          <w:rFonts w:ascii="Times New Roman" w:hAnsi="Times New Roman"/>
        </w:rPr>
        <w:footnoteRef/>
      </w:r>
      <w:r w:rsidRPr="00CC43C3">
        <w:rPr>
          <w:rFonts w:ascii="Times New Roman" w:hAnsi="Times New Roman"/>
        </w:rPr>
        <w:t xml:space="preserve"> Exhibit No. RG-1HCT at 30:10-17.</w:t>
      </w:r>
      <w:r>
        <w:rPr>
          <w:rFonts w:ascii="Times New Roman" w:hAnsi="Times New Roman"/>
        </w:rPr>
        <w:t xml:space="preserve">  PSE acquired Mint Farm with a minor deficiency of firm transmission capacity:  3 MW of Mint Farm’s baseload capacity of 296 MW.  However, PSE identified methods to manage this small deficit.  Exhibit No. RG-53HCT at 42:11-43:12. </w:t>
      </w:r>
    </w:p>
  </w:footnote>
  <w:footnote w:id="262">
    <w:p w:rsidR="000570C1" w:rsidRPr="005B0966" w:rsidRDefault="000570C1" w:rsidP="00570785">
      <w:pPr>
        <w:pStyle w:val="FootnoteText"/>
        <w:rPr>
          <w:rFonts w:ascii="Times New Roman" w:hAnsi="Times New Roman"/>
        </w:rPr>
      </w:pPr>
      <w:r w:rsidRPr="005B0966">
        <w:rPr>
          <w:rStyle w:val="FootnoteReference"/>
          <w:rFonts w:ascii="Times New Roman" w:hAnsi="Times New Roman"/>
        </w:rPr>
        <w:footnoteRef/>
      </w:r>
      <w:r>
        <w:rPr>
          <w:rFonts w:ascii="Times New Roman" w:hAnsi="Times New Roman"/>
        </w:rPr>
        <w:t xml:space="preserve"> Exhibit No. RCR-1CT at 2-7.  PSE had a strategy to ensure firm capacity sufficient to deliver the full requirements to Mint Farm.  Exhibit No. RCR-6T at 2-7.  That strategy appears to have worked.  Sufficient gas has been delivered whenever plant operations were warranted, including during December 2009 when record demands were recorded due to cold weather.  Exhibit No. RCR-6T at 7:3-6.</w:t>
      </w:r>
    </w:p>
  </w:footnote>
  <w:footnote w:id="263">
    <w:p w:rsidR="000570C1" w:rsidRPr="006A2EFA" w:rsidRDefault="000570C1" w:rsidP="00570785">
      <w:pPr>
        <w:pStyle w:val="FootnoteText"/>
        <w:rPr>
          <w:rFonts w:ascii="Times New Roman" w:hAnsi="Times New Roman"/>
        </w:rPr>
      </w:pPr>
      <w:r w:rsidRPr="006A2EFA">
        <w:rPr>
          <w:rStyle w:val="FootnoteReference"/>
          <w:rFonts w:ascii="Times New Roman" w:hAnsi="Times New Roman"/>
        </w:rPr>
        <w:footnoteRef/>
      </w:r>
      <w:r w:rsidRPr="006A2EFA">
        <w:rPr>
          <w:rFonts w:ascii="Times New Roman" w:hAnsi="Times New Roman"/>
        </w:rPr>
        <w:t xml:space="preserve"> Exhibit No. DN-1T at 16:14-19.</w:t>
      </w:r>
    </w:p>
  </w:footnote>
  <w:footnote w:id="264">
    <w:p w:rsidR="000570C1" w:rsidRDefault="000570C1" w:rsidP="00570785">
      <w:pPr>
        <w:pStyle w:val="FootnoteText"/>
      </w:pPr>
      <w:r>
        <w:rPr>
          <w:rStyle w:val="FootnoteReference"/>
        </w:rPr>
        <w:footnoteRef/>
      </w:r>
      <w:r>
        <w:t xml:space="preserve"> </w:t>
      </w:r>
      <w:r w:rsidRPr="006A2EFA">
        <w:rPr>
          <w:rFonts w:ascii="Times New Roman" w:hAnsi="Times New Roman"/>
        </w:rPr>
        <w:t>Exhibit No. DN-1T at</w:t>
      </w:r>
      <w:r>
        <w:rPr>
          <w:rFonts w:ascii="Times New Roman" w:hAnsi="Times New Roman"/>
        </w:rPr>
        <w:t xml:space="preserve"> 17:1-5.  The Grays Harbor CCCT is the only other CCCT not under long-term contract, but it does not have available firm transmission capacity until 2015.  Exhibit No. RG-1HCT at 43:1-8 and Exhibit No. RG-53HCT at 7:17-20.</w:t>
      </w:r>
    </w:p>
  </w:footnote>
  <w:footnote w:id="265">
    <w:p w:rsidR="000570C1" w:rsidRDefault="000570C1" w:rsidP="00570785">
      <w:pPr>
        <w:pStyle w:val="FootnoteText"/>
      </w:pPr>
      <w:r w:rsidRPr="00BC4346">
        <w:rPr>
          <w:rStyle w:val="FootnoteReference"/>
          <w:rFonts w:ascii="Times New Roman" w:hAnsi="Times New Roman"/>
        </w:rPr>
        <w:footnoteRef/>
      </w:r>
      <w:r w:rsidRPr="00BC4346">
        <w:rPr>
          <w:rFonts w:ascii="Times New Roman" w:hAnsi="Times New Roman"/>
        </w:rPr>
        <w:t xml:space="preserve"> Exhibit</w:t>
      </w:r>
      <w:r w:rsidRPr="006A2EFA">
        <w:rPr>
          <w:rFonts w:ascii="Times New Roman" w:hAnsi="Times New Roman"/>
        </w:rPr>
        <w:t xml:space="preserve"> No. DN-1T at</w:t>
      </w:r>
      <w:r>
        <w:rPr>
          <w:rFonts w:ascii="Times New Roman" w:hAnsi="Times New Roman"/>
        </w:rPr>
        <w:t xml:space="preserve"> 15:10.</w:t>
      </w:r>
    </w:p>
  </w:footnote>
  <w:footnote w:id="266">
    <w:p w:rsidR="000570C1" w:rsidRPr="005C7675" w:rsidRDefault="000570C1" w:rsidP="00570785">
      <w:pPr>
        <w:pStyle w:val="FootnoteText"/>
        <w:rPr>
          <w:rFonts w:ascii="Times New Roman" w:hAnsi="Times New Roman"/>
        </w:rPr>
      </w:pPr>
      <w:r w:rsidRPr="005C7675">
        <w:rPr>
          <w:rStyle w:val="FootnoteReference"/>
          <w:rFonts w:ascii="Times New Roman" w:hAnsi="Times New Roman"/>
        </w:rPr>
        <w:footnoteRef/>
      </w:r>
      <w:r w:rsidRPr="005C7675">
        <w:rPr>
          <w:rFonts w:ascii="Times New Roman" w:hAnsi="Times New Roman"/>
        </w:rPr>
        <w:t xml:space="preserve"> RCW 80.80.040(1)(a).</w:t>
      </w:r>
    </w:p>
  </w:footnote>
  <w:footnote w:id="267">
    <w:p w:rsidR="000570C1" w:rsidRPr="00A00415" w:rsidRDefault="000570C1" w:rsidP="00570785">
      <w:pPr>
        <w:pStyle w:val="FootnoteText"/>
        <w:rPr>
          <w:rFonts w:ascii="Times New Roman" w:hAnsi="Times New Roman"/>
        </w:rPr>
      </w:pPr>
      <w:r w:rsidRPr="00A00415">
        <w:rPr>
          <w:rStyle w:val="FootnoteReference"/>
          <w:rFonts w:ascii="Times New Roman" w:hAnsi="Times New Roman"/>
        </w:rPr>
        <w:footnoteRef/>
      </w:r>
      <w:r>
        <w:rPr>
          <w:rFonts w:ascii="Times New Roman" w:hAnsi="Times New Roman"/>
        </w:rPr>
        <w:t xml:space="preserve"> RCW 80.80.010(4)</w:t>
      </w:r>
      <w:r w:rsidRPr="00A00415">
        <w:rPr>
          <w:rFonts w:ascii="Times New Roman" w:hAnsi="Times New Roman"/>
        </w:rPr>
        <w:t>.</w:t>
      </w:r>
    </w:p>
  </w:footnote>
  <w:footnote w:id="268">
    <w:p w:rsidR="000570C1" w:rsidRPr="00720019" w:rsidRDefault="000570C1" w:rsidP="00570785">
      <w:pPr>
        <w:pStyle w:val="FootnoteText"/>
        <w:rPr>
          <w:rFonts w:ascii="Times New Roman" w:hAnsi="Times New Roman"/>
        </w:rPr>
      </w:pPr>
      <w:r w:rsidRPr="00720019">
        <w:rPr>
          <w:rStyle w:val="FootnoteReference"/>
          <w:rFonts w:ascii="Times New Roman" w:hAnsi="Times New Roman"/>
        </w:rPr>
        <w:footnoteRef/>
      </w:r>
      <w:r w:rsidRPr="00720019">
        <w:rPr>
          <w:rFonts w:ascii="Times New Roman" w:hAnsi="Times New Roman"/>
        </w:rPr>
        <w:t xml:space="preserve"> </w:t>
      </w:r>
      <w:r w:rsidRPr="00720019">
        <w:rPr>
          <w:rFonts w:ascii="Times New Roman" w:hAnsi="Times New Roman"/>
          <w:i/>
        </w:rPr>
        <w:t>WUTC v. PacifiCorp d/b/a Pacific Power &amp; Light Co</w:t>
      </w:r>
      <w:r>
        <w:rPr>
          <w:rFonts w:ascii="Times New Roman" w:hAnsi="Times New Roman"/>
        </w:rPr>
        <w:t>., Docket UE-090205, Order 09 at ¶69 (December 16, 2009).</w:t>
      </w:r>
    </w:p>
  </w:footnote>
  <w:footnote w:id="269">
    <w:p w:rsidR="000570C1" w:rsidRDefault="000570C1" w:rsidP="00570785">
      <w:pPr>
        <w:pStyle w:val="FootnoteText"/>
      </w:pPr>
      <w:r w:rsidRPr="00B754F9">
        <w:rPr>
          <w:rStyle w:val="FootnoteReference"/>
          <w:rFonts w:ascii="Times New Roman" w:hAnsi="Times New Roman"/>
        </w:rPr>
        <w:footnoteRef/>
      </w:r>
      <w:r w:rsidRPr="00B754F9">
        <w:rPr>
          <w:rFonts w:ascii="Times New Roman" w:hAnsi="Times New Roman"/>
        </w:rPr>
        <w:t xml:space="preserve"> </w:t>
      </w:r>
      <w:r>
        <w:rPr>
          <w:rFonts w:ascii="Times New Roman" w:hAnsi="Times New Roman"/>
        </w:rPr>
        <w:t xml:space="preserve">Exhibit No. RG-1HCT at </w:t>
      </w:r>
      <w:r w:rsidRPr="00527E2C">
        <w:rPr>
          <w:rFonts w:ascii="Times New Roman" w:hAnsi="Times New Roman"/>
        </w:rPr>
        <w:t>3</w:t>
      </w:r>
      <w:r>
        <w:rPr>
          <w:rFonts w:ascii="Times New Roman" w:hAnsi="Times New Roman"/>
        </w:rPr>
        <w:t>0:2</w:t>
      </w:r>
      <w:r w:rsidRPr="00527E2C">
        <w:rPr>
          <w:rFonts w:ascii="Times New Roman" w:hAnsi="Times New Roman"/>
        </w:rPr>
        <w:t>-</w:t>
      </w:r>
      <w:r>
        <w:rPr>
          <w:rFonts w:ascii="Times New Roman" w:hAnsi="Times New Roman"/>
        </w:rPr>
        <w:t>3</w:t>
      </w:r>
      <w:r w:rsidRPr="00527E2C">
        <w:rPr>
          <w:rFonts w:ascii="Times New Roman" w:hAnsi="Times New Roman"/>
        </w:rPr>
        <w:t xml:space="preserve"> and</w:t>
      </w:r>
      <w:r>
        <w:rPr>
          <w:rFonts w:ascii="Times New Roman" w:hAnsi="Times New Roman"/>
        </w:rPr>
        <w:t xml:space="preserve"> 39:4-5 and</w:t>
      </w:r>
      <w:r w:rsidRPr="00527E2C">
        <w:rPr>
          <w:rFonts w:ascii="Times New Roman" w:hAnsi="Times New Roman"/>
        </w:rPr>
        <w:t xml:space="preserve"> </w:t>
      </w:r>
      <w:r w:rsidRPr="00B754F9">
        <w:rPr>
          <w:rFonts w:ascii="Times New Roman" w:hAnsi="Times New Roman"/>
        </w:rPr>
        <w:t>Exhibit</w:t>
      </w:r>
      <w:r w:rsidRPr="00EA72E7">
        <w:rPr>
          <w:rFonts w:ascii="Times New Roman" w:hAnsi="Times New Roman"/>
        </w:rPr>
        <w:t xml:space="preserve"> No. DN-1HCT at</w:t>
      </w:r>
      <w:r>
        <w:rPr>
          <w:rFonts w:ascii="Times New Roman" w:hAnsi="Times New Roman"/>
        </w:rPr>
        <w:t xml:space="preserve"> 42:10-43:9.</w:t>
      </w:r>
    </w:p>
  </w:footnote>
  <w:footnote w:id="270">
    <w:p w:rsidR="000570C1" w:rsidRPr="009D2EBA" w:rsidRDefault="000570C1" w:rsidP="00570785">
      <w:pPr>
        <w:pStyle w:val="FootnoteText"/>
        <w:rPr>
          <w:rFonts w:ascii="Times New Roman" w:hAnsi="Times New Roman"/>
        </w:rPr>
      </w:pPr>
      <w:r w:rsidRPr="009D2EBA">
        <w:rPr>
          <w:rStyle w:val="FootnoteReference"/>
          <w:rFonts w:ascii="Times New Roman" w:hAnsi="Times New Roman"/>
        </w:rPr>
        <w:footnoteRef/>
      </w:r>
      <w:r w:rsidRPr="009D2EBA">
        <w:rPr>
          <w:rFonts w:ascii="Times New Roman" w:hAnsi="Times New Roman"/>
        </w:rPr>
        <w:t xml:space="preserve"> Exhibit No. DN-1HCT at 43:13-15.</w:t>
      </w:r>
    </w:p>
  </w:footnote>
  <w:footnote w:id="271">
    <w:p w:rsidR="000570C1" w:rsidRPr="009D2EBA" w:rsidRDefault="000570C1" w:rsidP="00570785">
      <w:pPr>
        <w:pStyle w:val="FootnoteText"/>
      </w:pPr>
      <w:r w:rsidRPr="00B754F9">
        <w:rPr>
          <w:rStyle w:val="FootnoteReference"/>
          <w:rFonts w:ascii="Times New Roman" w:hAnsi="Times New Roman"/>
        </w:rPr>
        <w:footnoteRef/>
      </w:r>
      <w:r w:rsidRPr="00B754F9">
        <w:rPr>
          <w:rFonts w:ascii="Times New Roman" w:hAnsi="Times New Roman"/>
        </w:rPr>
        <w:t xml:space="preserve"> </w:t>
      </w:r>
      <w:r w:rsidRPr="00A43309">
        <w:rPr>
          <w:rFonts w:ascii="Times New Roman" w:hAnsi="Times New Roman"/>
        </w:rPr>
        <w:t>Exhibit No. JMH-3</w:t>
      </w:r>
      <w:r>
        <w:rPr>
          <w:rFonts w:ascii="Times New Roman" w:hAnsi="Times New Roman"/>
        </w:rPr>
        <w:t xml:space="preserve"> and </w:t>
      </w:r>
      <w:r w:rsidRPr="00B754F9">
        <w:rPr>
          <w:rFonts w:ascii="Times New Roman" w:hAnsi="Times New Roman"/>
        </w:rPr>
        <w:t>Exhibit</w:t>
      </w:r>
      <w:r w:rsidRPr="00EA72E7">
        <w:rPr>
          <w:rFonts w:ascii="Times New Roman" w:hAnsi="Times New Roman"/>
        </w:rPr>
        <w:t xml:space="preserve"> No. DN-1HCT at</w:t>
      </w:r>
      <w:r>
        <w:rPr>
          <w:rFonts w:ascii="Times New Roman" w:hAnsi="Times New Roman"/>
        </w:rPr>
        <w:t xml:space="preserve"> 43:21-44:7.  </w:t>
      </w:r>
    </w:p>
  </w:footnote>
  <w:footnote w:id="272">
    <w:p w:rsidR="000570C1" w:rsidRDefault="000570C1" w:rsidP="00570785">
      <w:pPr>
        <w:tabs>
          <w:tab w:val="left" w:pos="-1440"/>
        </w:tabs>
      </w:pPr>
      <w:r w:rsidRPr="00905008">
        <w:rPr>
          <w:rStyle w:val="FootnoteReference"/>
          <w:rFonts w:ascii="Times New Roman" w:hAnsi="Times New Roman"/>
          <w:sz w:val="20"/>
          <w:szCs w:val="20"/>
        </w:rPr>
        <w:footnoteRef/>
      </w:r>
      <w:r w:rsidRPr="00905008">
        <w:rPr>
          <w:rFonts w:ascii="Times New Roman" w:hAnsi="Times New Roman"/>
          <w:sz w:val="20"/>
          <w:szCs w:val="20"/>
        </w:rPr>
        <w:t xml:space="preserve"> Public Counsel argues that Mint Farm is not base</w:t>
      </w:r>
      <w:r>
        <w:rPr>
          <w:rFonts w:ascii="Times New Roman" w:hAnsi="Times New Roman"/>
          <w:sz w:val="20"/>
          <w:szCs w:val="20"/>
        </w:rPr>
        <w:t>load electric generation because forecasts show</w:t>
      </w:r>
      <w:r w:rsidRPr="00905008">
        <w:rPr>
          <w:rFonts w:ascii="Times New Roman" w:hAnsi="Times New Roman"/>
          <w:sz w:val="20"/>
          <w:szCs w:val="20"/>
        </w:rPr>
        <w:t xml:space="preserve"> Mint Farm operating below a 60 percent annual capacit</w:t>
      </w:r>
      <w:r>
        <w:rPr>
          <w:rFonts w:ascii="Times New Roman" w:hAnsi="Times New Roman"/>
          <w:sz w:val="20"/>
          <w:szCs w:val="20"/>
        </w:rPr>
        <w:t>y factor</w:t>
      </w:r>
      <w:r w:rsidRPr="00905008">
        <w:rPr>
          <w:rFonts w:ascii="Times New Roman" w:hAnsi="Times New Roman"/>
          <w:sz w:val="20"/>
          <w:szCs w:val="20"/>
        </w:rPr>
        <w:t xml:space="preserve">.  </w:t>
      </w:r>
      <w:r>
        <w:rPr>
          <w:rFonts w:ascii="Times New Roman" w:hAnsi="Times New Roman"/>
          <w:sz w:val="20"/>
          <w:szCs w:val="20"/>
        </w:rPr>
        <w:t>Exhibit No. SN-1HCT at 28:5-24.  Th</w:t>
      </w:r>
      <w:r w:rsidRPr="00905008">
        <w:rPr>
          <w:rFonts w:ascii="Times New Roman" w:hAnsi="Times New Roman"/>
          <w:sz w:val="20"/>
          <w:szCs w:val="20"/>
        </w:rPr>
        <w:t>is argument</w:t>
      </w:r>
      <w:r>
        <w:rPr>
          <w:rFonts w:ascii="Times New Roman" w:hAnsi="Times New Roman"/>
          <w:sz w:val="20"/>
          <w:szCs w:val="20"/>
        </w:rPr>
        <w:t xml:space="preserve"> ignores </w:t>
      </w:r>
      <w:r w:rsidRPr="00905008">
        <w:rPr>
          <w:rFonts w:ascii="Times New Roman" w:hAnsi="Times New Roman"/>
          <w:sz w:val="20"/>
          <w:szCs w:val="20"/>
        </w:rPr>
        <w:t>plant design and other technical characteristic</w:t>
      </w:r>
      <w:r>
        <w:rPr>
          <w:rFonts w:ascii="Times New Roman" w:hAnsi="Times New Roman"/>
          <w:sz w:val="20"/>
          <w:szCs w:val="20"/>
        </w:rPr>
        <w:t>s that are the focus.  In any event</w:t>
      </w:r>
      <w:r w:rsidRPr="00905008">
        <w:rPr>
          <w:rFonts w:ascii="Times New Roman" w:hAnsi="Times New Roman"/>
          <w:sz w:val="20"/>
          <w:szCs w:val="20"/>
        </w:rPr>
        <w:t xml:space="preserve">, </w:t>
      </w:r>
      <w:r>
        <w:rPr>
          <w:rFonts w:ascii="Times New Roman" w:hAnsi="Times New Roman"/>
          <w:sz w:val="20"/>
          <w:szCs w:val="20"/>
        </w:rPr>
        <w:t xml:space="preserve">PSE’s </w:t>
      </w:r>
      <w:r w:rsidRPr="00905008">
        <w:rPr>
          <w:rFonts w:ascii="Times New Roman" w:hAnsi="Times New Roman"/>
          <w:sz w:val="20"/>
          <w:szCs w:val="20"/>
        </w:rPr>
        <w:t>ana</w:t>
      </w:r>
      <w:r>
        <w:rPr>
          <w:rFonts w:ascii="Times New Roman" w:hAnsi="Times New Roman"/>
          <w:sz w:val="20"/>
          <w:szCs w:val="20"/>
        </w:rPr>
        <w:t xml:space="preserve">lysis projected an annual </w:t>
      </w:r>
      <w:r w:rsidRPr="00905008">
        <w:rPr>
          <w:rFonts w:ascii="Times New Roman" w:hAnsi="Times New Roman"/>
          <w:sz w:val="20"/>
          <w:szCs w:val="20"/>
        </w:rPr>
        <w:t>capacity factor for Mint Farm of over 60 percent in</w:t>
      </w:r>
      <w:r>
        <w:rPr>
          <w:rFonts w:ascii="Times New Roman" w:hAnsi="Times New Roman"/>
          <w:sz w:val="20"/>
          <w:szCs w:val="20"/>
        </w:rPr>
        <w:t xml:space="preserve"> nearly </w:t>
      </w:r>
      <w:r w:rsidRPr="00905008">
        <w:rPr>
          <w:rFonts w:ascii="Times New Roman" w:hAnsi="Times New Roman"/>
          <w:sz w:val="20"/>
          <w:szCs w:val="20"/>
        </w:rPr>
        <w:t>half (45.7 percent) of all 1,800 test year runs.</w:t>
      </w:r>
      <w:r>
        <w:rPr>
          <w:rFonts w:ascii="Times New Roman" w:hAnsi="Times New Roman"/>
          <w:sz w:val="20"/>
          <w:szCs w:val="20"/>
        </w:rPr>
        <w:t xml:space="preserve">  </w:t>
      </w:r>
      <w:r w:rsidRPr="00905008">
        <w:rPr>
          <w:rFonts w:ascii="Times New Roman" w:hAnsi="Times New Roman"/>
          <w:sz w:val="20"/>
          <w:szCs w:val="20"/>
        </w:rPr>
        <w:t>Exhibit No. WJE-1HCT at 29.</w:t>
      </w:r>
    </w:p>
  </w:footnote>
  <w:footnote w:id="273">
    <w:p w:rsidR="000570C1" w:rsidRPr="00E824E7" w:rsidRDefault="000570C1" w:rsidP="00570785">
      <w:pPr>
        <w:pStyle w:val="FootnoteText"/>
        <w:rPr>
          <w:rFonts w:ascii="Times New Roman" w:hAnsi="Times New Roman"/>
        </w:rPr>
      </w:pPr>
      <w:r w:rsidRPr="00E824E7">
        <w:rPr>
          <w:rStyle w:val="FootnoteReference"/>
          <w:rFonts w:ascii="Times New Roman" w:hAnsi="Times New Roman"/>
        </w:rPr>
        <w:footnoteRef/>
      </w:r>
      <w:r>
        <w:rPr>
          <w:rFonts w:ascii="Times New Roman" w:hAnsi="Times New Roman"/>
        </w:rPr>
        <w:t xml:space="preserve"> Exhibit No. JMH</w:t>
      </w:r>
      <w:r w:rsidRPr="00E824E7">
        <w:rPr>
          <w:rFonts w:ascii="Times New Roman" w:hAnsi="Times New Roman"/>
        </w:rPr>
        <w:t>-5</w:t>
      </w:r>
      <w:r>
        <w:rPr>
          <w:rFonts w:ascii="Times New Roman" w:hAnsi="Times New Roman"/>
        </w:rPr>
        <w:t xml:space="preserve"> (letter from the Department of Ecology).</w:t>
      </w:r>
    </w:p>
  </w:footnote>
  <w:footnote w:id="274">
    <w:p w:rsidR="000570C1" w:rsidRPr="005B7A09" w:rsidRDefault="000570C1" w:rsidP="00570785">
      <w:pPr>
        <w:pStyle w:val="FootnoteText"/>
        <w:rPr>
          <w:rFonts w:ascii="Times New Roman" w:hAnsi="Times New Roman"/>
        </w:rPr>
      </w:pPr>
      <w:r w:rsidRPr="005B7A09">
        <w:rPr>
          <w:rStyle w:val="FootnoteReference"/>
          <w:rFonts w:ascii="Times New Roman" w:hAnsi="Times New Roman"/>
        </w:rPr>
        <w:footnoteRef/>
      </w:r>
      <w:r>
        <w:rPr>
          <w:rFonts w:ascii="Times New Roman" w:hAnsi="Times New Roman"/>
        </w:rPr>
        <w:t xml:space="preserve"> PSE also requests </w:t>
      </w:r>
      <w:r w:rsidRPr="005B7A09">
        <w:rPr>
          <w:rFonts w:ascii="Times New Roman" w:hAnsi="Times New Roman"/>
        </w:rPr>
        <w:t xml:space="preserve">a Commission determination that the Sumas CCCT </w:t>
      </w:r>
      <w:r>
        <w:rPr>
          <w:rFonts w:ascii="Times New Roman" w:hAnsi="Times New Roman"/>
        </w:rPr>
        <w:t>complies with the GHG Standard.  The record shows that Sumas meets the standard.  Exhibit No. DN-2.  PSE’s request should be granted.</w:t>
      </w:r>
    </w:p>
  </w:footnote>
  <w:footnote w:id="275">
    <w:p w:rsidR="000570C1" w:rsidRPr="00CD402F" w:rsidRDefault="000570C1" w:rsidP="00570785">
      <w:pPr>
        <w:pStyle w:val="FootnoteText"/>
        <w:rPr>
          <w:rFonts w:ascii="Times New Roman" w:hAnsi="Times New Roman"/>
        </w:rPr>
      </w:pPr>
      <w:r w:rsidRPr="00CD402F">
        <w:rPr>
          <w:rStyle w:val="FootnoteReference"/>
          <w:rFonts w:ascii="Times New Roman" w:hAnsi="Times New Roman"/>
        </w:rPr>
        <w:footnoteRef/>
      </w:r>
      <w:r w:rsidRPr="00CD402F">
        <w:rPr>
          <w:rFonts w:ascii="Times New Roman" w:hAnsi="Times New Roman"/>
        </w:rPr>
        <w:t xml:space="preserve"> </w:t>
      </w:r>
      <w:r>
        <w:rPr>
          <w:rFonts w:ascii="Times New Roman" w:hAnsi="Times New Roman"/>
        </w:rPr>
        <w:t>Exhibit No. SN-1HCT at 21:15-16 and Tr. 209:24-210:7 (Harris).</w:t>
      </w:r>
    </w:p>
  </w:footnote>
  <w:footnote w:id="276">
    <w:p w:rsidR="000570C1" w:rsidRPr="00084654" w:rsidRDefault="000570C1" w:rsidP="00570785">
      <w:pPr>
        <w:pStyle w:val="FootnoteText"/>
        <w:rPr>
          <w:rFonts w:ascii="Times New Roman" w:hAnsi="Times New Roman"/>
        </w:rPr>
      </w:pPr>
      <w:r w:rsidRPr="00084654">
        <w:rPr>
          <w:rStyle w:val="FootnoteReference"/>
          <w:rFonts w:ascii="Times New Roman" w:hAnsi="Times New Roman"/>
        </w:rPr>
        <w:footnoteRef/>
      </w:r>
      <w:r w:rsidRPr="00084654">
        <w:rPr>
          <w:rFonts w:ascii="Times New Roman" w:hAnsi="Times New Roman"/>
        </w:rPr>
        <w:t xml:space="preserve"> </w:t>
      </w:r>
      <w:r>
        <w:rPr>
          <w:rFonts w:ascii="Times New Roman" w:hAnsi="Times New Roman"/>
        </w:rPr>
        <w:t>Exhibit No. SN-1HCT at 9:4-6.</w:t>
      </w:r>
    </w:p>
  </w:footnote>
  <w:footnote w:id="277">
    <w:p w:rsidR="000570C1" w:rsidRDefault="000570C1" w:rsidP="00570785">
      <w:pPr>
        <w:pStyle w:val="FootnoteText"/>
      </w:pPr>
      <w:r w:rsidRPr="00FF7C05">
        <w:rPr>
          <w:rStyle w:val="FootnoteReference"/>
          <w:rFonts w:ascii="Times New Roman" w:hAnsi="Times New Roman"/>
        </w:rPr>
        <w:footnoteRef/>
      </w:r>
      <w:r w:rsidRPr="00FF7C05">
        <w:rPr>
          <w:rFonts w:ascii="Times New Roman" w:hAnsi="Times New Roman"/>
        </w:rPr>
        <w:t xml:space="preserve"> </w:t>
      </w:r>
      <w:r w:rsidRPr="00FF7C05">
        <w:rPr>
          <w:rFonts w:ascii="Times New Roman" w:hAnsi="Times New Roman"/>
          <w:i/>
        </w:rPr>
        <w:t>WUTC</w:t>
      </w:r>
      <w:r w:rsidRPr="00DF497D">
        <w:rPr>
          <w:rFonts w:ascii="Times New Roman" w:hAnsi="Times New Roman"/>
          <w:i/>
        </w:rPr>
        <w:t xml:space="preserve"> v. PacifiCorp, d/b/a, Pacific Power &amp; Light Co</w:t>
      </w:r>
      <w:r w:rsidRPr="00DF497D">
        <w:rPr>
          <w:rFonts w:ascii="Times New Roman" w:hAnsi="Times New Roman"/>
        </w:rPr>
        <w:t>., D</w:t>
      </w:r>
      <w:r>
        <w:rPr>
          <w:rFonts w:ascii="Times New Roman" w:hAnsi="Times New Roman"/>
        </w:rPr>
        <w:t>ocket UE-090205, Order 09 at ¶50</w:t>
      </w:r>
      <w:r w:rsidRPr="00DF497D">
        <w:rPr>
          <w:rFonts w:ascii="Times New Roman" w:hAnsi="Times New Roman"/>
        </w:rPr>
        <w:t xml:space="preserve"> (December</w:t>
      </w:r>
      <w:r>
        <w:rPr>
          <w:rFonts w:ascii="Times New Roman" w:hAnsi="Times New Roman"/>
        </w:rPr>
        <w:t> </w:t>
      </w:r>
      <w:r w:rsidRPr="00DF497D">
        <w:rPr>
          <w:rFonts w:ascii="Times New Roman" w:hAnsi="Times New Roman"/>
        </w:rPr>
        <w:t>16, 2009).</w:t>
      </w:r>
    </w:p>
  </w:footnote>
  <w:footnote w:id="278">
    <w:p w:rsidR="000570C1" w:rsidRPr="00FF7C05" w:rsidRDefault="000570C1" w:rsidP="00570785">
      <w:pPr>
        <w:pStyle w:val="FootnoteText"/>
        <w:rPr>
          <w:rFonts w:ascii="Times New Roman" w:hAnsi="Times New Roman"/>
        </w:rPr>
      </w:pPr>
      <w:r w:rsidRPr="00FF7C05">
        <w:rPr>
          <w:rStyle w:val="FootnoteReference"/>
          <w:rFonts w:ascii="Times New Roman" w:hAnsi="Times New Roman"/>
        </w:rPr>
        <w:footnoteRef/>
      </w:r>
      <w:r w:rsidRPr="00FF7C05">
        <w:rPr>
          <w:rFonts w:ascii="Times New Roman" w:hAnsi="Times New Roman"/>
        </w:rPr>
        <w:t xml:space="preserve"> </w:t>
      </w:r>
      <w:r w:rsidRPr="00FF7C05">
        <w:rPr>
          <w:rFonts w:ascii="Times New Roman" w:hAnsi="Times New Roman"/>
          <w:i/>
        </w:rPr>
        <w:t>Id</w:t>
      </w:r>
      <w:r w:rsidRPr="00FF7C05">
        <w:rPr>
          <w:rFonts w:ascii="Times New Roman" w:hAnsi="Times New Roman"/>
        </w:rPr>
        <w:t>. at ¶</w:t>
      </w:r>
      <w:r>
        <w:rPr>
          <w:rFonts w:ascii="Times New Roman" w:hAnsi="Times New Roman"/>
        </w:rPr>
        <w:t>¶66 and 77.</w:t>
      </w:r>
    </w:p>
  </w:footnote>
  <w:footnote w:id="279">
    <w:p w:rsidR="000570C1" w:rsidRDefault="000570C1" w:rsidP="00570785">
      <w:pPr>
        <w:pStyle w:val="FootnoteText"/>
      </w:pPr>
      <w:r w:rsidRPr="00FF7C05">
        <w:rPr>
          <w:rStyle w:val="FootnoteReference"/>
          <w:rFonts w:ascii="Times New Roman" w:hAnsi="Times New Roman"/>
        </w:rPr>
        <w:footnoteRef/>
      </w:r>
      <w:r w:rsidRPr="00FF7C05">
        <w:rPr>
          <w:rFonts w:ascii="Times New Roman" w:hAnsi="Times New Roman"/>
        </w:rPr>
        <w:t xml:space="preserve"> </w:t>
      </w:r>
      <w:r w:rsidRPr="00FF7C05">
        <w:rPr>
          <w:rFonts w:ascii="Times New Roman" w:hAnsi="Times New Roman"/>
          <w:i/>
        </w:rPr>
        <w:t>Id</w:t>
      </w:r>
      <w:r w:rsidRPr="00FF7C05">
        <w:rPr>
          <w:rFonts w:ascii="Times New Roman" w:hAnsi="Times New Roman"/>
        </w:rPr>
        <w:t>. at ¶</w:t>
      </w:r>
      <w:r>
        <w:rPr>
          <w:rFonts w:ascii="Times New Roman" w:hAnsi="Times New Roman"/>
        </w:rPr>
        <w:t>66.</w:t>
      </w:r>
    </w:p>
  </w:footnote>
  <w:footnote w:id="280">
    <w:p w:rsidR="000570C1" w:rsidRPr="00EA72E7" w:rsidRDefault="000570C1" w:rsidP="00570785">
      <w:pPr>
        <w:pStyle w:val="FootnoteText"/>
        <w:rPr>
          <w:rFonts w:ascii="Times New Roman" w:hAnsi="Times New Roman"/>
        </w:rPr>
      </w:pPr>
      <w:r w:rsidRPr="00EA72E7">
        <w:rPr>
          <w:rStyle w:val="FootnoteReference"/>
          <w:rFonts w:ascii="Times New Roman" w:hAnsi="Times New Roman"/>
        </w:rPr>
        <w:footnoteRef/>
      </w:r>
      <w:r w:rsidRPr="00EA72E7">
        <w:rPr>
          <w:rFonts w:ascii="Times New Roman" w:hAnsi="Times New Roman"/>
        </w:rPr>
        <w:t xml:space="preserve"> Exhibit No. DN-1HCT at 15:19-20.</w:t>
      </w:r>
    </w:p>
  </w:footnote>
  <w:footnote w:id="281">
    <w:p w:rsidR="000570C1" w:rsidRDefault="000570C1" w:rsidP="00570785">
      <w:pPr>
        <w:pStyle w:val="FootnoteText"/>
      </w:pPr>
      <w:r>
        <w:rPr>
          <w:rStyle w:val="FootnoteReference"/>
        </w:rPr>
        <w:footnoteRef/>
      </w:r>
      <w:r>
        <w:t xml:space="preserve"> </w:t>
      </w:r>
      <w:r w:rsidRPr="007616D9">
        <w:rPr>
          <w:rFonts w:ascii="Times New Roman" w:hAnsi="Times New Roman"/>
        </w:rPr>
        <w:t>Exhibit No. KJH-5 at</w:t>
      </w:r>
      <w:r>
        <w:rPr>
          <w:rFonts w:ascii="Times New Roman" w:hAnsi="Times New Roman"/>
        </w:rPr>
        <w:t xml:space="preserve"> 79</w:t>
      </w:r>
      <w:r w:rsidRPr="007616D9">
        <w:rPr>
          <w:rFonts w:ascii="Times New Roman" w:hAnsi="Times New Roman"/>
        </w:rPr>
        <w:t>.</w:t>
      </w:r>
    </w:p>
  </w:footnote>
  <w:footnote w:id="282">
    <w:p w:rsidR="000570C1" w:rsidRPr="00084654" w:rsidRDefault="000570C1" w:rsidP="00570785">
      <w:pPr>
        <w:pStyle w:val="FootnoteText"/>
        <w:rPr>
          <w:rFonts w:ascii="Times New Roman" w:hAnsi="Times New Roman"/>
        </w:rPr>
      </w:pPr>
      <w:r w:rsidRPr="00084654">
        <w:rPr>
          <w:rStyle w:val="FootnoteReference"/>
          <w:rFonts w:ascii="Times New Roman" w:hAnsi="Times New Roman"/>
        </w:rPr>
        <w:footnoteRef/>
      </w:r>
      <w:r w:rsidRPr="00084654">
        <w:rPr>
          <w:rFonts w:ascii="Times New Roman" w:hAnsi="Times New Roman"/>
        </w:rPr>
        <w:t xml:space="preserve"> Exhibit No. SN-1HCT at</w:t>
      </w:r>
      <w:r>
        <w:rPr>
          <w:rFonts w:ascii="Times New Roman" w:hAnsi="Times New Roman"/>
        </w:rPr>
        <w:t xml:space="preserve"> 12:1-3.  The identity of the PPA is highly confidential.</w:t>
      </w:r>
    </w:p>
  </w:footnote>
  <w:footnote w:id="283">
    <w:p w:rsidR="000570C1" w:rsidRPr="000E1503" w:rsidRDefault="000570C1" w:rsidP="00570785">
      <w:pPr>
        <w:pStyle w:val="FootnoteText"/>
        <w:rPr>
          <w:rFonts w:ascii="Times New Roman" w:hAnsi="Times New Roman"/>
        </w:rPr>
      </w:pPr>
      <w:r w:rsidRPr="000E1503">
        <w:rPr>
          <w:rStyle w:val="FootnoteReference"/>
          <w:rFonts w:ascii="Times New Roman" w:hAnsi="Times New Roman"/>
        </w:rPr>
        <w:footnoteRef/>
      </w:r>
      <w:r w:rsidRPr="000E1503">
        <w:rPr>
          <w:rFonts w:ascii="Times New Roman" w:hAnsi="Times New Roman"/>
        </w:rPr>
        <w:t xml:space="preserve"> Exhibit No. SN-1HCT at 11:15-12:3.</w:t>
      </w:r>
    </w:p>
  </w:footnote>
  <w:footnote w:id="284">
    <w:p w:rsidR="000570C1" w:rsidRPr="002403BE" w:rsidRDefault="000570C1" w:rsidP="00570785">
      <w:pPr>
        <w:pStyle w:val="FootnoteText"/>
        <w:rPr>
          <w:rFonts w:ascii="Times New Roman" w:hAnsi="Times New Roman"/>
        </w:rPr>
      </w:pPr>
      <w:r w:rsidRPr="002403BE">
        <w:rPr>
          <w:rStyle w:val="FootnoteReference"/>
          <w:rFonts w:ascii="Times New Roman" w:hAnsi="Times New Roman"/>
        </w:rPr>
        <w:footnoteRef/>
      </w:r>
      <w:r>
        <w:rPr>
          <w:rFonts w:ascii="Times New Roman" w:hAnsi="Times New Roman"/>
        </w:rPr>
        <w:t xml:space="preserve"> Tr. 195-96 (Harris), Tr. 219 (Garratt), and Tr. 289</w:t>
      </w:r>
      <w:r w:rsidRPr="002403BE">
        <w:rPr>
          <w:rFonts w:ascii="Times New Roman" w:hAnsi="Times New Roman"/>
        </w:rPr>
        <w:t xml:space="preserve"> (Elsea).</w:t>
      </w:r>
    </w:p>
  </w:footnote>
  <w:footnote w:id="285">
    <w:p w:rsidR="000570C1" w:rsidRPr="00F52999" w:rsidRDefault="000570C1" w:rsidP="00570785">
      <w:pPr>
        <w:pStyle w:val="FootnoteText"/>
        <w:rPr>
          <w:rFonts w:ascii="Times New Roman" w:hAnsi="Times New Roman"/>
        </w:rPr>
      </w:pPr>
      <w:r w:rsidRPr="00F52999">
        <w:rPr>
          <w:rStyle w:val="FootnoteReference"/>
          <w:rFonts w:ascii="Times New Roman" w:hAnsi="Times New Roman"/>
        </w:rPr>
        <w:footnoteRef/>
      </w:r>
      <w:r w:rsidRPr="00F52999">
        <w:rPr>
          <w:rFonts w:ascii="Times New Roman" w:hAnsi="Times New Roman"/>
        </w:rPr>
        <w:t xml:space="preserve"> </w:t>
      </w:r>
      <w:r>
        <w:rPr>
          <w:rFonts w:ascii="Times New Roman" w:hAnsi="Times New Roman"/>
        </w:rPr>
        <w:t xml:space="preserve">Exhibit No. RG-3HC at 119 and </w:t>
      </w:r>
      <w:r w:rsidRPr="00F52999">
        <w:rPr>
          <w:rFonts w:ascii="Times New Roman" w:hAnsi="Times New Roman"/>
        </w:rPr>
        <w:t>Exhibit No. WEJ-11HC at 28.</w:t>
      </w:r>
    </w:p>
  </w:footnote>
  <w:footnote w:id="286">
    <w:p w:rsidR="000570C1" w:rsidRPr="001A11C0" w:rsidRDefault="000570C1" w:rsidP="00570785">
      <w:pPr>
        <w:pStyle w:val="FootnoteText"/>
        <w:rPr>
          <w:rFonts w:ascii="Times New Roman" w:hAnsi="Times New Roman"/>
        </w:rPr>
      </w:pPr>
      <w:r w:rsidRPr="001A11C0">
        <w:rPr>
          <w:rStyle w:val="FootnoteReference"/>
          <w:rFonts w:ascii="Times New Roman" w:hAnsi="Times New Roman"/>
        </w:rPr>
        <w:footnoteRef/>
      </w:r>
      <w:r w:rsidRPr="001A11C0">
        <w:rPr>
          <w:rFonts w:ascii="Times New Roman" w:hAnsi="Times New Roman"/>
        </w:rPr>
        <w:t xml:space="preserve"> </w:t>
      </w:r>
      <w:r w:rsidRPr="001A11C0">
        <w:rPr>
          <w:rFonts w:ascii="Times New Roman" w:hAnsi="Times New Roman"/>
          <w:i/>
        </w:rPr>
        <w:t>Id</w:t>
      </w:r>
      <w:r w:rsidRPr="001A11C0">
        <w:rPr>
          <w:rFonts w:ascii="Times New Roman" w:hAnsi="Times New Roman"/>
        </w:rPr>
        <w:t>.</w:t>
      </w:r>
      <w:r>
        <w:rPr>
          <w:rFonts w:ascii="Times New Roman" w:hAnsi="Times New Roman"/>
        </w:rPr>
        <w:t xml:space="preserve">  </w:t>
      </w:r>
    </w:p>
  </w:footnote>
  <w:footnote w:id="287">
    <w:p w:rsidR="000570C1" w:rsidRPr="00457A43" w:rsidRDefault="000570C1" w:rsidP="00570785">
      <w:pPr>
        <w:pStyle w:val="FootnoteText"/>
        <w:rPr>
          <w:rFonts w:ascii="Times New Roman" w:hAnsi="Times New Roman"/>
        </w:rPr>
      </w:pPr>
      <w:r w:rsidRPr="002D04DF">
        <w:rPr>
          <w:rStyle w:val="FootnoteReference"/>
          <w:rFonts w:ascii="Times New Roman" w:hAnsi="Times New Roman"/>
        </w:rPr>
        <w:footnoteRef/>
      </w:r>
      <w:r>
        <w:rPr>
          <w:rFonts w:ascii="Times New Roman" w:hAnsi="Times New Roman"/>
          <w:b/>
        </w:rPr>
        <w:t xml:space="preserve"> </w:t>
      </w:r>
      <w:r w:rsidRPr="00032584">
        <w:rPr>
          <w:rFonts w:ascii="Times New Roman" w:hAnsi="Times New Roman"/>
        </w:rPr>
        <w:t>Public Counsel</w:t>
      </w:r>
      <w:r>
        <w:rPr>
          <w:rFonts w:ascii="Times New Roman" w:hAnsi="Times New Roman"/>
        </w:rPr>
        <w:t xml:space="preserve"> attempted to show</w:t>
      </w:r>
      <w:r w:rsidRPr="00032584">
        <w:rPr>
          <w:rFonts w:ascii="Times New Roman" w:hAnsi="Times New Roman"/>
        </w:rPr>
        <w:t xml:space="preserve"> </w:t>
      </w:r>
      <w:r>
        <w:rPr>
          <w:rFonts w:ascii="Times New Roman" w:hAnsi="Times New Roman"/>
        </w:rPr>
        <w:t>that the 20-Year Levelized Cost need not be evaluated independently</w:t>
      </w:r>
      <w:r w:rsidRPr="00032584">
        <w:rPr>
          <w:rFonts w:ascii="Times New Roman" w:hAnsi="Times New Roman"/>
        </w:rPr>
        <w:t xml:space="preserve"> because </w:t>
      </w:r>
      <w:r>
        <w:rPr>
          <w:rFonts w:ascii="Times New Roman" w:hAnsi="Times New Roman"/>
        </w:rPr>
        <w:t xml:space="preserve">it </w:t>
      </w:r>
      <w:r w:rsidRPr="00032584">
        <w:rPr>
          <w:rFonts w:ascii="Times New Roman" w:hAnsi="Times New Roman"/>
        </w:rPr>
        <w:t>use</w:t>
      </w:r>
      <w:r>
        <w:rPr>
          <w:rFonts w:ascii="Times New Roman" w:hAnsi="Times New Roman"/>
        </w:rPr>
        <w:t xml:space="preserve">s </w:t>
      </w:r>
      <w:r w:rsidRPr="00032584">
        <w:rPr>
          <w:rFonts w:ascii="Times New Roman" w:hAnsi="Times New Roman"/>
        </w:rPr>
        <w:t>the same cost inputs</w:t>
      </w:r>
      <w:r>
        <w:rPr>
          <w:rFonts w:ascii="Times New Roman" w:hAnsi="Times New Roman"/>
        </w:rPr>
        <w:t xml:space="preserve"> as the Portfolio Benefit and Benefit Ratio. </w:t>
      </w:r>
      <w:r w:rsidRPr="00032584">
        <w:rPr>
          <w:rFonts w:ascii="Times New Roman" w:hAnsi="Times New Roman"/>
          <w:b/>
        </w:rPr>
        <w:t xml:space="preserve"> </w:t>
      </w:r>
      <w:r>
        <w:rPr>
          <w:rFonts w:ascii="Times New Roman" w:hAnsi="Times New Roman"/>
        </w:rPr>
        <w:t>Tr. 223:13-224:4 (Garratt) and Tr. 290:12-292:21 (Elsea)</w:t>
      </w:r>
      <w:r w:rsidRPr="00032584">
        <w:rPr>
          <w:rFonts w:ascii="Times New Roman" w:hAnsi="Times New Roman"/>
        </w:rPr>
        <w:t>.</w:t>
      </w:r>
      <w:r w:rsidRPr="00032584">
        <w:rPr>
          <w:rFonts w:ascii="Times New Roman" w:hAnsi="Times New Roman"/>
          <w:b/>
        </w:rPr>
        <w:t xml:space="preserve"> </w:t>
      </w:r>
      <w:r>
        <w:rPr>
          <w:rFonts w:ascii="Times New Roman" w:hAnsi="Times New Roman"/>
          <w:b/>
        </w:rPr>
        <w:t xml:space="preserve">  </w:t>
      </w:r>
      <w:r>
        <w:rPr>
          <w:rFonts w:ascii="Times New Roman" w:hAnsi="Times New Roman"/>
        </w:rPr>
        <w:t xml:space="preserve">Public Counsel misses the point.  The 20-Year </w:t>
      </w:r>
      <w:r w:rsidRPr="00CA76D7">
        <w:rPr>
          <w:rFonts w:ascii="Times New Roman" w:hAnsi="Times New Roman"/>
        </w:rPr>
        <w:t xml:space="preserve">Levelized </w:t>
      </w:r>
      <w:r>
        <w:rPr>
          <w:rFonts w:ascii="Times New Roman" w:hAnsi="Times New Roman"/>
        </w:rPr>
        <w:t xml:space="preserve">Cost is the only criteria that measures </w:t>
      </w:r>
      <w:r w:rsidRPr="00CA76D7">
        <w:rPr>
          <w:rFonts w:ascii="Times New Roman" w:hAnsi="Times New Roman"/>
        </w:rPr>
        <w:t>the e</w:t>
      </w:r>
      <w:r>
        <w:rPr>
          <w:rFonts w:ascii="Times New Roman" w:hAnsi="Times New Roman"/>
        </w:rPr>
        <w:t>xpected costs to deliver power</w:t>
      </w:r>
      <w:r w:rsidRPr="00CA76D7">
        <w:rPr>
          <w:rFonts w:ascii="Times New Roman" w:hAnsi="Times New Roman"/>
        </w:rPr>
        <w:t xml:space="preserve"> for a specific resource over 20 years.</w:t>
      </w:r>
      <w:r>
        <w:rPr>
          <w:rFonts w:ascii="Times New Roman" w:hAnsi="Times New Roman"/>
          <w:sz w:val="24"/>
          <w:szCs w:val="24"/>
        </w:rPr>
        <w:t xml:space="preserve">  </w:t>
      </w:r>
      <w:r>
        <w:rPr>
          <w:rFonts w:ascii="Times New Roman" w:hAnsi="Times New Roman"/>
        </w:rPr>
        <w:t xml:space="preserve">Tr. 290:12-22 (Elsea).  Thus, even if it shares cost inputs with the Portfolio Benefit and Benefit Ratio, it provides unique analytical results that were evaluated separately and collectively with all other quantitative and qualitative factors.  Tr. 225:10-24 (Garratt) and Tr. 289:6-25 (Elsea).  </w:t>
      </w:r>
    </w:p>
  </w:footnote>
  <w:footnote w:id="288">
    <w:p w:rsidR="000570C1" w:rsidRPr="001A11C0" w:rsidRDefault="000570C1" w:rsidP="00570785">
      <w:pPr>
        <w:pStyle w:val="FootnoteText"/>
        <w:rPr>
          <w:rFonts w:ascii="Times New Roman" w:hAnsi="Times New Roman"/>
        </w:rPr>
      </w:pPr>
      <w:r w:rsidRPr="001A11C0">
        <w:rPr>
          <w:rStyle w:val="FootnoteReference"/>
          <w:rFonts w:ascii="Times New Roman" w:hAnsi="Times New Roman"/>
        </w:rPr>
        <w:footnoteRef/>
      </w:r>
      <w:r w:rsidRPr="001A11C0">
        <w:rPr>
          <w:rFonts w:ascii="Times New Roman" w:hAnsi="Times New Roman"/>
        </w:rPr>
        <w:t xml:space="preserve"> </w:t>
      </w:r>
      <w:r>
        <w:rPr>
          <w:rFonts w:ascii="Times New Roman" w:hAnsi="Times New Roman"/>
        </w:rPr>
        <w:t xml:space="preserve">Tr. 216 (Garratt); </w:t>
      </w:r>
      <w:r w:rsidRPr="001A11C0">
        <w:rPr>
          <w:rFonts w:ascii="Times New Roman" w:hAnsi="Times New Roman"/>
        </w:rPr>
        <w:t>Exhibit No. DN-3HCT at 5:16-6:16.</w:t>
      </w:r>
    </w:p>
  </w:footnote>
  <w:footnote w:id="289">
    <w:p w:rsidR="000570C1" w:rsidRDefault="000570C1" w:rsidP="00570785">
      <w:pPr>
        <w:pStyle w:val="FootnoteText"/>
      </w:pPr>
      <w:r w:rsidRPr="001A11C0">
        <w:rPr>
          <w:rStyle w:val="FootnoteReference"/>
          <w:rFonts w:ascii="Times New Roman" w:hAnsi="Times New Roman"/>
        </w:rPr>
        <w:footnoteRef/>
      </w:r>
      <w:r w:rsidRPr="001A11C0">
        <w:rPr>
          <w:rFonts w:ascii="Times New Roman" w:hAnsi="Times New Roman"/>
        </w:rPr>
        <w:t xml:space="preserve"> Exhibit</w:t>
      </w:r>
      <w:r>
        <w:rPr>
          <w:rFonts w:ascii="Times New Roman" w:hAnsi="Times New Roman"/>
        </w:rPr>
        <w:t xml:space="preserve"> No. RG-53-HCT at 7:12-16</w:t>
      </w:r>
      <w:r w:rsidRPr="0015547C">
        <w:rPr>
          <w:rFonts w:ascii="Times New Roman" w:hAnsi="Times New Roman"/>
        </w:rPr>
        <w:t>.</w:t>
      </w:r>
    </w:p>
  </w:footnote>
  <w:footnote w:id="290">
    <w:p w:rsidR="000570C1" w:rsidRPr="009A5CE4" w:rsidRDefault="000570C1" w:rsidP="00570785">
      <w:pPr>
        <w:pStyle w:val="FootnoteText"/>
      </w:pPr>
      <w:r w:rsidRPr="00C32391">
        <w:rPr>
          <w:rStyle w:val="FootnoteReference"/>
          <w:rFonts w:ascii="Times New Roman" w:hAnsi="Times New Roman"/>
        </w:rPr>
        <w:footnoteRef/>
      </w:r>
      <w:r w:rsidRPr="00C32391">
        <w:rPr>
          <w:rFonts w:ascii="Times New Roman" w:hAnsi="Times New Roman"/>
        </w:rPr>
        <w:t xml:space="preserve"> </w:t>
      </w:r>
      <w:r>
        <w:rPr>
          <w:rFonts w:ascii="Times New Roman" w:hAnsi="Times New Roman"/>
        </w:rPr>
        <w:t xml:space="preserve">Exhibit No. RG-3HC at 26 and </w:t>
      </w:r>
      <w:r w:rsidRPr="001A11C0">
        <w:rPr>
          <w:rFonts w:ascii="Times New Roman" w:hAnsi="Times New Roman"/>
        </w:rPr>
        <w:t>Exhibit</w:t>
      </w:r>
      <w:r>
        <w:rPr>
          <w:rFonts w:ascii="Times New Roman" w:hAnsi="Times New Roman"/>
        </w:rPr>
        <w:t xml:space="preserve"> No. RG-53-HCT at 23:6-15; </w:t>
      </w:r>
      <w:r w:rsidRPr="009A5CE4">
        <w:rPr>
          <w:rFonts w:ascii="Times New Roman" w:hAnsi="Times New Roman"/>
        </w:rPr>
        <w:t>Tr. 211:8-9 (Harris) and Tr. 281:7-14 (Garratt)</w:t>
      </w:r>
      <w:r>
        <w:rPr>
          <w:rFonts w:ascii="Times New Roman" w:hAnsi="Times New Roman"/>
        </w:rPr>
        <w:t>.</w:t>
      </w:r>
    </w:p>
  </w:footnote>
  <w:footnote w:id="291">
    <w:p w:rsidR="000570C1" w:rsidRPr="00E72882" w:rsidRDefault="000570C1" w:rsidP="00294C10">
      <w:pPr>
        <w:pStyle w:val="FootnoteText"/>
        <w:rPr>
          <w:rFonts w:ascii="Times New Roman" w:hAnsi="Times New Roman"/>
        </w:rPr>
      </w:pPr>
      <w:r w:rsidRPr="00E72882">
        <w:rPr>
          <w:rStyle w:val="FootnoteReference"/>
          <w:rFonts w:ascii="Times New Roman" w:hAnsi="Times New Roman"/>
        </w:rPr>
        <w:footnoteRef/>
      </w:r>
      <w:r w:rsidRPr="00E72882">
        <w:rPr>
          <w:rFonts w:ascii="Times New Roman" w:hAnsi="Times New Roman"/>
        </w:rPr>
        <w:t xml:space="preserve"> Exhibit No. DN-1HCT at 20:21-21:3.</w:t>
      </w:r>
      <w:r>
        <w:rPr>
          <w:rFonts w:ascii="Times New Roman" w:hAnsi="Times New Roman"/>
        </w:rPr>
        <w:t xml:space="preserve">   </w:t>
      </w:r>
    </w:p>
  </w:footnote>
  <w:footnote w:id="292">
    <w:p w:rsidR="000570C1" w:rsidRPr="00E72882" w:rsidRDefault="000570C1" w:rsidP="00570785">
      <w:pPr>
        <w:pStyle w:val="FootnoteText"/>
        <w:rPr>
          <w:rFonts w:ascii="Times New Roman" w:hAnsi="Times New Roman"/>
        </w:rPr>
      </w:pPr>
      <w:r w:rsidRPr="00E72882">
        <w:rPr>
          <w:rStyle w:val="FootnoteReference"/>
          <w:rFonts w:ascii="Times New Roman" w:hAnsi="Times New Roman"/>
        </w:rPr>
        <w:footnoteRef/>
      </w:r>
      <w:r w:rsidRPr="00E72882">
        <w:rPr>
          <w:rFonts w:ascii="Times New Roman" w:hAnsi="Times New Roman"/>
        </w:rPr>
        <w:t xml:space="preserve"> Exhibit No. RG-53HCT at 22:8-17.</w:t>
      </w:r>
    </w:p>
  </w:footnote>
  <w:footnote w:id="293">
    <w:p w:rsidR="000570C1" w:rsidRPr="00975306" w:rsidRDefault="000570C1">
      <w:pPr>
        <w:pStyle w:val="FootnoteText"/>
        <w:rPr>
          <w:rFonts w:ascii="Times New Roman" w:hAnsi="Times New Roman"/>
        </w:rPr>
      </w:pPr>
      <w:r w:rsidRPr="00975306">
        <w:rPr>
          <w:rStyle w:val="FootnoteReference"/>
          <w:rFonts w:ascii="Times New Roman" w:hAnsi="Times New Roman"/>
        </w:rPr>
        <w:footnoteRef/>
      </w:r>
      <w:r w:rsidRPr="00975306">
        <w:rPr>
          <w:rFonts w:ascii="Times New Roman" w:hAnsi="Times New Roman"/>
        </w:rPr>
        <w:t xml:space="preserve"> Exhibit Nos. JT-1 and JT-3. </w:t>
      </w:r>
    </w:p>
  </w:footnote>
  <w:footnote w:id="294">
    <w:p w:rsidR="000570C1" w:rsidRPr="00975306" w:rsidRDefault="000570C1">
      <w:pPr>
        <w:pStyle w:val="FootnoteText"/>
        <w:rPr>
          <w:rFonts w:ascii="Times New Roman" w:hAnsi="Times New Roman"/>
        </w:rPr>
      </w:pPr>
      <w:r w:rsidRPr="00975306">
        <w:rPr>
          <w:rStyle w:val="FootnoteReference"/>
          <w:rFonts w:ascii="Times New Roman" w:hAnsi="Times New Roman"/>
        </w:rPr>
        <w:footnoteRef/>
      </w:r>
      <w:r w:rsidRPr="00975306">
        <w:rPr>
          <w:rFonts w:ascii="Times New Roman" w:hAnsi="Times New Roman"/>
        </w:rPr>
        <w:t xml:space="preserve"> Exhibit Nos. JT-2 and JT-4.</w:t>
      </w:r>
    </w:p>
  </w:footnote>
  <w:footnote w:id="295">
    <w:p w:rsidR="000570C1" w:rsidRPr="00405628" w:rsidRDefault="000570C1" w:rsidP="00405628">
      <w:pPr>
        <w:pStyle w:val="FootnoteText"/>
        <w:rPr>
          <w:rFonts w:ascii="Times New Roman" w:hAnsi="Times New Roman"/>
        </w:rPr>
      </w:pPr>
      <w:r w:rsidRPr="00405628">
        <w:rPr>
          <w:rStyle w:val="FootnoteReference"/>
          <w:rFonts w:ascii="Times New Roman" w:hAnsi="Times New Roman"/>
        </w:rPr>
        <w:footnoteRef/>
      </w:r>
      <w:r w:rsidRPr="00405628">
        <w:rPr>
          <w:rFonts w:ascii="Times New Roman" w:hAnsi="Times New Roman"/>
        </w:rPr>
        <w:t xml:space="preserve"> </w:t>
      </w:r>
      <w:r w:rsidRPr="00405628">
        <w:rPr>
          <w:rFonts w:ascii="Times New Roman" w:hAnsi="Times New Roman"/>
          <w:i/>
        </w:rPr>
        <w:t>WUTC v. Puget Sound Energy, Inc</w:t>
      </w:r>
      <w:r>
        <w:rPr>
          <w:rFonts w:ascii="Times New Roman" w:hAnsi="Times New Roman"/>
        </w:rPr>
        <w:t>., Docket UG-09070</w:t>
      </w:r>
      <w:r w:rsidRPr="00405628">
        <w:rPr>
          <w:rFonts w:ascii="Times New Roman" w:hAnsi="Times New Roman"/>
        </w:rPr>
        <w:t>5, Order 01 (May 28, 2009).</w:t>
      </w:r>
    </w:p>
  </w:footnote>
  <w:footnote w:id="296">
    <w:p w:rsidR="000570C1" w:rsidRPr="00ED33A8" w:rsidRDefault="000570C1">
      <w:pPr>
        <w:pStyle w:val="FootnoteText"/>
      </w:pPr>
      <w:r w:rsidRPr="00ED33A8">
        <w:rPr>
          <w:rStyle w:val="FootnoteReference"/>
          <w:rFonts w:ascii="Times New Roman" w:hAnsi="Times New Roman"/>
        </w:rPr>
        <w:footnoteRef/>
      </w:r>
      <w:r w:rsidRPr="00ED33A8">
        <w:rPr>
          <w:rFonts w:ascii="Times New Roman" w:hAnsi="Times New Roman"/>
        </w:rPr>
        <w:t xml:space="preserve"> </w:t>
      </w:r>
      <w:r>
        <w:rPr>
          <w:rFonts w:ascii="Times New Roman" w:hAnsi="Times New Roman"/>
        </w:rPr>
        <w:t xml:space="preserve">Commission rules reflect this conclusion.  </w:t>
      </w:r>
      <w:r w:rsidRPr="00ED33A8">
        <w:rPr>
          <w:rFonts w:ascii="Times New Roman" w:hAnsi="Times New Roman"/>
        </w:rPr>
        <w:t>WAC 480-90-197 and WAC 480</w:t>
      </w:r>
      <w:r>
        <w:rPr>
          <w:rFonts w:ascii="Times New Roman" w:hAnsi="Times New Roman"/>
        </w:rPr>
        <w:t xml:space="preserve">-90-194(4)(h).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05E"/>
    <w:multiLevelType w:val="hybridMultilevel"/>
    <w:tmpl w:val="A1DC1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C10381"/>
    <w:multiLevelType w:val="hybridMultilevel"/>
    <w:tmpl w:val="260AC154"/>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A10AF4"/>
    <w:multiLevelType w:val="hybridMultilevel"/>
    <w:tmpl w:val="E432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D04288"/>
    <w:multiLevelType w:val="hybridMultilevel"/>
    <w:tmpl w:val="C542F398"/>
    <w:lvl w:ilvl="0" w:tplc="E3442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8775E"/>
    <w:multiLevelType w:val="hybridMultilevel"/>
    <w:tmpl w:val="4698B0CA"/>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E5248E"/>
    <w:multiLevelType w:val="hybridMultilevel"/>
    <w:tmpl w:val="426A484C"/>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571248"/>
    <w:multiLevelType w:val="hybridMultilevel"/>
    <w:tmpl w:val="07664378"/>
    <w:lvl w:ilvl="0" w:tplc="85F229FC">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E55C10"/>
    <w:multiLevelType w:val="hybridMultilevel"/>
    <w:tmpl w:val="2744DB58"/>
    <w:lvl w:ilvl="0" w:tplc="0B7C15F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412E35"/>
    <w:multiLevelType w:val="hybridMultilevel"/>
    <w:tmpl w:val="715E970A"/>
    <w:lvl w:ilvl="0" w:tplc="0B7C15F4">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7940C23"/>
    <w:multiLevelType w:val="hybridMultilevel"/>
    <w:tmpl w:val="AB7A00F4"/>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B250A1"/>
    <w:multiLevelType w:val="hybridMultilevel"/>
    <w:tmpl w:val="34647144"/>
    <w:lvl w:ilvl="0" w:tplc="E8E64E4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F3E6F16"/>
    <w:multiLevelType w:val="hybridMultilevel"/>
    <w:tmpl w:val="E67EF872"/>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AA2463"/>
    <w:multiLevelType w:val="hybridMultilevel"/>
    <w:tmpl w:val="53267428"/>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7C12EC"/>
    <w:multiLevelType w:val="hybridMultilevel"/>
    <w:tmpl w:val="47E23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852AF2"/>
    <w:multiLevelType w:val="hybridMultilevel"/>
    <w:tmpl w:val="7F0A2406"/>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D2F3E90"/>
    <w:multiLevelType w:val="hybridMultilevel"/>
    <w:tmpl w:val="994C7236"/>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C93AA9"/>
    <w:multiLevelType w:val="hybridMultilevel"/>
    <w:tmpl w:val="4B94DEC2"/>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3E41E9"/>
    <w:multiLevelType w:val="hybridMultilevel"/>
    <w:tmpl w:val="A128E97E"/>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C76B0C"/>
    <w:multiLevelType w:val="hybridMultilevel"/>
    <w:tmpl w:val="01C687EE"/>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042A74"/>
    <w:multiLevelType w:val="hybridMultilevel"/>
    <w:tmpl w:val="C4324E98"/>
    <w:lvl w:ilvl="0" w:tplc="7C86881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8C1445"/>
    <w:multiLevelType w:val="hybridMultilevel"/>
    <w:tmpl w:val="B84E35C6"/>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DAF5384"/>
    <w:multiLevelType w:val="hybridMultilevel"/>
    <w:tmpl w:val="713A3244"/>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1D61F33"/>
    <w:multiLevelType w:val="hybridMultilevel"/>
    <w:tmpl w:val="60E219E8"/>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5C926B1"/>
    <w:multiLevelType w:val="hybridMultilevel"/>
    <w:tmpl w:val="32A8B22A"/>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9873E48"/>
    <w:multiLevelType w:val="hybridMultilevel"/>
    <w:tmpl w:val="82D6D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C413B87"/>
    <w:multiLevelType w:val="hybridMultilevel"/>
    <w:tmpl w:val="F8DCD1BE"/>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DC9132B"/>
    <w:multiLevelType w:val="hybridMultilevel"/>
    <w:tmpl w:val="24A8C400"/>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6134E5"/>
    <w:multiLevelType w:val="hybridMultilevel"/>
    <w:tmpl w:val="D46E214A"/>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6B43B5E"/>
    <w:multiLevelType w:val="hybridMultilevel"/>
    <w:tmpl w:val="7AFA46F0"/>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6E04F1F"/>
    <w:multiLevelType w:val="hybridMultilevel"/>
    <w:tmpl w:val="FCFA8A54"/>
    <w:lvl w:ilvl="0" w:tplc="AA8EBC00">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8C43D3F"/>
    <w:multiLevelType w:val="hybridMultilevel"/>
    <w:tmpl w:val="AFF0153C"/>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4"/>
  </w:num>
  <w:num w:numId="3">
    <w:abstractNumId w:val="2"/>
  </w:num>
  <w:num w:numId="4">
    <w:abstractNumId w:val="3"/>
  </w:num>
  <w:num w:numId="5">
    <w:abstractNumId w:val="6"/>
  </w:num>
  <w:num w:numId="6">
    <w:abstractNumId w:val="0"/>
  </w:num>
  <w:num w:numId="7">
    <w:abstractNumId w:val="30"/>
  </w:num>
  <w:num w:numId="8">
    <w:abstractNumId w:val="7"/>
  </w:num>
  <w:num w:numId="9">
    <w:abstractNumId w:val="20"/>
  </w:num>
  <w:num w:numId="10">
    <w:abstractNumId w:val="11"/>
  </w:num>
  <w:num w:numId="11">
    <w:abstractNumId w:val="9"/>
  </w:num>
  <w:num w:numId="12">
    <w:abstractNumId w:val="1"/>
  </w:num>
  <w:num w:numId="13">
    <w:abstractNumId w:val="28"/>
  </w:num>
  <w:num w:numId="14">
    <w:abstractNumId w:val="10"/>
  </w:num>
  <w:num w:numId="15">
    <w:abstractNumId w:val="8"/>
  </w:num>
  <w:num w:numId="16">
    <w:abstractNumId w:val="15"/>
  </w:num>
  <w:num w:numId="17">
    <w:abstractNumId w:val="18"/>
  </w:num>
  <w:num w:numId="18">
    <w:abstractNumId w:val="4"/>
  </w:num>
  <w:num w:numId="19">
    <w:abstractNumId w:val="12"/>
  </w:num>
  <w:num w:numId="20">
    <w:abstractNumId w:val="13"/>
  </w:num>
  <w:num w:numId="21">
    <w:abstractNumId w:val="22"/>
  </w:num>
  <w:num w:numId="22">
    <w:abstractNumId w:val="29"/>
  </w:num>
  <w:num w:numId="23">
    <w:abstractNumId w:val="16"/>
  </w:num>
  <w:num w:numId="24">
    <w:abstractNumId w:val="21"/>
  </w:num>
  <w:num w:numId="25">
    <w:abstractNumId w:val="27"/>
  </w:num>
  <w:num w:numId="26">
    <w:abstractNumId w:val="17"/>
  </w:num>
  <w:num w:numId="27">
    <w:abstractNumId w:val="19"/>
  </w:num>
  <w:num w:numId="28">
    <w:abstractNumId w:val="24"/>
  </w:num>
  <w:num w:numId="29">
    <w:abstractNumId w:val="31"/>
  </w:num>
  <w:num w:numId="30">
    <w:abstractNumId w:val="26"/>
  </w:num>
  <w:num w:numId="31">
    <w:abstractNumId w:val="5"/>
  </w:num>
  <w:num w:numId="32">
    <w:abstractNumId w:val="2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102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4AF7"/>
    <w:rsid w:val="0000088A"/>
    <w:rsid w:val="00002B3A"/>
    <w:rsid w:val="00004F0C"/>
    <w:rsid w:val="00006B51"/>
    <w:rsid w:val="00010F66"/>
    <w:rsid w:val="00013BF1"/>
    <w:rsid w:val="000140AF"/>
    <w:rsid w:val="00016DB4"/>
    <w:rsid w:val="000206A0"/>
    <w:rsid w:val="00023633"/>
    <w:rsid w:val="00025864"/>
    <w:rsid w:val="00030449"/>
    <w:rsid w:val="000308D6"/>
    <w:rsid w:val="00032584"/>
    <w:rsid w:val="000325CC"/>
    <w:rsid w:val="00033BBA"/>
    <w:rsid w:val="00037208"/>
    <w:rsid w:val="000448D6"/>
    <w:rsid w:val="0004497F"/>
    <w:rsid w:val="000449AA"/>
    <w:rsid w:val="00044D1F"/>
    <w:rsid w:val="00046393"/>
    <w:rsid w:val="0005161D"/>
    <w:rsid w:val="000570C1"/>
    <w:rsid w:val="00057194"/>
    <w:rsid w:val="00061596"/>
    <w:rsid w:val="000628AF"/>
    <w:rsid w:val="000641C9"/>
    <w:rsid w:val="00066BBA"/>
    <w:rsid w:val="00066E02"/>
    <w:rsid w:val="0007163C"/>
    <w:rsid w:val="000724BB"/>
    <w:rsid w:val="00072AAE"/>
    <w:rsid w:val="00083D0F"/>
    <w:rsid w:val="00084654"/>
    <w:rsid w:val="000868B2"/>
    <w:rsid w:val="000910AC"/>
    <w:rsid w:val="00092A15"/>
    <w:rsid w:val="00097D7B"/>
    <w:rsid w:val="000A1777"/>
    <w:rsid w:val="000A26FD"/>
    <w:rsid w:val="000A4974"/>
    <w:rsid w:val="000A576F"/>
    <w:rsid w:val="000B415F"/>
    <w:rsid w:val="000B7ADB"/>
    <w:rsid w:val="000C0659"/>
    <w:rsid w:val="000C0F82"/>
    <w:rsid w:val="000C1201"/>
    <w:rsid w:val="000C2680"/>
    <w:rsid w:val="000C27A4"/>
    <w:rsid w:val="000C3E30"/>
    <w:rsid w:val="000C4E57"/>
    <w:rsid w:val="000C5476"/>
    <w:rsid w:val="000C78CC"/>
    <w:rsid w:val="000D06B9"/>
    <w:rsid w:val="000D1A0E"/>
    <w:rsid w:val="000D2689"/>
    <w:rsid w:val="000D4128"/>
    <w:rsid w:val="000D425E"/>
    <w:rsid w:val="000D46CB"/>
    <w:rsid w:val="000D5FA8"/>
    <w:rsid w:val="000E1503"/>
    <w:rsid w:val="000E197B"/>
    <w:rsid w:val="000E23CA"/>
    <w:rsid w:val="000E7B89"/>
    <w:rsid w:val="000F32E9"/>
    <w:rsid w:val="000F3B52"/>
    <w:rsid w:val="000F606D"/>
    <w:rsid w:val="000F7836"/>
    <w:rsid w:val="00102548"/>
    <w:rsid w:val="00102E6A"/>
    <w:rsid w:val="0010411F"/>
    <w:rsid w:val="0010443B"/>
    <w:rsid w:val="00106A33"/>
    <w:rsid w:val="00115BD9"/>
    <w:rsid w:val="00121A4E"/>
    <w:rsid w:val="00122437"/>
    <w:rsid w:val="00122EFF"/>
    <w:rsid w:val="00123E72"/>
    <w:rsid w:val="00124864"/>
    <w:rsid w:val="00127EA2"/>
    <w:rsid w:val="00130059"/>
    <w:rsid w:val="00136F5E"/>
    <w:rsid w:val="00137437"/>
    <w:rsid w:val="001407CB"/>
    <w:rsid w:val="00141130"/>
    <w:rsid w:val="0014328F"/>
    <w:rsid w:val="001514B2"/>
    <w:rsid w:val="00154ED3"/>
    <w:rsid w:val="0016015A"/>
    <w:rsid w:val="0016154E"/>
    <w:rsid w:val="0016583B"/>
    <w:rsid w:val="0016587C"/>
    <w:rsid w:val="0017547C"/>
    <w:rsid w:val="00176FD8"/>
    <w:rsid w:val="00180888"/>
    <w:rsid w:val="00184B4C"/>
    <w:rsid w:val="00187911"/>
    <w:rsid w:val="00192961"/>
    <w:rsid w:val="0019640E"/>
    <w:rsid w:val="001A0F39"/>
    <w:rsid w:val="001A11C0"/>
    <w:rsid w:val="001A3901"/>
    <w:rsid w:val="001A58B5"/>
    <w:rsid w:val="001A7676"/>
    <w:rsid w:val="001B011D"/>
    <w:rsid w:val="001B12FF"/>
    <w:rsid w:val="001B1441"/>
    <w:rsid w:val="001B1DC3"/>
    <w:rsid w:val="001B318B"/>
    <w:rsid w:val="001C3C78"/>
    <w:rsid w:val="001C46E8"/>
    <w:rsid w:val="001C63C8"/>
    <w:rsid w:val="001C7869"/>
    <w:rsid w:val="001D0A2F"/>
    <w:rsid w:val="001D1F32"/>
    <w:rsid w:val="001D405C"/>
    <w:rsid w:val="001D4E3A"/>
    <w:rsid w:val="001D685D"/>
    <w:rsid w:val="001D78D5"/>
    <w:rsid w:val="001E11FE"/>
    <w:rsid w:val="001E1900"/>
    <w:rsid w:val="001E19C0"/>
    <w:rsid w:val="001E23E1"/>
    <w:rsid w:val="001E4B60"/>
    <w:rsid w:val="001E58ED"/>
    <w:rsid w:val="001E5A2A"/>
    <w:rsid w:val="001E66BA"/>
    <w:rsid w:val="001E77A1"/>
    <w:rsid w:val="001F249B"/>
    <w:rsid w:val="001F3941"/>
    <w:rsid w:val="001F3967"/>
    <w:rsid w:val="001F4FD1"/>
    <w:rsid w:val="001F6505"/>
    <w:rsid w:val="001F7C59"/>
    <w:rsid w:val="001F7F5D"/>
    <w:rsid w:val="002003CD"/>
    <w:rsid w:val="00202208"/>
    <w:rsid w:val="00205739"/>
    <w:rsid w:val="002059CB"/>
    <w:rsid w:val="002074A8"/>
    <w:rsid w:val="00210CE6"/>
    <w:rsid w:val="00211A6B"/>
    <w:rsid w:val="00212CE3"/>
    <w:rsid w:val="00213EBE"/>
    <w:rsid w:val="00214D02"/>
    <w:rsid w:val="00216D4C"/>
    <w:rsid w:val="00216DE2"/>
    <w:rsid w:val="002176F9"/>
    <w:rsid w:val="00224679"/>
    <w:rsid w:val="0022507F"/>
    <w:rsid w:val="0022597E"/>
    <w:rsid w:val="00225B78"/>
    <w:rsid w:val="00227264"/>
    <w:rsid w:val="00233D04"/>
    <w:rsid w:val="002347CB"/>
    <w:rsid w:val="00237BDB"/>
    <w:rsid w:val="00237E58"/>
    <w:rsid w:val="002403BE"/>
    <w:rsid w:val="00246EBB"/>
    <w:rsid w:val="0024723C"/>
    <w:rsid w:val="00255E4A"/>
    <w:rsid w:val="00256E47"/>
    <w:rsid w:val="002578EC"/>
    <w:rsid w:val="00257EC0"/>
    <w:rsid w:val="00262891"/>
    <w:rsid w:val="00262DF2"/>
    <w:rsid w:val="00263577"/>
    <w:rsid w:val="00264234"/>
    <w:rsid w:val="002650A9"/>
    <w:rsid w:val="0026558E"/>
    <w:rsid w:val="00267063"/>
    <w:rsid w:val="00267B69"/>
    <w:rsid w:val="0027087F"/>
    <w:rsid w:val="002710F2"/>
    <w:rsid w:val="0027126C"/>
    <w:rsid w:val="00271682"/>
    <w:rsid w:val="002734B0"/>
    <w:rsid w:val="002735C4"/>
    <w:rsid w:val="00273DA2"/>
    <w:rsid w:val="00274FF9"/>
    <w:rsid w:val="00276584"/>
    <w:rsid w:val="00281550"/>
    <w:rsid w:val="00281D65"/>
    <w:rsid w:val="00282A77"/>
    <w:rsid w:val="00285486"/>
    <w:rsid w:val="0028581F"/>
    <w:rsid w:val="00287B47"/>
    <w:rsid w:val="00290903"/>
    <w:rsid w:val="002929E3"/>
    <w:rsid w:val="002940FC"/>
    <w:rsid w:val="002946E2"/>
    <w:rsid w:val="00294C10"/>
    <w:rsid w:val="00295655"/>
    <w:rsid w:val="002968CA"/>
    <w:rsid w:val="00296994"/>
    <w:rsid w:val="00297259"/>
    <w:rsid w:val="002A0FDE"/>
    <w:rsid w:val="002A284F"/>
    <w:rsid w:val="002A74EA"/>
    <w:rsid w:val="002B1721"/>
    <w:rsid w:val="002B381F"/>
    <w:rsid w:val="002B4EB0"/>
    <w:rsid w:val="002B7D54"/>
    <w:rsid w:val="002C0926"/>
    <w:rsid w:val="002C1238"/>
    <w:rsid w:val="002C3111"/>
    <w:rsid w:val="002C4DFC"/>
    <w:rsid w:val="002C793A"/>
    <w:rsid w:val="002D009C"/>
    <w:rsid w:val="002D04DF"/>
    <w:rsid w:val="002D2275"/>
    <w:rsid w:val="002D501E"/>
    <w:rsid w:val="002D5994"/>
    <w:rsid w:val="002D7A89"/>
    <w:rsid w:val="002E0481"/>
    <w:rsid w:val="002E1554"/>
    <w:rsid w:val="002E351B"/>
    <w:rsid w:val="002E3833"/>
    <w:rsid w:val="002E6C57"/>
    <w:rsid w:val="002E75D5"/>
    <w:rsid w:val="002F05E6"/>
    <w:rsid w:val="002F20F5"/>
    <w:rsid w:val="002F22E2"/>
    <w:rsid w:val="002F35FF"/>
    <w:rsid w:val="002F589E"/>
    <w:rsid w:val="002F6FFD"/>
    <w:rsid w:val="002F75FC"/>
    <w:rsid w:val="00301F5C"/>
    <w:rsid w:val="00302F01"/>
    <w:rsid w:val="00303B27"/>
    <w:rsid w:val="00306A72"/>
    <w:rsid w:val="00312753"/>
    <w:rsid w:val="00312BDF"/>
    <w:rsid w:val="00312EE3"/>
    <w:rsid w:val="00317C95"/>
    <w:rsid w:val="00320EED"/>
    <w:rsid w:val="00323558"/>
    <w:rsid w:val="00323AED"/>
    <w:rsid w:val="003273FE"/>
    <w:rsid w:val="00331CB8"/>
    <w:rsid w:val="003322B1"/>
    <w:rsid w:val="00335336"/>
    <w:rsid w:val="003365A3"/>
    <w:rsid w:val="00337331"/>
    <w:rsid w:val="00337772"/>
    <w:rsid w:val="00341F57"/>
    <w:rsid w:val="00346686"/>
    <w:rsid w:val="00347808"/>
    <w:rsid w:val="00353A66"/>
    <w:rsid w:val="00356941"/>
    <w:rsid w:val="00356DA6"/>
    <w:rsid w:val="00357E83"/>
    <w:rsid w:val="003600D1"/>
    <w:rsid w:val="00360E72"/>
    <w:rsid w:val="00361050"/>
    <w:rsid w:val="00367781"/>
    <w:rsid w:val="003705BE"/>
    <w:rsid w:val="003708A4"/>
    <w:rsid w:val="00371494"/>
    <w:rsid w:val="00372936"/>
    <w:rsid w:val="003734F3"/>
    <w:rsid w:val="003739D4"/>
    <w:rsid w:val="003747E5"/>
    <w:rsid w:val="00377D58"/>
    <w:rsid w:val="00383B9D"/>
    <w:rsid w:val="00385481"/>
    <w:rsid w:val="00386319"/>
    <w:rsid w:val="003907B6"/>
    <w:rsid w:val="003909E5"/>
    <w:rsid w:val="003918E9"/>
    <w:rsid w:val="00391A1F"/>
    <w:rsid w:val="00395E85"/>
    <w:rsid w:val="003B046B"/>
    <w:rsid w:val="003B2C5C"/>
    <w:rsid w:val="003B3CD2"/>
    <w:rsid w:val="003B4456"/>
    <w:rsid w:val="003B62A4"/>
    <w:rsid w:val="003B76AA"/>
    <w:rsid w:val="003C0221"/>
    <w:rsid w:val="003C0DB7"/>
    <w:rsid w:val="003C0E94"/>
    <w:rsid w:val="003C1294"/>
    <w:rsid w:val="003C2783"/>
    <w:rsid w:val="003C5199"/>
    <w:rsid w:val="003D051A"/>
    <w:rsid w:val="003D1157"/>
    <w:rsid w:val="003D2085"/>
    <w:rsid w:val="003D2569"/>
    <w:rsid w:val="003D2C7D"/>
    <w:rsid w:val="003D6400"/>
    <w:rsid w:val="003E29D0"/>
    <w:rsid w:val="003E2C51"/>
    <w:rsid w:val="003E4D13"/>
    <w:rsid w:val="003E5C65"/>
    <w:rsid w:val="003E79C3"/>
    <w:rsid w:val="003E7E09"/>
    <w:rsid w:val="003F056D"/>
    <w:rsid w:val="003F2EE3"/>
    <w:rsid w:val="003F4C33"/>
    <w:rsid w:val="003F70F4"/>
    <w:rsid w:val="003F72C1"/>
    <w:rsid w:val="00405628"/>
    <w:rsid w:val="004073CD"/>
    <w:rsid w:val="00407FAE"/>
    <w:rsid w:val="00407FC6"/>
    <w:rsid w:val="00411CF3"/>
    <w:rsid w:val="0041266C"/>
    <w:rsid w:val="00414094"/>
    <w:rsid w:val="00416045"/>
    <w:rsid w:val="00417FA8"/>
    <w:rsid w:val="00420753"/>
    <w:rsid w:val="00421410"/>
    <w:rsid w:val="00421694"/>
    <w:rsid w:val="00421B06"/>
    <w:rsid w:val="00421CCF"/>
    <w:rsid w:val="00421F97"/>
    <w:rsid w:val="00422275"/>
    <w:rsid w:val="00422751"/>
    <w:rsid w:val="00422E1F"/>
    <w:rsid w:val="00424314"/>
    <w:rsid w:val="004270E1"/>
    <w:rsid w:val="00427592"/>
    <w:rsid w:val="00427690"/>
    <w:rsid w:val="00427BFF"/>
    <w:rsid w:val="00430FB4"/>
    <w:rsid w:val="00435AF7"/>
    <w:rsid w:val="0044087C"/>
    <w:rsid w:val="00441505"/>
    <w:rsid w:val="00441D27"/>
    <w:rsid w:val="00444815"/>
    <w:rsid w:val="00446AF0"/>
    <w:rsid w:val="00446EF2"/>
    <w:rsid w:val="00447C6A"/>
    <w:rsid w:val="00451807"/>
    <w:rsid w:val="00452473"/>
    <w:rsid w:val="00452F70"/>
    <w:rsid w:val="00453413"/>
    <w:rsid w:val="00453422"/>
    <w:rsid w:val="004564A6"/>
    <w:rsid w:val="0045728F"/>
    <w:rsid w:val="00457A43"/>
    <w:rsid w:val="00470876"/>
    <w:rsid w:val="004739E9"/>
    <w:rsid w:val="00475CA3"/>
    <w:rsid w:val="004769CD"/>
    <w:rsid w:val="004777FC"/>
    <w:rsid w:val="0047795E"/>
    <w:rsid w:val="00480F32"/>
    <w:rsid w:val="00482F03"/>
    <w:rsid w:val="00486FBA"/>
    <w:rsid w:val="00492DF2"/>
    <w:rsid w:val="004935A1"/>
    <w:rsid w:val="00493842"/>
    <w:rsid w:val="004979CC"/>
    <w:rsid w:val="004A0759"/>
    <w:rsid w:val="004A1C95"/>
    <w:rsid w:val="004A39BA"/>
    <w:rsid w:val="004A7173"/>
    <w:rsid w:val="004B07D0"/>
    <w:rsid w:val="004B247E"/>
    <w:rsid w:val="004B35EC"/>
    <w:rsid w:val="004B4FAD"/>
    <w:rsid w:val="004B6509"/>
    <w:rsid w:val="004C0450"/>
    <w:rsid w:val="004C0949"/>
    <w:rsid w:val="004C2D64"/>
    <w:rsid w:val="004C3689"/>
    <w:rsid w:val="004C559B"/>
    <w:rsid w:val="004C7019"/>
    <w:rsid w:val="004D1A69"/>
    <w:rsid w:val="004D2AE9"/>
    <w:rsid w:val="004D2CA9"/>
    <w:rsid w:val="004D3E34"/>
    <w:rsid w:val="004D720E"/>
    <w:rsid w:val="004E3933"/>
    <w:rsid w:val="004F0CC0"/>
    <w:rsid w:val="004F14D8"/>
    <w:rsid w:val="004F3518"/>
    <w:rsid w:val="004F3D91"/>
    <w:rsid w:val="004F54BF"/>
    <w:rsid w:val="004F5785"/>
    <w:rsid w:val="004F7342"/>
    <w:rsid w:val="00500AB0"/>
    <w:rsid w:val="00500CF9"/>
    <w:rsid w:val="005012D8"/>
    <w:rsid w:val="00501F86"/>
    <w:rsid w:val="00503D4F"/>
    <w:rsid w:val="005116CA"/>
    <w:rsid w:val="00512262"/>
    <w:rsid w:val="005164DE"/>
    <w:rsid w:val="00516D20"/>
    <w:rsid w:val="00520B05"/>
    <w:rsid w:val="0052400B"/>
    <w:rsid w:val="005241A1"/>
    <w:rsid w:val="00525416"/>
    <w:rsid w:val="0052578E"/>
    <w:rsid w:val="00525A2C"/>
    <w:rsid w:val="0052659B"/>
    <w:rsid w:val="0052772D"/>
    <w:rsid w:val="00530494"/>
    <w:rsid w:val="00534AC6"/>
    <w:rsid w:val="00536671"/>
    <w:rsid w:val="00536E02"/>
    <w:rsid w:val="00541D3C"/>
    <w:rsid w:val="005453AF"/>
    <w:rsid w:val="00547CDF"/>
    <w:rsid w:val="00550F87"/>
    <w:rsid w:val="0055191A"/>
    <w:rsid w:val="00553444"/>
    <w:rsid w:val="00555ECA"/>
    <w:rsid w:val="00560265"/>
    <w:rsid w:val="00566A43"/>
    <w:rsid w:val="00570785"/>
    <w:rsid w:val="00570D02"/>
    <w:rsid w:val="0057498C"/>
    <w:rsid w:val="00574B9B"/>
    <w:rsid w:val="00574DF0"/>
    <w:rsid w:val="00575291"/>
    <w:rsid w:val="00581EB5"/>
    <w:rsid w:val="00582369"/>
    <w:rsid w:val="0058708A"/>
    <w:rsid w:val="00587DC4"/>
    <w:rsid w:val="00594359"/>
    <w:rsid w:val="00596CDE"/>
    <w:rsid w:val="005A0AC0"/>
    <w:rsid w:val="005A17F0"/>
    <w:rsid w:val="005A5572"/>
    <w:rsid w:val="005A6273"/>
    <w:rsid w:val="005B05EF"/>
    <w:rsid w:val="005B0966"/>
    <w:rsid w:val="005B0C60"/>
    <w:rsid w:val="005B7A09"/>
    <w:rsid w:val="005C075F"/>
    <w:rsid w:val="005C4808"/>
    <w:rsid w:val="005C64FA"/>
    <w:rsid w:val="005C72C2"/>
    <w:rsid w:val="005C7675"/>
    <w:rsid w:val="005C78B2"/>
    <w:rsid w:val="005D215B"/>
    <w:rsid w:val="005D2D19"/>
    <w:rsid w:val="005D2F30"/>
    <w:rsid w:val="005D3A2B"/>
    <w:rsid w:val="005D6147"/>
    <w:rsid w:val="005D7210"/>
    <w:rsid w:val="005E700B"/>
    <w:rsid w:val="005F3BBA"/>
    <w:rsid w:val="005F4542"/>
    <w:rsid w:val="005F5F16"/>
    <w:rsid w:val="005F7585"/>
    <w:rsid w:val="006019FB"/>
    <w:rsid w:val="00603994"/>
    <w:rsid w:val="006043A1"/>
    <w:rsid w:val="00607A7B"/>
    <w:rsid w:val="00607DF6"/>
    <w:rsid w:val="00612250"/>
    <w:rsid w:val="00617BA0"/>
    <w:rsid w:val="00622120"/>
    <w:rsid w:val="006221FA"/>
    <w:rsid w:val="0062290D"/>
    <w:rsid w:val="00622E4B"/>
    <w:rsid w:val="006232F0"/>
    <w:rsid w:val="006238C8"/>
    <w:rsid w:val="006247B7"/>
    <w:rsid w:val="0062660B"/>
    <w:rsid w:val="0063076A"/>
    <w:rsid w:val="006326E7"/>
    <w:rsid w:val="00640668"/>
    <w:rsid w:val="00641C2A"/>
    <w:rsid w:val="00642B81"/>
    <w:rsid w:val="00642E2D"/>
    <w:rsid w:val="00644252"/>
    <w:rsid w:val="00650607"/>
    <w:rsid w:val="006524A4"/>
    <w:rsid w:val="00660BC5"/>
    <w:rsid w:val="00661B9E"/>
    <w:rsid w:val="00670239"/>
    <w:rsid w:val="0067216F"/>
    <w:rsid w:val="006768BD"/>
    <w:rsid w:val="00676BD3"/>
    <w:rsid w:val="006779C6"/>
    <w:rsid w:val="00682021"/>
    <w:rsid w:val="00682D43"/>
    <w:rsid w:val="00683BC4"/>
    <w:rsid w:val="00684CDE"/>
    <w:rsid w:val="006858AD"/>
    <w:rsid w:val="00685BBE"/>
    <w:rsid w:val="00686877"/>
    <w:rsid w:val="0069160A"/>
    <w:rsid w:val="006918A2"/>
    <w:rsid w:val="00693CD8"/>
    <w:rsid w:val="00694454"/>
    <w:rsid w:val="0069494C"/>
    <w:rsid w:val="0069535E"/>
    <w:rsid w:val="00695362"/>
    <w:rsid w:val="006A160D"/>
    <w:rsid w:val="006A1B1B"/>
    <w:rsid w:val="006A1E53"/>
    <w:rsid w:val="006A2EFA"/>
    <w:rsid w:val="006A45B7"/>
    <w:rsid w:val="006A6034"/>
    <w:rsid w:val="006A612C"/>
    <w:rsid w:val="006A6629"/>
    <w:rsid w:val="006A698C"/>
    <w:rsid w:val="006B16F6"/>
    <w:rsid w:val="006B3570"/>
    <w:rsid w:val="006B62FF"/>
    <w:rsid w:val="006B7EB0"/>
    <w:rsid w:val="006C0917"/>
    <w:rsid w:val="006C2432"/>
    <w:rsid w:val="006C3FB8"/>
    <w:rsid w:val="006D5BDE"/>
    <w:rsid w:val="006D6AF9"/>
    <w:rsid w:val="006E049B"/>
    <w:rsid w:val="006E5E21"/>
    <w:rsid w:val="006E6E0D"/>
    <w:rsid w:val="006F2E2C"/>
    <w:rsid w:val="006F4A9D"/>
    <w:rsid w:val="006F67CA"/>
    <w:rsid w:val="007000A0"/>
    <w:rsid w:val="007015AC"/>
    <w:rsid w:val="00702B8D"/>
    <w:rsid w:val="00705550"/>
    <w:rsid w:val="007123FB"/>
    <w:rsid w:val="00716094"/>
    <w:rsid w:val="00720019"/>
    <w:rsid w:val="0072154A"/>
    <w:rsid w:val="007220A2"/>
    <w:rsid w:val="00725721"/>
    <w:rsid w:val="0072615C"/>
    <w:rsid w:val="00726A51"/>
    <w:rsid w:val="0072768D"/>
    <w:rsid w:val="00731B30"/>
    <w:rsid w:val="00735390"/>
    <w:rsid w:val="0074118B"/>
    <w:rsid w:val="00743A8D"/>
    <w:rsid w:val="0074543E"/>
    <w:rsid w:val="00745EF5"/>
    <w:rsid w:val="00751232"/>
    <w:rsid w:val="00751E77"/>
    <w:rsid w:val="0075568C"/>
    <w:rsid w:val="007601E4"/>
    <w:rsid w:val="00763A34"/>
    <w:rsid w:val="00766190"/>
    <w:rsid w:val="00777353"/>
    <w:rsid w:val="00780804"/>
    <w:rsid w:val="0078327B"/>
    <w:rsid w:val="00783A3C"/>
    <w:rsid w:val="00784300"/>
    <w:rsid w:val="0078532B"/>
    <w:rsid w:val="00785558"/>
    <w:rsid w:val="00786AC1"/>
    <w:rsid w:val="007913BA"/>
    <w:rsid w:val="00791F64"/>
    <w:rsid w:val="007929BD"/>
    <w:rsid w:val="00794052"/>
    <w:rsid w:val="00795831"/>
    <w:rsid w:val="00796A45"/>
    <w:rsid w:val="007A0015"/>
    <w:rsid w:val="007A01D1"/>
    <w:rsid w:val="007A387E"/>
    <w:rsid w:val="007A3AF8"/>
    <w:rsid w:val="007A6291"/>
    <w:rsid w:val="007A7836"/>
    <w:rsid w:val="007B1518"/>
    <w:rsid w:val="007B1A51"/>
    <w:rsid w:val="007B1DC6"/>
    <w:rsid w:val="007B2369"/>
    <w:rsid w:val="007B4BCE"/>
    <w:rsid w:val="007C25D6"/>
    <w:rsid w:val="007C27CF"/>
    <w:rsid w:val="007C4496"/>
    <w:rsid w:val="007D6CD9"/>
    <w:rsid w:val="007E72D2"/>
    <w:rsid w:val="007E7DA3"/>
    <w:rsid w:val="007F0CEC"/>
    <w:rsid w:val="007F1519"/>
    <w:rsid w:val="007F2CD5"/>
    <w:rsid w:val="007F426D"/>
    <w:rsid w:val="007F4BD8"/>
    <w:rsid w:val="007F6923"/>
    <w:rsid w:val="007F7248"/>
    <w:rsid w:val="0080293C"/>
    <w:rsid w:val="00803D18"/>
    <w:rsid w:val="00803E6D"/>
    <w:rsid w:val="00804CBC"/>
    <w:rsid w:val="00804EA4"/>
    <w:rsid w:val="0080582E"/>
    <w:rsid w:val="00805D84"/>
    <w:rsid w:val="00811E86"/>
    <w:rsid w:val="00815B15"/>
    <w:rsid w:val="00816F2D"/>
    <w:rsid w:val="008173A5"/>
    <w:rsid w:val="008308D5"/>
    <w:rsid w:val="00831C67"/>
    <w:rsid w:val="0083506C"/>
    <w:rsid w:val="00835BCB"/>
    <w:rsid w:val="008361E9"/>
    <w:rsid w:val="00836F87"/>
    <w:rsid w:val="00836FCA"/>
    <w:rsid w:val="008379C1"/>
    <w:rsid w:val="008416EC"/>
    <w:rsid w:val="008506E8"/>
    <w:rsid w:val="00851B04"/>
    <w:rsid w:val="00860406"/>
    <w:rsid w:val="0086057E"/>
    <w:rsid w:val="00860ED7"/>
    <w:rsid w:val="008648CA"/>
    <w:rsid w:val="00864BD9"/>
    <w:rsid w:val="00864C65"/>
    <w:rsid w:val="008653F7"/>
    <w:rsid w:val="008669C3"/>
    <w:rsid w:val="00866CD4"/>
    <w:rsid w:val="0086708F"/>
    <w:rsid w:val="00871B81"/>
    <w:rsid w:val="00873389"/>
    <w:rsid w:val="00873F13"/>
    <w:rsid w:val="0087452C"/>
    <w:rsid w:val="00874BB1"/>
    <w:rsid w:val="00875AC1"/>
    <w:rsid w:val="00877BFB"/>
    <w:rsid w:val="00881150"/>
    <w:rsid w:val="00881356"/>
    <w:rsid w:val="00881F56"/>
    <w:rsid w:val="00882122"/>
    <w:rsid w:val="00882C2C"/>
    <w:rsid w:val="0088344E"/>
    <w:rsid w:val="008840A9"/>
    <w:rsid w:val="0088789B"/>
    <w:rsid w:val="00887C65"/>
    <w:rsid w:val="00887EEC"/>
    <w:rsid w:val="00890D41"/>
    <w:rsid w:val="008915EA"/>
    <w:rsid w:val="008A09FD"/>
    <w:rsid w:val="008A103E"/>
    <w:rsid w:val="008A1F46"/>
    <w:rsid w:val="008A223A"/>
    <w:rsid w:val="008A4FF9"/>
    <w:rsid w:val="008A53A9"/>
    <w:rsid w:val="008A79C8"/>
    <w:rsid w:val="008A7A87"/>
    <w:rsid w:val="008B2D84"/>
    <w:rsid w:val="008B2F7D"/>
    <w:rsid w:val="008B64ED"/>
    <w:rsid w:val="008C001D"/>
    <w:rsid w:val="008C00C2"/>
    <w:rsid w:val="008C113B"/>
    <w:rsid w:val="008C2D0D"/>
    <w:rsid w:val="008C376D"/>
    <w:rsid w:val="008C518F"/>
    <w:rsid w:val="008C5390"/>
    <w:rsid w:val="008C6F5B"/>
    <w:rsid w:val="008D0BD3"/>
    <w:rsid w:val="008D2E7A"/>
    <w:rsid w:val="008D310C"/>
    <w:rsid w:val="008D4057"/>
    <w:rsid w:val="008D4999"/>
    <w:rsid w:val="008D5933"/>
    <w:rsid w:val="008D7BFC"/>
    <w:rsid w:val="008E0553"/>
    <w:rsid w:val="008E1E37"/>
    <w:rsid w:val="008E267D"/>
    <w:rsid w:val="008E30FE"/>
    <w:rsid w:val="008E4843"/>
    <w:rsid w:val="008F0950"/>
    <w:rsid w:val="008F0B34"/>
    <w:rsid w:val="008F1C4D"/>
    <w:rsid w:val="008F2A9F"/>
    <w:rsid w:val="00902172"/>
    <w:rsid w:val="00902B49"/>
    <w:rsid w:val="0090377C"/>
    <w:rsid w:val="009045E1"/>
    <w:rsid w:val="00904B19"/>
    <w:rsid w:val="00905008"/>
    <w:rsid w:val="009101CC"/>
    <w:rsid w:val="0091248A"/>
    <w:rsid w:val="00912904"/>
    <w:rsid w:val="00912BE5"/>
    <w:rsid w:val="00917300"/>
    <w:rsid w:val="00924AC5"/>
    <w:rsid w:val="00926DA1"/>
    <w:rsid w:val="00927616"/>
    <w:rsid w:val="0093009F"/>
    <w:rsid w:val="00930C61"/>
    <w:rsid w:val="0093382B"/>
    <w:rsid w:val="0093650E"/>
    <w:rsid w:val="00940776"/>
    <w:rsid w:val="009409A6"/>
    <w:rsid w:val="00940A68"/>
    <w:rsid w:val="00941F7D"/>
    <w:rsid w:val="00946CEC"/>
    <w:rsid w:val="00947407"/>
    <w:rsid w:val="00951615"/>
    <w:rsid w:val="009537CA"/>
    <w:rsid w:val="00953A38"/>
    <w:rsid w:val="0095656A"/>
    <w:rsid w:val="00960354"/>
    <w:rsid w:val="00960472"/>
    <w:rsid w:val="00961148"/>
    <w:rsid w:val="00961706"/>
    <w:rsid w:val="009639BA"/>
    <w:rsid w:val="009646B6"/>
    <w:rsid w:val="009660B6"/>
    <w:rsid w:val="009673B9"/>
    <w:rsid w:val="00967839"/>
    <w:rsid w:val="00970C6B"/>
    <w:rsid w:val="0097134E"/>
    <w:rsid w:val="00974070"/>
    <w:rsid w:val="00975306"/>
    <w:rsid w:val="00983EF4"/>
    <w:rsid w:val="00985B0C"/>
    <w:rsid w:val="00991B30"/>
    <w:rsid w:val="00992461"/>
    <w:rsid w:val="00992915"/>
    <w:rsid w:val="00993051"/>
    <w:rsid w:val="00994B1F"/>
    <w:rsid w:val="009A26D4"/>
    <w:rsid w:val="009A2BDF"/>
    <w:rsid w:val="009A3DB1"/>
    <w:rsid w:val="009A5CE4"/>
    <w:rsid w:val="009A6825"/>
    <w:rsid w:val="009A7248"/>
    <w:rsid w:val="009B02A0"/>
    <w:rsid w:val="009B13F9"/>
    <w:rsid w:val="009B155A"/>
    <w:rsid w:val="009B17F7"/>
    <w:rsid w:val="009B27E5"/>
    <w:rsid w:val="009B3DC3"/>
    <w:rsid w:val="009B5273"/>
    <w:rsid w:val="009B6C2C"/>
    <w:rsid w:val="009C1895"/>
    <w:rsid w:val="009C32AD"/>
    <w:rsid w:val="009C4420"/>
    <w:rsid w:val="009C4CCE"/>
    <w:rsid w:val="009C5F79"/>
    <w:rsid w:val="009C678A"/>
    <w:rsid w:val="009C6E53"/>
    <w:rsid w:val="009D2EBA"/>
    <w:rsid w:val="009D46E5"/>
    <w:rsid w:val="009D5312"/>
    <w:rsid w:val="009D776C"/>
    <w:rsid w:val="009E1D34"/>
    <w:rsid w:val="009E24EE"/>
    <w:rsid w:val="009E364C"/>
    <w:rsid w:val="009E42B5"/>
    <w:rsid w:val="009E649E"/>
    <w:rsid w:val="009F0115"/>
    <w:rsid w:val="009F36E4"/>
    <w:rsid w:val="009F3AB4"/>
    <w:rsid w:val="009F4FFB"/>
    <w:rsid w:val="009F6A96"/>
    <w:rsid w:val="00A0582A"/>
    <w:rsid w:val="00A05CFE"/>
    <w:rsid w:val="00A05DE7"/>
    <w:rsid w:val="00A10304"/>
    <w:rsid w:val="00A119C0"/>
    <w:rsid w:val="00A167AE"/>
    <w:rsid w:val="00A20EA1"/>
    <w:rsid w:val="00A214F2"/>
    <w:rsid w:val="00A237EE"/>
    <w:rsid w:val="00A23A52"/>
    <w:rsid w:val="00A312F5"/>
    <w:rsid w:val="00A35F98"/>
    <w:rsid w:val="00A379FB"/>
    <w:rsid w:val="00A40FA5"/>
    <w:rsid w:val="00A44892"/>
    <w:rsid w:val="00A448C6"/>
    <w:rsid w:val="00A46E5D"/>
    <w:rsid w:val="00A47898"/>
    <w:rsid w:val="00A51592"/>
    <w:rsid w:val="00A51798"/>
    <w:rsid w:val="00A51CA1"/>
    <w:rsid w:val="00A540D8"/>
    <w:rsid w:val="00A556EB"/>
    <w:rsid w:val="00A55DD2"/>
    <w:rsid w:val="00A56636"/>
    <w:rsid w:val="00A57F57"/>
    <w:rsid w:val="00A60FA9"/>
    <w:rsid w:val="00A62254"/>
    <w:rsid w:val="00A631AA"/>
    <w:rsid w:val="00A63721"/>
    <w:rsid w:val="00A70F7C"/>
    <w:rsid w:val="00A710EE"/>
    <w:rsid w:val="00A73E53"/>
    <w:rsid w:val="00A844CB"/>
    <w:rsid w:val="00A84C85"/>
    <w:rsid w:val="00A84D2B"/>
    <w:rsid w:val="00A87D70"/>
    <w:rsid w:val="00A90423"/>
    <w:rsid w:val="00A90494"/>
    <w:rsid w:val="00A95F69"/>
    <w:rsid w:val="00AA2057"/>
    <w:rsid w:val="00AA5BC2"/>
    <w:rsid w:val="00AB0AB0"/>
    <w:rsid w:val="00AB314E"/>
    <w:rsid w:val="00AB6A42"/>
    <w:rsid w:val="00AC4D24"/>
    <w:rsid w:val="00AD0405"/>
    <w:rsid w:val="00AD0D76"/>
    <w:rsid w:val="00AD1B8A"/>
    <w:rsid w:val="00AD2050"/>
    <w:rsid w:val="00AD20C5"/>
    <w:rsid w:val="00AD3777"/>
    <w:rsid w:val="00AD6B37"/>
    <w:rsid w:val="00AE225A"/>
    <w:rsid w:val="00AE3137"/>
    <w:rsid w:val="00AE48D2"/>
    <w:rsid w:val="00AE7718"/>
    <w:rsid w:val="00AF0EA8"/>
    <w:rsid w:val="00AF3A1C"/>
    <w:rsid w:val="00AF5BC2"/>
    <w:rsid w:val="00AF5E95"/>
    <w:rsid w:val="00AF6927"/>
    <w:rsid w:val="00AF7A37"/>
    <w:rsid w:val="00B002B1"/>
    <w:rsid w:val="00B02A8D"/>
    <w:rsid w:val="00B033BB"/>
    <w:rsid w:val="00B06010"/>
    <w:rsid w:val="00B11652"/>
    <w:rsid w:val="00B11937"/>
    <w:rsid w:val="00B13023"/>
    <w:rsid w:val="00B131E9"/>
    <w:rsid w:val="00B13C64"/>
    <w:rsid w:val="00B145DC"/>
    <w:rsid w:val="00B1576B"/>
    <w:rsid w:val="00B17F16"/>
    <w:rsid w:val="00B21893"/>
    <w:rsid w:val="00B24AF7"/>
    <w:rsid w:val="00B263C8"/>
    <w:rsid w:val="00B26EA0"/>
    <w:rsid w:val="00B272A6"/>
    <w:rsid w:val="00B27899"/>
    <w:rsid w:val="00B30BB3"/>
    <w:rsid w:val="00B33905"/>
    <w:rsid w:val="00B34FCD"/>
    <w:rsid w:val="00B3571E"/>
    <w:rsid w:val="00B35E9C"/>
    <w:rsid w:val="00B408D2"/>
    <w:rsid w:val="00B4280F"/>
    <w:rsid w:val="00B433C5"/>
    <w:rsid w:val="00B44507"/>
    <w:rsid w:val="00B44D61"/>
    <w:rsid w:val="00B46144"/>
    <w:rsid w:val="00B56C89"/>
    <w:rsid w:val="00B5740A"/>
    <w:rsid w:val="00B5790D"/>
    <w:rsid w:val="00B62208"/>
    <w:rsid w:val="00B6302F"/>
    <w:rsid w:val="00B63659"/>
    <w:rsid w:val="00B665E5"/>
    <w:rsid w:val="00B71321"/>
    <w:rsid w:val="00B72875"/>
    <w:rsid w:val="00B72CBF"/>
    <w:rsid w:val="00B74531"/>
    <w:rsid w:val="00B7454F"/>
    <w:rsid w:val="00B754F9"/>
    <w:rsid w:val="00B778E7"/>
    <w:rsid w:val="00B81EDF"/>
    <w:rsid w:val="00B8473B"/>
    <w:rsid w:val="00B8775E"/>
    <w:rsid w:val="00B9250A"/>
    <w:rsid w:val="00B94AAB"/>
    <w:rsid w:val="00B979F7"/>
    <w:rsid w:val="00BA1272"/>
    <w:rsid w:val="00BA1CFE"/>
    <w:rsid w:val="00BB2D09"/>
    <w:rsid w:val="00BB4277"/>
    <w:rsid w:val="00BB43EB"/>
    <w:rsid w:val="00BB49CF"/>
    <w:rsid w:val="00BB5A8D"/>
    <w:rsid w:val="00BB66C5"/>
    <w:rsid w:val="00BC4346"/>
    <w:rsid w:val="00BC44C7"/>
    <w:rsid w:val="00BC508A"/>
    <w:rsid w:val="00BC5EE0"/>
    <w:rsid w:val="00BC67B9"/>
    <w:rsid w:val="00BD01A0"/>
    <w:rsid w:val="00BD0B58"/>
    <w:rsid w:val="00BD2645"/>
    <w:rsid w:val="00BD3C06"/>
    <w:rsid w:val="00BD5584"/>
    <w:rsid w:val="00BD5FF5"/>
    <w:rsid w:val="00BE0D07"/>
    <w:rsid w:val="00BE14F8"/>
    <w:rsid w:val="00BE1F92"/>
    <w:rsid w:val="00BE4499"/>
    <w:rsid w:val="00BE5A1F"/>
    <w:rsid w:val="00BF46DE"/>
    <w:rsid w:val="00BF50D0"/>
    <w:rsid w:val="00BF5BCA"/>
    <w:rsid w:val="00BF6DBE"/>
    <w:rsid w:val="00C01387"/>
    <w:rsid w:val="00C018C9"/>
    <w:rsid w:val="00C02493"/>
    <w:rsid w:val="00C02E05"/>
    <w:rsid w:val="00C035F3"/>
    <w:rsid w:val="00C106E4"/>
    <w:rsid w:val="00C11A69"/>
    <w:rsid w:val="00C1207A"/>
    <w:rsid w:val="00C124C7"/>
    <w:rsid w:val="00C2181E"/>
    <w:rsid w:val="00C2214C"/>
    <w:rsid w:val="00C22E5C"/>
    <w:rsid w:val="00C313E1"/>
    <w:rsid w:val="00C31826"/>
    <w:rsid w:val="00C32391"/>
    <w:rsid w:val="00C36248"/>
    <w:rsid w:val="00C46002"/>
    <w:rsid w:val="00C46D39"/>
    <w:rsid w:val="00C47EE0"/>
    <w:rsid w:val="00C5119C"/>
    <w:rsid w:val="00C52147"/>
    <w:rsid w:val="00C5277C"/>
    <w:rsid w:val="00C53B8F"/>
    <w:rsid w:val="00C5491C"/>
    <w:rsid w:val="00C5743C"/>
    <w:rsid w:val="00C60073"/>
    <w:rsid w:val="00C61B17"/>
    <w:rsid w:val="00C656F4"/>
    <w:rsid w:val="00C668D8"/>
    <w:rsid w:val="00C70881"/>
    <w:rsid w:val="00C7320E"/>
    <w:rsid w:val="00C75172"/>
    <w:rsid w:val="00C75ED5"/>
    <w:rsid w:val="00C81736"/>
    <w:rsid w:val="00C84D5B"/>
    <w:rsid w:val="00C871DE"/>
    <w:rsid w:val="00C90691"/>
    <w:rsid w:val="00C93F4D"/>
    <w:rsid w:val="00C950AB"/>
    <w:rsid w:val="00C96B0D"/>
    <w:rsid w:val="00C96CFB"/>
    <w:rsid w:val="00C973CF"/>
    <w:rsid w:val="00C97A77"/>
    <w:rsid w:val="00CA02EB"/>
    <w:rsid w:val="00CA0858"/>
    <w:rsid w:val="00CA0B04"/>
    <w:rsid w:val="00CA2184"/>
    <w:rsid w:val="00CA2F49"/>
    <w:rsid w:val="00CA50A2"/>
    <w:rsid w:val="00CA76D7"/>
    <w:rsid w:val="00CB20C9"/>
    <w:rsid w:val="00CB2A19"/>
    <w:rsid w:val="00CB30BE"/>
    <w:rsid w:val="00CB3160"/>
    <w:rsid w:val="00CB5CA5"/>
    <w:rsid w:val="00CB6EB6"/>
    <w:rsid w:val="00CC0977"/>
    <w:rsid w:val="00CC1BAF"/>
    <w:rsid w:val="00CC43C3"/>
    <w:rsid w:val="00CC4769"/>
    <w:rsid w:val="00CC63C7"/>
    <w:rsid w:val="00CC6917"/>
    <w:rsid w:val="00CC6A6C"/>
    <w:rsid w:val="00CC70AA"/>
    <w:rsid w:val="00CC758A"/>
    <w:rsid w:val="00CD1AE6"/>
    <w:rsid w:val="00CD22CD"/>
    <w:rsid w:val="00CD272B"/>
    <w:rsid w:val="00CD2CFE"/>
    <w:rsid w:val="00CD402F"/>
    <w:rsid w:val="00CD44D7"/>
    <w:rsid w:val="00CD62ED"/>
    <w:rsid w:val="00CD6780"/>
    <w:rsid w:val="00CE0B70"/>
    <w:rsid w:val="00CE180E"/>
    <w:rsid w:val="00CE22BC"/>
    <w:rsid w:val="00CF0ECA"/>
    <w:rsid w:val="00CF1070"/>
    <w:rsid w:val="00CF57FF"/>
    <w:rsid w:val="00CF64C2"/>
    <w:rsid w:val="00CF709C"/>
    <w:rsid w:val="00D00FF7"/>
    <w:rsid w:val="00D025FD"/>
    <w:rsid w:val="00D035B6"/>
    <w:rsid w:val="00D03DAA"/>
    <w:rsid w:val="00D045BC"/>
    <w:rsid w:val="00D069AC"/>
    <w:rsid w:val="00D06CC0"/>
    <w:rsid w:val="00D122AA"/>
    <w:rsid w:val="00D1647B"/>
    <w:rsid w:val="00D1714B"/>
    <w:rsid w:val="00D21054"/>
    <w:rsid w:val="00D21B92"/>
    <w:rsid w:val="00D22B4D"/>
    <w:rsid w:val="00D23C1D"/>
    <w:rsid w:val="00D24CC5"/>
    <w:rsid w:val="00D30BCE"/>
    <w:rsid w:val="00D32C37"/>
    <w:rsid w:val="00D331D0"/>
    <w:rsid w:val="00D3707C"/>
    <w:rsid w:val="00D43DB3"/>
    <w:rsid w:val="00D43E11"/>
    <w:rsid w:val="00D4421B"/>
    <w:rsid w:val="00D47727"/>
    <w:rsid w:val="00D55EA4"/>
    <w:rsid w:val="00D5673F"/>
    <w:rsid w:val="00D5704D"/>
    <w:rsid w:val="00D57C91"/>
    <w:rsid w:val="00D64BCE"/>
    <w:rsid w:val="00D65773"/>
    <w:rsid w:val="00D7427E"/>
    <w:rsid w:val="00D744A5"/>
    <w:rsid w:val="00D75272"/>
    <w:rsid w:val="00D7570B"/>
    <w:rsid w:val="00D7616D"/>
    <w:rsid w:val="00D8143D"/>
    <w:rsid w:val="00D81ACE"/>
    <w:rsid w:val="00D84803"/>
    <w:rsid w:val="00D84C3D"/>
    <w:rsid w:val="00D85976"/>
    <w:rsid w:val="00D85AD8"/>
    <w:rsid w:val="00D85D3A"/>
    <w:rsid w:val="00D87E84"/>
    <w:rsid w:val="00D92C71"/>
    <w:rsid w:val="00D92D5B"/>
    <w:rsid w:val="00D94957"/>
    <w:rsid w:val="00DA167C"/>
    <w:rsid w:val="00DA2094"/>
    <w:rsid w:val="00DA20F8"/>
    <w:rsid w:val="00DA30FF"/>
    <w:rsid w:val="00DA433C"/>
    <w:rsid w:val="00DA4A99"/>
    <w:rsid w:val="00DA4E07"/>
    <w:rsid w:val="00DA554C"/>
    <w:rsid w:val="00DB0843"/>
    <w:rsid w:val="00DB2B40"/>
    <w:rsid w:val="00DB6583"/>
    <w:rsid w:val="00DB6938"/>
    <w:rsid w:val="00DC08AA"/>
    <w:rsid w:val="00DC2E53"/>
    <w:rsid w:val="00DC5AF8"/>
    <w:rsid w:val="00DC7814"/>
    <w:rsid w:val="00DC7C46"/>
    <w:rsid w:val="00DD0C0A"/>
    <w:rsid w:val="00DD3E80"/>
    <w:rsid w:val="00DD3EB0"/>
    <w:rsid w:val="00DD7D68"/>
    <w:rsid w:val="00DE12B4"/>
    <w:rsid w:val="00DE2836"/>
    <w:rsid w:val="00DF2CA7"/>
    <w:rsid w:val="00DF2F9C"/>
    <w:rsid w:val="00DF497D"/>
    <w:rsid w:val="00E010C0"/>
    <w:rsid w:val="00E02147"/>
    <w:rsid w:val="00E0310F"/>
    <w:rsid w:val="00E043B1"/>
    <w:rsid w:val="00E05E06"/>
    <w:rsid w:val="00E06425"/>
    <w:rsid w:val="00E122B3"/>
    <w:rsid w:val="00E131DF"/>
    <w:rsid w:val="00E211C2"/>
    <w:rsid w:val="00E21EF2"/>
    <w:rsid w:val="00E230D5"/>
    <w:rsid w:val="00E24713"/>
    <w:rsid w:val="00E24B37"/>
    <w:rsid w:val="00E27411"/>
    <w:rsid w:val="00E2796E"/>
    <w:rsid w:val="00E301D5"/>
    <w:rsid w:val="00E31861"/>
    <w:rsid w:val="00E31E64"/>
    <w:rsid w:val="00E36A2C"/>
    <w:rsid w:val="00E36EE4"/>
    <w:rsid w:val="00E37AC7"/>
    <w:rsid w:val="00E406BA"/>
    <w:rsid w:val="00E40DE6"/>
    <w:rsid w:val="00E4202C"/>
    <w:rsid w:val="00E431D5"/>
    <w:rsid w:val="00E43E85"/>
    <w:rsid w:val="00E52AD2"/>
    <w:rsid w:val="00E55D12"/>
    <w:rsid w:val="00E61C3D"/>
    <w:rsid w:val="00E62897"/>
    <w:rsid w:val="00E670F1"/>
    <w:rsid w:val="00E672F2"/>
    <w:rsid w:val="00E72882"/>
    <w:rsid w:val="00E74692"/>
    <w:rsid w:val="00E74AD5"/>
    <w:rsid w:val="00E80EB3"/>
    <w:rsid w:val="00E818C9"/>
    <w:rsid w:val="00E8228C"/>
    <w:rsid w:val="00E824E7"/>
    <w:rsid w:val="00E835C5"/>
    <w:rsid w:val="00E86685"/>
    <w:rsid w:val="00E902B0"/>
    <w:rsid w:val="00E93D88"/>
    <w:rsid w:val="00EA0762"/>
    <w:rsid w:val="00EA27E4"/>
    <w:rsid w:val="00EA352F"/>
    <w:rsid w:val="00EA49CD"/>
    <w:rsid w:val="00EA6DDE"/>
    <w:rsid w:val="00EA72E7"/>
    <w:rsid w:val="00EA769E"/>
    <w:rsid w:val="00EA7B75"/>
    <w:rsid w:val="00EA7FCA"/>
    <w:rsid w:val="00EB1029"/>
    <w:rsid w:val="00EB1C55"/>
    <w:rsid w:val="00EB2AFB"/>
    <w:rsid w:val="00EB45B4"/>
    <w:rsid w:val="00EB7015"/>
    <w:rsid w:val="00EB79DE"/>
    <w:rsid w:val="00EC17A4"/>
    <w:rsid w:val="00EC209D"/>
    <w:rsid w:val="00EC4DAB"/>
    <w:rsid w:val="00ED072E"/>
    <w:rsid w:val="00ED2D7F"/>
    <w:rsid w:val="00ED33A8"/>
    <w:rsid w:val="00ED6B1C"/>
    <w:rsid w:val="00EE0423"/>
    <w:rsid w:val="00EE3187"/>
    <w:rsid w:val="00EE5FB8"/>
    <w:rsid w:val="00EE6D77"/>
    <w:rsid w:val="00EF1102"/>
    <w:rsid w:val="00EF118B"/>
    <w:rsid w:val="00EF2E64"/>
    <w:rsid w:val="00EF4A96"/>
    <w:rsid w:val="00EF5366"/>
    <w:rsid w:val="00EF5B6C"/>
    <w:rsid w:val="00EF648B"/>
    <w:rsid w:val="00F05FD3"/>
    <w:rsid w:val="00F0752B"/>
    <w:rsid w:val="00F07839"/>
    <w:rsid w:val="00F07AC2"/>
    <w:rsid w:val="00F10041"/>
    <w:rsid w:val="00F134CE"/>
    <w:rsid w:val="00F20B6D"/>
    <w:rsid w:val="00F2174B"/>
    <w:rsid w:val="00F22195"/>
    <w:rsid w:val="00F23C69"/>
    <w:rsid w:val="00F24240"/>
    <w:rsid w:val="00F24BF8"/>
    <w:rsid w:val="00F24EFB"/>
    <w:rsid w:val="00F26706"/>
    <w:rsid w:val="00F26912"/>
    <w:rsid w:val="00F27348"/>
    <w:rsid w:val="00F27751"/>
    <w:rsid w:val="00F3050F"/>
    <w:rsid w:val="00F306D4"/>
    <w:rsid w:val="00F31D9C"/>
    <w:rsid w:val="00F35282"/>
    <w:rsid w:val="00F358F7"/>
    <w:rsid w:val="00F363F7"/>
    <w:rsid w:val="00F37EFA"/>
    <w:rsid w:val="00F4115E"/>
    <w:rsid w:val="00F416DE"/>
    <w:rsid w:val="00F41DF1"/>
    <w:rsid w:val="00F453A9"/>
    <w:rsid w:val="00F460DF"/>
    <w:rsid w:val="00F509D7"/>
    <w:rsid w:val="00F50A51"/>
    <w:rsid w:val="00F50EA0"/>
    <w:rsid w:val="00F52999"/>
    <w:rsid w:val="00F54CE7"/>
    <w:rsid w:val="00F55169"/>
    <w:rsid w:val="00F56B70"/>
    <w:rsid w:val="00F57601"/>
    <w:rsid w:val="00F60115"/>
    <w:rsid w:val="00F61FC9"/>
    <w:rsid w:val="00F6258E"/>
    <w:rsid w:val="00F632F3"/>
    <w:rsid w:val="00F64FC0"/>
    <w:rsid w:val="00F65570"/>
    <w:rsid w:val="00F6706A"/>
    <w:rsid w:val="00F71226"/>
    <w:rsid w:val="00F72587"/>
    <w:rsid w:val="00F76275"/>
    <w:rsid w:val="00F76CE2"/>
    <w:rsid w:val="00F81150"/>
    <w:rsid w:val="00F87B5A"/>
    <w:rsid w:val="00F91902"/>
    <w:rsid w:val="00F93A68"/>
    <w:rsid w:val="00F95946"/>
    <w:rsid w:val="00F976EA"/>
    <w:rsid w:val="00FA4352"/>
    <w:rsid w:val="00FB75AE"/>
    <w:rsid w:val="00FC0973"/>
    <w:rsid w:val="00FC0D6E"/>
    <w:rsid w:val="00FC1DCA"/>
    <w:rsid w:val="00FC554F"/>
    <w:rsid w:val="00FC595D"/>
    <w:rsid w:val="00FC6749"/>
    <w:rsid w:val="00FC6D9C"/>
    <w:rsid w:val="00FD0E75"/>
    <w:rsid w:val="00FD4FFD"/>
    <w:rsid w:val="00FD765D"/>
    <w:rsid w:val="00FD795B"/>
    <w:rsid w:val="00FE052B"/>
    <w:rsid w:val="00FE17ED"/>
    <w:rsid w:val="00FE3E3A"/>
    <w:rsid w:val="00FF133E"/>
    <w:rsid w:val="00FF1CE2"/>
    <w:rsid w:val="00FF31E1"/>
    <w:rsid w:val="00FF3E5D"/>
    <w:rsid w:val="00FF5629"/>
    <w:rsid w:val="00FF7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18"/>
    <w:rPr>
      <w:rFonts w:ascii="Calibri" w:eastAsia="Calibri" w:hAnsi="Calibri" w:cs="Times New Roman"/>
    </w:rPr>
  </w:style>
  <w:style w:type="paragraph" w:styleId="Heading1">
    <w:name w:val="heading 1"/>
    <w:basedOn w:val="Normal"/>
    <w:next w:val="Normal"/>
    <w:link w:val="Heading1Char"/>
    <w:qFormat/>
    <w:rsid w:val="00CB20C9"/>
    <w:pPr>
      <w:keepNext/>
      <w:widowControl w:val="0"/>
      <w:tabs>
        <w:tab w:val="center" w:pos="4680"/>
      </w:tabs>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B24AF7"/>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B24AF7"/>
    <w:rPr>
      <w:rFonts w:ascii="Calibri" w:eastAsia="Calibri" w:hAnsi="Calibri" w:cs="Times New Roman"/>
      <w:sz w:val="20"/>
      <w:szCs w:val="20"/>
    </w:rPr>
  </w:style>
  <w:style w:type="character" w:styleId="FootnoteReference">
    <w:name w:val="footnote reference"/>
    <w:basedOn w:val="DefaultParagraphFont"/>
    <w:rsid w:val="00B24AF7"/>
    <w:rPr>
      <w:rFonts w:cs="Times New Roman"/>
      <w:vertAlign w:val="superscript"/>
    </w:rPr>
  </w:style>
  <w:style w:type="paragraph" w:styleId="BodyText">
    <w:name w:val="Body Text"/>
    <w:basedOn w:val="Normal"/>
    <w:link w:val="BodyTextChar"/>
    <w:uiPriority w:val="99"/>
    <w:rsid w:val="00B24AF7"/>
    <w:pPr>
      <w:spacing w:after="220" w:line="180" w:lineRule="atLeast"/>
      <w:ind w:left="835"/>
      <w:jc w:val="both"/>
    </w:pPr>
    <w:rPr>
      <w:rFonts w:ascii="Arial" w:eastAsia="Times New Roman" w:hAnsi="Arial"/>
      <w:spacing w:val="-5"/>
      <w:sz w:val="24"/>
      <w:szCs w:val="20"/>
    </w:rPr>
  </w:style>
  <w:style w:type="character" w:customStyle="1" w:styleId="BodyTextChar">
    <w:name w:val="Body Text Char"/>
    <w:basedOn w:val="DefaultParagraphFont"/>
    <w:link w:val="BodyText"/>
    <w:uiPriority w:val="99"/>
    <w:rsid w:val="00B24AF7"/>
    <w:rPr>
      <w:rFonts w:ascii="Arial" w:eastAsia="Times New Roman" w:hAnsi="Arial" w:cs="Times New Roman"/>
      <w:spacing w:val="-5"/>
      <w:sz w:val="24"/>
      <w:szCs w:val="20"/>
    </w:rPr>
  </w:style>
  <w:style w:type="paragraph" w:styleId="ListParagraph">
    <w:name w:val="List Paragraph"/>
    <w:basedOn w:val="Normal"/>
    <w:uiPriority w:val="34"/>
    <w:qFormat/>
    <w:rsid w:val="009C1895"/>
    <w:pPr>
      <w:ind w:left="720"/>
      <w:contextualSpacing/>
    </w:pPr>
  </w:style>
  <w:style w:type="character" w:customStyle="1" w:styleId="Heading1Char">
    <w:name w:val="Heading 1 Char"/>
    <w:basedOn w:val="DefaultParagraphFont"/>
    <w:link w:val="Heading1"/>
    <w:rsid w:val="00CB20C9"/>
    <w:rPr>
      <w:rFonts w:ascii="Times New Roman" w:eastAsia="Times New Roman" w:hAnsi="Times New Roman" w:cs="Times New Roman"/>
      <w:sz w:val="24"/>
      <w:szCs w:val="24"/>
    </w:rPr>
  </w:style>
  <w:style w:type="paragraph" w:styleId="Footer">
    <w:name w:val="footer"/>
    <w:basedOn w:val="Normal"/>
    <w:link w:val="FooterChar"/>
    <w:uiPriority w:val="99"/>
    <w:rsid w:val="00CB20C9"/>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CB20C9"/>
    <w:rPr>
      <w:rFonts w:ascii="Times New Roman" w:eastAsia="Times New Roman" w:hAnsi="Times New Roman" w:cs="Times New Roman"/>
      <w:sz w:val="24"/>
      <w:szCs w:val="24"/>
    </w:rPr>
  </w:style>
  <w:style w:type="character" w:styleId="PageNumber">
    <w:name w:val="page number"/>
    <w:basedOn w:val="DefaultParagraphFont"/>
    <w:uiPriority w:val="99"/>
    <w:rsid w:val="00CB20C9"/>
  </w:style>
  <w:style w:type="paragraph" w:styleId="BodyTextIndent2">
    <w:name w:val="Body Text Indent 2"/>
    <w:basedOn w:val="Normal"/>
    <w:link w:val="BodyTextIndent2Char"/>
    <w:uiPriority w:val="99"/>
    <w:semiHidden/>
    <w:unhideWhenUsed/>
    <w:rsid w:val="00CB20C9"/>
    <w:pPr>
      <w:spacing w:after="120" w:line="480" w:lineRule="auto"/>
      <w:ind w:left="360"/>
    </w:pPr>
  </w:style>
  <w:style w:type="character" w:customStyle="1" w:styleId="BodyTextIndent2Char">
    <w:name w:val="Body Text Indent 2 Char"/>
    <w:basedOn w:val="DefaultParagraphFont"/>
    <w:link w:val="BodyTextIndent2"/>
    <w:uiPriority w:val="99"/>
    <w:semiHidden/>
    <w:rsid w:val="00CB20C9"/>
    <w:rPr>
      <w:rFonts w:ascii="Calibri" w:eastAsia="Calibri" w:hAnsi="Calibri" w:cs="Times New Roman"/>
    </w:rPr>
  </w:style>
  <w:style w:type="paragraph" w:styleId="Header">
    <w:name w:val="header"/>
    <w:basedOn w:val="Normal"/>
    <w:link w:val="HeaderChar"/>
    <w:uiPriority w:val="99"/>
    <w:semiHidden/>
    <w:unhideWhenUsed/>
    <w:rsid w:val="00CB20C9"/>
    <w:pPr>
      <w:tabs>
        <w:tab w:val="center" w:pos="4680"/>
        <w:tab w:val="right" w:pos="9360"/>
      </w:tabs>
    </w:pPr>
  </w:style>
  <w:style w:type="character" w:customStyle="1" w:styleId="HeaderChar">
    <w:name w:val="Header Char"/>
    <w:basedOn w:val="DefaultParagraphFont"/>
    <w:link w:val="Header"/>
    <w:uiPriority w:val="99"/>
    <w:semiHidden/>
    <w:rsid w:val="00CB20C9"/>
    <w:rPr>
      <w:rFonts w:ascii="Calibri" w:eastAsia="Calibri" w:hAnsi="Calibri" w:cs="Times New Roman"/>
    </w:rPr>
  </w:style>
  <w:style w:type="character" w:styleId="LineNumber">
    <w:name w:val="line number"/>
    <w:basedOn w:val="DefaultParagraphFont"/>
    <w:uiPriority w:val="99"/>
    <w:semiHidden/>
    <w:unhideWhenUsed/>
    <w:rsid w:val="00353A66"/>
  </w:style>
  <w:style w:type="character" w:styleId="CommentReference">
    <w:name w:val="annotation reference"/>
    <w:basedOn w:val="DefaultParagraphFont"/>
    <w:uiPriority w:val="99"/>
    <w:semiHidden/>
    <w:unhideWhenUsed/>
    <w:rsid w:val="00297259"/>
    <w:rPr>
      <w:sz w:val="16"/>
      <w:szCs w:val="16"/>
    </w:rPr>
  </w:style>
  <w:style w:type="paragraph" w:styleId="CommentText">
    <w:name w:val="annotation text"/>
    <w:basedOn w:val="Normal"/>
    <w:link w:val="CommentTextChar"/>
    <w:uiPriority w:val="99"/>
    <w:unhideWhenUsed/>
    <w:rsid w:val="00297259"/>
    <w:rPr>
      <w:sz w:val="20"/>
      <w:szCs w:val="20"/>
    </w:rPr>
  </w:style>
  <w:style w:type="character" w:customStyle="1" w:styleId="CommentTextChar">
    <w:name w:val="Comment Text Char"/>
    <w:basedOn w:val="DefaultParagraphFont"/>
    <w:link w:val="CommentText"/>
    <w:uiPriority w:val="99"/>
    <w:rsid w:val="002972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7259"/>
    <w:rPr>
      <w:b/>
      <w:bCs/>
    </w:rPr>
  </w:style>
  <w:style w:type="character" w:customStyle="1" w:styleId="CommentSubjectChar">
    <w:name w:val="Comment Subject Char"/>
    <w:basedOn w:val="CommentTextChar"/>
    <w:link w:val="CommentSubject"/>
    <w:uiPriority w:val="99"/>
    <w:semiHidden/>
    <w:rsid w:val="00297259"/>
    <w:rPr>
      <w:b/>
      <w:bCs/>
    </w:rPr>
  </w:style>
  <w:style w:type="paragraph" w:styleId="BalloonText">
    <w:name w:val="Balloon Text"/>
    <w:basedOn w:val="Normal"/>
    <w:link w:val="BalloonTextChar"/>
    <w:uiPriority w:val="99"/>
    <w:semiHidden/>
    <w:unhideWhenUsed/>
    <w:rsid w:val="00297259"/>
    <w:rPr>
      <w:rFonts w:ascii="Tahoma" w:hAnsi="Tahoma" w:cs="Tahoma"/>
      <w:sz w:val="16"/>
      <w:szCs w:val="16"/>
    </w:rPr>
  </w:style>
  <w:style w:type="character" w:customStyle="1" w:styleId="BalloonTextChar">
    <w:name w:val="Balloon Text Char"/>
    <w:basedOn w:val="DefaultParagraphFont"/>
    <w:link w:val="BalloonText"/>
    <w:uiPriority w:val="99"/>
    <w:semiHidden/>
    <w:rsid w:val="00297259"/>
    <w:rPr>
      <w:rFonts w:ascii="Tahoma" w:eastAsia="Calibri" w:hAnsi="Tahoma" w:cs="Tahoma"/>
      <w:sz w:val="16"/>
      <w:szCs w:val="16"/>
    </w:rPr>
  </w:style>
  <w:style w:type="paragraph" w:styleId="NoSpacing">
    <w:name w:val="No Spacing"/>
    <w:uiPriority w:val="1"/>
    <w:qFormat/>
    <w:rsid w:val="00805D84"/>
    <w:rPr>
      <w:rFonts w:ascii="Times New Roman" w:eastAsia="Calibri" w:hAnsi="Times New Roman" w:cs="Times New Roman"/>
      <w:sz w:val="24"/>
    </w:rPr>
  </w:style>
  <w:style w:type="paragraph" w:customStyle="1" w:styleId="FindingsConclusions">
    <w:name w:val="Findings &amp; Conclusions"/>
    <w:basedOn w:val="Normal"/>
    <w:rsid w:val="00F363F7"/>
    <w:pPr>
      <w:numPr>
        <w:numId w:val="5"/>
      </w:numPr>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8F1C4D"/>
    <w:pPr>
      <w:spacing w:after="120"/>
      <w:ind w:left="360"/>
    </w:pPr>
  </w:style>
  <w:style w:type="character" w:customStyle="1" w:styleId="BodyTextIndentChar">
    <w:name w:val="Body Text Indent Char"/>
    <w:basedOn w:val="DefaultParagraphFont"/>
    <w:link w:val="BodyTextIndent"/>
    <w:uiPriority w:val="99"/>
    <w:rsid w:val="008F1C4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94173615">
      <w:bodyDiv w:val="1"/>
      <w:marLeft w:val="0"/>
      <w:marRight w:val="0"/>
      <w:marTop w:val="0"/>
      <w:marBottom w:val="0"/>
      <w:divBdr>
        <w:top w:val="none" w:sz="0" w:space="0" w:color="auto"/>
        <w:left w:val="none" w:sz="0" w:space="0" w:color="auto"/>
        <w:bottom w:val="none" w:sz="0" w:space="0" w:color="auto"/>
        <w:right w:val="none" w:sz="0" w:space="0" w:color="auto"/>
      </w:divBdr>
    </w:div>
    <w:div w:id="746923735">
      <w:bodyDiv w:val="1"/>
      <w:marLeft w:val="0"/>
      <w:marRight w:val="0"/>
      <w:marTop w:val="0"/>
      <w:marBottom w:val="0"/>
      <w:divBdr>
        <w:top w:val="none" w:sz="0" w:space="0" w:color="auto"/>
        <w:left w:val="none" w:sz="0" w:space="0" w:color="auto"/>
        <w:bottom w:val="none" w:sz="0" w:space="0" w:color="auto"/>
        <w:right w:val="none" w:sz="0" w:space="0" w:color="auto"/>
      </w:divBdr>
    </w:div>
    <w:div w:id="781459746">
      <w:bodyDiv w:val="1"/>
      <w:marLeft w:val="0"/>
      <w:marRight w:val="0"/>
      <w:marTop w:val="0"/>
      <w:marBottom w:val="0"/>
      <w:divBdr>
        <w:top w:val="none" w:sz="0" w:space="0" w:color="auto"/>
        <w:left w:val="none" w:sz="0" w:space="0" w:color="auto"/>
        <w:bottom w:val="none" w:sz="0" w:space="0" w:color="auto"/>
        <w:right w:val="none" w:sz="0" w:space="0" w:color="auto"/>
      </w:divBdr>
    </w:div>
    <w:div w:id="886181363">
      <w:bodyDiv w:val="1"/>
      <w:marLeft w:val="0"/>
      <w:marRight w:val="0"/>
      <w:marTop w:val="0"/>
      <w:marBottom w:val="0"/>
      <w:divBdr>
        <w:top w:val="none" w:sz="0" w:space="0" w:color="auto"/>
        <w:left w:val="none" w:sz="0" w:space="0" w:color="auto"/>
        <w:bottom w:val="none" w:sz="0" w:space="0" w:color="auto"/>
        <w:right w:val="none" w:sz="0" w:space="0" w:color="auto"/>
      </w:divBdr>
    </w:div>
    <w:div w:id="1496603986">
      <w:bodyDiv w:val="1"/>
      <w:marLeft w:val="0"/>
      <w:marRight w:val="0"/>
      <w:marTop w:val="0"/>
      <w:marBottom w:val="0"/>
      <w:divBdr>
        <w:top w:val="none" w:sz="0" w:space="0" w:color="auto"/>
        <w:left w:val="none" w:sz="0" w:space="0" w:color="auto"/>
        <w:bottom w:val="none" w:sz="0" w:space="0" w:color="auto"/>
        <w:right w:val="none" w:sz="0" w:space="0" w:color="auto"/>
      </w:divBdr>
    </w:div>
    <w:div w:id="1549101377">
      <w:bodyDiv w:val="1"/>
      <w:marLeft w:val="0"/>
      <w:marRight w:val="0"/>
      <w:marTop w:val="0"/>
      <w:marBottom w:val="0"/>
      <w:divBdr>
        <w:top w:val="none" w:sz="0" w:space="0" w:color="auto"/>
        <w:left w:val="none" w:sz="0" w:space="0" w:color="auto"/>
        <w:bottom w:val="none" w:sz="0" w:space="0" w:color="auto"/>
        <w:right w:val="none" w:sz="0" w:space="0" w:color="auto"/>
      </w:divBdr>
    </w:div>
    <w:div w:id="1605846206">
      <w:bodyDiv w:val="1"/>
      <w:marLeft w:val="0"/>
      <w:marRight w:val="0"/>
      <w:marTop w:val="0"/>
      <w:marBottom w:val="0"/>
      <w:divBdr>
        <w:top w:val="none" w:sz="0" w:space="0" w:color="auto"/>
        <w:left w:val="none" w:sz="0" w:space="0" w:color="auto"/>
        <w:bottom w:val="none" w:sz="0" w:space="0" w:color="auto"/>
        <w:right w:val="none" w:sz="0" w:space="0" w:color="auto"/>
      </w:divBdr>
    </w:div>
    <w:div w:id="1656569401">
      <w:bodyDiv w:val="1"/>
      <w:marLeft w:val="0"/>
      <w:marRight w:val="0"/>
      <w:marTop w:val="0"/>
      <w:marBottom w:val="0"/>
      <w:divBdr>
        <w:top w:val="none" w:sz="0" w:space="0" w:color="auto"/>
        <w:left w:val="none" w:sz="0" w:space="0" w:color="auto"/>
        <w:bottom w:val="none" w:sz="0" w:space="0" w:color="auto"/>
        <w:right w:val="none" w:sz="0" w:space="0" w:color="auto"/>
      </w:divBdr>
    </w:div>
    <w:div w:id="172013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2010-02-19T08:00:00+00:00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46D1F81-0E86-4CE5-B404-4B36843527E9}"/>
</file>

<file path=customXml/itemProps2.xml><?xml version="1.0" encoding="utf-8"?>
<ds:datastoreItem xmlns:ds="http://schemas.openxmlformats.org/officeDocument/2006/customXml" ds:itemID="{B5D3AD5E-E7DA-4419-9F77-27D0238525F9}"/>
</file>

<file path=customXml/itemProps3.xml><?xml version="1.0" encoding="utf-8"?>
<ds:datastoreItem xmlns:ds="http://schemas.openxmlformats.org/officeDocument/2006/customXml" ds:itemID="{239A7077-61A0-425B-AA2E-B927AEB66D55}"/>
</file>

<file path=customXml/itemProps4.xml><?xml version="1.0" encoding="utf-8"?>
<ds:datastoreItem xmlns:ds="http://schemas.openxmlformats.org/officeDocument/2006/customXml" ds:itemID="{2545717E-EA0E-4476-A77B-5CE68EE32835}"/>
</file>

<file path=customXml/itemProps5.xml><?xml version="1.0" encoding="utf-8"?>
<ds:datastoreItem xmlns:ds="http://schemas.openxmlformats.org/officeDocument/2006/customXml" ds:itemID="{1A980F83-FC30-491C-AEDA-02CED37BFE83}"/>
</file>

<file path=docProps/app.xml><?xml version="1.0" encoding="utf-8"?>
<Properties xmlns="http://schemas.openxmlformats.org/officeDocument/2006/extended-properties" xmlns:vt="http://schemas.openxmlformats.org/officeDocument/2006/docPropsVTypes">
  <Template>Normal.dotm</Template>
  <TotalTime>99</TotalTime>
  <Pages>62</Pages>
  <Words>13534</Words>
  <Characters>77150</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Cedarbaum</dc:creator>
  <cp:lastModifiedBy>Krista Gross</cp:lastModifiedBy>
  <cp:revision>28</cp:revision>
  <cp:lastPrinted>2010-02-19T16:26:00Z</cp:lastPrinted>
  <dcterms:created xsi:type="dcterms:W3CDTF">2010-02-19T15:19:00Z</dcterms:created>
  <dcterms:modified xsi:type="dcterms:W3CDTF">2010-02-19T18:50:00Z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