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r>
      <w:proofErr w:type="gramStart"/>
      <w:r w:rsidRPr="003C2525">
        <w:rPr>
          <w:rFonts w:ascii="Arial" w:hAnsi="Arial" w:cs="Arial"/>
          <w:sz w:val="20"/>
        </w:rPr>
        <w:t>In all territory served by the Company in the State of Washington.</w:t>
      </w:r>
      <w:proofErr w:type="gramEnd"/>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6181725</wp:posOffset>
                </wp:positionH>
                <wp:positionV relativeFrom="paragraph">
                  <wp:posOffset>59690</wp:posOffset>
                </wp:positionV>
                <wp:extent cx="8953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r>
                              <w:rPr>
                                <w:rFonts w:ascii="Arial" w:hAnsi="Arial" w:cs="Arial"/>
                                <w:sz w:val="20"/>
                              </w:rPr>
                              <w:t>(I)</w:t>
                            </w: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67624C">
                            <w:pPr>
                              <w:spacing w:after="60" w:line="276" w:lineRule="auto"/>
                              <w:rPr>
                                <w:rFonts w:ascii="Arial" w:hAnsi="Arial" w:cs="Arial"/>
                                <w:sz w:val="20"/>
                              </w:rPr>
                            </w:pPr>
                          </w:p>
                          <w:p w:rsidR="0067624C" w:rsidRDefault="0067624C" w:rsidP="0067624C">
                            <w:pPr>
                              <w:spacing w:after="60" w:line="276" w:lineRule="auto"/>
                              <w:rPr>
                                <w:rFonts w:ascii="Arial" w:hAnsi="Arial" w:cs="Arial"/>
                                <w:sz w:val="20"/>
                              </w:rPr>
                            </w:pPr>
                            <w:r>
                              <w:rPr>
                                <w:rFonts w:ascii="Arial" w:hAnsi="Arial" w:cs="Arial"/>
                                <w:sz w:val="20"/>
                              </w:rPr>
                              <w:t>(I)</w:t>
                            </w:r>
                          </w:p>
                          <w:p w:rsidR="0067624C" w:rsidRDefault="0067624C" w:rsidP="0067624C">
                            <w:pPr>
                              <w:spacing w:after="60" w:line="276" w:lineRule="auto"/>
                              <w:rPr>
                                <w:rFonts w:ascii="Arial" w:hAnsi="Arial" w:cs="Arial"/>
                                <w:sz w:val="20"/>
                              </w:rPr>
                            </w:pPr>
                            <w:r>
                              <w:rPr>
                                <w:rFonts w:ascii="Arial" w:hAnsi="Arial" w:cs="Arial"/>
                                <w:sz w:val="20"/>
                              </w:rPr>
                              <w:t>(I)</w:t>
                            </w:r>
                          </w:p>
                          <w:p w:rsidR="0067624C" w:rsidRPr="004437C7" w:rsidRDefault="0067624C" w:rsidP="0067624C">
                            <w:pPr>
                              <w:spacing w:after="60" w:line="276" w:lineRule="auto"/>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75pt;margin-top:4.7pt;width:70.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H5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LJL6MwVKCaRZEyWU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r>
                        <w:rPr>
                          <w:rFonts w:ascii="Arial" w:hAnsi="Arial" w:cs="Arial"/>
                          <w:sz w:val="20"/>
                        </w:rPr>
                        <w:t>(I)</w:t>
                      </w: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282D5D">
                      <w:pPr>
                        <w:spacing w:line="276" w:lineRule="auto"/>
                        <w:rPr>
                          <w:rFonts w:ascii="Arial" w:hAnsi="Arial" w:cs="Arial"/>
                          <w:sz w:val="20"/>
                        </w:rPr>
                      </w:pPr>
                    </w:p>
                    <w:p w:rsidR="0067624C" w:rsidRDefault="0067624C" w:rsidP="0067624C">
                      <w:pPr>
                        <w:spacing w:after="60" w:line="276" w:lineRule="auto"/>
                        <w:rPr>
                          <w:rFonts w:ascii="Arial" w:hAnsi="Arial" w:cs="Arial"/>
                          <w:sz w:val="20"/>
                        </w:rPr>
                      </w:pPr>
                    </w:p>
                    <w:p w:rsidR="0067624C" w:rsidRDefault="0067624C" w:rsidP="0067624C">
                      <w:pPr>
                        <w:spacing w:after="60" w:line="276" w:lineRule="auto"/>
                        <w:rPr>
                          <w:rFonts w:ascii="Arial" w:hAnsi="Arial" w:cs="Arial"/>
                          <w:sz w:val="20"/>
                        </w:rPr>
                      </w:pPr>
                      <w:r>
                        <w:rPr>
                          <w:rFonts w:ascii="Arial" w:hAnsi="Arial" w:cs="Arial"/>
                          <w:sz w:val="20"/>
                        </w:rPr>
                        <w:t>(I)</w:t>
                      </w:r>
                    </w:p>
                    <w:p w:rsidR="0067624C" w:rsidRDefault="0067624C" w:rsidP="0067624C">
                      <w:pPr>
                        <w:spacing w:after="60" w:line="276" w:lineRule="auto"/>
                        <w:rPr>
                          <w:rFonts w:ascii="Arial" w:hAnsi="Arial" w:cs="Arial"/>
                          <w:sz w:val="20"/>
                        </w:rPr>
                      </w:pPr>
                      <w:r>
                        <w:rPr>
                          <w:rFonts w:ascii="Arial" w:hAnsi="Arial" w:cs="Arial"/>
                          <w:sz w:val="20"/>
                        </w:rPr>
                        <w:t>(I)</w:t>
                      </w:r>
                    </w:p>
                    <w:p w:rsidR="0067624C" w:rsidRPr="004437C7" w:rsidRDefault="0067624C" w:rsidP="0067624C">
                      <w:pPr>
                        <w:spacing w:after="60" w:line="276" w:lineRule="auto"/>
                        <w:rPr>
                          <w:rFonts w:ascii="Arial" w:hAnsi="Arial" w:cs="Arial"/>
                          <w:sz w:val="20"/>
                        </w:rPr>
                      </w:pPr>
                      <w:r>
                        <w:rPr>
                          <w:rFonts w:ascii="Arial" w:hAnsi="Arial" w:cs="Arial"/>
                          <w:sz w:val="20"/>
                        </w:rPr>
                        <w:t>(I)</w:t>
                      </w: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040"/>
        <w:gridCol w:w="1100"/>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Compares to HPSV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w:t>
            </w:r>
            <w:r w:rsidR="00FA7FF0">
              <w:rPr>
                <w:rFonts w:ascii="Arial" w:hAnsi="Arial" w:cs="Arial"/>
                <w:color w:val="000000"/>
                <w:sz w:val="20"/>
                <w:szCs w:val="22"/>
                <w:lang w:eastAsia="en-US"/>
              </w:rPr>
              <w:t>67</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FA7FF0">
              <w:rPr>
                <w:rFonts w:ascii="Arial" w:hAnsi="Arial" w:cs="Arial"/>
                <w:color w:val="000000"/>
                <w:sz w:val="20"/>
                <w:szCs w:val="22"/>
                <w:lang w:eastAsia="en-US"/>
              </w:rPr>
              <w:t>12.15</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FA7FF0">
              <w:rPr>
                <w:rFonts w:ascii="Arial" w:hAnsi="Arial" w:cs="Arial"/>
                <w:color w:val="000000"/>
                <w:sz w:val="20"/>
                <w:szCs w:val="22"/>
                <w:lang w:eastAsia="en-US"/>
              </w:rPr>
              <w:t>20.20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E05A24">
              <w:rPr>
                <w:rFonts w:ascii="Arial" w:hAnsi="Arial" w:cs="Arial"/>
                <w:color w:val="000000"/>
                <w:sz w:val="20"/>
                <w:szCs w:val="22"/>
                <w:lang w:eastAsia="en-US"/>
              </w:rPr>
              <w:t>25</w:t>
            </w:r>
            <w:r w:rsidR="00BD18F1">
              <w:rPr>
                <w:rFonts w:ascii="Arial" w:hAnsi="Arial" w:cs="Arial"/>
                <w:color w:val="000000"/>
                <w:sz w:val="20"/>
                <w:szCs w:val="22"/>
                <w:lang w:eastAsia="en-US"/>
              </w:rPr>
              <w:t>.</w:t>
            </w:r>
            <w:r w:rsidR="00FA7FF0">
              <w:rPr>
                <w:rFonts w:ascii="Arial" w:hAnsi="Arial" w:cs="Arial"/>
                <w:color w:val="000000"/>
                <w:sz w:val="20"/>
                <w:szCs w:val="22"/>
                <w:lang w:eastAsia="en-US"/>
              </w:rPr>
              <w:t>48</w:t>
            </w:r>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FA7FF0">
            <w:pPr>
              <w:ind w:left="-24" w:firstLine="24"/>
              <w:jc w:val="center"/>
              <w:rPr>
                <w:rFonts w:ascii="Arial" w:hAnsi="Arial" w:cs="Arial"/>
                <w:sz w:val="20"/>
              </w:rPr>
            </w:pPr>
            <w:r w:rsidRPr="003C2525">
              <w:rPr>
                <w:rFonts w:ascii="Arial" w:hAnsi="Arial" w:cs="Arial"/>
                <w:sz w:val="20"/>
              </w:rPr>
              <w:t>$ 8.</w:t>
            </w:r>
            <w:r w:rsidR="00FA7FF0">
              <w:rPr>
                <w:rFonts w:ascii="Arial" w:hAnsi="Arial" w:cs="Arial"/>
                <w:sz w:val="20"/>
              </w:rPr>
              <w:t>72</w:t>
            </w:r>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$ 10.</w:t>
            </w:r>
            <w:r w:rsidR="00FA7FF0">
              <w:rPr>
                <w:rFonts w:ascii="Arial" w:hAnsi="Arial" w:cs="Arial"/>
                <w:sz w:val="20"/>
              </w:rPr>
              <w:t>46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3</w:t>
            </w:r>
            <w:r w:rsidRPr="003C2525">
              <w:rPr>
                <w:rFonts w:ascii="Arial" w:hAnsi="Arial" w:cs="Arial"/>
                <w:sz w:val="20"/>
              </w:rPr>
              <w:t>.</w:t>
            </w:r>
            <w:r w:rsidR="00FA7FF0">
              <w:rPr>
                <w:rFonts w:ascii="Arial" w:hAnsi="Arial" w:cs="Arial"/>
                <w:sz w:val="20"/>
              </w:rPr>
              <w:t>37</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5</w:t>
            </w:r>
            <w:r w:rsidRPr="003C2525">
              <w:rPr>
                <w:rFonts w:ascii="Arial" w:hAnsi="Arial" w:cs="Arial"/>
                <w:sz w:val="20"/>
              </w:rPr>
              <w:t>.</w:t>
            </w:r>
            <w:r w:rsidR="00FA7FF0">
              <w:rPr>
                <w:rFonts w:ascii="Arial" w:hAnsi="Arial" w:cs="Arial"/>
                <w:sz w:val="20"/>
              </w:rPr>
              <w:t>26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9</w:t>
            </w:r>
            <w:r w:rsidRPr="003C2525">
              <w:rPr>
                <w:rFonts w:ascii="Arial" w:hAnsi="Arial" w:cs="Arial"/>
                <w:sz w:val="20"/>
              </w:rPr>
              <w:t>.</w:t>
            </w:r>
            <w:r w:rsidR="00FA7FF0">
              <w:rPr>
                <w:rFonts w:ascii="Arial" w:hAnsi="Arial" w:cs="Arial"/>
                <w:sz w:val="20"/>
              </w:rPr>
              <w:t>36</w:t>
            </w:r>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2</w:t>
            </w:r>
            <w:r w:rsidR="00E05A24">
              <w:rPr>
                <w:rFonts w:ascii="Arial" w:hAnsi="Arial" w:cs="Arial"/>
                <w:sz w:val="20"/>
              </w:rPr>
              <w:t>5</w:t>
            </w:r>
            <w:r w:rsidRPr="003C2525">
              <w:rPr>
                <w:rFonts w:ascii="Arial" w:hAnsi="Arial" w:cs="Arial"/>
                <w:sz w:val="20"/>
              </w:rPr>
              <w:t>.</w:t>
            </w:r>
            <w:r w:rsidR="00FA7FF0">
              <w:rPr>
                <w:rFonts w:ascii="Arial" w:hAnsi="Arial" w:cs="Arial"/>
                <w:sz w:val="20"/>
              </w:rPr>
              <w:t>56</w:t>
            </w:r>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33.23</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34.42</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$ 25.</w:t>
            </w:r>
            <w:r w:rsidR="00FA7FF0">
              <w:rPr>
                <w:rFonts w:ascii="Arial" w:hAnsi="Arial" w:cs="Arial"/>
                <w:sz w:val="20"/>
              </w:rPr>
              <w:t>84</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FA7FF0">
              <w:rPr>
                <w:rFonts w:ascii="Arial" w:hAnsi="Arial" w:cs="Arial"/>
                <w:sz w:val="20"/>
              </w:rPr>
              <w:t>27.07</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5A" w:rsidRDefault="004D7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FA7FF0">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FA7FF0">
      <w:rPr>
        <w:rFonts w:ascii="Arial" w:hAnsi="Arial" w:cs="Arial"/>
        <w:sz w:val="20"/>
      </w:rPr>
      <w:t>September 15, 2016</w:t>
    </w:r>
  </w:p>
  <w:p w:rsidR="003960AD" w:rsidRDefault="004D745A"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3960AD">
      <w:rPr>
        <w:rFonts w:ascii="Arial" w:hAnsi="Arial" w:cs="Arial"/>
        <w:b/>
        <w:sz w:val="20"/>
      </w:rPr>
      <w:t xml:space="preserve"> No.</w:t>
    </w:r>
    <w:r w:rsidR="003960AD">
      <w:rPr>
        <w:rFonts w:ascii="Arial" w:hAnsi="Arial" w:cs="Arial"/>
        <w:sz w:val="20"/>
      </w:rPr>
      <w:t xml:space="preserve"> </w:t>
    </w:r>
    <w:r w:rsidR="00E05A24">
      <w:rPr>
        <w:rFonts w:ascii="Arial" w:hAnsi="Arial" w:cs="Arial"/>
        <w:sz w:val="20"/>
      </w:rPr>
      <w:t>UE-</w:t>
    </w:r>
    <w:r w:rsidR="00FA7FF0">
      <w:rPr>
        <w:rFonts w:ascii="Arial" w:hAnsi="Arial" w:cs="Arial"/>
        <w:sz w:val="20"/>
      </w:rPr>
      <w:t>152253</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5A" w:rsidRDefault="004D7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5A" w:rsidRDefault="004D7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A7FF0" w:rsidP="00A91A21">
    <w:pPr>
      <w:tabs>
        <w:tab w:val="left" w:pos="7200"/>
      </w:tabs>
      <w:ind w:right="2160"/>
      <w:jc w:val="right"/>
      <w:rPr>
        <w:rFonts w:ascii="Arial" w:hAnsi="Arial" w:cs="Arial"/>
        <w:sz w:val="20"/>
      </w:rPr>
    </w:pPr>
    <w:r>
      <w:rPr>
        <w:rFonts w:ascii="Arial" w:hAnsi="Arial" w:cs="Arial"/>
        <w:sz w:val="20"/>
      </w:rPr>
      <w:t xml:space="preserve">Fourth </w:t>
    </w:r>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r w:rsidR="00FA7FF0">
      <w:rPr>
        <w:rFonts w:ascii="Arial" w:hAnsi="Arial" w:cs="Arial"/>
        <w:sz w:val="20"/>
      </w:rPr>
      <w:t xml:space="preserve">Third </w:t>
    </w:r>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5A" w:rsidRDefault="004D7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82D5D"/>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4D745A"/>
    <w:rsid w:val="00534D32"/>
    <w:rsid w:val="00546A05"/>
    <w:rsid w:val="00555712"/>
    <w:rsid w:val="00564506"/>
    <w:rsid w:val="00577682"/>
    <w:rsid w:val="0058049C"/>
    <w:rsid w:val="00580EC3"/>
    <w:rsid w:val="005A1156"/>
    <w:rsid w:val="005C397C"/>
    <w:rsid w:val="005E008E"/>
    <w:rsid w:val="005E29DE"/>
    <w:rsid w:val="005F64B9"/>
    <w:rsid w:val="005F7880"/>
    <w:rsid w:val="006638F3"/>
    <w:rsid w:val="0067624C"/>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13698"/>
    <w:rsid w:val="00823ACF"/>
    <w:rsid w:val="008474F2"/>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A57D6"/>
    <w:rsid w:val="00E03BBB"/>
    <w:rsid w:val="00E05A24"/>
    <w:rsid w:val="00E52C0F"/>
    <w:rsid w:val="00E53EC5"/>
    <w:rsid w:val="00E84454"/>
    <w:rsid w:val="00E86C83"/>
    <w:rsid w:val="00EB3E51"/>
    <w:rsid w:val="00ED3A7F"/>
    <w:rsid w:val="00EE629E"/>
    <w:rsid w:val="00F07160"/>
    <w:rsid w:val="00F30DDC"/>
    <w:rsid w:val="00F3756B"/>
    <w:rsid w:val="00F50525"/>
    <w:rsid w:val="00F528E2"/>
    <w:rsid w:val="00F66F8A"/>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7A6727-6C5E-44E4-AA69-5DB62AE97C32}">
  <ds:schemaRefs>
    <ds:schemaRef ds:uri="http://schemas.openxmlformats.org/officeDocument/2006/bibliography"/>
  </ds:schemaRefs>
</ds:datastoreItem>
</file>

<file path=customXml/itemProps2.xml><?xml version="1.0" encoding="utf-8"?>
<ds:datastoreItem xmlns:ds="http://schemas.openxmlformats.org/officeDocument/2006/customXml" ds:itemID="{75A27A10-9418-4029-897F-4BF04EE02D5F}"/>
</file>

<file path=customXml/itemProps3.xml><?xml version="1.0" encoding="utf-8"?>
<ds:datastoreItem xmlns:ds="http://schemas.openxmlformats.org/officeDocument/2006/customXml" ds:itemID="{3A3D3785-2E71-42AC-BFAD-433780DA4707}"/>
</file>

<file path=customXml/itemProps4.xml><?xml version="1.0" encoding="utf-8"?>
<ds:datastoreItem xmlns:ds="http://schemas.openxmlformats.org/officeDocument/2006/customXml" ds:itemID="{1CB14ECF-A116-48A3-9B03-C2C9A0AEFF98}"/>
</file>

<file path=customXml/itemProps5.xml><?xml version="1.0" encoding="utf-8"?>
<ds:datastoreItem xmlns:ds="http://schemas.openxmlformats.org/officeDocument/2006/customXml" ds:itemID="{3C68DFC5-0B0E-4874-9298-22C282E1387D}"/>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P20165</dc:creator>
  <cp:lastModifiedBy>Angell, Jennifer</cp:lastModifiedBy>
  <cp:revision>7</cp:revision>
  <cp:lastPrinted>2015-03-27T17:20:00Z</cp:lastPrinted>
  <dcterms:created xsi:type="dcterms:W3CDTF">2015-03-27T17:20:00Z</dcterms:created>
  <dcterms:modified xsi:type="dcterms:W3CDTF">2016-09-10T22:08:00Z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