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0C" w:rsidRPr="00AD754F" w:rsidRDefault="00AD754F" w:rsidP="0054300C">
      <w:pPr>
        <w:spacing w:line="264" w:lineRule="auto"/>
        <w:jc w:val="center"/>
        <w:rPr>
          <w:b/>
          <w:sz w:val="20"/>
          <w:szCs w:val="20"/>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bookmarkStart w:id="0" w:name="_GoBack"/>
      <w:bookmarkEnd w:id="0"/>
      <w:r>
        <w:rPr>
          <w:sz w:val="25"/>
          <w:szCs w:val="25"/>
        </w:rPr>
        <w:tab/>
      </w:r>
      <w:r w:rsidRPr="00AD754F">
        <w:rPr>
          <w:b/>
          <w:sz w:val="20"/>
          <w:szCs w:val="20"/>
        </w:rPr>
        <w:t>[Service Date June 28, 2011]</w:t>
      </w: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3344A" w:rsidRPr="0054300C" w:rsidRDefault="00515693" w:rsidP="0054300C">
      <w:pPr>
        <w:spacing w:line="264" w:lineRule="auto"/>
        <w:jc w:val="center"/>
        <w:rPr>
          <w:sz w:val="25"/>
          <w:szCs w:val="25"/>
        </w:rPr>
      </w:pPr>
      <w:r w:rsidRPr="0054300C">
        <w:rPr>
          <w:sz w:val="25"/>
          <w:szCs w:val="25"/>
        </w:rPr>
        <w:t>June 2</w:t>
      </w:r>
      <w:r w:rsidR="0054300C">
        <w:rPr>
          <w:sz w:val="25"/>
          <w:szCs w:val="25"/>
        </w:rPr>
        <w:t>8</w:t>
      </w:r>
      <w:r w:rsidR="00851D06" w:rsidRPr="0054300C">
        <w:rPr>
          <w:sz w:val="25"/>
          <w:szCs w:val="25"/>
        </w:rPr>
        <w:t>, 2011</w:t>
      </w:r>
    </w:p>
    <w:p w:rsidR="0053344A" w:rsidRPr="0054300C" w:rsidRDefault="0053344A"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3344A" w:rsidRPr="0053344A" w:rsidRDefault="0053344A" w:rsidP="0054300C">
      <w:pPr>
        <w:spacing w:line="264" w:lineRule="auto"/>
        <w:jc w:val="center"/>
        <w:rPr>
          <w:b/>
          <w:sz w:val="25"/>
          <w:szCs w:val="25"/>
        </w:rPr>
      </w:pPr>
      <w:r w:rsidRPr="0053344A">
        <w:rPr>
          <w:b/>
          <w:sz w:val="25"/>
          <w:szCs w:val="25"/>
        </w:rPr>
        <w:t xml:space="preserve">NOTICE OF </w:t>
      </w:r>
      <w:r w:rsidR="008C58B0">
        <w:rPr>
          <w:b/>
          <w:sz w:val="25"/>
          <w:szCs w:val="25"/>
        </w:rPr>
        <w:t>BENCH REQUEST</w:t>
      </w:r>
    </w:p>
    <w:p w:rsidR="0053344A" w:rsidRDefault="0053344A" w:rsidP="0054300C">
      <w:pPr>
        <w:spacing w:line="264" w:lineRule="auto"/>
        <w:jc w:val="center"/>
        <w:rPr>
          <w:b/>
          <w:sz w:val="25"/>
          <w:szCs w:val="25"/>
        </w:rPr>
      </w:pPr>
      <w:r w:rsidRPr="0053344A">
        <w:rPr>
          <w:b/>
          <w:sz w:val="25"/>
          <w:szCs w:val="25"/>
        </w:rPr>
        <w:t>(</w:t>
      </w:r>
      <w:r w:rsidR="008C58B0">
        <w:rPr>
          <w:b/>
          <w:sz w:val="25"/>
          <w:szCs w:val="25"/>
        </w:rPr>
        <w:t>Staff’s Response is d</w:t>
      </w:r>
      <w:r w:rsidR="00515693">
        <w:rPr>
          <w:b/>
          <w:sz w:val="25"/>
          <w:szCs w:val="25"/>
        </w:rPr>
        <w:t>ue by October 14</w:t>
      </w:r>
      <w:r w:rsidR="00DD7AEE">
        <w:rPr>
          <w:b/>
          <w:sz w:val="25"/>
          <w:szCs w:val="25"/>
        </w:rPr>
        <w:t>, 2011</w:t>
      </w:r>
      <w:r w:rsidR="008C040D">
        <w:rPr>
          <w:b/>
          <w:sz w:val="25"/>
          <w:szCs w:val="25"/>
        </w:rPr>
        <w:t>)</w:t>
      </w:r>
    </w:p>
    <w:p w:rsidR="00302AD4" w:rsidRPr="0054300C" w:rsidRDefault="00302AD4" w:rsidP="0054300C">
      <w:pPr>
        <w:spacing w:line="264" w:lineRule="auto"/>
        <w:jc w:val="center"/>
        <w:rPr>
          <w:sz w:val="25"/>
          <w:szCs w:val="25"/>
        </w:rPr>
      </w:pPr>
    </w:p>
    <w:p w:rsidR="0053344A" w:rsidRPr="0054300C" w:rsidRDefault="0053344A" w:rsidP="0054300C">
      <w:pPr>
        <w:spacing w:line="264" w:lineRule="auto"/>
        <w:jc w:val="center"/>
        <w:rPr>
          <w:sz w:val="25"/>
          <w:szCs w:val="25"/>
        </w:rPr>
      </w:pPr>
    </w:p>
    <w:p w:rsidR="0053344A" w:rsidRPr="00FD32EF" w:rsidRDefault="0053344A" w:rsidP="0054300C">
      <w:pPr>
        <w:spacing w:line="264" w:lineRule="auto"/>
        <w:ind w:left="720" w:hanging="720"/>
        <w:rPr>
          <w:b/>
          <w:sz w:val="25"/>
          <w:szCs w:val="25"/>
        </w:rPr>
      </w:pPr>
      <w:r w:rsidRPr="0053344A">
        <w:rPr>
          <w:sz w:val="25"/>
          <w:szCs w:val="25"/>
        </w:rPr>
        <w:t>RE:</w:t>
      </w:r>
      <w:r w:rsidR="008C040D">
        <w:rPr>
          <w:sz w:val="25"/>
          <w:szCs w:val="25"/>
        </w:rPr>
        <w:tab/>
      </w:r>
      <w:r w:rsidR="0027490D">
        <w:rPr>
          <w:i/>
          <w:sz w:val="25"/>
          <w:szCs w:val="25"/>
        </w:rPr>
        <w:t>Washington Utilities and Transportation Commission, Complainant, v. Avista Corporation d/b/a Avista Utilities</w:t>
      </w:r>
      <w:r w:rsidR="00851D06" w:rsidRPr="00FE2EBF">
        <w:rPr>
          <w:sz w:val="25"/>
          <w:szCs w:val="25"/>
        </w:rPr>
        <w:t xml:space="preserve">, </w:t>
      </w:r>
      <w:r w:rsidR="0027490D" w:rsidRPr="0027490D">
        <w:rPr>
          <w:i/>
          <w:sz w:val="25"/>
          <w:szCs w:val="25"/>
        </w:rPr>
        <w:t>Respondent,</w:t>
      </w:r>
      <w:r w:rsidR="0027490D">
        <w:rPr>
          <w:sz w:val="25"/>
          <w:szCs w:val="25"/>
        </w:rPr>
        <w:t xml:space="preserve"> Dockets UE-110876 and UG-110877, </w:t>
      </w:r>
      <w:r w:rsidR="00851D06" w:rsidRPr="00FE2EBF">
        <w:rPr>
          <w:sz w:val="25"/>
          <w:szCs w:val="25"/>
        </w:rPr>
        <w:t>consolidated</w:t>
      </w:r>
    </w:p>
    <w:p w:rsidR="0053344A" w:rsidRDefault="0053344A" w:rsidP="0054300C">
      <w:pPr>
        <w:spacing w:line="264" w:lineRule="auto"/>
        <w:rPr>
          <w:sz w:val="25"/>
          <w:szCs w:val="25"/>
        </w:rPr>
      </w:pPr>
    </w:p>
    <w:p w:rsidR="0054300C" w:rsidRDefault="0054300C" w:rsidP="0054300C">
      <w:pPr>
        <w:spacing w:line="264" w:lineRule="auto"/>
        <w:rPr>
          <w:sz w:val="25"/>
          <w:szCs w:val="25"/>
        </w:rPr>
      </w:pPr>
      <w:r>
        <w:rPr>
          <w:sz w:val="25"/>
          <w:szCs w:val="25"/>
        </w:rPr>
        <w:t>TO ALL PARTIES:</w:t>
      </w:r>
    </w:p>
    <w:p w:rsidR="0054300C" w:rsidRDefault="0054300C" w:rsidP="0054300C">
      <w:pPr>
        <w:spacing w:line="264" w:lineRule="auto"/>
        <w:rPr>
          <w:sz w:val="25"/>
          <w:szCs w:val="25"/>
        </w:rPr>
      </w:pPr>
    </w:p>
    <w:p w:rsidR="003C13E4" w:rsidRDefault="0055678B" w:rsidP="0054300C">
      <w:pPr>
        <w:spacing w:line="264" w:lineRule="auto"/>
      </w:pPr>
      <w:r w:rsidRPr="009048E8">
        <w:rPr>
          <w:sz w:val="25"/>
          <w:szCs w:val="25"/>
        </w:rPr>
        <w:t xml:space="preserve">On </w:t>
      </w:r>
      <w:r w:rsidR="008C58B0">
        <w:rPr>
          <w:sz w:val="25"/>
          <w:szCs w:val="25"/>
        </w:rPr>
        <w:t>November 4</w:t>
      </w:r>
      <w:r>
        <w:rPr>
          <w:sz w:val="25"/>
          <w:szCs w:val="25"/>
        </w:rPr>
        <w:t>, 201</w:t>
      </w:r>
      <w:r w:rsidR="008C58B0">
        <w:rPr>
          <w:sz w:val="25"/>
          <w:szCs w:val="25"/>
        </w:rPr>
        <w:t>0</w:t>
      </w:r>
      <w:r>
        <w:rPr>
          <w:sz w:val="25"/>
          <w:szCs w:val="25"/>
        </w:rPr>
        <w:t xml:space="preserve">, </w:t>
      </w:r>
      <w:r w:rsidRPr="009048E8">
        <w:rPr>
          <w:sz w:val="25"/>
          <w:szCs w:val="25"/>
        </w:rPr>
        <w:t xml:space="preserve">the Washington Utilities and Transportation Commission (Commission) </w:t>
      </w:r>
      <w:r w:rsidR="008C58B0">
        <w:rPr>
          <w:sz w:val="25"/>
          <w:szCs w:val="25"/>
        </w:rPr>
        <w:t>issued the Report and Policy Statement on Regulatory Mechanisms, Including Decoupling, to Encourage Utilities to Meet or Exceed Their Conservation Targets (Decoupling Policy Statement)</w:t>
      </w:r>
      <w:r>
        <w:rPr>
          <w:sz w:val="25"/>
          <w:szCs w:val="25"/>
        </w:rPr>
        <w:t>.</w:t>
      </w:r>
      <w:r w:rsidR="008C58B0">
        <w:rPr>
          <w:sz w:val="25"/>
          <w:szCs w:val="25"/>
        </w:rPr>
        <w:t xml:space="preserve">  In the Decoupling Policy Statement, the Commission </w:t>
      </w:r>
      <w:r w:rsidR="007F5A90">
        <w:rPr>
          <w:sz w:val="25"/>
          <w:szCs w:val="25"/>
        </w:rPr>
        <w:t>examined several lost margin recovery mechanisms</w:t>
      </w:r>
      <w:r w:rsidR="00DF5C42">
        <w:rPr>
          <w:sz w:val="25"/>
          <w:szCs w:val="25"/>
        </w:rPr>
        <w:t xml:space="preserve"> </w:t>
      </w:r>
      <w:r w:rsidR="00577079">
        <w:rPr>
          <w:sz w:val="25"/>
          <w:szCs w:val="25"/>
        </w:rPr>
        <w:t xml:space="preserve">and stated its policy preference for </w:t>
      </w:r>
      <w:r w:rsidR="00DF5C42">
        <w:rPr>
          <w:sz w:val="25"/>
          <w:szCs w:val="25"/>
        </w:rPr>
        <w:t>full decoupling.</w:t>
      </w:r>
      <w:r w:rsidR="00577B35">
        <w:rPr>
          <w:rStyle w:val="FootnoteReference"/>
          <w:sz w:val="25"/>
          <w:szCs w:val="25"/>
        </w:rPr>
        <w:footnoteReference w:id="1"/>
      </w:r>
      <w:r w:rsidR="00D07F1A">
        <w:rPr>
          <w:sz w:val="25"/>
          <w:szCs w:val="25"/>
        </w:rPr>
        <w:t xml:space="preserve"> </w:t>
      </w:r>
      <w:r w:rsidR="005A174A">
        <w:rPr>
          <w:sz w:val="25"/>
          <w:szCs w:val="25"/>
        </w:rPr>
        <w:t xml:space="preserve"> The Commission expressed </w:t>
      </w:r>
      <w:r w:rsidR="004B765B">
        <w:rPr>
          <w:sz w:val="25"/>
          <w:szCs w:val="25"/>
        </w:rPr>
        <w:t>interest in considering a full decoupling</w:t>
      </w:r>
      <w:r w:rsidR="00577B35">
        <w:rPr>
          <w:rStyle w:val="FootnoteReference"/>
          <w:sz w:val="25"/>
          <w:szCs w:val="25"/>
        </w:rPr>
        <w:footnoteReference w:id="2"/>
      </w:r>
      <w:r w:rsidR="004B765B">
        <w:rPr>
          <w:sz w:val="25"/>
          <w:szCs w:val="25"/>
        </w:rPr>
        <w:t xml:space="preserve"> mechanism for electric and natural gas utilities</w:t>
      </w:r>
      <w:r w:rsidR="00C612C3">
        <w:rPr>
          <w:sz w:val="25"/>
          <w:szCs w:val="25"/>
        </w:rPr>
        <w:t xml:space="preserve"> </w:t>
      </w:r>
      <w:r w:rsidR="00577079">
        <w:rPr>
          <w:sz w:val="25"/>
          <w:szCs w:val="25"/>
        </w:rPr>
        <w:t>in the context of</w:t>
      </w:r>
      <w:r w:rsidR="00C612C3">
        <w:rPr>
          <w:sz w:val="25"/>
          <w:szCs w:val="25"/>
        </w:rPr>
        <w:t xml:space="preserve"> a general rate case, so as to “allow a utility to either recover revenue declines related to reduced sales volumes or, in the case of sales volume increases, refund such revenues to its customers.”</w:t>
      </w:r>
      <w:r w:rsidR="00086899">
        <w:rPr>
          <w:rStyle w:val="FootnoteReference"/>
          <w:sz w:val="25"/>
          <w:szCs w:val="25"/>
        </w:rPr>
        <w:footnoteReference w:id="3"/>
      </w:r>
      <w:r w:rsidR="00D07F1A">
        <w:rPr>
          <w:sz w:val="25"/>
          <w:szCs w:val="25"/>
        </w:rPr>
        <w:t xml:space="preserve"> </w:t>
      </w:r>
      <w:r w:rsidR="00B6025C">
        <w:rPr>
          <w:sz w:val="25"/>
          <w:szCs w:val="25"/>
        </w:rPr>
        <w:t xml:space="preserve"> </w:t>
      </w:r>
    </w:p>
    <w:p w:rsidR="004B765B" w:rsidRDefault="004B765B" w:rsidP="0054300C">
      <w:pPr>
        <w:spacing w:line="264" w:lineRule="auto"/>
        <w:rPr>
          <w:sz w:val="25"/>
          <w:szCs w:val="25"/>
        </w:rPr>
      </w:pPr>
    </w:p>
    <w:p w:rsidR="001F0E71" w:rsidRDefault="007F00BD" w:rsidP="0054300C">
      <w:pPr>
        <w:spacing w:line="264" w:lineRule="auto"/>
        <w:rPr>
          <w:sz w:val="25"/>
          <w:szCs w:val="25"/>
        </w:rPr>
      </w:pPr>
      <w:r>
        <w:rPr>
          <w:sz w:val="25"/>
          <w:szCs w:val="25"/>
        </w:rPr>
        <w:t>On May 16, 2011, Avista Corporation d/b/a Avista Utilities (Avista</w:t>
      </w:r>
      <w:r w:rsidR="008B166F">
        <w:rPr>
          <w:sz w:val="25"/>
          <w:szCs w:val="25"/>
        </w:rPr>
        <w:t xml:space="preserve"> or the Company</w:t>
      </w:r>
      <w:r>
        <w:rPr>
          <w:sz w:val="25"/>
          <w:szCs w:val="25"/>
        </w:rPr>
        <w:t xml:space="preserve">) filed </w:t>
      </w:r>
      <w:r w:rsidR="00B55F5A">
        <w:rPr>
          <w:sz w:val="25"/>
          <w:szCs w:val="25"/>
        </w:rPr>
        <w:t>for general rate increase</w:t>
      </w:r>
      <w:r w:rsidR="00671EDE">
        <w:rPr>
          <w:sz w:val="25"/>
          <w:szCs w:val="25"/>
        </w:rPr>
        <w:t>s</w:t>
      </w:r>
      <w:r w:rsidR="00B55F5A">
        <w:rPr>
          <w:sz w:val="25"/>
          <w:szCs w:val="25"/>
        </w:rPr>
        <w:t xml:space="preserve"> for electric and gas service</w:t>
      </w:r>
      <w:r w:rsidR="00954C8A">
        <w:rPr>
          <w:sz w:val="25"/>
          <w:szCs w:val="25"/>
        </w:rPr>
        <w:t xml:space="preserve">, </w:t>
      </w:r>
      <w:r w:rsidR="00671EDE">
        <w:rPr>
          <w:sz w:val="25"/>
          <w:szCs w:val="25"/>
        </w:rPr>
        <w:t>in</w:t>
      </w:r>
      <w:r w:rsidR="00954C8A">
        <w:rPr>
          <w:sz w:val="25"/>
          <w:szCs w:val="25"/>
        </w:rPr>
        <w:t xml:space="preserve"> Dockets UE-110876 and UG-110877, respectively</w:t>
      </w:r>
      <w:r w:rsidR="00B55F5A">
        <w:rPr>
          <w:sz w:val="25"/>
          <w:szCs w:val="25"/>
        </w:rPr>
        <w:t>.</w:t>
      </w:r>
      <w:r w:rsidR="00B63D07">
        <w:rPr>
          <w:rStyle w:val="FootnoteReference"/>
          <w:sz w:val="25"/>
          <w:szCs w:val="25"/>
        </w:rPr>
        <w:footnoteReference w:id="4"/>
      </w:r>
      <w:r w:rsidR="00B55F5A">
        <w:rPr>
          <w:sz w:val="25"/>
          <w:szCs w:val="25"/>
        </w:rPr>
        <w:t xml:space="preserve">  </w:t>
      </w:r>
      <w:r w:rsidR="00671EDE">
        <w:rPr>
          <w:sz w:val="25"/>
          <w:szCs w:val="25"/>
        </w:rPr>
        <w:t xml:space="preserve">Avista’s filing includes a proposal for a lost margin recovery </w:t>
      </w:r>
      <w:r w:rsidR="00A460A9">
        <w:rPr>
          <w:sz w:val="25"/>
          <w:szCs w:val="25"/>
        </w:rPr>
        <w:t>mechanism for electrical sales (</w:t>
      </w:r>
      <w:r w:rsidR="00A460A9" w:rsidRPr="00660626">
        <w:rPr>
          <w:i/>
          <w:sz w:val="25"/>
          <w:szCs w:val="25"/>
        </w:rPr>
        <w:t>i.e.,</w:t>
      </w:r>
      <w:r w:rsidR="00A460A9">
        <w:rPr>
          <w:sz w:val="25"/>
          <w:szCs w:val="25"/>
        </w:rPr>
        <w:t xml:space="preserve"> Energy Efficiency Load Adjustment) and continuation of its current </w:t>
      </w:r>
      <w:r w:rsidR="00B54CAA">
        <w:rPr>
          <w:sz w:val="25"/>
          <w:szCs w:val="25"/>
        </w:rPr>
        <w:t xml:space="preserve">limited </w:t>
      </w:r>
      <w:r w:rsidR="00A460A9">
        <w:rPr>
          <w:sz w:val="25"/>
          <w:szCs w:val="25"/>
        </w:rPr>
        <w:t>“decoupling” mechanism on the gas side</w:t>
      </w:r>
      <w:r w:rsidR="00671EDE">
        <w:rPr>
          <w:sz w:val="25"/>
          <w:szCs w:val="25"/>
        </w:rPr>
        <w:t>.</w:t>
      </w:r>
      <w:r w:rsidR="00A460A9">
        <w:rPr>
          <w:rStyle w:val="FootnoteReference"/>
          <w:sz w:val="25"/>
          <w:szCs w:val="25"/>
        </w:rPr>
        <w:footnoteReference w:id="5"/>
      </w:r>
      <w:r w:rsidR="00671EDE">
        <w:rPr>
          <w:sz w:val="25"/>
          <w:szCs w:val="25"/>
        </w:rPr>
        <w:t xml:space="preserve">  </w:t>
      </w:r>
      <w:r w:rsidR="00A460A9">
        <w:rPr>
          <w:sz w:val="25"/>
          <w:szCs w:val="25"/>
        </w:rPr>
        <w:t xml:space="preserve">In </w:t>
      </w:r>
      <w:r w:rsidR="00A460A9">
        <w:rPr>
          <w:sz w:val="25"/>
          <w:szCs w:val="25"/>
        </w:rPr>
        <w:lastRenderedPageBreak/>
        <w:t>the interest of having a more complete record concerning the issues raised by Avista’s proposals, t</w:t>
      </w:r>
      <w:r w:rsidR="000F0B97">
        <w:rPr>
          <w:sz w:val="25"/>
          <w:szCs w:val="25"/>
        </w:rPr>
        <w:t xml:space="preserve">he Commission requests that Staff </w:t>
      </w:r>
      <w:r w:rsidR="00B63D07">
        <w:rPr>
          <w:sz w:val="25"/>
          <w:szCs w:val="25"/>
        </w:rPr>
        <w:t xml:space="preserve">examine </w:t>
      </w:r>
      <w:r w:rsidR="00C9600E">
        <w:rPr>
          <w:sz w:val="25"/>
          <w:szCs w:val="25"/>
        </w:rPr>
        <w:t>full decoupling</w:t>
      </w:r>
      <w:r w:rsidR="00577079">
        <w:rPr>
          <w:sz w:val="25"/>
          <w:szCs w:val="25"/>
        </w:rPr>
        <w:t>, as discussed in the Decoupling Policy Statement,</w:t>
      </w:r>
      <w:r w:rsidR="00C9600E">
        <w:rPr>
          <w:sz w:val="25"/>
          <w:szCs w:val="25"/>
        </w:rPr>
        <w:t xml:space="preserve"> </w:t>
      </w:r>
      <w:r w:rsidR="0052185E">
        <w:rPr>
          <w:sz w:val="25"/>
          <w:szCs w:val="25"/>
        </w:rPr>
        <w:t>as a</w:t>
      </w:r>
      <w:r w:rsidR="00577079">
        <w:rPr>
          <w:sz w:val="25"/>
          <w:szCs w:val="25"/>
        </w:rPr>
        <w:t>n</w:t>
      </w:r>
      <w:r w:rsidR="0052185E">
        <w:rPr>
          <w:sz w:val="25"/>
          <w:szCs w:val="25"/>
        </w:rPr>
        <w:t xml:space="preserve"> option for</w:t>
      </w:r>
      <w:r w:rsidR="00C9600E">
        <w:rPr>
          <w:sz w:val="25"/>
          <w:szCs w:val="25"/>
        </w:rPr>
        <w:t xml:space="preserve"> </w:t>
      </w:r>
      <w:r w:rsidR="00D53885">
        <w:rPr>
          <w:sz w:val="25"/>
          <w:szCs w:val="25"/>
        </w:rPr>
        <w:t xml:space="preserve">both </w:t>
      </w:r>
      <w:r w:rsidR="00C9600E">
        <w:rPr>
          <w:sz w:val="25"/>
          <w:szCs w:val="25"/>
        </w:rPr>
        <w:t>Avista</w:t>
      </w:r>
      <w:r w:rsidR="0052185E">
        <w:rPr>
          <w:sz w:val="25"/>
          <w:szCs w:val="25"/>
        </w:rPr>
        <w:t>’s</w:t>
      </w:r>
      <w:r w:rsidR="00C9600E">
        <w:rPr>
          <w:sz w:val="25"/>
          <w:szCs w:val="25"/>
        </w:rPr>
        <w:t xml:space="preserve"> electric and natural gas divisions</w:t>
      </w:r>
      <w:r w:rsidR="0052185E">
        <w:rPr>
          <w:sz w:val="25"/>
          <w:szCs w:val="25"/>
        </w:rPr>
        <w:t xml:space="preserve">.  </w:t>
      </w:r>
      <w:r w:rsidR="00A460A9">
        <w:rPr>
          <w:sz w:val="25"/>
          <w:szCs w:val="25"/>
        </w:rPr>
        <w:t xml:space="preserve">In response to this Bench Request, </w:t>
      </w:r>
      <w:r w:rsidR="0052185E">
        <w:rPr>
          <w:sz w:val="25"/>
          <w:szCs w:val="25"/>
        </w:rPr>
        <w:t>Staff should</w:t>
      </w:r>
      <w:r w:rsidR="00B020BC">
        <w:rPr>
          <w:sz w:val="25"/>
          <w:szCs w:val="25"/>
        </w:rPr>
        <w:t xml:space="preserve"> provide the Commission </w:t>
      </w:r>
      <w:r w:rsidR="009F0F9A">
        <w:rPr>
          <w:sz w:val="25"/>
          <w:szCs w:val="25"/>
        </w:rPr>
        <w:t>with</w:t>
      </w:r>
      <w:r w:rsidR="001F0E71">
        <w:rPr>
          <w:sz w:val="25"/>
          <w:szCs w:val="25"/>
        </w:rPr>
        <w:t xml:space="preserve"> a discussion of </w:t>
      </w:r>
      <w:r w:rsidR="009F0F9A">
        <w:rPr>
          <w:sz w:val="25"/>
          <w:szCs w:val="25"/>
        </w:rPr>
        <w:t xml:space="preserve">the </w:t>
      </w:r>
      <w:r w:rsidR="001F0E71">
        <w:rPr>
          <w:sz w:val="25"/>
          <w:szCs w:val="25"/>
        </w:rPr>
        <w:t xml:space="preserve">critical elements that a full decoupling proposal should contain, consistent with the Decoupling Policy Statement, including consideration of lost sales revenues </w:t>
      </w:r>
      <w:r w:rsidR="00577079">
        <w:rPr>
          <w:sz w:val="25"/>
          <w:szCs w:val="25"/>
        </w:rPr>
        <w:t xml:space="preserve">that are potentially </w:t>
      </w:r>
      <w:r w:rsidR="001F0E71">
        <w:rPr>
          <w:sz w:val="25"/>
          <w:szCs w:val="25"/>
        </w:rPr>
        <w:t xml:space="preserve">offset by </w:t>
      </w:r>
      <w:r w:rsidR="00FF657B">
        <w:rPr>
          <w:sz w:val="25"/>
          <w:szCs w:val="25"/>
        </w:rPr>
        <w:t>avoid</w:t>
      </w:r>
      <w:r w:rsidR="001F0E71">
        <w:rPr>
          <w:sz w:val="25"/>
          <w:szCs w:val="25"/>
        </w:rPr>
        <w:t xml:space="preserve">ed costs and other benefits.  </w:t>
      </w:r>
      <w:r w:rsidR="00D53885">
        <w:rPr>
          <w:sz w:val="25"/>
          <w:szCs w:val="25"/>
        </w:rPr>
        <w:t>It should also indicate whether, based on the information it supplies the Commission, it believes that the Commission could make a final decision on a decoupling proposal by the end of this rate proceeding or whether more process may be necessary or desirable.</w:t>
      </w:r>
      <w:r w:rsidR="00FA23F7">
        <w:rPr>
          <w:rStyle w:val="FootnoteReference"/>
          <w:sz w:val="25"/>
          <w:szCs w:val="25"/>
        </w:rPr>
        <w:footnoteReference w:id="6"/>
      </w:r>
      <w:r w:rsidR="00D53885">
        <w:rPr>
          <w:sz w:val="25"/>
          <w:szCs w:val="25"/>
        </w:rPr>
        <w:t xml:space="preserve">  </w:t>
      </w:r>
    </w:p>
    <w:p w:rsidR="001F0E71" w:rsidRDefault="001F0E71" w:rsidP="0054300C">
      <w:pPr>
        <w:spacing w:line="264" w:lineRule="auto"/>
        <w:rPr>
          <w:sz w:val="25"/>
          <w:szCs w:val="25"/>
        </w:rPr>
      </w:pPr>
    </w:p>
    <w:p w:rsidR="002E7C9E" w:rsidRDefault="00B63D07" w:rsidP="0054300C">
      <w:pPr>
        <w:spacing w:line="264" w:lineRule="auto"/>
        <w:rPr>
          <w:sz w:val="25"/>
          <w:szCs w:val="25"/>
        </w:rPr>
      </w:pPr>
      <w:r>
        <w:rPr>
          <w:sz w:val="25"/>
          <w:szCs w:val="25"/>
        </w:rPr>
        <w:t>Staff’s filing should be made</w:t>
      </w:r>
      <w:r w:rsidR="00C9600E">
        <w:rPr>
          <w:sz w:val="25"/>
          <w:szCs w:val="25"/>
        </w:rPr>
        <w:t xml:space="preserve"> concurrently with </w:t>
      </w:r>
      <w:r>
        <w:rPr>
          <w:sz w:val="25"/>
          <w:szCs w:val="25"/>
        </w:rPr>
        <w:t>its</w:t>
      </w:r>
      <w:r w:rsidR="00C9600E">
        <w:rPr>
          <w:sz w:val="25"/>
          <w:szCs w:val="25"/>
        </w:rPr>
        <w:t xml:space="preserve"> responsive case on October 14, 2011.  </w:t>
      </w:r>
      <w:r w:rsidR="00D277EB">
        <w:rPr>
          <w:sz w:val="25"/>
          <w:szCs w:val="25"/>
        </w:rPr>
        <w:t xml:space="preserve">Public Counsel and the </w:t>
      </w:r>
      <w:r w:rsidR="00372528">
        <w:rPr>
          <w:sz w:val="25"/>
          <w:szCs w:val="25"/>
        </w:rPr>
        <w:t xml:space="preserve">Intervenors are also invited to present the Commission </w:t>
      </w:r>
      <w:r w:rsidR="00D277EB">
        <w:rPr>
          <w:sz w:val="25"/>
          <w:szCs w:val="25"/>
        </w:rPr>
        <w:t xml:space="preserve">with </w:t>
      </w:r>
      <w:r w:rsidR="00372528">
        <w:rPr>
          <w:sz w:val="25"/>
          <w:szCs w:val="25"/>
        </w:rPr>
        <w:t>full decoupling proposals</w:t>
      </w:r>
      <w:r w:rsidR="00671EDE">
        <w:rPr>
          <w:sz w:val="25"/>
          <w:szCs w:val="25"/>
        </w:rPr>
        <w:t>, or other alternatives,</w:t>
      </w:r>
      <w:r w:rsidR="00372528">
        <w:rPr>
          <w:sz w:val="25"/>
          <w:szCs w:val="25"/>
        </w:rPr>
        <w:t xml:space="preserve"> </w:t>
      </w:r>
      <w:r w:rsidR="00D277EB">
        <w:rPr>
          <w:sz w:val="25"/>
          <w:szCs w:val="25"/>
        </w:rPr>
        <w:t>by October 14, 2011</w:t>
      </w:r>
      <w:r w:rsidR="00372528">
        <w:rPr>
          <w:sz w:val="25"/>
          <w:szCs w:val="25"/>
        </w:rPr>
        <w:t>.  If it did not do so in preparation of its direct case, Avista may analyze alternative recovery mechanisms, including full decoupling</w:t>
      </w:r>
      <w:r>
        <w:rPr>
          <w:sz w:val="25"/>
          <w:szCs w:val="25"/>
        </w:rPr>
        <w:t>,</w:t>
      </w:r>
      <w:r w:rsidR="00372528">
        <w:rPr>
          <w:sz w:val="25"/>
          <w:szCs w:val="25"/>
        </w:rPr>
        <w:t xml:space="preserve"> </w:t>
      </w:r>
      <w:r w:rsidR="00577079">
        <w:rPr>
          <w:sz w:val="25"/>
          <w:szCs w:val="25"/>
        </w:rPr>
        <w:t>taking into account</w:t>
      </w:r>
      <w:r w:rsidR="00372528">
        <w:rPr>
          <w:sz w:val="25"/>
          <w:szCs w:val="25"/>
        </w:rPr>
        <w:t xml:space="preserve"> the Decoupling Policy Statement</w:t>
      </w:r>
      <w:r w:rsidR="00577079">
        <w:rPr>
          <w:sz w:val="25"/>
          <w:szCs w:val="25"/>
        </w:rPr>
        <w:t xml:space="preserve">.  </w:t>
      </w:r>
      <w:r w:rsidR="00B54CAA">
        <w:rPr>
          <w:sz w:val="25"/>
          <w:szCs w:val="25"/>
        </w:rPr>
        <w:t xml:space="preserve">If </w:t>
      </w:r>
      <w:r w:rsidR="00577079">
        <w:rPr>
          <w:sz w:val="25"/>
          <w:szCs w:val="25"/>
        </w:rPr>
        <w:t>Avista</w:t>
      </w:r>
      <w:r w:rsidR="00B54CAA">
        <w:rPr>
          <w:sz w:val="25"/>
          <w:szCs w:val="25"/>
        </w:rPr>
        <w:t xml:space="preserve"> wishes to provide such analysis, it must do so</w:t>
      </w:r>
      <w:r w:rsidR="00372528">
        <w:rPr>
          <w:sz w:val="25"/>
          <w:szCs w:val="25"/>
        </w:rPr>
        <w:t xml:space="preserve"> by October 14, 2011.  Parties </w:t>
      </w:r>
      <w:r>
        <w:rPr>
          <w:sz w:val="25"/>
          <w:szCs w:val="25"/>
        </w:rPr>
        <w:t>may address</w:t>
      </w:r>
      <w:r w:rsidR="00372528">
        <w:rPr>
          <w:sz w:val="25"/>
          <w:szCs w:val="25"/>
        </w:rPr>
        <w:t xml:space="preserve"> </w:t>
      </w:r>
      <w:r w:rsidR="00671EDE">
        <w:rPr>
          <w:sz w:val="25"/>
          <w:szCs w:val="25"/>
        </w:rPr>
        <w:t>Staff’s or each other</w:t>
      </w:r>
      <w:r w:rsidR="00CD0654">
        <w:rPr>
          <w:sz w:val="25"/>
          <w:szCs w:val="25"/>
        </w:rPr>
        <w:t>’s</w:t>
      </w:r>
      <w:r w:rsidR="00671EDE">
        <w:rPr>
          <w:sz w:val="25"/>
          <w:szCs w:val="25"/>
        </w:rPr>
        <w:t xml:space="preserve"> initial responses to this Bench Request </w:t>
      </w:r>
      <w:r>
        <w:rPr>
          <w:sz w:val="25"/>
          <w:szCs w:val="25"/>
        </w:rPr>
        <w:t>in their</w:t>
      </w:r>
      <w:r w:rsidR="00372528">
        <w:rPr>
          <w:sz w:val="25"/>
          <w:szCs w:val="25"/>
        </w:rPr>
        <w:t xml:space="preserve"> Nov</w:t>
      </w:r>
      <w:r>
        <w:rPr>
          <w:sz w:val="25"/>
          <w:szCs w:val="25"/>
        </w:rPr>
        <w:t xml:space="preserve">ember 14, 2011, </w:t>
      </w:r>
      <w:r w:rsidR="00671EDE">
        <w:rPr>
          <w:sz w:val="25"/>
          <w:szCs w:val="25"/>
        </w:rPr>
        <w:t xml:space="preserve">rebuttal or cross-answering </w:t>
      </w:r>
      <w:r>
        <w:rPr>
          <w:sz w:val="25"/>
          <w:szCs w:val="25"/>
        </w:rPr>
        <w:t>testimony</w:t>
      </w:r>
      <w:r w:rsidR="00372528">
        <w:rPr>
          <w:sz w:val="25"/>
          <w:szCs w:val="25"/>
        </w:rPr>
        <w:t xml:space="preserve">.  </w:t>
      </w:r>
    </w:p>
    <w:p w:rsidR="004251D9" w:rsidRDefault="004251D9" w:rsidP="0054300C">
      <w:pPr>
        <w:spacing w:line="264" w:lineRule="auto"/>
        <w:rPr>
          <w:sz w:val="25"/>
          <w:szCs w:val="25"/>
        </w:rPr>
      </w:pPr>
    </w:p>
    <w:p w:rsidR="008C040D" w:rsidRDefault="008C040D" w:rsidP="0054300C">
      <w:pPr>
        <w:spacing w:line="264" w:lineRule="auto"/>
        <w:rPr>
          <w:sz w:val="25"/>
          <w:szCs w:val="25"/>
        </w:rPr>
      </w:pPr>
      <w:r>
        <w:rPr>
          <w:sz w:val="25"/>
          <w:szCs w:val="25"/>
        </w:rPr>
        <w:t>Sincerely,</w:t>
      </w:r>
    </w:p>
    <w:p w:rsidR="008C040D" w:rsidRDefault="008C040D" w:rsidP="0054300C">
      <w:pPr>
        <w:spacing w:line="264" w:lineRule="auto"/>
        <w:rPr>
          <w:sz w:val="25"/>
          <w:szCs w:val="25"/>
        </w:rPr>
      </w:pPr>
    </w:p>
    <w:p w:rsidR="008C040D" w:rsidRDefault="008C040D" w:rsidP="0054300C">
      <w:pPr>
        <w:spacing w:line="264" w:lineRule="auto"/>
        <w:rPr>
          <w:sz w:val="25"/>
          <w:szCs w:val="25"/>
        </w:rPr>
      </w:pPr>
    </w:p>
    <w:p w:rsidR="00665C6E" w:rsidRDefault="00665C6E" w:rsidP="0054300C">
      <w:pPr>
        <w:spacing w:line="264" w:lineRule="auto"/>
        <w:rPr>
          <w:sz w:val="25"/>
          <w:szCs w:val="25"/>
        </w:rPr>
      </w:pPr>
    </w:p>
    <w:p w:rsidR="008C040D" w:rsidRPr="008C0C50" w:rsidRDefault="00665C6E" w:rsidP="0054300C">
      <w:pPr>
        <w:spacing w:line="264" w:lineRule="auto"/>
        <w:rPr>
          <w:sz w:val="25"/>
          <w:szCs w:val="25"/>
        </w:rPr>
      </w:pPr>
      <w:r>
        <w:rPr>
          <w:sz w:val="25"/>
          <w:szCs w:val="25"/>
        </w:rPr>
        <w:t>MARGUERITE E. FRIEDLANDER</w:t>
      </w:r>
    </w:p>
    <w:p w:rsidR="008C040D" w:rsidRDefault="008C040D" w:rsidP="0054300C">
      <w:pPr>
        <w:spacing w:line="264" w:lineRule="auto"/>
        <w:rPr>
          <w:sz w:val="25"/>
          <w:szCs w:val="25"/>
        </w:rPr>
      </w:pPr>
      <w:r>
        <w:rPr>
          <w:sz w:val="25"/>
          <w:szCs w:val="25"/>
        </w:rPr>
        <w:t>Administrative Law Judge</w:t>
      </w:r>
    </w:p>
    <w:sectPr w:rsidR="008C040D" w:rsidSect="0054300C">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46" w:rsidRDefault="00156146" w:rsidP="004F7885">
      <w:r>
        <w:separator/>
      </w:r>
    </w:p>
  </w:endnote>
  <w:endnote w:type="continuationSeparator" w:id="0">
    <w:p w:rsidR="00156146" w:rsidRDefault="00156146" w:rsidP="004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46" w:rsidRDefault="00156146" w:rsidP="004F7885">
      <w:r>
        <w:separator/>
      </w:r>
    </w:p>
  </w:footnote>
  <w:footnote w:type="continuationSeparator" w:id="0">
    <w:p w:rsidR="00156146" w:rsidRDefault="00156146" w:rsidP="004F7885">
      <w:r>
        <w:continuationSeparator/>
      </w:r>
    </w:p>
  </w:footnote>
  <w:footnote w:id="1">
    <w:p w:rsidR="00577B35" w:rsidRPr="00577B35" w:rsidRDefault="00577B35">
      <w:pPr>
        <w:pStyle w:val="FootnoteText"/>
        <w:rPr>
          <w:sz w:val="22"/>
        </w:rPr>
      </w:pPr>
      <w:r w:rsidRPr="00577B35">
        <w:rPr>
          <w:rStyle w:val="FootnoteReference"/>
          <w:sz w:val="22"/>
        </w:rPr>
        <w:footnoteRef/>
      </w:r>
      <w:r w:rsidRPr="00577B35">
        <w:rPr>
          <w:sz w:val="22"/>
        </w:rPr>
        <w:t xml:space="preserve"> </w:t>
      </w:r>
      <w:r w:rsidRPr="00401808">
        <w:rPr>
          <w:sz w:val="22"/>
        </w:rPr>
        <w:t>Wash. Util. &amp; Trans. Comm., Docket U-100522, Report and Policy Statement on Regulatory Mechanisms, Including Decoupling, to Encourage Utilities to Meet or Exceed Their Conservation Targets</w:t>
      </w:r>
      <w:r>
        <w:rPr>
          <w:sz w:val="22"/>
        </w:rPr>
        <w:t xml:space="preserve"> (Decoupling Policy Statement), ¶</w:t>
      </w:r>
      <w:r w:rsidR="005558F0">
        <w:rPr>
          <w:sz w:val="22"/>
        </w:rPr>
        <w:t>¶</w:t>
      </w:r>
      <w:r>
        <w:rPr>
          <w:sz w:val="22"/>
        </w:rPr>
        <w:t xml:space="preserve"> 27</w:t>
      </w:r>
      <w:r w:rsidR="005558F0">
        <w:rPr>
          <w:sz w:val="22"/>
        </w:rPr>
        <w:t xml:space="preserve"> </w:t>
      </w:r>
      <w:r w:rsidR="00B54CAA">
        <w:rPr>
          <w:sz w:val="22"/>
        </w:rPr>
        <w:t xml:space="preserve">- </w:t>
      </w:r>
      <w:r w:rsidR="005558F0">
        <w:rPr>
          <w:sz w:val="22"/>
        </w:rPr>
        <w:t>37</w:t>
      </w:r>
      <w:r w:rsidRPr="00401808">
        <w:rPr>
          <w:sz w:val="22"/>
        </w:rPr>
        <w:t xml:space="preserve"> (2010).</w:t>
      </w:r>
    </w:p>
    <w:p w:rsidR="00577B35" w:rsidRDefault="00577B35">
      <w:pPr>
        <w:pStyle w:val="FootnoteText"/>
      </w:pPr>
    </w:p>
  </w:footnote>
  <w:footnote w:id="2">
    <w:p w:rsidR="00577B35" w:rsidRPr="00401808" w:rsidRDefault="00577B35" w:rsidP="00577B35">
      <w:pPr>
        <w:pStyle w:val="FootnoteText"/>
        <w:rPr>
          <w:sz w:val="22"/>
        </w:rPr>
      </w:pPr>
      <w:r w:rsidRPr="00401808">
        <w:rPr>
          <w:rStyle w:val="FootnoteReference"/>
          <w:sz w:val="22"/>
        </w:rPr>
        <w:footnoteRef/>
      </w:r>
      <w:r w:rsidRPr="00401808">
        <w:rPr>
          <w:sz w:val="22"/>
        </w:rPr>
        <w:t xml:space="preserve"> Full decoupling recognizes not only lost margin, i.e., diminishing customer usage resulting in a utility under-recovering its fixed expenses in its volumetric charges, but also found margin, i.e., increasing customer usage whereby the utility over-recovers fixed expenses contained within its volumetric charges.  </w:t>
      </w:r>
      <w:r>
        <w:rPr>
          <w:sz w:val="22"/>
        </w:rPr>
        <w:t>Decoupling Policy Statement, ¶ 11</w:t>
      </w:r>
      <w:r w:rsidRPr="00401808">
        <w:rPr>
          <w:sz w:val="22"/>
        </w:rPr>
        <w:t>.</w:t>
      </w:r>
    </w:p>
    <w:p w:rsidR="00577B35" w:rsidRDefault="00577B35" w:rsidP="00577B35">
      <w:pPr>
        <w:pStyle w:val="FootnoteText"/>
      </w:pPr>
    </w:p>
  </w:footnote>
  <w:footnote w:id="3">
    <w:p w:rsidR="00577B35" w:rsidRPr="00086899" w:rsidRDefault="00577B35">
      <w:pPr>
        <w:pStyle w:val="FootnoteText"/>
        <w:rPr>
          <w:sz w:val="22"/>
        </w:rPr>
      </w:pPr>
      <w:r w:rsidRPr="00086899">
        <w:rPr>
          <w:rStyle w:val="FootnoteReference"/>
          <w:sz w:val="22"/>
        </w:rPr>
        <w:footnoteRef/>
      </w:r>
      <w:r w:rsidRPr="00086899">
        <w:rPr>
          <w:sz w:val="22"/>
        </w:rPr>
        <w:t xml:space="preserve"> Decoupling Policy Statement, ¶ 28.</w:t>
      </w:r>
    </w:p>
    <w:p w:rsidR="00577B35" w:rsidRDefault="00577B35">
      <w:pPr>
        <w:pStyle w:val="FootnoteText"/>
      </w:pPr>
    </w:p>
  </w:footnote>
  <w:footnote w:id="4">
    <w:p w:rsidR="00577B35" w:rsidRPr="00B63D07" w:rsidRDefault="00577B35" w:rsidP="00660626">
      <w:pPr>
        <w:pStyle w:val="FootnoteText"/>
        <w:spacing w:after="120"/>
        <w:rPr>
          <w:sz w:val="22"/>
        </w:rPr>
      </w:pPr>
      <w:r>
        <w:rPr>
          <w:rStyle w:val="FootnoteReference"/>
        </w:rPr>
        <w:footnoteRef/>
      </w:r>
      <w:r>
        <w:t xml:space="preserve"> </w:t>
      </w:r>
      <w:r w:rsidRPr="00B63D07">
        <w:rPr>
          <w:sz w:val="22"/>
          <w:szCs w:val="25"/>
        </w:rPr>
        <w:t>Currently, Avista has a decoupling mechanism for its natural gas operations and, in this latest filing, proposes a recovery mechanism for its electric operations in the Energy Efficiency Load Adjustment mechanism.</w:t>
      </w:r>
    </w:p>
  </w:footnote>
  <w:footnote w:id="5">
    <w:p w:rsidR="00577B35" w:rsidRDefault="00577B35">
      <w:pPr>
        <w:pStyle w:val="FootnoteText"/>
        <w:rPr>
          <w:sz w:val="22"/>
          <w:szCs w:val="25"/>
        </w:rPr>
      </w:pPr>
      <w:r>
        <w:rPr>
          <w:rStyle w:val="FootnoteReference"/>
        </w:rPr>
        <w:footnoteRef/>
      </w:r>
      <w:r>
        <w:t xml:space="preserve"> </w:t>
      </w:r>
      <w:r w:rsidRPr="00660626">
        <w:rPr>
          <w:sz w:val="22"/>
          <w:szCs w:val="25"/>
        </w:rPr>
        <w:t>Exhibit PDE-1T (Ehrbar testimony) at 38-51.</w:t>
      </w:r>
    </w:p>
    <w:p w:rsidR="0054300C" w:rsidRDefault="0054300C">
      <w:pPr>
        <w:pStyle w:val="FootnoteText"/>
      </w:pPr>
    </w:p>
  </w:footnote>
  <w:footnote w:id="6">
    <w:p w:rsidR="00FA23F7" w:rsidRPr="005051B2" w:rsidRDefault="00FA23F7">
      <w:pPr>
        <w:pStyle w:val="FootnoteText"/>
        <w:rPr>
          <w:sz w:val="22"/>
          <w:szCs w:val="22"/>
        </w:rPr>
      </w:pPr>
      <w:r>
        <w:rPr>
          <w:rStyle w:val="FootnoteReference"/>
        </w:rPr>
        <w:footnoteRef/>
      </w:r>
      <w:r>
        <w:t xml:space="preserve"> </w:t>
      </w:r>
      <w:r w:rsidRPr="005051B2">
        <w:rPr>
          <w:sz w:val="22"/>
          <w:szCs w:val="22"/>
        </w:rPr>
        <w:t xml:space="preserve">While the Commission expects Staff to </w:t>
      </w:r>
      <w:r>
        <w:rPr>
          <w:sz w:val="22"/>
          <w:szCs w:val="22"/>
        </w:rPr>
        <w:t xml:space="preserve">provide an analysis of Avista’s proposal in light of the our Decoupling Policy Statement, we are </w:t>
      </w:r>
      <w:r w:rsidRPr="005051B2">
        <w:rPr>
          <w:sz w:val="22"/>
          <w:szCs w:val="22"/>
        </w:rPr>
        <w:t>neither directing Staff to, nor preventing it from,</w:t>
      </w:r>
      <w:r>
        <w:rPr>
          <w:sz w:val="22"/>
          <w:szCs w:val="22"/>
        </w:rPr>
        <w:t xml:space="preserve"> </w:t>
      </w:r>
      <w:r w:rsidRPr="005051B2">
        <w:rPr>
          <w:sz w:val="22"/>
          <w:szCs w:val="22"/>
        </w:rPr>
        <w:t>advocating</w:t>
      </w:r>
      <w:r>
        <w:rPr>
          <w:sz w:val="22"/>
          <w:szCs w:val="22"/>
        </w:rPr>
        <w:t xml:space="preserve"> </w:t>
      </w:r>
      <w:r w:rsidRPr="005051B2">
        <w:rPr>
          <w:sz w:val="22"/>
          <w:szCs w:val="22"/>
        </w:rPr>
        <w:t>full decoupling or another alternative.  Staff’s response may be in the form of testimony, or may be presented in another form (</w:t>
      </w:r>
      <w:r w:rsidRPr="005051B2">
        <w:rPr>
          <w:i/>
          <w:sz w:val="22"/>
          <w:szCs w:val="22"/>
        </w:rPr>
        <w:t>e.g.,</w:t>
      </w:r>
      <w:r w:rsidRPr="005051B2">
        <w:rPr>
          <w:sz w:val="22"/>
          <w:szCs w:val="22"/>
        </w:rPr>
        <w:t xml:space="preserve"> a narrative discussion), as Staff deems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35" w:rsidRPr="003F2878" w:rsidRDefault="00577B35" w:rsidP="0054300C">
    <w:pPr>
      <w:pStyle w:val="Header"/>
      <w:tabs>
        <w:tab w:val="clear" w:pos="4680"/>
        <w:tab w:val="clear" w:pos="9360"/>
        <w:tab w:val="right" w:pos="8370"/>
      </w:tabs>
      <w:rPr>
        <w:rStyle w:val="PageNumber"/>
        <w:b/>
        <w:sz w:val="20"/>
        <w:szCs w:val="20"/>
      </w:rPr>
    </w:pPr>
    <w:r>
      <w:rPr>
        <w:b/>
        <w:sz w:val="20"/>
        <w:szCs w:val="20"/>
      </w:rPr>
      <w:t>DOCKETS</w:t>
    </w:r>
    <w:r w:rsidRPr="003F2878">
      <w:rPr>
        <w:b/>
        <w:sz w:val="20"/>
        <w:szCs w:val="20"/>
      </w:rPr>
      <w:t xml:space="preserve"> </w:t>
    </w:r>
    <w:r>
      <w:rPr>
        <w:b/>
        <w:sz w:val="20"/>
        <w:szCs w:val="20"/>
      </w:rPr>
      <w:t xml:space="preserve">UE-110876 and </w:t>
    </w:r>
    <w:r w:rsidRPr="00C00BA9">
      <w:rPr>
        <w:rStyle w:val="PageNumber"/>
        <w:b/>
        <w:bCs/>
        <w:sz w:val="20"/>
        <w:szCs w:val="20"/>
      </w:rPr>
      <w:t>U</w:t>
    </w:r>
    <w:r>
      <w:rPr>
        <w:rStyle w:val="PageNumber"/>
        <w:b/>
        <w:bCs/>
        <w:sz w:val="20"/>
        <w:szCs w:val="20"/>
      </w:rPr>
      <w:t>G</w:t>
    </w:r>
    <w:r w:rsidRPr="00C00BA9">
      <w:rPr>
        <w:rStyle w:val="PageNumber"/>
        <w:b/>
        <w:bCs/>
        <w:sz w:val="20"/>
        <w:szCs w:val="20"/>
      </w:rPr>
      <w:t>-110</w:t>
    </w:r>
    <w:r>
      <w:rPr>
        <w:rStyle w:val="PageNumber"/>
        <w:b/>
        <w:bCs/>
        <w:sz w:val="20"/>
        <w:szCs w:val="20"/>
      </w:rPr>
      <w:t>877</w:t>
    </w:r>
    <w:r w:rsidRPr="00C00BA9">
      <w:rPr>
        <w:rStyle w:val="PageNumber"/>
        <w:b/>
        <w:bCs/>
        <w:sz w:val="20"/>
        <w:szCs w:val="20"/>
      </w:rPr>
      <w:t xml:space="preserve"> </w:t>
    </w:r>
    <w:r>
      <w:rPr>
        <w:b/>
        <w:i/>
        <w:sz w:val="20"/>
        <w:szCs w:val="20"/>
      </w:rPr>
      <w:t>(consolidated)</w:t>
    </w:r>
    <w:r w:rsidRPr="003F2878">
      <w:rPr>
        <w:b/>
        <w:sz w:val="20"/>
        <w:szCs w:val="20"/>
      </w:rPr>
      <w:t xml:space="preserve"> </w:t>
    </w:r>
    <w:r>
      <w:rPr>
        <w:b/>
        <w:sz w:val="20"/>
        <w:szCs w:val="20"/>
      </w:rPr>
      <w:t xml:space="preserve"> </w:t>
    </w:r>
    <w:r>
      <w:rPr>
        <w:b/>
        <w:sz w:val="20"/>
        <w:szCs w:val="20"/>
      </w:rPr>
      <w:tab/>
    </w:r>
    <w:r w:rsidRPr="003F2878">
      <w:rPr>
        <w:b/>
        <w:sz w:val="20"/>
        <w:szCs w:val="20"/>
      </w:rPr>
      <w:t xml:space="preserve">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5B214A">
      <w:rPr>
        <w:rStyle w:val="PageNumber"/>
        <w:b/>
        <w:noProof/>
        <w:sz w:val="20"/>
        <w:szCs w:val="20"/>
      </w:rPr>
      <w:t>2</w:t>
    </w:r>
    <w:r w:rsidRPr="003F2878">
      <w:rPr>
        <w:rStyle w:val="PageNumber"/>
        <w:b/>
        <w:sz w:val="20"/>
        <w:szCs w:val="20"/>
      </w:rPr>
      <w:fldChar w:fldCharType="end"/>
    </w:r>
  </w:p>
  <w:p w:rsidR="00577B35" w:rsidRPr="00593E2A" w:rsidRDefault="00577B35" w:rsidP="00593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34C"/>
    <w:multiLevelType w:val="hybridMultilevel"/>
    <w:tmpl w:val="DCC89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2D52A0"/>
    <w:multiLevelType w:val="hybridMultilevel"/>
    <w:tmpl w:val="F5D22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AF57F1B"/>
    <w:multiLevelType w:val="hybridMultilevel"/>
    <w:tmpl w:val="1100A0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FFB33BB"/>
    <w:multiLevelType w:val="hybridMultilevel"/>
    <w:tmpl w:val="979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4A"/>
    <w:rsid w:val="00011147"/>
    <w:rsid w:val="0002494E"/>
    <w:rsid w:val="000274A6"/>
    <w:rsid w:val="00030915"/>
    <w:rsid w:val="0003328A"/>
    <w:rsid w:val="0003499A"/>
    <w:rsid w:val="000431C6"/>
    <w:rsid w:val="00053BCA"/>
    <w:rsid w:val="000648AC"/>
    <w:rsid w:val="00067B9A"/>
    <w:rsid w:val="00086899"/>
    <w:rsid w:val="0009728F"/>
    <w:rsid w:val="000A6F22"/>
    <w:rsid w:val="000D299D"/>
    <w:rsid w:val="000D4DA1"/>
    <w:rsid w:val="000E7146"/>
    <w:rsid w:val="000F0B97"/>
    <w:rsid w:val="000F6D1B"/>
    <w:rsid w:val="001023E3"/>
    <w:rsid w:val="00134ACC"/>
    <w:rsid w:val="00141B56"/>
    <w:rsid w:val="00142A0D"/>
    <w:rsid w:val="00154B2A"/>
    <w:rsid w:val="00156146"/>
    <w:rsid w:val="00157644"/>
    <w:rsid w:val="001B4AD7"/>
    <w:rsid w:val="001C21B9"/>
    <w:rsid w:val="001C7185"/>
    <w:rsid w:val="001D1269"/>
    <w:rsid w:val="001D14B0"/>
    <w:rsid w:val="001E3529"/>
    <w:rsid w:val="001E6A51"/>
    <w:rsid w:val="001F0E71"/>
    <w:rsid w:val="00212C17"/>
    <w:rsid w:val="00220C8B"/>
    <w:rsid w:val="00224D18"/>
    <w:rsid w:val="00227707"/>
    <w:rsid w:val="00256A9B"/>
    <w:rsid w:val="002572FB"/>
    <w:rsid w:val="00272306"/>
    <w:rsid w:val="0027490D"/>
    <w:rsid w:val="002961F9"/>
    <w:rsid w:val="002A292E"/>
    <w:rsid w:val="002A4664"/>
    <w:rsid w:val="002B4B56"/>
    <w:rsid w:val="002C26D8"/>
    <w:rsid w:val="002D2C25"/>
    <w:rsid w:val="002E7C9E"/>
    <w:rsid w:val="00301C29"/>
    <w:rsid w:val="00302AD4"/>
    <w:rsid w:val="003367B9"/>
    <w:rsid w:val="00345F37"/>
    <w:rsid w:val="003616B7"/>
    <w:rsid w:val="003658FC"/>
    <w:rsid w:val="00372528"/>
    <w:rsid w:val="00372671"/>
    <w:rsid w:val="00393892"/>
    <w:rsid w:val="00394585"/>
    <w:rsid w:val="003A1638"/>
    <w:rsid w:val="003A3B0A"/>
    <w:rsid w:val="003A46E2"/>
    <w:rsid w:val="003B6669"/>
    <w:rsid w:val="003C13E4"/>
    <w:rsid w:val="003E48FC"/>
    <w:rsid w:val="003E6E9A"/>
    <w:rsid w:val="003F7D57"/>
    <w:rsid w:val="00400C6E"/>
    <w:rsid w:val="00401808"/>
    <w:rsid w:val="00402BAC"/>
    <w:rsid w:val="00405775"/>
    <w:rsid w:val="004074C3"/>
    <w:rsid w:val="004132A9"/>
    <w:rsid w:val="0042060A"/>
    <w:rsid w:val="0042245E"/>
    <w:rsid w:val="004251D9"/>
    <w:rsid w:val="00425A01"/>
    <w:rsid w:val="00433546"/>
    <w:rsid w:val="00442F5F"/>
    <w:rsid w:val="00452BE2"/>
    <w:rsid w:val="00471A88"/>
    <w:rsid w:val="00476142"/>
    <w:rsid w:val="004B765B"/>
    <w:rsid w:val="004E77D7"/>
    <w:rsid w:val="004F33D0"/>
    <w:rsid w:val="004F7421"/>
    <w:rsid w:val="004F7885"/>
    <w:rsid w:val="005051B2"/>
    <w:rsid w:val="00515693"/>
    <w:rsid w:val="0052185E"/>
    <w:rsid w:val="0053344A"/>
    <w:rsid w:val="0054293D"/>
    <w:rsid w:val="0054300C"/>
    <w:rsid w:val="00544A2A"/>
    <w:rsid w:val="005512A4"/>
    <w:rsid w:val="005558F0"/>
    <w:rsid w:val="0055678B"/>
    <w:rsid w:val="00574964"/>
    <w:rsid w:val="00577079"/>
    <w:rsid w:val="00577B35"/>
    <w:rsid w:val="00586BC7"/>
    <w:rsid w:val="005902E6"/>
    <w:rsid w:val="00593E2A"/>
    <w:rsid w:val="0059742B"/>
    <w:rsid w:val="005A174A"/>
    <w:rsid w:val="005B0BEE"/>
    <w:rsid w:val="005B214A"/>
    <w:rsid w:val="005B4566"/>
    <w:rsid w:val="005C2BEF"/>
    <w:rsid w:val="005C35B2"/>
    <w:rsid w:val="005D4F79"/>
    <w:rsid w:val="005E3846"/>
    <w:rsid w:val="005F0BEB"/>
    <w:rsid w:val="005F356D"/>
    <w:rsid w:val="00606051"/>
    <w:rsid w:val="006546F8"/>
    <w:rsid w:val="00656232"/>
    <w:rsid w:val="00660626"/>
    <w:rsid w:val="00665C6E"/>
    <w:rsid w:val="00671EDE"/>
    <w:rsid w:val="00683FE0"/>
    <w:rsid w:val="006910CD"/>
    <w:rsid w:val="006918B6"/>
    <w:rsid w:val="006930B3"/>
    <w:rsid w:val="006961A8"/>
    <w:rsid w:val="006A26B3"/>
    <w:rsid w:val="006B1EAA"/>
    <w:rsid w:val="006C0D97"/>
    <w:rsid w:val="006C5BB3"/>
    <w:rsid w:val="006C5C7B"/>
    <w:rsid w:val="006D2CE1"/>
    <w:rsid w:val="006E40A6"/>
    <w:rsid w:val="006E43B7"/>
    <w:rsid w:val="006E5F35"/>
    <w:rsid w:val="006F3BD7"/>
    <w:rsid w:val="006F570A"/>
    <w:rsid w:val="006F5FAA"/>
    <w:rsid w:val="00715AAF"/>
    <w:rsid w:val="00746D98"/>
    <w:rsid w:val="007823DE"/>
    <w:rsid w:val="007924F2"/>
    <w:rsid w:val="007B134F"/>
    <w:rsid w:val="007C53E7"/>
    <w:rsid w:val="007D0E5C"/>
    <w:rsid w:val="007D7FF3"/>
    <w:rsid w:val="007E5D12"/>
    <w:rsid w:val="007E62A9"/>
    <w:rsid w:val="007F00BD"/>
    <w:rsid w:val="007F5A90"/>
    <w:rsid w:val="008115C7"/>
    <w:rsid w:val="00822105"/>
    <w:rsid w:val="0084703E"/>
    <w:rsid w:val="00851D06"/>
    <w:rsid w:val="00856501"/>
    <w:rsid w:val="0088127D"/>
    <w:rsid w:val="00896569"/>
    <w:rsid w:val="008A1754"/>
    <w:rsid w:val="008B166F"/>
    <w:rsid w:val="008C040D"/>
    <w:rsid w:val="008C0C50"/>
    <w:rsid w:val="008C58B0"/>
    <w:rsid w:val="008D2010"/>
    <w:rsid w:val="008D7AC8"/>
    <w:rsid w:val="008E7ED3"/>
    <w:rsid w:val="00905CAF"/>
    <w:rsid w:val="00924289"/>
    <w:rsid w:val="00954C8A"/>
    <w:rsid w:val="00983239"/>
    <w:rsid w:val="0098620E"/>
    <w:rsid w:val="00993079"/>
    <w:rsid w:val="00997E97"/>
    <w:rsid w:val="009A7976"/>
    <w:rsid w:val="009C7680"/>
    <w:rsid w:val="009D54DA"/>
    <w:rsid w:val="009E589E"/>
    <w:rsid w:val="009F0F9A"/>
    <w:rsid w:val="00A07D13"/>
    <w:rsid w:val="00A34A92"/>
    <w:rsid w:val="00A460A9"/>
    <w:rsid w:val="00A702DC"/>
    <w:rsid w:val="00A72F44"/>
    <w:rsid w:val="00AB3F45"/>
    <w:rsid w:val="00AB4C07"/>
    <w:rsid w:val="00AC1CA1"/>
    <w:rsid w:val="00AC434E"/>
    <w:rsid w:val="00AD754F"/>
    <w:rsid w:val="00AE21EE"/>
    <w:rsid w:val="00AF0EE6"/>
    <w:rsid w:val="00AF76B6"/>
    <w:rsid w:val="00B020BC"/>
    <w:rsid w:val="00B07550"/>
    <w:rsid w:val="00B2121A"/>
    <w:rsid w:val="00B54CAA"/>
    <w:rsid w:val="00B55F5A"/>
    <w:rsid w:val="00B57DA1"/>
    <w:rsid w:val="00B6025C"/>
    <w:rsid w:val="00B63D07"/>
    <w:rsid w:val="00B66AD9"/>
    <w:rsid w:val="00B74369"/>
    <w:rsid w:val="00B971AB"/>
    <w:rsid w:val="00BB206E"/>
    <w:rsid w:val="00BD3105"/>
    <w:rsid w:val="00C00BA9"/>
    <w:rsid w:val="00C01C18"/>
    <w:rsid w:val="00C142EC"/>
    <w:rsid w:val="00C3332B"/>
    <w:rsid w:val="00C430E1"/>
    <w:rsid w:val="00C45037"/>
    <w:rsid w:val="00C46E16"/>
    <w:rsid w:val="00C612C3"/>
    <w:rsid w:val="00C64036"/>
    <w:rsid w:val="00C73F78"/>
    <w:rsid w:val="00C9600E"/>
    <w:rsid w:val="00CA22C0"/>
    <w:rsid w:val="00CC0CE1"/>
    <w:rsid w:val="00CC3D6C"/>
    <w:rsid w:val="00CC4AD3"/>
    <w:rsid w:val="00CD0654"/>
    <w:rsid w:val="00CE131C"/>
    <w:rsid w:val="00CF3ADF"/>
    <w:rsid w:val="00D07F1A"/>
    <w:rsid w:val="00D20F53"/>
    <w:rsid w:val="00D21B0F"/>
    <w:rsid w:val="00D277EB"/>
    <w:rsid w:val="00D30216"/>
    <w:rsid w:val="00D317E8"/>
    <w:rsid w:val="00D323FF"/>
    <w:rsid w:val="00D42D9D"/>
    <w:rsid w:val="00D451D7"/>
    <w:rsid w:val="00D46768"/>
    <w:rsid w:val="00D50D4B"/>
    <w:rsid w:val="00D52A01"/>
    <w:rsid w:val="00D53885"/>
    <w:rsid w:val="00D56845"/>
    <w:rsid w:val="00D67BB2"/>
    <w:rsid w:val="00D81868"/>
    <w:rsid w:val="00D927D5"/>
    <w:rsid w:val="00DA2373"/>
    <w:rsid w:val="00DA28BB"/>
    <w:rsid w:val="00DA579B"/>
    <w:rsid w:val="00DB069D"/>
    <w:rsid w:val="00DB1317"/>
    <w:rsid w:val="00DC45E1"/>
    <w:rsid w:val="00DD7AEE"/>
    <w:rsid w:val="00DF177B"/>
    <w:rsid w:val="00DF5AF6"/>
    <w:rsid w:val="00DF5C42"/>
    <w:rsid w:val="00DF6793"/>
    <w:rsid w:val="00E0522C"/>
    <w:rsid w:val="00E2038C"/>
    <w:rsid w:val="00E24381"/>
    <w:rsid w:val="00E326C6"/>
    <w:rsid w:val="00E41698"/>
    <w:rsid w:val="00E566C3"/>
    <w:rsid w:val="00E74912"/>
    <w:rsid w:val="00E75CB1"/>
    <w:rsid w:val="00E838EC"/>
    <w:rsid w:val="00EA4EA8"/>
    <w:rsid w:val="00EC76A4"/>
    <w:rsid w:val="00ED6860"/>
    <w:rsid w:val="00EE0D03"/>
    <w:rsid w:val="00EE23B4"/>
    <w:rsid w:val="00EE66EB"/>
    <w:rsid w:val="00EF100F"/>
    <w:rsid w:val="00F11D7C"/>
    <w:rsid w:val="00F344E4"/>
    <w:rsid w:val="00F67F34"/>
    <w:rsid w:val="00F70259"/>
    <w:rsid w:val="00F709C6"/>
    <w:rsid w:val="00F7639E"/>
    <w:rsid w:val="00F763AC"/>
    <w:rsid w:val="00F83A7D"/>
    <w:rsid w:val="00F94675"/>
    <w:rsid w:val="00FA23F7"/>
    <w:rsid w:val="00FD32EF"/>
    <w:rsid w:val="00FE2583"/>
    <w:rsid w:val="00FF2727"/>
    <w:rsid w:val="00FF476E"/>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2011-06-28T07:00:00+00:00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72DC-C0A5-48B9-B454-D9248DD54DBA}"/>
</file>

<file path=customXml/itemProps2.xml><?xml version="1.0" encoding="utf-8"?>
<ds:datastoreItem xmlns:ds="http://schemas.openxmlformats.org/officeDocument/2006/customXml" ds:itemID="{8312221F-CCDA-4940-A05C-02C865B3699E}"/>
</file>

<file path=customXml/itemProps3.xml><?xml version="1.0" encoding="utf-8"?>
<ds:datastoreItem xmlns:ds="http://schemas.openxmlformats.org/officeDocument/2006/customXml" ds:itemID="{EA1DE3EB-4E9C-4A5C-BC1B-243E3BEF24A9}"/>
</file>

<file path=customXml/itemProps4.xml><?xml version="1.0" encoding="utf-8"?>
<ds:datastoreItem xmlns:ds="http://schemas.openxmlformats.org/officeDocument/2006/customXml" ds:itemID="{F049648A-C082-47B7-87A4-575EB04F59A1}"/>
</file>

<file path=customXml/itemProps5.xml><?xml version="1.0" encoding="utf-8"?>
<ds:datastoreItem xmlns:ds="http://schemas.openxmlformats.org/officeDocument/2006/customXml" ds:itemID="{FE1090DB-3CF6-431F-99BD-8F2E683FFA2B}"/>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2650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2011-06-28T21:19:00Z</dcterms:created>
  <dcterms:modified xsi:type="dcterms:W3CDTF">2011-06-28T21:19:00Z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