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customXml/itemProps3.xml" ContentType="application/vnd.openxmlformats-officedocument.customXmlProperties+xml"/>
  <Override PartName="/word/theme/theme1.xml" ContentType="application/vnd.openxmlformats-officedocument.theme+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customXml/itemProps2.xml" ContentType="application/vnd.openxmlformats-officedocument.customXmlProperties+xml"/>
  <Override PartName="/word/footer2.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customXml/itemProps5.xml" ContentType="application/vnd.openxmlformats-officedocument.customXmlProperties+xml"/>
  <Override PartName="/word/footer1.xml" ContentType="application/vnd.openxmlformats-officedocument.wordprocessingml.footer+xml"/>
  <Override PartName="/word/people.xml" ContentType="application/vnd.openxmlformats-officedocument.wordprocessingml.people+xml"/>
  <Override PartName="/word/webSettings.xml" ContentType="application/vnd.openxmlformats-officedocument.wordprocessingml.webSettings+xml"/>
  <Override PartName="/word/footer4.xml" ContentType="application/vnd.openxmlformats-officedocument.wordprocessingml.footer+xml"/>
  <Override PartName="/customXml/itemProps4.xml" ContentType="application/vnd.openxmlformats-officedocument.customXmlProperties+xml"/>
  <Override PartName="/word/settings.xml" ContentType="application/vnd.openxmlformats-officedocument.wordprocessingml.settings+xml"/>
  <Override PartName="/word/header2.xml" ContentType="application/vnd.openxmlformats-officedocument.wordprocessingml.header+xml"/>
  <Override PartName="/word/commentsExtended.xml" ContentType="application/vnd.openxmlformats-officedocument.wordprocessingml.commentsExtended+xml"/>
  <Override PartName="/docProps/custom.xml" ContentType="application/vnd.openxmlformats-officedocument.custom-properties+xml"/>
  <Override PartName="/customXml/itemProps6.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0B" w:rsidRPr="00750132" w:rsidRDefault="001530CD" w:rsidP="001530CD">
      <w:pPr>
        <w:pStyle w:val="CourtName"/>
        <w:rPr>
          <w:b/>
          <w:caps/>
        </w:rPr>
      </w:pPr>
      <w:bookmarkStart w:id="0" w:name="_GoBack"/>
      <w:bookmarkEnd w:id="0"/>
      <w:r w:rsidRPr="00750132">
        <w:rPr>
          <w:b/>
          <w:caps/>
        </w:rPr>
        <w:t xml:space="preserve">BEFORE THE WASHINGTON </w:t>
      </w:r>
    </w:p>
    <w:p w:rsidR="001530CD" w:rsidRPr="00750132" w:rsidRDefault="001530CD" w:rsidP="001530CD">
      <w:pPr>
        <w:pStyle w:val="CourtName"/>
        <w:rPr>
          <w:b/>
          <w:caps/>
        </w:rPr>
      </w:pPr>
      <w:r w:rsidRPr="00750132">
        <w:rPr>
          <w:b/>
          <w:caps/>
        </w:rPr>
        <w:t>UTILITIES AND TRANSPORTATION COMMISSION</w:t>
      </w:r>
    </w:p>
    <w:p w:rsidR="00750132" w:rsidRDefault="00750132" w:rsidP="00750132">
      <w:pPr>
        <w:pStyle w:val="BodyText"/>
        <w:spacing w:line="264" w:lineRule="auto"/>
        <w:rPr>
          <w:sz w:val="25"/>
          <w:szCs w:val="25"/>
        </w:rPr>
      </w:pPr>
    </w:p>
    <w:tbl>
      <w:tblPr>
        <w:tblW w:w="0" w:type="auto"/>
        <w:tblLook w:val="04A0" w:firstRow="1" w:lastRow="0" w:firstColumn="1" w:lastColumn="0" w:noHBand="0" w:noVBand="1"/>
      </w:tblPr>
      <w:tblGrid>
        <w:gridCol w:w="4248"/>
        <w:gridCol w:w="360"/>
        <w:gridCol w:w="3888"/>
      </w:tblGrid>
      <w:tr w:rsidR="00750132" w:rsidTr="00750132">
        <w:tc>
          <w:tcPr>
            <w:tcW w:w="4248" w:type="dxa"/>
          </w:tcPr>
          <w:p w:rsidR="00750132" w:rsidRDefault="00750132">
            <w:pPr>
              <w:tabs>
                <w:tab w:val="left" w:pos="2174"/>
              </w:tabs>
              <w:spacing w:line="264" w:lineRule="auto"/>
              <w:rPr>
                <w:szCs w:val="24"/>
              </w:rPr>
            </w:pPr>
            <w:r>
              <w:t>WASHINGTON UTILITIES AND TRANSPORTATION COMMISSION,</w:t>
            </w:r>
          </w:p>
          <w:p w:rsidR="00750132" w:rsidRDefault="00750132">
            <w:pPr>
              <w:tabs>
                <w:tab w:val="left" w:pos="2174"/>
              </w:tabs>
              <w:spacing w:line="264" w:lineRule="auto"/>
            </w:pPr>
          </w:p>
          <w:p w:rsidR="00750132" w:rsidRDefault="00750132">
            <w:pPr>
              <w:tabs>
                <w:tab w:val="left" w:pos="2174"/>
              </w:tabs>
              <w:spacing w:line="264" w:lineRule="auto"/>
            </w:pPr>
            <w:r>
              <w:t xml:space="preserve">                           Complainant,</w:t>
            </w:r>
          </w:p>
          <w:p w:rsidR="00750132" w:rsidRDefault="00750132">
            <w:pPr>
              <w:tabs>
                <w:tab w:val="left" w:pos="2174"/>
              </w:tabs>
              <w:spacing w:line="264" w:lineRule="auto"/>
            </w:pPr>
          </w:p>
          <w:p w:rsidR="00750132" w:rsidRDefault="00750132">
            <w:pPr>
              <w:tabs>
                <w:tab w:val="left" w:pos="2174"/>
              </w:tabs>
              <w:spacing w:line="264" w:lineRule="auto"/>
            </w:pPr>
            <w:r>
              <w:t>v.</w:t>
            </w:r>
          </w:p>
          <w:p w:rsidR="00750132" w:rsidRDefault="00750132">
            <w:pPr>
              <w:tabs>
                <w:tab w:val="left" w:pos="2174"/>
              </w:tabs>
              <w:spacing w:line="264" w:lineRule="auto"/>
            </w:pPr>
          </w:p>
          <w:p w:rsidR="00750132" w:rsidRDefault="00750132">
            <w:pPr>
              <w:tabs>
                <w:tab w:val="left" w:pos="2174"/>
              </w:tabs>
              <w:spacing w:line="264" w:lineRule="auto"/>
            </w:pPr>
            <w:r>
              <w:t>PUGET SOUND ENERGY,</w:t>
            </w:r>
          </w:p>
          <w:p w:rsidR="00750132" w:rsidRDefault="00750132">
            <w:pPr>
              <w:tabs>
                <w:tab w:val="left" w:pos="2174"/>
              </w:tabs>
              <w:spacing w:line="264" w:lineRule="auto"/>
              <w:rPr>
                <w:b/>
                <w:bCs/>
              </w:rPr>
            </w:pPr>
          </w:p>
          <w:p w:rsidR="00750132" w:rsidRDefault="00750132">
            <w:pPr>
              <w:tabs>
                <w:tab w:val="left" w:pos="2174"/>
              </w:tabs>
              <w:spacing w:line="264" w:lineRule="auto"/>
            </w:pPr>
            <w:r>
              <w:t xml:space="preserve">                           Respondent.</w:t>
            </w:r>
          </w:p>
          <w:p w:rsidR="00750132" w:rsidRDefault="00750132">
            <w:pPr>
              <w:tabs>
                <w:tab w:val="left" w:pos="2174"/>
              </w:tabs>
              <w:spacing w:line="264" w:lineRule="auto"/>
              <w:rPr>
                <w:szCs w:val="24"/>
              </w:rPr>
            </w:pPr>
            <w:r>
              <w:t xml:space="preserve">. . . . . . . . . . . . . . . . . . . . . . . . . . . . . . . . . . </w:t>
            </w:r>
          </w:p>
        </w:tc>
        <w:tc>
          <w:tcPr>
            <w:tcW w:w="360" w:type="dxa"/>
            <w:hideMark/>
          </w:tcPr>
          <w:p w:rsidR="00750132" w:rsidRDefault="00750132">
            <w:pPr>
              <w:spacing w:line="264" w:lineRule="auto"/>
              <w:rPr>
                <w:szCs w:val="24"/>
              </w:rPr>
            </w:pPr>
            <w:r>
              <w:t>)</w:t>
            </w:r>
          </w:p>
          <w:p w:rsidR="00750132" w:rsidRDefault="00750132">
            <w:pPr>
              <w:spacing w:line="264" w:lineRule="auto"/>
            </w:pPr>
            <w:r>
              <w:t>)</w:t>
            </w:r>
          </w:p>
          <w:p w:rsidR="00750132" w:rsidRDefault="00750132">
            <w:pPr>
              <w:spacing w:line="264" w:lineRule="auto"/>
            </w:pPr>
            <w:r>
              <w:t>)</w:t>
            </w:r>
          </w:p>
          <w:p w:rsidR="00750132" w:rsidRDefault="00750132">
            <w:pPr>
              <w:spacing w:line="264" w:lineRule="auto"/>
            </w:pPr>
            <w:r>
              <w:t>)</w:t>
            </w:r>
          </w:p>
          <w:p w:rsidR="00750132" w:rsidRDefault="00750132">
            <w:pPr>
              <w:spacing w:line="264" w:lineRule="auto"/>
            </w:pPr>
            <w:r>
              <w:t>)</w:t>
            </w:r>
          </w:p>
          <w:p w:rsidR="00750132" w:rsidRDefault="00750132">
            <w:pPr>
              <w:spacing w:line="264" w:lineRule="auto"/>
            </w:pPr>
            <w:r>
              <w:t>)</w:t>
            </w:r>
          </w:p>
          <w:p w:rsidR="00750132" w:rsidRDefault="00750132">
            <w:pPr>
              <w:spacing w:line="264" w:lineRule="auto"/>
            </w:pPr>
            <w:r>
              <w:t>)</w:t>
            </w:r>
          </w:p>
          <w:p w:rsidR="00750132" w:rsidRDefault="00750132">
            <w:pPr>
              <w:spacing w:line="264" w:lineRule="auto"/>
            </w:pPr>
            <w:r>
              <w:t>)</w:t>
            </w:r>
          </w:p>
          <w:p w:rsidR="00750132" w:rsidRDefault="00750132">
            <w:pPr>
              <w:spacing w:line="264" w:lineRule="auto"/>
            </w:pPr>
            <w:r>
              <w:t>)</w:t>
            </w:r>
          </w:p>
          <w:p w:rsidR="00750132" w:rsidRDefault="00750132">
            <w:pPr>
              <w:spacing w:line="264" w:lineRule="auto"/>
            </w:pPr>
            <w:r>
              <w:t>)</w:t>
            </w:r>
          </w:p>
          <w:p w:rsidR="00750132" w:rsidRDefault="00750132">
            <w:pPr>
              <w:spacing w:line="264" w:lineRule="auto"/>
              <w:rPr>
                <w:szCs w:val="24"/>
              </w:rPr>
            </w:pPr>
            <w:r>
              <w:t>)</w:t>
            </w:r>
          </w:p>
        </w:tc>
        <w:tc>
          <w:tcPr>
            <w:tcW w:w="3888" w:type="dxa"/>
          </w:tcPr>
          <w:p w:rsidR="00750132" w:rsidRDefault="00750132">
            <w:pPr>
              <w:tabs>
                <w:tab w:val="left" w:pos="2334"/>
              </w:tabs>
              <w:spacing w:line="264" w:lineRule="auto"/>
              <w:rPr>
                <w:szCs w:val="24"/>
              </w:rPr>
            </w:pPr>
            <w:r>
              <w:t>DOCKETS UE-072300</w:t>
            </w:r>
          </w:p>
          <w:p w:rsidR="00750132" w:rsidRDefault="00750132">
            <w:pPr>
              <w:tabs>
                <w:tab w:val="left" w:pos="2334"/>
              </w:tabs>
              <w:spacing w:line="264" w:lineRule="auto"/>
            </w:pPr>
            <w:r>
              <w:rPr>
                <w:bCs/>
              </w:rPr>
              <w:t xml:space="preserve">and </w:t>
            </w:r>
            <w:r>
              <w:t xml:space="preserve">UG-072301 </w:t>
            </w:r>
            <w:r>
              <w:rPr>
                <w:i/>
              </w:rPr>
              <w:t>(consolidated)</w:t>
            </w:r>
          </w:p>
          <w:p w:rsidR="00750132" w:rsidRDefault="00750132">
            <w:pPr>
              <w:tabs>
                <w:tab w:val="left" w:pos="2334"/>
              </w:tabs>
              <w:spacing w:line="264" w:lineRule="auto"/>
            </w:pPr>
          </w:p>
          <w:p w:rsidR="00750132" w:rsidRDefault="00750132">
            <w:pPr>
              <w:spacing w:line="264" w:lineRule="auto"/>
            </w:pPr>
          </w:p>
          <w:p w:rsidR="00750132" w:rsidRDefault="00750132" w:rsidP="00D97FB0">
            <w:pPr>
              <w:spacing w:line="264" w:lineRule="auto"/>
              <w:rPr>
                <w:b/>
                <w:szCs w:val="24"/>
              </w:rPr>
            </w:pPr>
            <w:r>
              <w:t xml:space="preserve">MULTIPARTY SETTLEMENT STIPULATION ADDRESSING PUGET SOUND ENERGY’S </w:t>
            </w:r>
            <w:r w:rsidR="00D97FB0">
              <w:t xml:space="preserve">PETITION FOR MODIFICATION OF SQI </w:t>
            </w:r>
            <w:r>
              <w:t xml:space="preserve">SAIDI </w:t>
            </w:r>
            <w:r w:rsidR="00D97FB0">
              <w:t xml:space="preserve">MECHANICS </w:t>
            </w:r>
          </w:p>
        </w:tc>
      </w:tr>
    </w:tbl>
    <w:p w:rsidR="00D52A86" w:rsidRPr="00C140C3" w:rsidRDefault="00D52A86" w:rsidP="00567550">
      <w:pPr>
        <w:pStyle w:val="Heading1"/>
        <w:spacing w:line="480" w:lineRule="auto"/>
        <w:ind w:left="0" w:firstLine="0"/>
      </w:pPr>
      <w:r>
        <w:t>INTRODUCTION</w:t>
      </w:r>
    </w:p>
    <w:p w:rsidR="00D52A86" w:rsidRDefault="00D52A86" w:rsidP="00D52A86">
      <w:pPr>
        <w:numPr>
          <w:ilvl w:val="0"/>
          <w:numId w:val="23"/>
        </w:numPr>
        <w:spacing w:line="480" w:lineRule="auto"/>
        <w:rPr>
          <w:szCs w:val="24"/>
        </w:rPr>
      </w:pPr>
      <w:r>
        <w:rPr>
          <w:szCs w:val="24"/>
        </w:rPr>
        <w:tab/>
      </w:r>
      <w:r w:rsidRPr="00F7697D">
        <w:rPr>
          <w:szCs w:val="24"/>
        </w:rPr>
        <w:t xml:space="preserve">This </w:t>
      </w:r>
      <w:r>
        <w:rPr>
          <w:szCs w:val="24"/>
        </w:rPr>
        <w:t xml:space="preserve">Settlement </w:t>
      </w:r>
      <w:r w:rsidRPr="00F7697D">
        <w:rPr>
          <w:szCs w:val="24"/>
        </w:rPr>
        <w:t xml:space="preserve">Stipulation </w:t>
      </w:r>
      <w:r>
        <w:rPr>
          <w:szCs w:val="24"/>
        </w:rPr>
        <w:t xml:space="preserve">(“Settlement”) </w:t>
      </w:r>
      <w:r w:rsidR="00D97FB0">
        <w:rPr>
          <w:szCs w:val="24"/>
        </w:rPr>
        <w:t xml:space="preserve">resolves all issues with respect to the Petition for Modification of SQI SAIDI Mechanics filed by PSE on November 30, 2015.  It </w:t>
      </w:r>
      <w:r w:rsidRPr="00F7697D">
        <w:rPr>
          <w:szCs w:val="24"/>
        </w:rPr>
        <w:t>is entered into by Puget Sound Energy (</w:t>
      </w:r>
      <w:r>
        <w:rPr>
          <w:szCs w:val="24"/>
        </w:rPr>
        <w:t>“</w:t>
      </w:r>
      <w:r w:rsidRPr="00F7697D">
        <w:rPr>
          <w:szCs w:val="24"/>
        </w:rPr>
        <w:t>PSE</w:t>
      </w:r>
      <w:r>
        <w:rPr>
          <w:szCs w:val="24"/>
        </w:rPr>
        <w:t>” or “the Company”</w:t>
      </w:r>
      <w:r w:rsidRPr="00F7697D">
        <w:rPr>
          <w:szCs w:val="24"/>
        </w:rPr>
        <w:t>)</w:t>
      </w:r>
      <w:r w:rsidR="00FE7928">
        <w:rPr>
          <w:szCs w:val="24"/>
        </w:rPr>
        <w:t xml:space="preserve"> and</w:t>
      </w:r>
      <w:r w:rsidRPr="00F7697D">
        <w:rPr>
          <w:szCs w:val="24"/>
        </w:rPr>
        <w:t xml:space="preserve"> the Staff of the Washington Utilities and Transportation Commission (</w:t>
      </w:r>
      <w:r>
        <w:rPr>
          <w:szCs w:val="24"/>
        </w:rPr>
        <w:t xml:space="preserve">“Commission </w:t>
      </w:r>
      <w:r w:rsidRPr="00F7697D">
        <w:rPr>
          <w:szCs w:val="24"/>
        </w:rPr>
        <w:t>Staff</w:t>
      </w:r>
      <w:r>
        <w:rPr>
          <w:szCs w:val="24"/>
        </w:rPr>
        <w:t>”</w:t>
      </w:r>
      <w:r w:rsidRPr="00F7697D">
        <w:rPr>
          <w:szCs w:val="24"/>
        </w:rPr>
        <w:t>)</w:t>
      </w:r>
      <w:r w:rsidR="00D97FB0">
        <w:rPr>
          <w:szCs w:val="24"/>
        </w:rPr>
        <w:t xml:space="preserve">.  </w:t>
      </w:r>
      <w:r>
        <w:rPr>
          <w:szCs w:val="24"/>
        </w:rPr>
        <w:t xml:space="preserve">These parties are hereinafter </w:t>
      </w:r>
      <w:r w:rsidRPr="00F7697D">
        <w:rPr>
          <w:szCs w:val="24"/>
        </w:rPr>
        <w:t>collectively</w:t>
      </w:r>
      <w:r>
        <w:rPr>
          <w:szCs w:val="24"/>
        </w:rPr>
        <w:t xml:space="preserve"> referred to as “Settling </w:t>
      </w:r>
      <w:r w:rsidRPr="00F7697D">
        <w:rPr>
          <w:szCs w:val="24"/>
        </w:rPr>
        <w:t>Parties</w:t>
      </w:r>
      <w:r>
        <w:rPr>
          <w:szCs w:val="24"/>
        </w:rPr>
        <w:t>” and individually as a “Settling Party</w:t>
      </w:r>
      <w:r w:rsidRPr="00F7697D">
        <w:rPr>
          <w:szCs w:val="24"/>
        </w:rPr>
        <w:t>.</w:t>
      </w:r>
      <w:r>
        <w:rPr>
          <w:szCs w:val="24"/>
        </w:rPr>
        <w:t>”</w:t>
      </w:r>
      <w:r w:rsidR="005929BB">
        <w:rPr>
          <w:szCs w:val="24"/>
        </w:rPr>
        <w:t xml:space="preserve"> </w:t>
      </w:r>
    </w:p>
    <w:p w:rsidR="00D52A86" w:rsidRDefault="00D52A86" w:rsidP="00D52A86">
      <w:pPr>
        <w:numPr>
          <w:ilvl w:val="0"/>
          <w:numId w:val="23"/>
        </w:numPr>
        <w:spacing w:line="480" w:lineRule="auto"/>
        <w:rPr>
          <w:szCs w:val="24"/>
        </w:rPr>
      </w:pPr>
      <w:r>
        <w:rPr>
          <w:szCs w:val="24"/>
        </w:rPr>
        <w:tab/>
        <w:t xml:space="preserve">Because this Settlement is entered into by some, but not all of the parties to this case, and it resolves the issues in the docket, it is a “multiparty settlement,” as that term is defined in WAC 480-07-730(3).  </w:t>
      </w:r>
      <w:r w:rsidR="00FE7928">
        <w:rPr>
          <w:szCs w:val="24"/>
        </w:rPr>
        <w:t>The Public Counsel Unit of the Attorney General’s Office (“Public Counsel”) participated in Settlement discussions but does not join in the Multiparty Settlement.</w:t>
      </w:r>
    </w:p>
    <w:p w:rsidR="00D52A86" w:rsidRPr="0041532D" w:rsidRDefault="00D52A86" w:rsidP="00D52A86">
      <w:pPr>
        <w:numPr>
          <w:ilvl w:val="0"/>
          <w:numId w:val="23"/>
        </w:numPr>
        <w:spacing w:line="480" w:lineRule="auto"/>
        <w:rPr>
          <w:szCs w:val="24"/>
        </w:rPr>
      </w:pPr>
      <w:r>
        <w:rPr>
          <w:color w:val="000000"/>
        </w:rPr>
        <w:tab/>
      </w:r>
      <w:r w:rsidRPr="0041532D">
        <w:rPr>
          <w:color w:val="000000"/>
        </w:rPr>
        <w:t xml:space="preserve">This Settlement is subject to review and disposition by the Washington Utilities and Transportation Commission (“Commission”).  Section III of the Settlement is effective on the date of the Commission order approving </w:t>
      </w:r>
      <w:r w:rsidR="0041532D" w:rsidRPr="0041532D">
        <w:rPr>
          <w:color w:val="000000"/>
        </w:rPr>
        <w:t>the Settlement, except where a different date is specifically set forth in Section III</w:t>
      </w:r>
      <w:r w:rsidRPr="0041532D">
        <w:rPr>
          <w:color w:val="000000"/>
        </w:rPr>
        <w:t>.</w:t>
      </w:r>
    </w:p>
    <w:p w:rsidR="00D52A86" w:rsidRPr="00B845F1" w:rsidRDefault="00D52A86" w:rsidP="00D52A86">
      <w:pPr>
        <w:spacing w:line="480" w:lineRule="auto"/>
        <w:jc w:val="center"/>
        <w:rPr>
          <w:szCs w:val="24"/>
        </w:rPr>
      </w:pPr>
      <w:r>
        <w:rPr>
          <w:b/>
          <w:szCs w:val="24"/>
        </w:rPr>
        <w:lastRenderedPageBreak/>
        <w:t>II.</w:t>
      </w:r>
      <w:r>
        <w:rPr>
          <w:b/>
          <w:szCs w:val="24"/>
        </w:rPr>
        <w:tab/>
        <w:t xml:space="preserve">BACKGROUND AND </w:t>
      </w:r>
      <w:r w:rsidRPr="00104484">
        <w:rPr>
          <w:b/>
          <w:szCs w:val="24"/>
        </w:rPr>
        <w:t>NATURE OF THE DOCKET</w:t>
      </w:r>
    </w:p>
    <w:p w:rsidR="00755B0D" w:rsidRPr="00755B0D" w:rsidRDefault="00D52A86" w:rsidP="00D52A86">
      <w:pPr>
        <w:numPr>
          <w:ilvl w:val="0"/>
          <w:numId w:val="23"/>
        </w:numPr>
        <w:spacing w:line="480" w:lineRule="auto"/>
        <w:rPr>
          <w:color w:val="000000"/>
        </w:rPr>
      </w:pPr>
      <w:r>
        <w:rPr>
          <w:szCs w:val="24"/>
        </w:rPr>
        <w:tab/>
      </w:r>
      <w:r w:rsidRPr="00BC73CB">
        <w:rPr>
          <w:szCs w:val="24"/>
        </w:rPr>
        <w:t xml:space="preserve">On </w:t>
      </w:r>
      <w:r w:rsidR="00C2653D">
        <w:rPr>
          <w:szCs w:val="24"/>
        </w:rPr>
        <w:t>November 30</w:t>
      </w:r>
      <w:r w:rsidRPr="00BC73CB">
        <w:rPr>
          <w:szCs w:val="24"/>
        </w:rPr>
        <w:t>, 201</w:t>
      </w:r>
      <w:r w:rsidR="00C2653D">
        <w:rPr>
          <w:szCs w:val="24"/>
        </w:rPr>
        <w:t>5</w:t>
      </w:r>
      <w:r w:rsidRPr="00BC73CB">
        <w:rPr>
          <w:szCs w:val="24"/>
        </w:rPr>
        <w:t>, PSE</w:t>
      </w:r>
      <w:r w:rsidR="00C2653D">
        <w:rPr>
          <w:szCs w:val="24"/>
        </w:rPr>
        <w:t xml:space="preserve"> filed a </w:t>
      </w:r>
      <w:r w:rsidR="00C2653D">
        <w:rPr>
          <w:rFonts w:eastAsia="Calibri"/>
        </w:rPr>
        <w:t>Petition requesting an order from the Commission that authorizes permanent modifications to the Company’s Service Quality Index (SQI) No. 3: System Average Interruption Duration Index (</w:t>
      </w:r>
      <w:r w:rsidR="00CF27A7">
        <w:rPr>
          <w:rFonts w:eastAsia="Calibri"/>
        </w:rPr>
        <w:t>hereafter “</w:t>
      </w:r>
      <w:r w:rsidR="00C2653D">
        <w:rPr>
          <w:rFonts w:eastAsia="Calibri"/>
        </w:rPr>
        <w:t>SAIDI</w:t>
      </w:r>
      <w:r w:rsidR="00CF27A7">
        <w:rPr>
          <w:rFonts w:eastAsia="Calibri"/>
        </w:rPr>
        <w:t>” or “SQI SAIDI”</w:t>
      </w:r>
      <w:r w:rsidR="00C2653D">
        <w:rPr>
          <w:rFonts w:eastAsia="Calibri"/>
        </w:rPr>
        <w:t xml:space="preserve">). </w:t>
      </w:r>
      <w:r w:rsidR="0041532D">
        <w:rPr>
          <w:rFonts w:eastAsia="Calibri"/>
        </w:rPr>
        <w:t xml:space="preserve"> PSE’s SAIDI </w:t>
      </w:r>
      <w:r w:rsidR="00755B0D">
        <w:rPr>
          <w:rFonts w:eastAsia="Calibri"/>
        </w:rPr>
        <w:t>mechanism</w:t>
      </w:r>
      <w:r w:rsidR="0041532D">
        <w:rPr>
          <w:rFonts w:eastAsia="Calibri"/>
        </w:rPr>
        <w:t xml:space="preserve"> was first implemented pursuant to a settlement in Docket Nos. UE</w:t>
      </w:r>
      <w:r w:rsidR="00755B0D">
        <w:rPr>
          <w:rFonts w:eastAsia="Calibri"/>
        </w:rPr>
        <w:t>-</w:t>
      </w:r>
      <w:r w:rsidR="0041532D">
        <w:rPr>
          <w:rFonts w:eastAsia="Calibri"/>
        </w:rPr>
        <w:t>95</w:t>
      </w:r>
      <w:r w:rsidR="00073AE3">
        <w:rPr>
          <w:rFonts w:eastAsia="Calibri"/>
        </w:rPr>
        <w:t>1</w:t>
      </w:r>
      <w:r w:rsidR="0041532D">
        <w:rPr>
          <w:rFonts w:eastAsia="Calibri"/>
        </w:rPr>
        <w:t xml:space="preserve">270 and UE-960195.  The SAIDI </w:t>
      </w:r>
      <w:r w:rsidR="00755B0D">
        <w:rPr>
          <w:rFonts w:eastAsia="Calibri"/>
        </w:rPr>
        <w:t>mechanism</w:t>
      </w:r>
      <w:r w:rsidR="0041532D">
        <w:rPr>
          <w:rFonts w:eastAsia="Calibri"/>
        </w:rPr>
        <w:t xml:space="preserve"> has been extended and revised several times since that time</w:t>
      </w:r>
      <w:r w:rsidR="00755B0D">
        <w:rPr>
          <w:rFonts w:eastAsia="Calibri"/>
        </w:rPr>
        <w:t xml:space="preserve">, and the history of the mechanism is set forth in PSE’s </w:t>
      </w:r>
      <w:r w:rsidR="003F62F1">
        <w:rPr>
          <w:rFonts w:eastAsia="Calibri"/>
        </w:rPr>
        <w:t>P</w:t>
      </w:r>
      <w:r w:rsidR="00755B0D">
        <w:rPr>
          <w:rFonts w:eastAsia="Calibri"/>
        </w:rPr>
        <w:t>etition</w:t>
      </w:r>
      <w:r w:rsidR="0041532D">
        <w:rPr>
          <w:rFonts w:eastAsia="Calibri"/>
        </w:rPr>
        <w:t xml:space="preserve">.  </w:t>
      </w:r>
    </w:p>
    <w:p w:rsidR="005929BB" w:rsidRPr="00755B0D" w:rsidRDefault="00755B0D" w:rsidP="00755B0D">
      <w:pPr>
        <w:numPr>
          <w:ilvl w:val="0"/>
          <w:numId w:val="23"/>
        </w:numPr>
        <w:spacing w:line="480" w:lineRule="auto"/>
        <w:rPr>
          <w:color w:val="000000"/>
        </w:rPr>
      </w:pPr>
      <w:r>
        <w:rPr>
          <w:rFonts w:eastAsia="Calibri"/>
        </w:rPr>
        <w:tab/>
        <w:t xml:space="preserve">On December 21, 2015, </w:t>
      </w:r>
      <w:r w:rsidR="00C2653D">
        <w:rPr>
          <w:rFonts w:eastAsia="Calibri"/>
        </w:rPr>
        <w:t xml:space="preserve">Staff answered PSE’s Petition </w:t>
      </w:r>
      <w:r>
        <w:rPr>
          <w:rFonts w:eastAsia="Calibri"/>
        </w:rPr>
        <w:t xml:space="preserve">and opposed PSE’s proposed </w:t>
      </w:r>
      <w:r w:rsidR="000727E9">
        <w:rPr>
          <w:rFonts w:eastAsia="Calibri"/>
        </w:rPr>
        <w:t>revisions to the SAIDI mechanism</w:t>
      </w:r>
      <w:r w:rsidR="00C2653D">
        <w:rPr>
          <w:rFonts w:eastAsia="Calibri"/>
        </w:rPr>
        <w:t xml:space="preserve">. Public Counsel filed a letter on December 21, 2015, responding to, and opposing, PSE’s petition.  A prehearing conference was held on January 22, 2016.  </w:t>
      </w:r>
      <w:r w:rsidR="000727E9">
        <w:rPr>
          <w:rFonts w:eastAsia="Calibri"/>
        </w:rPr>
        <w:t>Following the prehearing conference, t</w:t>
      </w:r>
      <w:r w:rsidR="00C2653D">
        <w:rPr>
          <w:rFonts w:eastAsia="Calibri"/>
        </w:rPr>
        <w:t>he parties engaged in several settlement conferences</w:t>
      </w:r>
      <w:r w:rsidR="00CF27A7">
        <w:rPr>
          <w:rFonts w:eastAsia="Calibri"/>
        </w:rPr>
        <w:t>,</w:t>
      </w:r>
      <w:r w:rsidR="00C2653D">
        <w:rPr>
          <w:rFonts w:eastAsia="Calibri"/>
        </w:rPr>
        <w:t xml:space="preserve"> and on May 10, 2016, PSE notified </w:t>
      </w:r>
      <w:r w:rsidR="004E7790">
        <w:rPr>
          <w:rFonts w:eastAsia="Calibri"/>
        </w:rPr>
        <w:t xml:space="preserve">the Commission that a settlement in principle had been reached between Commission Staff and PSE.  </w:t>
      </w:r>
    </w:p>
    <w:p w:rsidR="00D52A86" w:rsidRPr="005929BB" w:rsidRDefault="005929BB" w:rsidP="005929BB">
      <w:pPr>
        <w:numPr>
          <w:ilvl w:val="0"/>
          <w:numId w:val="23"/>
        </w:numPr>
        <w:spacing w:line="480" w:lineRule="auto"/>
        <w:rPr>
          <w:szCs w:val="24"/>
        </w:rPr>
      </w:pPr>
      <w:r>
        <w:rPr>
          <w:szCs w:val="24"/>
        </w:rPr>
        <w:tab/>
      </w:r>
      <w:r w:rsidR="00D52A86" w:rsidRPr="005929BB">
        <w:rPr>
          <w:color w:val="000000"/>
          <w:szCs w:val="24"/>
        </w:rPr>
        <w:t xml:space="preserve">The Settling Parties have reached agreement on the following terms of a Settlement, and respectfully request that the Commission approve the Settlement.  </w:t>
      </w:r>
      <w:r w:rsidR="00D52A86" w:rsidRPr="005929BB">
        <w:rPr>
          <w:szCs w:val="24"/>
        </w:rPr>
        <w:t xml:space="preserve"> </w:t>
      </w:r>
    </w:p>
    <w:p w:rsidR="00D52A86" w:rsidRPr="00B845F1" w:rsidRDefault="00D52A86" w:rsidP="00D52A86">
      <w:pPr>
        <w:spacing w:line="480" w:lineRule="auto"/>
        <w:jc w:val="center"/>
        <w:rPr>
          <w:szCs w:val="24"/>
        </w:rPr>
      </w:pPr>
      <w:bookmarkStart w:id="1" w:name="_DV_M11"/>
      <w:bookmarkStart w:id="2" w:name="_DV_M12"/>
      <w:bookmarkEnd w:id="1"/>
      <w:bookmarkEnd w:id="2"/>
      <w:r>
        <w:rPr>
          <w:b/>
          <w:szCs w:val="24"/>
        </w:rPr>
        <w:t>III.</w:t>
      </w:r>
      <w:r>
        <w:rPr>
          <w:b/>
          <w:szCs w:val="24"/>
        </w:rPr>
        <w:tab/>
        <w:t>AGREEMENT</w:t>
      </w:r>
    </w:p>
    <w:p w:rsidR="00D52A86" w:rsidRPr="00FE7928" w:rsidRDefault="001B4239" w:rsidP="00D52A86">
      <w:pPr>
        <w:numPr>
          <w:ilvl w:val="0"/>
          <w:numId w:val="23"/>
        </w:numPr>
        <w:spacing w:line="480" w:lineRule="auto"/>
        <w:rPr>
          <w:b/>
          <w:szCs w:val="24"/>
          <w:u w:val="single"/>
        </w:rPr>
      </w:pPr>
      <w:r>
        <w:rPr>
          <w:szCs w:val="24"/>
        </w:rPr>
        <w:tab/>
      </w:r>
      <w:r w:rsidR="00D52A86">
        <w:rPr>
          <w:szCs w:val="24"/>
        </w:rPr>
        <w:t xml:space="preserve">The Settling Parties hereby stipulate and agree to the following modifications to PSE’s </w:t>
      </w:r>
      <w:r w:rsidR="00FE7928">
        <w:rPr>
          <w:szCs w:val="24"/>
        </w:rPr>
        <w:t>SAIDI</w:t>
      </w:r>
      <w:r w:rsidR="00A46AF5">
        <w:rPr>
          <w:szCs w:val="24"/>
        </w:rPr>
        <w:t xml:space="preserve"> </w:t>
      </w:r>
      <w:r w:rsidR="00D52A86">
        <w:rPr>
          <w:szCs w:val="24"/>
        </w:rPr>
        <w:t>mechanism:</w:t>
      </w:r>
      <w:r w:rsidR="00D52A86">
        <w:rPr>
          <w:b/>
          <w:szCs w:val="24"/>
        </w:rPr>
        <w:t xml:space="preserve">    </w:t>
      </w:r>
    </w:p>
    <w:p w:rsidR="00497CFF" w:rsidRPr="00393B43" w:rsidRDefault="00497CFF" w:rsidP="00CF27A7">
      <w:pPr>
        <w:pStyle w:val="ListParagraph"/>
        <w:numPr>
          <w:ilvl w:val="0"/>
          <w:numId w:val="30"/>
        </w:numPr>
        <w:spacing w:after="160" w:line="480" w:lineRule="auto"/>
        <w:contextualSpacing/>
        <w:rPr>
          <w:rFonts w:ascii="Times New Roman" w:hAnsi="Times New Roman" w:cs="Times New Roman"/>
          <w:sz w:val="24"/>
          <w:szCs w:val="24"/>
        </w:rPr>
      </w:pPr>
      <w:r w:rsidRPr="00393B43">
        <w:rPr>
          <w:rFonts w:ascii="Times New Roman" w:hAnsi="Times New Roman" w:cs="Times New Roman"/>
          <w:sz w:val="24"/>
          <w:szCs w:val="24"/>
        </w:rPr>
        <w:t>PSE will use IEEE 1366 metric for reporting SQI SAIDI, taking effect in reporting year 2016.</w:t>
      </w:r>
    </w:p>
    <w:p w:rsidR="00497CFF" w:rsidRPr="00393B43" w:rsidRDefault="00497CFF" w:rsidP="00CF27A7">
      <w:pPr>
        <w:pStyle w:val="ListParagraph"/>
        <w:numPr>
          <w:ilvl w:val="0"/>
          <w:numId w:val="30"/>
        </w:numPr>
        <w:spacing w:after="160" w:line="480" w:lineRule="auto"/>
        <w:contextualSpacing/>
        <w:rPr>
          <w:rFonts w:ascii="Times New Roman" w:hAnsi="Times New Roman" w:cs="Times New Roman"/>
          <w:sz w:val="24"/>
          <w:szCs w:val="24"/>
        </w:rPr>
      </w:pPr>
      <w:r w:rsidRPr="00393B43">
        <w:rPr>
          <w:rFonts w:ascii="Times New Roman" w:hAnsi="Times New Roman" w:cs="Times New Roman"/>
          <w:sz w:val="24"/>
          <w:szCs w:val="24"/>
        </w:rPr>
        <w:t xml:space="preserve">IEEE 1366 target for PSE SQI SAIDI will be set to 155, taking effect in reporting year 2016. The target and PSE’s performance will be reported in PSE’s Service Quality </w:t>
      </w:r>
      <w:r w:rsidRPr="00393B43">
        <w:rPr>
          <w:rFonts w:ascii="Times New Roman" w:hAnsi="Times New Roman" w:cs="Times New Roman"/>
          <w:sz w:val="24"/>
          <w:szCs w:val="24"/>
        </w:rPr>
        <w:lastRenderedPageBreak/>
        <w:t>Report Card, and any failure to meet the target for consecutive years will also be noted in the Service Quality Report Card.</w:t>
      </w:r>
    </w:p>
    <w:p w:rsidR="00497CFF" w:rsidRPr="00393B43" w:rsidRDefault="00497CFF" w:rsidP="00CF27A7">
      <w:pPr>
        <w:pStyle w:val="ListParagraph"/>
        <w:numPr>
          <w:ilvl w:val="0"/>
          <w:numId w:val="30"/>
        </w:numPr>
        <w:spacing w:after="160" w:line="480" w:lineRule="auto"/>
        <w:contextualSpacing/>
        <w:rPr>
          <w:rFonts w:ascii="Times New Roman" w:hAnsi="Times New Roman" w:cs="Times New Roman"/>
          <w:sz w:val="24"/>
          <w:szCs w:val="24"/>
        </w:rPr>
      </w:pPr>
      <w:r w:rsidRPr="00393B43">
        <w:rPr>
          <w:rFonts w:ascii="Times New Roman" w:hAnsi="Times New Roman" w:cs="Times New Roman"/>
          <w:sz w:val="24"/>
          <w:szCs w:val="24"/>
        </w:rPr>
        <w:t xml:space="preserve">The current SQI penalty for any failure by PSE to meet its SAIDI benchmark is removed, taking effect in reporting year 2016. </w:t>
      </w:r>
    </w:p>
    <w:p w:rsidR="00497CFF" w:rsidRPr="00393B43" w:rsidRDefault="00497CFF" w:rsidP="00CF27A7">
      <w:pPr>
        <w:pStyle w:val="ListParagraph"/>
        <w:numPr>
          <w:ilvl w:val="0"/>
          <w:numId w:val="30"/>
        </w:numPr>
        <w:spacing w:after="160" w:line="480" w:lineRule="auto"/>
        <w:contextualSpacing/>
        <w:rPr>
          <w:rFonts w:ascii="Times New Roman" w:hAnsi="Times New Roman" w:cs="Times New Roman"/>
          <w:sz w:val="24"/>
          <w:szCs w:val="24"/>
        </w:rPr>
      </w:pPr>
      <w:r w:rsidRPr="00393B43">
        <w:rPr>
          <w:rFonts w:ascii="Times New Roman" w:hAnsi="Times New Roman" w:cs="Times New Roman"/>
          <w:sz w:val="24"/>
          <w:szCs w:val="24"/>
        </w:rPr>
        <w:t xml:space="preserve">PSE will revise </w:t>
      </w:r>
      <w:r w:rsidR="003F62F1">
        <w:rPr>
          <w:rFonts w:ascii="Times New Roman" w:hAnsi="Times New Roman" w:cs="Times New Roman"/>
          <w:sz w:val="24"/>
          <w:szCs w:val="24"/>
        </w:rPr>
        <w:t xml:space="preserve">Electric </w:t>
      </w:r>
      <w:r w:rsidRPr="00393B43">
        <w:rPr>
          <w:rFonts w:ascii="Times New Roman" w:hAnsi="Times New Roman" w:cs="Times New Roman"/>
          <w:sz w:val="24"/>
          <w:szCs w:val="24"/>
        </w:rPr>
        <w:t>Tariff G, Schedule 131, to add a 24-hour restoration service guarantee for non-major-event outages with the general terms below. This restoration service guarantee will become effective on 1/1/2017.</w:t>
      </w:r>
    </w:p>
    <w:p w:rsidR="00497CFF" w:rsidRPr="00393B43" w:rsidRDefault="00497CFF" w:rsidP="00CF27A7">
      <w:pPr>
        <w:pStyle w:val="ListParagraph"/>
        <w:numPr>
          <w:ilvl w:val="1"/>
          <w:numId w:val="30"/>
        </w:numPr>
        <w:spacing w:after="160" w:line="480" w:lineRule="auto"/>
        <w:contextualSpacing/>
        <w:rPr>
          <w:rFonts w:ascii="Times New Roman" w:hAnsi="Times New Roman" w:cs="Times New Roman"/>
          <w:sz w:val="24"/>
          <w:szCs w:val="24"/>
        </w:rPr>
      </w:pPr>
      <w:r w:rsidRPr="00393B43">
        <w:rPr>
          <w:rFonts w:ascii="Times New Roman" w:hAnsi="Times New Roman" w:cs="Times New Roman"/>
          <w:sz w:val="24"/>
          <w:szCs w:val="24"/>
        </w:rPr>
        <w:t xml:space="preserve">PSE will provide a bill credit to eligible </w:t>
      </w:r>
      <w:r w:rsidR="00A77949">
        <w:rPr>
          <w:rFonts w:ascii="Times New Roman" w:hAnsi="Times New Roman" w:cs="Times New Roman"/>
          <w:sz w:val="24"/>
          <w:szCs w:val="24"/>
        </w:rPr>
        <w:t xml:space="preserve">electric </w:t>
      </w:r>
      <w:r w:rsidRPr="00393B43">
        <w:rPr>
          <w:rFonts w:ascii="Times New Roman" w:hAnsi="Times New Roman" w:cs="Times New Roman"/>
          <w:sz w:val="24"/>
          <w:szCs w:val="24"/>
        </w:rPr>
        <w:t xml:space="preserve">customers in the amount of $50 if PSE fails to restore </w:t>
      </w:r>
      <w:r w:rsidR="0036190A">
        <w:rPr>
          <w:rFonts w:ascii="Times New Roman" w:hAnsi="Times New Roman" w:cs="Times New Roman"/>
          <w:sz w:val="24"/>
          <w:szCs w:val="24"/>
        </w:rPr>
        <w:t xml:space="preserve">electric </w:t>
      </w:r>
      <w:r w:rsidRPr="00393B43">
        <w:rPr>
          <w:rFonts w:ascii="Times New Roman" w:hAnsi="Times New Roman" w:cs="Times New Roman"/>
          <w:sz w:val="24"/>
          <w:szCs w:val="24"/>
        </w:rPr>
        <w:t>service within 24 hours of notification of an outage, except for the following instances:</w:t>
      </w:r>
    </w:p>
    <w:p w:rsidR="00497CFF" w:rsidRPr="00393B43" w:rsidRDefault="00497CFF" w:rsidP="00CF27A7">
      <w:pPr>
        <w:pStyle w:val="ListParagraph"/>
        <w:numPr>
          <w:ilvl w:val="3"/>
          <w:numId w:val="30"/>
        </w:numPr>
        <w:spacing w:after="160" w:line="480" w:lineRule="auto"/>
        <w:contextualSpacing/>
        <w:rPr>
          <w:rFonts w:ascii="Times New Roman" w:hAnsi="Times New Roman" w:cs="Times New Roman"/>
          <w:sz w:val="24"/>
          <w:szCs w:val="24"/>
        </w:rPr>
      </w:pPr>
      <w:r w:rsidRPr="00393B43">
        <w:rPr>
          <w:rFonts w:ascii="Times New Roman" w:hAnsi="Times New Roman" w:cs="Times New Roman"/>
          <w:sz w:val="24"/>
          <w:szCs w:val="24"/>
        </w:rPr>
        <w:t>The outage is associated with a Major Event Day,</w:t>
      </w:r>
      <w:r w:rsidR="002B33FC">
        <w:rPr>
          <w:rStyle w:val="FootnoteReference"/>
          <w:rFonts w:ascii="Times New Roman" w:hAnsi="Times New Roman" w:cs="Times New Roman"/>
          <w:sz w:val="24"/>
          <w:szCs w:val="24"/>
        </w:rPr>
        <w:footnoteReference w:id="1"/>
      </w:r>
      <w:r w:rsidRPr="00393B43">
        <w:rPr>
          <w:rFonts w:ascii="Times New Roman" w:hAnsi="Times New Roman" w:cs="Times New Roman"/>
          <w:sz w:val="24"/>
          <w:szCs w:val="24"/>
        </w:rPr>
        <w:t xml:space="preserve"> which includes any associated subsequent days while PSE is restoring the major-event outage;</w:t>
      </w:r>
    </w:p>
    <w:p w:rsidR="00497CFF" w:rsidRPr="00393B43" w:rsidRDefault="00497CFF" w:rsidP="00CF27A7">
      <w:pPr>
        <w:pStyle w:val="ListParagraph"/>
        <w:numPr>
          <w:ilvl w:val="3"/>
          <w:numId w:val="30"/>
        </w:numPr>
        <w:spacing w:after="160" w:line="480" w:lineRule="auto"/>
        <w:contextualSpacing/>
        <w:rPr>
          <w:rFonts w:ascii="Times New Roman" w:hAnsi="Times New Roman" w:cs="Times New Roman"/>
          <w:sz w:val="24"/>
          <w:szCs w:val="24"/>
        </w:rPr>
      </w:pPr>
      <w:r w:rsidRPr="00393B43">
        <w:rPr>
          <w:rFonts w:ascii="Times New Roman" w:hAnsi="Times New Roman" w:cs="Times New Roman"/>
          <w:sz w:val="24"/>
          <w:szCs w:val="24"/>
        </w:rPr>
        <w:t xml:space="preserve">The Company is prevented from restoring </w:t>
      </w:r>
      <w:r w:rsidR="00A77949">
        <w:rPr>
          <w:rFonts w:ascii="Times New Roman" w:hAnsi="Times New Roman" w:cs="Times New Roman"/>
          <w:sz w:val="24"/>
          <w:szCs w:val="24"/>
        </w:rPr>
        <w:t xml:space="preserve">electric </w:t>
      </w:r>
      <w:r w:rsidRPr="00393B43">
        <w:rPr>
          <w:rFonts w:ascii="Times New Roman" w:hAnsi="Times New Roman" w:cs="Times New Roman"/>
          <w:sz w:val="24"/>
          <w:szCs w:val="24"/>
        </w:rPr>
        <w:t>service by an action or default by someone outside the control of the Company (other than a Company employee/agent);</w:t>
      </w:r>
    </w:p>
    <w:p w:rsidR="00497CFF" w:rsidRPr="00393B43" w:rsidRDefault="00497CFF" w:rsidP="00CF27A7">
      <w:pPr>
        <w:pStyle w:val="ListParagraph"/>
        <w:numPr>
          <w:ilvl w:val="3"/>
          <w:numId w:val="30"/>
        </w:numPr>
        <w:spacing w:after="160" w:line="480" w:lineRule="auto"/>
        <w:contextualSpacing/>
        <w:rPr>
          <w:rFonts w:ascii="Times New Roman" w:hAnsi="Times New Roman" w:cs="Times New Roman"/>
          <w:sz w:val="24"/>
          <w:szCs w:val="24"/>
        </w:rPr>
      </w:pPr>
      <w:r w:rsidRPr="00393B43">
        <w:rPr>
          <w:rFonts w:ascii="Times New Roman" w:hAnsi="Times New Roman" w:cs="Times New Roman"/>
          <w:sz w:val="24"/>
          <w:szCs w:val="24"/>
        </w:rPr>
        <w:t>The Company does not have safe access to its facilities in order to perform the needed repair;</w:t>
      </w:r>
    </w:p>
    <w:p w:rsidR="00497CFF" w:rsidRPr="00393B43" w:rsidRDefault="00497CFF" w:rsidP="00CF27A7">
      <w:pPr>
        <w:pStyle w:val="ListParagraph"/>
        <w:numPr>
          <w:ilvl w:val="3"/>
          <w:numId w:val="30"/>
        </w:numPr>
        <w:spacing w:after="160" w:line="480" w:lineRule="auto"/>
        <w:contextualSpacing/>
        <w:rPr>
          <w:rFonts w:ascii="Times New Roman" w:hAnsi="Times New Roman" w:cs="Times New Roman"/>
          <w:sz w:val="24"/>
          <w:szCs w:val="24"/>
        </w:rPr>
      </w:pPr>
      <w:r w:rsidRPr="00393B43">
        <w:rPr>
          <w:rFonts w:ascii="Times New Roman" w:hAnsi="Times New Roman" w:cs="Times New Roman"/>
          <w:sz w:val="24"/>
          <w:szCs w:val="24"/>
        </w:rPr>
        <w:t>The Company verifies that there was no outage as reported by the Customer;</w:t>
      </w:r>
    </w:p>
    <w:p w:rsidR="00497CFF" w:rsidRPr="00393B43" w:rsidRDefault="00497CFF" w:rsidP="00CF27A7">
      <w:pPr>
        <w:pStyle w:val="ListParagraph"/>
        <w:numPr>
          <w:ilvl w:val="3"/>
          <w:numId w:val="30"/>
        </w:numPr>
        <w:spacing w:after="160" w:line="480" w:lineRule="auto"/>
        <w:contextualSpacing/>
        <w:rPr>
          <w:rFonts w:ascii="Times New Roman" w:hAnsi="Times New Roman" w:cs="Times New Roman"/>
          <w:sz w:val="24"/>
          <w:szCs w:val="24"/>
        </w:rPr>
      </w:pPr>
      <w:r w:rsidRPr="00393B43">
        <w:rPr>
          <w:rFonts w:ascii="Times New Roman" w:hAnsi="Times New Roman" w:cs="Times New Roman"/>
          <w:sz w:val="24"/>
          <w:szCs w:val="24"/>
        </w:rPr>
        <w:t xml:space="preserve">The </w:t>
      </w:r>
      <w:r w:rsidR="0036190A">
        <w:rPr>
          <w:rFonts w:ascii="Times New Roman" w:hAnsi="Times New Roman" w:cs="Times New Roman"/>
          <w:sz w:val="24"/>
          <w:szCs w:val="24"/>
        </w:rPr>
        <w:t>c</w:t>
      </w:r>
      <w:r w:rsidRPr="00393B43">
        <w:rPr>
          <w:rFonts w:ascii="Times New Roman" w:hAnsi="Times New Roman" w:cs="Times New Roman"/>
          <w:sz w:val="24"/>
          <w:szCs w:val="24"/>
        </w:rPr>
        <w:t>ustomer’s equipment has caused the outage; or</w:t>
      </w:r>
    </w:p>
    <w:p w:rsidR="00497CFF" w:rsidRPr="00393B43" w:rsidRDefault="00497CFF" w:rsidP="00CF27A7">
      <w:pPr>
        <w:pStyle w:val="ListParagraph"/>
        <w:numPr>
          <w:ilvl w:val="3"/>
          <w:numId w:val="30"/>
        </w:numPr>
        <w:spacing w:after="160" w:line="480" w:lineRule="auto"/>
        <w:contextualSpacing/>
        <w:rPr>
          <w:rFonts w:ascii="Times New Roman" w:hAnsi="Times New Roman" w:cs="Times New Roman"/>
          <w:sz w:val="24"/>
          <w:szCs w:val="24"/>
        </w:rPr>
      </w:pPr>
      <w:r w:rsidRPr="00393B43">
        <w:rPr>
          <w:rFonts w:ascii="Times New Roman" w:hAnsi="Times New Roman" w:cs="Times New Roman"/>
          <w:sz w:val="24"/>
          <w:szCs w:val="24"/>
        </w:rPr>
        <w:t xml:space="preserve">The </w:t>
      </w:r>
      <w:r w:rsidR="0036190A">
        <w:rPr>
          <w:rFonts w:ascii="Times New Roman" w:hAnsi="Times New Roman" w:cs="Times New Roman"/>
          <w:sz w:val="24"/>
          <w:szCs w:val="24"/>
        </w:rPr>
        <w:t>c</w:t>
      </w:r>
      <w:r w:rsidRPr="00393B43">
        <w:rPr>
          <w:rFonts w:ascii="Times New Roman" w:hAnsi="Times New Roman" w:cs="Times New Roman"/>
          <w:sz w:val="24"/>
          <w:szCs w:val="24"/>
        </w:rPr>
        <w:t>ustomer’s system has not received the proper electrical inspections and certifications.</w:t>
      </w:r>
    </w:p>
    <w:p w:rsidR="00497CFF" w:rsidRPr="00393B43" w:rsidRDefault="00497CFF" w:rsidP="00CF27A7">
      <w:pPr>
        <w:pStyle w:val="ListParagraph"/>
        <w:numPr>
          <w:ilvl w:val="1"/>
          <w:numId w:val="30"/>
        </w:numPr>
        <w:spacing w:after="160" w:line="480" w:lineRule="auto"/>
        <w:contextualSpacing/>
        <w:rPr>
          <w:rFonts w:ascii="Times New Roman" w:hAnsi="Times New Roman" w:cs="Times New Roman"/>
          <w:sz w:val="24"/>
          <w:szCs w:val="24"/>
        </w:rPr>
      </w:pPr>
      <w:r w:rsidRPr="00393B43">
        <w:rPr>
          <w:rFonts w:ascii="Times New Roman" w:hAnsi="Times New Roman" w:cs="Times New Roman"/>
          <w:sz w:val="24"/>
          <w:szCs w:val="24"/>
        </w:rPr>
        <w:t>Safe access is prevented by conditions such as, but not limited to, a flooded road, a slide blocking a road, or other conditions which prevent the Company from accessing its facilities.</w:t>
      </w:r>
    </w:p>
    <w:p w:rsidR="00497CFF" w:rsidRPr="00393B43" w:rsidRDefault="00497CFF" w:rsidP="00CF27A7">
      <w:pPr>
        <w:pStyle w:val="ListParagraph"/>
        <w:numPr>
          <w:ilvl w:val="1"/>
          <w:numId w:val="30"/>
        </w:numPr>
        <w:spacing w:after="160" w:line="480" w:lineRule="auto"/>
        <w:contextualSpacing/>
        <w:rPr>
          <w:rFonts w:ascii="Times New Roman" w:hAnsi="Times New Roman" w:cs="Times New Roman"/>
          <w:sz w:val="24"/>
          <w:szCs w:val="24"/>
        </w:rPr>
      </w:pPr>
      <w:r w:rsidRPr="00393B43">
        <w:rPr>
          <w:rFonts w:ascii="Times New Roman" w:hAnsi="Times New Roman" w:cs="Times New Roman"/>
          <w:sz w:val="24"/>
          <w:szCs w:val="24"/>
        </w:rPr>
        <w:t>The Company will not seek recovery of the restoration service guarantee payments from ratepayers.</w:t>
      </w:r>
    </w:p>
    <w:p w:rsidR="00497CFF" w:rsidRPr="00393B43" w:rsidRDefault="0036190A" w:rsidP="00CF27A7">
      <w:pPr>
        <w:pStyle w:val="ListParagraph"/>
        <w:numPr>
          <w:ilvl w:val="1"/>
          <w:numId w:val="30"/>
        </w:numPr>
        <w:spacing w:after="160" w:line="480" w:lineRule="auto"/>
        <w:contextualSpacing/>
        <w:rPr>
          <w:rFonts w:ascii="Times New Roman" w:hAnsi="Times New Roman" w:cs="Times New Roman"/>
          <w:sz w:val="24"/>
          <w:szCs w:val="24"/>
        </w:rPr>
      </w:pPr>
      <w:r>
        <w:rPr>
          <w:rFonts w:ascii="Times New Roman" w:hAnsi="Times New Roman" w:cs="Times New Roman"/>
          <w:sz w:val="24"/>
          <w:szCs w:val="24"/>
        </w:rPr>
        <w:t>An electric</w:t>
      </w:r>
      <w:r w:rsidR="00497CFF" w:rsidRPr="00393B43">
        <w:rPr>
          <w:rFonts w:ascii="Times New Roman" w:hAnsi="Times New Roman" w:cs="Times New Roman"/>
          <w:sz w:val="24"/>
          <w:szCs w:val="24"/>
        </w:rPr>
        <w:t xml:space="preserve"> customer is eligible for the $50 credit after either:</w:t>
      </w:r>
    </w:p>
    <w:p w:rsidR="00497CFF" w:rsidRPr="00393B43" w:rsidRDefault="00497CFF" w:rsidP="00CF27A7">
      <w:pPr>
        <w:pStyle w:val="ListParagraph"/>
        <w:numPr>
          <w:ilvl w:val="3"/>
          <w:numId w:val="30"/>
        </w:numPr>
        <w:spacing w:after="160" w:line="480" w:lineRule="auto"/>
        <w:contextualSpacing/>
        <w:rPr>
          <w:rFonts w:ascii="Times New Roman" w:hAnsi="Times New Roman" w:cs="Times New Roman"/>
          <w:sz w:val="24"/>
          <w:szCs w:val="24"/>
        </w:rPr>
      </w:pPr>
      <w:r w:rsidRPr="00393B43">
        <w:rPr>
          <w:rFonts w:ascii="Times New Roman" w:hAnsi="Times New Roman" w:cs="Times New Roman"/>
          <w:sz w:val="24"/>
          <w:szCs w:val="24"/>
        </w:rPr>
        <w:t>Reporting their outage to PSE; or</w:t>
      </w:r>
    </w:p>
    <w:p w:rsidR="00497CFF" w:rsidRPr="00393B43" w:rsidRDefault="00497CFF" w:rsidP="00CF27A7">
      <w:pPr>
        <w:pStyle w:val="ListParagraph"/>
        <w:numPr>
          <w:ilvl w:val="3"/>
          <w:numId w:val="30"/>
        </w:numPr>
        <w:spacing w:after="160" w:line="480" w:lineRule="auto"/>
        <w:contextualSpacing/>
        <w:rPr>
          <w:rFonts w:ascii="Times New Roman" w:hAnsi="Times New Roman" w:cs="Times New Roman"/>
          <w:sz w:val="24"/>
          <w:szCs w:val="24"/>
        </w:rPr>
      </w:pPr>
      <w:r w:rsidRPr="00393B43">
        <w:rPr>
          <w:rFonts w:ascii="Times New Roman" w:hAnsi="Times New Roman" w:cs="Times New Roman"/>
          <w:sz w:val="24"/>
          <w:szCs w:val="24"/>
        </w:rPr>
        <w:t xml:space="preserve">Requesting the Guarantee credit within seven (7) calendar days following restoration of the </w:t>
      </w:r>
      <w:r w:rsidR="0036190A">
        <w:rPr>
          <w:rFonts w:ascii="Times New Roman" w:hAnsi="Times New Roman" w:cs="Times New Roman"/>
          <w:sz w:val="24"/>
          <w:szCs w:val="24"/>
        </w:rPr>
        <w:t>c</w:t>
      </w:r>
      <w:r w:rsidRPr="00393B43">
        <w:rPr>
          <w:rFonts w:ascii="Times New Roman" w:hAnsi="Times New Roman" w:cs="Times New Roman"/>
          <w:sz w:val="24"/>
          <w:szCs w:val="24"/>
        </w:rPr>
        <w:t xml:space="preserve">ustomer’s </w:t>
      </w:r>
      <w:r w:rsidR="0036190A">
        <w:rPr>
          <w:rFonts w:ascii="Times New Roman" w:hAnsi="Times New Roman" w:cs="Times New Roman"/>
          <w:sz w:val="24"/>
          <w:szCs w:val="24"/>
        </w:rPr>
        <w:t>e</w:t>
      </w:r>
      <w:r w:rsidRPr="00393B43">
        <w:rPr>
          <w:rFonts w:ascii="Times New Roman" w:hAnsi="Times New Roman" w:cs="Times New Roman"/>
          <w:sz w:val="24"/>
          <w:szCs w:val="24"/>
        </w:rPr>
        <w:t xml:space="preserve">lectric </w:t>
      </w:r>
      <w:r w:rsidR="0036190A">
        <w:rPr>
          <w:rFonts w:ascii="Times New Roman" w:hAnsi="Times New Roman" w:cs="Times New Roman"/>
          <w:sz w:val="24"/>
          <w:szCs w:val="24"/>
        </w:rPr>
        <w:t>s</w:t>
      </w:r>
      <w:r w:rsidRPr="00393B43">
        <w:rPr>
          <w:rFonts w:ascii="Times New Roman" w:hAnsi="Times New Roman" w:cs="Times New Roman"/>
          <w:sz w:val="24"/>
          <w:szCs w:val="24"/>
        </w:rPr>
        <w:t xml:space="preserve">ervice.  </w:t>
      </w:r>
    </w:p>
    <w:p w:rsidR="00497CFF" w:rsidRPr="00393B43" w:rsidRDefault="00497CFF" w:rsidP="00CF27A7">
      <w:pPr>
        <w:pStyle w:val="ListParagraph"/>
        <w:numPr>
          <w:ilvl w:val="1"/>
          <w:numId w:val="30"/>
        </w:numPr>
        <w:spacing w:after="160" w:line="480" w:lineRule="auto"/>
        <w:contextualSpacing/>
        <w:rPr>
          <w:rFonts w:ascii="Times New Roman" w:hAnsi="Times New Roman" w:cs="Times New Roman"/>
          <w:sz w:val="24"/>
          <w:szCs w:val="24"/>
        </w:rPr>
      </w:pPr>
      <w:r w:rsidRPr="00393B43">
        <w:rPr>
          <w:rFonts w:ascii="Times New Roman" w:hAnsi="Times New Roman" w:cs="Times New Roman"/>
          <w:sz w:val="24"/>
          <w:szCs w:val="24"/>
        </w:rPr>
        <w:t xml:space="preserve">The Company will provide the credit to an eligible </w:t>
      </w:r>
      <w:r w:rsidR="0036190A">
        <w:rPr>
          <w:rFonts w:ascii="Times New Roman" w:hAnsi="Times New Roman" w:cs="Times New Roman"/>
          <w:sz w:val="24"/>
          <w:szCs w:val="24"/>
        </w:rPr>
        <w:t>electric c</w:t>
      </w:r>
      <w:r w:rsidRPr="00393B43">
        <w:rPr>
          <w:rFonts w:ascii="Times New Roman" w:hAnsi="Times New Roman" w:cs="Times New Roman"/>
          <w:sz w:val="24"/>
          <w:szCs w:val="24"/>
        </w:rPr>
        <w:t xml:space="preserve">ustomer’s bill within two billing cycles after the restoration of the </w:t>
      </w:r>
      <w:r w:rsidR="0036190A">
        <w:rPr>
          <w:rFonts w:ascii="Times New Roman" w:hAnsi="Times New Roman" w:cs="Times New Roman"/>
          <w:sz w:val="24"/>
          <w:szCs w:val="24"/>
        </w:rPr>
        <w:t>c</w:t>
      </w:r>
      <w:r w:rsidRPr="00393B43">
        <w:rPr>
          <w:rFonts w:ascii="Times New Roman" w:hAnsi="Times New Roman" w:cs="Times New Roman"/>
          <w:sz w:val="24"/>
          <w:szCs w:val="24"/>
        </w:rPr>
        <w:t xml:space="preserve">ustomer’s outage.  </w:t>
      </w:r>
    </w:p>
    <w:p w:rsidR="00497CFF" w:rsidRPr="00393B43" w:rsidRDefault="00497CFF" w:rsidP="00CF27A7">
      <w:pPr>
        <w:pStyle w:val="ListParagraph"/>
        <w:numPr>
          <w:ilvl w:val="1"/>
          <w:numId w:val="30"/>
        </w:numPr>
        <w:spacing w:after="160" w:line="480" w:lineRule="auto"/>
        <w:contextualSpacing/>
        <w:rPr>
          <w:rFonts w:ascii="Times New Roman" w:hAnsi="Times New Roman" w:cs="Times New Roman"/>
          <w:sz w:val="24"/>
          <w:szCs w:val="24"/>
        </w:rPr>
      </w:pPr>
      <w:r w:rsidRPr="00393B43">
        <w:rPr>
          <w:rFonts w:ascii="Times New Roman" w:hAnsi="Times New Roman" w:cs="Times New Roman"/>
          <w:sz w:val="24"/>
          <w:szCs w:val="24"/>
        </w:rPr>
        <w:t>There will be no change to the existing 120-hour restoration service guarantee offered under Schedule 131.</w:t>
      </w:r>
    </w:p>
    <w:p w:rsidR="00497CFF" w:rsidRPr="00393B43" w:rsidRDefault="00497CFF" w:rsidP="00CF27A7">
      <w:pPr>
        <w:pStyle w:val="ListParagraph"/>
        <w:numPr>
          <w:ilvl w:val="1"/>
          <w:numId w:val="30"/>
        </w:numPr>
        <w:spacing w:after="160" w:line="480" w:lineRule="auto"/>
        <w:contextualSpacing/>
        <w:rPr>
          <w:rFonts w:ascii="Times New Roman" w:hAnsi="Times New Roman" w:cs="Times New Roman"/>
          <w:sz w:val="24"/>
          <w:szCs w:val="24"/>
        </w:rPr>
      </w:pPr>
      <w:r w:rsidRPr="00393B43">
        <w:rPr>
          <w:rFonts w:ascii="Times New Roman" w:hAnsi="Times New Roman" w:cs="Times New Roman"/>
          <w:sz w:val="24"/>
          <w:szCs w:val="24"/>
        </w:rPr>
        <w:t xml:space="preserve">The Company shall inform customers of the 24-hour outage restoration guarantee through its service guarantee messaging and effectively located on the Company’s website. The Company will undertake efforts to encourage customers to notify PSE of an outage and special efforts to inform customers of the 24-hour guarantee within 90 days of the effective date of the tariff, and also regularly through the Company’s typical publicity mediums as described in </w:t>
      </w:r>
      <w:r w:rsidR="003713C4">
        <w:rPr>
          <w:rFonts w:ascii="Times New Roman" w:hAnsi="Times New Roman" w:cs="Times New Roman"/>
          <w:sz w:val="24"/>
          <w:szCs w:val="24"/>
        </w:rPr>
        <w:t>A</w:t>
      </w:r>
      <w:r w:rsidRPr="00393B43">
        <w:rPr>
          <w:rFonts w:ascii="Times New Roman" w:hAnsi="Times New Roman" w:cs="Times New Roman"/>
          <w:sz w:val="24"/>
          <w:szCs w:val="24"/>
        </w:rPr>
        <w:t>ttachment A to this settlement.</w:t>
      </w:r>
    </w:p>
    <w:p w:rsidR="00497CFF" w:rsidRPr="00393B43" w:rsidRDefault="00497CFF" w:rsidP="00CF27A7">
      <w:pPr>
        <w:pStyle w:val="ListParagraph"/>
        <w:numPr>
          <w:ilvl w:val="1"/>
          <w:numId w:val="30"/>
        </w:numPr>
        <w:spacing w:after="160" w:line="480" w:lineRule="auto"/>
        <w:contextualSpacing/>
        <w:rPr>
          <w:rFonts w:ascii="Times New Roman" w:hAnsi="Times New Roman" w:cs="Times New Roman"/>
          <w:sz w:val="24"/>
          <w:szCs w:val="24"/>
        </w:rPr>
      </w:pPr>
      <w:r w:rsidRPr="00393B43">
        <w:rPr>
          <w:rFonts w:ascii="Times New Roman" w:hAnsi="Times New Roman" w:cs="Times New Roman"/>
          <w:sz w:val="24"/>
          <w:szCs w:val="24"/>
        </w:rPr>
        <w:t xml:space="preserve">The Company shall report the payout of the 24-hour restoration service guarantee in PSE’s Service Quality Report Card.  </w:t>
      </w:r>
    </w:p>
    <w:p w:rsidR="00497CFF" w:rsidRPr="00393B43" w:rsidRDefault="00497CFF" w:rsidP="00CF27A7">
      <w:pPr>
        <w:pStyle w:val="ListParagraph"/>
        <w:numPr>
          <w:ilvl w:val="0"/>
          <w:numId w:val="30"/>
        </w:numPr>
        <w:spacing w:after="160" w:line="480" w:lineRule="auto"/>
        <w:contextualSpacing/>
        <w:rPr>
          <w:rFonts w:ascii="Times New Roman" w:hAnsi="Times New Roman" w:cs="Times New Roman"/>
          <w:sz w:val="24"/>
          <w:szCs w:val="24"/>
        </w:rPr>
      </w:pPr>
      <w:r w:rsidRPr="00393B43">
        <w:rPr>
          <w:rFonts w:ascii="Times New Roman" w:hAnsi="Times New Roman" w:cs="Times New Roman"/>
          <w:sz w:val="24"/>
          <w:szCs w:val="24"/>
        </w:rPr>
        <w:t>For purposes of SQI SAIDI calculation, a catastrophic day will be defined as any Major Event Day that exceeds 4.5 Beta, taking effect in reporting year 2016.</w:t>
      </w:r>
    </w:p>
    <w:p w:rsidR="00497CFF" w:rsidRPr="00393B43" w:rsidRDefault="00497CFF" w:rsidP="00CF27A7">
      <w:pPr>
        <w:pStyle w:val="ListParagraph"/>
        <w:numPr>
          <w:ilvl w:val="1"/>
          <w:numId w:val="30"/>
        </w:numPr>
        <w:spacing w:after="160" w:line="480" w:lineRule="auto"/>
        <w:contextualSpacing/>
        <w:rPr>
          <w:rFonts w:ascii="Times New Roman" w:hAnsi="Times New Roman" w:cs="Times New Roman"/>
          <w:sz w:val="24"/>
          <w:szCs w:val="24"/>
        </w:rPr>
      </w:pPr>
      <w:r w:rsidRPr="00393B43">
        <w:rPr>
          <w:rFonts w:ascii="Times New Roman" w:hAnsi="Times New Roman" w:cs="Times New Roman"/>
          <w:sz w:val="24"/>
          <w:szCs w:val="24"/>
        </w:rPr>
        <w:t>Because catastrophic days are already Major Event Days, they are already excluded from IEEE SAIDI.</w:t>
      </w:r>
    </w:p>
    <w:p w:rsidR="00497CFF" w:rsidRPr="00393B43" w:rsidRDefault="00497CFF" w:rsidP="00CF27A7">
      <w:pPr>
        <w:pStyle w:val="ListParagraph"/>
        <w:numPr>
          <w:ilvl w:val="1"/>
          <w:numId w:val="30"/>
        </w:numPr>
        <w:spacing w:after="160" w:line="480" w:lineRule="auto"/>
        <w:contextualSpacing/>
        <w:rPr>
          <w:rFonts w:ascii="Times New Roman" w:hAnsi="Times New Roman" w:cs="Times New Roman"/>
          <w:sz w:val="24"/>
          <w:szCs w:val="24"/>
        </w:rPr>
      </w:pPr>
      <w:r w:rsidRPr="00393B43">
        <w:rPr>
          <w:rFonts w:ascii="Times New Roman" w:hAnsi="Times New Roman" w:cs="Times New Roman"/>
          <w:sz w:val="24"/>
          <w:szCs w:val="24"/>
        </w:rPr>
        <w:t>Setting a catastrophic day threshold removes the need to petition for specific SQI SAIDI exclusions going forward.</w:t>
      </w:r>
    </w:p>
    <w:p w:rsidR="00497CFF" w:rsidRPr="00393B43" w:rsidRDefault="00497CFF" w:rsidP="00CF27A7">
      <w:pPr>
        <w:pStyle w:val="ListParagraph"/>
        <w:numPr>
          <w:ilvl w:val="1"/>
          <w:numId w:val="30"/>
        </w:numPr>
        <w:spacing w:after="160" w:line="480" w:lineRule="auto"/>
        <w:contextualSpacing/>
        <w:rPr>
          <w:rFonts w:ascii="Times New Roman" w:hAnsi="Times New Roman" w:cs="Times New Roman"/>
          <w:sz w:val="24"/>
          <w:szCs w:val="24"/>
        </w:rPr>
      </w:pPr>
      <w:r w:rsidRPr="00393B43">
        <w:rPr>
          <w:rFonts w:ascii="Times New Roman" w:hAnsi="Times New Roman" w:cs="Times New Roman"/>
          <w:sz w:val="24"/>
          <w:szCs w:val="24"/>
        </w:rPr>
        <w:t>With a catastrophic day definition in place, these days do not adversely impact the T</w:t>
      </w:r>
      <w:r w:rsidRPr="00393B43">
        <w:rPr>
          <w:rFonts w:ascii="Times New Roman" w:hAnsi="Times New Roman" w:cs="Times New Roman"/>
          <w:sz w:val="24"/>
          <w:szCs w:val="24"/>
          <w:vertAlign w:val="subscript"/>
        </w:rPr>
        <w:t xml:space="preserve">MED </w:t>
      </w:r>
      <w:r w:rsidRPr="00393B43">
        <w:rPr>
          <w:rFonts w:ascii="Times New Roman" w:hAnsi="Times New Roman" w:cs="Times New Roman"/>
          <w:sz w:val="24"/>
          <w:szCs w:val="24"/>
        </w:rPr>
        <w:t>going</w:t>
      </w:r>
      <w:r w:rsidRPr="00393B43">
        <w:rPr>
          <w:rFonts w:ascii="Times New Roman" w:hAnsi="Times New Roman" w:cs="Times New Roman"/>
          <w:sz w:val="24"/>
          <w:szCs w:val="24"/>
          <w:vertAlign w:val="subscript"/>
        </w:rPr>
        <w:t xml:space="preserve"> </w:t>
      </w:r>
      <w:r w:rsidRPr="00393B43">
        <w:rPr>
          <w:rFonts w:ascii="Times New Roman" w:hAnsi="Times New Roman" w:cs="Times New Roman"/>
          <w:sz w:val="24"/>
          <w:szCs w:val="24"/>
        </w:rPr>
        <w:t>forward.</w:t>
      </w:r>
    </w:p>
    <w:p w:rsidR="00497CFF" w:rsidRPr="00393B43" w:rsidRDefault="00497CFF" w:rsidP="00CF27A7">
      <w:pPr>
        <w:pStyle w:val="ListParagraph"/>
        <w:numPr>
          <w:ilvl w:val="1"/>
          <w:numId w:val="30"/>
        </w:numPr>
        <w:spacing w:after="160" w:line="480" w:lineRule="auto"/>
        <w:contextualSpacing/>
        <w:rPr>
          <w:rFonts w:ascii="Times New Roman" w:hAnsi="Times New Roman" w:cs="Times New Roman"/>
          <w:sz w:val="24"/>
          <w:szCs w:val="24"/>
        </w:rPr>
      </w:pPr>
      <w:r w:rsidRPr="00393B43">
        <w:rPr>
          <w:rFonts w:ascii="Times New Roman" w:hAnsi="Times New Roman" w:cs="Times New Roman"/>
          <w:sz w:val="24"/>
          <w:szCs w:val="24"/>
        </w:rPr>
        <w:t>Use framework set forth on Page 14, Paragraph 25, of PSE’s 2015 Petition in this docket.</w:t>
      </w:r>
    </w:p>
    <w:p w:rsidR="001B4239" w:rsidRPr="00CF27A7" w:rsidRDefault="00497CFF" w:rsidP="00CF27A7">
      <w:pPr>
        <w:pStyle w:val="ListParagraph"/>
        <w:numPr>
          <w:ilvl w:val="0"/>
          <w:numId w:val="30"/>
        </w:numPr>
        <w:spacing w:line="480" w:lineRule="auto"/>
        <w:contextualSpacing/>
        <w:rPr>
          <w:szCs w:val="24"/>
        </w:rPr>
      </w:pPr>
      <w:r w:rsidRPr="00CF27A7">
        <w:rPr>
          <w:rFonts w:ascii="Times New Roman" w:hAnsi="Times New Roman" w:cs="Times New Roman"/>
          <w:sz w:val="24"/>
          <w:szCs w:val="24"/>
        </w:rPr>
        <w:t>The Company will gather information on customers experiencing multiple outages (</w:t>
      </w:r>
      <w:r w:rsidR="00CF27A7" w:rsidRPr="00CF27A7">
        <w:rPr>
          <w:rFonts w:ascii="Times New Roman" w:hAnsi="Times New Roman" w:cs="Times New Roman"/>
          <w:sz w:val="24"/>
          <w:szCs w:val="24"/>
        </w:rPr>
        <w:t>“</w:t>
      </w:r>
      <w:r w:rsidRPr="00CF27A7">
        <w:rPr>
          <w:rFonts w:ascii="Times New Roman" w:hAnsi="Times New Roman" w:cs="Times New Roman"/>
          <w:sz w:val="24"/>
          <w:szCs w:val="24"/>
        </w:rPr>
        <w:t>CEMI</w:t>
      </w:r>
      <w:r w:rsidR="00CF27A7" w:rsidRPr="00CF27A7">
        <w:rPr>
          <w:rFonts w:ascii="Times New Roman" w:hAnsi="Times New Roman" w:cs="Times New Roman"/>
          <w:sz w:val="24"/>
          <w:szCs w:val="24"/>
        </w:rPr>
        <w:t>”</w:t>
      </w:r>
      <w:r w:rsidRPr="00CF27A7">
        <w:rPr>
          <w:rFonts w:ascii="Times New Roman" w:hAnsi="Times New Roman" w:cs="Times New Roman"/>
          <w:sz w:val="24"/>
          <w:szCs w:val="24"/>
        </w:rPr>
        <w:t>). The Company will include the CEMI metric in its annual electric service reliability reports beginning with its 2019 report.</w:t>
      </w:r>
      <w:r w:rsidR="00D01635" w:rsidRPr="00CF27A7">
        <w:rPr>
          <w:szCs w:val="24"/>
        </w:rPr>
        <w:t xml:space="preserve"> </w:t>
      </w:r>
      <w:r w:rsidR="00125393" w:rsidRPr="00CF27A7">
        <w:rPr>
          <w:b/>
          <w:szCs w:val="24"/>
        </w:rPr>
        <w:t xml:space="preserve">    </w:t>
      </w:r>
    </w:p>
    <w:p w:rsidR="00D52A86" w:rsidRDefault="00D52A86" w:rsidP="001B4239">
      <w:pPr>
        <w:spacing w:line="480" w:lineRule="auto"/>
        <w:jc w:val="center"/>
        <w:rPr>
          <w:b/>
          <w:color w:val="000000"/>
        </w:rPr>
      </w:pPr>
      <w:r>
        <w:rPr>
          <w:b/>
          <w:color w:val="000000"/>
        </w:rPr>
        <w:t>IV.</w:t>
      </w:r>
      <w:r>
        <w:rPr>
          <w:b/>
          <w:color w:val="000000"/>
        </w:rPr>
        <w:tab/>
        <w:t>GENERAL PROVISIONS</w:t>
      </w:r>
    </w:p>
    <w:p w:rsidR="00D52A86" w:rsidRDefault="00D52A86" w:rsidP="00D52A86">
      <w:pPr>
        <w:widowControl w:val="0"/>
        <w:numPr>
          <w:ilvl w:val="0"/>
          <w:numId w:val="23"/>
        </w:numPr>
        <w:autoSpaceDE w:val="0"/>
        <w:autoSpaceDN w:val="0"/>
        <w:adjustRightInd w:val="0"/>
        <w:spacing w:line="480" w:lineRule="auto"/>
        <w:rPr>
          <w:color w:val="000000"/>
        </w:rPr>
      </w:pPr>
      <w:bookmarkStart w:id="3" w:name="_DV_M32"/>
      <w:bookmarkStart w:id="4" w:name="_DV_M33"/>
      <w:bookmarkStart w:id="5" w:name="_DV_M34"/>
      <w:bookmarkEnd w:id="3"/>
      <w:bookmarkEnd w:id="4"/>
      <w:bookmarkEnd w:id="5"/>
      <w:r>
        <w:rPr>
          <w:b/>
          <w:color w:val="000000"/>
        </w:rPr>
        <w:tab/>
      </w:r>
      <w:r w:rsidRPr="00682128">
        <w:rPr>
          <w:b/>
          <w:color w:val="000000"/>
        </w:rPr>
        <w:t>Entire agreement; no precedent</w:t>
      </w:r>
      <w:r>
        <w:rPr>
          <w:b/>
          <w:color w:val="000000"/>
        </w:rPr>
        <w:t>.</w:t>
      </w:r>
      <w:r>
        <w:rPr>
          <w:i/>
          <w:color w:val="000000"/>
        </w:rPr>
        <w:t xml:space="preserve">  </w:t>
      </w:r>
      <w:r>
        <w:rPr>
          <w:color w:val="000000"/>
        </w:rPr>
        <w:t xml:space="preserve">This Settlement is the entire agreement of the Settling Parties.  </w:t>
      </w:r>
      <w:r w:rsidRPr="006464E5">
        <w:rPr>
          <w:color w:val="000000"/>
        </w:rPr>
        <w:t xml:space="preserve">Accordingly, the </w:t>
      </w:r>
      <w:r>
        <w:rPr>
          <w:color w:val="000000"/>
        </w:rPr>
        <w:t>Settling Parties r</w:t>
      </w:r>
      <w:r w:rsidRPr="006464E5">
        <w:rPr>
          <w:color w:val="000000"/>
        </w:rPr>
        <w:t xml:space="preserve">ecommend that the Commission adopt and approve </w:t>
      </w:r>
      <w:r>
        <w:rPr>
          <w:color w:val="000000"/>
        </w:rPr>
        <w:t>the</w:t>
      </w:r>
      <w:r w:rsidRPr="006464E5">
        <w:rPr>
          <w:color w:val="000000"/>
        </w:rPr>
        <w:t xml:space="preserve"> Settlement in </w:t>
      </w:r>
      <w:r>
        <w:rPr>
          <w:color w:val="000000"/>
        </w:rPr>
        <w:t>its</w:t>
      </w:r>
      <w:r w:rsidRPr="006464E5">
        <w:rPr>
          <w:color w:val="000000"/>
        </w:rPr>
        <w:t xml:space="preserve"> entirety. </w:t>
      </w:r>
      <w:r>
        <w:rPr>
          <w:color w:val="000000"/>
        </w:rPr>
        <w:t xml:space="preserve"> This Settlement may not be cited as precedent in any proceeding other than a proceeding to enforce the terms of this Settlement.  </w:t>
      </w:r>
      <w:r w:rsidRPr="00A10512">
        <w:rPr>
          <w:color w:val="000000"/>
        </w:rPr>
        <w:t xml:space="preserve">The </w:t>
      </w:r>
      <w:r>
        <w:rPr>
          <w:color w:val="000000"/>
        </w:rPr>
        <w:t xml:space="preserve">Settling </w:t>
      </w:r>
      <w:r w:rsidRPr="00A10512">
        <w:rPr>
          <w:color w:val="000000"/>
        </w:rPr>
        <w:t xml:space="preserve">Parties enter into this Settlement to avoid further expense, uncertainty, and delay.  By executing this Settlement, no </w:t>
      </w:r>
      <w:r>
        <w:rPr>
          <w:color w:val="000000"/>
        </w:rPr>
        <w:t xml:space="preserve">Settling </w:t>
      </w:r>
      <w:r w:rsidRPr="00A10512">
        <w:rPr>
          <w:color w:val="000000"/>
        </w:rPr>
        <w:t xml:space="preserve">Party shall be deemed to have approved, admitted, or consented to the facts, principles, methods, or theories employed in arriving at the terms of this Settlement, and no </w:t>
      </w:r>
      <w:r>
        <w:rPr>
          <w:color w:val="000000"/>
        </w:rPr>
        <w:t xml:space="preserve">Settling </w:t>
      </w:r>
      <w:r w:rsidRPr="00A10512">
        <w:rPr>
          <w:color w:val="000000"/>
        </w:rPr>
        <w:t>Party shall be deemed to have agreed that this Settlement is appropriate for resolving any issues in any other proceeding</w:t>
      </w:r>
      <w:r>
        <w:rPr>
          <w:color w:val="000000"/>
        </w:rPr>
        <w:t xml:space="preserve">, </w:t>
      </w:r>
      <w:r w:rsidRPr="00A10512">
        <w:rPr>
          <w:color w:val="000000"/>
        </w:rPr>
        <w:t xml:space="preserve">except to the extent expressly set forth in this Settlement.  No </w:t>
      </w:r>
      <w:r>
        <w:rPr>
          <w:color w:val="000000"/>
        </w:rPr>
        <w:t xml:space="preserve">Settling </w:t>
      </w:r>
      <w:r w:rsidRPr="00A10512">
        <w:rPr>
          <w:color w:val="000000"/>
        </w:rPr>
        <w:t xml:space="preserve">Party shall represent that any of the facts, principles, methods, or theories employed by any </w:t>
      </w:r>
      <w:r>
        <w:rPr>
          <w:color w:val="000000"/>
        </w:rPr>
        <w:t xml:space="preserve">Settling </w:t>
      </w:r>
      <w:r w:rsidRPr="00A10512">
        <w:rPr>
          <w:color w:val="000000"/>
        </w:rPr>
        <w:t>Party in arriving at the terms of this Settlement are precedents in any other proceeding</w:t>
      </w:r>
      <w:r>
        <w:rPr>
          <w:color w:val="000000"/>
        </w:rPr>
        <w:t xml:space="preserve">, </w:t>
      </w:r>
      <w:r w:rsidRPr="00A10512">
        <w:rPr>
          <w:color w:val="000000"/>
        </w:rPr>
        <w:t>except to the extent expressly set forth in this Settlement.</w:t>
      </w:r>
    </w:p>
    <w:p w:rsidR="00D52A86" w:rsidRDefault="00D52A86" w:rsidP="00D52A86">
      <w:pPr>
        <w:numPr>
          <w:ilvl w:val="0"/>
          <w:numId w:val="23"/>
        </w:numPr>
        <w:autoSpaceDE w:val="0"/>
        <w:autoSpaceDN w:val="0"/>
        <w:adjustRightInd w:val="0"/>
        <w:spacing w:line="480" w:lineRule="auto"/>
        <w:rPr>
          <w:color w:val="000000"/>
        </w:rPr>
      </w:pPr>
      <w:bookmarkStart w:id="6" w:name="_DV_M35"/>
      <w:bookmarkEnd w:id="6"/>
      <w:r>
        <w:rPr>
          <w:b/>
          <w:color w:val="000000"/>
        </w:rPr>
        <w:tab/>
      </w:r>
      <w:r w:rsidRPr="00682128">
        <w:rPr>
          <w:b/>
          <w:color w:val="000000"/>
        </w:rPr>
        <w:t>Manner of execution</w:t>
      </w:r>
      <w:r>
        <w:rPr>
          <w:b/>
          <w:color w:val="000000"/>
        </w:rPr>
        <w:t>.</w:t>
      </w:r>
      <w:r>
        <w:rPr>
          <w:i/>
          <w:color w:val="000000"/>
        </w:rPr>
        <w:t xml:space="preserve">  </w:t>
      </w:r>
      <w:r>
        <w:rPr>
          <w:color w:val="000000"/>
        </w:rPr>
        <w:t>This Settlement is executed when all Settling Parties sign the Settlement.  A designated and authorized representative may sign the Settlement on a Settling Party’s behalf.  The Settling Parties may execute this Settlement in counterparts.  If the Settlement is executed in counterparts, all counterparts shall constitute one agreement.  A Settlement signed in counterpart and sent by facsimile or emailed as a pdf is as effective as an original document.  A faxed or emailed signature page containing the signature of a Settling Party is acceptable as an original signature page signed by that Settling Party.  Each Settling Party shall indicate the date of its signature on the signature page.  The date of execution of the Settlement will be the latest date indicated on the signature page(s).</w:t>
      </w:r>
    </w:p>
    <w:p w:rsidR="00D52A86" w:rsidRDefault="00D52A86" w:rsidP="00D52A86">
      <w:pPr>
        <w:widowControl w:val="0"/>
        <w:numPr>
          <w:ilvl w:val="0"/>
          <w:numId w:val="23"/>
        </w:numPr>
        <w:autoSpaceDE w:val="0"/>
        <w:autoSpaceDN w:val="0"/>
        <w:adjustRightInd w:val="0"/>
        <w:spacing w:line="480" w:lineRule="auto"/>
        <w:rPr>
          <w:color w:val="000000"/>
        </w:rPr>
      </w:pPr>
      <w:bookmarkStart w:id="7" w:name="_DV_M36"/>
      <w:bookmarkEnd w:id="7"/>
      <w:r>
        <w:rPr>
          <w:b/>
          <w:color w:val="000000"/>
        </w:rPr>
        <w:tab/>
      </w:r>
      <w:r w:rsidRPr="00682128">
        <w:rPr>
          <w:b/>
          <w:color w:val="000000"/>
        </w:rPr>
        <w:t>Approval process</w:t>
      </w:r>
      <w:r>
        <w:rPr>
          <w:b/>
          <w:color w:val="000000"/>
        </w:rPr>
        <w:t>.</w:t>
      </w:r>
      <w:r>
        <w:rPr>
          <w:i/>
          <w:color w:val="000000"/>
        </w:rPr>
        <w:t xml:space="preserve">  </w:t>
      </w:r>
      <w:r>
        <w:rPr>
          <w:color w:val="000000"/>
        </w:rPr>
        <w:t xml:space="preserve">Each Settling Party agrees to support the terms and conditions of this Settlement as a settlement of all contested issues between them in the above-captioned consolidated proceedings.  Each Settling Party agrees to support the Settlement during the course of whatever procedures the Commission determines are appropriate.  </w:t>
      </w:r>
    </w:p>
    <w:p w:rsidR="00D52A86" w:rsidRPr="000F09C2" w:rsidRDefault="00D52A86" w:rsidP="00D52A86">
      <w:pPr>
        <w:widowControl w:val="0"/>
        <w:numPr>
          <w:ilvl w:val="0"/>
          <w:numId w:val="23"/>
        </w:numPr>
        <w:autoSpaceDE w:val="0"/>
        <w:autoSpaceDN w:val="0"/>
        <w:adjustRightInd w:val="0"/>
        <w:spacing w:line="480" w:lineRule="auto"/>
      </w:pPr>
      <w:bookmarkStart w:id="8" w:name="_DV_M37"/>
      <w:bookmarkEnd w:id="8"/>
      <w:r>
        <w:rPr>
          <w:b/>
          <w:color w:val="000000"/>
        </w:rPr>
        <w:tab/>
      </w:r>
      <w:r w:rsidRPr="00682128">
        <w:rPr>
          <w:b/>
          <w:color w:val="000000"/>
        </w:rPr>
        <w:t xml:space="preserve">Commission approval with </w:t>
      </w:r>
      <w:r>
        <w:rPr>
          <w:b/>
          <w:color w:val="000000"/>
        </w:rPr>
        <w:t>conditions.</w:t>
      </w:r>
      <w:r w:rsidRPr="00682128">
        <w:rPr>
          <w:i/>
          <w:color w:val="000000"/>
        </w:rPr>
        <w:t xml:space="preserve">  </w:t>
      </w:r>
      <w:r w:rsidRPr="00682128">
        <w:rPr>
          <w:color w:val="000000"/>
        </w:rPr>
        <w:t xml:space="preserve">In the event the Commission approves this Settlement, but with </w:t>
      </w:r>
      <w:r>
        <w:rPr>
          <w:color w:val="000000"/>
        </w:rPr>
        <w:t>conditions</w:t>
      </w:r>
      <w:r w:rsidRPr="00682128">
        <w:rPr>
          <w:color w:val="000000"/>
        </w:rPr>
        <w:t xml:space="preserve">, the </w:t>
      </w:r>
      <w:r>
        <w:rPr>
          <w:color w:val="000000"/>
        </w:rPr>
        <w:t xml:space="preserve">Settling </w:t>
      </w:r>
      <w:r w:rsidRPr="00682128">
        <w:rPr>
          <w:color w:val="000000"/>
        </w:rPr>
        <w:t xml:space="preserve">Parties will have </w:t>
      </w:r>
      <w:r>
        <w:rPr>
          <w:color w:val="000000"/>
        </w:rPr>
        <w:t>ten</w:t>
      </w:r>
      <w:r w:rsidRPr="00682128">
        <w:rPr>
          <w:color w:val="000000"/>
        </w:rPr>
        <w:t xml:space="preserve"> business days to file a letter with the Commission accepting or rejecting each such </w:t>
      </w:r>
      <w:r>
        <w:rPr>
          <w:color w:val="000000"/>
        </w:rPr>
        <w:t>condition</w:t>
      </w:r>
      <w:r w:rsidRPr="00682128">
        <w:rPr>
          <w:color w:val="000000"/>
        </w:rPr>
        <w:t xml:space="preserve">.  If, in such a timely filed letter, a </w:t>
      </w:r>
      <w:r>
        <w:rPr>
          <w:color w:val="000000"/>
        </w:rPr>
        <w:t xml:space="preserve">Settling </w:t>
      </w:r>
      <w:r w:rsidRPr="00682128">
        <w:rPr>
          <w:color w:val="000000"/>
        </w:rPr>
        <w:t xml:space="preserve">Party rejects a </w:t>
      </w:r>
      <w:r>
        <w:rPr>
          <w:color w:val="000000"/>
        </w:rPr>
        <w:t>condition</w:t>
      </w:r>
      <w:r w:rsidRPr="00682128">
        <w:rPr>
          <w:color w:val="000000"/>
        </w:rPr>
        <w:t xml:space="preserve">, this Settlement is void and the </w:t>
      </w:r>
      <w:r>
        <w:rPr>
          <w:color w:val="000000"/>
        </w:rPr>
        <w:t xml:space="preserve">Settling </w:t>
      </w:r>
      <w:r w:rsidRPr="00682128">
        <w:rPr>
          <w:color w:val="000000"/>
        </w:rPr>
        <w:t>Parties will jointly and promptly request the Commission convene a prehearing conference to address procedural matters, including a procedural schedule for completion of the case.</w:t>
      </w:r>
      <w:bookmarkStart w:id="9" w:name="_DV_M38"/>
      <w:bookmarkEnd w:id="9"/>
    </w:p>
    <w:p w:rsidR="00D52A86" w:rsidRPr="00682128" w:rsidRDefault="00D52A86" w:rsidP="00D52A86">
      <w:pPr>
        <w:widowControl w:val="0"/>
        <w:numPr>
          <w:ilvl w:val="0"/>
          <w:numId w:val="23"/>
        </w:numPr>
        <w:autoSpaceDE w:val="0"/>
        <w:autoSpaceDN w:val="0"/>
        <w:adjustRightInd w:val="0"/>
        <w:spacing w:line="480" w:lineRule="auto"/>
      </w:pPr>
      <w:r>
        <w:rPr>
          <w:b/>
          <w:color w:val="000000"/>
        </w:rPr>
        <w:tab/>
      </w:r>
      <w:r w:rsidRPr="003E35A5">
        <w:rPr>
          <w:b/>
          <w:color w:val="000000"/>
        </w:rPr>
        <w:t>Publicity.</w:t>
      </w:r>
      <w:r w:rsidRPr="003E35A5">
        <w:rPr>
          <w:i/>
          <w:color w:val="000000"/>
        </w:rPr>
        <w:t xml:space="preserve">  </w:t>
      </w:r>
      <w:r w:rsidRPr="003E35A5">
        <w:rPr>
          <w:color w:val="000000"/>
        </w:rPr>
        <w:t xml:space="preserve">Each </w:t>
      </w:r>
      <w:r>
        <w:rPr>
          <w:color w:val="000000"/>
        </w:rPr>
        <w:t xml:space="preserve">Settling </w:t>
      </w:r>
      <w:r w:rsidRPr="003E35A5">
        <w:rPr>
          <w:color w:val="000000"/>
        </w:rPr>
        <w:t xml:space="preserve">Party has the right to review in advance of publication each announcement or news release another </w:t>
      </w:r>
      <w:r>
        <w:rPr>
          <w:color w:val="000000"/>
        </w:rPr>
        <w:t xml:space="preserve">Settling </w:t>
      </w:r>
      <w:r w:rsidRPr="003E35A5">
        <w:rPr>
          <w:color w:val="000000"/>
        </w:rPr>
        <w:t xml:space="preserve">Party intends to issue about this Settlement.  This right of advance review includes a reasonable opportunity for the non-issuing </w:t>
      </w:r>
      <w:r>
        <w:rPr>
          <w:color w:val="000000"/>
        </w:rPr>
        <w:t xml:space="preserve">Settling </w:t>
      </w:r>
      <w:r w:rsidRPr="003E35A5">
        <w:rPr>
          <w:color w:val="000000"/>
        </w:rPr>
        <w:t xml:space="preserve">Party to request changes to such an announcement.  While the issuing </w:t>
      </w:r>
      <w:r>
        <w:rPr>
          <w:color w:val="000000"/>
        </w:rPr>
        <w:t xml:space="preserve">Settling </w:t>
      </w:r>
      <w:r w:rsidRPr="003E35A5">
        <w:rPr>
          <w:color w:val="000000"/>
        </w:rPr>
        <w:t xml:space="preserve">Party is not required to make any such requested change, the </w:t>
      </w:r>
      <w:r>
        <w:rPr>
          <w:color w:val="000000"/>
        </w:rPr>
        <w:t xml:space="preserve">Settling </w:t>
      </w:r>
      <w:r w:rsidRPr="003E35A5">
        <w:rPr>
          <w:color w:val="000000"/>
        </w:rPr>
        <w:t xml:space="preserve">Parties agree that if a news release or announcement issued by a </w:t>
      </w:r>
      <w:r>
        <w:rPr>
          <w:color w:val="000000"/>
        </w:rPr>
        <w:t xml:space="preserve">Settling </w:t>
      </w:r>
      <w:r w:rsidRPr="003E35A5">
        <w:rPr>
          <w:color w:val="000000"/>
        </w:rPr>
        <w:t>Party refers to Commission Staff, it shall include a statement that Commission Staff’s recommendation to approve this Settlement is not binding on the Commission</w:t>
      </w:r>
      <w:r>
        <w:rPr>
          <w:color w:val="000000"/>
        </w:rPr>
        <w:t>.</w:t>
      </w:r>
    </w:p>
    <w:p w:rsidR="00D52A86" w:rsidRPr="003E35A5" w:rsidRDefault="00D52A86" w:rsidP="00567550">
      <w:pPr>
        <w:widowControl w:val="0"/>
        <w:autoSpaceDE w:val="0"/>
        <w:autoSpaceDN w:val="0"/>
        <w:adjustRightInd w:val="0"/>
        <w:spacing w:line="480" w:lineRule="auto"/>
        <w:ind w:firstLine="720"/>
      </w:pPr>
      <w:r w:rsidRPr="003E35A5">
        <w:t xml:space="preserve">Dated this </w:t>
      </w:r>
      <w:r w:rsidR="00942B97">
        <w:t>__</w:t>
      </w:r>
      <w:r w:rsidR="008F3A7C">
        <w:t>_</w:t>
      </w:r>
      <w:r w:rsidR="00E01591">
        <w:t xml:space="preserve"> </w:t>
      </w:r>
      <w:r w:rsidRPr="003E35A5">
        <w:t xml:space="preserve">day of </w:t>
      </w:r>
      <w:r w:rsidR="009C255E">
        <w:t>Ma</w:t>
      </w:r>
      <w:r w:rsidR="00942B97">
        <w:t>y</w:t>
      </w:r>
      <w:r>
        <w:t xml:space="preserve">, </w:t>
      </w:r>
      <w:r w:rsidRPr="003E35A5">
        <w:t>201</w:t>
      </w:r>
      <w:r w:rsidR="00942B97">
        <w:t>6</w:t>
      </w:r>
      <w:r>
        <w:t>.</w:t>
      </w:r>
      <w:r w:rsidRPr="003E35A5">
        <w:t xml:space="preserve">  </w:t>
      </w:r>
    </w:p>
    <w:tbl>
      <w:tblPr>
        <w:tblW w:w="0" w:type="auto"/>
        <w:tblLook w:val="01E0" w:firstRow="1" w:lastRow="1" w:firstColumn="1" w:lastColumn="1" w:noHBand="0" w:noVBand="0"/>
      </w:tblPr>
      <w:tblGrid>
        <w:gridCol w:w="4572"/>
        <w:gridCol w:w="4572"/>
      </w:tblGrid>
      <w:tr w:rsidR="00D52A86" w:rsidRPr="00B253BF" w:rsidTr="004A2B79">
        <w:tc>
          <w:tcPr>
            <w:tcW w:w="4572" w:type="dxa"/>
            <w:shd w:val="clear" w:color="auto" w:fill="auto"/>
          </w:tcPr>
          <w:p w:rsidR="00D52A86" w:rsidRPr="00CE5262" w:rsidRDefault="00D52A86" w:rsidP="004A2B79">
            <w:pPr>
              <w:rPr>
                <w:b/>
              </w:rPr>
            </w:pPr>
            <w:r w:rsidRPr="00CE5262">
              <w:rPr>
                <w:b/>
              </w:rPr>
              <w:t xml:space="preserve">ROBERT W. FERGUSON </w:t>
            </w:r>
          </w:p>
          <w:p w:rsidR="00D52A86" w:rsidRPr="00B253BF" w:rsidRDefault="00D52A86" w:rsidP="00567550">
            <w:pPr>
              <w:tabs>
                <w:tab w:val="left" w:pos="3960"/>
              </w:tabs>
            </w:pPr>
            <w:r w:rsidRPr="00CE5262">
              <w:rPr>
                <w:b/>
              </w:rPr>
              <w:t>Attorney General</w:t>
            </w:r>
            <w:r w:rsidR="00567550">
              <w:rPr>
                <w:b/>
              </w:rPr>
              <w:br/>
            </w:r>
            <w:r w:rsidR="00567550">
              <w:rPr>
                <w:b/>
              </w:rPr>
              <w:br/>
            </w:r>
            <w:r w:rsidR="00567550">
              <w:rPr>
                <w:b/>
              </w:rPr>
              <w:br/>
            </w:r>
            <w:r w:rsidR="00567550">
              <w:rPr>
                <w:b/>
              </w:rPr>
              <w:br/>
            </w:r>
            <w:r w:rsidR="00567550" w:rsidRPr="00567550">
              <w:rPr>
                <w:u w:val="single"/>
              </w:rPr>
              <w:tab/>
            </w:r>
          </w:p>
          <w:p w:rsidR="00D52A86" w:rsidRPr="00B253BF" w:rsidRDefault="0036190A" w:rsidP="004A2B79">
            <w:r>
              <w:t xml:space="preserve">Andrew </w:t>
            </w:r>
            <w:r w:rsidR="003713C4">
              <w:t xml:space="preserve">J. </w:t>
            </w:r>
            <w:r>
              <w:t>O’Connell</w:t>
            </w:r>
          </w:p>
          <w:p w:rsidR="00D52A86" w:rsidRPr="00B253BF" w:rsidRDefault="0036190A" w:rsidP="004A2B79">
            <w:r>
              <w:t>Assistant Attorney General</w:t>
            </w:r>
          </w:p>
          <w:p w:rsidR="00D52A86" w:rsidRPr="00B253BF" w:rsidRDefault="00D52A86" w:rsidP="004A2B79">
            <w:r>
              <w:t>Counsel for Commission Staff</w:t>
            </w:r>
          </w:p>
          <w:p w:rsidR="00D52A86" w:rsidRPr="00B253BF" w:rsidRDefault="00D52A86" w:rsidP="004A2B79"/>
        </w:tc>
        <w:tc>
          <w:tcPr>
            <w:tcW w:w="4572" w:type="dxa"/>
            <w:shd w:val="clear" w:color="auto" w:fill="auto"/>
          </w:tcPr>
          <w:p w:rsidR="00D52A86" w:rsidRPr="00B253BF" w:rsidRDefault="00D52A86" w:rsidP="00567550">
            <w:pPr>
              <w:tabs>
                <w:tab w:val="left" w:pos="4058"/>
              </w:tabs>
            </w:pPr>
            <w:r w:rsidRPr="00CE5262">
              <w:rPr>
                <w:b/>
              </w:rPr>
              <w:t>PUGET SOUND ENERGY</w:t>
            </w:r>
            <w:r w:rsidR="00567550">
              <w:rPr>
                <w:b/>
              </w:rPr>
              <w:br/>
            </w:r>
            <w:r w:rsidR="00567550">
              <w:rPr>
                <w:b/>
              </w:rPr>
              <w:br/>
            </w:r>
            <w:r w:rsidR="00567550">
              <w:rPr>
                <w:b/>
              </w:rPr>
              <w:br/>
            </w:r>
            <w:r w:rsidR="00567550">
              <w:rPr>
                <w:b/>
              </w:rPr>
              <w:br/>
            </w:r>
            <w:r w:rsidR="00567550">
              <w:rPr>
                <w:b/>
              </w:rPr>
              <w:br/>
            </w:r>
            <w:r w:rsidR="00567550" w:rsidRPr="00567550">
              <w:rPr>
                <w:u w:val="single"/>
              </w:rPr>
              <w:tab/>
            </w:r>
          </w:p>
          <w:p w:rsidR="00D52A86" w:rsidRPr="00B253BF" w:rsidRDefault="00D52A86" w:rsidP="004A2B79">
            <w:r>
              <w:t>Ken Johnson</w:t>
            </w:r>
          </w:p>
          <w:p w:rsidR="00D52A86" w:rsidRPr="00B253BF" w:rsidRDefault="00D52A86" w:rsidP="004A2B79">
            <w:r w:rsidRPr="00B253BF">
              <w:t xml:space="preserve">Director, State Regulatory Affairs </w:t>
            </w:r>
          </w:p>
          <w:p w:rsidR="00D52A86" w:rsidRPr="00B253BF" w:rsidRDefault="00D52A86" w:rsidP="004A2B79"/>
        </w:tc>
      </w:tr>
    </w:tbl>
    <w:p w:rsidR="0059602D" w:rsidRDefault="0059602D" w:rsidP="00D240FB">
      <w:pPr>
        <w:sectPr w:rsidR="0059602D">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sectPr>
      </w:pPr>
      <w:bookmarkStart w:id="10" w:name="First_Paragraph"/>
      <w:bookmarkEnd w:id="10"/>
    </w:p>
    <w:p w:rsidR="00924051" w:rsidRDefault="00924051" w:rsidP="00D240FB"/>
    <w:p w:rsidR="00073AE3" w:rsidRDefault="00073AE3" w:rsidP="00D240FB"/>
    <w:p w:rsidR="00073AE3" w:rsidRDefault="00073AE3" w:rsidP="00D240FB"/>
    <w:p w:rsidR="00073AE3" w:rsidRDefault="00073AE3" w:rsidP="00D240FB"/>
    <w:p w:rsidR="00073AE3" w:rsidRDefault="00073AE3" w:rsidP="00D240FB"/>
    <w:p w:rsidR="00073AE3" w:rsidRDefault="00073AE3" w:rsidP="00D240FB"/>
    <w:p w:rsidR="00073AE3" w:rsidRDefault="00073AE3" w:rsidP="00D240FB"/>
    <w:p w:rsidR="00073AE3" w:rsidRDefault="00073AE3" w:rsidP="00D240FB"/>
    <w:p w:rsidR="00073AE3" w:rsidRDefault="00073AE3" w:rsidP="00D240FB"/>
    <w:p w:rsidR="00073AE3" w:rsidRDefault="00073AE3" w:rsidP="00073AE3">
      <w:pPr>
        <w:spacing w:line="720" w:lineRule="auto"/>
      </w:pPr>
    </w:p>
    <w:p w:rsidR="00073AE3" w:rsidRDefault="00073AE3" w:rsidP="00073AE3">
      <w:pPr>
        <w:spacing w:line="720" w:lineRule="auto"/>
      </w:pPr>
    </w:p>
    <w:p w:rsidR="00073AE3" w:rsidRPr="00073AE3" w:rsidRDefault="00073AE3" w:rsidP="00073AE3">
      <w:pPr>
        <w:spacing w:line="720" w:lineRule="auto"/>
        <w:jc w:val="center"/>
        <w:rPr>
          <w:b/>
          <w:sz w:val="48"/>
          <w:szCs w:val="48"/>
        </w:rPr>
      </w:pPr>
      <w:r w:rsidRPr="00073AE3">
        <w:rPr>
          <w:b/>
          <w:sz w:val="48"/>
          <w:szCs w:val="48"/>
        </w:rPr>
        <w:t>ATTACHMENT A</w:t>
      </w:r>
    </w:p>
    <w:sectPr w:rsidR="00073AE3" w:rsidRPr="00073AE3">
      <w:footerReference w:type="default" r:id="rId19"/>
      <w:pgSz w:w="12240" w:h="15840" w:code="1"/>
      <w:pgMar w:top="1440" w:right="1440" w:bottom="1440"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762C3E" w15:done="0"/>
  <w15:commentEx w15:paraId="528C400E" w15:done="0"/>
  <w15:commentEx w15:paraId="04295D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497" w:rsidRDefault="00220497">
      <w:pPr>
        <w:spacing w:line="240" w:lineRule="auto"/>
      </w:pPr>
      <w:r>
        <w:separator/>
      </w:r>
    </w:p>
  </w:endnote>
  <w:endnote w:type="continuationSeparator" w:id="0">
    <w:p w:rsidR="00220497" w:rsidRDefault="00220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51" w:rsidRDefault="008C6A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0808" w:type="dxa"/>
      <w:tblInd w:w="108" w:type="dxa"/>
      <w:tblLayout w:type="fixed"/>
      <w:tblLook w:val="0000" w:firstRow="0" w:lastRow="0" w:firstColumn="0" w:lastColumn="0" w:noHBand="0" w:noVBand="0"/>
    </w:tblPr>
    <w:tblGrid>
      <w:gridCol w:w="3780"/>
      <w:gridCol w:w="1740"/>
      <w:gridCol w:w="5820"/>
      <w:gridCol w:w="3780"/>
      <w:gridCol w:w="2160"/>
      <w:gridCol w:w="3528"/>
    </w:tblGrid>
    <w:tr w:rsidR="001530CD" w:rsidTr="001530CD">
      <w:tc>
        <w:tcPr>
          <w:tcW w:w="3780" w:type="dxa"/>
        </w:tcPr>
        <w:p w:rsidR="009C0B1F" w:rsidRDefault="00D52A86" w:rsidP="0059602D">
          <w:pPr>
            <w:pStyle w:val="Footer"/>
            <w:spacing w:before="240"/>
            <w:rPr>
              <w:caps/>
            </w:rPr>
          </w:pPr>
          <w:r>
            <w:rPr>
              <w:caps/>
            </w:rPr>
            <w:t>SETTLEMENT STIPULATION</w:t>
          </w:r>
          <w:r w:rsidR="00750132">
            <w:rPr>
              <w:caps/>
            </w:rPr>
            <w:t xml:space="preserve">  ADDRESSING PSE’S SAIDI MECHANISM: </w:t>
          </w:r>
          <w:r w:rsidR="009C0B1F">
            <w:rPr>
              <w:caps/>
            </w:rPr>
            <w:t>Dockets UE-</w:t>
          </w:r>
          <w:r w:rsidR="00750132">
            <w:rPr>
              <w:caps/>
            </w:rPr>
            <w:t>072300 AND UG-072301</w:t>
          </w:r>
        </w:p>
        <w:p w:rsidR="00924051" w:rsidRPr="001530CD" w:rsidRDefault="0059602D" w:rsidP="0059602D">
          <w:pPr>
            <w:pStyle w:val="Footer"/>
            <w:spacing w:line="200" w:lineRule="exact"/>
            <w:rPr>
              <w:caps/>
            </w:rPr>
          </w:pPr>
          <w:r w:rsidRPr="0059602D">
            <w:rPr>
              <w:rStyle w:val="zzmpTrailerItem"/>
            </w:rPr>
            <w:t>42531-0001/131257544.1</w:t>
          </w:r>
          <w:r w:rsidRPr="0059602D">
            <w:t xml:space="preserve"> </w:t>
          </w:r>
        </w:p>
      </w:tc>
      <w:tc>
        <w:tcPr>
          <w:tcW w:w="1740" w:type="dxa"/>
        </w:tcPr>
        <w:p w:rsidR="001530CD" w:rsidRPr="001530CD" w:rsidRDefault="001530CD" w:rsidP="0059602D">
          <w:pPr>
            <w:pStyle w:val="Footer"/>
            <w:spacing w:before="240"/>
            <w:ind w:left="612"/>
          </w:pPr>
          <w:r w:rsidRPr="001530CD">
            <w:rPr>
              <w:rStyle w:val="PageNumber"/>
            </w:rPr>
            <w:fldChar w:fldCharType="begin"/>
          </w:r>
          <w:r w:rsidRPr="001530CD">
            <w:rPr>
              <w:rStyle w:val="PageNumber"/>
            </w:rPr>
            <w:instrText xml:space="preserve"> PAGE </w:instrText>
          </w:r>
          <w:r w:rsidRPr="001530CD">
            <w:rPr>
              <w:rStyle w:val="PageNumber"/>
            </w:rPr>
            <w:fldChar w:fldCharType="separate"/>
          </w:r>
          <w:r w:rsidR="008C6A51">
            <w:rPr>
              <w:rStyle w:val="PageNumber"/>
              <w:noProof/>
            </w:rPr>
            <w:t>1</w:t>
          </w:r>
          <w:r w:rsidRPr="001530CD">
            <w:rPr>
              <w:rStyle w:val="PageNumber"/>
            </w:rPr>
            <w:fldChar w:fldCharType="end"/>
          </w:r>
        </w:p>
      </w:tc>
      <w:tc>
        <w:tcPr>
          <w:tcW w:w="5820" w:type="dxa"/>
        </w:tcPr>
        <w:p w:rsidR="001530CD" w:rsidRPr="001530CD" w:rsidRDefault="001530CD" w:rsidP="00155701">
          <w:pPr>
            <w:pStyle w:val="Footer"/>
            <w:jc w:val="center"/>
          </w:pPr>
        </w:p>
      </w:tc>
      <w:tc>
        <w:tcPr>
          <w:tcW w:w="3780" w:type="dxa"/>
        </w:tcPr>
        <w:p w:rsidR="001530CD" w:rsidRDefault="001530CD">
          <w:pPr>
            <w:pStyle w:val="Footer"/>
            <w:rPr>
              <w:caps/>
            </w:rPr>
          </w:pPr>
        </w:p>
      </w:tc>
      <w:tc>
        <w:tcPr>
          <w:tcW w:w="2160" w:type="dxa"/>
        </w:tcPr>
        <w:p w:rsidR="001530CD" w:rsidRDefault="001530CD">
          <w:pPr>
            <w:pStyle w:val="Footer"/>
            <w:ind w:left="612"/>
          </w:pPr>
          <w:r>
            <w:fldChar w:fldCharType="begin"/>
          </w:r>
          <w:r>
            <w:instrText xml:space="preserve"> PAGE  \* MERGEFORMAT </w:instrText>
          </w:r>
          <w:r>
            <w:fldChar w:fldCharType="separate"/>
          </w:r>
          <w:r w:rsidR="008C6A51">
            <w:rPr>
              <w:noProof/>
            </w:rPr>
            <w:t>1</w:t>
          </w:r>
          <w:r>
            <w:fldChar w:fldCharType="end"/>
          </w:r>
        </w:p>
      </w:tc>
      <w:tc>
        <w:tcPr>
          <w:tcW w:w="3528" w:type="dxa"/>
        </w:tcPr>
        <w:p w:rsidR="001530CD" w:rsidRDefault="001530CD">
          <w:pPr>
            <w:pStyle w:val="Footer"/>
            <w:jc w:val="center"/>
            <w:rPr>
              <w:sz w:val="15"/>
            </w:rPr>
          </w:pPr>
        </w:p>
      </w:tc>
    </w:tr>
  </w:tbl>
  <w:p w:rsidR="00155701" w:rsidRDefault="001557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51" w:rsidRDefault="008C6A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0808" w:type="dxa"/>
      <w:tblInd w:w="108" w:type="dxa"/>
      <w:tblLayout w:type="fixed"/>
      <w:tblLook w:val="0000" w:firstRow="0" w:lastRow="0" w:firstColumn="0" w:lastColumn="0" w:noHBand="0" w:noVBand="0"/>
    </w:tblPr>
    <w:tblGrid>
      <w:gridCol w:w="3780"/>
      <w:gridCol w:w="1740"/>
      <w:gridCol w:w="5820"/>
      <w:gridCol w:w="3780"/>
      <w:gridCol w:w="2160"/>
      <w:gridCol w:w="3528"/>
    </w:tblGrid>
    <w:tr w:rsidR="0059602D" w:rsidTr="001530CD">
      <w:tc>
        <w:tcPr>
          <w:tcW w:w="3780" w:type="dxa"/>
        </w:tcPr>
        <w:p w:rsidR="0059602D" w:rsidRDefault="0059602D" w:rsidP="0059602D">
          <w:pPr>
            <w:pStyle w:val="Footer"/>
            <w:spacing w:before="240"/>
            <w:rPr>
              <w:caps/>
            </w:rPr>
          </w:pPr>
          <w:r>
            <w:rPr>
              <w:caps/>
            </w:rPr>
            <w:t>SETTLEMENT STIPULATION  ADDRESSING PSE’S SAIDI MECHANISM: Dockets UE-072300 AND UG-072301</w:t>
          </w:r>
        </w:p>
        <w:p w:rsidR="0059602D" w:rsidRPr="001530CD" w:rsidRDefault="0059602D" w:rsidP="0059602D">
          <w:pPr>
            <w:pStyle w:val="Footer"/>
            <w:spacing w:line="200" w:lineRule="exact"/>
            <w:rPr>
              <w:caps/>
            </w:rPr>
          </w:pPr>
          <w:r w:rsidRPr="0059602D">
            <w:rPr>
              <w:rStyle w:val="zzmpTrailerItem"/>
            </w:rPr>
            <w:t>42531-0001/131257544.1</w:t>
          </w:r>
          <w:r w:rsidRPr="0059602D">
            <w:t xml:space="preserve"> </w:t>
          </w:r>
        </w:p>
      </w:tc>
      <w:tc>
        <w:tcPr>
          <w:tcW w:w="1740" w:type="dxa"/>
        </w:tcPr>
        <w:p w:rsidR="0059602D" w:rsidRPr="001530CD" w:rsidRDefault="0059602D" w:rsidP="0059602D">
          <w:pPr>
            <w:pStyle w:val="Footer"/>
            <w:spacing w:before="240"/>
            <w:ind w:left="612"/>
          </w:pPr>
        </w:p>
      </w:tc>
      <w:tc>
        <w:tcPr>
          <w:tcW w:w="5820" w:type="dxa"/>
        </w:tcPr>
        <w:p w:rsidR="0059602D" w:rsidRPr="001530CD" w:rsidRDefault="0059602D" w:rsidP="00155701">
          <w:pPr>
            <w:pStyle w:val="Footer"/>
            <w:jc w:val="center"/>
          </w:pPr>
        </w:p>
      </w:tc>
      <w:tc>
        <w:tcPr>
          <w:tcW w:w="3780" w:type="dxa"/>
        </w:tcPr>
        <w:p w:rsidR="0059602D" w:rsidRDefault="0059602D">
          <w:pPr>
            <w:pStyle w:val="Footer"/>
            <w:rPr>
              <w:caps/>
            </w:rPr>
          </w:pPr>
        </w:p>
      </w:tc>
      <w:tc>
        <w:tcPr>
          <w:tcW w:w="2160" w:type="dxa"/>
        </w:tcPr>
        <w:p w:rsidR="0059602D" w:rsidRDefault="0059602D">
          <w:pPr>
            <w:pStyle w:val="Footer"/>
            <w:ind w:left="612"/>
          </w:pPr>
          <w:r>
            <w:fldChar w:fldCharType="begin"/>
          </w:r>
          <w:r>
            <w:instrText xml:space="preserve"> PAGE  \* MERGEFORMAT </w:instrText>
          </w:r>
          <w:r>
            <w:fldChar w:fldCharType="separate"/>
          </w:r>
          <w:r w:rsidR="00A111B4">
            <w:rPr>
              <w:noProof/>
            </w:rPr>
            <w:t>8</w:t>
          </w:r>
          <w:r>
            <w:fldChar w:fldCharType="end"/>
          </w:r>
        </w:p>
      </w:tc>
      <w:tc>
        <w:tcPr>
          <w:tcW w:w="3528" w:type="dxa"/>
        </w:tcPr>
        <w:p w:rsidR="0059602D" w:rsidRDefault="0059602D">
          <w:pPr>
            <w:pStyle w:val="Footer"/>
            <w:jc w:val="center"/>
            <w:rPr>
              <w:sz w:val="15"/>
            </w:rPr>
          </w:pPr>
        </w:p>
      </w:tc>
    </w:tr>
  </w:tbl>
  <w:p w:rsidR="0059602D" w:rsidRDefault="00596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497" w:rsidRDefault="00220497">
      <w:pPr>
        <w:spacing w:line="240" w:lineRule="auto"/>
      </w:pPr>
      <w:r>
        <w:separator/>
      </w:r>
    </w:p>
  </w:footnote>
  <w:footnote w:type="continuationSeparator" w:id="0">
    <w:p w:rsidR="00220497" w:rsidRDefault="00220497">
      <w:pPr>
        <w:ind w:right="5760"/>
      </w:pPr>
      <w:r>
        <w:continuationSeparator/>
      </w:r>
    </w:p>
  </w:footnote>
  <w:footnote w:id="1">
    <w:p w:rsidR="002B33FC" w:rsidRPr="002B33FC" w:rsidRDefault="002B33FC" w:rsidP="002B33FC">
      <w:pPr>
        <w:pStyle w:val="FootnoteText"/>
        <w:ind w:firstLine="0"/>
      </w:pPr>
      <w:r>
        <w:rPr>
          <w:rStyle w:val="FootnoteReference"/>
        </w:rPr>
        <w:footnoteRef/>
      </w:r>
      <w:r>
        <w:t xml:space="preserve"> A Major Event Day is a day in which the daily system SAIDI exceeds a threshold value, T</w:t>
      </w:r>
      <w:r w:rsidRPr="002B33FC">
        <w:rPr>
          <w:vertAlign w:val="subscript"/>
        </w:rPr>
        <w:t>MED</w:t>
      </w:r>
      <w:r>
        <w:t>. The T</w:t>
      </w:r>
      <w:r w:rsidRPr="002B33FC">
        <w:rPr>
          <w:vertAlign w:val="subscript"/>
        </w:rPr>
        <w:t>MED</w:t>
      </w:r>
      <w:r>
        <w:t xml:space="preserve"> value is calculated at the end of each reporting year for use during the next reporting year. It is determined by reviewing the past five years of daily system SAIDI, and using the IEEE Std 1366 2.5 Beta methodology in calculating the threshold value. Page 10 of IEEE Std 1366 has the specific methodology and formulas. Any days having a daily system SAIDI greater than T</w:t>
      </w:r>
      <w:r w:rsidRPr="002B33FC">
        <w:rPr>
          <w:vertAlign w:val="subscript"/>
        </w:rPr>
        <w:t>MED</w:t>
      </w:r>
      <w:r>
        <w:t xml:space="preserve"> are days on which the electric distribution system experienced stresses beyond those normally expected, </w:t>
      </w:r>
      <w:r>
        <w:rPr>
          <w:i/>
        </w:rPr>
        <w:t>i.e.</w:t>
      </w:r>
      <w:r>
        <w:t>, IEEE Std 1366 Major Event Days.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51" w:rsidRDefault="008C6A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51" w:rsidRDefault="008C6A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51" w:rsidRDefault="008C6A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04490DAE"/>
    <w:multiLevelType w:val="hybridMultilevel"/>
    <w:tmpl w:val="83829058"/>
    <w:lvl w:ilvl="0" w:tplc="2DD6D96C">
      <w:start w:val="1"/>
      <w:numFmt w:val="decimal"/>
      <w:lvlText w:val="%1."/>
      <w:lvlJc w:val="left"/>
      <w:pPr>
        <w:ind w:left="1080" w:hanging="216"/>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3F7E23"/>
    <w:multiLevelType w:val="hybridMultilevel"/>
    <w:tmpl w:val="ED545E3C"/>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D450C6"/>
    <w:multiLevelType w:val="hybridMultilevel"/>
    <w:tmpl w:val="0EBECAB0"/>
    <w:lvl w:ilvl="0" w:tplc="3FD2AFD4">
      <w:start w:val="1"/>
      <w:numFmt w:val="decimal"/>
      <w:lvlText w:val="%1"/>
      <w:lvlJc w:val="left"/>
      <w:pPr>
        <w:ind w:hanging="720"/>
      </w:pPr>
      <w:rPr>
        <w:rFonts w:ascii="Times New Roman" w:hAnsi="Times New Roman" w:cs="Times New Roman" w:hint="default"/>
        <w:b w:val="0"/>
        <w:i/>
        <w:sz w:val="24"/>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195C0A8D"/>
    <w:multiLevelType w:val="hybridMultilevel"/>
    <w:tmpl w:val="D618D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74E4D"/>
    <w:multiLevelType w:val="hybridMultilevel"/>
    <w:tmpl w:val="501C9C7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0C03BD3"/>
    <w:multiLevelType w:val="hybridMultilevel"/>
    <w:tmpl w:val="CCC4F6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D06D67"/>
    <w:multiLevelType w:val="hybridMultilevel"/>
    <w:tmpl w:val="CEB8F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B940CDB"/>
    <w:multiLevelType w:val="hybridMultilevel"/>
    <w:tmpl w:val="798A0B72"/>
    <w:lvl w:ilvl="0" w:tplc="0409000F">
      <w:start w:val="1"/>
      <w:numFmt w:val="decimal"/>
      <w:lvlText w:val="%1."/>
      <w:lvlJc w:val="left"/>
      <w:pPr>
        <w:tabs>
          <w:tab w:val="num" w:pos="720"/>
        </w:tabs>
        <w:ind w:left="720" w:hanging="360"/>
      </w:pPr>
      <w:rPr>
        <w:rFonts w:hint="default"/>
      </w:rPr>
    </w:lvl>
    <w:lvl w:ilvl="1" w:tplc="16FE713A">
      <w:start w:val="1"/>
      <w:numFmt w:val="bullet"/>
      <w:lvlText w:val=""/>
      <w:lvlJc w:val="left"/>
      <w:pPr>
        <w:tabs>
          <w:tab w:val="num" w:pos="1440"/>
        </w:tabs>
        <w:ind w:left="1440" w:hanging="360"/>
      </w:pPr>
      <w:rPr>
        <w:rFonts w:ascii="Wingdings" w:hAnsi="Wingdings" w:hint="default"/>
      </w:rPr>
    </w:lvl>
    <w:lvl w:ilvl="2" w:tplc="2EE461F0" w:tentative="1">
      <w:start w:val="1"/>
      <w:numFmt w:val="bullet"/>
      <w:lvlText w:val=""/>
      <w:lvlJc w:val="left"/>
      <w:pPr>
        <w:tabs>
          <w:tab w:val="num" w:pos="2160"/>
        </w:tabs>
        <w:ind w:left="2160" w:hanging="360"/>
      </w:pPr>
      <w:rPr>
        <w:rFonts w:ascii="Wingdings" w:hAnsi="Wingdings" w:hint="default"/>
      </w:rPr>
    </w:lvl>
    <w:lvl w:ilvl="3" w:tplc="BE44AB88" w:tentative="1">
      <w:start w:val="1"/>
      <w:numFmt w:val="bullet"/>
      <w:lvlText w:val=""/>
      <w:lvlJc w:val="left"/>
      <w:pPr>
        <w:tabs>
          <w:tab w:val="num" w:pos="2880"/>
        </w:tabs>
        <w:ind w:left="2880" w:hanging="360"/>
      </w:pPr>
      <w:rPr>
        <w:rFonts w:ascii="Wingdings" w:hAnsi="Wingdings" w:hint="default"/>
      </w:rPr>
    </w:lvl>
    <w:lvl w:ilvl="4" w:tplc="018C9086" w:tentative="1">
      <w:start w:val="1"/>
      <w:numFmt w:val="bullet"/>
      <w:lvlText w:val=""/>
      <w:lvlJc w:val="left"/>
      <w:pPr>
        <w:tabs>
          <w:tab w:val="num" w:pos="3600"/>
        </w:tabs>
        <w:ind w:left="3600" w:hanging="360"/>
      </w:pPr>
      <w:rPr>
        <w:rFonts w:ascii="Wingdings" w:hAnsi="Wingdings" w:hint="default"/>
      </w:rPr>
    </w:lvl>
    <w:lvl w:ilvl="5" w:tplc="CA5A77DA" w:tentative="1">
      <w:start w:val="1"/>
      <w:numFmt w:val="bullet"/>
      <w:lvlText w:val=""/>
      <w:lvlJc w:val="left"/>
      <w:pPr>
        <w:tabs>
          <w:tab w:val="num" w:pos="4320"/>
        </w:tabs>
        <w:ind w:left="4320" w:hanging="360"/>
      </w:pPr>
      <w:rPr>
        <w:rFonts w:ascii="Wingdings" w:hAnsi="Wingdings" w:hint="default"/>
      </w:rPr>
    </w:lvl>
    <w:lvl w:ilvl="6" w:tplc="5D086C76" w:tentative="1">
      <w:start w:val="1"/>
      <w:numFmt w:val="bullet"/>
      <w:lvlText w:val=""/>
      <w:lvlJc w:val="left"/>
      <w:pPr>
        <w:tabs>
          <w:tab w:val="num" w:pos="5040"/>
        </w:tabs>
        <w:ind w:left="5040" w:hanging="360"/>
      </w:pPr>
      <w:rPr>
        <w:rFonts w:ascii="Wingdings" w:hAnsi="Wingdings" w:hint="default"/>
      </w:rPr>
    </w:lvl>
    <w:lvl w:ilvl="7" w:tplc="60503CA8" w:tentative="1">
      <w:start w:val="1"/>
      <w:numFmt w:val="bullet"/>
      <w:lvlText w:val=""/>
      <w:lvlJc w:val="left"/>
      <w:pPr>
        <w:tabs>
          <w:tab w:val="num" w:pos="5760"/>
        </w:tabs>
        <w:ind w:left="5760" w:hanging="360"/>
      </w:pPr>
      <w:rPr>
        <w:rFonts w:ascii="Wingdings" w:hAnsi="Wingdings" w:hint="default"/>
      </w:rPr>
    </w:lvl>
    <w:lvl w:ilvl="8" w:tplc="89FE4958" w:tentative="1">
      <w:start w:val="1"/>
      <w:numFmt w:val="bullet"/>
      <w:lvlText w:val=""/>
      <w:lvlJc w:val="left"/>
      <w:pPr>
        <w:tabs>
          <w:tab w:val="num" w:pos="6480"/>
        </w:tabs>
        <w:ind w:left="6480" w:hanging="360"/>
      </w:pPr>
      <w:rPr>
        <w:rFonts w:ascii="Wingdings" w:hAnsi="Wingdings" w:hint="default"/>
      </w:rPr>
    </w:lvl>
  </w:abstractNum>
  <w:abstractNum w:abstractNumId="9">
    <w:nsid w:val="798246A0"/>
    <w:multiLevelType w:val="hybridMultilevel"/>
    <w:tmpl w:val="31527AE4"/>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9">
      <w:start w:val="1"/>
      <w:numFmt w:val="lowerLetter"/>
      <w:lvlText w:val="%3."/>
      <w:lvlJc w:val="left"/>
      <w:pPr>
        <w:ind w:left="99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B001003"/>
    <w:multiLevelType w:val="singleLevel"/>
    <w:tmpl w:val="ED7C4840"/>
    <w:lvl w:ilvl="0">
      <w:start w:val="1"/>
      <w:numFmt w:val="decimal"/>
      <w:pStyle w:val="ParNumber"/>
      <w:lvlText w:val="%1."/>
      <w:lvlJc w:val="left"/>
      <w:pPr>
        <w:tabs>
          <w:tab w:val="num" w:pos="360"/>
        </w:tabs>
        <w:ind w:left="36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7"/>
  </w:num>
  <w:num w:numId="23">
    <w:abstractNumId w:val="3"/>
  </w:num>
  <w:num w:numId="24">
    <w:abstractNumId w:val="4"/>
  </w:num>
  <w:num w:numId="25">
    <w:abstractNumId w:val="5"/>
  </w:num>
  <w:num w:numId="26">
    <w:abstractNumId w:val="8"/>
  </w:num>
  <w:num w:numId="27">
    <w:abstractNumId w:val="2"/>
  </w:num>
  <w:num w:numId="28">
    <w:abstractNumId w:val="9"/>
  </w:num>
  <w:num w:numId="29">
    <w:abstractNumId w:val="1"/>
  </w:num>
  <w:num w:numId="3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J. O'Connell">
    <w15:presenceInfo w15:providerId="None" w15:userId="Andrew J. O'Conn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0CD"/>
    <w:rsid w:val="00000DE5"/>
    <w:rsid w:val="0001201F"/>
    <w:rsid w:val="0002610D"/>
    <w:rsid w:val="0003543E"/>
    <w:rsid w:val="000538E7"/>
    <w:rsid w:val="000727E9"/>
    <w:rsid w:val="00073AE3"/>
    <w:rsid w:val="00073C5E"/>
    <w:rsid w:val="00073CD6"/>
    <w:rsid w:val="00085845"/>
    <w:rsid w:val="00090A21"/>
    <w:rsid w:val="000947F3"/>
    <w:rsid w:val="000F0800"/>
    <w:rsid w:val="000F7AD0"/>
    <w:rsid w:val="00115A99"/>
    <w:rsid w:val="00123DC3"/>
    <w:rsid w:val="00125393"/>
    <w:rsid w:val="001279DA"/>
    <w:rsid w:val="00133ECC"/>
    <w:rsid w:val="001441E3"/>
    <w:rsid w:val="001530CD"/>
    <w:rsid w:val="00155701"/>
    <w:rsid w:val="00160092"/>
    <w:rsid w:val="00181560"/>
    <w:rsid w:val="00182FF1"/>
    <w:rsid w:val="001855BF"/>
    <w:rsid w:val="001928DB"/>
    <w:rsid w:val="00194527"/>
    <w:rsid w:val="001A5476"/>
    <w:rsid w:val="001A62BB"/>
    <w:rsid w:val="001B4239"/>
    <w:rsid w:val="001B7F6A"/>
    <w:rsid w:val="001C1AE9"/>
    <w:rsid w:val="001C509E"/>
    <w:rsid w:val="002004EB"/>
    <w:rsid w:val="00207696"/>
    <w:rsid w:val="00220497"/>
    <w:rsid w:val="00222567"/>
    <w:rsid w:val="002354B1"/>
    <w:rsid w:val="0024482F"/>
    <w:rsid w:val="00254366"/>
    <w:rsid w:val="002650C2"/>
    <w:rsid w:val="0029266C"/>
    <w:rsid w:val="00292869"/>
    <w:rsid w:val="00296F08"/>
    <w:rsid w:val="00297A69"/>
    <w:rsid w:val="002B33FC"/>
    <w:rsid w:val="002B5035"/>
    <w:rsid w:val="002C036F"/>
    <w:rsid w:val="00302077"/>
    <w:rsid w:val="00316686"/>
    <w:rsid w:val="00322317"/>
    <w:rsid w:val="0032275A"/>
    <w:rsid w:val="00351C69"/>
    <w:rsid w:val="0035207A"/>
    <w:rsid w:val="0036190A"/>
    <w:rsid w:val="00366766"/>
    <w:rsid w:val="003713C4"/>
    <w:rsid w:val="003872D1"/>
    <w:rsid w:val="00390190"/>
    <w:rsid w:val="00393B43"/>
    <w:rsid w:val="003952FB"/>
    <w:rsid w:val="003A2E3B"/>
    <w:rsid w:val="003A6ABE"/>
    <w:rsid w:val="003D1CC2"/>
    <w:rsid w:val="003E2789"/>
    <w:rsid w:val="003E30D2"/>
    <w:rsid w:val="003F62F1"/>
    <w:rsid w:val="003F6868"/>
    <w:rsid w:val="00401547"/>
    <w:rsid w:val="004061B3"/>
    <w:rsid w:val="0041532D"/>
    <w:rsid w:val="0043348E"/>
    <w:rsid w:val="004368BF"/>
    <w:rsid w:val="004510F8"/>
    <w:rsid w:val="00452595"/>
    <w:rsid w:val="00467F3C"/>
    <w:rsid w:val="00470DBB"/>
    <w:rsid w:val="00492FC3"/>
    <w:rsid w:val="00497CFF"/>
    <w:rsid w:val="004A2B79"/>
    <w:rsid w:val="004B3755"/>
    <w:rsid w:val="004C2B7F"/>
    <w:rsid w:val="004E7790"/>
    <w:rsid w:val="004F1050"/>
    <w:rsid w:val="004F16A2"/>
    <w:rsid w:val="00506A6E"/>
    <w:rsid w:val="005114A4"/>
    <w:rsid w:val="00532BB8"/>
    <w:rsid w:val="00537654"/>
    <w:rsid w:val="0054080A"/>
    <w:rsid w:val="00543AAF"/>
    <w:rsid w:val="00544649"/>
    <w:rsid w:val="00567550"/>
    <w:rsid w:val="00577297"/>
    <w:rsid w:val="005906BB"/>
    <w:rsid w:val="005929BB"/>
    <w:rsid w:val="0059602D"/>
    <w:rsid w:val="005B30EE"/>
    <w:rsid w:val="005C5C61"/>
    <w:rsid w:val="005D0E0B"/>
    <w:rsid w:val="005D4B45"/>
    <w:rsid w:val="005D5856"/>
    <w:rsid w:val="005D7AE9"/>
    <w:rsid w:val="00611874"/>
    <w:rsid w:val="00633BC3"/>
    <w:rsid w:val="006509F2"/>
    <w:rsid w:val="0065270F"/>
    <w:rsid w:val="00671B8F"/>
    <w:rsid w:val="00676499"/>
    <w:rsid w:val="006B0119"/>
    <w:rsid w:val="006B3C29"/>
    <w:rsid w:val="006B3C87"/>
    <w:rsid w:val="006E3714"/>
    <w:rsid w:val="006F0889"/>
    <w:rsid w:val="006F0C20"/>
    <w:rsid w:val="00745F97"/>
    <w:rsid w:val="00750132"/>
    <w:rsid w:val="00755B0D"/>
    <w:rsid w:val="007563B7"/>
    <w:rsid w:val="00784E71"/>
    <w:rsid w:val="007907DA"/>
    <w:rsid w:val="00794640"/>
    <w:rsid w:val="007A0CF2"/>
    <w:rsid w:val="007A1527"/>
    <w:rsid w:val="007A69D3"/>
    <w:rsid w:val="007B4CA6"/>
    <w:rsid w:val="007B77EB"/>
    <w:rsid w:val="007C3807"/>
    <w:rsid w:val="007C6B5F"/>
    <w:rsid w:val="007D081B"/>
    <w:rsid w:val="007F4287"/>
    <w:rsid w:val="007F5B06"/>
    <w:rsid w:val="00817665"/>
    <w:rsid w:val="00817B9D"/>
    <w:rsid w:val="00840B1A"/>
    <w:rsid w:val="00850C8D"/>
    <w:rsid w:val="00851691"/>
    <w:rsid w:val="00861D2A"/>
    <w:rsid w:val="0086604B"/>
    <w:rsid w:val="00870C7F"/>
    <w:rsid w:val="008715B6"/>
    <w:rsid w:val="00886F79"/>
    <w:rsid w:val="00892442"/>
    <w:rsid w:val="00895007"/>
    <w:rsid w:val="008B44D8"/>
    <w:rsid w:val="008C4702"/>
    <w:rsid w:val="008C548E"/>
    <w:rsid w:val="008C6A51"/>
    <w:rsid w:val="008E1490"/>
    <w:rsid w:val="008F060B"/>
    <w:rsid w:val="008F1E4C"/>
    <w:rsid w:val="008F3A7C"/>
    <w:rsid w:val="008F54DB"/>
    <w:rsid w:val="0090185D"/>
    <w:rsid w:val="00916C90"/>
    <w:rsid w:val="00924051"/>
    <w:rsid w:val="0093209A"/>
    <w:rsid w:val="00942B97"/>
    <w:rsid w:val="009515EF"/>
    <w:rsid w:val="0098330B"/>
    <w:rsid w:val="00983AAF"/>
    <w:rsid w:val="00983B34"/>
    <w:rsid w:val="00990E95"/>
    <w:rsid w:val="00993C5B"/>
    <w:rsid w:val="009B0673"/>
    <w:rsid w:val="009B5BD4"/>
    <w:rsid w:val="009B76A8"/>
    <w:rsid w:val="009C0B1F"/>
    <w:rsid w:val="009C255E"/>
    <w:rsid w:val="009C4C9A"/>
    <w:rsid w:val="009E427A"/>
    <w:rsid w:val="009E68A2"/>
    <w:rsid w:val="00A111B4"/>
    <w:rsid w:val="00A116B8"/>
    <w:rsid w:val="00A231C4"/>
    <w:rsid w:val="00A31AF3"/>
    <w:rsid w:val="00A35311"/>
    <w:rsid w:val="00A46AF5"/>
    <w:rsid w:val="00A729E5"/>
    <w:rsid w:val="00A7387F"/>
    <w:rsid w:val="00A7707C"/>
    <w:rsid w:val="00A77949"/>
    <w:rsid w:val="00A8150E"/>
    <w:rsid w:val="00A81EB8"/>
    <w:rsid w:val="00A93FC7"/>
    <w:rsid w:val="00AD23D7"/>
    <w:rsid w:val="00AD6AF9"/>
    <w:rsid w:val="00AE2D10"/>
    <w:rsid w:val="00AE73B6"/>
    <w:rsid w:val="00B25B96"/>
    <w:rsid w:val="00B30ACF"/>
    <w:rsid w:val="00B547FC"/>
    <w:rsid w:val="00B9477F"/>
    <w:rsid w:val="00BB5778"/>
    <w:rsid w:val="00BD2F6B"/>
    <w:rsid w:val="00BE546D"/>
    <w:rsid w:val="00C018FD"/>
    <w:rsid w:val="00C23D3F"/>
    <w:rsid w:val="00C2653D"/>
    <w:rsid w:val="00C27F19"/>
    <w:rsid w:val="00C300DA"/>
    <w:rsid w:val="00C33602"/>
    <w:rsid w:val="00C37F03"/>
    <w:rsid w:val="00C4580E"/>
    <w:rsid w:val="00C531EF"/>
    <w:rsid w:val="00C62481"/>
    <w:rsid w:val="00C64577"/>
    <w:rsid w:val="00C762D4"/>
    <w:rsid w:val="00CB15EB"/>
    <w:rsid w:val="00CB3791"/>
    <w:rsid w:val="00CC1D92"/>
    <w:rsid w:val="00CC256E"/>
    <w:rsid w:val="00CC39B0"/>
    <w:rsid w:val="00CD2A1B"/>
    <w:rsid w:val="00CD78BB"/>
    <w:rsid w:val="00CD7A04"/>
    <w:rsid w:val="00CE71B4"/>
    <w:rsid w:val="00CF27A7"/>
    <w:rsid w:val="00D00C90"/>
    <w:rsid w:val="00D01242"/>
    <w:rsid w:val="00D01635"/>
    <w:rsid w:val="00D1718F"/>
    <w:rsid w:val="00D240FB"/>
    <w:rsid w:val="00D27EDE"/>
    <w:rsid w:val="00D52A86"/>
    <w:rsid w:val="00D71E50"/>
    <w:rsid w:val="00D97FB0"/>
    <w:rsid w:val="00DA1138"/>
    <w:rsid w:val="00DA7416"/>
    <w:rsid w:val="00DB3271"/>
    <w:rsid w:val="00DB64A2"/>
    <w:rsid w:val="00DC19A0"/>
    <w:rsid w:val="00DC6EAA"/>
    <w:rsid w:val="00E01591"/>
    <w:rsid w:val="00E108CE"/>
    <w:rsid w:val="00E1286E"/>
    <w:rsid w:val="00E21719"/>
    <w:rsid w:val="00E25E00"/>
    <w:rsid w:val="00E3036B"/>
    <w:rsid w:val="00E40A04"/>
    <w:rsid w:val="00E5635A"/>
    <w:rsid w:val="00E65980"/>
    <w:rsid w:val="00E71E81"/>
    <w:rsid w:val="00EC2B77"/>
    <w:rsid w:val="00EC7AC3"/>
    <w:rsid w:val="00ED7B86"/>
    <w:rsid w:val="00EE2674"/>
    <w:rsid w:val="00EE5534"/>
    <w:rsid w:val="00EF1F29"/>
    <w:rsid w:val="00F054B9"/>
    <w:rsid w:val="00F11967"/>
    <w:rsid w:val="00F41A52"/>
    <w:rsid w:val="00F534F6"/>
    <w:rsid w:val="00F9715C"/>
    <w:rsid w:val="00FA3945"/>
    <w:rsid w:val="00FE5C36"/>
    <w:rsid w:val="00FE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0CD"/>
    <w:pPr>
      <w:spacing w:line="240" w:lineRule="exact"/>
    </w:pPr>
    <w:rPr>
      <w:sz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pPr>
      <w:keepNext/>
      <w:numPr>
        <w:ilvl w:val="1"/>
        <w:numId w:val="21"/>
      </w:numPr>
      <w:spacing w:before="240"/>
      <w:jc w:val="both"/>
      <w:outlineLvl w:val="1"/>
    </w:pPr>
    <w:rPr>
      <w:b/>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40" w:lineRule="auto"/>
    </w:pPr>
  </w:style>
  <w:style w:type="paragraph" w:styleId="Footer">
    <w:name w:val="footer"/>
    <w:basedOn w:val="Normal"/>
    <w:pPr>
      <w:tabs>
        <w:tab w:val="center" w:pos="4320"/>
        <w:tab w:val="right" w:pos="8640"/>
      </w:tabs>
      <w:spacing w:line="240" w:lineRule="auto"/>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uiPriority w:val="99"/>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link w:val="FootnoteTextChar"/>
    <w:uiPriority w:val="99"/>
    <w:pPr>
      <w:spacing w:line="240" w:lineRule="auto"/>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C018FD"/>
    <w:pPr>
      <w:spacing w:after="120" w:line="240" w:lineRule="auto"/>
      <w:ind w:left="720"/>
    </w:pPr>
    <w:rPr>
      <w:rFonts w:ascii="Calibri" w:eastAsia="Calibri" w:hAnsi="Calibri" w:cs="Calibri"/>
      <w:sz w:val="22"/>
      <w:szCs w:val="22"/>
    </w:rPr>
  </w:style>
  <w:style w:type="character" w:customStyle="1" w:styleId="FootnoteTextChar">
    <w:name w:val="Footnote Text Char"/>
    <w:link w:val="FootnoteText"/>
    <w:uiPriority w:val="99"/>
    <w:locked/>
    <w:rsid w:val="00D52A86"/>
  </w:style>
  <w:style w:type="character" w:styleId="CommentReference">
    <w:name w:val="annotation reference"/>
    <w:uiPriority w:val="99"/>
    <w:rsid w:val="00D52A86"/>
    <w:rPr>
      <w:rFonts w:cs="Times New Roman"/>
      <w:sz w:val="16"/>
      <w:szCs w:val="16"/>
    </w:rPr>
  </w:style>
  <w:style w:type="paragraph" w:styleId="CommentText">
    <w:name w:val="annotation text"/>
    <w:basedOn w:val="Normal"/>
    <w:link w:val="CommentTextChar"/>
    <w:uiPriority w:val="99"/>
    <w:rsid w:val="00D52A86"/>
    <w:pPr>
      <w:spacing w:line="240" w:lineRule="auto"/>
      <w:ind w:left="720" w:hanging="360"/>
    </w:pPr>
    <w:rPr>
      <w:rFonts w:ascii="Arial" w:eastAsia="Calibri" w:hAnsi="Arial"/>
      <w:sz w:val="20"/>
      <w:lang w:val="x-none" w:eastAsia="x-none"/>
    </w:rPr>
  </w:style>
  <w:style w:type="character" w:customStyle="1" w:styleId="CommentTextChar">
    <w:name w:val="Comment Text Char"/>
    <w:link w:val="CommentText"/>
    <w:uiPriority w:val="99"/>
    <w:rsid w:val="00D52A86"/>
    <w:rPr>
      <w:rFonts w:ascii="Arial" w:eastAsia="Calibri" w:hAnsi="Arial"/>
      <w:lang w:val="x-none" w:eastAsia="x-none"/>
    </w:rPr>
  </w:style>
  <w:style w:type="paragraph" w:styleId="NormalIndent">
    <w:name w:val="Normal Indent"/>
    <w:basedOn w:val="Normal"/>
    <w:uiPriority w:val="99"/>
    <w:semiHidden/>
    <w:unhideWhenUsed/>
    <w:rsid w:val="00D52A86"/>
    <w:pPr>
      <w:spacing w:before="240" w:line="240" w:lineRule="atLeast"/>
      <w:ind w:left="1440" w:right="720"/>
    </w:pPr>
  </w:style>
  <w:style w:type="paragraph" w:styleId="CommentSubject">
    <w:name w:val="annotation subject"/>
    <w:basedOn w:val="CommentText"/>
    <w:next w:val="CommentText"/>
    <w:link w:val="CommentSubjectChar"/>
    <w:uiPriority w:val="99"/>
    <w:semiHidden/>
    <w:unhideWhenUsed/>
    <w:rsid w:val="007A0CF2"/>
    <w:pPr>
      <w:spacing w:line="240" w:lineRule="exact"/>
      <w:ind w:left="0" w:firstLine="0"/>
    </w:pPr>
    <w:rPr>
      <w:rFonts w:ascii="Times New Roman" w:eastAsia="Times New Roman" w:hAnsi="Times New Roman"/>
      <w:b/>
      <w:bCs/>
      <w:lang w:val="en-US" w:eastAsia="en-US"/>
    </w:rPr>
  </w:style>
  <w:style w:type="character" w:customStyle="1" w:styleId="CommentSubjectChar">
    <w:name w:val="Comment Subject Char"/>
    <w:link w:val="CommentSubject"/>
    <w:uiPriority w:val="99"/>
    <w:semiHidden/>
    <w:rsid w:val="007A0CF2"/>
    <w:rPr>
      <w:rFonts w:ascii="Arial" w:eastAsia="Calibri" w:hAnsi="Arial"/>
      <w:b/>
      <w:bCs/>
      <w:lang w:val="x-none" w:eastAsia="x-none"/>
    </w:rPr>
  </w:style>
  <w:style w:type="character" w:customStyle="1" w:styleId="zzmpTrailerItem">
    <w:name w:val="zzmpTrailerItem"/>
    <w:rsid w:val="0059602D"/>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0CD"/>
    <w:pPr>
      <w:spacing w:line="240" w:lineRule="exact"/>
    </w:pPr>
    <w:rPr>
      <w:sz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pPr>
      <w:keepNext/>
      <w:numPr>
        <w:ilvl w:val="1"/>
        <w:numId w:val="21"/>
      </w:numPr>
      <w:spacing w:before="240"/>
      <w:jc w:val="both"/>
      <w:outlineLvl w:val="1"/>
    </w:pPr>
    <w:rPr>
      <w:b/>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40" w:lineRule="auto"/>
    </w:pPr>
  </w:style>
  <w:style w:type="paragraph" w:styleId="Footer">
    <w:name w:val="footer"/>
    <w:basedOn w:val="Normal"/>
    <w:pPr>
      <w:tabs>
        <w:tab w:val="center" w:pos="4320"/>
        <w:tab w:val="right" w:pos="8640"/>
      </w:tabs>
      <w:spacing w:line="240" w:lineRule="auto"/>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uiPriority w:val="99"/>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link w:val="FootnoteTextChar"/>
    <w:uiPriority w:val="99"/>
    <w:pPr>
      <w:spacing w:line="240" w:lineRule="auto"/>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C018FD"/>
    <w:pPr>
      <w:spacing w:after="120" w:line="240" w:lineRule="auto"/>
      <w:ind w:left="720"/>
    </w:pPr>
    <w:rPr>
      <w:rFonts w:ascii="Calibri" w:eastAsia="Calibri" w:hAnsi="Calibri" w:cs="Calibri"/>
      <w:sz w:val="22"/>
      <w:szCs w:val="22"/>
    </w:rPr>
  </w:style>
  <w:style w:type="character" w:customStyle="1" w:styleId="FootnoteTextChar">
    <w:name w:val="Footnote Text Char"/>
    <w:link w:val="FootnoteText"/>
    <w:uiPriority w:val="99"/>
    <w:locked/>
    <w:rsid w:val="00D52A86"/>
  </w:style>
  <w:style w:type="character" w:styleId="CommentReference">
    <w:name w:val="annotation reference"/>
    <w:uiPriority w:val="99"/>
    <w:rsid w:val="00D52A86"/>
    <w:rPr>
      <w:rFonts w:cs="Times New Roman"/>
      <w:sz w:val="16"/>
      <w:szCs w:val="16"/>
    </w:rPr>
  </w:style>
  <w:style w:type="paragraph" w:styleId="CommentText">
    <w:name w:val="annotation text"/>
    <w:basedOn w:val="Normal"/>
    <w:link w:val="CommentTextChar"/>
    <w:uiPriority w:val="99"/>
    <w:rsid w:val="00D52A86"/>
    <w:pPr>
      <w:spacing w:line="240" w:lineRule="auto"/>
      <w:ind w:left="720" w:hanging="360"/>
    </w:pPr>
    <w:rPr>
      <w:rFonts w:ascii="Arial" w:eastAsia="Calibri" w:hAnsi="Arial"/>
      <w:sz w:val="20"/>
      <w:lang w:val="x-none" w:eastAsia="x-none"/>
    </w:rPr>
  </w:style>
  <w:style w:type="character" w:customStyle="1" w:styleId="CommentTextChar">
    <w:name w:val="Comment Text Char"/>
    <w:link w:val="CommentText"/>
    <w:uiPriority w:val="99"/>
    <w:rsid w:val="00D52A86"/>
    <w:rPr>
      <w:rFonts w:ascii="Arial" w:eastAsia="Calibri" w:hAnsi="Arial"/>
      <w:lang w:val="x-none" w:eastAsia="x-none"/>
    </w:rPr>
  </w:style>
  <w:style w:type="paragraph" w:styleId="NormalIndent">
    <w:name w:val="Normal Indent"/>
    <w:basedOn w:val="Normal"/>
    <w:uiPriority w:val="99"/>
    <w:semiHidden/>
    <w:unhideWhenUsed/>
    <w:rsid w:val="00D52A86"/>
    <w:pPr>
      <w:spacing w:before="240" w:line="240" w:lineRule="atLeast"/>
      <w:ind w:left="1440" w:right="720"/>
    </w:pPr>
  </w:style>
  <w:style w:type="paragraph" w:styleId="CommentSubject">
    <w:name w:val="annotation subject"/>
    <w:basedOn w:val="CommentText"/>
    <w:next w:val="CommentText"/>
    <w:link w:val="CommentSubjectChar"/>
    <w:uiPriority w:val="99"/>
    <w:semiHidden/>
    <w:unhideWhenUsed/>
    <w:rsid w:val="007A0CF2"/>
    <w:pPr>
      <w:spacing w:line="240" w:lineRule="exact"/>
      <w:ind w:left="0" w:firstLine="0"/>
    </w:pPr>
    <w:rPr>
      <w:rFonts w:ascii="Times New Roman" w:eastAsia="Times New Roman" w:hAnsi="Times New Roman"/>
      <w:b/>
      <w:bCs/>
      <w:lang w:val="en-US" w:eastAsia="en-US"/>
    </w:rPr>
  </w:style>
  <w:style w:type="character" w:customStyle="1" w:styleId="CommentSubjectChar">
    <w:name w:val="Comment Subject Char"/>
    <w:link w:val="CommentSubject"/>
    <w:uiPriority w:val="99"/>
    <w:semiHidden/>
    <w:rsid w:val="007A0CF2"/>
    <w:rPr>
      <w:rFonts w:ascii="Arial" w:eastAsia="Calibri" w:hAnsi="Arial"/>
      <w:b/>
      <w:bCs/>
      <w:lang w:val="x-none" w:eastAsia="x-none"/>
    </w:rPr>
  </w:style>
  <w:style w:type="character" w:customStyle="1" w:styleId="zzmpTrailerItem">
    <w:name w:val="zzmpTrailerItem"/>
    <w:rsid w:val="0059602D"/>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13317">
      <w:bodyDiv w:val="1"/>
      <w:marLeft w:val="0"/>
      <w:marRight w:val="0"/>
      <w:marTop w:val="0"/>
      <w:marBottom w:val="0"/>
      <w:divBdr>
        <w:top w:val="none" w:sz="0" w:space="0" w:color="auto"/>
        <w:left w:val="none" w:sz="0" w:space="0" w:color="auto"/>
        <w:bottom w:val="none" w:sz="0" w:space="0" w:color="auto"/>
        <w:right w:val="none" w:sz="0" w:space="0" w:color="auto"/>
      </w:divBdr>
    </w:div>
    <w:div w:id="430928870">
      <w:bodyDiv w:val="1"/>
      <w:marLeft w:val="0"/>
      <w:marRight w:val="0"/>
      <w:marTop w:val="0"/>
      <w:marBottom w:val="0"/>
      <w:divBdr>
        <w:top w:val="none" w:sz="0" w:space="0" w:color="auto"/>
        <w:left w:val="none" w:sz="0" w:space="0" w:color="auto"/>
        <w:bottom w:val="none" w:sz="0" w:space="0" w:color="auto"/>
        <w:right w:val="none" w:sz="0" w:space="0" w:color="auto"/>
      </w:divBdr>
    </w:div>
    <w:div w:id="520094833">
      <w:bodyDiv w:val="1"/>
      <w:marLeft w:val="0"/>
      <w:marRight w:val="0"/>
      <w:marTop w:val="0"/>
      <w:marBottom w:val="0"/>
      <w:divBdr>
        <w:top w:val="none" w:sz="0" w:space="0" w:color="auto"/>
        <w:left w:val="none" w:sz="0" w:space="0" w:color="auto"/>
        <w:bottom w:val="none" w:sz="0" w:space="0" w:color="auto"/>
        <w:right w:val="none" w:sz="0" w:space="0" w:color="auto"/>
      </w:divBdr>
    </w:div>
    <w:div w:id="595752566">
      <w:bodyDiv w:val="1"/>
      <w:marLeft w:val="0"/>
      <w:marRight w:val="0"/>
      <w:marTop w:val="0"/>
      <w:marBottom w:val="0"/>
      <w:divBdr>
        <w:top w:val="none" w:sz="0" w:space="0" w:color="auto"/>
        <w:left w:val="none" w:sz="0" w:space="0" w:color="auto"/>
        <w:bottom w:val="none" w:sz="0" w:space="0" w:color="auto"/>
        <w:right w:val="none" w:sz="0" w:space="0" w:color="auto"/>
      </w:divBdr>
    </w:div>
    <w:div w:id="1030761844">
      <w:bodyDiv w:val="1"/>
      <w:marLeft w:val="0"/>
      <w:marRight w:val="0"/>
      <w:marTop w:val="0"/>
      <w:marBottom w:val="0"/>
      <w:divBdr>
        <w:top w:val="none" w:sz="0" w:space="0" w:color="auto"/>
        <w:left w:val="none" w:sz="0" w:space="0" w:color="auto"/>
        <w:bottom w:val="none" w:sz="0" w:space="0" w:color="auto"/>
        <w:right w:val="none" w:sz="0" w:space="0" w:color="auto"/>
      </w:divBdr>
    </w:div>
    <w:div w:id="1270504509">
      <w:bodyDiv w:val="1"/>
      <w:marLeft w:val="0"/>
      <w:marRight w:val="0"/>
      <w:marTop w:val="0"/>
      <w:marBottom w:val="0"/>
      <w:divBdr>
        <w:top w:val="none" w:sz="0" w:space="0" w:color="auto"/>
        <w:left w:val="none" w:sz="0" w:space="0" w:color="auto"/>
        <w:bottom w:val="none" w:sz="0" w:space="0" w:color="auto"/>
        <w:right w:val="none" w:sz="0" w:space="0" w:color="auto"/>
      </w:divBdr>
    </w:div>
    <w:div w:id="155813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commentsExtended" Target="commentsExtended.xml"/></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F:\template\Public%20Counsel\UTC.do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2016-05-31T07:00:00+00:00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1D1CA42-3207-4C6D-A0B1-29C87F6A0EEC}"/>
</file>

<file path=customXml/itemProps2.xml><?xml version="1.0" encoding="utf-8"?>
<ds:datastoreItem xmlns:ds="http://schemas.openxmlformats.org/officeDocument/2006/customXml" ds:itemID="{0E8A466B-74F1-4A4E-9EB8-71B176617E67}"/>
</file>

<file path=customXml/itemProps3.xml><?xml version="1.0" encoding="utf-8"?>
<ds:datastoreItem xmlns:ds="http://schemas.openxmlformats.org/officeDocument/2006/customXml" ds:itemID="{77A52DEC-FEDB-4BBE-91C8-1E12B10A252D}"/>
</file>

<file path=customXml/itemProps4.xml><?xml version="1.0" encoding="utf-8"?>
<ds:datastoreItem xmlns:ds="http://schemas.openxmlformats.org/officeDocument/2006/customXml" ds:itemID="{07A3BF17-3E03-4A28-A905-D1E421A6CB80}"/>
</file>

<file path=customXml/itemProps5.xml><?xml version="1.0" encoding="utf-8"?>
<ds:datastoreItem xmlns:ds="http://schemas.openxmlformats.org/officeDocument/2006/customXml" ds:itemID="{B3939227-AC73-4854-AA4A-9E70A7682194}"/>
</file>

<file path=customXml/itemProps6.xml><?xml version="1.0" encoding="utf-8"?>
<ds:datastoreItem xmlns:ds="http://schemas.openxmlformats.org/officeDocument/2006/customXml" ds:itemID="{37AB1ED2-D459-44AC-B314-A1717121CCF0}"/>
</file>

<file path=docProps/app.xml><?xml version="1.0" encoding="utf-8"?>
<Properties xmlns="http://schemas.openxmlformats.org/officeDocument/2006/extended-properties" xmlns:vt="http://schemas.openxmlformats.org/officeDocument/2006/docPropsVTypes">
  <Pages>3</Pages>
  <Words>1644</Words>
  <Characters>8729</Characters>
  <Application>Microsoft Office Word</Application>
  <DocSecurity>0</DocSecurity>
  <Lines>201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GEAAO+/T9t20xwnd0G9apD/znYmCw8VJqOZSXWIhK5JCVtehBs9YWoG49hEgWySGlZRZGnZmT22ZWg2m_x000d_
vJRkoIqGvOrnt/noNNZKConfPU8GR3fB7XSNg60KJHO5Q/iOy27PeuoCiekLzqJiFajBhURb00H9_x000d_
5JZyFtNWICY/56qNMkqHn9OI34eWtU5na3d3L403nYuZTRuGWPmxfI6bp5YWgMo7nVxHVY5GepfQ_x000d_
CLHckXI31YvESvK8V</vt:lpwstr>
  </property>
  <property fmtid="{D5CDD505-2E9C-101B-9397-08002B2CF9AE}" pid="3" name="MAIL_MSG_ID2">
    <vt:lpwstr>BTpNxoraY/w</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0x0101006E56B4D1795A2E4DB2F0B01679ED314A00CF887D659DE22543A2760D28314F79CB</vt:lpwstr>
  </property>
  <property fmtid="{D5CDD505-2E9C-101B-9397-08002B2CF9AE}" pid="7" name="_docset_NoMedatataSyncRequired">
    <vt:lpwstr>False</vt:lpwstr>
  </property>
</Properties>
</file>