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6DC" w:rsidRPr="00775345" w:rsidRDefault="001466DC" w:rsidP="0034245D">
      <w:pPr>
        <w:pStyle w:val="NoSpacing"/>
      </w:pPr>
      <w:bookmarkStart w:id="0" w:name="_GoBack"/>
      <w:bookmarkEnd w:id="0"/>
    </w:p>
    <w:p w:rsidR="00383637" w:rsidRPr="00D025D8" w:rsidRDefault="00883529" w:rsidP="00383637">
      <w:pPr>
        <w:pStyle w:val="RecipientAddress"/>
        <w:tabs>
          <w:tab w:val="center" w:pos="4680"/>
          <w:tab w:val="left" w:pos="6825"/>
        </w:tabs>
        <w:spacing w:after="60" w:line="240" w:lineRule="auto"/>
        <w:contextualSpacing w:val="0"/>
        <w:rPr>
          <w:b/>
          <w:spacing w:val="20"/>
          <w:sz w:val="34"/>
          <w:szCs w:val="34"/>
        </w:rPr>
      </w:pPr>
      <w:r>
        <w:rPr>
          <w:b/>
          <w:spacing w:val="20"/>
          <w:sz w:val="34"/>
          <w:szCs w:val="34"/>
        </w:rPr>
        <w:t>Kathleen A. Kelly</w:t>
      </w:r>
      <w:r w:rsidR="00383637" w:rsidRPr="00D025D8">
        <w:rPr>
          <w:b/>
          <w:spacing w:val="20"/>
          <w:sz w:val="34"/>
          <w:szCs w:val="34"/>
        </w:rPr>
        <w:tab/>
      </w:r>
    </w:p>
    <w:p w:rsidR="00383637" w:rsidRPr="006C2E00" w:rsidRDefault="00383637" w:rsidP="00383637">
      <w:pPr>
        <w:pStyle w:val="RecipientAddress"/>
        <w:rPr>
          <w:rFonts w:ascii="Arial" w:hAnsi="Arial" w:cs="Arial"/>
          <w:color w:val="505759"/>
          <w:spacing w:val="20"/>
          <w:sz w:val="27"/>
          <w:szCs w:val="27"/>
        </w:rPr>
      </w:pPr>
      <w:r w:rsidRPr="006C2E00">
        <w:rPr>
          <w:rFonts w:ascii="Arial" w:hAnsi="Arial" w:cs="Arial"/>
          <w:color w:val="505759"/>
          <w:spacing w:val="20"/>
          <w:sz w:val="27"/>
          <w:szCs w:val="27"/>
        </w:rPr>
        <w:t>Principal Consultant</w:t>
      </w:r>
    </w:p>
    <w:p w:rsidR="00383637" w:rsidRDefault="00383637" w:rsidP="00383637">
      <w:pPr>
        <w:pStyle w:val="RecipientAddress"/>
        <w:tabs>
          <w:tab w:val="left" w:pos="2220"/>
        </w:tabs>
        <w:spacing w:after="0" w:line="240" w:lineRule="auto"/>
        <w:contextualSpacing w:val="0"/>
      </w:pPr>
    </w:p>
    <w:p w:rsidR="00383637" w:rsidRDefault="00883529" w:rsidP="00883529">
      <w:pPr>
        <w:pStyle w:val="EIResumeQualsandExperience"/>
        <w:spacing w:after="120"/>
        <w:rPr>
          <w:rFonts w:asciiTheme="minorHAnsi" w:eastAsia="Calibri" w:hAnsiTheme="minorHAnsi" w:cs="Times New Roman"/>
          <w:b w:val="0"/>
          <w:color w:val="auto"/>
          <w:sz w:val="22"/>
          <w:szCs w:val="22"/>
        </w:rPr>
      </w:pPr>
      <w:r w:rsidRPr="00F96A1E">
        <w:rPr>
          <w:rFonts w:asciiTheme="minorHAnsi" w:eastAsia="Calibri" w:hAnsiTheme="minorHAnsi" w:cs="Times New Roman"/>
          <w:b w:val="0"/>
          <w:color w:val="auto"/>
          <w:sz w:val="22"/>
          <w:szCs w:val="22"/>
        </w:rPr>
        <w:t>Kathleen Kelly is a management consultant with wide-ranging experience in strategic planning</w:t>
      </w:r>
      <w:r w:rsidR="00A11D2C">
        <w:rPr>
          <w:rFonts w:asciiTheme="minorHAnsi" w:eastAsia="Calibri" w:hAnsiTheme="minorHAnsi" w:cs="Times New Roman"/>
          <w:b w:val="0"/>
          <w:color w:val="auto"/>
          <w:sz w:val="22"/>
          <w:szCs w:val="22"/>
        </w:rPr>
        <w:t>.  A</w:t>
      </w:r>
      <w:r w:rsidRPr="00F96A1E">
        <w:rPr>
          <w:rFonts w:asciiTheme="minorHAnsi" w:eastAsia="Calibri" w:hAnsiTheme="minorHAnsi" w:cs="Times New Roman"/>
          <w:b w:val="0"/>
          <w:color w:val="auto"/>
          <w:sz w:val="22"/>
          <w:szCs w:val="22"/>
        </w:rPr>
        <w:t xml:space="preserve">s a director within a major northeastern electric utility, she managed the </w:t>
      </w:r>
      <w:r>
        <w:rPr>
          <w:rFonts w:asciiTheme="minorHAnsi" w:eastAsia="Calibri" w:hAnsiTheme="minorHAnsi" w:cs="Times New Roman"/>
          <w:b w:val="0"/>
          <w:color w:val="auto"/>
          <w:sz w:val="22"/>
          <w:szCs w:val="22"/>
        </w:rPr>
        <w:t xml:space="preserve">regulatory participation and </w:t>
      </w:r>
      <w:r w:rsidRPr="00F96A1E">
        <w:rPr>
          <w:rFonts w:asciiTheme="minorHAnsi" w:eastAsia="Calibri" w:hAnsiTheme="minorHAnsi" w:cs="Times New Roman"/>
          <w:b w:val="0"/>
          <w:color w:val="auto"/>
          <w:sz w:val="22"/>
          <w:szCs w:val="22"/>
        </w:rPr>
        <w:t>transition to a restructured market environment</w:t>
      </w:r>
      <w:r w:rsidR="00A11D2C">
        <w:rPr>
          <w:rFonts w:asciiTheme="minorHAnsi" w:eastAsia="Calibri" w:hAnsiTheme="minorHAnsi" w:cs="Times New Roman"/>
          <w:b w:val="0"/>
          <w:color w:val="auto"/>
          <w:sz w:val="22"/>
          <w:szCs w:val="22"/>
        </w:rPr>
        <w:t>,</w:t>
      </w:r>
      <w:r w:rsidRPr="00F96A1E">
        <w:rPr>
          <w:rFonts w:asciiTheme="minorHAnsi" w:eastAsia="Calibri" w:hAnsiTheme="minorHAnsi" w:cs="Times New Roman"/>
          <w:b w:val="0"/>
          <w:color w:val="auto"/>
          <w:sz w:val="22"/>
          <w:szCs w:val="22"/>
        </w:rPr>
        <w:t xml:space="preserve"> and as a management consultant, she advises utility executives on business planning in an industry undergoing transformative change. </w:t>
      </w:r>
      <w:r w:rsidRPr="00EE5FB7">
        <w:rPr>
          <w:rFonts w:asciiTheme="minorHAnsi" w:eastAsia="Calibri" w:hAnsiTheme="minorHAnsi" w:cs="Times New Roman"/>
          <w:b w:val="0"/>
          <w:color w:val="auto"/>
          <w:sz w:val="22"/>
          <w:szCs w:val="22"/>
        </w:rPr>
        <w:t xml:space="preserve">Ms. Kelly is a collaborative leader, managing </w:t>
      </w:r>
      <w:r>
        <w:rPr>
          <w:rFonts w:asciiTheme="minorHAnsi" w:eastAsia="Calibri" w:hAnsiTheme="minorHAnsi" w:cs="Times New Roman"/>
          <w:b w:val="0"/>
          <w:color w:val="auto"/>
          <w:sz w:val="22"/>
          <w:szCs w:val="22"/>
        </w:rPr>
        <w:t xml:space="preserve">expert </w:t>
      </w:r>
      <w:r w:rsidRPr="00EE5FB7">
        <w:rPr>
          <w:rFonts w:asciiTheme="minorHAnsi" w:eastAsia="Calibri" w:hAnsiTheme="minorHAnsi" w:cs="Times New Roman"/>
          <w:b w:val="0"/>
          <w:color w:val="auto"/>
          <w:sz w:val="22"/>
          <w:szCs w:val="22"/>
        </w:rPr>
        <w:t>teams to address multiple and diverse client engagements with competing and earnest deadlines while providing superior client relationship management and satisfaction evidenced by a high client return engagement rate.</w:t>
      </w:r>
      <w:r>
        <w:rPr>
          <w:rFonts w:asciiTheme="minorHAnsi" w:eastAsia="Calibri" w:hAnsiTheme="minorHAnsi" w:cs="Times New Roman"/>
          <w:b w:val="0"/>
          <w:color w:val="auto"/>
          <w:sz w:val="22"/>
          <w:szCs w:val="22"/>
        </w:rPr>
        <w:t xml:space="preserve"> </w:t>
      </w:r>
      <w:r w:rsidR="00A11D2C">
        <w:rPr>
          <w:rFonts w:asciiTheme="minorHAnsi" w:eastAsia="Calibri" w:hAnsiTheme="minorHAnsi" w:cs="Times New Roman"/>
          <w:b w:val="0"/>
          <w:color w:val="auto"/>
          <w:sz w:val="22"/>
          <w:szCs w:val="22"/>
        </w:rPr>
        <w:t>She</w:t>
      </w:r>
      <w:r w:rsidRPr="00F96A1E">
        <w:rPr>
          <w:rFonts w:asciiTheme="minorHAnsi" w:eastAsia="Calibri" w:hAnsiTheme="minorHAnsi" w:cs="Times New Roman"/>
          <w:b w:val="0"/>
          <w:color w:val="auto"/>
          <w:sz w:val="22"/>
          <w:szCs w:val="22"/>
        </w:rPr>
        <w:t xml:space="preserve"> </w:t>
      </w:r>
      <w:r>
        <w:rPr>
          <w:rFonts w:asciiTheme="minorHAnsi" w:eastAsia="Calibri" w:hAnsiTheme="minorHAnsi" w:cs="Times New Roman"/>
          <w:b w:val="0"/>
          <w:color w:val="auto"/>
          <w:sz w:val="22"/>
          <w:szCs w:val="22"/>
        </w:rPr>
        <w:t xml:space="preserve">develops and </w:t>
      </w:r>
      <w:r w:rsidRPr="00F96A1E">
        <w:rPr>
          <w:rFonts w:asciiTheme="minorHAnsi" w:eastAsia="Calibri" w:hAnsiTheme="minorHAnsi" w:cs="Times New Roman"/>
          <w:b w:val="0"/>
          <w:color w:val="auto"/>
          <w:sz w:val="22"/>
          <w:szCs w:val="22"/>
        </w:rPr>
        <w:t>facilitates strategic planning discussions among senior managers relative to energy planning, disruptive technologies, and long-term organizational objectives</w:t>
      </w:r>
      <w:r>
        <w:rPr>
          <w:rFonts w:asciiTheme="minorHAnsi" w:eastAsia="Calibri" w:hAnsiTheme="minorHAnsi" w:cs="Times New Roman"/>
          <w:b w:val="0"/>
          <w:color w:val="auto"/>
          <w:sz w:val="22"/>
          <w:szCs w:val="22"/>
        </w:rPr>
        <w:t xml:space="preserve">. </w:t>
      </w:r>
      <w:r w:rsidR="00FD2034" w:rsidRPr="00F2411B">
        <w:rPr>
          <w:rFonts w:asciiTheme="minorHAnsi" w:eastAsia="Calibri" w:hAnsiTheme="minorHAnsi" w:cs="Times New Roman"/>
          <w:b w:val="0"/>
          <w:color w:val="auto"/>
          <w:sz w:val="22"/>
          <w:szCs w:val="22"/>
        </w:rPr>
        <w:t xml:space="preserve">Her extensive strategic utility experience includes enhancing organizational effectiveness and business processes as well as advising senior managers with regard to technical issues, management and operations, organizational design, and change management. </w:t>
      </w:r>
      <w:r w:rsidR="00FD2034">
        <w:rPr>
          <w:rFonts w:asciiTheme="minorHAnsi" w:eastAsia="Calibri" w:hAnsiTheme="minorHAnsi" w:cs="Times New Roman"/>
          <w:b w:val="0"/>
          <w:color w:val="auto"/>
          <w:sz w:val="22"/>
          <w:szCs w:val="22"/>
        </w:rPr>
        <w:t xml:space="preserve"> C</w:t>
      </w:r>
      <w:r>
        <w:rPr>
          <w:rFonts w:asciiTheme="minorHAnsi" w:eastAsia="Calibri" w:hAnsiTheme="minorHAnsi" w:cs="Times New Roman"/>
          <w:b w:val="0"/>
          <w:color w:val="auto"/>
          <w:sz w:val="22"/>
          <w:szCs w:val="22"/>
        </w:rPr>
        <w:t>lients r</w:t>
      </w:r>
      <w:r w:rsidRPr="00F96A1E">
        <w:rPr>
          <w:rFonts w:asciiTheme="minorHAnsi" w:eastAsia="Calibri" w:hAnsiTheme="minorHAnsi" w:cs="Times New Roman"/>
          <w:b w:val="0"/>
          <w:color w:val="auto"/>
          <w:sz w:val="22"/>
          <w:szCs w:val="22"/>
        </w:rPr>
        <w:t xml:space="preserve">ely on her </w:t>
      </w:r>
      <w:r>
        <w:rPr>
          <w:rFonts w:asciiTheme="minorHAnsi" w:eastAsia="Calibri" w:hAnsiTheme="minorHAnsi" w:cs="Times New Roman"/>
          <w:b w:val="0"/>
          <w:color w:val="auto"/>
          <w:sz w:val="22"/>
          <w:szCs w:val="22"/>
        </w:rPr>
        <w:t xml:space="preserve">ability to get things done and her specific </w:t>
      </w:r>
      <w:r w:rsidRPr="00F96A1E">
        <w:rPr>
          <w:rFonts w:asciiTheme="minorHAnsi" w:eastAsia="Calibri" w:hAnsiTheme="minorHAnsi" w:cs="Times New Roman"/>
          <w:b w:val="0"/>
          <w:color w:val="auto"/>
          <w:sz w:val="22"/>
          <w:szCs w:val="22"/>
        </w:rPr>
        <w:t xml:space="preserve">expertise in regulatory policy, strategy, and analytics, as well as technical planning and operations issues such as load forecasting, resource planning, asset </w:t>
      </w:r>
      <w:r>
        <w:rPr>
          <w:rFonts w:asciiTheme="minorHAnsi" w:eastAsia="Calibri" w:hAnsiTheme="minorHAnsi" w:cs="Times New Roman"/>
          <w:b w:val="0"/>
          <w:color w:val="auto"/>
          <w:sz w:val="22"/>
          <w:szCs w:val="22"/>
        </w:rPr>
        <w:t xml:space="preserve">management </w:t>
      </w:r>
      <w:r w:rsidRPr="00F96A1E">
        <w:rPr>
          <w:rFonts w:asciiTheme="minorHAnsi" w:eastAsia="Calibri" w:hAnsiTheme="minorHAnsi" w:cs="Times New Roman"/>
          <w:b w:val="0"/>
          <w:color w:val="auto"/>
          <w:sz w:val="22"/>
          <w:szCs w:val="22"/>
        </w:rPr>
        <w:t>analysis, risk analysis</w:t>
      </w:r>
      <w:r>
        <w:rPr>
          <w:rFonts w:asciiTheme="minorHAnsi" w:eastAsia="Calibri" w:hAnsiTheme="minorHAnsi" w:cs="Times New Roman"/>
          <w:b w:val="0"/>
          <w:color w:val="auto"/>
          <w:sz w:val="22"/>
          <w:szCs w:val="22"/>
        </w:rPr>
        <w:t xml:space="preserve"> and </w:t>
      </w:r>
      <w:r w:rsidRPr="00F96A1E">
        <w:rPr>
          <w:rFonts w:asciiTheme="minorHAnsi" w:eastAsia="Calibri" w:hAnsiTheme="minorHAnsi" w:cs="Times New Roman"/>
          <w:b w:val="0"/>
          <w:color w:val="auto"/>
          <w:sz w:val="22"/>
          <w:szCs w:val="22"/>
        </w:rPr>
        <w:t>mitigation strategies, power procurement decision-making, technical feasibility studies, wholesale energy markets, and knowledge management.</w:t>
      </w:r>
      <w:r w:rsidR="0097270E">
        <w:rPr>
          <w:rFonts w:asciiTheme="minorHAnsi" w:eastAsia="Calibri" w:hAnsiTheme="minorHAnsi" w:cs="Times New Roman"/>
          <w:b w:val="0"/>
          <w:color w:val="auto"/>
          <w:sz w:val="22"/>
          <w:szCs w:val="22"/>
        </w:rPr>
        <w:t xml:space="preserve"> </w:t>
      </w:r>
      <w:r w:rsidR="0097270E" w:rsidRPr="00F2411B">
        <w:rPr>
          <w:rFonts w:asciiTheme="minorHAnsi" w:eastAsia="Calibri" w:hAnsiTheme="minorHAnsi" w:cs="Times New Roman"/>
          <w:b w:val="0"/>
          <w:color w:val="auto"/>
          <w:sz w:val="22"/>
          <w:szCs w:val="22"/>
        </w:rPr>
        <w:t xml:space="preserve">Ms. Kelly has provided expert testimony on regulatory policy, rate design, resource planning, energy forecasting, and DSM initiatives. </w:t>
      </w:r>
      <w:r w:rsidR="00383637" w:rsidRPr="00883529">
        <w:rPr>
          <w:rFonts w:asciiTheme="minorHAnsi" w:eastAsia="Calibri" w:hAnsiTheme="minorHAnsi" w:cs="Times New Roman"/>
          <w:b w:val="0"/>
          <w:color w:val="auto"/>
          <w:sz w:val="22"/>
          <w:szCs w:val="22"/>
        </w:rPr>
        <w:t xml:space="preserve"> </w:t>
      </w:r>
      <w:r>
        <w:rPr>
          <w:rFonts w:asciiTheme="minorHAnsi" w:eastAsia="Calibri" w:hAnsiTheme="minorHAnsi" w:cs="Times New Roman"/>
          <w:b w:val="0"/>
          <w:color w:val="auto"/>
          <w:sz w:val="22"/>
          <w:szCs w:val="22"/>
        </w:rPr>
        <w:t>Sh</w:t>
      </w:r>
      <w:r w:rsidR="00383637" w:rsidRPr="00883529">
        <w:rPr>
          <w:rFonts w:asciiTheme="minorHAnsi" w:eastAsia="Calibri" w:hAnsiTheme="minorHAnsi" w:cs="Times New Roman"/>
          <w:b w:val="0"/>
          <w:color w:val="auto"/>
          <w:sz w:val="22"/>
          <w:szCs w:val="22"/>
        </w:rPr>
        <w:t>e has an M.</w:t>
      </w:r>
      <w:r>
        <w:rPr>
          <w:rFonts w:asciiTheme="minorHAnsi" w:eastAsia="Calibri" w:hAnsiTheme="minorHAnsi" w:cs="Times New Roman"/>
          <w:b w:val="0"/>
          <w:color w:val="auto"/>
          <w:sz w:val="22"/>
          <w:szCs w:val="22"/>
        </w:rPr>
        <w:t>B.A</w:t>
      </w:r>
      <w:r w:rsidR="00383637" w:rsidRPr="00883529">
        <w:rPr>
          <w:rFonts w:asciiTheme="minorHAnsi" w:eastAsia="Calibri" w:hAnsiTheme="minorHAnsi" w:cs="Times New Roman"/>
          <w:b w:val="0"/>
          <w:color w:val="auto"/>
          <w:sz w:val="22"/>
          <w:szCs w:val="22"/>
        </w:rPr>
        <w:t xml:space="preserve">. in </w:t>
      </w:r>
      <w:r>
        <w:rPr>
          <w:rFonts w:asciiTheme="minorHAnsi" w:eastAsia="Calibri" w:hAnsiTheme="minorHAnsi" w:cs="Times New Roman"/>
          <w:b w:val="0"/>
          <w:color w:val="auto"/>
          <w:sz w:val="22"/>
          <w:szCs w:val="22"/>
        </w:rPr>
        <w:t>Finance</w:t>
      </w:r>
      <w:r w:rsidR="00383637" w:rsidRPr="00883529">
        <w:rPr>
          <w:rFonts w:asciiTheme="minorHAnsi" w:eastAsia="Calibri" w:hAnsiTheme="minorHAnsi" w:cs="Times New Roman"/>
          <w:b w:val="0"/>
          <w:color w:val="auto"/>
          <w:sz w:val="22"/>
          <w:szCs w:val="22"/>
        </w:rPr>
        <w:t xml:space="preserve"> and a </w:t>
      </w:r>
      <w:r>
        <w:rPr>
          <w:rFonts w:asciiTheme="minorHAnsi" w:eastAsia="Calibri" w:hAnsiTheme="minorHAnsi" w:cs="Times New Roman"/>
          <w:b w:val="0"/>
          <w:color w:val="auto"/>
          <w:sz w:val="22"/>
          <w:szCs w:val="22"/>
        </w:rPr>
        <w:t>B.S. degree in Mathematics and Economics</w:t>
      </w:r>
      <w:r w:rsidR="00383637" w:rsidRPr="00883529">
        <w:rPr>
          <w:rFonts w:asciiTheme="minorHAnsi" w:eastAsia="Calibri" w:hAnsiTheme="minorHAnsi" w:cs="Times New Roman"/>
          <w:b w:val="0"/>
          <w:color w:val="auto"/>
          <w:sz w:val="22"/>
          <w:szCs w:val="22"/>
        </w:rPr>
        <w:t xml:space="preserve">. </w:t>
      </w:r>
    </w:p>
    <w:p w:rsidR="0071041E" w:rsidRPr="0071041E" w:rsidRDefault="0071041E" w:rsidP="0071041E">
      <w:pPr>
        <w:spacing w:after="0" w:line="240" w:lineRule="auto"/>
      </w:pPr>
    </w:p>
    <w:p w:rsidR="00383637" w:rsidRPr="0089555A" w:rsidRDefault="00383637" w:rsidP="006C2E00">
      <w:pPr>
        <w:pStyle w:val="Salutation"/>
        <w:spacing w:after="120" w:line="240" w:lineRule="auto"/>
        <w:rPr>
          <w:rFonts w:ascii="Calibri Bold" w:hAnsi="Calibri Bold"/>
          <w:b/>
          <w:color w:val="505759"/>
          <w:spacing w:val="14"/>
          <w:sz w:val="28"/>
          <w:szCs w:val="28"/>
        </w:rPr>
      </w:pPr>
      <w:r w:rsidRPr="0089555A">
        <w:rPr>
          <w:rFonts w:ascii="Calibri Bold" w:hAnsi="Calibri Bold"/>
          <w:b/>
          <w:color w:val="505759"/>
          <w:spacing w:val="14"/>
          <w:sz w:val="28"/>
          <w:szCs w:val="28"/>
        </w:rPr>
        <w:t>SELECTED PROFESSIONAL EXPERIENCE</w:t>
      </w:r>
    </w:p>
    <w:p w:rsidR="00383637" w:rsidRPr="006C2E00" w:rsidRDefault="00344BE5" w:rsidP="006C2E00">
      <w:pPr>
        <w:pStyle w:val="Salutation"/>
        <w:spacing w:after="120" w:line="240" w:lineRule="auto"/>
        <w:rPr>
          <w:b/>
          <w:i/>
          <w:color w:val="DA291C"/>
          <w:spacing w:val="24"/>
        </w:rPr>
      </w:pPr>
      <w:r>
        <w:rPr>
          <w:b/>
          <w:i/>
          <w:color w:val="DA291C"/>
          <w:spacing w:val="24"/>
        </w:rPr>
        <w:t>Renewable Energy</w:t>
      </w:r>
    </w:p>
    <w:p w:rsidR="00883529" w:rsidRDefault="00883529" w:rsidP="00883529">
      <w:pPr>
        <w:pStyle w:val="BulletList"/>
        <w:numPr>
          <w:ilvl w:val="0"/>
          <w:numId w:val="12"/>
        </w:numPr>
        <w:spacing w:after="120" w:line="240" w:lineRule="auto"/>
        <w:ind w:left="274" w:hanging="274"/>
        <w:jc w:val="both"/>
        <w:rPr>
          <w:sz w:val="22"/>
          <w:szCs w:val="22"/>
        </w:rPr>
      </w:pPr>
      <w:r>
        <w:rPr>
          <w:sz w:val="22"/>
          <w:szCs w:val="22"/>
        </w:rPr>
        <w:t>P</w:t>
      </w:r>
      <w:r w:rsidRPr="00883529">
        <w:rPr>
          <w:sz w:val="22"/>
          <w:szCs w:val="22"/>
        </w:rPr>
        <w:t xml:space="preserve">rovided technical, regulatory, and project management support for the development of </w:t>
      </w:r>
      <w:r w:rsidR="00BE0F39">
        <w:rPr>
          <w:sz w:val="22"/>
          <w:szCs w:val="22"/>
        </w:rPr>
        <w:t xml:space="preserve">a Request </w:t>
      </w:r>
      <w:proofErr w:type="gramStart"/>
      <w:r w:rsidR="00BE0F39">
        <w:rPr>
          <w:sz w:val="22"/>
          <w:szCs w:val="22"/>
        </w:rPr>
        <w:t>For</w:t>
      </w:r>
      <w:proofErr w:type="gramEnd"/>
      <w:r w:rsidR="00BE0F39">
        <w:rPr>
          <w:sz w:val="22"/>
          <w:szCs w:val="22"/>
        </w:rPr>
        <w:t xml:space="preserve"> Proposal (</w:t>
      </w:r>
      <w:r>
        <w:rPr>
          <w:sz w:val="22"/>
          <w:szCs w:val="22"/>
        </w:rPr>
        <w:t>RFP</w:t>
      </w:r>
      <w:r w:rsidR="00BE0F39">
        <w:rPr>
          <w:sz w:val="22"/>
          <w:szCs w:val="22"/>
        </w:rPr>
        <w:t>)</w:t>
      </w:r>
      <w:r>
        <w:rPr>
          <w:sz w:val="22"/>
          <w:szCs w:val="22"/>
        </w:rPr>
        <w:t xml:space="preserve"> for </w:t>
      </w:r>
      <w:r w:rsidRPr="00883529">
        <w:rPr>
          <w:sz w:val="22"/>
          <w:szCs w:val="22"/>
        </w:rPr>
        <w:t>50</w:t>
      </w:r>
      <w:r w:rsidR="00A11D2C">
        <w:rPr>
          <w:sz w:val="22"/>
          <w:szCs w:val="22"/>
        </w:rPr>
        <w:t> </w:t>
      </w:r>
      <w:r w:rsidRPr="00883529">
        <w:rPr>
          <w:sz w:val="22"/>
          <w:szCs w:val="22"/>
        </w:rPr>
        <w:t xml:space="preserve">MW of geothermal resources </w:t>
      </w:r>
      <w:r>
        <w:rPr>
          <w:sz w:val="22"/>
          <w:szCs w:val="22"/>
        </w:rPr>
        <w:t xml:space="preserve">on the Big Island of </w:t>
      </w:r>
      <w:r w:rsidR="00ED46B9" w:rsidRPr="00883529">
        <w:rPr>
          <w:sz w:val="22"/>
          <w:szCs w:val="22"/>
        </w:rPr>
        <w:t>Hawai‘i</w:t>
      </w:r>
      <w:r>
        <w:rPr>
          <w:sz w:val="22"/>
          <w:szCs w:val="22"/>
        </w:rPr>
        <w:t xml:space="preserve"> </w:t>
      </w:r>
      <w:r w:rsidR="00ED46B9">
        <w:rPr>
          <w:sz w:val="22"/>
          <w:szCs w:val="22"/>
        </w:rPr>
        <w:t xml:space="preserve">for Hawaii </w:t>
      </w:r>
      <w:r>
        <w:rPr>
          <w:sz w:val="22"/>
          <w:szCs w:val="22"/>
        </w:rPr>
        <w:t>Electric Light</w:t>
      </w:r>
      <w:r w:rsidR="00ED46B9">
        <w:rPr>
          <w:sz w:val="22"/>
          <w:szCs w:val="22"/>
        </w:rPr>
        <w:t xml:space="preserve"> Company</w:t>
      </w:r>
      <w:r>
        <w:rPr>
          <w:sz w:val="22"/>
          <w:szCs w:val="22"/>
        </w:rPr>
        <w:t xml:space="preserve">. </w:t>
      </w:r>
      <w:r w:rsidR="00ED46B9">
        <w:rPr>
          <w:sz w:val="22"/>
          <w:szCs w:val="22"/>
        </w:rPr>
        <w:t xml:space="preserve"> Managed an internal team in the development of RFP parameters</w:t>
      </w:r>
      <w:r w:rsidR="00F2411B">
        <w:rPr>
          <w:sz w:val="22"/>
          <w:szCs w:val="22"/>
        </w:rPr>
        <w:t>;</w:t>
      </w:r>
      <w:r w:rsidR="00ED46B9">
        <w:rPr>
          <w:sz w:val="22"/>
          <w:szCs w:val="22"/>
        </w:rPr>
        <w:t xml:space="preserve"> prepared filing documents for the public utility commission review process</w:t>
      </w:r>
      <w:r w:rsidR="00F2411B">
        <w:rPr>
          <w:sz w:val="22"/>
          <w:szCs w:val="22"/>
        </w:rPr>
        <w:t>;</w:t>
      </w:r>
      <w:r w:rsidR="00ED46B9">
        <w:rPr>
          <w:sz w:val="22"/>
          <w:szCs w:val="22"/>
        </w:rPr>
        <w:t xml:space="preserve"> organized and prepared responses to bidder</w:t>
      </w:r>
      <w:r w:rsidR="00F2411B">
        <w:rPr>
          <w:sz w:val="22"/>
          <w:szCs w:val="22"/>
        </w:rPr>
        <w:t>,</w:t>
      </w:r>
      <w:r w:rsidR="00ED46B9">
        <w:rPr>
          <w:sz w:val="22"/>
          <w:szCs w:val="22"/>
        </w:rPr>
        <w:t xml:space="preserve"> public</w:t>
      </w:r>
      <w:r w:rsidR="00F2411B">
        <w:rPr>
          <w:sz w:val="22"/>
          <w:szCs w:val="22"/>
        </w:rPr>
        <w:t>,</w:t>
      </w:r>
      <w:r w:rsidR="00ED46B9">
        <w:rPr>
          <w:sz w:val="22"/>
          <w:szCs w:val="22"/>
        </w:rPr>
        <w:t xml:space="preserve"> and regulator questions regarding the RFP approach and documentation</w:t>
      </w:r>
      <w:r w:rsidR="00F2411B">
        <w:rPr>
          <w:sz w:val="22"/>
          <w:szCs w:val="22"/>
        </w:rPr>
        <w:t>;</w:t>
      </w:r>
      <w:r w:rsidR="00ED46B9">
        <w:rPr>
          <w:sz w:val="22"/>
          <w:szCs w:val="22"/>
        </w:rPr>
        <w:t xml:space="preserve"> developed and organized a webinar bidder meeting to </w:t>
      </w:r>
      <w:r w:rsidR="00F2411B">
        <w:rPr>
          <w:sz w:val="22"/>
          <w:szCs w:val="22"/>
        </w:rPr>
        <w:t xml:space="preserve">ensure that all parties had access to information; developed the bid evaluation approach and managed its implementation; and communicated with senior management relative to </w:t>
      </w:r>
      <w:r w:rsidR="0097270E">
        <w:rPr>
          <w:sz w:val="22"/>
          <w:szCs w:val="22"/>
        </w:rPr>
        <w:t xml:space="preserve">ultimate bidder </w:t>
      </w:r>
      <w:r w:rsidR="00F2411B">
        <w:rPr>
          <w:sz w:val="22"/>
          <w:szCs w:val="22"/>
        </w:rPr>
        <w:t>selection and risk considerations.</w:t>
      </w:r>
    </w:p>
    <w:p w:rsidR="00ED46B9" w:rsidRDefault="0097270E" w:rsidP="0097270E">
      <w:pPr>
        <w:pStyle w:val="BulletList"/>
        <w:numPr>
          <w:ilvl w:val="0"/>
          <w:numId w:val="12"/>
        </w:numPr>
        <w:spacing w:after="120" w:line="240" w:lineRule="auto"/>
        <w:ind w:left="274" w:hanging="274"/>
        <w:jc w:val="both"/>
        <w:rPr>
          <w:sz w:val="22"/>
          <w:szCs w:val="22"/>
        </w:rPr>
      </w:pPr>
      <w:r>
        <w:rPr>
          <w:sz w:val="22"/>
          <w:szCs w:val="22"/>
        </w:rPr>
        <w:t xml:space="preserve">Completed a market assessment for a </w:t>
      </w:r>
      <w:r w:rsidR="00B21537" w:rsidRPr="00B21537">
        <w:rPr>
          <w:sz w:val="22"/>
          <w:szCs w:val="22"/>
        </w:rPr>
        <w:t>confidential equity investor interested in pot</w:t>
      </w:r>
      <w:r w:rsidR="00A612C6">
        <w:rPr>
          <w:sz w:val="22"/>
          <w:szCs w:val="22"/>
        </w:rPr>
        <w:t>entially acquiring a percentage</w:t>
      </w:r>
      <w:r w:rsidR="00B21537" w:rsidRPr="00B21537">
        <w:rPr>
          <w:sz w:val="22"/>
          <w:szCs w:val="22"/>
        </w:rPr>
        <w:t xml:space="preserve"> of a renewable energy generation facility on the island of Hawaii.  Analysis included a full description of the market realities in Hawaii, </w:t>
      </w:r>
      <w:r>
        <w:rPr>
          <w:sz w:val="22"/>
          <w:szCs w:val="22"/>
        </w:rPr>
        <w:t>such as</w:t>
      </w:r>
      <w:r w:rsidR="00B21537" w:rsidRPr="00B21537">
        <w:rPr>
          <w:sz w:val="22"/>
          <w:szCs w:val="22"/>
        </w:rPr>
        <w:t xml:space="preserve"> potentially market-altering plans to transition existing ge</w:t>
      </w:r>
      <w:r>
        <w:rPr>
          <w:sz w:val="22"/>
          <w:szCs w:val="22"/>
        </w:rPr>
        <w:t>neration facilities to burn LNG and</w:t>
      </w:r>
      <w:r w:rsidR="00B21537" w:rsidRPr="00B21537">
        <w:rPr>
          <w:sz w:val="22"/>
          <w:szCs w:val="22"/>
        </w:rPr>
        <w:t xml:space="preserve"> continu</w:t>
      </w:r>
      <w:r>
        <w:rPr>
          <w:sz w:val="22"/>
          <w:szCs w:val="22"/>
        </w:rPr>
        <w:t>ation of</w:t>
      </w:r>
      <w:r w:rsidR="00B21537" w:rsidRPr="00B21537">
        <w:rPr>
          <w:sz w:val="22"/>
          <w:szCs w:val="22"/>
        </w:rPr>
        <w:t xml:space="preserve"> the broad adoption of distributed solar photovoltaic systems.  </w:t>
      </w:r>
      <w:r w:rsidR="00403382">
        <w:rPr>
          <w:sz w:val="22"/>
          <w:szCs w:val="22"/>
        </w:rPr>
        <w:t>The</w:t>
      </w:r>
      <w:r w:rsidR="00B21537" w:rsidRPr="00B21537">
        <w:rPr>
          <w:sz w:val="22"/>
          <w:szCs w:val="22"/>
        </w:rPr>
        <w:t xml:space="preserve"> independent market assessment report provided, for all post-PPA years, a projection of annual weighted average energy market pricing, the potential market revenues of the asset, and the potential operational profile of the facility under a range of future market assumptions</w:t>
      </w:r>
      <w:r w:rsidR="00A612C6">
        <w:rPr>
          <w:sz w:val="22"/>
          <w:szCs w:val="22"/>
        </w:rPr>
        <w:t>, including unit c</w:t>
      </w:r>
      <w:r w:rsidR="007D2F85">
        <w:rPr>
          <w:sz w:val="22"/>
          <w:szCs w:val="22"/>
        </w:rPr>
        <w:t>urtailment potential</w:t>
      </w:r>
      <w:r w:rsidR="00B21537" w:rsidRPr="00B21537">
        <w:rPr>
          <w:sz w:val="22"/>
          <w:szCs w:val="22"/>
        </w:rPr>
        <w:t xml:space="preserve">.  </w:t>
      </w:r>
    </w:p>
    <w:p w:rsidR="00883529" w:rsidRPr="00883529" w:rsidRDefault="00883529" w:rsidP="00883529">
      <w:pPr>
        <w:pStyle w:val="BulletList"/>
        <w:numPr>
          <w:ilvl w:val="0"/>
          <w:numId w:val="12"/>
        </w:numPr>
        <w:spacing w:after="120" w:line="240" w:lineRule="auto"/>
        <w:ind w:left="274" w:hanging="274"/>
        <w:jc w:val="both"/>
        <w:rPr>
          <w:sz w:val="22"/>
          <w:szCs w:val="22"/>
        </w:rPr>
      </w:pPr>
      <w:r>
        <w:rPr>
          <w:sz w:val="22"/>
          <w:szCs w:val="22"/>
        </w:rPr>
        <w:t xml:space="preserve">Managed the process and </w:t>
      </w:r>
      <w:r w:rsidR="00403382">
        <w:rPr>
          <w:sz w:val="22"/>
          <w:szCs w:val="22"/>
        </w:rPr>
        <w:t xml:space="preserve">development of </w:t>
      </w:r>
      <w:r>
        <w:rPr>
          <w:sz w:val="22"/>
          <w:szCs w:val="22"/>
        </w:rPr>
        <w:t>technical content for an RFP for Hawaiian Electric on the island of</w:t>
      </w:r>
      <w:r w:rsidRPr="00883529">
        <w:rPr>
          <w:sz w:val="22"/>
          <w:szCs w:val="22"/>
        </w:rPr>
        <w:t xml:space="preserve"> O‘ahu</w:t>
      </w:r>
      <w:r>
        <w:rPr>
          <w:sz w:val="22"/>
          <w:szCs w:val="22"/>
        </w:rPr>
        <w:t xml:space="preserve"> for</w:t>
      </w:r>
      <w:r w:rsidRPr="00883529">
        <w:rPr>
          <w:sz w:val="22"/>
          <w:szCs w:val="22"/>
        </w:rPr>
        <w:t xml:space="preserve"> renewable energy</w:t>
      </w:r>
      <w:r>
        <w:rPr>
          <w:sz w:val="22"/>
          <w:szCs w:val="22"/>
        </w:rPr>
        <w:t xml:space="preserve">; the RFP </w:t>
      </w:r>
      <w:r w:rsidRPr="00883529">
        <w:rPr>
          <w:sz w:val="22"/>
          <w:szCs w:val="22"/>
        </w:rPr>
        <w:t xml:space="preserve">would </w:t>
      </w:r>
      <w:r w:rsidR="00403382">
        <w:rPr>
          <w:sz w:val="22"/>
          <w:szCs w:val="22"/>
        </w:rPr>
        <w:t xml:space="preserve">also </w:t>
      </w:r>
      <w:r w:rsidRPr="00883529">
        <w:rPr>
          <w:sz w:val="22"/>
          <w:szCs w:val="22"/>
        </w:rPr>
        <w:t xml:space="preserve">consider off-island sources with an undersea cable. </w:t>
      </w:r>
      <w:r>
        <w:rPr>
          <w:sz w:val="22"/>
          <w:szCs w:val="22"/>
        </w:rPr>
        <w:t>M</w:t>
      </w:r>
      <w:r w:rsidRPr="00883529">
        <w:rPr>
          <w:sz w:val="22"/>
          <w:szCs w:val="22"/>
        </w:rPr>
        <w:t xml:space="preserve">anaged the documents, including internal utility staff comments and information, filing development for the Hawai‘i Public Utilities Commission, information requests from potential bidders and interested parties, responses to information requests, and preparation and execution of </w:t>
      </w:r>
      <w:r w:rsidRPr="00883529">
        <w:rPr>
          <w:sz w:val="22"/>
          <w:szCs w:val="22"/>
        </w:rPr>
        <w:lastRenderedPageBreak/>
        <w:t>an on-site bidder meeting to describe the process, need, proposal requirements, and policies of the commission.</w:t>
      </w:r>
    </w:p>
    <w:p w:rsidR="00383637" w:rsidRDefault="006B017C" w:rsidP="006C2E00">
      <w:pPr>
        <w:pStyle w:val="BulletList"/>
        <w:numPr>
          <w:ilvl w:val="0"/>
          <w:numId w:val="12"/>
        </w:numPr>
        <w:spacing w:after="120" w:line="240" w:lineRule="auto"/>
        <w:ind w:left="274" w:hanging="274"/>
        <w:jc w:val="both"/>
        <w:rPr>
          <w:sz w:val="22"/>
          <w:szCs w:val="22"/>
        </w:rPr>
      </w:pPr>
      <w:r w:rsidRPr="00F2411B">
        <w:rPr>
          <w:sz w:val="22"/>
          <w:szCs w:val="22"/>
        </w:rPr>
        <w:t>Provided an independent market advisory</w:t>
      </w:r>
      <w:r w:rsidR="00403382">
        <w:rPr>
          <w:sz w:val="22"/>
          <w:szCs w:val="22"/>
        </w:rPr>
        <w:t xml:space="preserve"> and valuation</w:t>
      </w:r>
      <w:r w:rsidRPr="00F2411B">
        <w:rPr>
          <w:sz w:val="22"/>
          <w:szCs w:val="22"/>
        </w:rPr>
        <w:t xml:space="preserve"> assessment </w:t>
      </w:r>
      <w:r w:rsidR="00403382">
        <w:rPr>
          <w:sz w:val="22"/>
          <w:szCs w:val="22"/>
        </w:rPr>
        <w:t>for</w:t>
      </w:r>
      <w:r w:rsidRPr="00F2411B">
        <w:rPr>
          <w:sz w:val="22"/>
          <w:szCs w:val="22"/>
        </w:rPr>
        <w:t xml:space="preserve"> a confidential client’s investigation into potential acquisition of several biomass-fueled generation resources in the New England and California power markets. Provided insight into the U.S. power industry, including specifically, the wholesale power markets and Renewable Energy Credits (RECs) markets for both of these regions, as well as the related fuel supply markets in New Hampshire and California for wood-waste biomass.  Identified potential risk implications for each of the three facilities, based on the U.S. market trends and the future of REC markets.  </w:t>
      </w:r>
    </w:p>
    <w:p w:rsidR="006662D3" w:rsidRPr="00F2411B" w:rsidRDefault="006662D3" w:rsidP="006C2E00">
      <w:pPr>
        <w:pStyle w:val="BulletList"/>
        <w:numPr>
          <w:ilvl w:val="0"/>
          <w:numId w:val="12"/>
        </w:numPr>
        <w:spacing w:after="120" w:line="240" w:lineRule="auto"/>
        <w:ind w:left="274" w:hanging="274"/>
        <w:jc w:val="both"/>
        <w:rPr>
          <w:sz w:val="22"/>
          <w:szCs w:val="22"/>
        </w:rPr>
      </w:pPr>
      <w:r>
        <w:rPr>
          <w:sz w:val="22"/>
          <w:szCs w:val="22"/>
        </w:rPr>
        <w:t xml:space="preserve">Worked with a cross-functional team of managers at Constellation Energy to support the development of a renewable energy strategic plan by providing technology information, regulatory and market information by state and North American regions.  Facilitated strategic planning workshops developing and documenting recommended market approaches.  </w:t>
      </w:r>
    </w:p>
    <w:p w:rsidR="006C2E00" w:rsidRDefault="006C2E00" w:rsidP="006C2E00">
      <w:pPr>
        <w:pStyle w:val="Salutation"/>
        <w:spacing w:after="0" w:line="240" w:lineRule="auto"/>
        <w:rPr>
          <w:b/>
          <w:i/>
          <w:color w:val="DA291C"/>
          <w:spacing w:val="24"/>
        </w:rPr>
      </w:pPr>
    </w:p>
    <w:p w:rsidR="00383637" w:rsidRDefault="00383637" w:rsidP="006C2E00">
      <w:pPr>
        <w:pStyle w:val="Salutation"/>
        <w:spacing w:after="120" w:line="240" w:lineRule="auto"/>
        <w:rPr>
          <w:b/>
          <w:i/>
          <w:color w:val="DA291C"/>
          <w:spacing w:val="24"/>
        </w:rPr>
      </w:pPr>
      <w:r w:rsidRPr="006C2E00">
        <w:rPr>
          <w:b/>
          <w:i/>
          <w:color w:val="DA291C"/>
          <w:spacing w:val="24"/>
        </w:rPr>
        <w:t>Procurement/Market Analysis</w:t>
      </w:r>
    </w:p>
    <w:p w:rsidR="003A6477" w:rsidRPr="00754EFE" w:rsidRDefault="006F1500" w:rsidP="003A6477">
      <w:pPr>
        <w:pStyle w:val="BulletList"/>
        <w:numPr>
          <w:ilvl w:val="0"/>
          <w:numId w:val="12"/>
        </w:numPr>
        <w:spacing w:after="120" w:line="240" w:lineRule="auto"/>
        <w:ind w:left="274" w:hanging="274"/>
        <w:jc w:val="both"/>
        <w:rPr>
          <w:sz w:val="22"/>
          <w:szCs w:val="22"/>
        </w:rPr>
      </w:pPr>
      <w:r>
        <w:rPr>
          <w:sz w:val="22"/>
          <w:szCs w:val="22"/>
        </w:rPr>
        <w:t>D</w:t>
      </w:r>
      <w:r w:rsidR="003A6477" w:rsidRPr="00754EFE">
        <w:rPr>
          <w:sz w:val="22"/>
          <w:szCs w:val="22"/>
        </w:rPr>
        <w:t xml:space="preserve">irected the competitive positioning analysis of more than </w:t>
      </w:r>
      <w:r w:rsidR="00A11D2C">
        <w:rPr>
          <w:sz w:val="22"/>
          <w:szCs w:val="22"/>
        </w:rPr>
        <w:t>50</w:t>
      </w:r>
      <w:r w:rsidR="003A6477" w:rsidRPr="00754EFE">
        <w:rPr>
          <w:sz w:val="22"/>
          <w:szCs w:val="22"/>
        </w:rPr>
        <w:t xml:space="preserve"> generation units or portfolios using </w:t>
      </w:r>
      <w:r w:rsidR="003A6477">
        <w:rPr>
          <w:sz w:val="22"/>
          <w:szCs w:val="22"/>
        </w:rPr>
        <w:t xml:space="preserve">industry standard economic and bid based </w:t>
      </w:r>
      <w:r w:rsidR="003A6477" w:rsidRPr="00754EFE">
        <w:rPr>
          <w:sz w:val="22"/>
          <w:szCs w:val="22"/>
        </w:rPr>
        <w:t>dispatch models to develop market prices for regions and for locational pricing.  For example, directed the development of a portfolio market analysis for a major investor that included more than 12 plants in eight different US markets that established competitive position of each unit, based on the forecasted market or PPA revenues, operating costs and market</w:t>
      </w:r>
      <w:r w:rsidR="00966292">
        <w:rPr>
          <w:sz w:val="22"/>
          <w:szCs w:val="22"/>
        </w:rPr>
        <w:t> </w:t>
      </w:r>
      <w:r w:rsidR="003A6477" w:rsidRPr="00754EFE">
        <w:rPr>
          <w:sz w:val="22"/>
          <w:szCs w:val="22"/>
        </w:rPr>
        <w:t xml:space="preserve">risks. </w:t>
      </w:r>
    </w:p>
    <w:p w:rsidR="00403382" w:rsidRDefault="00403382" w:rsidP="00403382">
      <w:pPr>
        <w:pStyle w:val="BulletList"/>
        <w:numPr>
          <w:ilvl w:val="0"/>
          <w:numId w:val="12"/>
        </w:numPr>
        <w:spacing w:after="120" w:line="240" w:lineRule="auto"/>
        <w:ind w:left="274" w:hanging="274"/>
        <w:jc w:val="both"/>
        <w:rPr>
          <w:sz w:val="22"/>
          <w:szCs w:val="22"/>
        </w:rPr>
      </w:pPr>
      <w:r w:rsidRPr="00754EFE">
        <w:rPr>
          <w:sz w:val="22"/>
          <w:szCs w:val="22"/>
        </w:rPr>
        <w:t xml:space="preserve">Assets analyzed </w:t>
      </w:r>
      <w:r w:rsidR="003A6477">
        <w:rPr>
          <w:sz w:val="22"/>
          <w:szCs w:val="22"/>
        </w:rPr>
        <w:t xml:space="preserve">for potential asset transactions </w:t>
      </w:r>
      <w:r w:rsidRPr="00754EFE">
        <w:rPr>
          <w:sz w:val="22"/>
          <w:szCs w:val="22"/>
        </w:rPr>
        <w:t>include electric generation, electric and gas transmission and distribution systems, steam systems, and competitive businesses such as product and service businesses or retail energy companies.</w:t>
      </w:r>
    </w:p>
    <w:p w:rsidR="00F2411B" w:rsidRPr="00754EFE" w:rsidRDefault="00F2411B" w:rsidP="00754EFE">
      <w:pPr>
        <w:pStyle w:val="BulletList"/>
        <w:numPr>
          <w:ilvl w:val="0"/>
          <w:numId w:val="12"/>
        </w:numPr>
        <w:spacing w:after="120" w:line="240" w:lineRule="auto"/>
        <w:ind w:left="274" w:hanging="274"/>
        <w:jc w:val="both"/>
        <w:rPr>
          <w:sz w:val="22"/>
          <w:szCs w:val="22"/>
        </w:rPr>
      </w:pPr>
      <w:r w:rsidRPr="00754EFE">
        <w:rPr>
          <w:sz w:val="22"/>
          <w:szCs w:val="22"/>
        </w:rPr>
        <w:t xml:space="preserve">For several confidential clients, directed cross functional teams investigating the potential profitability of acquisitions of generation assets located throughout Canada and the US.  For </w:t>
      </w:r>
      <w:r w:rsidR="00966292">
        <w:rPr>
          <w:sz w:val="22"/>
          <w:szCs w:val="22"/>
        </w:rPr>
        <w:t xml:space="preserve">these clients, </w:t>
      </w:r>
      <w:r w:rsidR="00A81DA9">
        <w:rPr>
          <w:sz w:val="22"/>
          <w:szCs w:val="22"/>
        </w:rPr>
        <w:t>the</w:t>
      </w:r>
      <w:r w:rsidR="00966292">
        <w:rPr>
          <w:sz w:val="22"/>
          <w:szCs w:val="22"/>
        </w:rPr>
        <w:t xml:space="preserve"> team developed</w:t>
      </w:r>
      <w:r w:rsidRPr="00754EFE">
        <w:rPr>
          <w:sz w:val="22"/>
          <w:szCs w:val="22"/>
        </w:rPr>
        <w:t xml:space="preserve"> potential revenues, identifies regulatory and market risk factors, develops mitigation strategies for these risks, prepares reports for financing support and works with diverse advisory teams to prepare documents for approval by investment boards.  </w:t>
      </w:r>
    </w:p>
    <w:p w:rsidR="00F2411B" w:rsidRPr="00754EFE" w:rsidRDefault="00F2411B" w:rsidP="00754EFE">
      <w:pPr>
        <w:pStyle w:val="BulletList"/>
        <w:numPr>
          <w:ilvl w:val="0"/>
          <w:numId w:val="12"/>
        </w:numPr>
        <w:spacing w:after="120" w:line="240" w:lineRule="auto"/>
        <w:ind w:left="274" w:hanging="274"/>
        <w:jc w:val="both"/>
        <w:rPr>
          <w:sz w:val="22"/>
          <w:szCs w:val="22"/>
        </w:rPr>
      </w:pPr>
      <w:r w:rsidRPr="00754EFE">
        <w:rPr>
          <w:sz w:val="22"/>
          <w:szCs w:val="22"/>
        </w:rPr>
        <w:t>For the Tuxpan V project in Mexico, directed a review of existing market information in order to develop a market based revenue projection for the market. This review included seeking out and reviewing regulatory reports on market regulatory changes and development of IPPs, reports on market potential from a number of sources, and discussion with market participants to assess their market knowledge.</w:t>
      </w:r>
    </w:p>
    <w:p w:rsidR="007D0482" w:rsidRDefault="007D0482" w:rsidP="00754EFE">
      <w:pPr>
        <w:pStyle w:val="BulletList"/>
        <w:numPr>
          <w:ilvl w:val="0"/>
          <w:numId w:val="12"/>
        </w:numPr>
        <w:spacing w:after="120" w:line="240" w:lineRule="auto"/>
        <w:ind w:left="274" w:hanging="274"/>
        <w:jc w:val="both"/>
        <w:rPr>
          <w:sz w:val="22"/>
          <w:szCs w:val="22"/>
        </w:rPr>
      </w:pPr>
      <w:r>
        <w:rPr>
          <w:sz w:val="22"/>
          <w:szCs w:val="22"/>
        </w:rPr>
        <w:t xml:space="preserve">For an independent investment firm, reviewed the power procurement plans for a new process plant in TX, providing independent recommendations for a phased in approach to acquire necessary power in a tight ERCOT market. </w:t>
      </w:r>
      <w:r w:rsidR="00966292">
        <w:rPr>
          <w:sz w:val="22"/>
          <w:szCs w:val="22"/>
        </w:rPr>
        <w:t>M</w:t>
      </w:r>
      <w:r>
        <w:rPr>
          <w:sz w:val="22"/>
          <w:szCs w:val="22"/>
        </w:rPr>
        <w:t>et with the ownership consortium to discuss the recommendations and worked with the team through the first phase.</w:t>
      </w:r>
    </w:p>
    <w:p w:rsidR="00F2411B" w:rsidRDefault="006F1500" w:rsidP="00754EFE">
      <w:pPr>
        <w:pStyle w:val="BulletList"/>
        <w:numPr>
          <w:ilvl w:val="0"/>
          <w:numId w:val="12"/>
        </w:numPr>
        <w:spacing w:after="120" w:line="240" w:lineRule="auto"/>
        <w:ind w:left="274" w:hanging="274"/>
        <w:jc w:val="both"/>
        <w:rPr>
          <w:sz w:val="22"/>
          <w:szCs w:val="22"/>
        </w:rPr>
      </w:pPr>
      <w:r>
        <w:rPr>
          <w:sz w:val="22"/>
          <w:szCs w:val="22"/>
        </w:rPr>
        <w:t>Wo</w:t>
      </w:r>
      <w:r w:rsidR="00F2411B" w:rsidRPr="00754EFE">
        <w:rPr>
          <w:sz w:val="22"/>
          <w:szCs w:val="22"/>
        </w:rPr>
        <w:t xml:space="preserve">rked with </w:t>
      </w:r>
      <w:r w:rsidR="00FF2C3D">
        <w:rPr>
          <w:sz w:val="22"/>
          <w:szCs w:val="22"/>
        </w:rPr>
        <w:t xml:space="preserve">MA </w:t>
      </w:r>
      <w:r w:rsidR="00403382">
        <w:rPr>
          <w:sz w:val="22"/>
          <w:szCs w:val="22"/>
        </w:rPr>
        <w:t>PowerOptions</w:t>
      </w:r>
      <w:r w:rsidR="00F2411B" w:rsidRPr="00754EFE">
        <w:rPr>
          <w:sz w:val="22"/>
          <w:szCs w:val="22"/>
        </w:rPr>
        <w:t xml:space="preserve"> to assess alternative resource procurement strategies for an aggregated group of customers with more than 500</w:t>
      </w:r>
      <w:r w:rsidR="00403382">
        <w:rPr>
          <w:sz w:val="22"/>
          <w:szCs w:val="22"/>
        </w:rPr>
        <w:t xml:space="preserve"> </w:t>
      </w:r>
      <w:r w:rsidR="00F2411B" w:rsidRPr="00754EFE">
        <w:rPr>
          <w:sz w:val="22"/>
          <w:szCs w:val="22"/>
        </w:rPr>
        <w:t xml:space="preserve">MW of electricity consumption.  </w:t>
      </w:r>
      <w:r w:rsidR="00966292">
        <w:rPr>
          <w:sz w:val="22"/>
          <w:szCs w:val="22"/>
        </w:rPr>
        <w:t>E</w:t>
      </w:r>
      <w:r w:rsidR="00F2411B" w:rsidRPr="00754EFE">
        <w:rPr>
          <w:sz w:val="22"/>
          <w:szCs w:val="22"/>
        </w:rPr>
        <w:t xml:space="preserve">valuated the ability to offer green power solutions to its customer group as well as the opportunity to participate in equity ownership of green facilities. </w:t>
      </w:r>
    </w:p>
    <w:p w:rsidR="0071041E" w:rsidRPr="00754EFE" w:rsidRDefault="0071041E" w:rsidP="0071041E">
      <w:pPr>
        <w:pStyle w:val="BulletList"/>
        <w:spacing w:after="120" w:line="240" w:lineRule="auto"/>
        <w:ind w:firstLine="0"/>
        <w:jc w:val="both"/>
        <w:rPr>
          <w:sz w:val="22"/>
          <w:szCs w:val="22"/>
        </w:rPr>
      </w:pPr>
    </w:p>
    <w:p w:rsidR="00BD6DB0" w:rsidRDefault="006F1500" w:rsidP="005831B7">
      <w:pPr>
        <w:pStyle w:val="BulletList"/>
        <w:numPr>
          <w:ilvl w:val="0"/>
          <w:numId w:val="12"/>
        </w:numPr>
        <w:spacing w:after="120" w:line="240" w:lineRule="auto"/>
        <w:ind w:left="274" w:hanging="274"/>
        <w:jc w:val="both"/>
        <w:rPr>
          <w:sz w:val="22"/>
          <w:szCs w:val="22"/>
        </w:rPr>
      </w:pPr>
      <w:r>
        <w:rPr>
          <w:sz w:val="22"/>
          <w:szCs w:val="22"/>
        </w:rPr>
        <w:lastRenderedPageBreak/>
        <w:t>W</w:t>
      </w:r>
      <w:r w:rsidR="003A6477">
        <w:rPr>
          <w:sz w:val="22"/>
          <w:szCs w:val="22"/>
        </w:rPr>
        <w:t>orked with the Rhode Island League of Cities and Towns in the</w:t>
      </w:r>
      <w:r w:rsidR="00BD6DB0" w:rsidRPr="005831B7">
        <w:rPr>
          <w:sz w:val="22"/>
          <w:szCs w:val="22"/>
        </w:rPr>
        <w:t xml:space="preserve"> development and issuance of an RFP representing the load following interests of a group of 37 municipalities in Rhode Island.  </w:t>
      </w:r>
      <w:r w:rsidR="00966292">
        <w:rPr>
          <w:sz w:val="22"/>
          <w:szCs w:val="22"/>
        </w:rPr>
        <w:t>D</w:t>
      </w:r>
      <w:r w:rsidR="00BD6DB0" w:rsidRPr="005831B7">
        <w:rPr>
          <w:sz w:val="22"/>
          <w:szCs w:val="22"/>
        </w:rPr>
        <w:t>irected RFP</w:t>
      </w:r>
      <w:r w:rsidR="00A11D2C">
        <w:rPr>
          <w:sz w:val="22"/>
          <w:szCs w:val="22"/>
        </w:rPr>
        <w:t> </w:t>
      </w:r>
      <w:r w:rsidR="00BD6DB0" w:rsidRPr="005831B7">
        <w:rPr>
          <w:sz w:val="22"/>
          <w:szCs w:val="22"/>
        </w:rPr>
        <w:t xml:space="preserve">development, participated in the review of proposals and negotiations for the final award of contract.  </w:t>
      </w:r>
      <w:r>
        <w:rPr>
          <w:sz w:val="22"/>
          <w:szCs w:val="22"/>
        </w:rPr>
        <w:t>I</w:t>
      </w:r>
      <w:r w:rsidR="00BD6DB0" w:rsidRPr="005831B7">
        <w:rPr>
          <w:sz w:val="22"/>
          <w:szCs w:val="22"/>
        </w:rPr>
        <w:t>nvolved with this client’s competitive procurement of electricity</w:t>
      </w:r>
      <w:r w:rsidR="003A6477">
        <w:rPr>
          <w:sz w:val="22"/>
          <w:szCs w:val="22"/>
        </w:rPr>
        <w:t>, issuing four separate RFPs,</w:t>
      </w:r>
      <w:r w:rsidR="00BD6DB0" w:rsidRPr="005831B7">
        <w:rPr>
          <w:sz w:val="22"/>
          <w:szCs w:val="22"/>
        </w:rPr>
        <w:t xml:space="preserve"> since 1998.</w:t>
      </w:r>
    </w:p>
    <w:p w:rsidR="006662D3" w:rsidRPr="005831B7" w:rsidRDefault="006662D3" w:rsidP="005831B7">
      <w:pPr>
        <w:pStyle w:val="BulletList"/>
        <w:numPr>
          <w:ilvl w:val="0"/>
          <w:numId w:val="12"/>
        </w:numPr>
        <w:spacing w:after="120" w:line="240" w:lineRule="auto"/>
        <w:ind w:left="274" w:hanging="274"/>
        <w:jc w:val="both"/>
        <w:rPr>
          <w:sz w:val="22"/>
          <w:szCs w:val="22"/>
        </w:rPr>
      </w:pPr>
      <w:r>
        <w:rPr>
          <w:sz w:val="22"/>
          <w:szCs w:val="22"/>
        </w:rPr>
        <w:t>For BG Group, investigated market issues, regulatory issues, and operational plans of a portfolio of generation assets throughout the world</w:t>
      </w:r>
      <w:r w:rsidR="007D0482">
        <w:rPr>
          <w:sz w:val="22"/>
          <w:szCs w:val="22"/>
        </w:rPr>
        <w:t>, including India, Italy, England, the US, and Ireland</w:t>
      </w:r>
      <w:r>
        <w:rPr>
          <w:sz w:val="22"/>
          <w:szCs w:val="22"/>
        </w:rPr>
        <w:t xml:space="preserve"> in order to </w:t>
      </w:r>
      <w:r w:rsidR="007D0482">
        <w:rPr>
          <w:sz w:val="22"/>
          <w:szCs w:val="22"/>
        </w:rPr>
        <w:t>provide an independent critical review of the projected proformas of each asset to management.</w:t>
      </w:r>
    </w:p>
    <w:p w:rsidR="00BD6DB0" w:rsidRDefault="006F1500" w:rsidP="005831B7">
      <w:pPr>
        <w:pStyle w:val="BulletList"/>
        <w:numPr>
          <w:ilvl w:val="0"/>
          <w:numId w:val="12"/>
        </w:numPr>
        <w:spacing w:after="120" w:line="240" w:lineRule="auto"/>
        <w:ind w:left="274" w:hanging="274"/>
        <w:jc w:val="both"/>
        <w:rPr>
          <w:sz w:val="22"/>
          <w:szCs w:val="22"/>
        </w:rPr>
      </w:pPr>
      <w:r>
        <w:rPr>
          <w:sz w:val="22"/>
          <w:szCs w:val="22"/>
        </w:rPr>
        <w:t>A</w:t>
      </w:r>
      <w:r w:rsidR="00BD6DB0" w:rsidRPr="005831B7">
        <w:rPr>
          <w:sz w:val="22"/>
          <w:szCs w:val="22"/>
        </w:rPr>
        <w:t xml:space="preserve">dvised </w:t>
      </w:r>
      <w:r w:rsidR="00FF2C3D">
        <w:rPr>
          <w:sz w:val="22"/>
          <w:szCs w:val="22"/>
        </w:rPr>
        <w:t xml:space="preserve">a number of confidential </w:t>
      </w:r>
      <w:r w:rsidR="00BD6DB0" w:rsidRPr="005831B7">
        <w:rPr>
          <w:sz w:val="22"/>
          <w:szCs w:val="22"/>
        </w:rPr>
        <w:t>clients in the assessment of opportunities, risks and financial alternatives in the consideration of an acquisition.</w:t>
      </w:r>
      <w:r w:rsidR="006662D3">
        <w:rPr>
          <w:sz w:val="22"/>
          <w:szCs w:val="22"/>
        </w:rPr>
        <w:t xml:space="preserve"> For Tyr Energy, directed a team of experts in the development of an independent market investigation to support acquisition of assets in the MISO</w:t>
      </w:r>
      <w:r w:rsidR="00A11D2C">
        <w:rPr>
          <w:sz w:val="22"/>
          <w:szCs w:val="22"/>
        </w:rPr>
        <w:t> </w:t>
      </w:r>
      <w:r w:rsidR="006662D3">
        <w:rPr>
          <w:sz w:val="22"/>
          <w:szCs w:val="22"/>
        </w:rPr>
        <w:t xml:space="preserve">footprint.  </w:t>
      </w:r>
    </w:p>
    <w:p w:rsidR="006662D3" w:rsidRDefault="006662D3" w:rsidP="005831B7">
      <w:pPr>
        <w:pStyle w:val="BulletList"/>
        <w:numPr>
          <w:ilvl w:val="0"/>
          <w:numId w:val="12"/>
        </w:numPr>
        <w:spacing w:after="120" w:line="240" w:lineRule="auto"/>
        <w:ind w:left="274" w:hanging="274"/>
        <w:jc w:val="both"/>
        <w:rPr>
          <w:sz w:val="22"/>
          <w:szCs w:val="22"/>
        </w:rPr>
      </w:pPr>
      <w:r>
        <w:rPr>
          <w:sz w:val="22"/>
          <w:szCs w:val="22"/>
        </w:rPr>
        <w:t>Provided generation output and revenue projections to support appraisal reports of traditional generation and renewable generation in all of the North American markets.</w:t>
      </w:r>
    </w:p>
    <w:p w:rsidR="0071041E" w:rsidRPr="005831B7" w:rsidRDefault="0071041E" w:rsidP="0071041E">
      <w:pPr>
        <w:pStyle w:val="BulletList"/>
        <w:spacing w:line="240" w:lineRule="auto"/>
        <w:ind w:firstLine="0"/>
        <w:jc w:val="both"/>
        <w:rPr>
          <w:sz w:val="22"/>
          <w:szCs w:val="22"/>
        </w:rPr>
      </w:pPr>
    </w:p>
    <w:p w:rsidR="00754EFE" w:rsidRPr="00754EFE" w:rsidRDefault="00754EFE" w:rsidP="00754EFE">
      <w:pPr>
        <w:pStyle w:val="Salutation"/>
        <w:spacing w:after="120" w:line="240" w:lineRule="auto"/>
        <w:rPr>
          <w:b/>
          <w:i/>
          <w:color w:val="DA291C"/>
          <w:spacing w:val="24"/>
        </w:rPr>
      </w:pPr>
      <w:r w:rsidRPr="00754EFE">
        <w:rPr>
          <w:b/>
          <w:i/>
          <w:color w:val="DA291C"/>
          <w:spacing w:val="24"/>
        </w:rPr>
        <w:t>Strategy, Business and Energy Planning</w:t>
      </w:r>
    </w:p>
    <w:p w:rsidR="00754EFE" w:rsidRPr="00754EFE" w:rsidRDefault="00754EFE" w:rsidP="00754EFE">
      <w:pPr>
        <w:pStyle w:val="BulletList"/>
        <w:numPr>
          <w:ilvl w:val="0"/>
          <w:numId w:val="12"/>
        </w:numPr>
        <w:spacing w:after="120" w:line="240" w:lineRule="auto"/>
        <w:ind w:left="274" w:hanging="274"/>
        <w:jc w:val="both"/>
        <w:rPr>
          <w:sz w:val="22"/>
          <w:szCs w:val="22"/>
        </w:rPr>
      </w:pPr>
      <w:r w:rsidRPr="00754EFE">
        <w:rPr>
          <w:sz w:val="22"/>
          <w:szCs w:val="22"/>
        </w:rPr>
        <w:t xml:space="preserve">For Hoosier Energy Rural Electric Cooperative and for New York Power Authority, led a team that provided strategic and technical facilitation of the C-level executives as they considered short and long term opportunities for enhancement to their business model.  </w:t>
      </w:r>
      <w:r w:rsidR="00A81DA9">
        <w:rPr>
          <w:sz w:val="22"/>
          <w:szCs w:val="22"/>
        </w:rPr>
        <w:t>S</w:t>
      </w:r>
      <w:r w:rsidRPr="00754EFE">
        <w:rPr>
          <w:sz w:val="22"/>
          <w:szCs w:val="22"/>
        </w:rPr>
        <w:t>ervices included interviews with key team members to develop a slate of issues for consideration as the team developed strategy, as well as preparing issue workbooks and team meeting approaches to keep discussion and debate moving and to determine actionable plans for implementation.</w:t>
      </w:r>
    </w:p>
    <w:p w:rsidR="00754EFE" w:rsidRPr="00754EFE" w:rsidRDefault="006F1500" w:rsidP="00754EFE">
      <w:pPr>
        <w:pStyle w:val="BulletList"/>
        <w:numPr>
          <w:ilvl w:val="0"/>
          <w:numId w:val="12"/>
        </w:numPr>
        <w:spacing w:after="120" w:line="240" w:lineRule="auto"/>
        <w:ind w:left="274" w:hanging="274"/>
        <w:jc w:val="both"/>
        <w:rPr>
          <w:sz w:val="22"/>
          <w:szCs w:val="22"/>
        </w:rPr>
      </w:pPr>
      <w:r>
        <w:rPr>
          <w:sz w:val="22"/>
          <w:szCs w:val="22"/>
        </w:rPr>
        <w:t>Directed</w:t>
      </w:r>
      <w:r w:rsidR="00754EFE" w:rsidRPr="00754EFE">
        <w:rPr>
          <w:sz w:val="22"/>
          <w:szCs w:val="22"/>
        </w:rPr>
        <w:t xml:space="preserve"> the creation of an independent long term energy plan for several major utilities and customers including Long Island Power Authority, a major upper Midwestern Investor Owned Utility, Massachusetts Institute of Technology, and Massachusetts Health and Educations Facilities Authority’s PowerOptions aggregated buying group.  These plans incorporating new generation technology, demand response programs, energy efficiency and load reduction programs, new construction, repowering, and renewable resources.  Methodologies used in these assignments utilized traditional planning methods coupled with scenario planning and the incorporation of probabilistic risk to more fully understand the impact of resource decisions and the risk of resource shortages. These approaches included an assessment of the implications for local and regional economic development and growth.</w:t>
      </w:r>
    </w:p>
    <w:p w:rsidR="00754EFE" w:rsidRPr="00754EFE" w:rsidRDefault="006F1500" w:rsidP="00754EFE">
      <w:pPr>
        <w:pStyle w:val="BulletList"/>
        <w:numPr>
          <w:ilvl w:val="0"/>
          <w:numId w:val="12"/>
        </w:numPr>
        <w:spacing w:after="120" w:line="240" w:lineRule="auto"/>
        <w:ind w:left="274" w:hanging="274"/>
        <w:jc w:val="both"/>
        <w:rPr>
          <w:sz w:val="22"/>
          <w:szCs w:val="22"/>
        </w:rPr>
      </w:pPr>
      <w:r>
        <w:rPr>
          <w:sz w:val="22"/>
          <w:szCs w:val="22"/>
        </w:rPr>
        <w:t>F</w:t>
      </w:r>
      <w:r w:rsidR="00754EFE" w:rsidRPr="00754EFE">
        <w:rPr>
          <w:sz w:val="22"/>
          <w:szCs w:val="22"/>
        </w:rPr>
        <w:t>acilitated strategy development for a major East Coast developer interested in expanding its renewable energy resource base.  For an Association of Iowa Electric Cooperatives, provided technical facilitation and policy development services to a cross section of 20 representatives of the more than forty members – resulting in the creation of positions with respect to climate change requirements.  The positions and strategies included development of a wide range of approaches to legislative and regulatory policy development on global warming solutions including, in particular, energy efficiency levels and standards, demand response, renewable portfolio standards, and net metering for community resources.</w:t>
      </w:r>
    </w:p>
    <w:p w:rsidR="009148C2" w:rsidRPr="00754EFE" w:rsidRDefault="006F1500" w:rsidP="009148C2">
      <w:pPr>
        <w:pStyle w:val="BulletList"/>
        <w:numPr>
          <w:ilvl w:val="0"/>
          <w:numId w:val="12"/>
        </w:numPr>
        <w:spacing w:after="120" w:line="240" w:lineRule="auto"/>
        <w:ind w:left="274" w:hanging="274"/>
        <w:jc w:val="both"/>
        <w:rPr>
          <w:sz w:val="22"/>
          <w:szCs w:val="22"/>
        </w:rPr>
      </w:pPr>
      <w:r>
        <w:rPr>
          <w:sz w:val="22"/>
          <w:szCs w:val="22"/>
        </w:rPr>
        <w:t>P</w:t>
      </w:r>
      <w:r w:rsidR="009148C2" w:rsidRPr="00754EFE">
        <w:rPr>
          <w:sz w:val="22"/>
          <w:szCs w:val="22"/>
        </w:rPr>
        <w:t xml:space="preserve">rovided a strategic plan to the Geothermal Development Corporation of Kenya in which was provided a long term market perspective on need for facilities and pricing, ability of the organization to provide the geothermal output to support project development, and identified the improvements in internal and external resources necessary to achieve production potential.  </w:t>
      </w:r>
    </w:p>
    <w:p w:rsidR="00754EFE" w:rsidRPr="00754EFE" w:rsidRDefault="006F1500" w:rsidP="00754EFE">
      <w:pPr>
        <w:pStyle w:val="BulletList"/>
        <w:numPr>
          <w:ilvl w:val="0"/>
          <w:numId w:val="12"/>
        </w:numPr>
        <w:spacing w:after="120" w:line="240" w:lineRule="auto"/>
        <w:ind w:left="274" w:hanging="274"/>
        <w:jc w:val="both"/>
        <w:rPr>
          <w:sz w:val="22"/>
          <w:szCs w:val="22"/>
        </w:rPr>
      </w:pPr>
      <w:r>
        <w:rPr>
          <w:sz w:val="22"/>
          <w:szCs w:val="22"/>
        </w:rPr>
        <w:lastRenderedPageBreak/>
        <w:t>D</w:t>
      </w:r>
      <w:r w:rsidR="00754EFE" w:rsidRPr="00754EFE">
        <w:rPr>
          <w:sz w:val="22"/>
          <w:szCs w:val="22"/>
        </w:rPr>
        <w:t xml:space="preserve">irected and completed a three-phase project working with the Iowa Association of Electric Cooperatives.  Phase </w:t>
      </w:r>
      <w:r w:rsidR="00BE0F39">
        <w:rPr>
          <w:sz w:val="22"/>
          <w:szCs w:val="22"/>
        </w:rPr>
        <w:t>1</w:t>
      </w:r>
      <w:r w:rsidR="00754EFE" w:rsidRPr="00754EFE">
        <w:rPr>
          <w:sz w:val="22"/>
          <w:szCs w:val="22"/>
        </w:rPr>
        <w:t xml:space="preserve"> involved the facilitation of a restructuring task force comprised of member cooperatives working together to strategize and formulate their joint restructuring position</w:t>
      </w:r>
      <w:r w:rsidR="007D2F85">
        <w:rPr>
          <w:sz w:val="22"/>
          <w:szCs w:val="22"/>
        </w:rPr>
        <w:t xml:space="preserve"> to be used for regulatory filings, negotiation, and discussion</w:t>
      </w:r>
      <w:r w:rsidR="00754EFE" w:rsidRPr="00754EFE">
        <w:rPr>
          <w:sz w:val="22"/>
          <w:szCs w:val="22"/>
        </w:rPr>
        <w:t xml:space="preserve">.  </w:t>
      </w:r>
      <w:r w:rsidR="00A11D2C">
        <w:rPr>
          <w:sz w:val="22"/>
          <w:szCs w:val="22"/>
        </w:rPr>
        <w:t xml:space="preserve">Phase </w:t>
      </w:r>
      <w:r w:rsidR="00BE0F39">
        <w:rPr>
          <w:sz w:val="22"/>
          <w:szCs w:val="22"/>
        </w:rPr>
        <w:t>2</w:t>
      </w:r>
      <w:r w:rsidR="00754EFE" w:rsidRPr="00754EFE">
        <w:rPr>
          <w:sz w:val="22"/>
          <w:szCs w:val="22"/>
        </w:rPr>
        <w:t xml:space="preserve"> required both facilitation and technical knowledge and focused on negotiation strategy and implementation of that strategy, resulting in the cooperative association taking a leadership role in state restructuring legislation development.  Phase</w:t>
      </w:r>
      <w:r w:rsidR="00BE0F39">
        <w:rPr>
          <w:sz w:val="22"/>
          <w:szCs w:val="22"/>
        </w:rPr>
        <w:t> 3</w:t>
      </w:r>
      <w:r w:rsidR="00754EFE" w:rsidRPr="00754EFE">
        <w:rPr>
          <w:sz w:val="22"/>
          <w:szCs w:val="22"/>
        </w:rPr>
        <w:t xml:space="preserve"> developed and implemented an education series for cooperative managers, directors and employees to prepare for industry restructuring</w:t>
      </w:r>
      <w:r w:rsidR="007D2F85">
        <w:rPr>
          <w:sz w:val="22"/>
          <w:szCs w:val="22"/>
        </w:rPr>
        <w:t xml:space="preserve"> issues and anticipated market changes whether adopted or</w:t>
      </w:r>
      <w:r w:rsidR="00BE0F39">
        <w:rPr>
          <w:sz w:val="22"/>
          <w:szCs w:val="22"/>
        </w:rPr>
        <w:t> </w:t>
      </w:r>
      <w:r w:rsidR="007D2F85">
        <w:rPr>
          <w:sz w:val="22"/>
          <w:szCs w:val="22"/>
        </w:rPr>
        <w:t>rejected</w:t>
      </w:r>
      <w:r w:rsidR="00754EFE" w:rsidRPr="00754EFE">
        <w:rPr>
          <w:sz w:val="22"/>
          <w:szCs w:val="22"/>
        </w:rPr>
        <w:t>.</w:t>
      </w:r>
    </w:p>
    <w:p w:rsidR="00754EFE" w:rsidRPr="00754EFE" w:rsidRDefault="006F1500" w:rsidP="00754EFE">
      <w:pPr>
        <w:pStyle w:val="BulletList"/>
        <w:numPr>
          <w:ilvl w:val="0"/>
          <w:numId w:val="12"/>
        </w:numPr>
        <w:spacing w:after="120" w:line="240" w:lineRule="auto"/>
        <w:ind w:left="274" w:hanging="274"/>
        <w:jc w:val="both"/>
        <w:rPr>
          <w:sz w:val="22"/>
          <w:szCs w:val="22"/>
        </w:rPr>
      </w:pPr>
      <w:r>
        <w:rPr>
          <w:sz w:val="22"/>
          <w:szCs w:val="22"/>
        </w:rPr>
        <w:t>W</w:t>
      </w:r>
      <w:r w:rsidR="00754EFE" w:rsidRPr="00754EFE">
        <w:rPr>
          <w:sz w:val="22"/>
          <w:szCs w:val="22"/>
        </w:rPr>
        <w:t xml:space="preserve">orked with several municipal utilities and joint action power agencies in separate projects to assess the impact of competition on their operations, develop strategies for the businesses to grow, and facilitate the development of implementation plans for successful growth.  </w:t>
      </w:r>
      <w:r w:rsidR="00A11D2C">
        <w:rPr>
          <w:sz w:val="22"/>
          <w:szCs w:val="22"/>
        </w:rPr>
        <w:t>F</w:t>
      </w:r>
      <w:r w:rsidR="00754EFE" w:rsidRPr="00754EFE">
        <w:rPr>
          <w:sz w:val="22"/>
          <w:szCs w:val="22"/>
        </w:rPr>
        <w:t xml:space="preserve">acilitated strategic planning sessions for several cooperative and municipal utilities boards to establish strategies for a </w:t>
      </w:r>
      <w:r w:rsidR="00A11D2C">
        <w:rPr>
          <w:sz w:val="22"/>
          <w:szCs w:val="22"/>
        </w:rPr>
        <w:t xml:space="preserve">competitive market framework. </w:t>
      </w:r>
    </w:p>
    <w:p w:rsidR="00035EB3" w:rsidRPr="00BD6DB0" w:rsidRDefault="007D2F85" w:rsidP="006C2E00">
      <w:pPr>
        <w:pStyle w:val="BulletList"/>
        <w:numPr>
          <w:ilvl w:val="0"/>
          <w:numId w:val="12"/>
        </w:numPr>
        <w:spacing w:after="120" w:line="240" w:lineRule="auto"/>
        <w:ind w:left="274" w:hanging="274"/>
        <w:jc w:val="both"/>
        <w:rPr>
          <w:sz w:val="22"/>
          <w:szCs w:val="22"/>
        </w:rPr>
      </w:pPr>
      <w:r>
        <w:rPr>
          <w:sz w:val="22"/>
          <w:szCs w:val="22"/>
        </w:rPr>
        <w:t>R</w:t>
      </w:r>
      <w:r w:rsidR="006F1500">
        <w:rPr>
          <w:sz w:val="22"/>
          <w:szCs w:val="22"/>
        </w:rPr>
        <w:t>eview</w:t>
      </w:r>
      <w:r w:rsidR="00A11D2C">
        <w:rPr>
          <w:sz w:val="22"/>
          <w:szCs w:val="22"/>
        </w:rPr>
        <w:t>ed</w:t>
      </w:r>
      <w:r w:rsidR="006F1500">
        <w:rPr>
          <w:sz w:val="22"/>
          <w:szCs w:val="22"/>
        </w:rPr>
        <w:t xml:space="preserve"> </w:t>
      </w:r>
      <w:r w:rsidR="00035EB3" w:rsidRPr="00BD6DB0">
        <w:rPr>
          <w:sz w:val="22"/>
          <w:szCs w:val="22"/>
        </w:rPr>
        <w:t xml:space="preserve">Grid Modernization plans filed by utilities in Massachusetts for the Massachusetts Department of Energy Resources. </w:t>
      </w:r>
      <w:r w:rsidR="00A11D2C">
        <w:rPr>
          <w:sz w:val="22"/>
          <w:szCs w:val="22"/>
        </w:rPr>
        <w:t>Work involved</w:t>
      </w:r>
      <w:r w:rsidR="00035EB3" w:rsidRPr="00BD6DB0">
        <w:rPr>
          <w:sz w:val="22"/>
          <w:szCs w:val="22"/>
        </w:rPr>
        <w:t xml:space="preserve"> analysis of stakeholder recommendations and development of policy positions for the Department.</w:t>
      </w:r>
    </w:p>
    <w:p w:rsidR="00383637" w:rsidRDefault="00BD6DB0" w:rsidP="00BD6DB0">
      <w:pPr>
        <w:pStyle w:val="BulletList"/>
        <w:numPr>
          <w:ilvl w:val="0"/>
          <w:numId w:val="12"/>
        </w:numPr>
        <w:spacing w:after="120" w:line="240" w:lineRule="auto"/>
        <w:ind w:left="274" w:hanging="274"/>
        <w:jc w:val="both"/>
        <w:rPr>
          <w:sz w:val="22"/>
          <w:szCs w:val="22"/>
        </w:rPr>
      </w:pPr>
      <w:r>
        <w:rPr>
          <w:sz w:val="22"/>
          <w:szCs w:val="22"/>
        </w:rPr>
        <w:t xml:space="preserve">For an Association of Iowa Electric Cooperatives, </w:t>
      </w:r>
      <w:r w:rsidR="006F1500">
        <w:rPr>
          <w:sz w:val="22"/>
          <w:szCs w:val="22"/>
        </w:rPr>
        <w:t>p</w:t>
      </w:r>
      <w:r>
        <w:rPr>
          <w:sz w:val="22"/>
          <w:szCs w:val="22"/>
        </w:rPr>
        <w:t>rovided technical facilitation and policy development services to a cross section of 20 representatives of the more than forty members – resulting in the creation of positions with respect to climate change requirements.  The positions and strategies included development of a wide range of approaches to legislative and regulatory policy development on global warming solutions including, in particular, energy efficiency levels and standards, demand response, renewable portfolio standards, and net metering for community resources.</w:t>
      </w:r>
    </w:p>
    <w:p w:rsidR="0071041E" w:rsidRPr="00BD6DB0" w:rsidRDefault="0071041E" w:rsidP="0071041E">
      <w:pPr>
        <w:pStyle w:val="BulletList"/>
        <w:spacing w:line="240" w:lineRule="auto"/>
        <w:ind w:firstLine="0"/>
        <w:jc w:val="both"/>
        <w:rPr>
          <w:sz w:val="22"/>
          <w:szCs w:val="22"/>
        </w:rPr>
      </w:pPr>
    </w:p>
    <w:p w:rsidR="00383637" w:rsidRPr="006C2E00" w:rsidRDefault="00383637" w:rsidP="006C2E00">
      <w:pPr>
        <w:pStyle w:val="Salutation"/>
        <w:spacing w:after="120" w:line="240" w:lineRule="auto"/>
        <w:rPr>
          <w:b/>
          <w:i/>
          <w:color w:val="DA291C"/>
          <w:spacing w:val="24"/>
        </w:rPr>
      </w:pPr>
      <w:r w:rsidRPr="006C2E00">
        <w:rPr>
          <w:b/>
          <w:i/>
          <w:color w:val="DA291C"/>
          <w:spacing w:val="24"/>
        </w:rPr>
        <w:t>Rates and Regulation</w:t>
      </w:r>
    </w:p>
    <w:p w:rsidR="00754EFE" w:rsidRPr="00754EFE" w:rsidRDefault="006F1500" w:rsidP="00754EFE">
      <w:pPr>
        <w:pStyle w:val="BulletList"/>
        <w:numPr>
          <w:ilvl w:val="0"/>
          <w:numId w:val="12"/>
        </w:numPr>
        <w:spacing w:after="120" w:line="240" w:lineRule="auto"/>
        <w:ind w:left="274" w:hanging="274"/>
        <w:jc w:val="both"/>
        <w:rPr>
          <w:sz w:val="22"/>
          <w:szCs w:val="22"/>
        </w:rPr>
      </w:pPr>
      <w:r>
        <w:rPr>
          <w:sz w:val="22"/>
          <w:szCs w:val="22"/>
        </w:rPr>
        <w:t>D</w:t>
      </w:r>
      <w:r w:rsidR="00754EFE" w:rsidRPr="00754EFE">
        <w:rPr>
          <w:sz w:val="22"/>
          <w:szCs w:val="22"/>
        </w:rPr>
        <w:t>irected a technical review of a proposal to implement an Accelerated Pipe Replacement Plan (APRP) by Washington Gas Light (WGL) on behalf of the DC Public Service Commission as part of a rate case submission. This review investigated other accelerated replacement programs and their objectives, evaluated filed testimony, confidential documents, data requests, industry databases and similar programs at other utilities to determine the appropriateness of WGL’s proposal.  Directed the drafting of Commission Staff briefings and ultimately recommended a redirection of the plan’s investment to incorporate larger pipe sizes than originally proposed and to focus first on those pipes of an older vintage and located in higher populated areas first.</w:t>
      </w:r>
    </w:p>
    <w:p w:rsidR="00A56D7C" w:rsidRPr="00A56D7C" w:rsidRDefault="00A56D7C" w:rsidP="00754EFE">
      <w:pPr>
        <w:pStyle w:val="BulletList"/>
        <w:numPr>
          <w:ilvl w:val="0"/>
          <w:numId w:val="12"/>
        </w:numPr>
        <w:spacing w:after="120" w:line="240" w:lineRule="auto"/>
        <w:ind w:left="274" w:hanging="274"/>
        <w:jc w:val="both"/>
        <w:rPr>
          <w:sz w:val="22"/>
          <w:szCs w:val="22"/>
        </w:rPr>
      </w:pPr>
      <w:r>
        <w:rPr>
          <w:sz w:val="22"/>
          <w:szCs w:val="22"/>
        </w:rPr>
        <w:t xml:space="preserve">For the Virgin Islands Water and Power Authority, </w:t>
      </w:r>
      <w:r w:rsidRPr="00A56D7C">
        <w:rPr>
          <w:sz w:val="22"/>
          <w:szCs w:val="22"/>
        </w:rPr>
        <w:t xml:space="preserve">completed an independent assessment of the avoided costs for a proposed waste technology generation facility and acted as an arbitrator for project discussions.  </w:t>
      </w:r>
      <w:r>
        <w:rPr>
          <w:sz w:val="22"/>
          <w:szCs w:val="22"/>
        </w:rPr>
        <w:t>U</w:t>
      </w:r>
      <w:r w:rsidRPr="00A56D7C">
        <w:rPr>
          <w:sz w:val="22"/>
          <w:szCs w:val="22"/>
        </w:rPr>
        <w:t>pdated the avoided cost calculations for both electric and water as the next step in the</w:t>
      </w:r>
      <w:r w:rsidR="00A11D2C">
        <w:rPr>
          <w:sz w:val="22"/>
          <w:szCs w:val="22"/>
        </w:rPr>
        <w:t> </w:t>
      </w:r>
      <w:r w:rsidRPr="00A56D7C">
        <w:rPr>
          <w:sz w:val="22"/>
          <w:szCs w:val="22"/>
        </w:rPr>
        <w:t xml:space="preserve">process.  </w:t>
      </w:r>
    </w:p>
    <w:p w:rsidR="00754EFE" w:rsidRPr="00754EFE" w:rsidRDefault="00754EFE" w:rsidP="00754EFE">
      <w:pPr>
        <w:pStyle w:val="BulletList"/>
        <w:numPr>
          <w:ilvl w:val="0"/>
          <w:numId w:val="12"/>
        </w:numPr>
        <w:spacing w:after="120" w:line="240" w:lineRule="auto"/>
        <w:ind w:left="274" w:hanging="274"/>
        <w:jc w:val="both"/>
        <w:rPr>
          <w:sz w:val="22"/>
          <w:szCs w:val="22"/>
        </w:rPr>
      </w:pPr>
      <w:r w:rsidRPr="00754EFE">
        <w:rPr>
          <w:sz w:val="22"/>
          <w:szCs w:val="22"/>
        </w:rPr>
        <w:t xml:space="preserve">For the Washington DC Public Service Commission, directed an assessment of the decisions relative to undergrounding the distribution assets of PEPCO.  </w:t>
      </w:r>
      <w:r w:rsidR="00A81DA9">
        <w:rPr>
          <w:sz w:val="22"/>
          <w:szCs w:val="22"/>
        </w:rPr>
        <w:t>A</w:t>
      </w:r>
      <w:r w:rsidRPr="00754EFE">
        <w:rPr>
          <w:sz w:val="22"/>
          <w:szCs w:val="22"/>
        </w:rPr>
        <w:t xml:space="preserve">nalysis included a review of the PEPCO investigations previously completed and added to the record by corroborating the cost information and offering an independent evaluation of the decision criteria that should be considered by the Commission when reviewing such activities.  </w:t>
      </w:r>
      <w:r w:rsidR="00A81DA9">
        <w:rPr>
          <w:sz w:val="22"/>
          <w:szCs w:val="22"/>
        </w:rPr>
        <w:t>The r</w:t>
      </w:r>
      <w:r w:rsidRPr="00754EFE">
        <w:rPr>
          <w:sz w:val="22"/>
          <w:szCs w:val="22"/>
        </w:rPr>
        <w:t xml:space="preserve">ecommendation was to consider such investments only when there are sufficient infrastructure improvement activities by other utilities or companies in geographically constrained areas to result in economic investment.  Although there </w:t>
      </w:r>
      <w:r w:rsidR="00A81DA9">
        <w:rPr>
          <w:sz w:val="22"/>
          <w:szCs w:val="22"/>
        </w:rPr>
        <w:t>was</w:t>
      </w:r>
      <w:r w:rsidRPr="00754EFE">
        <w:rPr>
          <w:sz w:val="22"/>
          <w:szCs w:val="22"/>
        </w:rPr>
        <w:t xml:space="preserve"> a significant </w:t>
      </w:r>
      <w:r w:rsidRPr="00754EFE">
        <w:rPr>
          <w:sz w:val="22"/>
          <w:szCs w:val="22"/>
        </w:rPr>
        <w:lastRenderedPageBreak/>
        <w:t xml:space="preserve">improvement in the reliability of the worst performing circuits, the cost of a system wide initiative would not be sufficient to justify the investment.  </w:t>
      </w:r>
    </w:p>
    <w:p w:rsidR="00754EFE" w:rsidRPr="00754EFE" w:rsidRDefault="006F1500" w:rsidP="00754EFE">
      <w:pPr>
        <w:pStyle w:val="BulletList"/>
        <w:numPr>
          <w:ilvl w:val="0"/>
          <w:numId w:val="12"/>
        </w:numPr>
        <w:spacing w:after="120" w:line="240" w:lineRule="auto"/>
        <w:ind w:left="274" w:hanging="274"/>
        <w:jc w:val="both"/>
        <w:rPr>
          <w:sz w:val="22"/>
          <w:szCs w:val="22"/>
        </w:rPr>
      </w:pPr>
      <w:r>
        <w:rPr>
          <w:sz w:val="22"/>
          <w:szCs w:val="22"/>
        </w:rPr>
        <w:t>D</w:t>
      </w:r>
      <w:r w:rsidR="00754EFE" w:rsidRPr="00754EFE">
        <w:rPr>
          <w:sz w:val="22"/>
          <w:szCs w:val="22"/>
        </w:rPr>
        <w:t>irected the development of a portfolio of</w:t>
      </w:r>
      <w:r w:rsidR="00C73600">
        <w:rPr>
          <w:sz w:val="22"/>
          <w:szCs w:val="22"/>
        </w:rPr>
        <w:t xml:space="preserve"> DSM programs, including</w:t>
      </w:r>
      <w:r w:rsidR="00754EFE" w:rsidRPr="00754EFE">
        <w:rPr>
          <w:sz w:val="22"/>
          <w:szCs w:val="22"/>
        </w:rPr>
        <w:t xml:space="preserve"> electric energy efficiency and demand response strategies for Northern Indiana Public Service Company (NIPSCO) for inclusion in its 2007 Integrated Resource Plan (IRP) filed with the Indiana Utility Regulatory Commission (IURC) and sponsored and provided testimony in support of the plan.  </w:t>
      </w:r>
      <w:r w:rsidR="00966292">
        <w:rPr>
          <w:sz w:val="22"/>
          <w:szCs w:val="22"/>
        </w:rPr>
        <w:t>Also</w:t>
      </w:r>
      <w:r w:rsidR="00754EFE" w:rsidRPr="00754EFE">
        <w:rPr>
          <w:sz w:val="22"/>
          <w:szCs w:val="22"/>
        </w:rPr>
        <w:t xml:space="preserve"> provided a report and support to regulators and stakeholders of NIPSCO’s gas efficiency programs during 2006.  </w:t>
      </w:r>
    </w:p>
    <w:p w:rsidR="002D0660" w:rsidRPr="002D0660" w:rsidRDefault="002D0660" w:rsidP="002D0660">
      <w:pPr>
        <w:pStyle w:val="BulletList"/>
        <w:numPr>
          <w:ilvl w:val="0"/>
          <w:numId w:val="12"/>
        </w:numPr>
        <w:spacing w:after="120" w:line="240" w:lineRule="auto"/>
        <w:ind w:left="274" w:hanging="274"/>
        <w:jc w:val="both"/>
        <w:rPr>
          <w:sz w:val="22"/>
          <w:szCs w:val="22"/>
        </w:rPr>
      </w:pPr>
      <w:r w:rsidRPr="002D0660">
        <w:rPr>
          <w:sz w:val="22"/>
          <w:szCs w:val="22"/>
        </w:rPr>
        <w:t xml:space="preserve">Since 2013, directs a team of internal and external consultants, serving as technical advisor to the Guam Public Utilities Commission.  These numerous advisory engagements address both power and water and wastewater utilities.  Recommendations on diverse technical regulatory filings included: rate and cost of service, integrated resource plans, revenue bond issuances, net metering programs, review of resource acquisition approaches, adopting energy efficiency and renewables, and whitepapers on time of use rates, feed-in-tariffs, and compressed air energy storage.  </w:t>
      </w:r>
      <w:r w:rsidR="006F1500">
        <w:rPr>
          <w:sz w:val="22"/>
          <w:szCs w:val="22"/>
        </w:rPr>
        <w:t>M</w:t>
      </w:r>
      <w:r w:rsidRPr="002D0660">
        <w:rPr>
          <w:sz w:val="22"/>
          <w:szCs w:val="22"/>
        </w:rPr>
        <w:t xml:space="preserve">anages client relationships with both the Commission and the regulated utilities to ensure proper communication of case needs, management of information requests, development of summary memos, and development of final reports for use in Commission orders. </w:t>
      </w:r>
      <w:r w:rsidR="007D2F85">
        <w:rPr>
          <w:sz w:val="22"/>
          <w:szCs w:val="22"/>
        </w:rPr>
        <w:t xml:space="preserve"> Most recent efforts involved the development of DSM programs with the on island utility and a review of the electric utility’s plans for system expansion.</w:t>
      </w:r>
      <w:r w:rsidRPr="002D0660">
        <w:rPr>
          <w:sz w:val="22"/>
          <w:szCs w:val="22"/>
        </w:rPr>
        <w:t xml:space="preserve"> </w:t>
      </w:r>
    </w:p>
    <w:p w:rsidR="00754EFE" w:rsidRPr="00754EFE" w:rsidRDefault="006F1500" w:rsidP="00754EFE">
      <w:pPr>
        <w:pStyle w:val="BulletList"/>
        <w:numPr>
          <w:ilvl w:val="0"/>
          <w:numId w:val="12"/>
        </w:numPr>
        <w:spacing w:after="120" w:line="240" w:lineRule="auto"/>
        <w:ind w:left="274" w:hanging="274"/>
        <w:jc w:val="both"/>
        <w:rPr>
          <w:sz w:val="22"/>
          <w:szCs w:val="22"/>
        </w:rPr>
      </w:pPr>
      <w:r>
        <w:rPr>
          <w:sz w:val="22"/>
          <w:szCs w:val="22"/>
        </w:rPr>
        <w:t>D</w:t>
      </w:r>
      <w:r w:rsidR="00754EFE" w:rsidRPr="00754EFE">
        <w:rPr>
          <w:sz w:val="22"/>
          <w:szCs w:val="22"/>
        </w:rPr>
        <w:t xml:space="preserve">irected and participated in efforts with Newfoundland Labrador Hydro to develop a revised cost of service and redesigned its retail and wholesale rates for </w:t>
      </w:r>
      <w:r w:rsidR="007D2F85">
        <w:rPr>
          <w:sz w:val="22"/>
          <w:szCs w:val="22"/>
        </w:rPr>
        <w:t>several</w:t>
      </w:r>
      <w:r w:rsidR="00754EFE" w:rsidRPr="00754EFE">
        <w:rPr>
          <w:sz w:val="22"/>
          <w:szCs w:val="22"/>
        </w:rPr>
        <w:t xml:space="preserve"> rate case</w:t>
      </w:r>
      <w:r w:rsidR="007D2F85">
        <w:rPr>
          <w:sz w:val="22"/>
          <w:szCs w:val="22"/>
        </w:rPr>
        <w:t>s</w:t>
      </w:r>
      <w:r w:rsidR="00754EFE" w:rsidRPr="00754EFE">
        <w:rPr>
          <w:sz w:val="22"/>
          <w:szCs w:val="22"/>
        </w:rPr>
        <w:t xml:space="preserve">.  </w:t>
      </w:r>
      <w:r>
        <w:rPr>
          <w:sz w:val="22"/>
          <w:szCs w:val="22"/>
        </w:rPr>
        <w:t>E</w:t>
      </w:r>
      <w:r w:rsidR="00754EFE" w:rsidRPr="00754EFE">
        <w:rPr>
          <w:sz w:val="22"/>
          <w:szCs w:val="22"/>
        </w:rPr>
        <w:t>valuated the potential for supporting regulatory capitalization of startup costs for a Canadian utility.</w:t>
      </w:r>
      <w:r w:rsidR="00C73600">
        <w:rPr>
          <w:sz w:val="22"/>
          <w:szCs w:val="22"/>
        </w:rPr>
        <w:t xml:space="preserve">  </w:t>
      </w:r>
      <w:r w:rsidR="00966292">
        <w:rPr>
          <w:sz w:val="22"/>
          <w:szCs w:val="22"/>
        </w:rPr>
        <w:t>A</w:t>
      </w:r>
      <w:r w:rsidR="00C73600">
        <w:rPr>
          <w:sz w:val="22"/>
          <w:szCs w:val="22"/>
        </w:rPr>
        <w:t>lso investigated and recommended the adoption of conservation programs by its wholesale power customer, Newfoundland Power, through changes in the wholesale pricing structure.</w:t>
      </w:r>
    </w:p>
    <w:p w:rsidR="00754EFE" w:rsidRPr="00754EFE" w:rsidRDefault="006F1500" w:rsidP="00754EFE">
      <w:pPr>
        <w:pStyle w:val="BulletList"/>
        <w:numPr>
          <w:ilvl w:val="0"/>
          <w:numId w:val="12"/>
        </w:numPr>
        <w:spacing w:after="120" w:line="240" w:lineRule="auto"/>
        <w:ind w:left="274" w:hanging="274"/>
        <w:jc w:val="both"/>
        <w:rPr>
          <w:sz w:val="22"/>
          <w:szCs w:val="22"/>
        </w:rPr>
      </w:pPr>
      <w:r>
        <w:rPr>
          <w:sz w:val="22"/>
          <w:szCs w:val="22"/>
        </w:rPr>
        <w:t>A</w:t>
      </w:r>
      <w:r w:rsidR="00754EFE" w:rsidRPr="00754EFE">
        <w:rPr>
          <w:sz w:val="22"/>
          <w:szCs w:val="22"/>
        </w:rPr>
        <w:t xml:space="preserve">dvised the CEO of Vermont Electric Cooperative as they prepared to file a rate case after its organizational improvement review with regard to the appropriate framework for the rate increase request.  </w:t>
      </w:r>
      <w:r w:rsidR="00F93364">
        <w:rPr>
          <w:sz w:val="22"/>
          <w:szCs w:val="22"/>
        </w:rPr>
        <w:t>R</w:t>
      </w:r>
      <w:r w:rsidR="00754EFE" w:rsidRPr="00754EFE">
        <w:rPr>
          <w:sz w:val="22"/>
          <w:szCs w:val="22"/>
        </w:rPr>
        <w:t xml:space="preserve">ecommendations resulted in the adoption of a framework in which the rate increase need was demonstrated by documenting the environment in which VEC was and expected to operate, the costs that had increased or were expected to increase such as union contracts, and the risks and mitigation strategies anticipated or managed to date that had driven the need to increase rates to its members.  The filing was held up as an industry standard in the state and the full increase was granted.  </w:t>
      </w:r>
    </w:p>
    <w:p w:rsidR="00754EFE" w:rsidRPr="00754EFE" w:rsidRDefault="006F1500" w:rsidP="00754EFE">
      <w:pPr>
        <w:pStyle w:val="BulletList"/>
        <w:numPr>
          <w:ilvl w:val="0"/>
          <w:numId w:val="12"/>
        </w:numPr>
        <w:spacing w:after="120" w:line="240" w:lineRule="auto"/>
        <w:ind w:left="274" w:hanging="274"/>
        <w:jc w:val="both"/>
        <w:rPr>
          <w:sz w:val="22"/>
          <w:szCs w:val="22"/>
        </w:rPr>
      </w:pPr>
      <w:r>
        <w:rPr>
          <w:sz w:val="22"/>
          <w:szCs w:val="22"/>
        </w:rPr>
        <w:t>Participated</w:t>
      </w:r>
      <w:r w:rsidR="00754EFE" w:rsidRPr="00754EFE">
        <w:rPr>
          <w:sz w:val="22"/>
          <w:szCs w:val="22"/>
        </w:rPr>
        <w:t xml:space="preserve"> in the application of the FERC Seven Factor Test to distribution and transmission assets for a major Midwestern utility and advised the client on strategic issues relative to application.</w:t>
      </w:r>
    </w:p>
    <w:p w:rsidR="00754EFE" w:rsidRPr="00754EFE" w:rsidRDefault="006F1500" w:rsidP="00754EFE">
      <w:pPr>
        <w:pStyle w:val="BulletList"/>
        <w:numPr>
          <w:ilvl w:val="0"/>
          <w:numId w:val="12"/>
        </w:numPr>
        <w:spacing w:after="120" w:line="240" w:lineRule="auto"/>
        <w:ind w:left="274" w:hanging="274"/>
        <w:jc w:val="both"/>
        <w:rPr>
          <w:sz w:val="22"/>
          <w:szCs w:val="22"/>
        </w:rPr>
      </w:pPr>
      <w:r>
        <w:rPr>
          <w:sz w:val="22"/>
          <w:szCs w:val="22"/>
        </w:rPr>
        <w:t>D</w:t>
      </w:r>
      <w:r w:rsidR="00754EFE" w:rsidRPr="00754EFE">
        <w:rPr>
          <w:sz w:val="22"/>
          <w:szCs w:val="22"/>
        </w:rPr>
        <w:t xml:space="preserve">irected rate case analysis and preparation for numerous utilities including NIPSCO, Terasen (formerly Centra Gas British Columbia) a division of Kinder Morgan, Newfoundland </w:t>
      </w:r>
      <w:r w:rsidR="007D2F85" w:rsidRPr="00754EFE">
        <w:rPr>
          <w:sz w:val="22"/>
          <w:szCs w:val="22"/>
        </w:rPr>
        <w:t>Labrador</w:t>
      </w:r>
      <w:r w:rsidR="00754EFE" w:rsidRPr="00754EFE">
        <w:rPr>
          <w:sz w:val="22"/>
          <w:szCs w:val="22"/>
        </w:rPr>
        <w:t xml:space="preserve"> Hydro, Boston Edison,  Centra Gas Manitoba, SLEMCO, Fayetteville Public Works, and others.</w:t>
      </w:r>
    </w:p>
    <w:p w:rsidR="009148C2" w:rsidRDefault="006F1500" w:rsidP="009148C2">
      <w:pPr>
        <w:pStyle w:val="BulletList"/>
        <w:numPr>
          <w:ilvl w:val="0"/>
          <w:numId w:val="12"/>
        </w:numPr>
        <w:spacing w:after="120" w:line="240" w:lineRule="auto"/>
        <w:ind w:left="274" w:hanging="274"/>
        <w:jc w:val="both"/>
        <w:rPr>
          <w:sz w:val="22"/>
          <w:szCs w:val="22"/>
        </w:rPr>
      </w:pPr>
      <w:r>
        <w:rPr>
          <w:sz w:val="22"/>
          <w:szCs w:val="22"/>
        </w:rPr>
        <w:t>A</w:t>
      </w:r>
      <w:r w:rsidR="009148C2">
        <w:rPr>
          <w:sz w:val="22"/>
          <w:szCs w:val="22"/>
        </w:rPr>
        <w:t>dvised a client</w:t>
      </w:r>
      <w:r w:rsidR="009148C2" w:rsidRPr="004750A9">
        <w:rPr>
          <w:sz w:val="22"/>
          <w:szCs w:val="22"/>
        </w:rPr>
        <w:t xml:space="preserve"> in the application of the FERC Seven Factor Test to distribution and transmission assets</w:t>
      </w:r>
      <w:r w:rsidR="009148C2">
        <w:rPr>
          <w:sz w:val="22"/>
          <w:szCs w:val="22"/>
        </w:rPr>
        <w:t xml:space="preserve"> for a major Midwestern utility</w:t>
      </w:r>
      <w:r w:rsidR="009148C2" w:rsidRPr="004750A9">
        <w:rPr>
          <w:sz w:val="22"/>
          <w:szCs w:val="22"/>
        </w:rPr>
        <w:t>.</w:t>
      </w:r>
    </w:p>
    <w:p w:rsidR="00C73600" w:rsidRPr="004750A9" w:rsidRDefault="00C73600" w:rsidP="009148C2">
      <w:pPr>
        <w:pStyle w:val="BulletList"/>
        <w:numPr>
          <w:ilvl w:val="0"/>
          <w:numId w:val="12"/>
        </w:numPr>
        <w:spacing w:after="120" w:line="240" w:lineRule="auto"/>
        <w:ind w:left="274" w:hanging="274"/>
        <w:jc w:val="both"/>
        <w:rPr>
          <w:sz w:val="22"/>
          <w:szCs w:val="22"/>
        </w:rPr>
      </w:pPr>
      <w:r>
        <w:rPr>
          <w:sz w:val="22"/>
          <w:szCs w:val="22"/>
        </w:rPr>
        <w:t xml:space="preserve">For NIPSCO, developed a rate case educational seminar designed to provide cost of service and rate design theories, practices, and precedent to a broad audience including C-level staff, engineering contributors, legal advisors both internal and external, metering staff, customer service staff, and cost of service and rate design practitioners.  </w:t>
      </w:r>
    </w:p>
    <w:p w:rsidR="009148C2" w:rsidRPr="004750A9" w:rsidRDefault="006F1500" w:rsidP="009148C2">
      <w:pPr>
        <w:pStyle w:val="BulletList"/>
        <w:numPr>
          <w:ilvl w:val="0"/>
          <w:numId w:val="12"/>
        </w:numPr>
        <w:spacing w:after="120" w:line="240" w:lineRule="auto"/>
        <w:ind w:left="274" w:hanging="274"/>
        <w:jc w:val="both"/>
        <w:rPr>
          <w:sz w:val="22"/>
          <w:szCs w:val="22"/>
        </w:rPr>
      </w:pPr>
      <w:r>
        <w:rPr>
          <w:sz w:val="22"/>
          <w:szCs w:val="22"/>
        </w:rPr>
        <w:t>D</w:t>
      </w:r>
      <w:r w:rsidR="009148C2" w:rsidRPr="004750A9">
        <w:rPr>
          <w:sz w:val="22"/>
          <w:szCs w:val="22"/>
        </w:rPr>
        <w:t xml:space="preserve">irected and participated in efforts with Newfoundland Labrador Hydro to develop a revised cost of service and redesigned its retail and wholesale rates for its 2003 rate case.  </w:t>
      </w:r>
      <w:r w:rsidR="00966292">
        <w:rPr>
          <w:sz w:val="22"/>
          <w:szCs w:val="22"/>
        </w:rPr>
        <w:t>E</w:t>
      </w:r>
      <w:r w:rsidR="009148C2" w:rsidRPr="004750A9">
        <w:rPr>
          <w:sz w:val="22"/>
          <w:szCs w:val="22"/>
        </w:rPr>
        <w:t>valuated the potential for supporting regulatory capitalization of startup costs for a Canadian utility.</w:t>
      </w:r>
    </w:p>
    <w:p w:rsidR="00BD6DB0" w:rsidRDefault="00BD6DB0" w:rsidP="006F1500">
      <w:pPr>
        <w:pStyle w:val="BulletList"/>
        <w:numPr>
          <w:ilvl w:val="0"/>
          <w:numId w:val="12"/>
        </w:numPr>
        <w:spacing w:after="120" w:line="240" w:lineRule="auto"/>
        <w:ind w:left="274" w:hanging="274"/>
        <w:jc w:val="both"/>
        <w:rPr>
          <w:sz w:val="22"/>
          <w:szCs w:val="22"/>
        </w:rPr>
      </w:pPr>
      <w:r>
        <w:rPr>
          <w:sz w:val="22"/>
          <w:szCs w:val="22"/>
        </w:rPr>
        <w:lastRenderedPageBreak/>
        <w:t xml:space="preserve">As Pricing and Marketing Department Manager at Eversource, </w:t>
      </w:r>
      <w:r w:rsidRPr="00BD6DB0">
        <w:rPr>
          <w:sz w:val="22"/>
          <w:szCs w:val="22"/>
        </w:rPr>
        <w:t xml:space="preserve">directed the development of cost allocation methods, retail and wholesale tariffs and filing requirements for rate cases.  </w:t>
      </w:r>
      <w:r w:rsidR="006F1500">
        <w:rPr>
          <w:sz w:val="22"/>
          <w:szCs w:val="22"/>
        </w:rPr>
        <w:t>S</w:t>
      </w:r>
      <w:r w:rsidRPr="00BD6DB0">
        <w:rPr>
          <w:sz w:val="22"/>
          <w:szCs w:val="22"/>
        </w:rPr>
        <w:t>uccessfully implemented the use of creative utility pricing tactics</w:t>
      </w:r>
      <w:r w:rsidR="00C73600">
        <w:rPr>
          <w:sz w:val="22"/>
          <w:szCs w:val="22"/>
        </w:rPr>
        <w:t xml:space="preserve"> including economic development rates, customer retention rates, and time of use rates</w:t>
      </w:r>
      <w:r w:rsidRPr="00BD6DB0">
        <w:rPr>
          <w:sz w:val="22"/>
          <w:szCs w:val="22"/>
        </w:rPr>
        <w:t xml:space="preserve">.  </w:t>
      </w:r>
      <w:r w:rsidR="006F1500">
        <w:rPr>
          <w:sz w:val="22"/>
          <w:szCs w:val="22"/>
        </w:rPr>
        <w:t>P</w:t>
      </w:r>
      <w:r w:rsidRPr="00BD6DB0">
        <w:rPr>
          <w:sz w:val="22"/>
          <w:szCs w:val="22"/>
        </w:rPr>
        <w:t xml:space="preserve">ositioned the utility as the first in the region capable of regional real time pricing through negotiated model development and successful customer pilot of hourly day ahead pricing.  </w:t>
      </w:r>
      <w:r w:rsidR="006F1500">
        <w:rPr>
          <w:sz w:val="22"/>
          <w:szCs w:val="22"/>
        </w:rPr>
        <w:t>E</w:t>
      </w:r>
      <w:r w:rsidRPr="00BD6DB0">
        <w:rPr>
          <w:sz w:val="22"/>
          <w:szCs w:val="22"/>
        </w:rPr>
        <w:t xml:space="preserve">ducated and trained corporate personnel on pricing strategy, positioning and tactics. </w:t>
      </w:r>
      <w:r w:rsidR="006F1500">
        <w:rPr>
          <w:sz w:val="22"/>
          <w:szCs w:val="22"/>
        </w:rPr>
        <w:t>T</w:t>
      </w:r>
      <w:r w:rsidR="007D2F85">
        <w:rPr>
          <w:sz w:val="22"/>
          <w:szCs w:val="22"/>
        </w:rPr>
        <w:t>estified on rate policy changes as part of the Industry Restructuring investigation led by the MA DPU.</w:t>
      </w:r>
      <w:r w:rsidRPr="00BD6DB0">
        <w:rPr>
          <w:sz w:val="22"/>
          <w:szCs w:val="22"/>
        </w:rPr>
        <w:t xml:space="preserve"> </w:t>
      </w:r>
      <w:r w:rsidR="006F1500">
        <w:rPr>
          <w:sz w:val="22"/>
          <w:szCs w:val="22"/>
        </w:rPr>
        <w:t>D</w:t>
      </w:r>
      <w:r w:rsidRPr="00BD6DB0">
        <w:rPr>
          <w:sz w:val="22"/>
          <w:szCs w:val="22"/>
        </w:rPr>
        <w:t xml:space="preserve">eveloped and implemented successful responses to competitive retention challenges with several major customers.  </w:t>
      </w:r>
    </w:p>
    <w:p w:rsidR="0071041E" w:rsidRPr="00BD6DB0" w:rsidRDefault="0071041E" w:rsidP="0071041E">
      <w:pPr>
        <w:pStyle w:val="BulletList"/>
        <w:spacing w:line="240" w:lineRule="auto"/>
        <w:ind w:firstLine="0"/>
        <w:jc w:val="both"/>
        <w:rPr>
          <w:sz w:val="22"/>
          <w:szCs w:val="22"/>
        </w:rPr>
      </w:pPr>
    </w:p>
    <w:p w:rsidR="00383637" w:rsidRPr="006C2E00" w:rsidRDefault="00383637" w:rsidP="006C2E00">
      <w:pPr>
        <w:pStyle w:val="Salutation"/>
        <w:spacing w:after="120" w:line="240" w:lineRule="auto"/>
        <w:rPr>
          <w:b/>
          <w:i/>
          <w:color w:val="DA291C"/>
          <w:spacing w:val="24"/>
        </w:rPr>
      </w:pPr>
      <w:r w:rsidRPr="006C2E00">
        <w:rPr>
          <w:b/>
          <w:i/>
          <w:color w:val="DA291C"/>
          <w:spacing w:val="24"/>
        </w:rPr>
        <w:t>Policy and Planning Analysis</w:t>
      </w:r>
    </w:p>
    <w:p w:rsidR="002D0660" w:rsidRPr="002D0660" w:rsidRDefault="002D0660" w:rsidP="00C304FA">
      <w:pPr>
        <w:pStyle w:val="BulletList"/>
        <w:numPr>
          <w:ilvl w:val="0"/>
          <w:numId w:val="12"/>
        </w:numPr>
        <w:spacing w:after="120" w:line="240" w:lineRule="auto"/>
        <w:ind w:left="274" w:hanging="274"/>
        <w:jc w:val="both"/>
        <w:rPr>
          <w:sz w:val="22"/>
          <w:szCs w:val="22"/>
        </w:rPr>
      </w:pPr>
      <w:r w:rsidRPr="00F96A1E">
        <w:rPr>
          <w:rFonts w:asciiTheme="minorHAnsi" w:eastAsia="Calibri" w:hAnsiTheme="minorHAnsi"/>
          <w:sz w:val="22"/>
          <w:szCs w:val="22"/>
        </w:rPr>
        <w:t>A recent engagement with a utility association evaluated the potential implications of increased distributed generation adoption.  Through facilitation of collaborative workshops, utility directors and managers attained a greater understanding of the potential opportunities and risks associated with distributed generation adoption</w:t>
      </w:r>
      <w:r>
        <w:rPr>
          <w:rFonts w:asciiTheme="minorHAnsi" w:eastAsia="Calibri" w:hAnsiTheme="minorHAnsi"/>
          <w:sz w:val="22"/>
          <w:szCs w:val="22"/>
        </w:rPr>
        <w:t xml:space="preserve"> and </w:t>
      </w:r>
      <w:r w:rsidRPr="00F96A1E">
        <w:rPr>
          <w:rFonts w:asciiTheme="minorHAnsi" w:eastAsia="Calibri" w:hAnsiTheme="minorHAnsi"/>
          <w:sz w:val="22"/>
          <w:szCs w:val="22"/>
        </w:rPr>
        <w:t xml:space="preserve">a greater coordination </w:t>
      </w:r>
      <w:r>
        <w:rPr>
          <w:rFonts w:asciiTheme="minorHAnsi" w:eastAsia="Calibri" w:hAnsiTheme="minorHAnsi"/>
          <w:sz w:val="22"/>
          <w:szCs w:val="22"/>
        </w:rPr>
        <w:t xml:space="preserve">was developed through the </w:t>
      </w:r>
      <w:r w:rsidRPr="00F96A1E">
        <w:rPr>
          <w:rFonts w:asciiTheme="minorHAnsi" w:eastAsia="Calibri" w:hAnsiTheme="minorHAnsi"/>
          <w:sz w:val="22"/>
          <w:szCs w:val="22"/>
        </w:rPr>
        <w:t>forum</w:t>
      </w:r>
      <w:r>
        <w:rPr>
          <w:rFonts w:asciiTheme="minorHAnsi" w:eastAsia="Calibri" w:hAnsiTheme="minorHAnsi"/>
          <w:sz w:val="22"/>
          <w:szCs w:val="22"/>
        </w:rPr>
        <w:t>’s</w:t>
      </w:r>
      <w:r w:rsidRPr="00F96A1E">
        <w:rPr>
          <w:rFonts w:asciiTheme="minorHAnsi" w:eastAsia="Calibri" w:hAnsiTheme="minorHAnsi"/>
          <w:sz w:val="22"/>
          <w:szCs w:val="22"/>
        </w:rPr>
        <w:t xml:space="preserve"> discuss</w:t>
      </w:r>
      <w:r>
        <w:rPr>
          <w:rFonts w:asciiTheme="minorHAnsi" w:eastAsia="Calibri" w:hAnsiTheme="minorHAnsi"/>
          <w:sz w:val="22"/>
          <w:szCs w:val="22"/>
        </w:rPr>
        <w:t>ion of the</w:t>
      </w:r>
      <w:r w:rsidRPr="00F96A1E">
        <w:rPr>
          <w:rFonts w:asciiTheme="minorHAnsi" w:eastAsia="Calibri" w:hAnsiTheme="minorHAnsi"/>
          <w:sz w:val="22"/>
          <w:szCs w:val="22"/>
        </w:rPr>
        <w:t xml:space="preserve"> issues and concerns</w:t>
      </w:r>
      <w:r>
        <w:rPr>
          <w:rFonts w:asciiTheme="minorHAnsi" w:eastAsia="Calibri" w:hAnsiTheme="minorHAnsi"/>
          <w:sz w:val="22"/>
          <w:szCs w:val="22"/>
        </w:rPr>
        <w:t xml:space="preserve"> impacting their members.</w:t>
      </w:r>
    </w:p>
    <w:p w:rsidR="00A27843" w:rsidRPr="00A27843" w:rsidRDefault="00A27843" w:rsidP="00C304FA">
      <w:pPr>
        <w:pStyle w:val="BulletList"/>
        <w:numPr>
          <w:ilvl w:val="0"/>
          <w:numId w:val="12"/>
        </w:numPr>
        <w:spacing w:after="120" w:line="240" w:lineRule="auto"/>
        <w:ind w:left="274" w:hanging="274"/>
        <w:jc w:val="both"/>
        <w:rPr>
          <w:sz w:val="22"/>
          <w:szCs w:val="22"/>
        </w:rPr>
      </w:pPr>
      <w:r w:rsidRPr="00A27843">
        <w:rPr>
          <w:sz w:val="22"/>
          <w:szCs w:val="22"/>
        </w:rPr>
        <w:t xml:space="preserve">For the Matanuska Electric Association, </w:t>
      </w:r>
      <w:r w:rsidR="007B67B6">
        <w:rPr>
          <w:sz w:val="22"/>
          <w:szCs w:val="22"/>
        </w:rPr>
        <w:t>P</w:t>
      </w:r>
      <w:r w:rsidRPr="00A27843">
        <w:rPr>
          <w:sz w:val="22"/>
          <w:szCs w:val="22"/>
        </w:rPr>
        <w:t>rovided an</w:t>
      </w:r>
      <w:r>
        <w:rPr>
          <w:sz w:val="22"/>
          <w:szCs w:val="22"/>
        </w:rPr>
        <w:t xml:space="preserve"> assessment of alternative </w:t>
      </w:r>
      <w:r w:rsidRPr="00A27843">
        <w:rPr>
          <w:sz w:val="22"/>
          <w:szCs w:val="22"/>
        </w:rPr>
        <w:t xml:space="preserve">generating facility proposals for a rural electric cooperative, </w:t>
      </w:r>
      <w:r>
        <w:rPr>
          <w:sz w:val="22"/>
          <w:szCs w:val="22"/>
        </w:rPr>
        <w:t xml:space="preserve">by </w:t>
      </w:r>
      <w:r w:rsidRPr="00A27843">
        <w:rPr>
          <w:sz w:val="22"/>
          <w:szCs w:val="22"/>
        </w:rPr>
        <w:t>model</w:t>
      </w:r>
      <w:r>
        <w:rPr>
          <w:sz w:val="22"/>
          <w:szCs w:val="22"/>
        </w:rPr>
        <w:t>ing</w:t>
      </w:r>
      <w:r w:rsidRPr="00A27843">
        <w:rPr>
          <w:sz w:val="22"/>
          <w:szCs w:val="22"/>
        </w:rPr>
        <w:t xml:space="preserve"> the Alaska Railbelt system using optimization software th</w:t>
      </w:r>
      <w:r>
        <w:rPr>
          <w:sz w:val="22"/>
          <w:szCs w:val="22"/>
        </w:rPr>
        <w:t>at</w:t>
      </w:r>
      <w:r w:rsidRPr="00A27843">
        <w:rPr>
          <w:sz w:val="22"/>
          <w:szCs w:val="22"/>
        </w:rPr>
        <w:t xml:space="preserve"> supports scenario analysis of multiple resource opportunities to fulfill need.  The analysis included hourly production cost modeling of five proposals, plus consideration and impact analysis of two potential system sales options.  </w:t>
      </w:r>
    </w:p>
    <w:p w:rsidR="004750A9" w:rsidRPr="004750A9" w:rsidRDefault="004750A9" w:rsidP="004750A9">
      <w:pPr>
        <w:pStyle w:val="BulletList"/>
        <w:numPr>
          <w:ilvl w:val="0"/>
          <w:numId w:val="12"/>
        </w:numPr>
        <w:spacing w:after="120" w:line="240" w:lineRule="auto"/>
        <w:ind w:left="274" w:hanging="274"/>
        <w:jc w:val="both"/>
        <w:rPr>
          <w:sz w:val="22"/>
          <w:szCs w:val="22"/>
        </w:rPr>
      </w:pPr>
      <w:r w:rsidRPr="004750A9">
        <w:rPr>
          <w:sz w:val="22"/>
          <w:szCs w:val="22"/>
        </w:rPr>
        <w:t xml:space="preserve">Directed the development of a ten-year forecast of North American copper demand resulting from electric industry expansion in generation, transmission and distribution segments for the Copper Development Association, which is a business trade association.  </w:t>
      </w:r>
    </w:p>
    <w:p w:rsidR="004750A9" w:rsidRPr="004750A9" w:rsidRDefault="004750A9" w:rsidP="004750A9">
      <w:pPr>
        <w:pStyle w:val="BulletList"/>
        <w:numPr>
          <w:ilvl w:val="0"/>
          <w:numId w:val="12"/>
        </w:numPr>
        <w:spacing w:after="120" w:line="240" w:lineRule="auto"/>
        <w:ind w:left="274" w:hanging="274"/>
        <w:jc w:val="both"/>
        <w:rPr>
          <w:sz w:val="22"/>
          <w:szCs w:val="22"/>
        </w:rPr>
      </w:pPr>
      <w:r w:rsidRPr="004750A9">
        <w:rPr>
          <w:sz w:val="22"/>
          <w:szCs w:val="22"/>
        </w:rPr>
        <w:t xml:space="preserve">For the Edison Electric Institute, directed the design of a survey of major utilities in the US relative to the implementation of Sarbanes Oxley Regulations in their organizations.  </w:t>
      </w:r>
      <w:r w:rsidR="00966292">
        <w:rPr>
          <w:sz w:val="22"/>
          <w:szCs w:val="22"/>
        </w:rPr>
        <w:t>I</w:t>
      </w:r>
      <w:r w:rsidRPr="004750A9">
        <w:rPr>
          <w:sz w:val="22"/>
          <w:szCs w:val="22"/>
        </w:rPr>
        <w:t xml:space="preserve">nterviewed 15 CEO’s and more than 75 C-Level officers to obtain their estimate of the costs, staffing impacts, concerns, and policy changes resulting from passage of the law.  </w:t>
      </w:r>
      <w:r w:rsidR="00966292">
        <w:rPr>
          <w:sz w:val="22"/>
          <w:szCs w:val="22"/>
        </w:rPr>
        <w:t>P</w:t>
      </w:r>
      <w:r w:rsidRPr="004750A9">
        <w:rPr>
          <w:sz w:val="22"/>
          <w:szCs w:val="22"/>
        </w:rPr>
        <w:t xml:space="preserve">repared and delivered a report for CEO’s and for the C-level staff and EEI to provide to its membership and presented the results to EEI. </w:t>
      </w:r>
    </w:p>
    <w:p w:rsidR="00A56D7C" w:rsidRDefault="00A56D7C" w:rsidP="00A56D7C">
      <w:pPr>
        <w:pStyle w:val="BulletList"/>
        <w:numPr>
          <w:ilvl w:val="0"/>
          <w:numId w:val="12"/>
        </w:numPr>
        <w:spacing w:after="120" w:line="240" w:lineRule="auto"/>
        <w:ind w:left="274" w:hanging="274"/>
        <w:jc w:val="both"/>
        <w:rPr>
          <w:sz w:val="22"/>
          <w:szCs w:val="22"/>
        </w:rPr>
      </w:pPr>
      <w:r>
        <w:rPr>
          <w:sz w:val="22"/>
          <w:szCs w:val="22"/>
        </w:rPr>
        <w:t>C</w:t>
      </w:r>
      <w:r w:rsidRPr="00A56D7C">
        <w:rPr>
          <w:sz w:val="22"/>
          <w:szCs w:val="22"/>
        </w:rPr>
        <w:t xml:space="preserve">onducted a strategic business assessment of ownership and operations options for </w:t>
      </w:r>
      <w:r>
        <w:rPr>
          <w:sz w:val="22"/>
          <w:szCs w:val="22"/>
        </w:rPr>
        <w:t>the First Church Christ Scientist’s</w:t>
      </w:r>
      <w:r w:rsidRPr="00A56D7C">
        <w:rPr>
          <w:sz w:val="22"/>
          <w:szCs w:val="22"/>
        </w:rPr>
        <w:t xml:space="preserve"> district cooling plant. </w:t>
      </w:r>
      <w:r>
        <w:rPr>
          <w:sz w:val="22"/>
          <w:szCs w:val="22"/>
        </w:rPr>
        <w:t>Completed</w:t>
      </w:r>
      <w:r w:rsidRPr="00A56D7C">
        <w:rPr>
          <w:sz w:val="22"/>
          <w:szCs w:val="22"/>
        </w:rPr>
        <w:t xml:space="preserve"> an economic and strategic assessment of the facility’s operations, identified the range of possible business solutions and alternatives to current ownership and operation of facility, estimated the financial impact to institution of various alternative options, and recommended a business plan for the facility.</w:t>
      </w:r>
    </w:p>
    <w:p w:rsidR="005831B7" w:rsidRPr="00BD6DB0" w:rsidRDefault="00966292" w:rsidP="00A56D7C">
      <w:pPr>
        <w:pStyle w:val="BulletList"/>
        <w:numPr>
          <w:ilvl w:val="0"/>
          <w:numId w:val="12"/>
        </w:numPr>
        <w:spacing w:after="120" w:line="240" w:lineRule="auto"/>
        <w:ind w:left="274" w:hanging="274"/>
        <w:jc w:val="both"/>
        <w:rPr>
          <w:sz w:val="22"/>
          <w:szCs w:val="22"/>
        </w:rPr>
      </w:pPr>
      <w:r>
        <w:rPr>
          <w:sz w:val="22"/>
          <w:szCs w:val="22"/>
        </w:rPr>
        <w:t>K</w:t>
      </w:r>
      <w:r w:rsidR="005831B7">
        <w:rPr>
          <w:sz w:val="22"/>
          <w:szCs w:val="22"/>
        </w:rPr>
        <w:t>ey</w:t>
      </w:r>
      <w:r w:rsidR="005831B7" w:rsidRPr="00BD6DB0">
        <w:rPr>
          <w:sz w:val="22"/>
          <w:szCs w:val="22"/>
        </w:rPr>
        <w:t xml:space="preserve"> </w:t>
      </w:r>
      <w:r w:rsidR="005831B7">
        <w:rPr>
          <w:sz w:val="22"/>
          <w:szCs w:val="22"/>
        </w:rPr>
        <w:t>representative for</w:t>
      </w:r>
      <w:r w:rsidR="005831B7" w:rsidRPr="00BD6DB0">
        <w:rPr>
          <w:sz w:val="22"/>
          <w:szCs w:val="22"/>
        </w:rPr>
        <w:t xml:space="preserve"> Boston Edison’s electric industry restructuring plan, evaluating strategic financial, operational and customer impacts of the proposed plan and building consensus both within and outside the corporation.  </w:t>
      </w:r>
      <w:r>
        <w:rPr>
          <w:sz w:val="22"/>
          <w:szCs w:val="22"/>
        </w:rPr>
        <w:t>P</w:t>
      </w:r>
      <w:r w:rsidR="005831B7" w:rsidRPr="00BD6DB0">
        <w:rPr>
          <w:sz w:val="22"/>
          <w:szCs w:val="22"/>
        </w:rPr>
        <w:t xml:space="preserve">articipated in the team that negotiated solutions with regulators and third parties resulting in settlement of major issues.  </w:t>
      </w:r>
      <w:r>
        <w:rPr>
          <w:sz w:val="22"/>
          <w:szCs w:val="22"/>
        </w:rPr>
        <w:t>Id</w:t>
      </w:r>
      <w:r w:rsidR="005831B7" w:rsidRPr="00BD6DB0">
        <w:rPr>
          <w:sz w:val="22"/>
          <w:szCs w:val="22"/>
        </w:rPr>
        <w:t xml:space="preserve">entified the structure and resources necessary to meet the demands of the new competitive energy market.  </w:t>
      </w:r>
      <w:r>
        <w:rPr>
          <w:sz w:val="22"/>
          <w:szCs w:val="22"/>
        </w:rPr>
        <w:t>D</w:t>
      </w:r>
      <w:r w:rsidR="005831B7" w:rsidRPr="00BD6DB0">
        <w:rPr>
          <w:sz w:val="22"/>
          <w:szCs w:val="22"/>
        </w:rPr>
        <w:t xml:space="preserve">eveloped strategies for business infrastructure implementation and coordinated regulatory strategy and witness preparation.  </w:t>
      </w:r>
      <w:r>
        <w:rPr>
          <w:sz w:val="22"/>
          <w:szCs w:val="22"/>
        </w:rPr>
        <w:t>E</w:t>
      </w:r>
      <w:r w:rsidR="005831B7" w:rsidRPr="00BD6DB0">
        <w:rPr>
          <w:sz w:val="22"/>
          <w:szCs w:val="22"/>
        </w:rPr>
        <w:t xml:space="preserve">xpert witness on rate design, implementation issues and customer education requirements. </w:t>
      </w:r>
      <w:r>
        <w:rPr>
          <w:sz w:val="22"/>
          <w:szCs w:val="22"/>
        </w:rPr>
        <w:t>C</w:t>
      </w:r>
      <w:r w:rsidR="005831B7" w:rsidRPr="00BD6DB0">
        <w:rPr>
          <w:sz w:val="22"/>
          <w:szCs w:val="22"/>
        </w:rPr>
        <w:t>ompany representative on industry working groups investigating and negotiating statewide restructuring issues</w:t>
      </w:r>
      <w:r w:rsidR="003C2D5D">
        <w:rPr>
          <w:sz w:val="22"/>
          <w:szCs w:val="22"/>
        </w:rPr>
        <w:t> </w:t>
      </w:r>
      <w:r w:rsidR="005831B7" w:rsidRPr="00BD6DB0">
        <w:rPr>
          <w:sz w:val="22"/>
          <w:szCs w:val="22"/>
        </w:rPr>
        <w:t xml:space="preserve">and the public spokesperson with area trade associations, businesses and customers on industry restructuring.  </w:t>
      </w:r>
    </w:p>
    <w:p w:rsidR="006662D3" w:rsidRPr="00F2411B" w:rsidRDefault="006662D3" w:rsidP="006662D3">
      <w:pPr>
        <w:pStyle w:val="Salutation"/>
        <w:keepNext/>
        <w:spacing w:after="120" w:line="240" w:lineRule="auto"/>
        <w:rPr>
          <w:b/>
          <w:i/>
          <w:color w:val="DA291C"/>
          <w:spacing w:val="24"/>
        </w:rPr>
      </w:pPr>
      <w:r>
        <w:rPr>
          <w:b/>
          <w:i/>
          <w:color w:val="DA291C"/>
          <w:spacing w:val="24"/>
        </w:rPr>
        <w:lastRenderedPageBreak/>
        <w:t>Management Consulting and Strategic Planning</w:t>
      </w:r>
    </w:p>
    <w:p w:rsidR="006662D3" w:rsidRPr="00F2411B" w:rsidRDefault="00966292" w:rsidP="006662D3">
      <w:pPr>
        <w:pStyle w:val="BulletList"/>
        <w:keepNext/>
        <w:numPr>
          <w:ilvl w:val="0"/>
          <w:numId w:val="12"/>
        </w:numPr>
        <w:spacing w:after="120" w:line="240" w:lineRule="auto"/>
        <w:ind w:left="274" w:hanging="274"/>
        <w:jc w:val="both"/>
        <w:rPr>
          <w:sz w:val="22"/>
          <w:szCs w:val="22"/>
        </w:rPr>
      </w:pPr>
      <w:r>
        <w:rPr>
          <w:sz w:val="22"/>
          <w:szCs w:val="22"/>
        </w:rPr>
        <w:t>P</w:t>
      </w:r>
      <w:r w:rsidR="006662D3" w:rsidRPr="00F2411B">
        <w:rPr>
          <w:sz w:val="22"/>
          <w:szCs w:val="22"/>
        </w:rPr>
        <w:t xml:space="preserve">articipated in business process improvements throughout career; providing </w:t>
      </w:r>
      <w:r w:rsidR="0016499C">
        <w:rPr>
          <w:sz w:val="22"/>
          <w:szCs w:val="22"/>
        </w:rPr>
        <w:t>independent reviews for clients</w:t>
      </w:r>
      <w:r w:rsidR="006662D3" w:rsidRPr="00F2411B">
        <w:rPr>
          <w:sz w:val="22"/>
          <w:szCs w:val="22"/>
        </w:rPr>
        <w:t xml:space="preserve"> and advising teams working within their own organizations to improve work flow and information security.</w:t>
      </w:r>
    </w:p>
    <w:p w:rsidR="006662D3" w:rsidRPr="00F2411B" w:rsidRDefault="006662D3" w:rsidP="006662D3">
      <w:pPr>
        <w:pStyle w:val="BulletList"/>
        <w:numPr>
          <w:ilvl w:val="0"/>
          <w:numId w:val="12"/>
        </w:numPr>
        <w:spacing w:after="120" w:line="240" w:lineRule="auto"/>
        <w:ind w:left="274" w:hanging="274"/>
        <w:jc w:val="both"/>
        <w:rPr>
          <w:sz w:val="22"/>
          <w:szCs w:val="22"/>
        </w:rPr>
      </w:pPr>
      <w:r w:rsidRPr="00F2411B">
        <w:rPr>
          <w:sz w:val="22"/>
          <w:szCs w:val="22"/>
        </w:rPr>
        <w:t xml:space="preserve">For a large Generation and Transmission Cooperative, asked by the CEO to investigate and provide advice relative to concerns over the investment decision making for numerous alternative energy facilities.  </w:t>
      </w:r>
      <w:r w:rsidR="00966292">
        <w:rPr>
          <w:sz w:val="22"/>
          <w:szCs w:val="22"/>
        </w:rPr>
        <w:t>T</w:t>
      </w:r>
      <w:r w:rsidRPr="00F2411B">
        <w:rPr>
          <w:sz w:val="22"/>
          <w:szCs w:val="22"/>
        </w:rPr>
        <w:t>eam interviewed all senior staff involved in the process and developed process flows for comparison to standardized decision making and project management techniques used by the</w:t>
      </w:r>
      <w:r w:rsidR="00F93364">
        <w:rPr>
          <w:sz w:val="22"/>
          <w:szCs w:val="22"/>
        </w:rPr>
        <w:t xml:space="preserve"> organization.  R</w:t>
      </w:r>
      <w:r w:rsidRPr="00F2411B">
        <w:rPr>
          <w:sz w:val="22"/>
          <w:szCs w:val="22"/>
        </w:rPr>
        <w:t xml:space="preserve">ecommendations shifted corporate responsibility for investment decisions, moved responsibility for project management implementation to a completely separate team, modified the accounting process and reporting requirements, and established key performance indicators that were designed to quickly flag errant projects.  </w:t>
      </w:r>
      <w:r w:rsidR="007D0482">
        <w:rPr>
          <w:sz w:val="22"/>
          <w:szCs w:val="22"/>
        </w:rPr>
        <w:t xml:space="preserve">The report </w:t>
      </w:r>
      <w:r w:rsidRPr="00F2411B">
        <w:rPr>
          <w:sz w:val="22"/>
          <w:szCs w:val="22"/>
        </w:rPr>
        <w:t>recommended that certain projects be sold to reduce losses and that others be halted or significantly modified to reduce risk to the organization.</w:t>
      </w:r>
    </w:p>
    <w:p w:rsidR="006662D3" w:rsidRPr="00F2411B" w:rsidRDefault="006662D3" w:rsidP="006662D3">
      <w:pPr>
        <w:pStyle w:val="BulletList"/>
        <w:numPr>
          <w:ilvl w:val="0"/>
          <w:numId w:val="12"/>
        </w:numPr>
        <w:spacing w:after="120" w:line="240" w:lineRule="auto"/>
        <w:ind w:left="274" w:hanging="274"/>
        <w:jc w:val="both"/>
        <w:rPr>
          <w:sz w:val="22"/>
          <w:szCs w:val="22"/>
        </w:rPr>
      </w:pPr>
      <w:r w:rsidRPr="00F2411B">
        <w:rPr>
          <w:sz w:val="22"/>
          <w:szCs w:val="22"/>
        </w:rPr>
        <w:t xml:space="preserve">For Scotia Bank, directed a business management review of a large pipe manufacturing organization to advise </w:t>
      </w:r>
      <w:r w:rsidR="007D0482">
        <w:rPr>
          <w:sz w:val="22"/>
          <w:szCs w:val="22"/>
        </w:rPr>
        <w:t xml:space="preserve">an </w:t>
      </w:r>
      <w:r w:rsidRPr="00F2411B">
        <w:rPr>
          <w:sz w:val="22"/>
          <w:szCs w:val="22"/>
        </w:rPr>
        <w:t xml:space="preserve">investor relative to recent losses and the potential that such losses were directly related to poor business processes, management, and decision-making.  </w:t>
      </w:r>
      <w:r w:rsidR="00966292">
        <w:rPr>
          <w:sz w:val="22"/>
          <w:szCs w:val="22"/>
        </w:rPr>
        <w:t>D</w:t>
      </w:r>
      <w:r w:rsidRPr="00F2411B">
        <w:rPr>
          <w:sz w:val="22"/>
          <w:szCs w:val="22"/>
        </w:rPr>
        <w:t xml:space="preserve">irected a team of investigators as they reviewed management reports and documentation, interviewed the president and c-level staff as well as staff throughout the organization.  </w:t>
      </w:r>
      <w:r w:rsidR="00966292">
        <w:rPr>
          <w:sz w:val="22"/>
          <w:szCs w:val="22"/>
        </w:rPr>
        <w:t>V</w:t>
      </w:r>
      <w:r w:rsidRPr="00F2411B">
        <w:rPr>
          <w:sz w:val="22"/>
          <w:szCs w:val="22"/>
        </w:rPr>
        <w:t xml:space="preserve">isited operational facilities to observe work flow and sampled specific “client engagements” that were reviewed from sales call through order installation and commissioning and through closure of the records at the organization.  </w:t>
      </w:r>
      <w:r w:rsidR="00F93364">
        <w:rPr>
          <w:sz w:val="22"/>
          <w:szCs w:val="22"/>
        </w:rPr>
        <w:t>The f</w:t>
      </w:r>
      <w:r w:rsidRPr="00F2411B">
        <w:rPr>
          <w:sz w:val="22"/>
          <w:szCs w:val="22"/>
        </w:rPr>
        <w:t xml:space="preserve">indings included a number of concerns that, if not addressed, could lead to future losses.  </w:t>
      </w:r>
      <w:r>
        <w:rPr>
          <w:sz w:val="22"/>
          <w:szCs w:val="22"/>
        </w:rPr>
        <w:t>The</w:t>
      </w:r>
      <w:r w:rsidRPr="00F2411B">
        <w:rPr>
          <w:sz w:val="22"/>
          <w:szCs w:val="22"/>
        </w:rPr>
        <w:t xml:space="preserve"> report offered a significant number of organizational structure modifications, personnel changes, management process improvements, communication and reporting steps enhancements, and extensive sales and product development modifications.</w:t>
      </w:r>
    </w:p>
    <w:p w:rsidR="006662D3" w:rsidRPr="00F2411B" w:rsidRDefault="00966292" w:rsidP="006662D3">
      <w:pPr>
        <w:pStyle w:val="BulletList"/>
        <w:numPr>
          <w:ilvl w:val="0"/>
          <w:numId w:val="12"/>
        </w:numPr>
        <w:spacing w:after="120" w:line="240" w:lineRule="auto"/>
        <w:ind w:left="274" w:hanging="274"/>
        <w:jc w:val="both"/>
        <w:rPr>
          <w:sz w:val="22"/>
          <w:szCs w:val="22"/>
        </w:rPr>
      </w:pPr>
      <w:r>
        <w:rPr>
          <w:sz w:val="22"/>
          <w:szCs w:val="22"/>
        </w:rPr>
        <w:t>D</w:t>
      </w:r>
      <w:r w:rsidR="006662D3" w:rsidRPr="00F2411B">
        <w:rPr>
          <w:sz w:val="22"/>
          <w:szCs w:val="22"/>
        </w:rPr>
        <w:t xml:space="preserve">irected a team of Lummus Consultants and Hoosier Energy, REC Supply Chain professionals in the development of a new process for the organization to follow when obtaining strategic equipment and services.  This required the development of a number of standard tools for the users including a SharePoint site upon which all procedures and process support documentation resided, the development of a new client outreach program in which the manager of the supply chain area would regularly interact with other managers and users to provide information about their services and to gather information for improvements, benchmarking of services internally including a dashboard summarizing - for the organization as a whole, by division and by department - the service guarantee and metrics demonstrating ability to meet the guarantee on a monthly or quarterly basis, as needed.  The system was well received and had been developed with a significant level of user input.  </w:t>
      </w:r>
    </w:p>
    <w:p w:rsidR="006662D3" w:rsidRPr="00F2411B" w:rsidRDefault="00966292" w:rsidP="006662D3">
      <w:pPr>
        <w:pStyle w:val="BulletList"/>
        <w:numPr>
          <w:ilvl w:val="0"/>
          <w:numId w:val="12"/>
        </w:numPr>
        <w:spacing w:after="120" w:line="240" w:lineRule="auto"/>
        <w:ind w:left="274" w:hanging="274"/>
        <w:jc w:val="both"/>
        <w:rPr>
          <w:sz w:val="22"/>
          <w:szCs w:val="22"/>
        </w:rPr>
      </w:pPr>
      <w:r>
        <w:rPr>
          <w:sz w:val="22"/>
          <w:szCs w:val="22"/>
        </w:rPr>
        <w:t>D</w:t>
      </w:r>
      <w:r w:rsidR="006662D3" w:rsidRPr="00F2411B">
        <w:rPr>
          <w:sz w:val="22"/>
          <w:szCs w:val="22"/>
        </w:rPr>
        <w:t xml:space="preserve">irected an assessment of the process and organizational effectiveness for a major Midwestern cooperative including corporate services and plant management and operations for a 1,000 MW coal fired facility.  This engagement resulted in recommendations for immediate and longer term process and organizational improvements, culture change requirements, and implementation and monitoring plans to achieve success.  Since the initial assessment, directed three follow-on evaluations, intended to monitor the organization’s progress toward achieving success, and, as a result, making recommendations for improvement in implementation and for areas not originally addressed.  </w:t>
      </w:r>
    </w:p>
    <w:p w:rsidR="00A56D7C" w:rsidRDefault="00A56D7C" w:rsidP="006662D3">
      <w:pPr>
        <w:pStyle w:val="BulletList"/>
        <w:numPr>
          <w:ilvl w:val="0"/>
          <w:numId w:val="12"/>
        </w:numPr>
        <w:spacing w:after="120" w:line="240" w:lineRule="auto"/>
        <w:ind w:left="274" w:hanging="274"/>
        <w:jc w:val="both"/>
        <w:rPr>
          <w:sz w:val="22"/>
          <w:szCs w:val="22"/>
        </w:rPr>
      </w:pPr>
      <w:r>
        <w:rPr>
          <w:sz w:val="22"/>
          <w:szCs w:val="22"/>
        </w:rPr>
        <w:t>W</w:t>
      </w:r>
      <w:r w:rsidRPr="00A56D7C">
        <w:rPr>
          <w:sz w:val="22"/>
          <w:szCs w:val="22"/>
        </w:rPr>
        <w:t xml:space="preserve">orked with Senior Management of Nova Scotia Power Company to provide advice and counsel relative to their ability to achieve productivity gains and efficiencies in the management and operations of their generation facilities.  </w:t>
      </w:r>
      <w:r>
        <w:rPr>
          <w:sz w:val="22"/>
          <w:szCs w:val="22"/>
        </w:rPr>
        <w:t xml:space="preserve">The </w:t>
      </w:r>
      <w:r w:rsidRPr="00A56D7C">
        <w:rPr>
          <w:sz w:val="22"/>
          <w:szCs w:val="22"/>
        </w:rPr>
        <w:t xml:space="preserve">review included management talent, standardization of processes, use of procedures, common planning and reporting, and approaches to work management and planning.  </w:t>
      </w:r>
      <w:r w:rsidR="00F93364">
        <w:rPr>
          <w:sz w:val="22"/>
          <w:szCs w:val="22"/>
        </w:rPr>
        <w:t>R</w:t>
      </w:r>
      <w:r w:rsidRPr="00A56D7C">
        <w:rPr>
          <w:sz w:val="22"/>
          <w:szCs w:val="22"/>
        </w:rPr>
        <w:t>ecommendations include</w:t>
      </w:r>
      <w:r w:rsidR="00F93364">
        <w:rPr>
          <w:sz w:val="22"/>
          <w:szCs w:val="22"/>
        </w:rPr>
        <w:t>d</w:t>
      </w:r>
      <w:r w:rsidRPr="00A56D7C">
        <w:rPr>
          <w:sz w:val="22"/>
          <w:szCs w:val="22"/>
        </w:rPr>
        <w:t xml:space="preserve"> a greater focus on asset management and </w:t>
      </w:r>
      <w:r w:rsidRPr="00A56D7C">
        <w:rPr>
          <w:sz w:val="22"/>
          <w:szCs w:val="22"/>
        </w:rPr>
        <w:lastRenderedPageBreak/>
        <w:t xml:space="preserve">an implementation plan that </w:t>
      </w:r>
      <w:r w:rsidR="00F93364">
        <w:rPr>
          <w:sz w:val="22"/>
          <w:szCs w:val="22"/>
        </w:rPr>
        <w:t>would</w:t>
      </w:r>
      <w:r w:rsidRPr="00A56D7C">
        <w:rPr>
          <w:sz w:val="22"/>
          <w:szCs w:val="22"/>
        </w:rPr>
        <w:t xml:space="preserve"> move the company forward with regard to centralized asset decisions and implications of emission control strategies on operations and asset life.  </w:t>
      </w:r>
    </w:p>
    <w:p w:rsidR="006662D3" w:rsidRPr="00F2411B" w:rsidRDefault="00966292" w:rsidP="006662D3">
      <w:pPr>
        <w:pStyle w:val="BulletList"/>
        <w:numPr>
          <w:ilvl w:val="0"/>
          <w:numId w:val="12"/>
        </w:numPr>
        <w:spacing w:after="120" w:line="240" w:lineRule="auto"/>
        <w:ind w:left="274" w:hanging="274"/>
        <w:jc w:val="both"/>
        <w:rPr>
          <w:sz w:val="22"/>
          <w:szCs w:val="22"/>
        </w:rPr>
      </w:pPr>
      <w:r>
        <w:rPr>
          <w:sz w:val="22"/>
          <w:szCs w:val="22"/>
        </w:rPr>
        <w:t>D</w:t>
      </w:r>
      <w:r w:rsidR="006662D3" w:rsidRPr="00F2411B">
        <w:rPr>
          <w:sz w:val="22"/>
          <w:szCs w:val="22"/>
        </w:rPr>
        <w:t xml:space="preserve">irected a detailed mapping of the ”request for new service” business processes for New Hampshire Electric Cooperative using facilitated collaborative cross-functional teams together with one-on-one interviews to develop the numerous relate and contributory processes.  This effort identified numerous risky process related activities, including duplicative databases – which increased the risk of errors in financial reporting, lack of a single process management tool to ensure that no customer was dropped mid-stream, ineffective communication across the organization, an internal focus that left customers in the dark and frustrated, and lack of closure to the process resulting in poor records management and potential for unsecure customer information.  The team produced a series of process maps showing the “as is” which was used to collaboratively create the “what should be” and establish consensus approaches to implementation. This process touched nearly every area of the organization including numerous field operations departments, customer communications, accounting, financial reporting, </w:t>
      </w:r>
      <w:r w:rsidR="007D2F85" w:rsidRPr="00F2411B">
        <w:rPr>
          <w:sz w:val="22"/>
          <w:szCs w:val="22"/>
        </w:rPr>
        <w:t>and purchasing</w:t>
      </w:r>
      <w:r w:rsidR="006662D3" w:rsidRPr="00F2411B">
        <w:rPr>
          <w:sz w:val="22"/>
          <w:szCs w:val="22"/>
        </w:rPr>
        <w:t xml:space="preserve">, planning, and </w:t>
      </w:r>
      <w:r w:rsidR="007D2F85">
        <w:rPr>
          <w:sz w:val="22"/>
          <w:szCs w:val="22"/>
        </w:rPr>
        <w:t>senior management.</w:t>
      </w:r>
    </w:p>
    <w:p w:rsidR="006662D3" w:rsidRPr="00F2411B" w:rsidRDefault="00966292" w:rsidP="006662D3">
      <w:pPr>
        <w:pStyle w:val="BulletList"/>
        <w:numPr>
          <w:ilvl w:val="0"/>
          <w:numId w:val="12"/>
        </w:numPr>
        <w:spacing w:after="120" w:line="240" w:lineRule="auto"/>
        <w:ind w:left="274" w:hanging="274"/>
        <w:jc w:val="both"/>
        <w:rPr>
          <w:sz w:val="22"/>
          <w:szCs w:val="22"/>
        </w:rPr>
      </w:pPr>
      <w:r>
        <w:rPr>
          <w:sz w:val="22"/>
          <w:szCs w:val="22"/>
        </w:rPr>
        <w:t>D</w:t>
      </w:r>
      <w:r w:rsidR="006662D3" w:rsidRPr="00F2411B">
        <w:rPr>
          <w:sz w:val="22"/>
          <w:szCs w:val="22"/>
        </w:rPr>
        <w:t xml:space="preserve">irected a team of professionals to review and evaluate the efficiency and effectiveness of the management and business processes of the third largest utility in Vermont, Vermont Electric Cooperative, which included working with the utility Board of Directors, senior management, utility staff, and regulators.  </w:t>
      </w:r>
      <w:r w:rsidR="003C2D5D">
        <w:rPr>
          <w:sz w:val="22"/>
          <w:szCs w:val="22"/>
        </w:rPr>
        <w:t>The</w:t>
      </w:r>
      <w:r w:rsidR="006662D3" w:rsidRPr="00F2411B">
        <w:rPr>
          <w:sz w:val="22"/>
          <w:szCs w:val="22"/>
        </w:rPr>
        <w:t xml:space="preserve"> effort was significant in that regulators were seriously considering the need to seek new ownership or a complete new management team.  </w:t>
      </w:r>
      <w:r w:rsidR="003C2D5D">
        <w:rPr>
          <w:sz w:val="22"/>
          <w:szCs w:val="22"/>
        </w:rPr>
        <w:t>The</w:t>
      </w:r>
      <w:r w:rsidR="006662D3" w:rsidRPr="00F2411B">
        <w:rPr>
          <w:sz w:val="22"/>
          <w:szCs w:val="22"/>
        </w:rPr>
        <w:t xml:space="preserve"> effort and intervention resulted in a turnaround that has created a new relationship with regulators.  </w:t>
      </w:r>
      <w:r w:rsidR="003C2D5D">
        <w:rPr>
          <w:sz w:val="22"/>
          <w:szCs w:val="22"/>
        </w:rPr>
        <w:t>The</w:t>
      </w:r>
      <w:r w:rsidR="006662D3" w:rsidRPr="00F2411B">
        <w:rPr>
          <w:sz w:val="22"/>
          <w:szCs w:val="22"/>
        </w:rPr>
        <w:t xml:space="preserve"> team prepared a report providing a detailed discussion of </w:t>
      </w:r>
      <w:r w:rsidR="00F93364">
        <w:rPr>
          <w:sz w:val="22"/>
          <w:szCs w:val="22"/>
        </w:rPr>
        <w:t>the</w:t>
      </w:r>
      <w:r w:rsidR="006662D3" w:rsidRPr="00F2411B">
        <w:rPr>
          <w:sz w:val="22"/>
          <w:szCs w:val="22"/>
        </w:rPr>
        <w:t xml:space="preserve"> methodology, findings, conclusions and recommendations to improve efficiency, management, operations, communication, regulatory relationships, culture, and member relations.</w:t>
      </w:r>
    </w:p>
    <w:p w:rsidR="006662D3" w:rsidRPr="00F2411B" w:rsidRDefault="00966292" w:rsidP="006662D3">
      <w:pPr>
        <w:pStyle w:val="BulletList"/>
        <w:numPr>
          <w:ilvl w:val="0"/>
          <w:numId w:val="12"/>
        </w:numPr>
        <w:spacing w:after="120" w:line="240" w:lineRule="auto"/>
        <w:ind w:left="274" w:hanging="274"/>
        <w:jc w:val="both"/>
        <w:rPr>
          <w:sz w:val="22"/>
          <w:szCs w:val="22"/>
        </w:rPr>
      </w:pPr>
      <w:r>
        <w:rPr>
          <w:sz w:val="22"/>
          <w:szCs w:val="22"/>
        </w:rPr>
        <w:t>C</w:t>
      </w:r>
      <w:r w:rsidR="006662D3" w:rsidRPr="00F2411B">
        <w:rPr>
          <w:sz w:val="22"/>
          <w:szCs w:val="22"/>
        </w:rPr>
        <w:t xml:space="preserve">ompleted a review of the distribution planning and reliability of a major Northeastern IOU which evaluated the business processes and procedures utilized </w:t>
      </w:r>
      <w:r w:rsidR="006662D3">
        <w:rPr>
          <w:sz w:val="22"/>
          <w:szCs w:val="22"/>
        </w:rPr>
        <w:t xml:space="preserve">to complete distribution system planning </w:t>
      </w:r>
      <w:r w:rsidR="006662D3" w:rsidRPr="00F2411B">
        <w:rPr>
          <w:sz w:val="22"/>
          <w:szCs w:val="22"/>
        </w:rPr>
        <w:t xml:space="preserve">and evaluated the resulting contribution to reduced or increased reliability.  These efforts also assessed the philosophy of distribution planning and reliability as well as evaluating the procedures, processes, systems, and results for reporting to the </w:t>
      </w:r>
      <w:r w:rsidR="006662D3">
        <w:rPr>
          <w:sz w:val="22"/>
          <w:szCs w:val="22"/>
        </w:rPr>
        <w:t xml:space="preserve">utilities </w:t>
      </w:r>
      <w:r w:rsidR="006662D3" w:rsidRPr="00F2411B">
        <w:rPr>
          <w:sz w:val="22"/>
          <w:szCs w:val="22"/>
        </w:rPr>
        <w:t>regulators</w:t>
      </w:r>
      <w:r w:rsidR="006662D3">
        <w:rPr>
          <w:sz w:val="22"/>
          <w:szCs w:val="22"/>
        </w:rPr>
        <w:t xml:space="preserve"> and audit team</w:t>
      </w:r>
      <w:r w:rsidR="006662D3" w:rsidRPr="00F2411B">
        <w:rPr>
          <w:sz w:val="22"/>
          <w:szCs w:val="22"/>
        </w:rPr>
        <w:t xml:space="preserve">.  </w:t>
      </w:r>
    </w:p>
    <w:p w:rsidR="006662D3" w:rsidRPr="00F2411B" w:rsidRDefault="00966292" w:rsidP="006662D3">
      <w:pPr>
        <w:pStyle w:val="BulletList"/>
        <w:numPr>
          <w:ilvl w:val="0"/>
          <w:numId w:val="12"/>
        </w:numPr>
        <w:spacing w:after="120" w:line="240" w:lineRule="auto"/>
        <w:ind w:left="274" w:hanging="274"/>
        <w:jc w:val="both"/>
        <w:rPr>
          <w:sz w:val="22"/>
          <w:szCs w:val="22"/>
        </w:rPr>
      </w:pPr>
      <w:r>
        <w:rPr>
          <w:sz w:val="22"/>
          <w:szCs w:val="22"/>
        </w:rPr>
        <w:t>D</w:t>
      </w:r>
      <w:r w:rsidR="006662D3" w:rsidRPr="00F2411B">
        <w:rPr>
          <w:sz w:val="22"/>
          <w:szCs w:val="22"/>
        </w:rPr>
        <w:t xml:space="preserve">irected a “sales process” review for a major EPC process firm, interested in reducing the time and cost to develop a customer from lead to close.  Using an interviewing approach that was typically one on one with the C-level staff and several group sessions with production organizations, her team interviewed nearly 300 contributors in two months.  The process mapping identified a number of concerns: lack of standardization in the use of the process in some cases to the fact that the process was not sufficiently external facing.  The nature of the process had become too internally focused using too many “gates” to control development costs resulting in poor client focus.  This lack of client focus reduced the necessary attention to client needs sufficient and required to win a project.  The recommendations covered a wide variety of changes: cultural focus, fear of failure and </w:t>
      </w:r>
      <w:r w:rsidR="0071041E" w:rsidRPr="00F2411B">
        <w:rPr>
          <w:sz w:val="22"/>
          <w:szCs w:val="22"/>
        </w:rPr>
        <w:t>retaliation</w:t>
      </w:r>
      <w:r w:rsidR="006662D3" w:rsidRPr="00F2411B">
        <w:rPr>
          <w:sz w:val="22"/>
          <w:szCs w:val="22"/>
        </w:rPr>
        <w:t xml:space="preserve">, duplication of effort, lack of clarity, focus on procedure and not </w:t>
      </w:r>
      <w:proofErr w:type="gramStart"/>
      <w:r w:rsidR="006662D3" w:rsidRPr="00F2411B">
        <w:rPr>
          <w:sz w:val="22"/>
          <w:szCs w:val="22"/>
        </w:rPr>
        <w:t>clients,</w:t>
      </w:r>
      <w:proofErr w:type="gramEnd"/>
      <w:r w:rsidR="006662D3" w:rsidRPr="00F2411B">
        <w:rPr>
          <w:sz w:val="22"/>
          <w:szCs w:val="22"/>
        </w:rPr>
        <w:t xml:space="preserve"> and over-standardization required in the process.  </w:t>
      </w:r>
    </w:p>
    <w:p w:rsidR="006662D3" w:rsidRPr="00F2411B" w:rsidRDefault="00966292" w:rsidP="006662D3">
      <w:pPr>
        <w:pStyle w:val="BulletList"/>
        <w:numPr>
          <w:ilvl w:val="0"/>
          <w:numId w:val="12"/>
        </w:numPr>
        <w:spacing w:after="120" w:line="240" w:lineRule="auto"/>
        <w:ind w:left="274" w:hanging="274"/>
        <w:jc w:val="both"/>
        <w:rPr>
          <w:sz w:val="22"/>
          <w:szCs w:val="22"/>
        </w:rPr>
      </w:pPr>
      <w:r>
        <w:rPr>
          <w:sz w:val="22"/>
          <w:szCs w:val="22"/>
        </w:rPr>
        <w:t>C</w:t>
      </w:r>
      <w:r w:rsidR="006662D3" w:rsidRPr="00F2411B">
        <w:rPr>
          <w:sz w:val="22"/>
          <w:szCs w:val="22"/>
        </w:rPr>
        <w:t xml:space="preserve">ompleted an evaluation of the implementation progress relative to </w:t>
      </w:r>
      <w:proofErr w:type="gramStart"/>
      <w:r w:rsidR="006662D3" w:rsidRPr="00F2411B">
        <w:rPr>
          <w:sz w:val="22"/>
          <w:szCs w:val="22"/>
        </w:rPr>
        <w:t xml:space="preserve">a prior </w:t>
      </w:r>
      <w:r w:rsidR="006662D3">
        <w:rPr>
          <w:sz w:val="22"/>
          <w:szCs w:val="22"/>
        </w:rPr>
        <w:t>consultants</w:t>
      </w:r>
      <w:proofErr w:type="gramEnd"/>
      <w:r w:rsidR="006662D3">
        <w:rPr>
          <w:sz w:val="22"/>
          <w:szCs w:val="22"/>
        </w:rPr>
        <w:t xml:space="preserve">’ </w:t>
      </w:r>
      <w:r w:rsidR="006662D3" w:rsidRPr="00F2411B">
        <w:rPr>
          <w:sz w:val="22"/>
          <w:szCs w:val="22"/>
        </w:rPr>
        <w:t xml:space="preserve">report on T&amp;D improvements needed in the planning, construction, reporting, and IT areas of a Canadian Crown Corporation.  </w:t>
      </w:r>
    </w:p>
    <w:p w:rsidR="006662D3" w:rsidRPr="00F2411B" w:rsidRDefault="00966292" w:rsidP="006662D3">
      <w:pPr>
        <w:pStyle w:val="BulletList"/>
        <w:numPr>
          <w:ilvl w:val="0"/>
          <w:numId w:val="12"/>
        </w:numPr>
        <w:spacing w:after="120" w:line="240" w:lineRule="auto"/>
        <w:ind w:left="274" w:hanging="274"/>
        <w:jc w:val="both"/>
        <w:rPr>
          <w:sz w:val="22"/>
          <w:szCs w:val="22"/>
        </w:rPr>
      </w:pPr>
      <w:r>
        <w:rPr>
          <w:sz w:val="22"/>
          <w:szCs w:val="22"/>
        </w:rPr>
        <w:t>D</w:t>
      </w:r>
      <w:r w:rsidR="006662D3" w:rsidRPr="00F2411B">
        <w:rPr>
          <w:sz w:val="22"/>
          <w:szCs w:val="22"/>
        </w:rPr>
        <w:t xml:space="preserve">irected the review and comparison to market of the salary structure of an East Coast Water Utility.  </w:t>
      </w:r>
    </w:p>
    <w:p w:rsidR="006662D3" w:rsidRDefault="00966292" w:rsidP="006662D3">
      <w:pPr>
        <w:pStyle w:val="BulletList"/>
        <w:numPr>
          <w:ilvl w:val="0"/>
          <w:numId w:val="12"/>
        </w:numPr>
        <w:spacing w:after="120" w:line="240" w:lineRule="auto"/>
        <w:ind w:left="274" w:hanging="274"/>
        <w:jc w:val="both"/>
        <w:rPr>
          <w:sz w:val="22"/>
          <w:szCs w:val="22"/>
        </w:rPr>
      </w:pPr>
      <w:r>
        <w:rPr>
          <w:sz w:val="22"/>
          <w:szCs w:val="22"/>
        </w:rPr>
        <w:t>W</w:t>
      </w:r>
      <w:r w:rsidR="006662D3" w:rsidRPr="00F2411B">
        <w:rPr>
          <w:sz w:val="22"/>
          <w:szCs w:val="22"/>
        </w:rPr>
        <w:t>orked with a major west coast water utility to identify cost reduction opportunities and provided regulatory strategy on cost of service issues.</w:t>
      </w:r>
    </w:p>
    <w:p w:rsidR="00383637" w:rsidRDefault="00383637" w:rsidP="009148C2">
      <w:pPr>
        <w:pStyle w:val="Salutation"/>
        <w:keepNext/>
        <w:spacing w:after="120" w:line="240" w:lineRule="auto"/>
        <w:rPr>
          <w:b/>
          <w:i/>
          <w:color w:val="DA291C"/>
          <w:spacing w:val="24"/>
        </w:rPr>
      </w:pPr>
      <w:r w:rsidRPr="006C2E00">
        <w:rPr>
          <w:b/>
          <w:i/>
          <w:color w:val="DA291C"/>
          <w:spacing w:val="24"/>
        </w:rPr>
        <w:lastRenderedPageBreak/>
        <w:t xml:space="preserve">Expert </w:t>
      </w:r>
      <w:r w:rsidR="007347BF">
        <w:rPr>
          <w:b/>
          <w:i/>
          <w:color w:val="DA291C"/>
          <w:spacing w:val="24"/>
        </w:rPr>
        <w:t>Testimony</w:t>
      </w:r>
    </w:p>
    <w:tbl>
      <w:tblPr>
        <w:tblW w:w="946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90"/>
        <w:gridCol w:w="4320"/>
      </w:tblGrid>
      <w:tr w:rsidR="007347BF" w:rsidRPr="007D0482" w:rsidTr="00AB68F1">
        <w:trPr>
          <w:trHeight w:val="423"/>
          <w:tblHeader/>
        </w:trPr>
        <w:tc>
          <w:tcPr>
            <w:tcW w:w="2358" w:type="dxa"/>
          </w:tcPr>
          <w:p w:rsidR="007347BF" w:rsidRPr="007D0482" w:rsidRDefault="007347BF" w:rsidP="009148C2">
            <w:pPr>
              <w:keepNext/>
              <w:snapToGrid w:val="0"/>
              <w:spacing w:after="0" w:line="20" w:lineRule="atLeast"/>
              <w:rPr>
                <w:rFonts w:asciiTheme="minorHAnsi" w:hAnsiTheme="minorHAnsi"/>
                <w:b/>
                <w:sz w:val="20"/>
                <w:u w:val="single"/>
              </w:rPr>
            </w:pPr>
            <w:r w:rsidRPr="007D0482">
              <w:rPr>
                <w:rFonts w:asciiTheme="minorHAnsi" w:hAnsiTheme="minorHAnsi"/>
                <w:b/>
                <w:sz w:val="20"/>
                <w:u w:val="single"/>
              </w:rPr>
              <w:t>Forum</w:t>
            </w:r>
          </w:p>
        </w:tc>
        <w:tc>
          <w:tcPr>
            <w:tcW w:w="2790" w:type="dxa"/>
          </w:tcPr>
          <w:p w:rsidR="007347BF" w:rsidRPr="007D0482" w:rsidRDefault="007347BF" w:rsidP="009148C2">
            <w:pPr>
              <w:keepNext/>
              <w:snapToGrid w:val="0"/>
              <w:spacing w:after="0" w:line="20" w:lineRule="atLeast"/>
              <w:rPr>
                <w:rFonts w:asciiTheme="minorHAnsi" w:hAnsiTheme="minorHAnsi"/>
                <w:b/>
                <w:sz w:val="20"/>
                <w:u w:val="single"/>
              </w:rPr>
            </w:pPr>
            <w:r w:rsidRPr="007D0482">
              <w:rPr>
                <w:rFonts w:asciiTheme="minorHAnsi" w:hAnsiTheme="minorHAnsi"/>
                <w:b/>
                <w:sz w:val="20"/>
                <w:u w:val="single"/>
              </w:rPr>
              <w:t>On Behalf of:</w:t>
            </w:r>
          </w:p>
        </w:tc>
        <w:tc>
          <w:tcPr>
            <w:tcW w:w="4320" w:type="dxa"/>
          </w:tcPr>
          <w:p w:rsidR="007347BF" w:rsidRPr="007D0482" w:rsidRDefault="007347BF" w:rsidP="009148C2">
            <w:pPr>
              <w:keepNext/>
              <w:tabs>
                <w:tab w:val="left" w:pos="1980"/>
                <w:tab w:val="left" w:pos="4680"/>
              </w:tabs>
              <w:snapToGrid w:val="0"/>
              <w:spacing w:after="0" w:line="20" w:lineRule="atLeast"/>
              <w:rPr>
                <w:rFonts w:asciiTheme="minorHAnsi" w:hAnsiTheme="minorHAnsi"/>
                <w:b/>
                <w:sz w:val="20"/>
                <w:u w:val="single"/>
              </w:rPr>
            </w:pPr>
            <w:r w:rsidRPr="007D0482">
              <w:rPr>
                <w:rFonts w:asciiTheme="minorHAnsi" w:hAnsiTheme="minorHAnsi"/>
                <w:b/>
                <w:sz w:val="20"/>
                <w:u w:val="single"/>
              </w:rPr>
              <w:t>Topic</w:t>
            </w:r>
          </w:p>
        </w:tc>
      </w:tr>
      <w:tr w:rsidR="00C642C2" w:rsidRPr="007D0482" w:rsidTr="00AB68F1">
        <w:trPr>
          <w:trHeight w:val="621"/>
        </w:trPr>
        <w:tc>
          <w:tcPr>
            <w:tcW w:w="2358" w:type="dxa"/>
          </w:tcPr>
          <w:p w:rsidR="00C642C2" w:rsidRPr="007D0482" w:rsidRDefault="00AB211B" w:rsidP="009148C2">
            <w:pPr>
              <w:keepNext/>
              <w:snapToGrid w:val="0"/>
              <w:spacing w:after="0" w:line="20" w:lineRule="atLeast"/>
              <w:rPr>
                <w:rFonts w:asciiTheme="minorHAnsi" w:hAnsiTheme="minorHAnsi"/>
                <w:sz w:val="20"/>
              </w:rPr>
            </w:pPr>
            <w:r w:rsidRPr="007D0482">
              <w:rPr>
                <w:rFonts w:asciiTheme="minorHAnsi" w:hAnsiTheme="minorHAnsi"/>
                <w:sz w:val="20"/>
              </w:rPr>
              <w:t>Indiana Utility Regula</w:t>
            </w:r>
            <w:r w:rsidR="0051216D" w:rsidRPr="007D0482">
              <w:rPr>
                <w:rFonts w:asciiTheme="minorHAnsi" w:hAnsiTheme="minorHAnsi"/>
                <w:sz w:val="20"/>
              </w:rPr>
              <w:t>to</w:t>
            </w:r>
            <w:r w:rsidRPr="007D0482">
              <w:rPr>
                <w:rFonts w:asciiTheme="minorHAnsi" w:hAnsiTheme="minorHAnsi"/>
                <w:sz w:val="20"/>
              </w:rPr>
              <w:t xml:space="preserve">ry </w:t>
            </w:r>
            <w:r w:rsidR="00A45C75" w:rsidRPr="007D0482">
              <w:rPr>
                <w:rFonts w:asciiTheme="minorHAnsi" w:hAnsiTheme="minorHAnsi"/>
                <w:sz w:val="20"/>
              </w:rPr>
              <w:t>Commission</w:t>
            </w:r>
            <w:r w:rsidRPr="007D0482">
              <w:rPr>
                <w:rFonts w:asciiTheme="minorHAnsi" w:hAnsiTheme="minorHAnsi"/>
                <w:sz w:val="20"/>
              </w:rPr>
              <w:t xml:space="preserve"> </w:t>
            </w:r>
          </w:p>
        </w:tc>
        <w:tc>
          <w:tcPr>
            <w:tcW w:w="2790" w:type="dxa"/>
          </w:tcPr>
          <w:p w:rsidR="00C642C2" w:rsidRPr="007D0482" w:rsidRDefault="00AB211B" w:rsidP="009148C2">
            <w:pPr>
              <w:keepNext/>
              <w:snapToGrid w:val="0"/>
              <w:spacing w:after="0" w:line="20" w:lineRule="atLeast"/>
              <w:rPr>
                <w:rFonts w:asciiTheme="minorHAnsi" w:hAnsiTheme="minorHAnsi"/>
                <w:sz w:val="20"/>
              </w:rPr>
            </w:pPr>
            <w:r w:rsidRPr="007D0482">
              <w:rPr>
                <w:rFonts w:asciiTheme="minorHAnsi" w:hAnsiTheme="minorHAnsi"/>
                <w:sz w:val="20"/>
              </w:rPr>
              <w:t xml:space="preserve">Indiana </w:t>
            </w:r>
            <w:r w:rsidR="00A45C75" w:rsidRPr="007D0482">
              <w:rPr>
                <w:rFonts w:asciiTheme="minorHAnsi" w:hAnsiTheme="minorHAnsi"/>
                <w:sz w:val="20"/>
              </w:rPr>
              <w:t xml:space="preserve">&amp; </w:t>
            </w:r>
            <w:r w:rsidRPr="007D0482">
              <w:rPr>
                <w:rFonts w:asciiTheme="minorHAnsi" w:hAnsiTheme="minorHAnsi"/>
                <w:sz w:val="20"/>
              </w:rPr>
              <w:t>Michigan</w:t>
            </w:r>
            <w:r w:rsidR="00A45C75" w:rsidRPr="007D0482">
              <w:rPr>
                <w:rFonts w:asciiTheme="minorHAnsi" w:hAnsiTheme="minorHAnsi"/>
                <w:sz w:val="20"/>
              </w:rPr>
              <w:t xml:space="preserve"> (I&amp;M)</w:t>
            </w:r>
          </w:p>
        </w:tc>
        <w:tc>
          <w:tcPr>
            <w:tcW w:w="4320" w:type="dxa"/>
          </w:tcPr>
          <w:p w:rsidR="00C642C2" w:rsidRPr="007D0482" w:rsidRDefault="00AB211B" w:rsidP="009148C2">
            <w:pPr>
              <w:keepNext/>
              <w:snapToGrid w:val="0"/>
              <w:spacing w:after="0" w:line="20" w:lineRule="atLeast"/>
              <w:jc w:val="both"/>
              <w:rPr>
                <w:rFonts w:asciiTheme="minorHAnsi" w:hAnsiTheme="minorHAnsi"/>
                <w:sz w:val="20"/>
              </w:rPr>
            </w:pPr>
            <w:r w:rsidRPr="007D0482">
              <w:rPr>
                <w:rFonts w:asciiTheme="minorHAnsi" w:hAnsiTheme="minorHAnsi"/>
                <w:sz w:val="20"/>
              </w:rPr>
              <w:t>I&amp;M DSM Plans, Incentive Structure and Cost Recovery, and Speed of Program Adoption</w:t>
            </w:r>
            <w:r w:rsidR="00A45C75" w:rsidRPr="007D0482">
              <w:rPr>
                <w:rFonts w:asciiTheme="minorHAnsi" w:hAnsiTheme="minorHAnsi"/>
                <w:sz w:val="20"/>
              </w:rPr>
              <w:t>,</w:t>
            </w:r>
            <w:r w:rsidR="00AB68F1" w:rsidRPr="007D0482">
              <w:rPr>
                <w:rFonts w:asciiTheme="minorHAnsi" w:hAnsiTheme="minorHAnsi"/>
                <w:sz w:val="20"/>
              </w:rPr>
              <w:t xml:space="preserve"> </w:t>
            </w:r>
            <w:r w:rsidR="00A45C75" w:rsidRPr="007D0482">
              <w:rPr>
                <w:rFonts w:asciiTheme="minorHAnsi" w:hAnsiTheme="minorHAnsi"/>
                <w:sz w:val="20"/>
              </w:rPr>
              <w:t>Cause No. 43306, October 2008</w:t>
            </w:r>
          </w:p>
        </w:tc>
      </w:tr>
      <w:tr w:rsidR="00A45C75" w:rsidRPr="007D0482" w:rsidTr="00AB68F1">
        <w:trPr>
          <w:trHeight w:val="621"/>
        </w:trPr>
        <w:tc>
          <w:tcPr>
            <w:tcW w:w="2358" w:type="dxa"/>
          </w:tcPr>
          <w:p w:rsidR="00A45C75" w:rsidRPr="007D0482" w:rsidRDefault="00A45C75" w:rsidP="009148C2">
            <w:pPr>
              <w:keepNext/>
              <w:snapToGrid w:val="0"/>
              <w:spacing w:after="0" w:line="20" w:lineRule="atLeast"/>
              <w:rPr>
                <w:rFonts w:asciiTheme="minorHAnsi" w:hAnsiTheme="minorHAnsi"/>
                <w:sz w:val="20"/>
              </w:rPr>
            </w:pPr>
            <w:r w:rsidRPr="007D0482">
              <w:rPr>
                <w:rFonts w:asciiTheme="minorHAnsi" w:hAnsiTheme="minorHAnsi"/>
                <w:sz w:val="20"/>
              </w:rPr>
              <w:t xml:space="preserve">Indiana Utility Regulatory Commission </w:t>
            </w:r>
          </w:p>
        </w:tc>
        <w:tc>
          <w:tcPr>
            <w:tcW w:w="2790" w:type="dxa"/>
          </w:tcPr>
          <w:p w:rsidR="00A45C75" w:rsidRPr="007D0482" w:rsidRDefault="00A45C75" w:rsidP="009148C2">
            <w:pPr>
              <w:keepNext/>
              <w:snapToGrid w:val="0"/>
              <w:spacing w:after="0" w:line="20" w:lineRule="atLeast"/>
              <w:rPr>
                <w:rFonts w:asciiTheme="minorHAnsi" w:hAnsiTheme="minorHAnsi"/>
                <w:sz w:val="20"/>
              </w:rPr>
            </w:pPr>
            <w:r w:rsidRPr="007D0482">
              <w:rPr>
                <w:rFonts w:asciiTheme="minorHAnsi" w:hAnsiTheme="minorHAnsi"/>
                <w:sz w:val="20"/>
              </w:rPr>
              <w:t>Northern Indiana Public Service Company (NIPSCO)</w:t>
            </w:r>
          </w:p>
        </w:tc>
        <w:tc>
          <w:tcPr>
            <w:tcW w:w="4320" w:type="dxa"/>
          </w:tcPr>
          <w:p w:rsidR="00A45C75" w:rsidRPr="007D0482" w:rsidRDefault="00A45C75" w:rsidP="009148C2">
            <w:pPr>
              <w:keepNext/>
              <w:snapToGrid w:val="0"/>
              <w:spacing w:after="0" w:line="20" w:lineRule="atLeast"/>
              <w:jc w:val="both"/>
              <w:rPr>
                <w:rFonts w:asciiTheme="minorHAnsi" w:hAnsiTheme="minorHAnsi"/>
                <w:sz w:val="20"/>
              </w:rPr>
            </w:pPr>
            <w:r w:rsidRPr="007D0482">
              <w:rPr>
                <w:rFonts w:asciiTheme="minorHAnsi" w:hAnsiTheme="minorHAnsi"/>
                <w:sz w:val="20"/>
              </w:rPr>
              <w:t>DSM Cost Recovery and Incentive Proposal, Cause No. 43618 December, 2008</w:t>
            </w:r>
          </w:p>
        </w:tc>
      </w:tr>
      <w:tr w:rsidR="002B7C88" w:rsidRPr="007D0482" w:rsidTr="00AB68F1">
        <w:trPr>
          <w:trHeight w:val="621"/>
        </w:trPr>
        <w:tc>
          <w:tcPr>
            <w:tcW w:w="2358" w:type="dxa"/>
          </w:tcPr>
          <w:p w:rsidR="002B7C88" w:rsidRPr="007D0482" w:rsidRDefault="002B7C88" w:rsidP="009148C2">
            <w:pPr>
              <w:keepNext/>
              <w:snapToGrid w:val="0"/>
              <w:spacing w:after="0" w:line="20" w:lineRule="atLeast"/>
              <w:rPr>
                <w:rFonts w:asciiTheme="minorHAnsi" w:hAnsiTheme="minorHAnsi"/>
                <w:sz w:val="20"/>
              </w:rPr>
            </w:pPr>
            <w:r w:rsidRPr="007D0482">
              <w:rPr>
                <w:rFonts w:asciiTheme="minorHAnsi" w:hAnsiTheme="minorHAnsi"/>
                <w:sz w:val="20"/>
              </w:rPr>
              <w:t>Massachusetts Department of Public Utilities</w:t>
            </w:r>
          </w:p>
        </w:tc>
        <w:tc>
          <w:tcPr>
            <w:tcW w:w="2790" w:type="dxa"/>
          </w:tcPr>
          <w:p w:rsidR="002B7C88" w:rsidRPr="007D0482" w:rsidRDefault="002B7C88" w:rsidP="009148C2">
            <w:pPr>
              <w:keepNext/>
              <w:snapToGrid w:val="0"/>
              <w:spacing w:after="0" w:line="20" w:lineRule="atLeast"/>
              <w:rPr>
                <w:rFonts w:asciiTheme="minorHAnsi" w:hAnsiTheme="minorHAnsi"/>
                <w:sz w:val="20"/>
              </w:rPr>
            </w:pPr>
            <w:r w:rsidRPr="007D0482">
              <w:rPr>
                <w:rFonts w:asciiTheme="minorHAnsi" w:hAnsiTheme="minorHAnsi"/>
                <w:sz w:val="20"/>
              </w:rPr>
              <w:t>Eversource (formerly Boston Edison Company)</w:t>
            </w:r>
          </w:p>
        </w:tc>
        <w:tc>
          <w:tcPr>
            <w:tcW w:w="4320" w:type="dxa"/>
          </w:tcPr>
          <w:p w:rsidR="002B7C88" w:rsidRPr="007D0482" w:rsidRDefault="002B7C88" w:rsidP="009148C2">
            <w:pPr>
              <w:keepNext/>
              <w:snapToGrid w:val="0"/>
              <w:spacing w:after="0" w:line="20" w:lineRule="atLeast"/>
              <w:jc w:val="both"/>
              <w:rPr>
                <w:rFonts w:asciiTheme="minorHAnsi" w:hAnsiTheme="minorHAnsi"/>
                <w:sz w:val="20"/>
              </w:rPr>
            </w:pPr>
            <w:r w:rsidRPr="007D0482">
              <w:rPr>
                <w:rFonts w:asciiTheme="minorHAnsi" w:hAnsiTheme="minorHAnsi"/>
                <w:sz w:val="20"/>
              </w:rPr>
              <w:t>Review of Boston Edison’s Electric Restructuring Plan, Testimony on Rate Plan, D.P.U. 96-23, 1996 - 1997</w:t>
            </w:r>
          </w:p>
        </w:tc>
      </w:tr>
      <w:tr w:rsidR="00C22F93" w:rsidRPr="007D0482" w:rsidTr="00AB68F1">
        <w:trPr>
          <w:trHeight w:val="621"/>
        </w:trPr>
        <w:tc>
          <w:tcPr>
            <w:tcW w:w="2358" w:type="dxa"/>
          </w:tcPr>
          <w:p w:rsidR="00C22F93" w:rsidRPr="007D0482" w:rsidRDefault="00C22F93" w:rsidP="009148C2">
            <w:pPr>
              <w:keepNext/>
              <w:snapToGrid w:val="0"/>
              <w:spacing w:after="0" w:line="20" w:lineRule="atLeast"/>
              <w:rPr>
                <w:rFonts w:asciiTheme="minorHAnsi" w:hAnsiTheme="minorHAnsi"/>
                <w:sz w:val="20"/>
              </w:rPr>
            </w:pPr>
            <w:r w:rsidRPr="007D0482">
              <w:rPr>
                <w:rFonts w:asciiTheme="minorHAnsi" w:hAnsiTheme="minorHAnsi"/>
                <w:sz w:val="20"/>
              </w:rPr>
              <w:t>New Jersey Board of Public Utilities</w:t>
            </w:r>
          </w:p>
        </w:tc>
        <w:tc>
          <w:tcPr>
            <w:tcW w:w="2790" w:type="dxa"/>
          </w:tcPr>
          <w:p w:rsidR="00C22F93" w:rsidRPr="007D0482" w:rsidRDefault="00C22F93" w:rsidP="009148C2">
            <w:pPr>
              <w:keepNext/>
              <w:snapToGrid w:val="0"/>
              <w:spacing w:after="0" w:line="20" w:lineRule="atLeast"/>
              <w:rPr>
                <w:rFonts w:asciiTheme="minorHAnsi" w:hAnsiTheme="minorHAnsi"/>
                <w:sz w:val="20"/>
              </w:rPr>
            </w:pPr>
            <w:r w:rsidRPr="007D0482">
              <w:rPr>
                <w:rFonts w:asciiTheme="minorHAnsi" w:hAnsiTheme="minorHAnsi"/>
                <w:sz w:val="20"/>
              </w:rPr>
              <w:t>New Jersey Board of Public Utilities Audit Staff</w:t>
            </w:r>
          </w:p>
        </w:tc>
        <w:tc>
          <w:tcPr>
            <w:tcW w:w="4320" w:type="dxa"/>
          </w:tcPr>
          <w:p w:rsidR="00C22F93" w:rsidRPr="007D0482" w:rsidRDefault="0097270E" w:rsidP="009148C2">
            <w:pPr>
              <w:keepNext/>
              <w:snapToGrid w:val="0"/>
              <w:spacing w:after="0" w:line="20" w:lineRule="atLeast"/>
              <w:jc w:val="both"/>
              <w:rPr>
                <w:rFonts w:asciiTheme="minorHAnsi" w:hAnsiTheme="minorHAnsi"/>
                <w:sz w:val="20"/>
              </w:rPr>
            </w:pPr>
            <w:r w:rsidRPr="007D0482">
              <w:rPr>
                <w:rFonts w:asciiTheme="minorHAnsi" w:hAnsiTheme="minorHAnsi"/>
                <w:sz w:val="20"/>
              </w:rPr>
              <w:t>Investigated and audited utilities electric restructuring.  Provided testimony regarding findings and recommendations for improvement. Rockland Electric Company, Restructuring Plan Aspects, Docket No. EA97060398</w:t>
            </w:r>
          </w:p>
        </w:tc>
      </w:tr>
      <w:tr w:rsidR="002B7C88" w:rsidRPr="007D0482" w:rsidTr="00AB68F1">
        <w:trPr>
          <w:trHeight w:val="621"/>
        </w:trPr>
        <w:tc>
          <w:tcPr>
            <w:tcW w:w="2358" w:type="dxa"/>
          </w:tcPr>
          <w:p w:rsidR="002B7C88" w:rsidRPr="007D0482" w:rsidRDefault="002B7C88" w:rsidP="009148C2">
            <w:pPr>
              <w:keepNext/>
              <w:snapToGrid w:val="0"/>
              <w:spacing w:after="0" w:line="20" w:lineRule="atLeast"/>
              <w:rPr>
                <w:rFonts w:asciiTheme="minorHAnsi" w:hAnsiTheme="minorHAnsi"/>
                <w:sz w:val="20"/>
              </w:rPr>
            </w:pPr>
            <w:r w:rsidRPr="007D0482">
              <w:rPr>
                <w:rFonts w:asciiTheme="minorHAnsi" w:hAnsiTheme="minorHAnsi"/>
                <w:sz w:val="20"/>
              </w:rPr>
              <w:t>Massachusetts Department of Public Utilities</w:t>
            </w:r>
          </w:p>
        </w:tc>
        <w:tc>
          <w:tcPr>
            <w:tcW w:w="2790" w:type="dxa"/>
          </w:tcPr>
          <w:p w:rsidR="002B7C88" w:rsidRPr="007D0482" w:rsidRDefault="002B7C88" w:rsidP="009148C2">
            <w:pPr>
              <w:keepNext/>
              <w:snapToGrid w:val="0"/>
              <w:spacing w:after="0" w:line="20" w:lineRule="atLeast"/>
              <w:rPr>
                <w:rFonts w:asciiTheme="minorHAnsi" w:hAnsiTheme="minorHAnsi"/>
                <w:sz w:val="20"/>
              </w:rPr>
            </w:pPr>
            <w:r w:rsidRPr="007D0482">
              <w:rPr>
                <w:rFonts w:asciiTheme="minorHAnsi" w:hAnsiTheme="minorHAnsi"/>
                <w:sz w:val="20"/>
              </w:rPr>
              <w:t>Eversource (formerly Boston Edison Company)</w:t>
            </w:r>
          </w:p>
        </w:tc>
        <w:tc>
          <w:tcPr>
            <w:tcW w:w="4320" w:type="dxa"/>
          </w:tcPr>
          <w:p w:rsidR="002B7C88" w:rsidRPr="007D0482" w:rsidRDefault="002B7C88" w:rsidP="009148C2">
            <w:pPr>
              <w:keepNext/>
              <w:snapToGrid w:val="0"/>
              <w:spacing w:after="0" w:line="20" w:lineRule="atLeast"/>
              <w:jc w:val="both"/>
              <w:rPr>
                <w:rFonts w:asciiTheme="minorHAnsi" w:hAnsiTheme="minorHAnsi"/>
                <w:sz w:val="20"/>
              </w:rPr>
            </w:pPr>
            <w:r w:rsidRPr="007D0482">
              <w:rPr>
                <w:rFonts w:asciiTheme="minorHAnsi" w:hAnsiTheme="minorHAnsi"/>
                <w:sz w:val="20"/>
              </w:rPr>
              <w:t xml:space="preserve">Investigation into Industry Restructuring, Testified and Participated in Technical Sessions </w:t>
            </w:r>
            <w:r w:rsidR="00FD2034" w:rsidRPr="007D0482">
              <w:rPr>
                <w:rFonts w:asciiTheme="minorHAnsi" w:hAnsiTheme="minorHAnsi"/>
                <w:sz w:val="20"/>
              </w:rPr>
              <w:t>on Policies</w:t>
            </w:r>
            <w:r w:rsidRPr="007D0482">
              <w:rPr>
                <w:rFonts w:asciiTheme="minorHAnsi" w:hAnsiTheme="minorHAnsi"/>
                <w:sz w:val="20"/>
              </w:rPr>
              <w:t>, Issues and Rate Design including Real Time Pricing, D.P.U. 95-30, 1995 -1997.</w:t>
            </w:r>
          </w:p>
        </w:tc>
      </w:tr>
      <w:tr w:rsidR="002B7C88" w:rsidRPr="007D0482" w:rsidTr="00AB68F1">
        <w:trPr>
          <w:trHeight w:val="621"/>
        </w:trPr>
        <w:tc>
          <w:tcPr>
            <w:tcW w:w="2358" w:type="dxa"/>
          </w:tcPr>
          <w:p w:rsidR="002B7C88" w:rsidRPr="007D0482" w:rsidRDefault="002B7C88" w:rsidP="009148C2">
            <w:pPr>
              <w:keepNext/>
              <w:snapToGrid w:val="0"/>
              <w:spacing w:after="0" w:line="20" w:lineRule="atLeast"/>
              <w:rPr>
                <w:rFonts w:asciiTheme="minorHAnsi" w:hAnsiTheme="minorHAnsi"/>
                <w:sz w:val="20"/>
              </w:rPr>
            </w:pPr>
            <w:r w:rsidRPr="007D0482">
              <w:rPr>
                <w:rFonts w:asciiTheme="minorHAnsi" w:hAnsiTheme="minorHAnsi"/>
                <w:sz w:val="20"/>
              </w:rPr>
              <w:t>Massachusetts Department of Public Utilities</w:t>
            </w:r>
          </w:p>
        </w:tc>
        <w:tc>
          <w:tcPr>
            <w:tcW w:w="2790" w:type="dxa"/>
          </w:tcPr>
          <w:p w:rsidR="002B7C88" w:rsidRPr="007D0482" w:rsidRDefault="002B7C88" w:rsidP="009148C2">
            <w:pPr>
              <w:keepNext/>
              <w:snapToGrid w:val="0"/>
              <w:spacing w:after="0" w:line="20" w:lineRule="atLeast"/>
              <w:rPr>
                <w:rFonts w:asciiTheme="minorHAnsi" w:hAnsiTheme="minorHAnsi"/>
                <w:sz w:val="20"/>
              </w:rPr>
            </w:pPr>
            <w:r w:rsidRPr="007D0482">
              <w:rPr>
                <w:rFonts w:asciiTheme="minorHAnsi" w:hAnsiTheme="minorHAnsi"/>
                <w:sz w:val="20"/>
              </w:rPr>
              <w:t>Eversource (formerly Boston Edison Company)</w:t>
            </w:r>
          </w:p>
        </w:tc>
        <w:tc>
          <w:tcPr>
            <w:tcW w:w="4320" w:type="dxa"/>
          </w:tcPr>
          <w:p w:rsidR="002B7C88" w:rsidRPr="007D0482" w:rsidRDefault="002B7C88" w:rsidP="009148C2">
            <w:pPr>
              <w:keepNext/>
              <w:snapToGrid w:val="0"/>
              <w:spacing w:after="0" w:line="20" w:lineRule="atLeast"/>
              <w:jc w:val="both"/>
              <w:rPr>
                <w:rFonts w:asciiTheme="minorHAnsi" w:hAnsiTheme="minorHAnsi"/>
                <w:sz w:val="20"/>
              </w:rPr>
            </w:pPr>
            <w:r w:rsidRPr="007D0482">
              <w:rPr>
                <w:rFonts w:asciiTheme="minorHAnsi" w:hAnsiTheme="minorHAnsi"/>
                <w:sz w:val="20"/>
              </w:rPr>
              <w:t xml:space="preserve">Testified in support of </w:t>
            </w:r>
            <w:r w:rsidR="00F42972" w:rsidRPr="007D0482">
              <w:rPr>
                <w:rFonts w:asciiTheme="minorHAnsi" w:hAnsiTheme="minorHAnsi"/>
                <w:sz w:val="20"/>
              </w:rPr>
              <w:t xml:space="preserve">DSM Budgets, </w:t>
            </w:r>
            <w:r w:rsidRPr="007D0482">
              <w:rPr>
                <w:rFonts w:asciiTheme="minorHAnsi" w:hAnsiTheme="minorHAnsi"/>
                <w:sz w:val="20"/>
              </w:rPr>
              <w:t xml:space="preserve">DSM Cost Recovery and Incentive Plan, </w:t>
            </w:r>
            <w:r w:rsidR="00F42972" w:rsidRPr="007D0482">
              <w:rPr>
                <w:rFonts w:asciiTheme="minorHAnsi" w:hAnsiTheme="minorHAnsi"/>
                <w:sz w:val="20"/>
              </w:rPr>
              <w:t xml:space="preserve">DSM Monitoring and Evaluation Plan, </w:t>
            </w:r>
            <w:r w:rsidRPr="007D0482">
              <w:rPr>
                <w:rFonts w:asciiTheme="minorHAnsi" w:hAnsiTheme="minorHAnsi"/>
                <w:sz w:val="20"/>
              </w:rPr>
              <w:t xml:space="preserve">D.P.U. 90-335, </w:t>
            </w:r>
            <w:r w:rsidR="00F42972" w:rsidRPr="007D0482">
              <w:rPr>
                <w:rFonts w:asciiTheme="minorHAnsi" w:hAnsiTheme="minorHAnsi"/>
                <w:sz w:val="20"/>
              </w:rPr>
              <w:t>1990-1992.</w:t>
            </w:r>
          </w:p>
        </w:tc>
      </w:tr>
      <w:tr w:rsidR="00C22F93" w:rsidRPr="007D0482" w:rsidTr="00AB68F1">
        <w:trPr>
          <w:trHeight w:val="621"/>
        </w:trPr>
        <w:tc>
          <w:tcPr>
            <w:tcW w:w="2358" w:type="dxa"/>
          </w:tcPr>
          <w:p w:rsidR="00C22F93" w:rsidRPr="007D0482" w:rsidRDefault="00C22F93" w:rsidP="009148C2">
            <w:pPr>
              <w:keepNext/>
              <w:snapToGrid w:val="0"/>
              <w:spacing w:after="0" w:line="20" w:lineRule="atLeast"/>
              <w:rPr>
                <w:rFonts w:asciiTheme="minorHAnsi" w:hAnsiTheme="minorHAnsi"/>
                <w:sz w:val="20"/>
              </w:rPr>
            </w:pPr>
            <w:r w:rsidRPr="007D0482">
              <w:rPr>
                <w:rFonts w:asciiTheme="minorHAnsi" w:hAnsiTheme="minorHAnsi"/>
                <w:sz w:val="20"/>
              </w:rPr>
              <w:t>Massachusetts Department of Public Utilities</w:t>
            </w:r>
          </w:p>
        </w:tc>
        <w:tc>
          <w:tcPr>
            <w:tcW w:w="2790" w:type="dxa"/>
          </w:tcPr>
          <w:p w:rsidR="00C22F93" w:rsidRPr="007D0482" w:rsidRDefault="00C22F93" w:rsidP="009148C2">
            <w:pPr>
              <w:keepNext/>
              <w:snapToGrid w:val="0"/>
              <w:spacing w:after="0" w:line="20" w:lineRule="atLeast"/>
              <w:rPr>
                <w:rFonts w:asciiTheme="minorHAnsi" w:hAnsiTheme="minorHAnsi"/>
                <w:sz w:val="20"/>
              </w:rPr>
            </w:pPr>
            <w:r w:rsidRPr="007D0482">
              <w:rPr>
                <w:rFonts w:asciiTheme="minorHAnsi" w:hAnsiTheme="minorHAnsi"/>
                <w:sz w:val="20"/>
              </w:rPr>
              <w:t>Eversource (formerly Boston Edison Company)</w:t>
            </w:r>
          </w:p>
        </w:tc>
        <w:tc>
          <w:tcPr>
            <w:tcW w:w="4320" w:type="dxa"/>
          </w:tcPr>
          <w:p w:rsidR="00C22F93" w:rsidRPr="007D0482" w:rsidRDefault="00C22F93" w:rsidP="009148C2">
            <w:pPr>
              <w:keepNext/>
              <w:snapToGrid w:val="0"/>
              <w:spacing w:after="0" w:line="20" w:lineRule="atLeast"/>
              <w:jc w:val="both"/>
              <w:rPr>
                <w:rFonts w:asciiTheme="minorHAnsi" w:hAnsiTheme="minorHAnsi"/>
                <w:sz w:val="20"/>
              </w:rPr>
            </w:pPr>
            <w:r w:rsidRPr="007D0482">
              <w:rPr>
                <w:rFonts w:asciiTheme="minorHAnsi" w:hAnsiTheme="minorHAnsi"/>
                <w:sz w:val="20"/>
              </w:rPr>
              <w:t>Testified in D.P.U. 89-100 in Support of Rate Changes, 1989 - 1990</w:t>
            </w:r>
          </w:p>
        </w:tc>
      </w:tr>
      <w:tr w:rsidR="00FD2034" w:rsidRPr="007D0482" w:rsidTr="00AB68F1">
        <w:trPr>
          <w:trHeight w:val="621"/>
        </w:trPr>
        <w:tc>
          <w:tcPr>
            <w:tcW w:w="2358" w:type="dxa"/>
          </w:tcPr>
          <w:p w:rsidR="00FD2034" w:rsidRPr="007D0482" w:rsidRDefault="00FD2034" w:rsidP="009148C2">
            <w:pPr>
              <w:keepNext/>
              <w:snapToGrid w:val="0"/>
              <w:spacing w:after="0" w:line="20" w:lineRule="atLeast"/>
              <w:rPr>
                <w:rFonts w:asciiTheme="minorHAnsi" w:hAnsiTheme="minorHAnsi"/>
                <w:sz w:val="20"/>
              </w:rPr>
            </w:pPr>
            <w:r w:rsidRPr="007D0482">
              <w:rPr>
                <w:rFonts w:asciiTheme="minorHAnsi" w:hAnsiTheme="minorHAnsi"/>
                <w:sz w:val="20"/>
              </w:rPr>
              <w:t>Massachusetts Department of Public Utilities</w:t>
            </w:r>
          </w:p>
        </w:tc>
        <w:tc>
          <w:tcPr>
            <w:tcW w:w="2790" w:type="dxa"/>
          </w:tcPr>
          <w:p w:rsidR="00FD2034" w:rsidRPr="007D0482" w:rsidRDefault="00FD2034" w:rsidP="009148C2">
            <w:pPr>
              <w:keepNext/>
              <w:snapToGrid w:val="0"/>
              <w:spacing w:after="0" w:line="20" w:lineRule="atLeast"/>
              <w:rPr>
                <w:rFonts w:asciiTheme="minorHAnsi" w:hAnsiTheme="minorHAnsi"/>
                <w:sz w:val="20"/>
              </w:rPr>
            </w:pPr>
            <w:r w:rsidRPr="007D0482">
              <w:rPr>
                <w:rFonts w:asciiTheme="minorHAnsi" w:hAnsiTheme="minorHAnsi"/>
                <w:sz w:val="20"/>
              </w:rPr>
              <w:t>Eversource (formerly Boston Edison Company)</w:t>
            </w:r>
          </w:p>
        </w:tc>
        <w:tc>
          <w:tcPr>
            <w:tcW w:w="4320" w:type="dxa"/>
          </w:tcPr>
          <w:p w:rsidR="00FD2034" w:rsidRPr="007D0482" w:rsidRDefault="00FD2034" w:rsidP="009148C2">
            <w:pPr>
              <w:keepNext/>
              <w:snapToGrid w:val="0"/>
              <w:spacing w:after="0" w:line="20" w:lineRule="atLeast"/>
              <w:jc w:val="both"/>
              <w:rPr>
                <w:rFonts w:asciiTheme="minorHAnsi" w:hAnsiTheme="minorHAnsi"/>
                <w:sz w:val="20"/>
              </w:rPr>
            </w:pPr>
            <w:r w:rsidRPr="007D0482">
              <w:rPr>
                <w:rFonts w:asciiTheme="minorHAnsi" w:hAnsiTheme="minorHAnsi"/>
                <w:sz w:val="20"/>
              </w:rPr>
              <w:t>Periodic testimony relative to DSM implementation plans, evaluation results and cost recovery projections and reconciliations.  1985 - 1994</w:t>
            </w:r>
          </w:p>
        </w:tc>
      </w:tr>
      <w:tr w:rsidR="00FD2034" w:rsidRPr="004750A9" w:rsidTr="00AB68F1">
        <w:trPr>
          <w:trHeight w:val="621"/>
        </w:trPr>
        <w:tc>
          <w:tcPr>
            <w:tcW w:w="2358" w:type="dxa"/>
          </w:tcPr>
          <w:p w:rsidR="00FD2034" w:rsidRPr="007D0482" w:rsidRDefault="00FD2034" w:rsidP="009148C2">
            <w:pPr>
              <w:keepNext/>
              <w:snapToGrid w:val="0"/>
              <w:spacing w:after="0" w:line="20" w:lineRule="atLeast"/>
              <w:rPr>
                <w:rFonts w:asciiTheme="minorHAnsi" w:hAnsiTheme="minorHAnsi"/>
                <w:sz w:val="20"/>
              </w:rPr>
            </w:pPr>
            <w:r w:rsidRPr="007D0482">
              <w:rPr>
                <w:rFonts w:asciiTheme="minorHAnsi" w:hAnsiTheme="minorHAnsi"/>
                <w:sz w:val="20"/>
              </w:rPr>
              <w:t>Massachusetts Energy Facilities Siting Council</w:t>
            </w:r>
          </w:p>
        </w:tc>
        <w:tc>
          <w:tcPr>
            <w:tcW w:w="2790" w:type="dxa"/>
          </w:tcPr>
          <w:p w:rsidR="00FD2034" w:rsidRPr="007D0482" w:rsidRDefault="00FD2034" w:rsidP="009148C2">
            <w:pPr>
              <w:keepNext/>
              <w:snapToGrid w:val="0"/>
              <w:spacing w:after="0" w:line="20" w:lineRule="atLeast"/>
              <w:rPr>
                <w:rFonts w:asciiTheme="minorHAnsi" w:hAnsiTheme="minorHAnsi"/>
                <w:sz w:val="20"/>
              </w:rPr>
            </w:pPr>
            <w:r w:rsidRPr="007D0482">
              <w:rPr>
                <w:rFonts w:asciiTheme="minorHAnsi" w:hAnsiTheme="minorHAnsi"/>
                <w:sz w:val="20"/>
              </w:rPr>
              <w:t>Eversource (formerly Boston Edison Company)</w:t>
            </w:r>
          </w:p>
        </w:tc>
        <w:tc>
          <w:tcPr>
            <w:tcW w:w="4320" w:type="dxa"/>
          </w:tcPr>
          <w:p w:rsidR="00FD2034" w:rsidRPr="007D0482" w:rsidRDefault="00FD2034" w:rsidP="009148C2">
            <w:pPr>
              <w:keepNext/>
              <w:snapToGrid w:val="0"/>
              <w:spacing w:after="0" w:line="20" w:lineRule="atLeast"/>
              <w:jc w:val="both"/>
              <w:rPr>
                <w:rFonts w:asciiTheme="minorHAnsi" w:hAnsiTheme="minorHAnsi"/>
                <w:sz w:val="20"/>
              </w:rPr>
            </w:pPr>
            <w:r w:rsidRPr="007D0482">
              <w:rPr>
                <w:rFonts w:asciiTheme="minorHAnsi" w:hAnsiTheme="minorHAnsi"/>
                <w:sz w:val="20"/>
              </w:rPr>
              <w:t>Periodic testimony to support long ter</w:t>
            </w:r>
            <w:r w:rsidR="003C2D5D">
              <w:rPr>
                <w:rFonts w:asciiTheme="minorHAnsi" w:hAnsiTheme="minorHAnsi"/>
                <w:sz w:val="20"/>
              </w:rPr>
              <w:t>m energy and demand forecasts. 1979 – 1984</w:t>
            </w:r>
          </w:p>
        </w:tc>
      </w:tr>
    </w:tbl>
    <w:p w:rsidR="00383637" w:rsidRPr="006C2E00" w:rsidRDefault="00383637" w:rsidP="006C2E00">
      <w:pPr>
        <w:pStyle w:val="BulletList"/>
        <w:spacing w:after="120" w:line="240" w:lineRule="auto"/>
        <w:ind w:firstLine="0"/>
        <w:jc w:val="both"/>
        <w:rPr>
          <w:sz w:val="22"/>
          <w:szCs w:val="22"/>
        </w:rPr>
      </w:pPr>
    </w:p>
    <w:p w:rsidR="00383637" w:rsidRPr="0089555A" w:rsidRDefault="00383637" w:rsidP="002F2215">
      <w:pPr>
        <w:pStyle w:val="Salutation"/>
        <w:spacing w:after="120" w:line="240" w:lineRule="auto"/>
        <w:rPr>
          <w:rFonts w:ascii="Calibri Bold" w:hAnsi="Calibri Bold"/>
          <w:b/>
          <w:color w:val="505759"/>
          <w:spacing w:val="14"/>
          <w:sz w:val="28"/>
          <w:szCs w:val="28"/>
        </w:rPr>
      </w:pPr>
      <w:r w:rsidRPr="0089555A">
        <w:rPr>
          <w:rFonts w:ascii="Calibri Bold" w:hAnsi="Calibri Bold"/>
          <w:b/>
          <w:color w:val="505759"/>
          <w:spacing w:val="14"/>
          <w:sz w:val="28"/>
          <w:szCs w:val="28"/>
        </w:rPr>
        <w:t>EMPLOYMENT HISTORY</w:t>
      </w:r>
    </w:p>
    <w:p w:rsidR="00DC3ECA" w:rsidRPr="00D81728" w:rsidRDefault="00DC3ECA" w:rsidP="00DC3ECA">
      <w:pPr>
        <w:pStyle w:val="Salutation"/>
        <w:tabs>
          <w:tab w:val="left" w:pos="360"/>
          <w:tab w:val="right" w:pos="9360"/>
        </w:tabs>
        <w:spacing w:after="0" w:line="240" w:lineRule="auto"/>
        <w:ind w:left="360" w:hanging="360"/>
        <w:jc w:val="both"/>
        <w:rPr>
          <w:sz w:val="22"/>
          <w:szCs w:val="22"/>
        </w:rPr>
      </w:pPr>
      <w:r w:rsidRPr="00D81728">
        <w:rPr>
          <w:sz w:val="22"/>
          <w:szCs w:val="22"/>
        </w:rPr>
        <w:tab/>
      </w:r>
      <w:r w:rsidR="00FE6ED2" w:rsidRPr="00FE6ED2">
        <w:rPr>
          <w:b/>
          <w:sz w:val="22"/>
          <w:szCs w:val="22"/>
        </w:rPr>
        <w:t>Daymark Energy Advisors</w:t>
      </w:r>
      <w:r w:rsidR="00FE6ED2">
        <w:rPr>
          <w:sz w:val="22"/>
          <w:szCs w:val="22"/>
        </w:rPr>
        <w:t xml:space="preserve"> </w:t>
      </w:r>
      <w:r w:rsidR="00FE6ED2" w:rsidRPr="00FE6ED2">
        <w:rPr>
          <w:b/>
          <w:sz w:val="22"/>
          <w:szCs w:val="22"/>
        </w:rPr>
        <w:t>Inc.</w:t>
      </w:r>
      <w:r w:rsidR="00FE6ED2">
        <w:rPr>
          <w:sz w:val="22"/>
          <w:szCs w:val="22"/>
        </w:rPr>
        <w:t xml:space="preserve"> </w:t>
      </w:r>
      <w:r w:rsidR="00FE6ED2" w:rsidRPr="00FE6ED2">
        <w:rPr>
          <w:rFonts w:ascii="Arial" w:hAnsi="Arial" w:cs="Arial"/>
          <w:i/>
          <w:sz w:val="18"/>
          <w:szCs w:val="18"/>
        </w:rPr>
        <w:t>(formerly La Capra Associates)</w:t>
      </w:r>
      <w:r w:rsidR="00383637" w:rsidRPr="00D81728">
        <w:rPr>
          <w:sz w:val="22"/>
          <w:szCs w:val="22"/>
        </w:rPr>
        <w:tab/>
        <w:t>Boston, MA</w:t>
      </w:r>
    </w:p>
    <w:p w:rsidR="00383637" w:rsidRPr="004750A9" w:rsidRDefault="00754EFE" w:rsidP="004750A9">
      <w:pPr>
        <w:pStyle w:val="Salutation"/>
        <w:tabs>
          <w:tab w:val="right" w:pos="9360"/>
        </w:tabs>
        <w:spacing w:after="120" w:line="240" w:lineRule="auto"/>
        <w:ind w:left="907" w:hanging="360"/>
        <w:jc w:val="both"/>
        <w:rPr>
          <w:i/>
          <w:sz w:val="22"/>
          <w:szCs w:val="22"/>
        </w:rPr>
      </w:pPr>
      <w:r>
        <w:rPr>
          <w:i/>
          <w:sz w:val="22"/>
          <w:szCs w:val="22"/>
        </w:rPr>
        <w:t xml:space="preserve">Principal </w:t>
      </w:r>
      <w:r w:rsidR="00383637" w:rsidRPr="00D81728">
        <w:rPr>
          <w:i/>
          <w:sz w:val="22"/>
          <w:szCs w:val="22"/>
        </w:rPr>
        <w:t>Consultant</w:t>
      </w:r>
      <w:r w:rsidR="00383637" w:rsidRPr="004750A9">
        <w:rPr>
          <w:i/>
          <w:sz w:val="22"/>
          <w:szCs w:val="22"/>
        </w:rPr>
        <w:tab/>
      </w:r>
      <w:r w:rsidRPr="004750A9">
        <w:rPr>
          <w:i/>
          <w:sz w:val="22"/>
          <w:szCs w:val="22"/>
        </w:rPr>
        <w:t>February 2016</w:t>
      </w:r>
      <w:r w:rsidR="00383637" w:rsidRPr="004750A9">
        <w:rPr>
          <w:i/>
          <w:sz w:val="22"/>
          <w:szCs w:val="22"/>
        </w:rPr>
        <w:t xml:space="preserve"> – Present</w:t>
      </w:r>
    </w:p>
    <w:p w:rsidR="00383637" w:rsidRPr="00D81728" w:rsidRDefault="00754EFE" w:rsidP="00DC3ECA">
      <w:pPr>
        <w:pStyle w:val="Salutation"/>
        <w:tabs>
          <w:tab w:val="right" w:pos="9360"/>
        </w:tabs>
        <w:spacing w:after="0" w:line="240" w:lineRule="auto"/>
        <w:ind w:left="720" w:hanging="360"/>
        <w:jc w:val="both"/>
        <w:rPr>
          <w:sz w:val="22"/>
          <w:szCs w:val="22"/>
        </w:rPr>
      </w:pPr>
      <w:r>
        <w:rPr>
          <w:b/>
          <w:sz w:val="22"/>
          <w:szCs w:val="22"/>
        </w:rPr>
        <w:t xml:space="preserve">Lummus Consultants International, Inc. </w:t>
      </w:r>
      <w:r w:rsidRPr="00754EFE">
        <w:rPr>
          <w:rFonts w:ascii="Arial" w:hAnsi="Arial" w:cs="Arial"/>
          <w:i/>
          <w:sz w:val="18"/>
          <w:szCs w:val="18"/>
        </w:rPr>
        <w:t>(formerly Stone &amp; Webster Management Consultants)</w:t>
      </w:r>
      <w:r w:rsidR="00383637" w:rsidRPr="00D81728">
        <w:rPr>
          <w:sz w:val="22"/>
          <w:szCs w:val="22"/>
        </w:rPr>
        <w:t xml:space="preserve"> Boston, MA</w:t>
      </w:r>
    </w:p>
    <w:p w:rsidR="00383637" w:rsidRPr="00D81728" w:rsidRDefault="00754EFE" w:rsidP="00DC3ECA">
      <w:pPr>
        <w:pStyle w:val="Salutation"/>
        <w:tabs>
          <w:tab w:val="right" w:pos="9360"/>
        </w:tabs>
        <w:spacing w:after="0" w:line="240" w:lineRule="auto"/>
        <w:ind w:left="900" w:hanging="360"/>
        <w:jc w:val="both"/>
        <w:rPr>
          <w:sz w:val="22"/>
          <w:szCs w:val="22"/>
        </w:rPr>
      </w:pPr>
      <w:r>
        <w:rPr>
          <w:i/>
          <w:sz w:val="22"/>
          <w:szCs w:val="22"/>
        </w:rPr>
        <w:t>Director and Practice Lead</w:t>
      </w:r>
      <w:r w:rsidR="00383637" w:rsidRPr="00D81728">
        <w:rPr>
          <w:i/>
          <w:sz w:val="22"/>
          <w:szCs w:val="22"/>
        </w:rPr>
        <w:t xml:space="preserve">, </w:t>
      </w:r>
      <w:r>
        <w:rPr>
          <w:i/>
          <w:sz w:val="22"/>
          <w:szCs w:val="22"/>
        </w:rPr>
        <w:t xml:space="preserve">Utility and Strategy Practice </w:t>
      </w:r>
      <w:r w:rsidR="00383637" w:rsidRPr="00D81728">
        <w:rPr>
          <w:i/>
          <w:sz w:val="22"/>
          <w:szCs w:val="22"/>
        </w:rPr>
        <w:t>(</w:t>
      </w:r>
      <w:r>
        <w:rPr>
          <w:i/>
          <w:sz w:val="22"/>
          <w:szCs w:val="22"/>
        </w:rPr>
        <w:t>March 2001</w:t>
      </w:r>
      <w:r w:rsidR="00383637" w:rsidRPr="00D81728">
        <w:rPr>
          <w:i/>
          <w:sz w:val="22"/>
          <w:szCs w:val="22"/>
        </w:rPr>
        <w:t xml:space="preserve"> – 20</w:t>
      </w:r>
      <w:r>
        <w:rPr>
          <w:i/>
          <w:sz w:val="22"/>
          <w:szCs w:val="22"/>
        </w:rPr>
        <w:t>15</w:t>
      </w:r>
      <w:r w:rsidR="00383637" w:rsidRPr="00D81728">
        <w:rPr>
          <w:i/>
          <w:sz w:val="22"/>
          <w:szCs w:val="22"/>
        </w:rPr>
        <w:t>)</w:t>
      </w:r>
      <w:r w:rsidR="00383637" w:rsidRPr="00D81728">
        <w:rPr>
          <w:sz w:val="22"/>
          <w:szCs w:val="22"/>
        </w:rPr>
        <w:tab/>
        <w:t xml:space="preserve">    199</w:t>
      </w:r>
      <w:r>
        <w:rPr>
          <w:sz w:val="22"/>
          <w:szCs w:val="22"/>
        </w:rPr>
        <w:t>7</w:t>
      </w:r>
      <w:r w:rsidR="00383637" w:rsidRPr="00D81728">
        <w:rPr>
          <w:sz w:val="22"/>
          <w:szCs w:val="22"/>
        </w:rPr>
        <w:t xml:space="preserve"> – 20</w:t>
      </w:r>
      <w:r>
        <w:rPr>
          <w:sz w:val="22"/>
          <w:szCs w:val="22"/>
        </w:rPr>
        <w:t>15</w:t>
      </w:r>
    </w:p>
    <w:p w:rsidR="00383637" w:rsidRPr="00D81728" w:rsidRDefault="00754EFE" w:rsidP="00DC3ECA">
      <w:pPr>
        <w:pStyle w:val="Salutation"/>
        <w:tabs>
          <w:tab w:val="right" w:pos="9360"/>
        </w:tabs>
        <w:spacing w:after="120" w:line="240" w:lineRule="auto"/>
        <w:ind w:left="907" w:hanging="360"/>
        <w:jc w:val="both"/>
        <w:rPr>
          <w:i/>
          <w:sz w:val="22"/>
          <w:szCs w:val="22"/>
        </w:rPr>
      </w:pPr>
      <w:r>
        <w:rPr>
          <w:i/>
          <w:sz w:val="22"/>
          <w:szCs w:val="22"/>
        </w:rPr>
        <w:t>Executive Consultant</w:t>
      </w:r>
      <w:r w:rsidR="00383637" w:rsidRPr="00D81728">
        <w:rPr>
          <w:i/>
          <w:sz w:val="22"/>
          <w:szCs w:val="22"/>
        </w:rPr>
        <w:t xml:space="preserve"> (March 199</w:t>
      </w:r>
      <w:r>
        <w:rPr>
          <w:i/>
          <w:sz w:val="22"/>
          <w:szCs w:val="22"/>
        </w:rPr>
        <w:t>7</w:t>
      </w:r>
      <w:r w:rsidR="00383637" w:rsidRPr="00D81728">
        <w:rPr>
          <w:i/>
          <w:sz w:val="22"/>
          <w:szCs w:val="22"/>
        </w:rPr>
        <w:t xml:space="preserve"> – </w:t>
      </w:r>
      <w:r>
        <w:rPr>
          <w:i/>
          <w:sz w:val="22"/>
          <w:szCs w:val="22"/>
        </w:rPr>
        <w:t>February 2001</w:t>
      </w:r>
      <w:r w:rsidR="00383637" w:rsidRPr="00D81728">
        <w:rPr>
          <w:i/>
          <w:sz w:val="22"/>
          <w:szCs w:val="22"/>
        </w:rPr>
        <w:t>)</w:t>
      </w:r>
    </w:p>
    <w:p w:rsidR="00383637" w:rsidRPr="00D81728" w:rsidRDefault="00754EFE" w:rsidP="00DC3ECA">
      <w:pPr>
        <w:pStyle w:val="Salutation"/>
        <w:tabs>
          <w:tab w:val="right" w:pos="9360"/>
        </w:tabs>
        <w:spacing w:after="0" w:line="240" w:lineRule="auto"/>
        <w:ind w:left="720" w:hanging="360"/>
        <w:jc w:val="both"/>
        <w:rPr>
          <w:sz w:val="22"/>
          <w:szCs w:val="22"/>
        </w:rPr>
      </w:pPr>
      <w:r>
        <w:rPr>
          <w:b/>
          <w:sz w:val="22"/>
          <w:szCs w:val="22"/>
        </w:rPr>
        <w:t xml:space="preserve">Boston Edison Company </w:t>
      </w:r>
      <w:r w:rsidRPr="00754EFE">
        <w:rPr>
          <w:rFonts w:ascii="Arial" w:hAnsi="Arial" w:cs="Arial"/>
          <w:i/>
          <w:sz w:val="18"/>
          <w:szCs w:val="18"/>
        </w:rPr>
        <w:t>(currently Eversource)</w:t>
      </w:r>
      <w:r w:rsidR="00383637" w:rsidRPr="00D81728">
        <w:rPr>
          <w:sz w:val="22"/>
          <w:szCs w:val="22"/>
        </w:rPr>
        <w:tab/>
      </w:r>
      <w:r>
        <w:rPr>
          <w:sz w:val="22"/>
          <w:szCs w:val="22"/>
        </w:rPr>
        <w:t>Boston</w:t>
      </w:r>
      <w:r w:rsidR="00383637" w:rsidRPr="00D81728">
        <w:rPr>
          <w:sz w:val="22"/>
          <w:szCs w:val="22"/>
        </w:rPr>
        <w:t>, MA</w:t>
      </w:r>
    </w:p>
    <w:p w:rsidR="00383637" w:rsidRPr="00754EFE" w:rsidRDefault="00754EFE" w:rsidP="00754EFE">
      <w:pPr>
        <w:pStyle w:val="Salutation"/>
        <w:tabs>
          <w:tab w:val="right" w:pos="9360"/>
        </w:tabs>
        <w:spacing w:after="0" w:line="240" w:lineRule="auto"/>
        <w:ind w:left="900" w:hanging="360"/>
        <w:jc w:val="both"/>
        <w:rPr>
          <w:i/>
          <w:sz w:val="22"/>
          <w:szCs w:val="22"/>
        </w:rPr>
      </w:pPr>
      <w:r>
        <w:rPr>
          <w:i/>
          <w:sz w:val="22"/>
          <w:szCs w:val="22"/>
        </w:rPr>
        <w:t>Director, Regulation and Restructuring</w:t>
      </w:r>
      <w:r w:rsidR="00383637" w:rsidRPr="00754EFE">
        <w:rPr>
          <w:i/>
          <w:sz w:val="22"/>
          <w:szCs w:val="22"/>
        </w:rPr>
        <w:tab/>
        <w:t xml:space="preserve">    199</w:t>
      </w:r>
      <w:r w:rsidR="008F0365">
        <w:rPr>
          <w:i/>
          <w:sz w:val="22"/>
          <w:szCs w:val="22"/>
        </w:rPr>
        <w:t>4</w:t>
      </w:r>
      <w:r w:rsidR="00383637" w:rsidRPr="00754EFE">
        <w:rPr>
          <w:i/>
          <w:sz w:val="22"/>
          <w:szCs w:val="22"/>
        </w:rPr>
        <w:t xml:space="preserve"> – 199</w:t>
      </w:r>
      <w:r w:rsidR="008F0365">
        <w:rPr>
          <w:i/>
          <w:sz w:val="22"/>
          <w:szCs w:val="22"/>
        </w:rPr>
        <w:t>7</w:t>
      </w:r>
    </w:p>
    <w:p w:rsidR="00754EFE" w:rsidRPr="00754EFE" w:rsidRDefault="008F0365" w:rsidP="00754EFE">
      <w:pPr>
        <w:pStyle w:val="Salutation"/>
        <w:tabs>
          <w:tab w:val="right" w:pos="9360"/>
        </w:tabs>
        <w:spacing w:after="0" w:line="240" w:lineRule="auto"/>
        <w:ind w:left="900" w:hanging="360"/>
        <w:jc w:val="both"/>
        <w:rPr>
          <w:i/>
          <w:sz w:val="22"/>
          <w:szCs w:val="22"/>
        </w:rPr>
      </w:pPr>
      <w:r>
        <w:rPr>
          <w:i/>
          <w:sz w:val="22"/>
          <w:szCs w:val="22"/>
        </w:rPr>
        <w:t>Rates</w:t>
      </w:r>
      <w:r w:rsidR="00754EFE" w:rsidRPr="00754EFE">
        <w:rPr>
          <w:i/>
          <w:sz w:val="22"/>
          <w:szCs w:val="22"/>
        </w:rPr>
        <w:t xml:space="preserve"> and Marketing Manager</w:t>
      </w:r>
      <w:r>
        <w:rPr>
          <w:i/>
          <w:sz w:val="22"/>
          <w:szCs w:val="22"/>
        </w:rPr>
        <w:tab/>
        <w:t xml:space="preserve">1991 </w:t>
      </w:r>
      <w:r w:rsidRPr="00754EFE">
        <w:rPr>
          <w:i/>
          <w:sz w:val="22"/>
          <w:szCs w:val="22"/>
        </w:rPr>
        <w:t>–</w:t>
      </w:r>
      <w:r>
        <w:rPr>
          <w:i/>
          <w:sz w:val="22"/>
          <w:szCs w:val="22"/>
        </w:rPr>
        <w:t xml:space="preserve"> 1994</w:t>
      </w:r>
    </w:p>
    <w:p w:rsidR="00383637" w:rsidRPr="00754EFE" w:rsidRDefault="008F0365" w:rsidP="00DC3ECA">
      <w:pPr>
        <w:pStyle w:val="Salutation"/>
        <w:tabs>
          <w:tab w:val="right" w:pos="9360"/>
        </w:tabs>
        <w:spacing w:after="0" w:line="240" w:lineRule="auto"/>
        <w:ind w:left="900" w:hanging="360"/>
        <w:jc w:val="both"/>
        <w:rPr>
          <w:i/>
          <w:sz w:val="22"/>
          <w:szCs w:val="22"/>
        </w:rPr>
      </w:pPr>
      <w:r>
        <w:rPr>
          <w:i/>
          <w:sz w:val="22"/>
          <w:szCs w:val="22"/>
        </w:rPr>
        <w:t>Manager of DSM Evaluation</w:t>
      </w:r>
      <w:r w:rsidR="00383637" w:rsidRPr="00D81728">
        <w:rPr>
          <w:i/>
          <w:sz w:val="22"/>
          <w:szCs w:val="22"/>
        </w:rPr>
        <w:tab/>
      </w:r>
      <w:r w:rsidR="00383637" w:rsidRPr="00754EFE">
        <w:rPr>
          <w:i/>
          <w:sz w:val="22"/>
          <w:szCs w:val="22"/>
        </w:rPr>
        <w:t xml:space="preserve">    19</w:t>
      </w:r>
      <w:r>
        <w:rPr>
          <w:i/>
          <w:sz w:val="22"/>
          <w:szCs w:val="22"/>
        </w:rPr>
        <w:t>8</w:t>
      </w:r>
      <w:r w:rsidR="00383637" w:rsidRPr="00754EFE">
        <w:rPr>
          <w:i/>
          <w:sz w:val="22"/>
          <w:szCs w:val="22"/>
        </w:rPr>
        <w:t>7 – 199</w:t>
      </w:r>
      <w:r>
        <w:rPr>
          <w:i/>
          <w:sz w:val="22"/>
          <w:szCs w:val="22"/>
        </w:rPr>
        <w:t>1</w:t>
      </w:r>
    </w:p>
    <w:p w:rsidR="00DC3ECA" w:rsidRPr="00D81728" w:rsidRDefault="008F0365" w:rsidP="00DC3ECA">
      <w:pPr>
        <w:pStyle w:val="Salutation"/>
        <w:tabs>
          <w:tab w:val="right" w:pos="9360"/>
        </w:tabs>
        <w:spacing w:after="0" w:line="240" w:lineRule="auto"/>
        <w:ind w:left="540"/>
        <w:jc w:val="both"/>
        <w:rPr>
          <w:i/>
          <w:sz w:val="22"/>
          <w:szCs w:val="22"/>
        </w:rPr>
      </w:pPr>
      <w:r>
        <w:rPr>
          <w:i/>
          <w:sz w:val="22"/>
          <w:szCs w:val="22"/>
        </w:rPr>
        <w:t>Manager of DSM Planning</w:t>
      </w:r>
      <w:r>
        <w:rPr>
          <w:i/>
          <w:sz w:val="22"/>
          <w:szCs w:val="22"/>
        </w:rPr>
        <w:tab/>
        <w:t xml:space="preserve">1985 </w:t>
      </w:r>
      <w:r w:rsidRPr="00754EFE">
        <w:rPr>
          <w:i/>
          <w:sz w:val="22"/>
          <w:szCs w:val="22"/>
        </w:rPr>
        <w:t>–</w:t>
      </w:r>
      <w:r>
        <w:rPr>
          <w:i/>
          <w:sz w:val="22"/>
          <w:szCs w:val="22"/>
        </w:rPr>
        <w:t xml:space="preserve"> 1987</w:t>
      </w:r>
    </w:p>
    <w:p w:rsidR="00383637" w:rsidRPr="00D81728" w:rsidRDefault="007111DC" w:rsidP="00DC3ECA">
      <w:pPr>
        <w:pStyle w:val="Salutation"/>
        <w:tabs>
          <w:tab w:val="right" w:pos="9360"/>
        </w:tabs>
        <w:spacing w:after="0" w:line="240" w:lineRule="auto"/>
        <w:ind w:left="540"/>
        <w:jc w:val="both"/>
        <w:rPr>
          <w:i/>
          <w:sz w:val="22"/>
          <w:szCs w:val="22"/>
        </w:rPr>
      </w:pPr>
      <w:r>
        <w:rPr>
          <w:i/>
          <w:sz w:val="22"/>
          <w:szCs w:val="22"/>
        </w:rPr>
        <w:t xml:space="preserve">Division Manager of Rate Design </w:t>
      </w:r>
      <w:r>
        <w:rPr>
          <w:i/>
          <w:sz w:val="22"/>
          <w:szCs w:val="22"/>
        </w:rPr>
        <w:tab/>
        <w:t xml:space="preserve">1983 </w:t>
      </w:r>
      <w:r w:rsidRPr="00754EFE">
        <w:rPr>
          <w:i/>
          <w:sz w:val="22"/>
          <w:szCs w:val="22"/>
        </w:rPr>
        <w:t>–</w:t>
      </w:r>
      <w:r>
        <w:rPr>
          <w:i/>
          <w:sz w:val="22"/>
          <w:szCs w:val="22"/>
        </w:rPr>
        <w:t xml:space="preserve"> 1985</w:t>
      </w:r>
    </w:p>
    <w:p w:rsidR="007111DC" w:rsidRDefault="007111DC" w:rsidP="007111DC">
      <w:pPr>
        <w:pStyle w:val="Salutation"/>
        <w:tabs>
          <w:tab w:val="right" w:pos="9360"/>
        </w:tabs>
        <w:spacing w:after="0" w:line="240" w:lineRule="auto"/>
        <w:ind w:left="900" w:hanging="360"/>
        <w:jc w:val="both"/>
        <w:rPr>
          <w:i/>
          <w:sz w:val="22"/>
          <w:szCs w:val="22"/>
        </w:rPr>
      </w:pPr>
      <w:r>
        <w:rPr>
          <w:i/>
          <w:sz w:val="22"/>
          <w:szCs w:val="22"/>
        </w:rPr>
        <w:t xml:space="preserve">Division Manager of Demand and Revenue Forecasting                                                         1979 </w:t>
      </w:r>
      <w:r w:rsidRPr="00754EFE">
        <w:rPr>
          <w:i/>
          <w:sz w:val="22"/>
          <w:szCs w:val="22"/>
        </w:rPr>
        <w:t>–</w:t>
      </w:r>
      <w:r>
        <w:rPr>
          <w:i/>
          <w:sz w:val="22"/>
          <w:szCs w:val="22"/>
        </w:rPr>
        <w:t xml:space="preserve"> 1983</w:t>
      </w:r>
    </w:p>
    <w:p w:rsidR="00383637" w:rsidRPr="00D81728" w:rsidRDefault="007111DC" w:rsidP="004750A9">
      <w:pPr>
        <w:pStyle w:val="Salutation"/>
        <w:tabs>
          <w:tab w:val="right" w:pos="9360"/>
        </w:tabs>
        <w:spacing w:after="120" w:line="240" w:lineRule="auto"/>
        <w:ind w:left="907" w:hanging="360"/>
        <w:jc w:val="both"/>
        <w:rPr>
          <w:i/>
          <w:sz w:val="22"/>
          <w:szCs w:val="22"/>
        </w:rPr>
      </w:pPr>
      <w:r>
        <w:rPr>
          <w:i/>
          <w:sz w:val="22"/>
          <w:szCs w:val="22"/>
        </w:rPr>
        <w:lastRenderedPageBreak/>
        <w:t xml:space="preserve">Forecasting Analyst, Senior Analyst                                                                                             1977 </w:t>
      </w:r>
      <w:r w:rsidR="007D0482" w:rsidRPr="00754EFE">
        <w:rPr>
          <w:i/>
          <w:sz w:val="22"/>
          <w:szCs w:val="22"/>
        </w:rPr>
        <w:t>–</w:t>
      </w:r>
      <w:r w:rsidR="007D0482">
        <w:rPr>
          <w:i/>
          <w:sz w:val="22"/>
          <w:szCs w:val="22"/>
        </w:rPr>
        <w:t xml:space="preserve"> 1979</w:t>
      </w:r>
    </w:p>
    <w:p w:rsidR="00383637" w:rsidRDefault="00383637" w:rsidP="00DC3ECA">
      <w:pPr>
        <w:pStyle w:val="Salutation"/>
        <w:spacing w:after="0" w:line="240" w:lineRule="auto"/>
        <w:jc w:val="both"/>
      </w:pPr>
    </w:p>
    <w:p w:rsidR="00383637" w:rsidRPr="0089555A" w:rsidRDefault="00383637" w:rsidP="00DC3ECA">
      <w:pPr>
        <w:pStyle w:val="Salutation"/>
        <w:spacing w:after="120" w:line="240" w:lineRule="auto"/>
        <w:rPr>
          <w:rFonts w:ascii="Calibri Bold" w:hAnsi="Calibri Bold"/>
          <w:b/>
          <w:color w:val="505759"/>
          <w:spacing w:val="14"/>
          <w:sz w:val="28"/>
          <w:szCs w:val="28"/>
        </w:rPr>
      </w:pPr>
      <w:r w:rsidRPr="0089555A">
        <w:rPr>
          <w:rFonts w:ascii="Calibri Bold" w:hAnsi="Calibri Bold"/>
          <w:b/>
          <w:color w:val="505759"/>
          <w:spacing w:val="14"/>
          <w:sz w:val="28"/>
          <w:szCs w:val="28"/>
        </w:rPr>
        <w:t>EDUCATION</w:t>
      </w:r>
    </w:p>
    <w:p w:rsidR="00383637" w:rsidRPr="00D81728" w:rsidRDefault="00383637" w:rsidP="00DC3ECA">
      <w:pPr>
        <w:pStyle w:val="Salutation"/>
        <w:tabs>
          <w:tab w:val="left" w:pos="360"/>
          <w:tab w:val="right" w:pos="9360"/>
        </w:tabs>
        <w:spacing w:after="0" w:line="240" w:lineRule="auto"/>
        <w:ind w:left="360" w:hanging="360"/>
        <w:jc w:val="both"/>
        <w:rPr>
          <w:sz w:val="22"/>
          <w:szCs w:val="22"/>
        </w:rPr>
      </w:pPr>
      <w:r w:rsidRPr="00D81728">
        <w:rPr>
          <w:sz w:val="22"/>
          <w:szCs w:val="22"/>
        </w:rPr>
        <w:tab/>
      </w:r>
      <w:r w:rsidR="008F0365">
        <w:rPr>
          <w:b/>
          <w:sz w:val="22"/>
          <w:szCs w:val="22"/>
        </w:rPr>
        <w:t>Northeastern University</w:t>
      </w:r>
      <w:r w:rsidRPr="00D81728">
        <w:rPr>
          <w:sz w:val="22"/>
          <w:szCs w:val="22"/>
        </w:rPr>
        <w:tab/>
      </w:r>
      <w:r w:rsidR="008F0365">
        <w:rPr>
          <w:sz w:val="22"/>
          <w:szCs w:val="22"/>
        </w:rPr>
        <w:t>Boston</w:t>
      </w:r>
      <w:r w:rsidRPr="00D81728">
        <w:rPr>
          <w:sz w:val="22"/>
          <w:szCs w:val="22"/>
        </w:rPr>
        <w:t>, MA</w:t>
      </w:r>
    </w:p>
    <w:p w:rsidR="00383637" w:rsidRPr="00D81728" w:rsidRDefault="00DC3ECA" w:rsidP="00DC3ECA">
      <w:pPr>
        <w:pStyle w:val="Salutation"/>
        <w:tabs>
          <w:tab w:val="right" w:pos="9360"/>
        </w:tabs>
        <w:spacing w:after="0" w:line="240" w:lineRule="auto"/>
        <w:ind w:left="900" w:hanging="360"/>
        <w:rPr>
          <w:i/>
          <w:sz w:val="22"/>
          <w:szCs w:val="22"/>
        </w:rPr>
      </w:pPr>
      <w:r w:rsidRPr="00D81728">
        <w:rPr>
          <w:i/>
          <w:sz w:val="22"/>
          <w:szCs w:val="22"/>
        </w:rPr>
        <w:tab/>
      </w:r>
      <w:r w:rsidR="008F0365">
        <w:rPr>
          <w:i/>
          <w:sz w:val="22"/>
          <w:szCs w:val="22"/>
        </w:rPr>
        <w:t>M.B.A</w:t>
      </w:r>
      <w:r w:rsidR="00383637" w:rsidRPr="00D81728">
        <w:rPr>
          <w:i/>
          <w:sz w:val="22"/>
          <w:szCs w:val="22"/>
        </w:rPr>
        <w:t xml:space="preserve">., </w:t>
      </w:r>
      <w:r w:rsidR="008F0365">
        <w:rPr>
          <w:i/>
          <w:sz w:val="22"/>
          <w:szCs w:val="22"/>
        </w:rPr>
        <w:t>Finance</w:t>
      </w:r>
      <w:r w:rsidR="00383637" w:rsidRPr="00D81728">
        <w:rPr>
          <w:i/>
          <w:sz w:val="22"/>
          <w:szCs w:val="22"/>
        </w:rPr>
        <w:tab/>
      </w:r>
      <w:r w:rsidR="00383637" w:rsidRPr="00D81728">
        <w:rPr>
          <w:sz w:val="22"/>
          <w:szCs w:val="22"/>
        </w:rPr>
        <w:t>19</w:t>
      </w:r>
      <w:r w:rsidR="008F0365">
        <w:rPr>
          <w:sz w:val="22"/>
          <w:szCs w:val="22"/>
        </w:rPr>
        <w:t>8</w:t>
      </w:r>
      <w:r w:rsidR="00383637" w:rsidRPr="00D81728">
        <w:rPr>
          <w:sz w:val="22"/>
          <w:szCs w:val="22"/>
        </w:rPr>
        <w:t>7</w:t>
      </w:r>
    </w:p>
    <w:p w:rsidR="00383637" w:rsidRPr="00D81728" w:rsidRDefault="00383637" w:rsidP="00DC3ECA">
      <w:pPr>
        <w:pStyle w:val="Salutation"/>
        <w:spacing w:after="0" w:line="240" w:lineRule="auto"/>
        <w:jc w:val="both"/>
        <w:rPr>
          <w:sz w:val="22"/>
          <w:szCs w:val="22"/>
        </w:rPr>
      </w:pPr>
    </w:p>
    <w:p w:rsidR="00383637" w:rsidRPr="00D81728" w:rsidRDefault="00383637" w:rsidP="00DC3ECA">
      <w:pPr>
        <w:pStyle w:val="Salutation"/>
        <w:tabs>
          <w:tab w:val="left" w:pos="360"/>
          <w:tab w:val="right" w:pos="9360"/>
        </w:tabs>
        <w:spacing w:after="0" w:line="240" w:lineRule="auto"/>
        <w:ind w:left="360" w:hanging="360"/>
        <w:jc w:val="both"/>
        <w:rPr>
          <w:sz w:val="22"/>
          <w:szCs w:val="22"/>
        </w:rPr>
      </w:pPr>
      <w:r w:rsidRPr="00D81728">
        <w:rPr>
          <w:sz w:val="22"/>
          <w:szCs w:val="22"/>
        </w:rPr>
        <w:tab/>
      </w:r>
      <w:r w:rsidRPr="00D81728">
        <w:rPr>
          <w:b/>
          <w:sz w:val="22"/>
          <w:szCs w:val="22"/>
        </w:rPr>
        <w:t>University of Massachusetts</w:t>
      </w:r>
      <w:r w:rsidRPr="00D81728">
        <w:rPr>
          <w:sz w:val="22"/>
          <w:szCs w:val="22"/>
        </w:rPr>
        <w:tab/>
      </w:r>
      <w:r w:rsidR="008F0365">
        <w:rPr>
          <w:sz w:val="22"/>
          <w:szCs w:val="22"/>
        </w:rPr>
        <w:t>Boston</w:t>
      </w:r>
      <w:r w:rsidRPr="00D81728">
        <w:rPr>
          <w:sz w:val="22"/>
          <w:szCs w:val="22"/>
        </w:rPr>
        <w:t>, MA</w:t>
      </w:r>
    </w:p>
    <w:p w:rsidR="00383637" w:rsidRPr="00D81728" w:rsidRDefault="00DC3ECA" w:rsidP="00DC3ECA">
      <w:pPr>
        <w:pStyle w:val="Salutation"/>
        <w:tabs>
          <w:tab w:val="right" w:pos="9360"/>
        </w:tabs>
        <w:spacing w:after="0" w:line="240" w:lineRule="auto"/>
        <w:ind w:left="900" w:hanging="360"/>
        <w:rPr>
          <w:i/>
          <w:sz w:val="22"/>
          <w:szCs w:val="22"/>
        </w:rPr>
      </w:pPr>
      <w:r w:rsidRPr="00D81728">
        <w:rPr>
          <w:i/>
          <w:sz w:val="22"/>
          <w:szCs w:val="22"/>
        </w:rPr>
        <w:tab/>
      </w:r>
      <w:r w:rsidR="008F0365">
        <w:rPr>
          <w:i/>
          <w:sz w:val="22"/>
          <w:szCs w:val="22"/>
        </w:rPr>
        <w:t>B.S., Mathematics</w:t>
      </w:r>
      <w:r w:rsidR="00383637" w:rsidRPr="00D81728">
        <w:rPr>
          <w:i/>
          <w:sz w:val="22"/>
          <w:szCs w:val="22"/>
        </w:rPr>
        <w:tab/>
      </w:r>
      <w:r w:rsidR="00383637" w:rsidRPr="00D81728">
        <w:rPr>
          <w:sz w:val="22"/>
          <w:szCs w:val="22"/>
        </w:rPr>
        <w:t>19</w:t>
      </w:r>
      <w:r w:rsidR="008F0365">
        <w:rPr>
          <w:sz w:val="22"/>
          <w:szCs w:val="22"/>
        </w:rPr>
        <w:t>76</w:t>
      </w:r>
    </w:p>
    <w:p w:rsidR="00383637" w:rsidRPr="00D81728" w:rsidRDefault="00DC3ECA" w:rsidP="00DC3ECA">
      <w:pPr>
        <w:pStyle w:val="Salutation"/>
        <w:tabs>
          <w:tab w:val="right" w:pos="9360"/>
        </w:tabs>
        <w:spacing w:after="120" w:line="240" w:lineRule="auto"/>
        <w:ind w:left="907" w:hanging="360"/>
        <w:rPr>
          <w:i/>
          <w:sz w:val="22"/>
          <w:szCs w:val="22"/>
        </w:rPr>
      </w:pPr>
      <w:r w:rsidRPr="00D81728">
        <w:rPr>
          <w:i/>
          <w:sz w:val="22"/>
          <w:szCs w:val="22"/>
        </w:rPr>
        <w:tab/>
      </w:r>
      <w:r w:rsidR="00383637" w:rsidRPr="00D81728">
        <w:rPr>
          <w:i/>
          <w:sz w:val="22"/>
          <w:szCs w:val="22"/>
        </w:rPr>
        <w:t xml:space="preserve">A.B., Economics (Summa </w:t>
      </w:r>
      <w:proofErr w:type="gramStart"/>
      <w:r w:rsidR="00383637" w:rsidRPr="00D81728">
        <w:rPr>
          <w:i/>
          <w:sz w:val="22"/>
          <w:szCs w:val="22"/>
        </w:rPr>
        <w:t>Cum</w:t>
      </w:r>
      <w:proofErr w:type="gramEnd"/>
      <w:r w:rsidR="00383637" w:rsidRPr="00D81728">
        <w:rPr>
          <w:i/>
          <w:sz w:val="22"/>
          <w:szCs w:val="22"/>
        </w:rPr>
        <w:t xml:space="preserve"> Laude)</w:t>
      </w:r>
      <w:r w:rsidR="00383637" w:rsidRPr="00D81728">
        <w:rPr>
          <w:i/>
          <w:sz w:val="22"/>
          <w:szCs w:val="22"/>
        </w:rPr>
        <w:tab/>
      </w:r>
      <w:r w:rsidR="00383637" w:rsidRPr="00D81728">
        <w:rPr>
          <w:sz w:val="22"/>
          <w:szCs w:val="22"/>
        </w:rPr>
        <w:t>1989</w:t>
      </w:r>
    </w:p>
    <w:p w:rsidR="00383637" w:rsidRDefault="00383637" w:rsidP="00DC3ECA">
      <w:pPr>
        <w:pStyle w:val="Salutation"/>
        <w:spacing w:after="0" w:line="240" w:lineRule="auto"/>
        <w:jc w:val="both"/>
      </w:pPr>
    </w:p>
    <w:p w:rsidR="00383637" w:rsidRPr="0089555A" w:rsidRDefault="00383637" w:rsidP="00DC3ECA">
      <w:pPr>
        <w:pStyle w:val="Salutation"/>
        <w:spacing w:after="120" w:line="240" w:lineRule="auto"/>
        <w:rPr>
          <w:rFonts w:ascii="Calibri Bold" w:hAnsi="Calibri Bold"/>
          <w:b/>
          <w:color w:val="505759"/>
          <w:spacing w:val="14"/>
          <w:sz w:val="28"/>
          <w:szCs w:val="28"/>
        </w:rPr>
      </w:pPr>
      <w:r w:rsidRPr="0089555A">
        <w:rPr>
          <w:rFonts w:ascii="Calibri Bold" w:hAnsi="Calibri Bold"/>
          <w:b/>
          <w:color w:val="505759"/>
          <w:spacing w:val="14"/>
          <w:sz w:val="28"/>
          <w:szCs w:val="28"/>
        </w:rPr>
        <w:t>PROFESSIONAL TRAINING &amp; SKILLS</w:t>
      </w:r>
    </w:p>
    <w:p w:rsidR="00DC3ECA" w:rsidRDefault="00383637" w:rsidP="0071041E">
      <w:pPr>
        <w:pStyle w:val="Salutation"/>
        <w:spacing w:after="120" w:line="240" w:lineRule="auto"/>
        <w:jc w:val="both"/>
        <w:rPr>
          <w:sz w:val="22"/>
          <w:szCs w:val="22"/>
        </w:rPr>
      </w:pPr>
      <w:proofErr w:type="gramStart"/>
      <w:r w:rsidRPr="00D81728">
        <w:rPr>
          <w:sz w:val="22"/>
          <w:szCs w:val="22"/>
        </w:rPr>
        <w:t xml:space="preserve">Proficient in </w:t>
      </w:r>
      <w:r w:rsidR="008F0365">
        <w:rPr>
          <w:sz w:val="22"/>
          <w:szCs w:val="22"/>
        </w:rPr>
        <w:t>MS Office and knowledgeable i</w:t>
      </w:r>
      <w:r w:rsidR="009148C2">
        <w:rPr>
          <w:sz w:val="22"/>
          <w:szCs w:val="22"/>
        </w:rPr>
        <w:t>i</w:t>
      </w:r>
      <w:r w:rsidR="00485EE0">
        <w:rPr>
          <w:sz w:val="22"/>
          <w:szCs w:val="22"/>
        </w:rPr>
        <w:t xml:space="preserve"> </w:t>
      </w:r>
      <w:r w:rsidRPr="00D81728">
        <w:rPr>
          <w:sz w:val="22"/>
          <w:szCs w:val="22"/>
        </w:rPr>
        <w:t>energy market simulation modeling programs.</w:t>
      </w:r>
      <w:proofErr w:type="gramEnd"/>
    </w:p>
    <w:p w:rsidR="0071041E" w:rsidRPr="0071041E" w:rsidRDefault="0071041E" w:rsidP="0071041E">
      <w:pPr>
        <w:pStyle w:val="Body"/>
        <w:spacing w:after="0" w:line="240" w:lineRule="auto"/>
      </w:pPr>
    </w:p>
    <w:p w:rsidR="00383637" w:rsidRPr="0089555A" w:rsidRDefault="00383637" w:rsidP="00DC3ECA">
      <w:pPr>
        <w:pStyle w:val="Salutation"/>
        <w:spacing w:after="120" w:line="240" w:lineRule="auto"/>
        <w:rPr>
          <w:rFonts w:ascii="Calibri Bold" w:hAnsi="Calibri Bold"/>
          <w:b/>
          <w:color w:val="505759"/>
          <w:spacing w:val="14"/>
          <w:sz w:val="28"/>
          <w:szCs w:val="28"/>
        </w:rPr>
      </w:pPr>
      <w:r w:rsidRPr="0089555A">
        <w:rPr>
          <w:rFonts w:ascii="Calibri Bold" w:hAnsi="Calibri Bold"/>
          <w:b/>
          <w:color w:val="505759"/>
          <w:spacing w:val="14"/>
          <w:sz w:val="28"/>
          <w:szCs w:val="28"/>
        </w:rPr>
        <w:t>PUBLICATIONS, PRESENTATIONS &amp; CONFERENCES</w:t>
      </w:r>
    </w:p>
    <w:p w:rsidR="008F0365" w:rsidRDefault="00FF6C58" w:rsidP="008F0365">
      <w:pPr>
        <w:pStyle w:val="Salutation"/>
        <w:spacing w:after="120" w:line="240" w:lineRule="auto"/>
        <w:ind w:left="360" w:hanging="360"/>
        <w:jc w:val="both"/>
        <w:rPr>
          <w:i/>
          <w:sz w:val="22"/>
          <w:szCs w:val="22"/>
        </w:rPr>
      </w:pPr>
      <w:r w:rsidRPr="009148C2">
        <w:rPr>
          <w:i/>
          <w:sz w:val="22"/>
          <w:szCs w:val="22"/>
        </w:rPr>
        <w:t>Renewable Energy</w:t>
      </w:r>
      <w:r w:rsidR="00BA3883" w:rsidRPr="009148C2">
        <w:rPr>
          <w:i/>
          <w:sz w:val="22"/>
          <w:szCs w:val="22"/>
        </w:rPr>
        <w:t xml:space="preserve"> –</w:t>
      </w:r>
      <w:r w:rsidRPr="009148C2">
        <w:rPr>
          <w:i/>
          <w:sz w:val="22"/>
          <w:szCs w:val="22"/>
        </w:rPr>
        <w:t xml:space="preserve"> Innovative Approaches to a Win-Win Renewable </w:t>
      </w:r>
      <w:r w:rsidR="00BA3883" w:rsidRPr="009148C2">
        <w:rPr>
          <w:i/>
          <w:sz w:val="22"/>
          <w:szCs w:val="22"/>
        </w:rPr>
        <w:t>Solution</w:t>
      </w:r>
      <w:r w:rsidRPr="009148C2">
        <w:rPr>
          <w:i/>
          <w:sz w:val="22"/>
          <w:szCs w:val="22"/>
        </w:rPr>
        <w:t xml:space="preserve">, </w:t>
      </w:r>
      <w:r w:rsidR="00BA3883" w:rsidRPr="009148C2">
        <w:rPr>
          <w:i/>
          <w:sz w:val="22"/>
          <w:szCs w:val="22"/>
        </w:rPr>
        <w:t>Paper presented at Renewable Energy World, December</w:t>
      </w:r>
      <w:r w:rsidR="008F0365" w:rsidRPr="009148C2">
        <w:rPr>
          <w:i/>
          <w:sz w:val="22"/>
          <w:szCs w:val="22"/>
        </w:rPr>
        <w:t xml:space="preserve"> 201</w:t>
      </w:r>
      <w:r w:rsidR="00BA3883" w:rsidRPr="009148C2">
        <w:rPr>
          <w:i/>
          <w:sz w:val="22"/>
          <w:szCs w:val="22"/>
        </w:rPr>
        <w:t>4</w:t>
      </w:r>
      <w:r w:rsidR="003C2D5D">
        <w:rPr>
          <w:i/>
          <w:sz w:val="22"/>
          <w:szCs w:val="22"/>
        </w:rPr>
        <w:t>.</w:t>
      </w:r>
    </w:p>
    <w:p w:rsidR="008F0365" w:rsidRPr="008F0365" w:rsidRDefault="008F0365" w:rsidP="008F0365">
      <w:pPr>
        <w:pStyle w:val="Salutation"/>
        <w:spacing w:after="120" w:line="240" w:lineRule="auto"/>
        <w:ind w:left="360" w:hanging="360"/>
        <w:jc w:val="both"/>
        <w:rPr>
          <w:i/>
          <w:sz w:val="22"/>
          <w:szCs w:val="22"/>
        </w:rPr>
      </w:pPr>
      <w:r w:rsidRPr="008F0365">
        <w:rPr>
          <w:i/>
          <w:sz w:val="22"/>
          <w:szCs w:val="22"/>
        </w:rPr>
        <w:t xml:space="preserve">Energy </w:t>
      </w:r>
      <w:proofErr w:type="gramStart"/>
      <w:r w:rsidRPr="008F0365">
        <w:rPr>
          <w:i/>
          <w:sz w:val="22"/>
          <w:szCs w:val="22"/>
        </w:rPr>
        <w:t>Efficiency</w:t>
      </w:r>
      <w:r w:rsidR="00BA3883">
        <w:rPr>
          <w:i/>
          <w:sz w:val="22"/>
          <w:szCs w:val="22"/>
        </w:rPr>
        <w:t xml:space="preserve"> </w:t>
      </w:r>
      <w:r w:rsidRPr="008F0365">
        <w:rPr>
          <w:i/>
          <w:sz w:val="22"/>
          <w:szCs w:val="22"/>
        </w:rPr>
        <w:t xml:space="preserve"> –</w:t>
      </w:r>
      <w:proofErr w:type="gramEnd"/>
      <w:r w:rsidRPr="008F0365">
        <w:rPr>
          <w:i/>
          <w:sz w:val="22"/>
          <w:szCs w:val="22"/>
        </w:rPr>
        <w:t xml:space="preserve"> Providing Equivalent Incentives to Utilities, Presented to the RKS Research &amp; Consulting Energy Efficiency Seminar, Dallas TX, March 2008</w:t>
      </w:r>
      <w:r w:rsidR="003C2D5D">
        <w:rPr>
          <w:i/>
          <w:sz w:val="22"/>
          <w:szCs w:val="22"/>
        </w:rPr>
        <w:t>.</w:t>
      </w:r>
    </w:p>
    <w:p w:rsidR="008F0365" w:rsidRPr="008F0365" w:rsidRDefault="008F0365" w:rsidP="008F0365">
      <w:pPr>
        <w:pStyle w:val="Salutation"/>
        <w:spacing w:after="120" w:line="240" w:lineRule="auto"/>
        <w:ind w:left="360" w:hanging="360"/>
        <w:jc w:val="both"/>
        <w:rPr>
          <w:i/>
          <w:sz w:val="22"/>
          <w:szCs w:val="22"/>
        </w:rPr>
      </w:pPr>
      <w:r w:rsidRPr="008F0365">
        <w:rPr>
          <w:i/>
          <w:sz w:val="22"/>
          <w:szCs w:val="22"/>
        </w:rPr>
        <w:t xml:space="preserve">Organizational Improvement – Strategies and Tactics, Presented to the CEO Conference, National Rural Electric Cooperative Association, Phoenix, AZ, </w:t>
      </w:r>
      <w:proofErr w:type="gramStart"/>
      <w:r w:rsidRPr="008F0365">
        <w:rPr>
          <w:i/>
          <w:sz w:val="22"/>
          <w:szCs w:val="22"/>
        </w:rPr>
        <w:t>January</w:t>
      </w:r>
      <w:proofErr w:type="gramEnd"/>
      <w:r w:rsidRPr="008F0365">
        <w:rPr>
          <w:i/>
          <w:sz w:val="22"/>
          <w:szCs w:val="22"/>
        </w:rPr>
        <w:t>, 2006</w:t>
      </w:r>
      <w:r w:rsidR="003C2D5D">
        <w:rPr>
          <w:i/>
          <w:sz w:val="22"/>
          <w:szCs w:val="22"/>
        </w:rPr>
        <w:t>.</w:t>
      </w:r>
    </w:p>
    <w:p w:rsidR="008F0365" w:rsidRPr="008F0365" w:rsidRDefault="008F0365" w:rsidP="008F0365">
      <w:pPr>
        <w:pStyle w:val="Salutation"/>
        <w:spacing w:after="120" w:line="240" w:lineRule="auto"/>
        <w:ind w:left="360" w:hanging="360"/>
        <w:jc w:val="both"/>
        <w:rPr>
          <w:i/>
          <w:sz w:val="22"/>
          <w:szCs w:val="22"/>
        </w:rPr>
      </w:pPr>
      <w:r w:rsidRPr="008F0365">
        <w:rPr>
          <w:i/>
          <w:sz w:val="22"/>
          <w:szCs w:val="22"/>
        </w:rPr>
        <w:t xml:space="preserve">Cooperative Restructuring Issues, Paper presented at the 10Th National Energy Services Conference, Tucson, AZ, </w:t>
      </w:r>
      <w:proofErr w:type="gramStart"/>
      <w:r w:rsidRPr="008F0365">
        <w:rPr>
          <w:i/>
          <w:sz w:val="22"/>
          <w:szCs w:val="22"/>
        </w:rPr>
        <w:t>December</w:t>
      </w:r>
      <w:proofErr w:type="gramEnd"/>
      <w:r w:rsidRPr="008F0365">
        <w:rPr>
          <w:i/>
          <w:sz w:val="22"/>
          <w:szCs w:val="22"/>
        </w:rPr>
        <w:t>, 1999</w:t>
      </w:r>
      <w:r w:rsidR="003C2D5D">
        <w:rPr>
          <w:i/>
          <w:sz w:val="22"/>
          <w:szCs w:val="22"/>
        </w:rPr>
        <w:t>.</w:t>
      </w:r>
    </w:p>
    <w:p w:rsidR="008F0365" w:rsidRPr="008F0365" w:rsidRDefault="008F0365" w:rsidP="008F0365">
      <w:pPr>
        <w:pStyle w:val="Salutation"/>
        <w:spacing w:after="120" w:line="240" w:lineRule="auto"/>
        <w:ind w:left="360" w:hanging="360"/>
        <w:jc w:val="both"/>
        <w:rPr>
          <w:i/>
          <w:sz w:val="22"/>
          <w:szCs w:val="22"/>
        </w:rPr>
      </w:pPr>
      <w:proofErr w:type="gramStart"/>
      <w:r w:rsidRPr="0046357C">
        <w:rPr>
          <w:i/>
          <w:sz w:val="22"/>
          <w:szCs w:val="22"/>
        </w:rPr>
        <w:t>Issues and Trends in Pricing</w:t>
      </w:r>
      <w:r w:rsidRPr="008F0365">
        <w:rPr>
          <w:i/>
          <w:sz w:val="22"/>
          <w:szCs w:val="22"/>
        </w:rPr>
        <w:t>, Professional Pricing Society, Annual Conference, Chicago, IL, October 1995.</w:t>
      </w:r>
      <w:proofErr w:type="gramEnd"/>
    </w:p>
    <w:p w:rsidR="008F0365" w:rsidRPr="008F0365" w:rsidRDefault="008F0365" w:rsidP="008F0365">
      <w:pPr>
        <w:pStyle w:val="Salutation"/>
        <w:spacing w:after="120" w:line="240" w:lineRule="auto"/>
        <w:ind w:left="360" w:hanging="360"/>
        <w:jc w:val="both"/>
        <w:rPr>
          <w:i/>
          <w:sz w:val="22"/>
          <w:szCs w:val="22"/>
        </w:rPr>
      </w:pPr>
      <w:proofErr w:type="gramStart"/>
      <w:r w:rsidRPr="0046357C">
        <w:rPr>
          <w:i/>
          <w:sz w:val="22"/>
          <w:szCs w:val="22"/>
        </w:rPr>
        <w:t>Selling Evaluation</w:t>
      </w:r>
      <w:r w:rsidRPr="008F0365">
        <w:rPr>
          <w:i/>
          <w:sz w:val="22"/>
          <w:szCs w:val="22"/>
        </w:rPr>
        <w:t>, Sixth International Energy Program Evaluation Conference, August 1993.</w:t>
      </w:r>
      <w:proofErr w:type="gramEnd"/>
      <w:r w:rsidRPr="008F0365">
        <w:rPr>
          <w:i/>
          <w:sz w:val="22"/>
          <w:szCs w:val="22"/>
        </w:rPr>
        <w:t xml:space="preserve">  </w:t>
      </w:r>
      <w:proofErr w:type="gramStart"/>
      <w:r w:rsidRPr="008F0365">
        <w:rPr>
          <w:i/>
          <w:sz w:val="22"/>
          <w:szCs w:val="22"/>
        </w:rPr>
        <w:t>Published.</w:t>
      </w:r>
      <w:proofErr w:type="gramEnd"/>
    </w:p>
    <w:p w:rsidR="008F0365" w:rsidRPr="008F0365" w:rsidRDefault="008F0365" w:rsidP="008F0365">
      <w:pPr>
        <w:pStyle w:val="Salutation"/>
        <w:spacing w:after="120" w:line="240" w:lineRule="auto"/>
        <w:ind w:left="360" w:hanging="360"/>
        <w:jc w:val="both"/>
        <w:rPr>
          <w:i/>
          <w:sz w:val="22"/>
          <w:szCs w:val="22"/>
        </w:rPr>
      </w:pPr>
      <w:r w:rsidRPr="0046357C">
        <w:rPr>
          <w:i/>
          <w:sz w:val="22"/>
          <w:szCs w:val="22"/>
        </w:rPr>
        <w:t>A Brief History of a Measurement and Evaluation Department: Boston Edison Company</w:t>
      </w:r>
      <w:r w:rsidRPr="008F0365">
        <w:rPr>
          <w:i/>
          <w:sz w:val="22"/>
          <w:szCs w:val="22"/>
        </w:rPr>
        <w:t xml:space="preserve">, </w:t>
      </w:r>
      <w:smartTag w:uri="urn:schemas-microsoft-com:office:smarttags" w:element="place">
        <w:r w:rsidRPr="008F0365">
          <w:rPr>
            <w:i/>
            <w:sz w:val="22"/>
            <w:szCs w:val="22"/>
          </w:rPr>
          <w:t>Edison</w:t>
        </w:r>
      </w:smartTag>
      <w:r w:rsidRPr="008F0365">
        <w:rPr>
          <w:i/>
          <w:sz w:val="22"/>
          <w:szCs w:val="22"/>
        </w:rPr>
        <w:t xml:space="preserve"> Times, IRP Quarterly, April 1993.</w:t>
      </w:r>
    </w:p>
    <w:p w:rsidR="008F0365" w:rsidRPr="008F0365" w:rsidRDefault="008F0365" w:rsidP="008F0365">
      <w:pPr>
        <w:pStyle w:val="Salutation"/>
        <w:spacing w:after="120" w:line="240" w:lineRule="auto"/>
        <w:ind w:left="360" w:hanging="360"/>
        <w:jc w:val="both"/>
        <w:rPr>
          <w:i/>
          <w:sz w:val="22"/>
          <w:szCs w:val="22"/>
        </w:rPr>
      </w:pPr>
      <w:r w:rsidRPr="0046357C">
        <w:rPr>
          <w:i/>
          <w:sz w:val="22"/>
          <w:szCs w:val="22"/>
        </w:rPr>
        <w:t>Competition in the Energy Markets and its Impact on IRP</w:t>
      </w:r>
      <w:r w:rsidRPr="008F0365">
        <w:rPr>
          <w:i/>
          <w:sz w:val="22"/>
          <w:szCs w:val="22"/>
        </w:rPr>
        <w:t>, National Association of Regulatory Utility Commissioners (NARUC), May 1993.</w:t>
      </w:r>
    </w:p>
    <w:p w:rsidR="008F0365" w:rsidRPr="008F0365" w:rsidRDefault="008F0365" w:rsidP="008F0365">
      <w:pPr>
        <w:pStyle w:val="Salutation"/>
        <w:spacing w:after="120" w:line="240" w:lineRule="auto"/>
        <w:ind w:left="360" w:hanging="360"/>
        <w:jc w:val="both"/>
        <w:rPr>
          <w:i/>
          <w:sz w:val="22"/>
          <w:szCs w:val="22"/>
        </w:rPr>
      </w:pPr>
      <w:r w:rsidRPr="0046357C">
        <w:rPr>
          <w:i/>
          <w:sz w:val="22"/>
          <w:szCs w:val="22"/>
        </w:rPr>
        <w:t>Managing Evaluations</w:t>
      </w:r>
      <w:r w:rsidRPr="008F0365">
        <w:rPr>
          <w:i/>
          <w:sz w:val="22"/>
          <w:szCs w:val="22"/>
        </w:rPr>
        <w:t>, ACEEE Summer Study Program 1992.  Published.</w:t>
      </w:r>
    </w:p>
    <w:p w:rsidR="008F0365" w:rsidRPr="008F0365" w:rsidRDefault="008F0365" w:rsidP="008F0365">
      <w:pPr>
        <w:pStyle w:val="Salutation"/>
        <w:spacing w:after="120" w:line="240" w:lineRule="auto"/>
        <w:ind w:left="360" w:hanging="360"/>
        <w:jc w:val="both"/>
        <w:rPr>
          <w:i/>
          <w:sz w:val="22"/>
          <w:szCs w:val="22"/>
        </w:rPr>
      </w:pPr>
      <w:r w:rsidRPr="008F0365">
        <w:rPr>
          <w:i/>
          <w:sz w:val="22"/>
          <w:szCs w:val="22"/>
        </w:rPr>
        <w:t xml:space="preserve">Several </w:t>
      </w:r>
      <w:r w:rsidRPr="0046357C">
        <w:rPr>
          <w:i/>
          <w:sz w:val="22"/>
          <w:szCs w:val="22"/>
        </w:rPr>
        <w:t>Industry Restructuring</w:t>
      </w:r>
      <w:r w:rsidRPr="008F0365">
        <w:rPr>
          <w:i/>
          <w:sz w:val="22"/>
          <w:szCs w:val="22"/>
        </w:rPr>
        <w:t xml:space="preserve"> speaking engagements.</w:t>
      </w:r>
    </w:p>
    <w:p w:rsidR="008F0365" w:rsidRPr="008F0365" w:rsidRDefault="008F0365" w:rsidP="008F0365">
      <w:pPr>
        <w:pStyle w:val="Salutation"/>
        <w:spacing w:after="120" w:line="240" w:lineRule="auto"/>
        <w:ind w:left="360" w:hanging="360"/>
        <w:jc w:val="both"/>
        <w:rPr>
          <w:i/>
          <w:sz w:val="22"/>
          <w:szCs w:val="22"/>
        </w:rPr>
      </w:pPr>
      <w:r w:rsidRPr="008F0365">
        <w:rPr>
          <w:i/>
          <w:sz w:val="22"/>
          <w:szCs w:val="22"/>
        </w:rPr>
        <w:t>Several DSM speaking invitations, 1985 - 1994.</w:t>
      </w:r>
    </w:p>
    <w:p w:rsidR="008F0365" w:rsidRPr="008F0365" w:rsidRDefault="008F0365" w:rsidP="008F0365">
      <w:pPr>
        <w:pStyle w:val="Salutation"/>
        <w:spacing w:after="120" w:line="240" w:lineRule="auto"/>
        <w:ind w:left="360" w:hanging="360"/>
        <w:jc w:val="both"/>
        <w:rPr>
          <w:i/>
          <w:sz w:val="22"/>
          <w:szCs w:val="22"/>
        </w:rPr>
      </w:pPr>
      <w:r w:rsidRPr="008F0365">
        <w:rPr>
          <w:i/>
          <w:sz w:val="22"/>
          <w:szCs w:val="22"/>
        </w:rPr>
        <w:t>Several Forecasting speaking invitations, 1980 - 1984.</w:t>
      </w:r>
    </w:p>
    <w:p w:rsidR="008F0365" w:rsidRPr="008F0365" w:rsidRDefault="008F0365" w:rsidP="008F0365">
      <w:pPr>
        <w:pStyle w:val="Salutation"/>
        <w:spacing w:after="120" w:line="240" w:lineRule="auto"/>
        <w:ind w:left="360" w:hanging="360"/>
        <w:jc w:val="both"/>
        <w:rPr>
          <w:i/>
          <w:sz w:val="22"/>
          <w:szCs w:val="22"/>
        </w:rPr>
      </w:pPr>
      <w:r w:rsidRPr="008F0365">
        <w:rPr>
          <w:i/>
          <w:sz w:val="22"/>
          <w:szCs w:val="22"/>
        </w:rPr>
        <w:t>Numerous publications on such subjects as Demand Planning Process, Conservation and Load Management, DSM Monitoring, Evaluation, Forecasting, and Business Planning.</w:t>
      </w:r>
    </w:p>
    <w:sectPr w:rsidR="008F0365" w:rsidRPr="008F0365" w:rsidSect="00D025D8">
      <w:headerReference w:type="default" r:id="rId9"/>
      <w:footerReference w:type="default" r:id="rId10"/>
      <w:headerReference w:type="first" r:id="rId11"/>
      <w:footerReference w:type="first" r:id="rId12"/>
      <w:pgSz w:w="12240" w:h="15840" w:code="1"/>
      <w:pgMar w:top="1440" w:right="1440" w:bottom="720" w:left="144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A6" w:rsidRDefault="004816A6" w:rsidP="007D6CDA">
      <w:r>
        <w:separator/>
      </w:r>
    </w:p>
  </w:endnote>
  <w:endnote w:type="continuationSeparator" w:id="0">
    <w:p w:rsidR="004816A6" w:rsidRDefault="004816A6" w:rsidP="007D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Bold">
    <w:panose1 w:val="020F070203040403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C2" w:rsidRPr="009148C2" w:rsidRDefault="009148C2" w:rsidP="009148C2">
    <w:pPr>
      <w:spacing w:before="240" w:after="40" w:line="240" w:lineRule="auto"/>
      <w:rPr>
        <w:rFonts w:cs="Arial"/>
        <w:b/>
        <w:caps/>
        <w:spacing w:val="34"/>
        <w:sz w:val="13"/>
        <w:szCs w:val="13"/>
      </w:rPr>
    </w:pPr>
    <w:r w:rsidRPr="00E0537B">
      <w:rPr>
        <w:rFonts w:cs="Arial"/>
        <w:b/>
        <w:caps/>
        <w:color w:val="FF0000"/>
        <w:spacing w:val="34"/>
        <w:sz w:val="13"/>
        <w:szCs w:val="13"/>
      </w:rPr>
      <w:t>DAYMARKEA.COM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D8" w:rsidRPr="002F7AFE" w:rsidRDefault="00D025D8" w:rsidP="00D025D8">
    <w:pPr>
      <w:spacing w:before="240" w:after="40" w:line="240" w:lineRule="auto"/>
      <w:jc w:val="center"/>
      <w:rPr>
        <w:rFonts w:cs="Arial"/>
        <w:caps/>
        <w:spacing w:val="34"/>
        <w:sz w:val="14"/>
        <w:szCs w:val="14"/>
      </w:rPr>
    </w:pPr>
    <w:r w:rsidRPr="002F7AFE">
      <w:rPr>
        <w:rFonts w:cs="Arial"/>
        <w:caps/>
        <w:spacing w:val="34"/>
        <w:sz w:val="14"/>
        <w:szCs w:val="14"/>
      </w:rPr>
      <w:t xml:space="preserve">Daymark Energy Advisors </w:t>
    </w:r>
    <w:r w:rsidRPr="008D0BD3">
      <w:rPr>
        <w:rFonts w:cs="Arial"/>
        <w:caps/>
        <w:color w:val="505759"/>
        <w:spacing w:val="34"/>
        <w:sz w:val="14"/>
        <w:szCs w:val="14"/>
      </w:rPr>
      <w:sym w:font="Symbol" w:char="F0BD"/>
    </w:r>
    <w:r w:rsidRPr="002F7AFE">
      <w:rPr>
        <w:rFonts w:cs="Arial"/>
        <w:caps/>
        <w:spacing w:val="34"/>
        <w:sz w:val="14"/>
        <w:szCs w:val="14"/>
      </w:rPr>
      <w:t xml:space="preserve"> One Washington Mall, 9</w:t>
    </w:r>
    <w:r w:rsidRPr="002F7AFE">
      <w:rPr>
        <w:rFonts w:cs="Arial"/>
        <w:caps/>
        <w:spacing w:val="34"/>
        <w:sz w:val="14"/>
        <w:szCs w:val="14"/>
        <w:vertAlign w:val="superscript"/>
      </w:rPr>
      <w:t>th</w:t>
    </w:r>
    <w:r w:rsidRPr="002F7AFE">
      <w:rPr>
        <w:rFonts w:cs="Arial"/>
        <w:caps/>
        <w:spacing w:val="34"/>
        <w:sz w:val="14"/>
        <w:szCs w:val="14"/>
      </w:rPr>
      <w:t xml:space="preserve"> Floor </w:t>
    </w:r>
    <w:r w:rsidRPr="008D0BD3">
      <w:rPr>
        <w:rFonts w:cs="Arial"/>
        <w:caps/>
        <w:color w:val="505759"/>
        <w:spacing w:val="34"/>
        <w:sz w:val="14"/>
        <w:szCs w:val="14"/>
      </w:rPr>
      <w:sym w:font="Symbol" w:char="F0BD"/>
    </w:r>
    <w:r w:rsidRPr="002F7AFE">
      <w:rPr>
        <w:rFonts w:cs="Arial"/>
        <w:caps/>
        <w:spacing w:val="34"/>
        <w:sz w:val="14"/>
        <w:szCs w:val="14"/>
      </w:rPr>
      <w:t xml:space="preserve"> Boston, MA 02108</w:t>
    </w:r>
  </w:p>
  <w:p w:rsidR="009338C0" w:rsidRPr="00D025D8" w:rsidRDefault="00D025D8" w:rsidP="00D025D8">
    <w:pPr>
      <w:spacing w:after="40" w:line="240" w:lineRule="auto"/>
      <w:jc w:val="center"/>
      <w:rPr>
        <w:rFonts w:cs="Arial"/>
        <w:caps/>
        <w:spacing w:val="34"/>
        <w:sz w:val="14"/>
        <w:szCs w:val="14"/>
      </w:rPr>
    </w:pPr>
    <w:r w:rsidRPr="002F7AFE">
      <w:rPr>
        <w:rFonts w:cs="Arial"/>
        <w:caps/>
        <w:spacing w:val="34"/>
        <w:sz w:val="14"/>
        <w:szCs w:val="14"/>
      </w:rPr>
      <w:t xml:space="preserve">TEL: (617) 778-5515 </w:t>
    </w:r>
    <w:r w:rsidRPr="002F7AFE">
      <w:rPr>
        <w:rFonts w:cs="Arial"/>
        <w:caps/>
        <w:spacing w:val="34"/>
        <w:sz w:val="14"/>
        <w:szCs w:val="14"/>
      </w:rPr>
      <w:sym w:font="Symbol" w:char="F0BD"/>
    </w:r>
    <w:r w:rsidRPr="002F7AFE">
      <w:rPr>
        <w:rFonts w:cs="Arial"/>
        <w:caps/>
        <w:spacing w:val="34"/>
        <w:sz w:val="14"/>
        <w:szCs w:val="14"/>
      </w:rPr>
      <w:t xml:space="preserve"> </w:t>
    </w:r>
    <w:r w:rsidRPr="002F7AFE">
      <w:rPr>
        <w:rFonts w:cs="Arial"/>
        <w:caps/>
        <w:color w:val="FF0000"/>
        <w:spacing w:val="34"/>
        <w:sz w:val="14"/>
        <w:szCs w:val="14"/>
      </w:rPr>
      <w:t>DAYMARKEA.COM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A6" w:rsidRDefault="004816A6" w:rsidP="007D6CDA">
      <w:r>
        <w:separator/>
      </w:r>
    </w:p>
  </w:footnote>
  <w:footnote w:type="continuationSeparator" w:id="0">
    <w:p w:rsidR="004816A6" w:rsidRDefault="004816A6" w:rsidP="007D6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C2" w:rsidRPr="009148C2" w:rsidRDefault="009148C2" w:rsidP="009148C2">
    <w:pPr>
      <w:pStyle w:val="Header"/>
      <w:spacing w:before="120" w:after="360" w:line="240" w:lineRule="auto"/>
      <w:jc w:val="right"/>
      <w:rPr>
        <w:rFonts w:ascii="Calibri" w:hAnsi="Calibri"/>
        <w:i/>
        <w:sz w:val="20"/>
        <w:szCs w:val="20"/>
      </w:rPr>
    </w:pPr>
    <w:r>
      <w:rPr>
        <w:rFonts w:ascii="Calibri" w:hAnsi="Calibri"/>
        <w:i/>
        <w:sz w:val="20"/>
        <w:szCs w:val="20"/>
      </w:rPr>
      <w:t>Resume of Kathleen A. Kelly</w:t>
    </w:r>
    <w:r>
      <w:rPr>
        <w:rFonts w:ascii="Calibri" w:hAnsi="Calibri"/>
        <w:i/>
        <w:sz w:val="20"/>
        <w:szCs w:val="20"/>
      </w:rPr>
      <w:br/>
    </w:r>
    <w:r w:rsidRPr="00775345">
      <w:rPr>
        <w:rFonts w:ascii="Calibri" w:hAnsi="Calibri"/>
        <w:i/>
        <w:sz w:val="20"/>
        <w:szCs w:val="20"/>
      </w:rPr>
      <w:t xml:space="preserve">Page </w:t>
    </w:r>
    <w:r w:rsidRPr="00775345">
      <w:rPr>
        <w:rFonts w:ascii="Calibri" w:hAnsi="Calibri"/>
        <w:bCs/>
        <w:i/>
        <w:sz w:val="20"/>
        <w:szCs w:val="20"/>
      </w:rPr>
      <w:fldChar w:fldCharType="begin"/>
    </w:r>
    <w:r w:rsidRPr="00775345">
      <w:rPr>
        <w:rFonts w:ascii="Calibri" w:hAnsi="Calibri"/>
        <w:bCs/>
        <w:i/>
        <w:sz w:val="20"/>
        <w:szCs w:val="20"/>
      </w:rPr>
      <w:instrText xml:space="preserve"> PAGE </w:instrText>
    </w:r>
    <w:r w:rsidRPr="00775345">
      <w:rPr>
        <w:rFonts w:ascii="Calibri" w:hAnsi="Calibri"/>
        <w:bCs/>
        <w:i/>
        <w:sz w:val="20"/>
        <w:szCs w:val="20"/>
      </w:rPr>
      <w:fldChar w:fldCharType="separate"/>
    </w:r>
    <w:r w:rsidR="00FC760F">
      <w:rPr>
        <w:rFonts w:ascii="Calibri" w:hAnsi="Calibri"/>
        <w:bCs/>
        <w:i/>
        <w:noProof/>
        <w:sz w:val="20"/>
        <w:szCs w:val="20"/>
      </w:rPr>
      <w:t>10</w:t>
    </w:r>
    <w:r w:rsidRPr="00775345">
      <w:rPr>
        <w:rFonts w:ascii="Calibri" w:hAnsi="Calibri"/>
        <w:bCs/>
        <w:i/>
        <w:sz w:val="20"/>
        <w:szCs w:val="20"/>
      </w:rPr>
      <w:fldChar w:fldCharType="end"/>
    </w:r>
    <w:r w:rsidRPr="00775345">
      <w:rPr>
        <w:rFonts w:ascii="Calibri" w:hAnsi="Calibri"/>
        <w:i/>
        <w:sz w:val="20"/>
        <w:szCs w:val="20"/>
      </w:rPr>
      <w:t xml:space="preserve"> of </w:t>
    </w:r>
    <w:r w:rsidRPr="00775345">
      <w:rPr>
        <w:rFonts w:ascii="Calibri" w:hAnsi="Calibri"/>
        <w:bCs/>
        <w:i/>
        <w:sz w:val="20"/>
        <w:szCs w:val="20"/>
      </w:rPr>
      <w:fldChar w:fldCharType="begin"/>
    </w:r>
    <w:r w:rsidRPr="00775345">
      <w:rPr>
        <w:rFonts w:ascii="Calibri" w:hAnsi="Calibri"/>
        <w:bCs/>
        <w:i/>
        <w:sz w:val="20"/>
        <w:szCs w:val="20"/>
      </w:rPr>
      <w:instrText xml:space="preserve"> NUMPAGES  </w:instrText>
    </w:r>
    <w:r w:rsidRPr="00775345">
      <w:rPr>
        <w:rFonts w:ascii="Calibri" w:hAnsi="Calibri"/>
        <w:bCs/>
        <w:i/>
        <w:sz w:val="20"/>
        <w:szCs w:val="20"/>
      </w:rPr>
      <w:fldChar w:fldCharType="separate"/>
    </w:r>
    <w:r w:rsidR="00FC760F">
      <w:rPr>
        <w:rFonts w:ascii="Calibri" w:hAnsi="Calibri"/>
        <w:bCs/>
        <w:i/>
        <w:noProof/>
        <w:sz w:val="20"/>
        <w:szCs w:val="20"/>
      </w:rPr>
      <w:t>10</w:t>
    </w:r>
    <w:r w:rsidRPr="00775345">
      <w:rPr>
        <w:rFonts w:ascii="Calibri" w:hAnsi="Calibri"/>
        <w:bCs/>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C0" w:rsidRPr="00D025D8" w:rsidRDefault="00D025D8" w:rsidP="00D025D8">
    <w:pPr>
      <w:pStyle w:val="Header"/>
    </w:pPr>
    <w:r w:rsidRPr="00B76C4B">
      <w:rPr>
        <w:noProof/>
      </w:rPr>
      <w:drawing>
        <wp:anchor distT="0" distB="0" distL="114300" distR="114300" simplePos="0" relativeHeight="251659264" behindDoc="1" locked="0" layoutInCell="1" allowOverlap="1" wp14:anchorId="6A63AC18" wp14:editId="0CCE0FC1">
          <wp:simplePos x="0" y="0"/>
          <wp:positionH relativeFrom="column">
            <wp:posOffset>-85725</wp:posOffset>
          </wp:positionH>
          <wp:positionV relativeFrom="paragraph">
            <wp:posOffset>-209550</wp:posOffset>
          </wp:positionV>
          <wp:extent cx="2432050" cy="749300"/>
          <wp:effectExtent l="0" t="0" r="0" b="0"/>
          <wp:wrapTight wrapText="bothSides">
            <wp:wrapPolygon edited="0">
              <wp:start x="2369" y="549"/>
              <wp:lineTo x="1354" y="3295"/>
              <wp:lineTo x="508" y="7688"/>
              <wp:lineTo x="508" y="13729"/>
              <wp:lineTo x="1861" y="19220"/>
              <wp:lineTo x="2538" y="20319"/>
              <wp:lineTo x="4737" y="20319"/>
              <wp:lineTo x="17427" y="19220"/>
              <wp:lineTo x="21318" y="17024"/>
              <wp:lineTo x="21318" y="7139"/>
              <wp:lineTo x="19288" y="6041"/>
              <wp:lineTo x="4737" y="549"/>
              <wp:lineTo x="2369" y="549"/>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05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694"/>
    <w:multiLevelType w:val="hybridMultilevel"/>
    <w:tmpl w:val="0B2E3DEC"/>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660348"/>
    <w:multiLevelType w:val="hybridMultilevel"/>
    <w:tmpl w:val="30A4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D3246"/>
    <w:multiLevelType w:val="hybridMultilevel"/>
    <w:tmpl w:val="D81E8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742E4E"/>
    <w:multiLevelType w:val="hybridMultilevel"/>
    <w:tmpl w:val="0720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11955"/>
    <w:multiLevelType w:val="hybridMultilevel"/>
    <w:tmpl w:val="2250E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43A08"/>
    <w:multiLevelType w:val="hybridMultilevel"/>
    <w:tmpl w:val="F4FE4D3E"/>
    <w:lvl w:ilvl="0" w:tplc="04090001">
      <w:start w:val="1"/>
      <w:numFmt w:val="bullet"/>
      <w:lvlText w:val=""/>
      <w:lvlJc w:val="left"/>
      <w:pPr>
        <w:ind w:left="2167" w:hanging="360"/>
      </w:pPr>
      <w:rPr>
        <w:rFonts w:ascii="Symbol" w:hAnsi="Symbol" w:hint="default"/>
      </w:rPr>
    </w:lvl>
    <w:lvl w:ilvl="1" w:tplc="04090003" w:tentative="1">
      <w:start w:val="1"/>
      <w:numFmt w:val="bullet"/>
      <w:lvlText w:val="o"/>
      <w:lvlJc w:val="left"/>
      <w:pPr>
        <w:ind w:left="2887" w:hanging="360"/>
      </w:pPr>
      <w:rPr>
        <w:rFonts w:ascii="Courier New" w:hAnsi="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6">
    <w:nsid w:val="40AC50C1"/>
    <w:multiLevelType w:val="hybridMultilevel"/>
    <w:tmpl w:val="A5FC47D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7">
    <w:nsid w:val="426A22FF"/>
    <w:multiLevelType w:val="hybridMultilevel"/>
    <w:tmpl w:val="4B7C3B3A"/>
    <w:lvl w:ilvl="0" w:tplc="898C264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D25F6B"/>
    <w:multiLevelType w:val="hybridMultilevel"/>
    <w:tmpl w:val="A234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2249A1"/>
    <w:multiLevelType w:val="hybridMultilevel"/>
    <w:tmpl w:val="BD38B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FD6C8A"/>
    <w:multiLevelType w:val="hybridMultilevel"/>
    <w:tmpl w:val="77544D6C"/>
    <w:lvl w:ilvl="0" w:tplc="DAB29BBC">
      <w:start w:val="1"/>
      <w:numFmt w:val="bullet"/>
      <w:pStyle w:val="EITextBoxBullet1"/>
      <w:lvlText w:val="§"/>
      <w:lvlJc w:val="left"/>
      <w:pPr>
        <w:ind w:left="720" w:hanging="360"/>
      </w:pPr>
      <w:rPr>
        <w:rFonts w:ascii="Wingdings" w:hAnsi="Wingdings" w:hint="default"/>
        <w:color w:val="5B9BD5" w:themeColor="accent1"/>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D51202"/>
    <w:multiLevelType w:val="hybridMultilevel"/>
    <w:tmpl w:val="5810B0C6"/>
    <w:lvl w:ilvl="0" w:tplc="C0922EB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A6A2A0B"/>
    <w:multiLevelType w:val="hybridMultilevel"/>
    <w:tmpl w:val="EE389030"/>
    <w:lvl w:ilvl="0" w:tplc="1CE4C352">
      <w:start w:val="1"/>
      <w:numFmt w:val="bullet"/>
      <w:lvlText w:val=""/>
      <w:lvlJc w:val="left"/>
      <w:pPr>
        <w:ind w:left="360" w:hanging="360"/>
      </w:pPr>
      <w:rPr>
        <w:rFonts w:ascii="Symbol" w:hAnsi="Symbol" w:hint="default"/>
        <w:color w:val="505759"/>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2057E55"/>
    <w:multiLevelType w:val="hybridMultilevel"/>
    <w:tmpl w:val="49C23038"/>
    <w:lvl w:ilvl="0" w:tplc="8A8209C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5324D37"/>
    <w:multiLevelType w:val="hybridMultilevel"/>
    <w:tmpl w:val="FABA4344"/>
    <w:lvl w:ilvl="0" w:tplc="04090001">
      <w:start w:val="1"/>
      <w:numFmt w:val="bullet"/>
      <w:lvlText w:val=""/>
      <w:lvlJc w:val="left"/>
      <w:pPr>
        <w:ind w:left="2167" w:hanging="360"/>
      </w:pPr>
      <w:rPr>
        <w:rFonts w:ascii="Symbol" w:hAnsi="Symbol" w:hint="default"/>
      </w:rPr>
    </w:lvl>
    <w:lvl w:ilvl="1" w:tplc="04090003" w:tentative="1">
      <w:start w:val="1"/>
      <w:numFmt w:val="bullet"/>
      <w:lvlText w:val="o"/>
      <w:lvlJc w:val="left"/>
      <w:pPr>
        <w:ind w:left="2887" w:hanging="360"/>
      </w:pPr>
      <w:rPr>
        <w:rFonts w:ascii="Courier New" w:hAnsi="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hint="default"/>
      </w:rPr>
    </w:lvl>
    <w:lvl w:ilvl="8" w:tplc="04090005" w:tentative="1">
      <w:start w:val="1"/>
      <w:numFmt w:val="bullet"/>
      <w:lvlText w:val=""/>
      <w:lvlJc w:val="left"/>
      <w:pPr>
        <w:ind w:left="7927" w:hanging="360"/>
      </w:pPr>
      <w:rPr>
        <w:rFonts w:ascii="Wingdings" w:hAnsi="Wingdings" w:hint="default"/>
      </w:rPr>
    </w:lvl>
  </w:abstractNum>
  <w:num w:numId="1">
    <w:abstractNumId w:val="8"/>
  </w:num>
  <w:num w:numId="2">
    <w:abstractNumId w:val="11"/>
  </w:num>
  <w:num w:numId="3">
    <w:abstractNumId w:val="0"/>
  </w:num>
  <w:num w:numId="4">
    <w:abstractNumId w:val="2"/>
  </w:num>
  <w:num w:numId="5">
    <w:abstractNumId w:val="13"/>
  </w:num>
  <w:num w:numId="6">
    <w:abstractNumId w:val="4"/>
  </w:num>
  <w:num w:numId="7">
    <w:abstractNumId w:val="3"/>
  </w:num>
  <w:num w:numId="8">
    <w:abstractNumId w:val="1"/>
  </w:num>
  <w:num w:numId="9">
    <w:abstractNumId w:val="6"/>
  </w:num>
  <w:num w:numId="10">
    <w:abstractNumId w:val="5"/>
  </w:num>
  <w:num w:numId="11">
    <w:abstractNumId w:val="14"/>
  </w:num>
  <w:num w:numId="12">
    <w:abstractNumId w:val="12"/>
  </w:num>
  <w:num w:numId="13">
    <w:abstractNumId w:val="1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6A6"/>
    <w:rsid w:val="00000010"/>
    <w:rsid w:val="00035EB3"/>
    <w:rsid w:val="00082A62"/>
    <w:rsid w:val="00082BFD"/>
    <w:rsid w:val="000928F4"/>
    <w:rsid w:val="000B1B82"/>
    <w:rsid w:val="000C770E"/>
    <w:rsid w:val="000D3DC8"/>
    <w:rsid w:val="000D3EC3"/>
    <w:rsid w:val="000D5773"/>
    <w:rsid w:val="000E4528"/>
    <w:rsid w:val="00112BC8"/>
    <w:rsid w:val="001168E5"/>
    <w:rsid w:val="00121D82"/>
    <w:rsid w:val="00122C1C"/>
    <w:rsid w:val="00125B51"/>
    <w:rsid w:val="00132BD2"/>
    <w:rsid w:val="00142AF7"/>
    <w:rsid w:val="001466DC"/>
    <w:rsid w:val="00163B14"/>
    <w:rsid w:val="0016499C"/>
    <w:rsid w:val="00170050"/>
    <w:rsid w:val="001A4C3E"/>
    <w:rsid w:val="001B66FD"/>
    <w:rsid w:val="001C6CE5"/>
    <w:rsid w:val="001D34CF"/>
    <w:rsid w:val="001E1EC0"/>
    <w:rsid w:val="00202B38"/>
    <w:rsid w:val="00226E85"/>
    <w:rsid w:val="00236E74"/>
    <w:rsid w:val="00250919"/>
    <w:rsid w:val="00260D0A"/>
    <w:rsid w:val="0026642D"/>
    <w:rsid w:val="00284E17"/>
    <w:rsid w:val="00295A02"/>
    <w:rsid w:val="002A66AF"/>
    <w:rsid w:val="002B7C88"/>
    <w:rsid w:val="002C3340"/>
    <w:rsid w:val="002D0660"/>
    <w:rsid w:val="002E39B1"/>
    <w:rsid w:val="002F2215"/>
    <w:rsid w:val="002F757E"/>
    <w:rsid w:val="003000DD"/>
    <w:rsid w:val="00322B06"/>
    <w:rsid w:val="00323564"/>
    <w:rsid w:val="0034245D"/>
    <w:rsid w:val="00344BE5"/>
    <w:rsid w:val="003475E4"/>
    <w:rsid w:val="00367351"/>
    <w:rsid w:val="00383637"/>
    <w:rsid w:val="00390DEA"/>
    <w:rsid w:val="00391E9D"/>
    <w:rsid w:val="003A6477"/>
    <w:rsid w:val="003C26AD"/>
    <w:rsid w:val="003C2D5D"/>
    <w:rsid w:val="003E47D1"/>
    <w:rsid w:val="00403382"/>
    <w:rsid w:val="00440D3E"/>
    <w:rsid w:val="00443466"/>
    <w:rsid w:val="00447825"/>
    <w:rsid w:val="004674C0"/>
    <w:rsid w:val="004750A9"/>
    <w:rsid w:val="004816A6"/>
    <w:rsid w:val="00485EE0"/>
    <w:rsid w:val="004E1FED"/>
    <w:rsid w:val="005053CB"/>
    <w:rsid w:val="0051216D"/>
    <w:rsid w:val="00515B90"/>
    <w:rsid w:val="00516277"/>
    <w:rsid w:val="00532DEB"/>
    <w:rsid w:val="005359E8"/>
    <w:rsid w:val="005831B7"/>
    <w:rsid w:val="005E042E"/>
    <w:rsid w:val="005E3E58"/>
    <w:rsid w:val="00605BD7"/>
    <w:rsid w:val="006662D3"/>
    <w:rsid w:val="00685256"/>
    <w:rsid w:val="006B017C"/>
    <w:rsid w:val="006C2E00"/>
    <w:rsid w:val="006D2BDB"/>
    <w:rsid w:val="006D39B8"/>
    <w:rsid w:val="006D7D14"/>
    <w:rsid w:val="006E1766"/>
    <w:rsid w:val="006F1500"/>
    <w:rsid w:val="00704224"/>
    <w:rsid w:val="0071041E"/>
    <w:rsid w:val="007111DC"/>
    <w:rsid w:val="007136B3"/>
    <w:rsid w:val="007136DF"/>
    <w:rsid w:val="007347BF"/>
    <w:rsid w:val="00751979"/>
    <w:rsid w:val="00752012"/>
    <w:rsid w:val="00754EFE"/>
    <w:rsid w:val="00767B9E"/>
    <w:rsid w:val="007700A9"/>
    <w:rsid w:val="00775345"/>
    <w:rsid w:val="0077751D"/>
    <w:rsid w:val="00785D4A"/>
    <w:rsid w:val="00794671"/>
    <w:rsid w:val="007B67B6"/>
    <w:rsid w:val="007C2F3E"/>
    <w:rsid w:val="007C4539"/>
    <w:rsid w:val="007D0482"/>
    <w:rsid w:val="007D2F85"/>
    <w:rsid w:val="007D6CDA"/>
    <w:rsid w:val="007D705A"/>
    <w:rsid w:val="0080093B"/>
    <w:rsid w:val="008050F6"/>
    <w:rsid w:val="00811A76"/>
    <w:rsid w:val="0086578D"/>
    <w:rsid w:val="00883529"/>
    <w:rsid w:val="008859CF"/>
    <w:rsid w:val="0089555A"/>
    <w:rsid w:val="008B2D96"/>
    <w:rsid w:val="008C5E88"/>
    <w:rsid w:val="008D0BD3"/>
    <w:rsid w:val="008D596E"/>
    <w:rsid w:val="008F0365"/>
    <w:rsid w:val="009146C4"/>
    <w:rsid w:val="009148C2"/>
    <w:rsid w:val="009338C0"/>
    <w:rsid w:val="00961C1A"/>
    <w:rsid w:val="00966292"/>
    <w:rsid w:val="0097270E"/>
    <w:rsid w:val="00974EB0"/>
    <w:rsid w:val="00981F5F"/>
    <w:rsid w:val="009B7912"/>
    <w:rsid w:val="009C04FA"/>
    <w:rsid w:val="009C1C7C"/>
    <w:rsid w:val="009C7126"/>
    <w:rsid w:val="00A11D2C"/>
    <w:rsid w:val="00A2329D"/>
    <w:rsid w:val="00A27843"/>
    <w:rsid w:val="00A34733"/>
    <w:rsid w:val="00A404AA"/>
    <w:rsid w:val="00A40C77"/>
    <w:rsid w:val="00A45C75"/>
    <w:rsid w:val="00A56D7C"/>
    <w:rsid w:val="00A612C6"/>
    <w:rsid w:val="00A81DA9"/>
    <w:rsid w:val="00A93181"/>
    <w:rsid w:val="00AB211B"/>
    <w:rsid w:val="00AB4B8A"/>
    <w:rsid w:val="00AB68F1"/>
    <w:rsid w:val="00AE3A51"/>
    <w:rsid w:val="00AE760E"/>
    <w:rsid w:val="00AF1497"/>
    <w:rsid w:val="00AF7F61"/>
    <w:rsid w:val="00B0652F"/>
    <w:rsid w:val="00B21537"/>
    <w:rsid w:val="00B2533D"/>
    <w:rsid w:val="00B61808"/>
    <w:rsid w:val="00B76C4B"/>
    <w:rsid w:val="00B9637E"/>
    <w:rsid w:val="00BA1945"/>
    <w:rsid w:val="00BA3883"/>
    <w:rsid w:val="00BC0D34"/>
    <w:rsid w:val="00BC2A8C"/>
    <w:rsid w:val="00BD6DB0"/>
    <w:rsid w:val="00BE0F39"/>
    <w:rsid w:val="00BE451D"/>
    <w:rsid w:val="00BF3300"/>
    <w:rsid w:val="00C13B8A"/>
    <w:rsid w:val="00C22F93"/>
    <w:rsid w:val="00C30539"/>
    <w:rsid w:val="00C642C2"/>
    <w:rsid w:val="00C65FA9"/>
    <w:rsid w:val="00C73600"/>
    <w:rsid w:val="00C7629C"/>
    <w:rsid w:val="00C85A23"/>
    <w:rsid w:val="00CA7D83"/>
    <w:rsid w:val="00CD4166"/>
    <w:rsid w:val="00CF018D"/>
    <w:rsid w:val="00CF1C93"/>
    <w:rsid w:val="00D004FF"/>
    <w:rsid w:val="00D025D8"/>
    <w:rsid w:val="00D30D75"/>
    <w:rsid w:val="00D5529D"/>
    <w:rsid w:val="00D7369C"/>
    <w:rsid w:val="00D7529F"/>
    <w:rsid w:val="00D770A7"/>
    <w:rsid w:val="00D81728"/>
    <w:rsid w:val="00D9132C"/>
    <w:rsid w:val="00DC3ECA"/>
    <w:rsid w:val="00DD361A"/>
    <w:rsid w:val="00DD4C16"/>
    <w:rsid w:val="00DF1350"/>
    <w:rsid w:val="00DF3930"/>
    <w:rsid w:val="00E0537B"/>
    <w:rsid w:val="00E43300"/>
    <w:rsid w:val="00E54A88"/>
    <w:rsid w:val="00E56A27"/>
    <w:rsid w:val="00EB1D8D"/>
    <w:rsid w:val="00EC5A75"/>
    <w:rsid w:val="00ED45E1"/>
    <w:rsid w:val="00ED46B9"/>
    <w:rsid w:val="00EE4454"/>
    <w:rsid w:val="00EE651A"/>
    <w:rsid w:val="00F0259D"/>
    <w:rsid w:val="00F14030"/>
    <w:rsid w:val="00F23C50"/>
    <w:rsid w:val="00F2411B"/>
    <w:rsid w:val="00F403B2"/>
    <w:rsid w:val="00F42972"/>
    <w:rsid w:val="00F468B3"/>
    <w:rsid w:val="00F55369"/>
    <w:rsid w:val="00F60A24"/>
    <w:rsid w:val="00F70C34"/>
    <w:rsid w:val="00F82413"/>
    <w:rsid w:val="00F90CAB"/>
    <w:rsid w:val="00F93364"/>
    <w:rsid w:val="00FC08CF"/>
    <w:rsid w:val="00FC760F"/>
    <w:rsid w:val="00FD11E8"/>
    <w:rsid w:val="00FD2034"/>
    <w:rsid w:val="00FE30FF"/>
    <w:rsid w:val="00FE4A37"/>
    <w:rsid w:val="00FE658B"/>
    <w:rsid w:val="00FE6ED2"/>
    <w:rsid w:val="00FF2C3D"/>
    <w:rsid w:val="00FF6C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Closing" w:uiPriority="0"/>
    <w:lsdException w:name="Signature" w:uiPriority="0"/>
    <w:lsdException w:name="Default Paragraph Font" w:uiPriority="1"/>
    <w:lsdException w:name="Subtitle" w:semiHidden="0" w:uiPriority="11" w:unhideWhenUsed="0" w:qFormat="1"/>
    <w:lsdException w:name="Salutation" w:uiPriority="0"/>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9F"/>
    <w:pPr>
      <w:spacing w:after="180" w:line="320" w:lineRule="exact"/>
    </w:pPr>
    <w:rPr>
      <w:rFonts w:ascii="Arial" w:hAnsi="Arial"/>
      <w:sz w:val="22"/>
      <w:szCs w:val="24"/>
    </w:rPr>
  </w:style>
  <w:style w:type="paragraph" w:styleId="Heading1">
    <w:name w:val="heading 1"/>
    <w:basedOn w:val="Normal"/>
    <w:next w:val="Normal"/>
    <w:link w:val="Heading1Char"/>
    <w:uiPriority w:val="9"/>
    <w:qFormat/>
    <w:rsid w:val="00D7529F"/>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qFormat/>
    <w:rsid w:val="00D7529F"/>
    <w:pPr>
      <w:keepNext/>
      <w:spacing w:before="240" w:after="60"/>
      <w:outlineLvl w:val="1"/>
    </w:pPr>
    <w:rPr>
      <w:rFonts w:ascii="Calibri" w:eastAsia="Times New Roman" w:hAnsi="Calibri"/>
      <w:b/>
      <w:sz w:val="28"/>
    </w:rPr>
  </w:style>
  <w:style w:type="paragraph" w:styleId="Heading3">
    <w:name w:val="heading 3"/>
    <w:basedOn w:val="Normal"/>
    <w:next w:val="Normal"/>
    <w:link w:val="Heading3Char"/>
    <w:uiPriority w:val="9"/>
    <w:qFormat/>
    <w:rsid w:val="00D7529F"/>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D7529F"/>
    <w:pPr>
      <w:keepNext/>
      <w:spacing w:before="180" w:after="60"/>
      <w:outlineLvl w:val="3"/>
    </w:pPr>
    <w:rPr>
      <w:rFonts w:ascii="Calibri" w:eastAsia="MS Mincho"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3CB"/>
    <w:rPr>
      <w:color w:val="0000FF"/>
      <w:u w:val="single"/>
    </w:rPr>
  </w:style>
  <w:style w:type="paragraph" w:customStyle="1" w:styleId="SenderAddress">
    <w:name w:val="Sender Address"/>
    <w:basedOn w:val="Normal"/>
    <w:rsid w:val="005053CB"/>
    <w:rPr>
      <w:rFonts w:ascii="Times New Roman" w:eastAsia="Times New Roman" w:hAnsi="Times New Roman"/>
    </w:rPr>
  </w:style>
  <w:style w:type="paragraph" w:styleId="Date">
    <w:name w:val="Date"/>
    <w:basedOn w:val="Normal"/>
    <w:next w:val="Normal"/>
    <w:link w:val="DateChar"/>
    <w:rsid w:val="0034245D"/>
    <w:pPr>
      <w:spacing w:after="360"/>
    </w:pPr>
    <w:rPr>
      <w:rFonts w:ascii="Calibri" w:hAnsi="Calibri"/>
      <w:sz w:val="24"/>
    </w:rPr>
  </w:style>
  <w:style w:type="character" w:customStyle="1" w:styleId="DateChar">
    <w:name w:val="Date Char"/>
    <w:link w:val="Date"/>
    <w:rsid w:val="0034245D"/>
    <w:rPr>
      <w:rFonts w:ascii="Calibri" w:hAnsi="Calibri"/>
      <w:sz w:val="24"/>
      <w:szCs w:val="24"/>
    </w:rPr>
  </w:style>
  <w:style w:type="paragraph" w:customStyle="1" w:styleId="RecipientAddress">
    <w:name w:val="Recipient Address"/>
    <w:basedOn w:val="Normal"/>
    <w:rsid w:val="00F55369"/>
    <w:pPr>
      <w:spacing w:after="360"/>
      <w:contextualSpacing/>
    </w:pPr>
    <w:rPr>
      <w:rFonts w:ascii="Calibri" w:hAnsi="Calibri"/>
      <w:sz w:val="24"/>
    </w:rPr>
  </w:style>
  <w:style w:type="paragraph" w:styleId="Salutation">
    <w:name w:val="Salutation"/>
    <w:basedOn w:val="Normal"/>
    <w:next w:val="Body"/>
    <w:link w:val="SalutationChar"/>
    <w:rsid w:val="0034245D"/>
    <w:pPr>
      <w:spacing w:after="280"/>
    </w:pPr>
    <w:rPr>
      <w:rFonts w:ascii="Calibri" w:hAnsi="Calibri"/>
      <w:sz w:val="24"/>
    </w:rPr>
  </w:style>
  <w:style w:type="character" w:customStyle="1" w:styleId="SalutationChar">
    <w:name w:val="Salutation Char"/>
    <w:link w:val="Salutation"/>
    <w:rsid w:val="0034245D"/>
    <w:rPr>
      <w:rFonts w:ascii="Calibri" w:hAnsi="Calibri"/>
      <w:sz w:val="24"/>
      <w:szCs w:val="24"/>
    </w:rPr>
  </w:style>
  <w:style w:type="paragraph" w:styleId="Closing">
    <w:name w:val="Closing"/>
    <w:basedOn w:val="Normal"/>
    <w:link w:val="ClosingChar"/>
    <w:rsid w:val="005053CB"/>
    <w:pPr>
      <w:spacing w:after="960"/>
    </w:pPr>
    <w:rPr>
      <w:rFonts w:ascii="Times New Roman" w:eastAsia="Times New Roman" w:hAnsi="Times New Roman"/>
    </w:rPr>
  </w:style>
  <w:style w:type="character" w:customStyle="1" w:styleId="ClosingChar">
    <w:name w:val="Closing Char"/>
    <w:link w:val="Closing"/>
    <w:rsid w:val="005053CB"/>
    <w:rPr>
      <w:rFonts w:ascii="Times New Roman" w:eastAsia="Times New Roman" w:hAnsi="Times New Roman" w:cs="Times New Roman"/>
    </w:rPr>
  </w:style>
  <w:style w:type="paragraph" w:styleId="Signature">
    <w:name w:val="Signature"/>
    <w:basedOn w:val="Normal"/>
    <w:link w:val="SignatureChar"/>
    <w:rsid w:val="00775345"/>
    <w:rPr>
      <w:rFonts w:ascii="Calibri" w:hAnsi="Calibri"/>
      <w:sz w:val="24"/>
    </w:rPr>
  </w:style>
  <w:style w:type="character" w:customStyle="1" w:styleId="SignatureChar">
    <w:name w:val="Signature Char"/>
    <w:link w:val="Signature"/>
    <w:rsid w:val="00775345"/>
    <w:rPr>
      <w:rFonts w:ascii="Calibri" w:hAnsi="Calibri"/>
      <w:sz w:val="24"/>
      <w:szCs w:val="24"/>
    </w:rPr>
  </w:style>
  <w:style w:type="paragraph" w:styleId="Header">
    <w:name w:val="header"/>
    <w:basedOn w:val="Normal"/>
    <w:link w:val="HeaderChar"/>
    <w:uiPriority w:val="99"/>
    <w:unhideWhenUsed/>
    <w:rsid w:val="00F60A24"/>
    <w:pPr>
      <w:tabs>
        <w:tab w:val="center" w:pos="4320"/>
        <w:tab w:val="right" w:pos="8640"/>
      </w:tabs>
    </w:pPr>
  </w:style>
  <w:style w:type="character" w:customStyle="1" w:styleId="HeaderChar">
    <w:name w:val="Header Char"/>
    <w:basedOn w:val="DefaultParagraphFont"/>
    <w:link w:val="Header"/>
    <w:uiPriority w:val="99"/>
    <w:rsid w:val="00F60A24"/>
  </w:style>
  <w:style w:type="paragraph" w:styleId="Footer">
    <w:name w:val="footer"/>
    <w:basedOn w:val="Normal"/>
    <w:link w:val="FooterChar"/>
    <w:uiPriority w:val="99"/>
    <w:unhideWhenUsed/>
    <w:rsid w:val="00F60A24"/>
    <w:pPr>
      <w:tabs>
        <w:tab w:val="center" w:pos="4320"/>
        <w:tab w:val="right" w:pos="8640"/>
      </w:tabs>
    </w:pPr>
  </w:style>
  <w:style w:type="character" w:customStyle="1" w:styleId="FooterChar">
    <w:name w:val="Footer Char"/>
    <w:basedOn w:val="DefaultParagraphFont"/>
    <w:link w:val="Footer"/>
    <w:uiPriority w:val="99"/>
    <w:rsid w:val="00F60A24"/>
  </w:style>
  <w:style w:type="paragraph" w:styleId="BalloonText">
    <w:name w:val="Balloon Text"/>
    <w:basedOn w:val="Normal"/>
    <w:link w:val="BalloonTextChar"/>
    <w:uiPriority w:val="99"/>
    <w:semiHidden/>
    <w:unhideWhenUsed/>
    <w:rsid w:val="00F468B3"/>
    <w:rPr>
      <w:rFonts w:ascii="Tahoma" w:hAnsi="Tahoma" w:cs="Tahoma"/>
      <w:sz w:val="16"/>
      <w:szCs w:val="16"/>
    </w:rPr>
  </w:style>
  <w:style w:type="character" w:customStyle="1" w:styleId="BalloonTextChar">
    <w:name w:val="Balloon Text Char"/>
    <w:link w:val="BalloonText"/>
    <w:uiPriority w:val="99"/>
    <w:semiHidden/>
    <w:rsid w:val="00F468B3"/>
    <w:rPr>
      <w:rFonts w:ascii="Tahoma" w:hAnsi="Tahoma" w:cs="Tahoma"/>
      <w:sz w:val="16"/>
      <w:szCs w:val="16"/>
    </w:rPr>
  </w:style>
  <w:style w:type="character" w:customStyle="1" w:styleId="Heading2Char">
    <w:name w:val="Heading 2 Char"/>
    <w:link w:val="Heading2"/>
    <w:rsid w:val="00D7529F"/>
    <w:rPr>
      <w:rFonts w:ascii="Calibri" w:eastAsia="Times New Roman" w:hAnsi="Calibri"/>
      <w:b/>
      <w:sz w:val="28"/>
      <w:szCs w:val="24"/>
    </w:rPr>
  </w:style>
  <w:style w:type="table" w:styleId="TableGrid">
    <w:name w:val="Table Grid"/>
    <w:basedOn w:val="TableNormal"/>
    <w:rsid w:val="00391E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E39B1"/>
    <w:rPr>
      <w:sz w:val="18"/>
      <w:szCs w:val="18"/>
    </w:rPr>
  </w:style>
  <w:style w:type="paragraph" w:styleId="CommentText">
    <w:name w:val="annotation text"/>
    <w:basedOn w:val="Normal"/>
    <w:link w:val="CommentTextChar"/>
    <w:uiPriority w:val="99"/>
    <w:semiHidden/>
    <w:unhideWhenUsed/>
    <w:rsid w:val="002E39B1"/>
  </w:style>
  <w:style w:type="character" w:customStyle="1" w:styleId="CommentTextChar">
    <w:name w:val="Comment Text Char"/>
    <w:link w:val="CommentText"/>
    <w:uiPriority w:val="99"/>
    <w:semiHidden/>
    <w:rsid w:val="002E39B1"/>
    <w:rPr>
      <w:sz w:val="24"/>
      <w:szCs w:val="24"/>
    </w:rPr>
  </w:style>
  <w:style w:type="paragraph" w:styleId="CommentSubject">
    <w:name w:val="annotation subject"/>
    <w:basedOn w:val="CommentText"/>
    <w:next w:val="CommentText"/>
    <w:link w:val="CommentSubjectChar"/>
    <w:uiPriority w:val="99"/>
    <w:semiHidden/>
    <w:unhideWhenUsed/>
    <w:rsid w:val="002E39B1"/>
    <w:rPr>
      <w:b/>
      <w:bCs/>
      <w:sz w:val="20"/>
      <w:szCs w:val="20"/>
    </w:rPr>
  </w:style>
  <w:style w:type="character" w:customStyle="1" w:styleId="CommentSubjectChar">
    <w:name w:val="Comment Subject Char"/>
    <w:link w:val="CommentSubject"/>
    <w:uiPriority w:val="99"/>
    <w:semiHidden/>
    <w:rsid w:val="002E39B1"/>
    <w:rPr>
      <w:b/>
      <w:bCs/>
      <w:sz w:val="24"/>
      <w:szCs w:val="24"/>
    </w:rPr>
  </w:style>
  <w:style w:type="character" w:customStyle="1" w:styleId="Heading1Char">
    <w:name w:val="Heading 1 Char"/>
    <w:link w:val="Heading1"/>
    <w:uiPriority w:val="9"/>
    <w:rsid w:val="00D7529F"/>
    <w:rPr>
      <w:rFonts w:ascii="Calibri" w:eastAsia="MS Gothic" w:hAnsi="Calibri" w:cs="Times New Roman"/>
      <w:b/>
      <w:bCs/>
      <w:kern w:val="32"/>
      <w:sz w:val="32"/>
      <w:szCs w:val="32"/>
    </w:rPr>
  </w:style>
  <w:style w:type="character" w:customStyle="1" w:styleId="Heading3Char">
    <w:name w:val="Heading 3 Char"/>
    <w:link w:val="Heading3"/>
    <w:uiPriority w:val="9"/>
    <w:rsid w:val="00D7529F"/>
    <w:rPr>
      <w:rFonts w:ascii="Calibri" w:eastAsia="MS Gothic" w:hAnsi="Calibri" w:cs="Times New Roman"/>
      <w:b/>
      <w:bCs/>
      <w:sz w:val="26"/>
      <w:szCs w:val="26"/>
    </w:rPr>
  </w:style>
  <w:style w:type="paragraph" w:styleId="Title">
    <w:name w:val="Title"/>
    <w:basedOn w:val="Normal"/>
    <w:next w:val="Normal"/>
    <w:link w:val="TitleChar"/>
    <w:uiPriority w:val="10"/>
    <w:qFormat/>
    <w:rsid w:val="00D7529F"/>
    <w:pPr>
      <w:spacing w:before="240" w:after="60"/>
      <w:jc w:val="center"/>
      <w:outlineLvl w:val="0"/>
    </w:pPr>
    <w:rPr>
      <w:rFonts w:ascii="Calibri" w:eastAsia="MS Gothic" w:hAnsi="Calibri"/>
      <w:b/>
      <w:bCs/>
      <w:kern w:val="28"/>
      <w:sz w:val="40"/>
      <w:szCs w:val="32"/>
    </w:rPr>
  </w:style>
  <w:style w:type="character" w:customStyle="1" w:styleId="TitleChar">
    <w:name w:val="Title Char"/>
    <w:link w:val="Title"/>
    <w:uiPriority w:val="10"/>
    <w:rsid w:val="00D7529F"/>
    <w:rPr>
      <w:rFonts w:ascii="Calibri" w:eastAsia="MS Gothic" w:hAnsi="Calibri" w:cs="Times New Roman"/>
      <w:b/>
      <w:bCs/>
      <w:kern w:val="28"/>
      <w:sz w:val="40"/>
      <w:szCs w:val="32"/>
    </w:rPr>
  </w:style>
  <w:style w:type="character" w:customStyle="1" w:styleId="Heading4Char">
    <w:name w:val="Heading 4 Char"/>
    <w:link w:val="Heading4"/>
    <w:uiPriority w:val="9"/>
    <w:rsid w:val="00D7529F"/>
    <w:rPr>
      <w:rFonts w:ascii="Calibri" w:eastAsia="MS Mincho" w:hAnsi="Calibri" w:cs="Times New Roman"/>
      <w:b/>
      <w:bCs/>
      <w:sz w:val="22"/>
      <w:szCs w:val="28"/>
    </w:rPr>
  </w:style>
  <w:style w:type="paragraph" w:customStyle="1" w:styleId="Body">
    <w:name w:val="Body"/>
    <w:basedOn w:val="Normal"/>
    <w:qFormat/>
    <w:rsid w:val="00775345"/>
    <w:rPr>
      <w:rFonts w:ascii="Calibri" w:hAnsi="Calibri"/>
      <w:sz w:val="24"/>
    </w:rPr>
  </w:style>
  <w:style w:type="paragraph" w:customStyle="1" w:styleId="Encl-CC">
    <w:name w:val="Encl-CC"/>
    <w:basedOn w:val="Normal"/>
    <w:qFormat/>
    <w:rsid w:val="0034245D"/>
    <w:rPr>
      <w:rFonts w:ascii="Calibri" w:hAnsi="Calibri"/>
      <w:sz w:val="24"/>
    </w:rPr>
  </w:style>
  <w:style w:type="paragraph" w:styleId="NoSpacing">
    <w:name w:val="No Spacing"/>
    <w:uiPriority w:val="1"/>
    <w:qFormat/>
    <w:rsid w:val="0034245D"/>
    <w:rPr>
      <w:rFonts w:ascii="Arial" w:hAnsi="Arial"/>
      <w:sz w:val="22"/>
      <w:szCs w:val="24"/>
    </w:rPr>
  </w:style>
  <w:style w:type="paragraph" w:customStyle="1" w:styleId="BulletList">
    <w:name w:val="Bullet List"/>
    <w:basedOn w:val="BodyText"/>
    <w:qFormat/>
    <w:rsid w:val="006C2E00"/>
    <w:pPr>
      <w:tabs>
        <w:tab w:val="left" w:pos="274"/>
      </w:tabs>
      <w:spacing w:after="0" w:line="280" w:lineRule="atLeast"/>
      <w:ind w:left="274" w:hanging="274"/>
    </w:pPr>
    <w:rPr>
      <w:rFonts w:ascii="Calibri" w:hAnsi="Calibri"/>
      <w:sz w:val="20"/>
      <w:szCs w:val="20"/>
    </w:rPr>
  </w:style>
  <w:style w:type="paragraph" w:styleId="BodyText">
    <w:name w:val="Body Text"/>
    <w:basedOn w:val="Normal"/>
    <w:link w:val="BodyTextChar"/>
    <w:uiPriority w:val="99"/>
    <w:semiHidden/>
    <w:unhideWhenUsed/>
    <w:rsid w:val="006C2E00"/>
    <w:pPr>
      <w:spacing w:after="120"/>
    </w:pPr>
  </w:style>
  <w:style w:type="character" w:customStyle="1" w:styleId="BodyTextChar">
    <w:name w:val="Body Text Char"/>
    <w:basedOn w:val="DefaultParagraphFont"/>
    <w:link w:val="BodyText"/>
    <w:uiPriority w:val="99"/>
    <w:semiHidden/>
    <w:rsid w:val="006C2E00"/>
    <w:rPr>
      <w:rFonts w:ascii="Arial" w:hAnsi="Arial"/>
      <w:sz w:val="22"/>
      <w:szCs w:val="24"/>
    </w:rPr>
  </w:style>
  <w:style w:type="paragraph" w:customStyle="1" w:styleId="EITextBoxBullet1">
    <w:name w:val="EI_TextBox_Bullet1"/>
    <w:basedOn w:val="Normal"/>
    <w:qFormat/>
    <w:rsid w:val="00883529"/>
    <w:pPr>
      <w:widowControl w:val="0"/>
      <w:numPr>
        <w:numId w:val="13"/>
      </w:numPr>
      <w:tabs>
        <w:tab w:val="left" w:pos="216"/>
      </w:tabs>
      <w:spacing w:after="40" w:line="240" w:lineRule="auto"/>
    </w:pPr>
    <w:rPr>
      <w:rFonts w:ascii="Calibri" w:eastAsia="Times New Roman" w:hAnsi="Calibri"/>
      <w:sz w:val="18"/>
      <w:szCs w:val="20"/>
    </w:rPr>
  </w:style>
  <w:style w:type="paragraph" w:customStyle="1" w:styleId="EIResumeQualsandExperience">
    <w:name w:val="EI_Resume_Quals and Experience"/>
    <w:next w:val="Normal"/>
    <w:link w:val="EIResumeQualsandExperienceChar"/>
    <w:uiPriority w:val="99"/>
    <w:unhideWhenUsed/>
    <w:rsid w:val="006F1500"/>
    <w:pPr>
      <w:widowControl w:val="0"/>
      <w:spacing w:after="60"/>
      <w:jc w:val="both"/>
    </w:pPr>
    <w:rPr>
      <w:rFonts w:ascii="Calibri" w:eastAsia="Times New Roman" w:hAnsi="Calibri" w:cs="Arial"/>
      <w:b/>
      <w:color w:val="7B7B7B" w:themeColor="accent3" w:themeShade="BF"/>
      <w:sz w:val="28"/>
    </w:rPr>
  </w:style>
  <w:style w:type="character" w:customStyle="1" w:styleId="EIResumeQualsandExperienceChar">
    <w:name w:val="EI_Resume_Quals and Experience Char"/>
    <w:basedOn w:val="DefaultParagraphFont"/>
    <w:link w:val="EIResumeQualsandExperience"/>
    <w:uiPriority w:val="99"/>
    <w:rsid w:val="006F1500"/>
    <w:rPr>
      <w:rFonts w:ascii="Calibri" w:eastAsia="Times New Roman" w:hAnsi="Calibri" w:cs="Arial"/>
      <w:b/>
      <w:color w:val="7B7B7B" w:themeColor="accent3" w:themeShade="BF"/>
      <w:sz w:val="28"/>
    </w:rPr>
  </w:style>
  <w:style w:type="paragraph" w:styleId="ListParagraph">
    <w:name w:val="List Paragraph"/>
    <w:basedOn w:val="Normal"/>
    <w:uiPriority w:val="34"/>
    <w:qFormat/>
    <w:rsid w:val="00883529"/>
    <w:pPr>
      <w:ind w:left="720"/>
      <w:contextualSpacing/>
    </w:pPr>
  </w:style>
  <w:style w:type="paragraph" w:styleId="BodyText2">
    <w:name w:val="Body Text 2"/>
    <w:basedOn w:val="Normal"/>
    <w:link w:val="BodyText2Char"/>
    <w:uiPriority w:val="99"/>
    <w:semiHidden/>
    <w:unhideWhenUsed/>
    <w:rsid w:val="00BD6DB0"/>
    <w:pPr>
      <w:spacing w:after="120" w:line="480" w:lineRule="auto"/>
    </w:pPr>
  </w:style>
  <w:style w:type="character" w:customStyle="1" w:styleId="BodyText2Char">
    <w:name w:val="Body Text 2 Char"/>
    <w:basedOn w:val="DefaultParagraphFont"/>
    <w:link w:val="BodyText2"/>
    <w:uiPriority w:val="99"/>
    <w:semiHidden/>
    <w:rsid w:val="00BD6DB0"/>
    <w:rPr>
      <w:rFonts w:ascii="Arial" w:hAnsi="Arial"/>
      <w:sz w:val="22"/>
      <w:szCs w:val="24"/>
    </w:rPr>
  </w:style>
  <w:style w:type="paragraph" w:styleId="ListBullet">
    <w:name w:val="List Bullet"/>
    <w:basedOn w:val="Normal"/>
    <w:autoRedefine/>
    <w:rsid w:val="00BD6DB0"/>
    <w:pPr>
      <w:spacing w:after="0" w:line="240" w:lineRule="auto"/>
      <w:jc w:val="both"/>
    </w:pPr>
    <w:rPr>
      <w:rFonts w:ascii="Times New Roman" w:eastAsia="Times New Roman" w:hAnsi="Times New Roman"/>
      <w:b/>
      <w:i/>
      <w:sz w:val="24"/>
    </w:rPr>
  </w:style>
  <w:style w:type="paragraph" w:customStyle="1" w:styleId="BodySingle">
    <w:name w:val="Body Single"/>
    <w:basedOn w:val="Normal"/>
    <w:rsid w:val="00BD6DB0"/>
    <w:pPr>
      <w:spacing w:after="0" w:line="240" w:lineRule="auto"/>
      <w:jc w:val="both"/>
    </w:pPr>
    <w:rPr>
      <w:rFonts w:ascii="Times New Roman" w:eastAsia="Times New Roman" w:hAnsi="Times New Roman"/>
      <w:sz w:val="24"/>
      <w:szCs w:val="20"/>
    </w:rPr>
  </w:style>
  <w:style w:type="paragraph" w:customStyle="1" w:styleId="FirstLevel">
    <w:name w:val="First Level"/>
    <w:basedOn w:val="Normal"/>
    <w:rsid w:val="00BD6DB0"/>
    <w:pPr>
      <w:suppressAutoHyphens/>
      <w:spacing w:after="120" w:line="240" w:lineRule="auto"/>
      <w:jc w:val="both"/>
    </w:pPr>
    <w:rPr>
      <w:rFonts w:eastAsia="Times New Roman"/>
      <w:b/>
      <w:szCs w:val="20"/>
    </w:rPr>
  </w:style>
  <w:style w:type="character" w:customStyle="1" w:styleId="MPChItalic">
    <w:name w:val="MPChItalic"/>
    <w:rsid w:val="00A27843"/>
    <w:rPr>
      <w:i/>
    </w:rPr>
  </w:style>
  <w:style w:type="paragraph" w:customStyle="1" w:styleId="ClientName">
    <w:name w:val="Client Name"/>
    <w:basedOn w:val="Normal"/>
    <w:next w:val="BodyText"/>
    <w:rsid w:val="00A27843"/>
    <w:pPr>
      <w:keepNext/>
      <w:widowControl w:val="0"/>
      <w:spacing w:after="120" w:line="240" w:lineRule="auto"/>
      <w:outlineLvl w:val="5"/>
    </w:pPr>
    <w:rPr>
      <w:rFonts w:ascii="Arial Narrow" w:eastAsia="Times New Roman" w:hAnsi="Arial Narrow"/>
      <w:b/>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Closing" w:uiPriority="0"/>
    <w:lsdException w:name="Signature" w:uiPriority="0"/>
    <w:lsdException w:name="Default Paragraph Font" w:uiPriority="1"/>
    <w:lsdException w:name="Subtitle" w:semiHidden="0" w:uiPriority="11" w:unhideWhenUsed="0" w:qFormat="1"/>
    <w:lsdException w:name="Salutation" w:uiPriority="0"/>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9F"/>
    <w:pPr>
      <w:spacing w:after="180" w:line="320" w:lineRule="exact"/>
    </w:pPr>
    <w:rPr>
      <w:rFonts w:ascii="Arial" w:hAnsi="Arial"/>
      <w:sz w:val="22"/>
      <w:szCs w:val="24"/>
    </w:rPr>
  </w:style>
  <w:style w:type="paragraph" w:styleId="Heading1">
    <w:name w:val="heading 1"/>
    <w:basedOn w:val="Normal"/>
    <w:next w:val="Normal"/>
    <w:link w:val="Heading1Char"/>
    <w:uiPriority w:val="9"/>
    <w:qFormat/>
    <w:rsid w:val="00D7529F"/>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qFormat/>
    <w:rsid w:val="00D7529F"/>
    <w:pPr>
      <w:keepNext/>
      <w:spacing w:before="240" w:after="60"/>
      <w:outlineLvl w:val="1"/>
    </w:pPr>
    <w:rPr>
      <w:rFonts w:ascii="Calibri" w:eastAsia="Times New Roman" w:hAnsi="Calibri"/>
      <w:b/>
      <w:sz w:val="28"/>
    </w:rPr>
  </w:style>
  <w:style w:type="paragraph" w:styleId="Heading3">
    <w:name w:val="heading 3"/>
    <w:basedOn w:val="Normal"/>
    <w:next w:val="Normal"/>
    <w:link w:val="Heading3Char"/>
    <w:uiPriority w:val="9"/>
    <w:qFormat/>
    <w:rsid w:val="00D7529F"/>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D7529F"/>
    <w:pPr>
      <w:keepNext/>
      <w:spacing w:before="180" w:after="60"/>
      <w:outlineLvl w:val="3"/>
    </w:pPr>
    <w:rPr>
      <w:rFonts w:ascii="Calibri" w:eastAsia="MS Mincho"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3CB"/>
    <w:rPr>
      <w:color w:val="0000FF"/>
      <w:u w:val="single"/>
    </w:rPr>
  </w:style>
  <w:style w:type="paragraph" w:customStyle="1" w:styleId="SenderAddress">
    <w:name w:val="Sender Address"/>
    <w:basedOn w:val="Normal"/>
    <w:rsid w:val="005053CB"/>
    <w:rPr>
      <w:rFonts w:ascii="Times New Roman" w:eastAsia="Times New Roman" w:hAnsi="Times New Roman"/>
    </w:rPr>
  </w:style>
  <w:style w:type="paragraph" w:styleId="Date">
    <w:name w:val="Date"/>
    <w:basedOn w:val="Normal"/>
    <w:next w:val="Normal"/>
    <w:link w:val="DateChar"/>
    <w:rsid w:val="0034245D"/>
    <w:pPr>
      <w:spacing w:after="360"/>
    </w:pPr>
    <w:rPr>
      <w:rFonts w:ascii="Calibri" w:hAnsi="Calibri"/>
      <w:sz w:val="24"/>
    </w:rPr>
  </w:style>
  <w:style w:type="character" w:customStyle="1" w:styleId="DateChar">
    <w:name w:val="Date Char"/>
    <w:link w:val="Date"/>
    <w:rsid w:val="0034245D"/>
    <w:rPr>
      <w:rFonts w:ascii="Calibri" w:hAnsi="Calibri"/>
      <w:sz w:val="24"/>
      <w:szCs w:val="24"/>
    </w:rPr>
  </w:style>
  <w:style w:type="paragraph" w:customStyle="1" w:styleId="RecipientAddress">
    <w:name w:val="Recipient Address"/>
    <w:basedOn w:val="Normal"/>
    <w:rsid w:val="00F55369"/>
    <w:pPr>
      <w:spacing w:after="360"/>
      <w:contextualSpacing/>
    </w:pPr>
    <w:rPr>
      <w:rFonts w:ascii="Calibri" w:hAnsi="Calibri"/>
      <w:sz w:val="24"/>
    </w:rPr>
  </w:style>
  <w:style w:type="paragraph" w:styleId="Salutation">
    <w:name w:val="Salutation"/>
    <w:basedOn w:val="Normal"/>
    <w:next w:val="Body"/>
    <w:link w:val="SalutationChar"/>
    <w:rsid w:val="0034245D"/>
    <w:pPr>
      <w:spacing w:after="280"/>
    </w:pPr>
    <w:rPr>
      <w:rFonts w:ascii="Calibri" w:hAnsi="Calibri"/>
      <w:sz w:val="24"/>
    </w:rPr>
  </w:style>
  <w:style w:type="character" w:customStyle="1" w:styleId="SalutationChar">
    <w:name w:val="Salutation Char"/>
    <w:link w:val="Salutation"/>
    <w:rsid w:val="0034245D"/>
    <w:rPr>
      <w:rFonts w:ascii="Calibri" w:hAnsi="Calibri"/>
      <w:sz w:val="24"/>
      <w:szCs w:val="24"/>
    </w:rPr>
  </w:style>
  <w:style w:type="paragraph" w:styleId="Closing">
    <w:name w:val="Closing"/>
    <w:basedOn w:val="Normal"/>
    <w:link w:val="ClosingChar"/>
    <w:rsid w:val="005053CB"/>
    <w:pPr>
      <w:spacing w:after="960"/>
    </w:pPr>
    <w:rPr>
      <w:rFonts w:ascii="Times New Roman" w:eastAsia="Times New Roman" w:hAnsi="Times New Roman"/>
    </w:rPr>
  </w:style>
  <w:style w:type="character" w:customStyle="1" w:styleId="ClosingChar">
    <w:name w:val="Closing Char"/>
    <w:link w:val="Closing"/>
    <w:rsid w:val="005053CB"/>
    <w:rPr>
      <w:rFonts w:ascii="Times New Roman" w:eastAsia="Times New Roman" w:hAnsi="Times New Roman" w:cs="Times New Roman"/>
    </w:rPr>
  </w:style>
  <w:style w:type="paragraph" w:styleId="Signature">
    <w:name w:val="Signature"/>
    <w:basedOn w:val="Normal"/>
    <w:link w:val="SignatureChar"/>
    <w:rsid w:val="00775345"/>
    <w:rPr>
      <w:rFonts w:ascii="Calibri" w:hAnsi="Calibri"/>
      <w:sz w:val="24"/>
    </w:rPr>
  </w:style>
  <w:style w:type="character" w:customStyle="1" w:styleId="SignatureChar">
    <w:name w:val="Signature Char"/>
    <w:link w:val="Signature"/>
    <w:rsid w:val="00775345"/>
    <w:rPr>
      <w:rFonts w:ascii="Calibri" w:hAnsi="Calibri"/>
      <w:sz w:val="24"/>
      <w:szCs w:val="24"/>
    </w:rPr>
  </w:style>
  <w:style w:type="paragraph" w:styleId="Header">
    <w:name w:val="header"/>
    <w:basedOn w:val="Normal"/>
    <w:link w:val="HeaderChar"/>
    <w:uiPriority w:val="99"/>
    <w:unhideWhenUsed/>
    <w:rsid w:val="00F60A24"/>
    <w:pPr>
      <w:tabs>
        <w:tab w:val="center" w:pos="4320"/>
        <w:tab w:val="right" w:pos="8640"/>
      </w:tabs>
    </w:pPr>
  </w:style>
  <w:style w:type="character" w:customStyle="1" w:styleId="HeaderChar">
    <w:name w:val="Header Char"/>
    <w:basedOn w:val="DefaultParagraphFont"/>
    <w:link w:val="Header"/>
    <w:uiPriority w:val="99"/>
    <w:rsid w:val="00F60A24"/>
  </w:style>
  <w:style w:type="paragraph" w:styleId="Footer">
    <w:name w:val="footer"/>
    <w:basedOn w:val="Normal"/>
    <w:link w:val="FooterChar"/>
    <w:uiPriority w:val="99"/>
    <w:unhideWhenUsed/>
    <w:rsid w:val="00F60A24"/>
    <w:pPr>
      <w:tabs>
        <w:tab w:val="center" w:pos="4320"/>
        <w:tab w:val="right" w:pos="8640"/>
      </w:tabs>
    </w:pPr>
  </w:style>
  <w:style w:type="character" w:customStyle="1" w:styleId="FooterChar">
    <w:name w:val="Footer Char"/>
    <w:basedOn w:val="DefaultParagraphFont"/>
    <w:link w:val="Footer"/>
    <w:uiPriority w:val="99"/>
    <w:rsid w:val="00F60A24"/>
  </w:style>
  <w:style w:type="paragraph" w:styleId="BalloonText">
    <w:name w:val="Balloon Text"/>
    <w:basedOn w:val="Normal"/>
    <w:link w:val="BalloonTextChar"/>
    <w:uiPriority w:val="99"/>
    <w:semiHidden/>
    <w:unhideWhenUsed/>
    <w:rsid w:val="00F468B3"/>
    <w:rPr>
      <w:rFonts w:ascii="Tahoma" w:hAnsi="Tahoma" w:cs="Tahoma"/>
      <w:sz w:val="16"/>
      <w:szCs w:val="16"/>
    </w:rPr>
  </w:style>
  <w:style w:type="character" w:customStyle="1" w:styleId="BalloonTextChar">
    <w:name w:val="Balloon Text Char"/>
    <w:link w:val="BalloonText"/>
    <w:uiPriority w:val="99"/>
    <w:semiHidden/>
    <w:rsid w:val="00F468B3"/>
    <w:rPr>
      <w:rFonts w:ascii="Tahoma" w:hAnsi="Tahoma" w:cs="Tahoma"/>
      <w:sz w:val="16"/>
      <w:szCs w:val="16"/>
    </w:rPr>
  </w:style>
  <w:style w:type="character" w:customStyle="1" w:styleId="Heading2Char">
    <w:name w:val="Heading 2 Char"/>
    <w:link w:val="Heading2"/>
    <w:rsid w:val="00D7529F"/>
    <w:rPr>
      <w:rFonts w:ascii="Calibri" w:eastAsia="Times New Roman" w:hAnsi="Calibri"/>
      <w:b/>
      <w:sz w:val="28"/>
      <w:szCs w:val="24"/>
    </w:rPr>
  </w:style>
  <w:style w:type="table" w:styleId="TableGrid">
    <w:name w:val="Table Grid"/>
    <w:basedOn w:val="TableNormal"/>
    <w:rsid w:val="00391E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E39B1"/>
    <w:rPr>
      <w:sz w:val="18"/>
      <w:szCs w:val="18"/>
    </w:rPr>
  </w:style>
  <w:style w:type="paragraph" w:styleId="CommentText">
    <w:name w:val="annotation text"/>
    <w:basedOn w:val="Normal"/>
    <w:link w:val="CommentTextChar"/>
    <w:uiPriority w:val="99"/>
    <w:semiHidden/>
    <w:unhideWhenUsed/>
    <w:rsid w:val="002E39B1"/>
  </w:style>
  <w:style w:type="character" w:customStyle="1" w:styleId="CommentTextChar">
    <w:name w:val="Comment Text Char"/>
    <w:link w:val="CommentText"/>
    <w:uiPriority w:val="99"/>
    <w:semiHidden/>
    <w:rsid w:val="002E39B1"/>
    <w:rPr>
      <w:sz w:val="24"/>
      <w:szCs w:val="24"/>
    </w:rPr>
  </w:style>
  <w:style w:type="paragraph" w:styleId="CommentSubject">
    <w:name w:val="annotation subject"/>
    <w:basedOn w:val="CommentText"/>
    <w:next w:val="CommentText"/>
    <w:link w:val="CommentSubjectChar"/>
    <w:uiPriority w:val="99"/>
    <w:semiHidden/>
    <w:unhideWhenUsed/>
    <w:rsid w:val="002E39B1"/>
    <w:rPr>
      <w:b/>
      <w:bCs/>
      <w:sz w:val="20"/>
      <w:szCs w:val="20"/>
    </w:rPr>
  </w:style>
  <w:style w:type="character" w:customStyle="1" w:styleId="CommentSubjectChar">
    <w:name w:val="Comment Subject Char"/>
    <w:link w:val="CommentSubject"/>
    <w:uiPriority w:val="99"/>
    <w:semiHidden/>
    <w:rsid w:val="002E39B1"/>
    <w:rPr>
      <w:b/>
      <w:bCs/>
      <w:sz w:val="24"/>
      <w:szCs w:val="24"/>
    </w:rPr>
  </w:style>
  <w:style w:type="character" w:customStyle="1" w:styleId="Heading1Char">
    <w:name w:val="Heading 1 Char"/>
    <w:link w:val="Heading1"/>
    <w:uiPriority w:val="9"/>
    <w:rsid w:val="00D7529F"/>
    <w:rPr>
      <w:rFonts w:ascii="Calibri" w:eastAsia="MS Gothic" w:hAnsi="Calibri" w:cs="Times New Roman"/>
      <w:b/>
      <w:bCs/>
      <w:kern w:val="32"/>
      <w:sz w:val="32"/>
      <w:szCs w:val="32"/>
    </w:rPr>
  </w:style>
  <w:style w:type="character" w:customStyle="1" w:styleId="Heading3Char">
    <w:name w:val="Heading 3 Char"/>
    <w:link w:val="Heading3"/>
    <w:uiPriority w:val="9"/>
    <w:rsid w:val="00D7529F"/>
    <w:rPr>
      <w:rFonts w:ascii="Calibri" w:eastAsia="MS Gothic" w:hAnsi="Calibri" w:cs="Times New Roman"/>
      <w:b/>
      <w:bCs/>
      <w:sz w:val="26"/>
      <w:szCs w:val="26"/>
    </w:rPr>
  </w:style>
  <w:style w:type="paragraph" w:styleId="Title">
    <w:name w:val="Title"/>
    <w:basedOn w:val="Normal"/>
    <w:next w:val="Normal"/>
    <w:link w:val="TitleChar"/>
    <w:uiPriority w:val="10"/>
    <w:qFormat/>
    <w:rsid w:val="00D7529F"/>
    <w:pPr>
      <w:spacing w:before="240" w:after="60"/>
      <w:jc w:val="center"/>
      <w:outlineLvl w:val="0"/>
    </w:pPr>
    <w:rPr>
      <w:rFonts w:ascii="Calibri" w:eastAsia="MS Gothic" w:hAnsi="Calibri"/>
      <w:b/>
      <w:bCs/>
      <w:kern w:val="28"/>
      <w:sz w:val="40"/>
      <w:szCs w:val="32"/>
    </w:rPr>
  </w:style>
  <w:style w:type="character" w:customStyle="1" w:styleId="TitleChar">
    <w:name w:val="Title Char"/>
    <w:link w:val="Title"/>
    <w:uiPriority w:val="10"/>
    <w:rsid w:val="00D7529F"/>
    <w:rPr>
      <w:rFonts w:ascii="Calibri" w:eastAsia="MS Gothic" w:hAnsi="Calibri" w:cs="Times New Roman"/>
      <w:b/>
      <w:bCs/>
      <w:kern w:val="28"/>
      <w:sz w:val="40"/>
      <w:szCs w:val="32"/>
    </w:rPr>
  </w:style>
  <w:style w:type="character" w:customStyle="1" w:styleId="Heading4Char">
    <w:name w:val="Heading 4 Char"/>
    <w:link w:val="Heading4"/>
    <w:uiPriority w:val="9"/>
    <w:rsid w:val="00D7529F"/>
    <w:rPr>
      <w:rFonts w:ascii="Calibri" w:eastAsia="MS Mincho" w:hAnsi="Calibri" w:cs="Times New Roman"/>
      <w:b/>
      <w:bCs/>
      <w:sz w:val="22"/>
      <w:szCs w:val="28"/>
    </w:rPr>
  </w:style>
  <w:style w:type="paragraph" w:customStyle="1" w:styleId="Body">
    <w:name w:val="Body"/>
    <w:basedOn w:val="Normal"/>
    <w:qFormat/>
    <w:rsid w:val="00775345"/>
    <w:rPr>
      <w:rFonts w:ascii="Calibri" w:hAnsi="Calibri"/>
      <w:sz w:val="24"/>
    </w:rPr>
  </w:style>
  <w:style w:type="paragraph" w:customStyle="1" w:styleId="Encl-CC">
    <w:name w:val="Encl-CC"/>
    <w:basedOn w:val="Normal"/>
    <w:qFormat/>
    <w:rsid w:val="0034245D"/>
    <w:rPr>
      <w:rFonts w:ascii="Calibri" w:hAnsi="Calibri"/>
      <w:sz w:val="24"/>
    </w:rPr>
  </w:style>
  <w:style w:type="paragraph" w:styleId="NoSpacing">
    <w:name w:val="No Spacing"/>
    <w:uiPriority w:val="1"/>
    <w:qFormat/>
    <w:rsid w:val="0034245D"/>
    <w:rPr>
      <w:rFonts w:ascii="Arial" w:hAnsi="Arial"/>
      <w:sz w:val="22"/>
      <w:szCs w:val="24"/>
    </w:rPr>
  </w:style>
  <w:style w:type="paragraph" w:customStyle="1" w:styleId="BulletList">
    <w:name w:val="Bullet List"/>
    <w:basedOn w:val="BodyText"/>
    <w:qFormat/>
    <w:rsid w:val="006C2E00"/>
    <w:pPr>
      <w:tabs>
        <w:tab w:val="left" w:pos="274"/>
      </w:tabs>
      <w:spacing w:after="0" w:line="280" w:lineRule="atLeast"/>
      <w:ind w:left="274" w:hanging="274"/>
    </w:pPr>
    <w:rPr>
      <w:rFonts w:ascii="Calibri" w:hAnsi="Calibri"/>
      <w:sz w:val="20"/>
      <w:szCs w:val="20"/>
    </w:rPr>
  </w:style>
  <w:style w:type="paragraph" w:styleId="BodyText">
    <w:name w:val="Body Text"/>
    <w:basedOn w:val="Normal"/>
    <w:link w:val="BodyTextChar"/>
    <w:uiPriority w:val="99"/>
    <w:semiHidden/>
    <w:unhideWhenUsed/>
    <w:rsid w:val="006C2E00"/>
    <w:pPr>
      <w:spacing w:after="120"/>
    </w:pPr>
  </w:style>
  <w:style w:type="character" w:customStyle="1" w:styleId="BodyTextChar">
    <w:name w:val="Body Text Char"/>
    <w:basedOn w:val="DefaultParagraphFont"/>
    <w:link w:val="BodyText"/>
    <w:uiPriority w:val="99"/>
    <w:semiHidden/>
    <w:rsid w:val="006C2E00"/>
    <w:rPr>
      <w:rFonts w:ascii="Arial" w:hAnsi="Arial"/>
      <w:sz w:val="22"/>
      <w:szCs w:val="24"/>
    </w:rPr>
  </w:style>
  <w:style w:type="paragraph" w:customStyle="1" w:styleId="EITextBoxBullet1">
    <w:name w:val="EI_TextBox_Bullet1"/>
    <w:basedOn w:val="Normal"/>
    <w:qFormat/>
    <w:rsid w:val="00883529"/>
    <w:pPr>
      <w:widowControl w:val="0"/>
      <w:numPr>
        <w:numId w:val="13"/>
      </w:numPr>
      <w:tabs>
        <w:tab w:val="left" w:pos="216"/>
      </w:tabs>
      <w:spacing w:after="40" w:line="240" w:lineRule="auto"/>
    </w:pPr>
    <w:rPr>
      <w:rFonts w:ascii="Calibri" w:eastAsia="Times New Roman" w:hAnsi="Calibri"/>
      <w:sz w:val="18"/>
      <w:szCs w:val="20"/>
    </w:rPr>
  </w:style>
  <w:style w:type="paragraph" w:customStyle="1" w:styleId="EIResumeQualsandExperience">
    <w:name w:val="EI_Resume_Quals and Experience"/>
    <w:next w:val="Normal"/>
    <w:link w:val="EIResumeQualsandExperienceChar"/>
    <w:uiPriority w:val="99"/>
    <w:unhideWhenUsed/>
    <w:rsid w:val="006F1500"/>
    <w:pPr>
      <w:widowControl w:val="0"/>
      <w:spacing w:after="60"/>
      <w:jc w:val="both"/>
    </w:pPr>
    <w:rPr>
      <w:rFonts w:ascii="Calibri" w:eastAsia="Times New Roman" w:hAnsi="Calibri" w:cs="Arial"/>
      <w:b/>
      <w:color w:val="7B7B7B" w:themeColor="accent3" w:themeShade="BF"/>
      <w:sz w:val="28"/>
    </w:rPr>
  </w:style>
  <w:style w:type="character" w:customStyle="1" w:styleId="EIResumeQualsandExperienceChar">
    <w:name w:val="EI_Resume_Quals and Experience Char"/>
    <w:basedOn w:val="DefaultParagraphFont"/>
    <w:link w:val="EIResumeQualsandExperience"/>
    <w:uiPriority w:val="99"/>
    <w:rsid w:val="006F1500"/>
    <w:rPr>
      <w:rFonts w:ascii="Calibri" w:eastAsia="Times New Roman" w:hAnsi="Calibri" w:cs="Arial"/>
      <w:b/>
      <w:color w:val="7B7B7B" w:themeColor="accent3" w:themeShade="BF"/>
      <w:sz w:val="28"/>
    </w:rPr>
  </w:style>
  <w:style w:type="paragraph" w:styleId="ListParagraph">
    <w:name w:val="List Paragraph"/>
    <w:basedOn w:val="Normal"/>
    <w:uiPriority w:val="34"/>
    <w:qFormat/>
    <w:rsid w:val="00883529"/>
    <w:pPr>
      <w:ind w:left="720"/>
      <w:contextualSpacing/>
    </w:pPr>
  </w:style>
  <w:style w:type="paragraph" w:styleId="BodyText2">
    <w:name w:val="Body Text 2"/>
    <w:basedOn w:val="Normal"/>
    <w:link w:val="BodyText2Char"/>
    <w:uiPriority w:val="99"/>
    <w:semiHidden/>
    <w:unhideWhenUsed/>
    <w:rsid w:val="00BD6DB0"/>
    <w:pPr>
      <w:spacing w:after="120" w:line="480" w:lineRule="auto"/>
    </w:pPr>
  </w:style>
  <w:style w:type="character" w:customStyle="1" w:styleId="BodyText2Char">
    <w:name w:val="Body Text 2 Char"/>
    <w:basedOn w:val="DefaultParagraphFont"/>
    <w:link w:val="BodyText2"/>
    <w:uiPriority w:val="99"/>
    <w:semiHidden/>
    <w:rsid w:val="00BD6DB0"/>
    <w:rPr>
      <w:rFonts w:ascii="Arial" w:hAnsi="Arial"/>
      <w:sz w:val="22"/>
      <w:szCs w:val="24"/>
    </w:rPr>
  </w:style>
  <w:style w:type="paragraph" w:styleId="ListBullet">
    <w:name w:val="List Bullet"/>
    <w:basedOn w:val="Normal"/>
    <w:autoRedefine/>
    <w:rsid w:val="00BD6DB0"/>
    <w:pPr>
      <w:spacing w:after="0" w:line="240" w:lineRule="auto"/>
      <w:jc w:val="both"/>
    </w:pPr>
    <w:rPr>
      <w:rFonts w:ascii="Times New Roman" w:eastAsia="Times New Roman" w:hAnsi="Times New Roman"/>
      <w:b/>
      <w:i/>
      <w:sz w:val="24"/>
    </w:rPr>
  </w:style>
  <w:style w:type="paragraph" w:customStyle="1" w:styleId="BodySingle">
    <w:name w:val="Body Single"/>
    <w:basedOn w:val="Normal"/>
    <w:rsid w:val="00BD6DB0"/>
    <w:pPr>
      <w:spacing w:after="0" w:line="240" w:lineRule="auto"/>
      <w:jc w:val="both"/>
    </w:pPr>
    <w:rPr>
      <w:rFonts w:ascii="Times New Roman" w:eastAsia="Times New Roman" w:hAnsi="Times New Roman"/>
      <w:sz w:val="24"/>
      <w:szCs w:val="20"/>
    </w:rPr>
  </w:style>
  <w:style w:type="paragraph" w:customStyle="1" w:styleId="FirstLevel">
    <w:name w:val="First Level"/>
    <w:basedOn w:val="Normal"/>
    <w:rsid w:val="00BD6DB0"/>
    <w:pPr>
      <w:suppressAutoHyphens/>
      <w:spacing w:after="120" w:line="240" w:lineRule="auto"/>
      <w:jc w:val="both"/>
    </w:pPr>
    <w:rPr>
      <w:rFonts w:eastAsia="Times New Roman"/>
      <w:b/>
      <w:szCs w:val="20"/>
    </w:rPr>
  </w:style>
  <w:style w:type="character" w:customStyle="1" w:styleId="MPChItalic">
    <w:name w:val="MPChItalic"/>
    <w:rsid w:val="00A27843"/>
    <w:rPr>
      <w:i/>
    </w:rPr>
  </w:style>
  <w:style w:type="paragraph" w:customStyle="1" w:styleId="ClientName">
    <w:name w:val="Client Name"/>
    <w:basedOn w:val="Normal"/>
    <w:next w:val="BodyText"/>
    <w:rsid w:val="00A27843"/>
    <w:pPr>
      <w:keepNext/>
      <w:widowControl w:val="0"/>
      <w:spacing w:after="120" w:line="240" w:lineRule="auto"/>
      <w:outlineLvl w:val="5"/>
    </w:pPr>
    <w:rPr>
      <w:rFonts w:ascii="Arial Narrow" w:eastAsia="Times New Roman" w:hAnsi="Arial Narrow"/>
      <w:b/>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2017-04-21T07:00:00+00:00</Date1>
    <IsDocumentOrder xmlns="dc463f71-b30c-4ab2-9473-d307f9d35888" xsi:nil="true"/>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161204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603887F-41D9-4468-B44B-DDBC1C95D4A0}">
  <ds:schemaRefs>
    <ds:schemaRef ds:uri="http://schemas.openxmlformats.org/officeDocument/2006/bibliography"/>
  </ds:schemaRefs>
</ds:datastoreItem>
</file>

<file path=customXml/itemProps2.xml><?xml version="1.0" encoding="utf-8"?>
<ds:datastoreItem xmlns:ds="http://schemas.openxmlformats.org/officeDocument/2006/customXml" ds:itemID="{4EDA3B89-A3FA-4A12-ACE2-9F83DC7B643E}"/>
</file>

<file path=customXml/itemProps3.xml><?xml version="1.0" encoding="utf-8"?>
<ds:datastoreItem xmlns:ds="http://schemas.openxmlformats.org/officeDocument/2006/customXml" ds:itemID="{9A85BFEA-B1EB-49D1-8004-0547AD346CFC}"/>
</file>

<file path=customXml/itemProps4.xml><?xml version="1.0" encoding="utf-8"?>
<ds:datastoreItem xmlns:ds="http://schemas.openxmlformats.org/officeDocument/2006/customXml" ds:itemID="{3E6DB5D1-F34F-43FE-9FD6-FD359FAEC9AC}"/>
</file>

<file path=customXml/itemProps5.xml><?xml version="1.0" encoding="utf-8"?>
<ds:datastoreItem xmlns:ds="http://schemas.openxmlformats.org/officeDocument/2006/customXml" ds:itemID="{A871163A-4F22-470D-BB2A-1C973D89F3F9}"/>
</file>

<file path=docProps/app.xml><?xml version="1.0" encoding="utf-8"?>
<Properties xmlns="http://schemas.openxmlformats.org/officeDocument/2006/extended-properties" xmlns:vt="http://schemas.openxmlformats.org/officeDocument/2006/docPropsVTypes">
  <Template>Normal.dotm</Template>
  <TotalTime>1</TotalTime>
  <Pages>10</Pages>
  <Words>5644</Words>
  <Characters>30032</Characters>
  <Application>Microsoft Office Word</Application>
  <DocSecurity>0</DocSecurity>
  <Lines>1501</Lines>
  <Paragraphs>371</Paragraphs>
  <ScaleCrop>false</ScaleCrop>
  <HeadingPairs>
    <vt:vector size="2" baseType="variant">
      <vt:variant>
        <vt:lpstr>Title</vt:lpstr>
      </vt:variant>
      <vt:variant>
        <vt:i4>1</vt:i4>
      </vt:variant>
    </vt:vector>
  </HeadingPairs>
  <TitlesOfParts>
    <vt:vector size="1" baseType="lpstr">
      <vt:lpstr/>
    </vt:vector>
  </TitlesOfParts>
  <Company>KG Partners</Company>
  <LinksUpToDate>false</LinksUpToDate>
  <CharactersWithSpaces>35305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McDonald</dc:creator>
  <cp:lastModifiedBy>Mak, Chanda (ATG)</cp:lastModifiedBy>
  <cp:revision>2</cp:revision>
  <cp:lastPrinted>2016-03-24T13:57:00Z</cp:lastPrinted>
  <dcterms:created xsi:type="dcterms:W3CDTF">2017-04-18T23:53:00Z</dcterms:created>
  <dcterms:modified xsi:type="dcterms:W3CDTF">2017-04-18T23:53:00Z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0x0101006E56B4D1795A2E4DB2F0B01679ED314A0082BE3214F6FBE444A686B76141802F0A</vt:lpwstr>
  </property>
  <property fmtid="{D5CDD505-2E9C-101B-9397-08002B2CF9AE}" pid="3" name="_docset_NoMedatataSyncRequired">
    <vt:lpwstr>False</vt:lpwstr>
  </property>
  <property fmtid="{D5CDD505-2E9C-101B-9397-08002B2CF9AE}" pid="4" name="IsEFSEC">
    <vt:bool>false</vt:bool>
  </property>
</Properties>
</file>