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A0A68" w14:textId="77777777" w:rsidR="00853BA8" w:rsidRDefault="00853BA8" w:rsidP="007E438A">
      <w:pPr>
        <w:spacing w:after="0"/>
        <w:rPr>
          <w:rFonts w:ascii="Arial" w:hAnsi="Arial" w:cs="Arial"/>
          <w:b/>
          <w:sz w:val="32"/>
          <w:szCs w:val="32"/>
        </w:rPr>
      </w:pPr>
      <w:bookmarkStart w:id="0" w:name="_GoBack"/>
      <w:bookmarkEnd w:id="0"/>
      <w:r>
        <w:rPr>
          <w:rFonts w:ascii="Arial" w:hAnsi="Arial" w:cs="Arial"/>
          <w:noProof/>
          <w:sz w:val="32"/>
          <w:szCs w:val="32"/>
        </w:rPr>
        <w:drawing>
          <wp:anchor distT="0" distB="0" distL="114300" distR="114300" simplePos="0" relativeHeight="251658240" behindDoc="1" locked="0" layoutInCell="1" allowOverlap="1" wp14:anchorId="670A0ABD" wp14:editId="670A0ABE">
            <wp:simplePos x="0" y="0"/>
            <wp:positionH relativeFrom="column">
              <wp:posOffset>4783928</wp:posOffset>
            </wp:positionH>
            <wp:positionV relativeFrom="paragraph">
              <wp:posOffset>-496910</wp:posOffset>
            </wp:positionV>
            <wp:extent cx="1371600" cy="620395"/>
            <wp:effectExtent l="0" t="0" r="0" b="8255"/>
            <wp:wrapNone/>
            <wp:docPr id="3" name="Picture 3" descr="Energy Trust Logo_H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y Trust Logo_H_bw"/>
                    <pic:cNvPicPr>
                      <a:picLocks noChangeAspect="1" noChangeArrowheads="1"/>
                    </pic:cNvPicPr>
                  </pic:nvPicPr>
                  <pic:blipFill>
                    <a:blip r:embed="rId11" cstate="print"/>
                    <a:srcRect/>
                    <a:stretch>
                      <a:fillRect/>
                    </a:stretch>
                  </pic:blipFill>
                  <pic:spPr bwMode="auto">
                    <a:xfrm>
                      <a:off x="0" y="0"/>
                      <a:ext cx="1371600" cy="620395"/>
                    </a:xfrm>
                    <a:prstGeom prst="rect">
                      <a:avLst/>
                    </a:prstGeom>
                    <a:noFill/>
                    <a:ln w="9525">
                      <a:noFill/>
                      <a:miter lim="800000"/>
                      <a:headEnd/>
                      <a:tailEnd/>
                    </a:ln>
                  </pic:spPr>
                </pic:pic>
              </a:graphicData>
            </a:graphic>
          </wp:anchor>
        </w:drawing>
      </w:r>
    </w:p>
    <w:p w14:paraId="670A0A69" w14:textId="77777777" w:rsidR="007F3DE4" w:rsidRDefault="00AB6200" w:rsidP="007E438A">
      <w:pPr>
        <w:spacing w:after="0"/>
        <w:rPr>
          <w:rFonts w:ascii="Arial" w:hAnsi="Arial" w:cs="Arial"/>
          <w:b/>
          <w:sz w:val="32"/>
          <w:szCs w:val="32"/>
        </w:rPr>
      </w:pPr>
      <w:r>
        <w:rPr>
          <w:rFonts w:ascii="Arial" w:hAnsi="Arial" w:cs="Arial"/>
          <w:b/>
          <w:sz w:val="32"/>
          <w:szCs w:val="32"/>
        </w:rPr>
        <w:t>Energy Trust</w:t>
      </w:r>
      <w:r w:rsidR="007F3DE4">
        <w:rPr>
          <w:rFonts w:ascii="Arial" w:hAnsi="Arial" w:cs="Arial"/>
          <w:b/>
          <w:sz w:val="32"/>
          <w:szCs w:val="32"/>
        </w:rPr>
        <w:t xml:space="preserve">’s </w:t>
      </w:r>
      <w:r w:rsidR="00B24741" w:rsidRPr="00151151">
        <w:rPr>
          <w:rFonts w:ascii="Arial" w:hAnsi="Arial" w:cs="Arial"/>
          <w:b/>
          <w:sz w:val="32"/>
          <w:szCs w:val="32"/>
        </w:rPr>
        <w:t>NW Natural Washington</w:t>
      </w:r>
      <w:r w:rsidR="007F3DE4">
        <w:rPr>
          <w:rFonts w:ascii="Arial" w:hAnsi="Arial" w:cs="Arial"/>
          <w:b/>
          <w:sz w:val="32"/>
          <w:szCs w:val="32"/>
        </w:rPr>
        <w:t xml:space="preserve"> Program</w:t>
      </w:r>
      <w:r w:rsidR="00853BA8">
        <w:rPr>
          <w:rFonts w:ascii="Arial" w:hAnsi="Arial" w:cs="Arial"/>
          <w:b/>
          <w:sz w:val="32"/>
          <w:szCs w:val="32"/>
        </w:rPr>
        <w:t>:</w:t>
      </w:r>
    </w:p>
    <w:p w14:paraId="670A0A6A" w14:textId="77777777" w:rsidR="00B24741" w:rsidRPr="00151151" w:rsidRDefault="00853BA8" w:rsidP="007E438A">
      <w:pPr>
        <w:spacing w:after="0"/>
        <w:rPr>
          <w:rFonts w:ascii="Arial" w:hAnsi="Arial" w:cs="Arial"/>
          <w:b/>
          <w:sz w:val="36"/>
          <w:szCs w:val="36"/>
        </w:rPr>
      </w:pPr>
      <w:r>
        <w:rPr>
          <w:rFonts w:ascii="Arial" w:hAnsi="Arial" w:cs="Arial"/>
          <w:b/>
          <w:sz w:val="32"/>
          <w:szCs w:val="32"/>
        </w:rPr>
        <w:t xml:space="preserve">2017 </w:t>
      </w:r>
      <w:r w:rsidR="00B24741" w:rsidRPr="00151151">
        <w:rPr>
          <w:rFonts w:ascii="Arial" w:hAnsi="Arial" w:cs="Arial"/>
          <w:b/>
          <w:sz w:val="32"/>
          <w:szCs w:val="32"/>
        </w:rPr>
        <w:t>Program</w:t>
      </w:r>
      <w:r w:rsidR="00151151">
        <w:rPr>
          <w:rFonts w:ascii="Arial" w:hAnsi="Arial" w:cs="Arial"/>
          <w:b/>
          <w:sz w:val="32"/>
          <w:szCs w:val="32"/>
        </w:rPr>
        <w:t xml:space="preserve"> Costs and Benefits</w:t>
      </w:r>
      <w:r w:rsidR="00B24741" w:rsidRPr="00151151">
        <w:rPr>
          <w:rFonts w:ascii="Arial" w:hAnsi="Arial" w:cs="Arial"/>
          <w:b/>
          <w:sz w:val="32"/>
          <w:szCs w:val="32"/>
        </w:rPr>
        <w:t xml:space="preserve"> </w:t>
      </w:r>
    </w:p>
    <w:p w14:paraId="670A0A6B" w14:textId="77777777" w:rsidR="00B24741" w:rsidRPr="00151151" w:rsidRDefault="00B24741" w:rsidP="00B24741">
      <w:pPr>
        <w:spacing w:after="0" w:line="240" w:lineRule="auto"/>
        <w:rPr>
          <w:rFonts w:ascii="Arial" w:hAnsi="Arial" w:cs="Arial"/>
          <w:b/>
        </w:rPr>
      </w:pPr>
    </w:p>
    <w:p w14:paraId="670A0A6C" w14:textId="77777777" w:rsidR="007F3DE4" w:rsidRDefault="007F3DE4" w:rsidP="00B24741">
      <w:pPr>
        <w:spacing w:after="0" w:line="240" w:lineRule="auto"/>
        <w:rPr>
          <w:rFonts w:ascii="Arial" w:hAnsi="Arial" w:cs="Arial"/>
          <w:b/>
        </w:rPr>
      </w:pPr>
    </w:p>
    <w:p w14:paraId="670A0A6D" w14:textId="77777777" w:rsidR="001E5CC9" w:rsidRDefault="00B705A6" w:rsidP="007E438A">
      <w:pPr>
        <w:spacing w:after="0" w:line="240" w:lineRule="auto"/>
        <w:rPr>
          <w:rFonts w:ascii="Arial" w:hAnsi="Arial" w:cs="Arial"/>
        </w:rPr>
      </w:pPr>
      <w:r w:rsidRPr="007E438A">
        <w:rPr>
          <w:rFonts w:ascii="Arial" w:hAnsi="Arial" w:cs="Arial"/>
          <w:b/>
        </w:rPr>
        <w:t>Request from WUTC</w:t>
      </w:r>
      <w:r w:rsidR="00B7394C" w:rsidRPr="007E438A">
        <w:rPr>
          <w:rFonts w:ascii="Arial" w:hAnsi="Arial" w:cs="Arial"/>
          <w:b/>
        </w:rPr>
        <w:t xml:space="preserve"> related to 2017 utility filing</w:t>
      </w:r>
    </w:p>
    <w:p w14:paraId="670A0A6E" w14:textId="77777777" w:rsidR="00FD4992" w:rsidRDefault="00FD4992" w:rsidP="007E438A">
      <w:pPr>
        <w:spacing w:after="0" w:line="240" w:lineRule="auto"/>
        <w:rPr>
          <w:rFonts w:ascii="Arial" w:hAnsi="Arial" w:cs="Arial"/>
        </w:rPr>
      </w:pPr>
    </w:p>
    <w:p w14:paraId="670A0A6F" w14:textId="77777777" w:rsidR="00B7394C" w:rsidRDefault="00B24741" w:rsidP="007E438A">
      <w:pPr>
        <w:spacing w:after="0" w:line="240" w:lineRule="auto"/>
        <w:rPr>
          <w:rFonts w:ascii="Arial" w:hAnsi="Arial" w:cs="Arial"/>
          <w:i/>
        </w:rPr>
      </w:pPr>
      <w:r w:rsidRPr="00D474C1">
        <w:rPr>
          <w:rFonts w:ascii="Arial" w:hAnsi="Arial" w:cs="Arial"/>
          <w:i/>
        </w:rPr>
        <w:t>Staff would like each company to provide costs associated with all “direct benefits to customers,” including but not limited to: customer incentives, rebates, bill credits, credits on purchases, payments to CAP agencies, free efficiency measures, and upstream incentives to partners or trade allies. This direct benefit number should be compared, at the portfolio level, to the total conservation budget.</w:t>
      </w:r>
      <w:r w:rsidR="00B7394C" w:rsidRPr="00D474C1">
        <w:rPr>
          <w:rFonts w:ascii="Arial" w:hAnsi="Arial" w:cs="Arial"/>
          <w:i/>
        </w:rPr>
        <w:t xml:space="preserve"> Please calculate NW Natural’s ratio and provide supporting financial information, and explain why the current ratio is appropriate for your company’s conservation program(s). </w:t>
      </w:r>
    </w:p>
    <w:p w14:paraId="670A0A70" w14:textId="77777777" w:rsidR="00D474C1" w:rsidRPr="00D474C1" w:rsidRDefault="00D474C1" w:rsidP="007E438A">
      <w:pPr>
        <w:spacing w:after="0" w:line="240" w:lineRule="auto"/>
        <w:rPr>
          <w:rFonts w:ascii="Arial" w:hAnsi="Arial" w:cs="Arial"/>
          <w:i/>
        </w:rPr>
      </w:pPr>
    </w:p>
    <w:p w14:paraId="670A0A71" w14:textId="77777777" w:rsidR="00D474C1" w:rsidRPr="00B7394C" w:rsidRDefault="00D474C1" w:rsidP="007E438A">
      <w:pPr>
        <w:spacing w:after="0" w:line="240" w:lineRule="auto"/>
        <w:rPr>
          <w:rFonts w:ascii="Arial" w:hAnsi="Arial" w:cs="Arial"/>
        </w:rPr>
      </w:pPr>
      <w:r>
        <w:rPr>
          <w:rFonts w:ascii="Arial" w:hAnsi="Arial" w:cs="Arial"/>
        </w:rPr>
        <w:t xml:space="preserve">Staff also requested that NW Natural provide information to populate a table, seeking certain cost information. NW Natural and Energy Trust provide the information below, in response to Staff’s request.  </w:t>
      </w:r>
    </w:p>
    <w:p w14:paraId="670A0A72" w14:textId="77777777" w:rsidR="00B7394C" w:rsidRDefault="00B7394C" w:rsidP="00853BA8">
      <w:pPr>
        <w:spacing w:after="0" w:line="240" w:lineRule="auto"/>
        <w:rPr>
          <w:rFonts w:ascii="Arial" w:hAnsi="Arial" w:cs="Arial"/>
        </w:rPr>
      </w:pPr>
    </w:p>
    <w:p w14:paraId="670A0A73" w14:textId="77777777" w:rsidR="00DE0163" w:rsidRPr="00151151" w:rsidRDefault="00DE0163" w:rsidP="00DE0163">
      <w:pPr>
        <w:spacing w:after="0" w:line="240" w:lineRule="auto"/>
        <w:rPr>
          <w:rFonts w:ascii="Arial" w:hAnsi="Arial" w:cs="Arial"/>
          <w:b/>
        </w:rPr>
      </w:pPr>
      <w:r w:rsidRPr="00151151">
        <w:rPr>
          <w:rFonts w:ascii="Arial" w:hAnsi="Arial" w:cs="Arial"/>
          <w:b/>
        </w:rPr>
        <w:t>NW Natural</w:t>
      </w:r>
      <w:r>
        <w:rPr>
          <w:rFonts w:ascii="Arial" w:hAnsi="Arial" w:cs="Arial"/>
          <w:b/>
        </w:rPr>
        <w:t xml:space="preserve"> Washington Conservation </w:t>
      </w:r>
      <w:r w:rsidR="00473DC1">
        <w:rPr>
          <w:rFonts w:ascii="Arial" w:hAnsi="Arial" w:cs="Arial"/>
          <w:b/>
        </w:rPr>
        <w:t xml:space="preserve">2017 </w:t>
      </w:r>
      <w:r w:rsidRPr="00151151">
        <w:rPr>
          <w:rFonts w:ascii="Arial" w:hAnsi="Arial" w:cs="Arial"/>
          <w:b/>
        </w:rPr>
        <w:t xml:space="preserve">Program Costs </w:t>
      </w:r>
    </w:p>
    <w:tbl>
      <w:tblPr>
        <w:tblW w:w="0" w:type="auto"/>
        <w:tblInd w:w="-10" w:type="dxa"/>
        <w:tblCellMar>
          <w:left w:w="0" w:type="dxa"/>
          <w:right w:w="0" w:type="dxa"/>
        </w:tblCellMar>
        <w:tblLook w:val="04A0" w:firstRow="1" w:lastRow="0" w:firstColumn="1" w:lastColumn="0" w:noHBand="0" w:noVBand="1"/>
      </w:tblPr>
      <w:tblGrid>
        <w:gridCol w:w="3330"/>
        <w:gridCol w:w="1992"/>
        <w:gridCol w:w="1921"/>
        <w:gridCol w:w="1986"/>
      </w:tblGrid>
      <w:tr w:rsidR="00B7394C" w:rsidRPr="00B7394C" w14:paraId="670A0A78" w14:textId="77777777" w:rsidTr="007E438A">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A0A74" w14:textId="77777777" w:rsidR="00B24741" w:rsidRPr="007E438A" w:rsidRDefault="00B24741" w:rsidP="00B24741">
            <w:pPr>
              <w:spacing w:after="0" w:line="240" w:lineRule="auto"/>
              <w:rPr>
                <w:rFonts w:ascii="Arial" w:hAnsi="Arial" w:cs="Arial"/>
              </w:rPr>
            </w:pP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0A0A75" w14:textId="77777777" w:rsidR="00B24741" w:rsidRPr="007E438A" w:rsidRDefault="00B24741" w:rsidP="00B24741">
            <w:pPr>
              <w:spacing w:after="0" w:line="240" w:lineRule="auto"/>
              <w:rPr>
                <w:rFonts w:ascii="Arial" w:hAnsi="Arial" w:cs="Arial"/>
              </w:rPr>
            </w:pPr>
            <w:r w:rsidRPr="007E438A">
              <w:rPr>
                <w:rFonts w:ascii="Arial" w:hAnsi="Arial" w:cs="Arial"/>
              </w:rPr>
              <w:t>Direct Benefit to Customers</w:t>
            </w:r>
          </w:p>
        </w:tc>
        <w:tc>
          <w:tcPr>
            <w:tcW w:w="1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0A0A76" w14:textId="77777777" w:rsidR="00B24741" w:rsidRPr="007E438A" w:rsidRDefault="00B24741" w:rsidP="00B24741">
            <w:pPr>
              <w:spacing w:after="0" w:line="240" w:lineRule="auto"/>
              <w:rPr>
                <w:rFonts w:ascii="Arial" w:hAnsi="Arial" w:cs="Arial"/>
              </w:rPr>
            </w:pPr>
            <w:r w:rsidRPr="007E438A">
              <w:rPr>
                <w:rFonts w:ascii="Arial" w:hAnsi="Arial" w:cs="Arial"/>
              </w:rPr>
              <w:t>Other Costs</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0A0A77" w14:textId="77777777" w:rsidR="00B24741" w:rsidRPr="007E438A" w:rsidRDefault="00B24741" w:rsidP="00B24741">
            <w:pPr>
              <w:spacing w:after="0" w:line="240" w:lineRule="auto"/>
              <w:rPr>
                <w:rFonts w:ascii="Arial" w:hAnsi="Arial" w:cs="Arial"/>
              </w:rPr>
            </w:pPr>
            <w:r w:rsidRPr="007E438A">
              <w:rPr>
                <w:rFonts w:ascii="Arial" w:hAnsi="Arial" w:cs="Arial"/>
              </w:rPr>
              <w:t>Total Utility Costs</w:t>
            </w:r>
          </w:p>
        </w:tc>
      </w:tr>
      <w:tr w:rsidR="00B7394C" w:rsidRPr="00B7394C" w14:paraId="670A0A7D" w14:textId="77777777" w:rsidTr="007E438A">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0A79" w14:textId="77777777" w:rsidR="00B24741" w:rsidRPr="007E438A" w:rsidRDefault="00B24741" w:rsidP="00B24741">
            <w:pPr>
              <w:spacing w:after="0" w:line="240" w:lineRule="auto"/>
              <w:rPr>
                <w:rFonts w:ascii="Arial" w:hAnsi="Arial" w:cs="Arial"/>
              </w:rPr>
            </w:pPr>
            <w:r w:rsidRPr="007E438A">
              <w:rPr>
                <w:rFonts w:ascii="Arial" w:hAnsi="Arial" w:cs="Arial"/>
              </w:rPr>
              <w:t>Residential</w:t>
            </w:r>
            <w:r w:rsidR="00DE0163">
              <w:rPr>
                <w:rFonts w:ascii="Arial" w:hAnsi="Arial" w:cs="Arial"/>
              </w:rPr>
              <w:t xml:space="preserve"> (Energy Trust)</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70A0A7A"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$475,510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14:paraId="670A0A7B"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$652,202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70A0A7C" w14:textId="77777777" w:rsidR="00B24741" w:rsidRPr="007E438A" w:rsidRDefault="00B24741" w:rsidP="00B24741">
            <w:pPr>
              <w:spacing w:after="0" w:line="240" w:lineRule="auto"/>
              <w:rPr>
                <w:rFonts w:ascii="Arial" w:hAnsi="Arial" w:cs="Arial"/>
              </w:rPr>
            </w:pPr>
            <w:r w:rsidRPr="007E438A">
              <w:rPr>
                <w:rFonts w:ascii="Arial" w:hAnsi="Arial" w:cs="Arial"/>
              </w:rPr>
              <w:t>$1,127,712</w:t>
            </w:r>
          </w:p>
        </w:tc>
      </w:tr>
      <w:tr w:rsidR="00B7394C" w:rsidRPr="00B7394C" w14:paraId="670A0A82" w14:textId="77777777" w:rsidTr="007E438A">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0A7E" w14:textId="77777777" w:rsidR="00B24741" w:rsidRPr="007E438A" w:rsidRDefault="00B24741" w:rsidP="00B24741">
            <w:pPr>
              <w:spacing w:after="0" w:line="240" w:lineRule="auto"/>
              <w:rPr>
                <w:rFonts w:ascii="Arial" w:hAnsi="Arial" w:cs="Arial"/>
              </w:rPr>
            </w:pPr>
            <w:r w:rsidRPr="007E438A">
              <w:rPr>
                <w:rFonts w:ascii="Arial" w:hAnsi="Arial" w:cs="Arial"/>
              </w:rPr>
              <w:t>Non-residential</w:t>
            </w:r>
            <w:r w:rsidR="00DE0163">
              <w:rPr>
                <w:rFonts w:ascii="Arial" w:hAnsi="Arial" w:cs="Arial"/>
              </w:rPr>
              <w:t xml:space="preserve"> (Energy Trust)</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70A0A7F"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$414,087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14:paraId="670A0A80"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$433,412</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70A0A81" w14:textId="77777777" w:rsidR="00B24741" w:rsidRPr="007E438A" w:rsidRDefault="00B24741" w:rsidP="00B24741">
            <w:pPr>
              <w:spacing w:after="0" w:line="240" w:lineRule="auto"/>
              <w:rPr>
                <w:rFonts w:ascii="Arial" w:hAnsi="Arial" w:cs="Arial"/>
              </w:rPr>
            </w:pPr>
            <w:r w:rsidRPr="007E438A">
              <w:rPr>
                <w:rFonts w:ascii="Arial" w:hAnsi="Arial" w:cs="Arial"/>
              </w:rPr>
              <w:t>$</w:t>
            </w:r>
            <w:r w:rsidR="00D002F7">
              <w:rPr>
                <w:rFonts w:ascii="Arial" w:hAnsi="Arial" w:cs="Arial"/>
              </w:rPr>
              <w:t xml:space="preserve">   </w:t>
            </w:r>
            <w:r w:rsidRPr="007E438A">
              <w:rPr>
                <w:rFonts w:ascii="Arial" w:hAnsi="Arial" w:cs="Arial"/>
              </w:rPr>
              <w:t>847,499</w:t>
            </w:r>
          </w:p>
        </w:tc>
      </w:tr>
      <w:tr w:rsidR="0000720B" w:rsidRPr="00B7394C" w14:paraId="670A0A87" w14:textId="77777777" w:rsidTr="00D002F7">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A0A83" w14:textId="77777777" w:rsidR="0000720B" w:rsidRPr="00D002F7" w:rsidRDefault="0000720B" w:rsidP="00B24741">
            <w:pPr>
              <w:spacing w:after="0" w:line="240" w:lineRule="auto"/>
              <w:rPr>
                <w:rFonts w:ascii="Arial" w:hAnsi="Arial" w:cs="Arial"/>
                <w:b/>
              </w:rPr>
            </w:pPr>
            <w:r w:rsidRPr="00D002F7">
              <w:rPr>
                <w:rFonts w:ascii="Arial" w:hAnsi="Arial" w:cs="Arial"/>
                <w:b/>
              </w:rPr>
              <w:t>Total Incentive programs</w:t>
            </w:r>
          </w:p>
        </w:tc>
        <w:tc>
          <w:tcPr>
            <w:tcW w:w="1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A0A84" w14:textId="77777777" w:rsidR="0000720B" w:rsidRPr="00D002F7" w:rsidRDefault="00D002F7" w:rsidP="00B24741">
            <w:pPr>
              <w:spacing w:after="0" w:line="240" w:lineRule="auto"/>
              <w:rPr>
                <w:rFonts w:ascii="Arial" w:hAnsi="Arial" w:cs="Arial"/>
                <w:b/>
              </w:rPr>
            </w:pPr>
            <w:r>
              <w:rPr>
                <w:rFonts w:ascii="Arial" w:hAnsi="Arial" w:cs="Arial"/>
                <w:b/>
                <w:color w:val="000000"/>
              </w:rPr>
              <w:t xml:space="preserve">  </w:t>
            </w:r>
            <w:r w:rsidR="0000720B" w:rsidRPr="00D002F7">
              <w:rPr>
                <w:rFonts w:ascii="Arial" w:hAnsi="Arial" w:cs="Arial"/>
                <w:b/>
                <w:color w:val="000000"/>
              </w:rPr>
              <w:t xml:space="preserve">$889,597 </w:t>
            </w:r>
          </w:p>
        </w:tc>
        <w:tc>
          <w:tcPr>
            <w:tcW w:w="192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A0A85" w14:textId="77777777" w:rsidR="0000720B" w:rsidRPr="00D002F7" w:rsidRDefault="0000720B" w:rsidP="00B24741">
            <w:pPr>
              <w:spacing w:after="0" w:line="240" w:lineRule="auto"/>
              <w:rPr>
                <w:rFonts w:ascii="Arial" w:hAnsi="Arial" w:cs="Arial"/>
                <w:b/>
              </w:rPr>
            </w:pPr>
            <w:r w:rsidRPr="00D002F7">
              <w:rPr>
                <w:rFonts w:ascii="Arial" w:hAnsi="Arial" w:cs="Arial"/>
                <w:b/>
                <w:color w:val="000000"/>
              </w:rPr>
              <w:t xml:space="preserve">$1,085,614 </w:t>
            </w:r>
          </w:p>
        </w:tc>
        <w:tc>
          <w:tcPr>
            <w:tcW w:w="19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0A0A86" w14:textId="77777777" w:rsidR="0000720B" w:rsidRPr="00D002F7" w:rsidRDefault="0000720B" w:rsidP="00B24741">
            <w:pPr>
              <w:spacing w:after="0" w:line="240" w:lineRule="auto"/>
              <w:rPr>
                <w:rFonts w:ascii="Arial" w:hAnsi="Arial" w:cs="Arial"/>
                <w:b/>
              </w:rPr>
            </w:pPr>
            <w:r w:rsidRPr="00D002F7">
              <w:rPr>
                <w:rFonts w:ascii="Arial" w:hAnsi="Arial" w:cs="Arial"/>
                <w:b/>
                <w:color w:val="000000"/>
              </w:rPr>
              <w:t xml:space="preserve">$1,975,211 </w:t>
            </w:r>
          </w:p>
        </w:tc>
      </w:tr>
      <w:tr w:rsidR="00D002F7" w:rsidRPr="00B7394C" w14:paraId="670A0A8C" w14:textId="77777777" w:rsidTr="007E438A">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A0A88" w14:textId="77777777" w:rsidR="00D002F7" w:rsidRPr="007E438A" w:rsidRDefault="00D002F7" w:rsidP="00B24741">
            <w:pPr>
              <w:spacing w:after="0" w:line="240" w:lineRule="auto"/>
              <w:rPr>
                <w:rFonts w:ascii="Arial" w:hAnsi="Arial" w:cs="Arial"/>
              </w:rPr>
            </w:pP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14:paraId="670A0A89" w14:textId="77777777" w:rsidR="00D002F7" w:rsidRDefault="00D002F7" w:rsidP="00B24741">
            <w:pPr>
              <w:spacing w:after="0" w:line="240" w:lineRule="auto"/>
              <w:rPr>
                <w:rFonts w:ascii="Arial" w:hAnsi="Arial" w:cs="Arial"/>
              </w:rPr>
            </w:pPr>
          </w:p>
        </w:tc>
        <w:tc>
          <w:tcPr>
            <w:tcW w:w="1921" w:type="dxa"/>
            <w:tcBorders>
              <w:top w:val="nil"/>
              <w:left w:val="nil"/>
              <w:bottom w:val="single" w:sz="8" w:space="0" w:color="auto"/>
              <w:right w:val="single" w:sz="8" w:space="0" w:color="auto"/>
            </w:tcBorders>
            <w:tcMar>
              <w:top w:w="0" w:type="dxa"/>
              <w:left w:w="108" w:type="dxa"/>
              <w:bottom w:w="0" w:type="dxa"/>
              <w:right w:w="108" w:type="dxa"/>
            </w:tcMar>
          </w:tcPr>
          <w:p w14:paraId="670A0A8A" w14:textId="77777777" w:rsidR="00D002F7" w:rsidRDefault="00D002F7" w:rsidP="00B24741">
            <w:pPr>
              <w:spacing w:after="0" w:line="240" w:lineRule="auto"/>
              <w:rPr>
                <w:rFonts w:ascii="Arial" w:hAnsi="Arial" w:cs="Arial"/>
              </w:rPr>
            </w:pP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14:paraId="670A0A8B" w14:textId="77777777" w:rsidR="00D002F7" w:rsidRPr="007E438A" w:rsidRDefault="00D002F7" w:rsidP="00B24741">
            <w:pPr>
              <w:spacing w:after="0" w:line="240" w:lineRule="auto"/>
              <w:rPr>
                <w:rFonts w:ascii="Arial" w:hAnsi="Arial" w:cs="Arial"/>
              </w:rPr>
            </w:pPr>
          </w:p>
        </w:tc>
      </w:tr>
      <w:tr w:rsidR="00B7394C" w:rsidRPr="00B7394C" w14:paraId="670A0A91" w14:textId="77777777" w:rsidTr="007E438A">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0A8D" w14:textId="77777777" w:rsidR="00B24741" w:rsidRPr="00D002F7" w:rsidRDefault="00B24741" w:rsidP="00D002F7">
            <w:pPr>
              <w:spacing w:after="0" w:line="240" w:lineRule="auto"/>
              <w:rPr>
                <w:rFonts w:ascii="Arial" w:hAnsi="Arial" w:cs="Arial"/>
              </w:rPr>
            </w:pPr>
            <w:r w:rsidRPr="00D002F7">
              <w:rPr>
                <w:rFonts w:ascii="Arial" w:hAnsi="Arial" w:cs="Arial"/>
              </w:rPr>
              <w:t>Low income</w:t>
            </w:r>
            <w:r w:rsidR="00DE0163" w:rsidRPr="00D002F7">
              <w:rPr>
                <w:rFonts w:ascii="Arial" w:hAnsi="Arial" w:cs="Arial"/>
              </w:rPr>
              <w:t xml:space="preserve"> (NW Natural)</w:t>
            </w:r>
          </w:p>
        </w:tc>
        <w:tc>
          <w:tcPr>
            <w:tcW w:w="1992" w:type="dxa"/>
            <w:tcBorders>
              <w:top w:val="nil"/>
              <w:left w:val="nil"/>
              <w:bottom w:val="single" w:sz="8" w:space="0" w:color="auto"/>
              <w:right w:val="single" w:sz="8" w:space="0" w:color="auto"/>
            </w:tcBorders>
            <w:tcMar>
              <w:top w:w="0" w:type="dxa"/>
              <w:left w:w="108" w:type="dxa"/>
              <w:bottom w:w="0" w:type="dxa"/>
              <w:right w:w="108" w:type="dxa"/>
            </w:tcMar>
          </w:tcPr>
          <w:p w14:paraId="670A0A8E"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575F81">
              <w:rPr>
                <w:rFonts w:ascii="Arial" w:hAnsi="Arial" w:cs="Arial"/>
              </w:rPr>
              <w:t>$156,000</w:t>
            </w:r>
          </w:p>
        </w:tc>
        <w:tc>
          <w:tcPr>
            <w:tcW w:w="1921" w:type="dxa"/>
            <w:tcBorders>
              <w:top w:val="nil"/>
              <w:left w:val="nil"/>
              <w:bottom w:val="single" w:sz="8" w:space="0" w:color="auto"/>
              <w:right w:val="single" w:sz="8" w:space="0" w:color="auto"/>
            </w:tcBorders>
            <w:tcMar>
              <w:top w:w="0" w:type="dxa"/>
              <w:left w:w="108" w:type="dxa"/>
              <w:bottom w:w="0" w:type="dxa"/>
              <w:right w:w="108" w:type="dxa"/>
            </w:tcMar>
          </w:tcPr>
          <w:p w14:paraId="670A0A8F" w14:textId="77777777" w:rsidR="00B24741" w:rsidRPr="00D002F7" w:rsidRDefault="000934E7" w:rsidP="00D002F7">
            <w:pPr>
              <w:spacing w:after="0" w:line="240" w:lineRule="auto"/>
              <w:rPr>
                <w:rFonts w:ascii="Arial" w:hAnsi="Arial" w:cs="Arial"/>
              </w:rPr>
            </w:pPr>
            <w:r>
              <w:rPr>
                <w:rFonts w:ascii="Arial" w:hAnsi="Arial" w:cs="Arial"/>
              </w:rPr>
              <w:t xml:space="preserve">  $ *</w:t>
            </w:r>
            <w:r w:rsidR="00575F81" w:rsidRPr="00D002F7">
              <w:rPr>
                <w:rFonts w:ascii="Arial" w:hAnsi="Arial" w:cs="Arial"/>
              </w:rPr>
              <w:t>30,638</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70A0A90"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$186,638</w:t>
            </w:r>
          </w:p>
        </w:tc>
      </w:tr>
      <w:tr w:rsidR="00B7394C" w:rsidRPr="00B7394C" w14:paraId="670A0A96" w14:textId="77777777" w:rsidTr="007E438A">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0A92" w14:textId="77777777" w:rsidR="00B24741" w:rsidRPr="007E438A" w:rsidRDefault="00B24741" w:rsidP="00B24741">
            <w:pPr>
              <w:spacing w:after="0" w:line="240" w:lineRule="auto"/>
              <w:rPr>
                <w:rFonts w:ascii="Arial" w:hAnsi="Arial" w:cs="Arial"/>
              </w:rPr>
            </w:pPr>
            <w:r w:rsidRPr="007E438A">
              <w:rPr>
                <w:rFonts w:ascii="Arial" w:hAnsi="Arial" w:cs="Arial"/>
              </w:rPr>
              <w:t xml:space="preserve">NEEA </w:t>
            </w:r>
            <w:r w:rsidR="00DE0163">
              <w:rPr>
                <w:rFonts w:ascii="Arial" w:hAnsi="Arial" w:cs="Arial"/>
              </w:rPr>
              <w:t>(Energy Trust)</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70A0A93"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14:paraId="670A0A94"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B24741" w:rsidRPr="007E438A">
              <w:rPr>
                <w:rFonts w:ascii="Arial" w:hAnsi="Arial" w:cs="Arial"/>
              </w:rPr>
              <w:t>$</w:t>
            </w:r>
            <w:r w:rsidR="000934E7">
              <w:rPr>
                <w:rFonts w:ascii="Arial" w:hAnsi="Arial" w:cs="Arial"/>
              </w:rPr>
              <w:t xml:space="preserve"> </w:t>
            </w:r>
            <w:r w:rsidR="00B24741" w:rsidRPr="007E438A">
              <w:rPr>
                <w:rFonts w:ascii="Arial" w:hAnsi="Arial" w:cs="Arial"/>
              </w:rPr>
              <w:t>108,564</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70A0A95" w14:textId="77777777" w:rsidR="00B24741" w:rsidRPr="007E438A" w:rsidRDefault="00D002F7" w:rsidP="00B24741">
            <w:pPr>
              <w:spacing w:after="0" w:line="240" w:lineRule="auto"/>
              <w:rPr>
                <w:rFonts w:ascii="Arial" w:hAnsi="Arial" w:cs="Arial"/>
              </w:rPr>
            </w:pPr>
            <w:r>
              <w:rPr>
                <w:rFonts w:ascii="Arial" w:hAnsi="Arial" w:cs="Arial"/>
              </w:rPr>
              <w:t xml:space="preserve">  </w:t>
            </w:r>
            <w:r w:rsidR="0000720B">
              <w:rPr>
                <w:rFonts w:ascii="Arial" w:hAnsi="Arial" w:cs="Arial"/>
              </w:rPr>
              <w:t>*</w:t>
            </w:r>
            <w:r w:rsidR="000934E7">
              <w:rPr>
                <w:rFonts w:ascii="Arial" w:hAnsi="Arial" w:cs="Arial"/>
              </w:rPr>
              <w:t>*</w:t>
            </w:r>
            <w:r w:rsidR="00B24741" w:rsidRPr="007E438A">
              <w:rPr>
                <w:rFonts w:ascii="Arial" w:hAnsi="Arial" w:cs="Arial"/>
              </w:rPr>
              <w:t>$108,564</w:t>
            </w:r>
          </w:p>
        </w:tc>
      </w:tr>
    </w:tbl>
    <w:p w14:paraId="670A0A97" w14:textId="77777777" w:rsidR="000934E7" w:rsidRDefault="000934E7" w:rsidP="000934E7">
      <w:pPr>
        <w:spacing w:after="0" w:line="240" w:lineRule="auto"/>
        <w:ind w:left="180" w:hanging="180"/>
        <w:rPr>
          <w:rFonts w:ascii="Arial" w:hAnsi="Arial" w:cs="Arial"/>
          <w:i/>
        </w:rPr>
      </w:pPr>
      <w:r>
        <w:rPr>
          <w:rFonts w:ascii="Arial" w:hAnsi="Arial" w:cs="Arial"/>
          <w:i/>
        </w:rPr>
        <w:t xml:space="preserve">  *NWN administrative costs are included in “Other Costs” to parallel figures in the 2017 plan.    However, we have since found documentation where the UTC requested this </w:t>
      </w:r>
      <w:r w:rsidRPr="000934E7">
        <w:rPr>
          <w:rFonts w:ascii="Arial" w:hAnsi="Arial" w:cs="Arial"/>
        </w:rPr>
        <w:t xml:space="preserve">not </w:t>
      </w:r>
      <w:r>
        <w:rPr>
          <w:rFonts w:ascii="Arial" w:hAnsi="Arial" w:cs="Arial"/>
          <w:i/>
        </w:rPr>
        <w:t xml:space="preserve">be included; as such, it has been and will be eliminated from “other costs” in UTC data requests </w:t>
      </w:r>
    </w:p>
    <w:p w14:paraId="670A0A98" w14:textId="77777777" w:rsidR="00B24741" w:rsidRPr="007E438A" w:rsidRDefault="00473DC1" w:rsidP="00B24741">
      <w:pPr>
        <w:spacing w:after="0" w:line="240" w:lineRule="auto"/>
        <w:rPr>
          <w:rFonts w:ascii="Arial" w:hAnsi="Arial" w:cs="Arial"/>
          <w:i/>
        </w:rPr>
      </w:pPr>
      <w:r w:rsidRPr="007E438A">
        <w:rPr>
          <w:rFonts w:ascii="Arial" w:hAnsi="Arial" w:cs="Arial"/>
          <w:i/>
        </w:rPr>
        <w:t>*</w:t>
      </w:r>
      <w:r w:rsidR="000934E7">
        <w:rPr>
          <w:rFonts w:ascii="Arial" w:hAnsi="Arial" w:cs="Arial"/>
          <w:i/>
        </w:rPr>
        <w:t>*</w:t>
      </w:r>
      <w:r w:rsidRPr="007E438A">
        <w:rPr>
          <w:rFonts w:ascii="Arial" w:hAnsi="Arial" w:cs="Arial"/>
          <w:i/>
        </w:rPr>
        <w:t>NEEA is excluded from the total budget per WUTC direction</w:t>
      </w:r>
    </w:p>
    <w:p w14:paraId="670A0A99" w14:textId="77777777" w:rsidR="00473DC1" w:rsidRDefault="00473DC1" w:rsidP="00B24741">
      <w:pPr>
        <w:spacing w:after="0" w:line="240" w:lineRule="auto"/>
        <w:rPr>
          <w:rFonts w:ascii="Arial" w:hAnsi="Arial" w:cs="Arial"/>
        </w:rPr>
      </w:pPr>
    </w:p>
    <w:p w14:paraId="670A0A9A" w14:textId="77777777" w:rsidR="000934E7" w:rsidRDefault="000934E7" w:rsidP="009462B7">
      <w:pPr>
        <w:spacing w:after="0" w:line="240" w:lineRule="auto"/>
        <w:rPr>
          <w:rFonts w:ascii="Arial" w:hAnsi="Arial" w:cs="Arial"/>
          <w:b/>
        </w:rPr>
      </w:pPr>
    </w:p>
    <w:p w14:paraId="670A0A9B" w14:textId="77777777" w:rsidR="009462B7" w:rsidRDefault="009462B7" w:rsidP="009462B7">
      <w:pPr>
        <w:spacing w:after="0" w:line="240" w:lineRule="auto"/>
        <w:rPr>
          <w:rFonts w:ascii="Arial" w:hAnsi="Arial" w:cs="Arial"/>
          <w:b/>
        </w:rPr>
      </w:pPr>
      <w:r>
        <w:rPr>
          <w:rFonts w:ascii="Arial" w:hAnsi="Arial" w:cs="Arial"/>
          <w:b/>
        </w:rPr>
        <w:t>Energy Trust 2017 Program</w:t>
      </w:r>
      <w:r w:rsidR="000F2032">
        <w:rPr>
          <w:rFonts w:ascii="Arial" w:hAnsi="Arial" w:cs="Arial"/>
          <w:b/>
        </w:rPr>
        <w:t xml:space="preserve"> Delivery</w:t>
      </w:r>
      <w:r>
        <w:rPr>
          <w:rFonts w:ascii="Arial" w:hAnsi="Arial" w:cs="Arial"/>
          <w:b/>
        </w:rPr>
        <w:t xml:space="preserve"> for NW Natural’s Conservation Portfolio</w:t>
      </w:r>
    </w:p>
    <w:p w14:paraId="670A0A9C" w14:textId="77777777" w:rsidR="00D006BC" w:rsidRDefault="00E319CA" w:rsidP="007E438A">
      <w:pPr>
        <w:spacing w:after="0"/>
        <w:rPr>
          <w:rFonts w:ascii="Arial" w:hAnsi="Arial" w:cs="Arial"/>
        </w:rPr>
      </w:pPr>
      <w:r>
        <w:rPr>
          <w:rFonts w:ascii="Arial" w:hAnsi="Arial" w:cs="Arial"/>
        </w:rPr>
        <w:t>Energy Trust is delivering a</w:t>
      </w:r>
      <w:r w:rsidR="00ED6B12" w:rsidRPr="00002459">
        <w:rPr>
          <w:rFonts w:ascii="Arial" w:hAnsi="Arial" w:cs="Arial"/>
        </w:rPr>
        <w:t xml:space="preserve"> small, gas-only program </w:t>
      </w:r>
      <w:r>
        <w:rPr>
          <w:rFonts w:ascii="Arial" w:hAnsi="Arial" w:cs="Arial"/>
        </w:rPr>
        <w:t xml:space="preserve">that </w:t>
      </w:r>
      <w:r w:rsidR="00ED6B12" w:rsidRPr="00002459">
        <w:rPr>
          <w:rFonts w:ascii="Arial" w:hAnsi="Arial" w:cs="Arial"/>
        </w:rPr>
        <w:t xml:space="preserve">does not have the same economies of scale as other utility-run programs, </w:t>
      </w:r>
      <w:r>
        <w:rPr>
          <w:rFonts w:ascii="Arial" w:hAnsi="Arial" w:cs="Arial"/>
        </w:rPr>
        <w:t>including</w:t>
      </w:r>
      <w:r w:rsidR="00ED6B12" w:rsidRPr="00002459">
        <w:rPr>
          <w:rFonts w:ascii="Arial" w:hAnsi="Arial" w:cs="Arial"/>
        </w:rPr>
        <w:t xml:space="preserve"> Energy Trust’s Oregon programs.</w:t>
      </w:r>
      <w:r>
        <w:rPr>
          <w:rFonts w:ascii="Arial" w:hAnsi="Arial" w:cs="Arial"/>
        </w:rPr>
        <w:t xml:space="preserve"> </w:t>
      </w:r>
      <w:r w:rsidR="002E4D7C">
        <w:rPr>
          <w:rFonts w:ascii="Arial" w:hAnsi="Arial" w:cs="Arial"/>
        </w:rPr>
        <w:t>Energy Trust is</w:t>
      </w:r>
      <w:r w:rsidR="00B03DF0">
        <w:rPr>
          <w:rFonts w:ascii="Arial" w:hAnsi="Arial" w:cs="Arial"/>
        </w:rPr>
        <w:t xml:space="preserve"> providing programs </w:t>
      </w:r>
      <w:r w:rsidR="00481198">
        <w:rPr>
          <w:rFonts w:ascii="Arial" w:hAnsi="Arial" w:cs="Arial"/>
        </w:rPr>
        <w:t xml:space="preserve">for a single utility </w:t>
      </w:r>
      <w:r w:rsidR="00B03DF0">
        <w:rPr>
          <w:rFonts w:ascii="Arial" w:hAnsi="Arial" w:cs="Arial"/>
        </w:rPr>
        <w:t>in a market with</w:t>
      </w:r>
      <w:r>
        <w:rPr>
          <w:rFonts w:ascii="Arial" w:hAnsi="Arial" w:cs="Arial"/>
        </w:rPr>
        <w:t xml:space="preserve"> a small customer base and associated savings</w:t>
      </w:r>
      <w:r w:rsidR="00D006BC">
        <w:rPr>
          <w:rFonts w:ascii="Arial" w:hAnsi="Arial" w:cs="Arial"/>
        </w:rPr>
        <w:t>,</w:t>
      </w:r>
      <w:r>
        <w:rPr>
          <w:rFonts w:ascii="Arial" w:hAnsi="Arial" w:cs="Arial"/>
        </w:rPr>
        <w:t xml:space="preserve"> as well as </w:t>
      </w:r>
      <w:r w:rsidR="00B03DF0">
        <w:rPr>
          <w:rFonts w:ascii="Arial" w:hAnsi="Arial" w:cs="Arial"/>
        </w:rPr>
        <w:t>during a time challenged by the low cost of natural gas impacting the business case to invest.</w:t>
      </w:r>
      <w:r w:rsidR="00ED6B12" w:rsidRPr="00002459">
        <w:rPr>
          <w:rFonts w:ascii="Arial" w:hAnsi="Arial" w:cs="Arial"/>
        </w:rPr>
        <w:t xml:space="preserve"> </w:t>
      </w:r>
      <w:r w:rsidR="00B33AB6">
        <w:rPr>
          <w:rFonts w:ascii="Arial" w:hAnsi="Arial" w:cs="Arial"/>
        </w:rPr>
        <w:t xml:space="preserve">The unique challenge is that </w:t>
      </w:r>
      <w:r w:rsidR="00713AA5">
        <w:rPr>
          <w:rFonts w:ascii="Arial" w:hAnsi="Arial" w:cs="Arial"/>
        </w:rPr>
        <w:t>s</w:t>
      </w:r>
      <w:r w:rsidR="00481198">
        <w:rPr>
          <w:rFonts w:ascii="Arial" w:hAnsi="Arial" w:cs="Arial"/>
        </w:rPr>
        <w:t>avings must be great enough to support all costs as opposed to split</w:t>
      </w:r>
      <w:r w:rsidR="009605FC">
        <w:rPr>
          <w:rFonts w:ascii="Arial" w:hAnsi="Arial" w:cs="Arial"/>
        </w:rPr>
        <w:t>ting delivery, support and administrative</w:t>
      </w:r>
      <w:r w:rsidR="00481198">
        <w:rPr>
          <w:rFonts w:ascii="Arial" w:hAnsi="Arial" w:cs="Arial"/>
        </w:rPr>
        <w:t xml:space="preserve"> </w:t>
      </w:r>
      <w:r w:rsidR="009605FC">
        <w:rPr>
          <w:rFonts w:ascii="Arial" w:hAnsi="Arial" w:cs="Arial"/>
        </w:rPr>
        <w:t xml:space="preserve">costs </w:t>
      </w:r>
      <w:r w:rsidR="00481198">
        <w:rPr>
          <w:rFonts w:ascii="Arial" w:hAnsi="Arial" w:cs="Arial"/>
        </w:rPr>
        <w:t>between gas and electric savings.</w:t>
      </w:r>
    </w:p>
    <w:p w14:paraId="670A0A9D" w14:textId="77777777" w:rsidR="00D006BC" w:rsidRDefault="00D006BC" w:rsidP="007E438A">
      <w:pPr>
        <w:spacing w:after="0"/>
        <w:rPr>
          <w:rFonts w:ascii="Arial" w:hAnsi="Arial" w:cs="Arial"/>
        </w:rPr>
      </w:pPr>
    </w:p>
    <w:p w14:paraId="670A0A9E" w14:textId="77777777" w:rsidR="00357040" w:rsidRDefault="00713AA5" w:rsidP="007E438A">
      <w:pPr>
        <w:rPr>
          <w:rFonts w:ascii="Arial" w:hAnsi="Arial" w:cs="Arial"/>
        </w:rPr>
      </w:pPr>
      <w:r>
        <w:rPr>
          <w:rFonts w:ascii="Arial" w:hAnsi="Arial" w:cs="Arial"/>
        </w:rPr>
        <w:t xml:space="preserve">Energy Trust </w:t>
      </w:r>
      <w:r w:rsidR="00CD3D6A">
        <w:rPr>
          <w:rFonts w:ascii="Arial" w:hAnsi="Arial" w:cs="Arial"/>
        </w:rPr>
        <w:t>2017 budgeted expenditures</w:t>
      </w:r>
      <w:r w:rsidR="0064793B">
        <w:rPr>
          <w:rFonts w:ascii="Arial" w:hAnsi="Arial" w:cs="Arial"/>
        </w:rPr>
        <w:t xml:space="preserve"> </w:t>
      </w:r>
      <w:r w:rsidR="00D006BC">
        <w:rPr>
          <w:rFonts w:ascii="Arial" w:hAnsi="Arial" w:cs="Arial"/>
        </w:rPr>
        <w:t xml:space="preserve">of $889,597 </w:t>
      </w:r>
      <w:r w:rsidR="00C42A87">
        <w:rPr>
          <w:rFonts w:ascii="Arial" w:hAnsi="Arial" w:cs="Arial"/>
        </w:rPr>
        <w:t xml:space="preserve">under “Direct Benefits to Customers” </w:t>
      </w:r>
      <w:r w:rsidR="0064793B">
        <w:rPr>
          <w:rFonts w:ascii="Arial" w:hAnsi="Arial" w:cs="Arial"/>
        </w:rPr>
        <w:t>reflect</w:t>
      </w:r>
      <w:r w:rsidR="00611107">
        <w:rPr>
          <w:rFonts w:ascii="Arial" w:hAnsi="Arial" w:cs="Arial"/>
        </w:rPr>
        <w:t xml:space="preserve"> </w:t>
      </w:r>
      <w:r w:rsidR="000C7BB4">
        <w:rPr>
          <w:rFonts w:ascii="Arial" w:hAnsi="Arial" w:cs="Arial"/>
        </w:rPr>
        <w:t xml:space="preserve">a 22% increase over 2016 and include: </w:t>
      </w:r>
    </w:p>
    <w:p w14:paraId="670A0A9F" w14:textId="77777777" w:rsidR="00E367A8" w:rsidRDefault="00357040" w:rsidP="007E438A">
      <w:pPr>
        <w:pStyle w:val="ListParagraph"/>
        <w:numPr>
          <w:ilvl w:val="0"/>
          <w:numId w:val="17"/>
        </w:numPr>
        <w:rPr>
          <w:rFonts w:ascii="Arial" w:hAnsi="Arial" w:cs="Arial"/>
        </w:rPr>
      </w:pPr>
      <w:r>
        <w:rPr>
          <w:rFonts w:ascii="Arial" w:hAnsi="Arial" w:cs="Arial"/>
        </w:rPr>
        <w:t>C</w:t>
      </w:r>
      <w:r w:rsidR="0064793B" w:rsidRPr="007E438A">
        <w:rPr>
          <w:rFonts w:ascii="Arial" w:hAnsi="Arial" w:cs="Arial"/>
        </w:rPr>
        <w:t xml:space="preserve">ash incentives </w:t>
      </w:r>
      <w:r w:rsidR="00824B9C" w:rsidRPr="007E438A">
        <w:rPr>
          <w:rFonts w:ascii="Arial" w:hAnsi="Arial" w:cs="Arial"/>
        </w:rPr>
        <w:t xml:space="preserve">for residential weatherization and heating measures, performance-based residential new construction incentives, and </w:t>
      </w:r>
    </w:p>
    <w:p w14:paraId="670A0AA0" w14:textId="77777777" w:rsidR="00357040" w:rsidRDefault="00E367A8" w:rsidP="007E438A">
      <w:pPr>
        <w:pStyle w:val="ListParagraph"/>
        <w:numPr>
          <w:ilvl w:val="0"/>
          <w:numId w:val="17"/>
        </w:numPr>
        <w:rPr>
          <w:rFonts w:ascii="Arial" w:hAnsi="Arial" w:cs="Arial"/>
        </w:rPr>
      </w:pPr>
      <w:r>
        <w:rPr>
          <w:rFonts w:ascii="Arial" w:hAnsi="Arial" w:cs="Arial"/>
        </w:rPr>
        <w:lastRenderedPageBreak/>
        <w:t>C</w:t>
      </w:r>
      <w:r w:rsidR="00CD3D6A" w:rsidRPr="007E438A">
        <w:rPr>
          <w:rFonts w:ascii="Arial" w:hAnsi="Arial" w:cs="Arial"/>
        </w:rPr>
        <w:t xml:space="preserve">ash incentives for </w:t>
      </w:r>
      <w:r w:rsidR="00824B9C" w:rsidRPr="007E438A">
        <w:rPr>
          <w:rFonts w:ascii="Arial" w:hAnsi="Arial" w:cs="Arial"/>
        </w:rPr>
        <w:t>custom and prescriptive non-residential measures</w:t>
      </w:r>
      <w:r w:rsidR="00CB1D07" w:rsidRPr="007E438A">
        <w:rPr>
          <w:rFonts w:ascii="Arial" w:hAnsi="Arial" w:cs="Arial"/>
        </w:rPr>
        <w:t xml:space="preserve"> in greenhouses, multifamily buildings, </w:t>
      </w:r>
      <w:r w:rsidR="00C8039F" w:rsidRPr="007E438A">
        <w:rPr>
          <w:rFonts w:ascii="Arial" w:hAnsi="Arial" w:cs="Arial"/>
        </w:rPr>
        <w:t xml:space="preserve">government buildings, </w:t>
      </w:r>
      <w:r w:rsidR="00CB1D07" w:rsidRPr="007E438A">
        <w:rPr>
          <w:rFonts w:ascii="Arial" w:hAnsi="Arial" w:cs="Arial"/>
        </w:rPr>
        <w:t>and existi</w:t>
      </w:r>
      <w:r w:rsidR="00357040" w:rsidRPr="00357040">
        <w:rPr>
          <w:rFonts w:ascii="Arial" w:hAnsi="Arial" w:cs="Arial"/>
        </w:rPr>
        <w:t>ng and new commercial buildings</w:t>
      </w:r>
    </w:p>
    <w:p w14:paraId="670A0AA1" w14:textId="77777777" w:rsidR="00357040" w:rsidRDefault="00357040" w:rsidP="007E438A">
      <w:pPr>
        <w:pStyle w:val="ListParagraph"/>
        <w:numPr>
          <w:ilvl w:val="0"/>
          <w:numId w:val="17"/>
        </w:numPr>
        <w:rPr>
          <w:rFonts w:ascii="Arial" w:hAnsi="Arial" w:cs="Arial"/>
        </w:rPr>
      </w:pPr>
      <w:r>
        <w:rPr>
          <w:rFonts w:ascii="Arial" w:hAnsi="Arial" w:cs="Arial"/>
        </w:rPr>
        <w:t>F</w:t>
      </w:r>
      <w:r w:rsidR="00824B9C" w:rsidRPr="007E438A">
        <w:rPr>
          <w:rFonts w:ascii="Arial" w:hAnsi="Arial" w:cs="Arial"/>
        </w:rPr>
        <w:t xml:space="preserve">ree </w:t>
      </w:r>
      <w:r w:rsidR="00CD3D6A" w:rsidRPr="007E438A">
        <w:rPr>
          <w:rFonts w:ascii="Arial" w:hAnsi="Arial" w:cs="Arial"/>
        </w:rPr>
        <w:t>instant-savings</w:t>
      </w:r>
      <w:r w:rsidR="00824B9C" w:rsidRPr="007E438A">
        <w:rPr>
          <w:rFonts w:ascii="Arial" w:hAnsi="Arial" w:cs="Arial"/>
        </w:rPr>
        <w:t xml:space="preserve"> measures provided to residential customers in Energy Saver Kits and LivingWise Kits</w:t>
      </w:r>
    </w:p>
    <w:p w14:paraId="670A0AA2" w14:textId="77777777" w:rsidR="00357040" w:rsidRDefault="00357040" w:rsidP="007E438A">
      <w:pPr>
        <w:pStyle w:val="ListParagraph"/>
        <w:numPr>
          <w:ilvl w:val="0"/>
          <w:numId w:val="17"/>
        </w:numPr>
        <w:rPr>
          <w:rFonts w:ascii="Arial" w:hAnsi="Arial" w:cs="Arial"/>
        </w:rPr>
      </w:pPr>
      <w:r>
        <w:rPr>
          <w:rFonts w:ascii="Arial" w:hAnsi="Arial" w:cs="Arial"/>
        </w:rPr>
        <w:t>F</w:t>
      </w:r>
      <w:r w:rsidR="00CD3D6A" w:rsidRPr="007E438A">
        <w:rPr>
          <w:rFonts w:ascii="Arial" w:hAnsi="Arial" w:cs="Arial"/>
        </w:rPr>
        <w:t>ree instant-savings measures</w:t>
      </w:r>
      <w:r w:rsidR="00CB1D07" w:rsidRPr="007E438A">
        <w:rPr>
          <w:rFonts w:ascii="Arial" w:hAnsi="Arial" w:cs="Arial"/>
        </w:rPr>
        <w:t xml:space="preserve"> </w:t>
      </w:r>
      <w:r w:rsidR="00CD3D6A" w:rsidRPr="007E438A">
        <w:rPr>
          <w:rFonts w:ascii="Arial" w:hAnsi="Arial" w:cs="Arial"/>
        </w:rPr>
        <w:t>distributed to</w:t>
      </w:r>
      <w:r w:rsidR="00CB1D07" w:rsidRPr="007E438A">
        <w:rPr>
          <w:rFonts w:ascii="Arial" w:hAnsi="Arial" w:cs="Arial"/>
        </w:rPr>
        <w:t xml:space="preserve"> non-residential customers</w:t>
      </w:r>
    </w:p>
    <w:p w14:paraId="670A0AA3" w14:textId="77777777" w:rsidR="00357040" w:rsidRDefault="00357040" w:rsidP="007E438A">
      <w:pPr>
        <w:pStyle w:val="ListParagraph"/>
        <w:numPr>
          <w:ilvl w:val="0"/>
          <w:numId w:val="17"/>
        </w:numPr>
        <w:rPr>
          <w:rFonts w:ascii="Arial" w:hAnsi="Arial" w:cs="Arial"/>
        </w:rPr>
      </w:pPr>
      <w:r>
        <w:rPr>
          <w:rFonts w:ascii="Arial" w:hAnsi="Arial" w:cs="Arial"/>
        </w:rPr>
        <w:t>R</w:t>
      </w:r>
      <w:r w:rsidR="00824B9C" w:rsidRPr="007E438A">
        <w:rPr>
          <w:rFonts w:ascii="Arial" w:hAnsi="Arial" w:cs="Arial"/>
        </w:rPr>
        <w:t>etail showerhead buy-</w:t>
      </w:r>
      <w:r>
        <w:rPr>
          <w:rFonts w:ascii="Arial" w:hAnsi="Arial" w:cs="Arial"/>
        </w:rPr>
        <w:t>downs</w:t>
      </w:r>
    </w:p>
    <w:p w14:paraId="670A0AA4" w14:textId="77777777" w:rsidR="00357040" w:rsidRDefault="00357040" w:rsidP="007E438A">
      <w:pPr>
        <w:pStyle w:val="ListParagraph"/>
        <w:numPr>
          <w:ilvl w:val="0"/>
          <w:numId w:val="17"/>
        </w:numPr>
        <w:rPr>
          <w:rFonts w:ascii="Arial" w:hAnsi="Arial" w:cs="Arial"/>
        </w:rPr>
      </w:pPr>
      <w:r>
        <w:rPr>
          <w:rFonts w:ascii="Arial" w:hAnsi="Arial" w:cs="Arial"/>
        </w:rPr>
        <w:t>R</w:t>
      </w:r>
      <w:r w:rsidR="00824B9C" w:rsidRPr="007E438A">
        <w:rPr>
          <w:rFonts w:ascii="Arial" w:hAnsi="Arial" w:cs="Arial"/>
        </w:rPr>
        <w:t>etail and distributor midstream incentives</w:t>
      </w:r>
    </w:p>
    <w:p w14:paraId="670A0AA5" w14:textId="77777777" w:rsidR="00357040" w:rsidRDefault="00357040" w:rsidP="007E438A">
      <w:pPr>
        <w:pStyle w:val="ListParagraph"/>
        <w:numPr>
          <w:ilvl w:val="0"/>
          <w:numId w:val="17"/>
        </w:numPr>
        <w:rPr>
          <w:rFonts w:ascii="Arial" w:hAnsi="Arial" w:cs="Arial"/>
        </w:rPr>
      </w:pPr>
      <w:r>
        <w:rPr>
          <w:rFonts w:ascii="Arial" w:hAnsi="Arial" w:cs="Arial"/>
        </w:rPr>
        <w:t>On-bill repayment</w:t>
      </w:r>
    </w:p>
    <w:p w14:paraId="670A0AA6" w14:textId="77777777" w:rsidR="00357040" w:rsidRDefault="00357040" w:rsidP="007E438A">
      <w:pPr>
        <w:pStyle w:val="ListParagraph"/>
        <w:numPr>
          <w:ilvl w:val="0"/>
          <w:numId w:val="17"/>
        </w:numPr>
        <w:rPr>
          <w:rFonts w:ascii="Arial" w:hAnsi="Arial" w:cs="Arial"/>
        </w:rPr>
      </w:pPr>
      <w:r>
        <w:rPr>
          <w:rFonts w:ascii="Arial" w:hAnsi="Arial" w:cs="Arial"/>
        </w:rPr>
        <w:t>I</w:t>
      </w:r>
      <w:r w:rsidR="00824B9C" w:rsidRPr="007E438A">
        <w:rPr>
          <w:rFonts w:ascii="Arial" w:hAnsi="Arial" w:cs="Arial"/>
        </w:rPr>
        <w:t>ncentives related to pilots</w:t>
      </w:r>
      <w:r w:rsidR="00611107">
        <w:rPr>
          <w:rFonts w:ascii="Arial" w:hAnsi="Arial" w:cs="Arial"/>
        </w:rPr>
        <w:t xml:space="preserve"> </w:t>
      </w:r>
    </w:p>
    <w:p w14:paraId="670A0AA7" w14:textId="77777777" w:rsidR="00357040" w:rsidRDefault="008B2226" w:rsidP="00B24741">
      <w:pPr>
        <w:spacing w:after="0" w:line="240" w:lineRule="auto"/>
        <w:rPr>
          <w:rFonts w:ascii="Arial" w:hAnsi="Arial" w:cs="Arial"/>
        </w:rPr>
      </w:pPr>
      <w:r>
        <w:rPr>
          <w:rFonts w:ascii="Arial" w:hAnsi="Arial" w:cs="Arial"/>
        </w:rPr>
        <w:t xml:space="preserve">Energy Trust </w:t>
      </w:r>
      <w:r w:rsidR="0064793B">
        <w:rPr>
          <w:rFonts w:ascii="Arial" w:hAnsi="Arial" w:cs="Arial"/>
        </w:rPr>
        <w:t>2017</w:t>
      </w:r>
      <w:r w:rsidR="00481198">
        <w:rPr>
          <w:rFonts w:ascii="Arial" w:hAnsi="Arial" w:cs="Arial"/>
        </w:rPr>
        <w:t xml:space="preserve"> budgeted expenditures of $1,085,614 under “Other Costs” </w:t>
      </w:r>
      <w:r w:rsidR="00C8039F">
        <w:rPr>
          <w:rFonts w:ascii="Arial" w:hAnsi="Arial" w:cs="Arial"/>
        </w:rPr>
        <w:t xml:space="preserve">reflect </w:t>
      </w:r>
      <w:r w:rsidR="000C7BB4">
        <w:rPr>
          <w:rFonts w:ascii="Arial" w:hAnsi="Arial" w:cs="Arial"/>
        </w:rPr>
        <w:t xml:space="preserve">an increase of </w:t>
      </w:r>
      <w:r w:rsidR="00433AAA">
        <w:rPr>
          <w:rFonts w:ascii="Arial" w:hAnsi="Arial" w:cs="Arial"/>
        </w:rPr>
        <w:t>23</w:t>
      </w:r>
      <w:r w:rsidR="000C7BB4">
        <w:rPr>
          <w:rFonts w:ascii="Arial" w:hAnsi="Arial" w:cs="Arial"/>
        </w:rPr>
        <w:t xml:space="preserve">% </w:t>
      </w:r>
      <w:r w:rsidR="00433AAA">
        <w:rPr>
          <w:rFonts w:ascii="Arial" w:hAnsi="Arial" w:cs="Arial"/>
        </w:rPr>
        <w:t xml:space="preserve">over 2016 </w:t>
      </w:r>
      <w:r w:rsidR="000C7BB4">
        <w:rPr>
          <w:rFonts w:ascii="Arial" w:hAnsi="Arial" w:cs="Arial"/>
        </w:rPr>
        <w:t xml:space="preserve">and include: </w:t>
      </w:r>
    </w:p>
    <w:p w14:paraId="670A0AA8" w14:textId="77777777" w:rsidR="007974F1" w:rsidRDefault="007974F1" w:rsidP="00B24741">
      <w:pPr>
        <w:spacing w:after="0" w:line="240" w:lineRule="auto"/>
        <w:rPr>
          <w:rFonts w:ascii="Arial" w:hAnsi="Arial" w:cs="Arial"/>
        </w:rPr>
      </w:pPr>
    </w:p>
    <w:p w14:paraId="670A0AA9" w14:textId="77777777" w:rsidR="00357040" w:rsidRDefault="00357040" w:rsidP="007E438A">
      <w:pPr>
        <w:pStyle w:val="ListParagraph"/>
        <w:numPr>
          <w:ilvl w:val="0"/>
          <w:numId w:val="18"/>
        </w:numPr>
        <w:spacing w:after="0" w:line="240" w:lineRule="auto"/>
        <w:rPr>
          <w:rFonts w:ascii="Arial" w:hAnsi="Arial" w:cs="Arial"/>
        </w:rPr>
      </w:pPr>
      <w:r w:rsidRPr="007E438A">
        <w:rPr>
          <w:rFonts w:ascii="Arial" w:hAnsi="Arial" w:cs="Arial"/>
        </w:rPr>
        <w:t>Program Management Contractor</w:t>
      </w:r>
      <w:r>
        <w:rPr>
          <w:rFonts w:ascii="Arial" w:hAnsi="Arial" w:cs="Arial"/>
        </w:rPr>
        <w:t xml:space="preserve"> management, delivery and marketing</w:t>
      </w:r>
    </w:p>
    <w:p w14:paraId="670A0AAA" w14:textId="77777777" w:rsidR="00357040" w:rsidRDefault="00205065" w:rsidP="007E438A">
      <w:pPr>
        <w:pStyle w:val="ListParagraph"/>
        <w:numPr>
          <w:ilvl w:val="0"/>
          <w:numId w:val="18"/>
        </w:numPr>
        <w:spacing w:after="0" w:line="240" w:lineRule="auto"/>
        <w:rPr>
          <w:rFonts w:ascii="Arial" w:hAnsi="Arial" w:cs="Arial"/>
        </w:rPr>
      </w:pPr>
      <w:r>
        <w:rPr>
          <w:rFonts w:ascii="Arial" w:hAnsi="Arial" w:cs="Arial"/>
        </w:rPr>
        <w:t>S</w:t>
      </w:r>
      <w:r w:rsidR="00357040" w:rsidRPr="007E438A">
        <w:rPr>
          <w:rFonts w:ascii="Arial" w:hAnsi="Arial" w:cs="Arial"/>
        </w:rPr>
        <w:t>taff salaries and benefits</w:t>
      </w:r>
    </w:p>
    <w:p w14:paraId="670A0AAB" w14:textId="77777777" w:rsidR="0064793B" w:rsidRDefault="00357040" w:rsidP="007E438A">
      <w:pPr>
        <w:pStyle w:val="ListParagraph"/>
        <w:numPr>
          <w:ilvl w:val="0"/>
          <w:numId w:val="18"/>
        </w:numPr>
        <w:spacing w:after="0" w:line="240" w:lineRule="auto"/>
        <w:rPr>
          <w:rFonts w:ascii="Arial" w:hAnsi="Arial" w:cs="Arial"/>
        </w:rPr>
      </w:pPr>
      <w:r>
        <w:rPr>
          <w:rFonts w:ascii="Arial" w:hAnsi="Arial" w:cs="Arial"/>
        </w:rPr>
        <w:t>S</w:t>
      </w:r>
      <w:r w:rsidRPr="007E438A">
        <w:rPr>
          <w:rFonts w:ascii="Arial" w:hAnsi="Arial" w:cs="Arial"/>
        </w:rPr>
        <w:t>oftware licenses</w:t>
      </w:r>
    </w:p>
    <w:p w14:paraId="670A0AAC" w14:textId="77777777" w:rsidR="00357040" w:rsidRDefault="00205065" w:rsidP="007E438A">
      <w:pPr>
        <w:pStyle w:val="ListParagraph"/>
        <w:numPr>
          <w:ilvl w:val="0"/>
          <w:numId w:val="18"/>
        </w:numPr>
        <w:spacing w:after="0" w:line="240" w:lineRule="auto"/>
        <w:rPr>
          <w:rFonts w:ascii="Arial" w:hAnsi="Arial" w:cs="Arial"/>
        </w:rPr>
      </w:pPr>
      <w:r>
        <w:rPr>
          <w:rFonts w:ascii="Arial" w:hAnsi="Arial" w:cs="Arial"/>
        </w:rPr>
        <w:t>Marketing</w:t>
      </w:r>
      <w:r w:rsidR="009155CF">
        <w:rPr>
          <w:rFonts w:ascii="Arial" w:hAnsi="Arial" w:cs="Arial"/>
        </w:rPr>
        <w:t xml:space="preserve"> </w:t>
      </w:r>
    </w:p>
    <w:p w14:paraId="670A0AAD" w14:textId="77777777" w:rsidR="00205065" w:rsidRDefault="00205065" w:rsidP="007E438A">
      <w:pPr>
        <w:pStyle w:val="ListParagraph"/>
        <w:numPr>
          <w:ilvl w:val="0"/>
          <w:numId w:val="18"/>
        </w:numPr>
        <w:spacing w:after="0" w:line="240" w:lineRule="auto"/>
        <w:rPr>
          <w:rFonts w:ascii="Arial" w:hAnsi="Arial" w:cs="Arial"/>
        </w:rPr>
      </w:pPr>
      <w:r>
        <w:rPr>
          <w:rFonts w:ascii="Arial" w:hAnsi="Arial" w:cs="Arial"/>
        </w:rPr>
        <w:t>Contracts for evaluations and quality assurance services</w:t>
      </w:r>
    </w:p>
    <w:p w14:paraId="670A0AAE" w14:textId="77777777" w:rsidR="00205065" w:rsidRDefault="00205065" w:rsidP="007E438A">
      <w:pPr>
        <w:pStyle w:val="ListParagraph"/>
        <w:numPr>
          <w:ilvl w:val="0"/>
          <w:numId w:val="18"/>
        </w:numPr>
        <w:spacing w:after="0" w:line="240" w:lineRule="auto"/>
        <w:rPr>
          <w:rFonts w:ascii="Arial" w:hAnsi="Arial" w:cs="Arial"/>
        </w:rPr>
      </w:pPr>
      <w:r>
        <w:rPr>
          <w:rFonts w:ascii="Arial" w:hAnsi="Arial" w:cs="Arial"/>
        </w:rPr>
        <w:t xml:space="preserve">Allocated costs from Energy Trust support groups for </w:t>
      </w:r>
      <w:r w:rsidR="00DE3E69">
        <w:rPr>
          <w:rFonts w:ascii="Arial" w:hAnsi="Arial" w:cs="Arial"/>
        </w:rPr>
        <w:t>administration,</w:t>
      </w:r>
      <w:r w:rsidR="00AE69D0">
        <w:rPr>
          <w:rFonts w:ascii="Arial" w:hAnsi="Arial" w:cs="Arial"/>
        </w:rPr>
        <w:t xml:space="preserve"> </w:t>
      </w:r>
      <w:r>
        <w:rPr>
          <w:rFonts w:ascii="Arial" w:hAnsi="Arial" w:cs="Arial"/>
        </w:rPr>
        <w:t>legal services, custom</w:t>
      </w:r>
      <w:r w:rsidR="00DE3E69">
        <w:rPr>
          <w:rFonts w:ascii="Arial" w:hAnsi="Arial" w:cs="Arial"/>
        </w:rPr>
        <w:t>er service, planning,</w:t>
      </w:r>
      <w:r w:rsidR="00AE69D0">
        <w:rPr>
          <w:rFonts w:ascii="Arial" w:hAnsi="Arial" w:cs="Arial"/>
        </w:rPr>
        <w:t xml:space="preserve"> evaluation,</w:t>
      </w:r>
      <w:r w:rsidR="00DE3E69">
        <w:rPr>
          <w:rFonts w:ascii="Arial" w:hAnsi="Arial" w:cs="Arial"/>
        </w:rPr>
        <w:t xml:space="preserve"> reporting</w:t>
      </w:r>
      <w:r w:rsidR="009155CF">
        <w:rPr>
          <w:rFonts w:ascii="Arial" w:hAnsi="Arial" w:cs="Arial"/>
        </w:rPr>
        <w:t>, outreach</w:t>
      </w:r>
      <w:r w:rsidR="00DE3E69">
        <w:rPr>
          <w:rFonts w:ascii="Arial" w:hAnsi="Arial" w:cs="Arial"/>
        </w:rPr>
        <w:t xml:space="preserve"> and</w:t>
      </w:r>
      <w:r>
        <w:rPr>
          <w:rFonts w:ascii="Arial" w:hAnsi="Arial" w:cs="Arial"/>
        </w:rPr>
        <w:t xml:space="preserve"> </w:t>
      </w:r>
      <w:r w:rsidR="00AE69D0">
        <w:rPr>
          <w:rFonts w:ascii="Arial" w:hAnsi="Arial" w:cs="Arial"/>
        </w:rPr>
        <w:t>Trade Ally Network management</w:t>
      </w:r>
    </w:p>
    <w:p w14:paraId="670A0AAF" w14:textId="77777777" w:rsidR="00B33AB6" w:rsidRDefault="00B33AB6" w:rsidP="009462B7">
      <w:pPr>
        <w:spacing w:after="0" w:line="240" w:lineRule="auto"/>
        <w:rPr>
          <w:rFonts w:ascii="Arial" w:hAnsi="Arial" w:cs="Arial"/>
        </w:rPr>
      </w:pPr>
    </w:p>
    <w:p w14:paraId="670A0AB0" w14:textId="77777777" w:rsidR="00611107" w:rsidRDefault="00611107" w:rsidP="009462B7">
      <w:pPr>
        <w:spacing w:after="0" w:line="240" w:lineRule="auto"/>
        <w:rPr>
          <w:rFonts w:ascii="Arial" w:hAnsi="Arial" w:cs="Arial"/>
        </w:rPr>
      </w:pPr>
      <w:r>
        <w:rPr>
          <w:rFonts w:ascii="Arial" w:hAnsi="Arial" w:cs="Arial"/>
        </w:rPr>
        <w:t>The largest increase</w:t>
      </w:r>
      <w:r w:rsidR="00973554">
        <w:rPr>
          <w:rFonts w:ascii="Arial" w:hAnsi="Arial" w:cs="Arial"/>
        </w:rPr>
        <w:t xml:space="preserve">s in </w:t>
      </w:r>
      <w:r w:rsidR="008B2226">
        <w:rPr>
          <w:rFonts w:ascii="Arial" w:hAnsi="Arial" w:cs="Arial"/>
        </w:rPr>
        <w:t xml:space="preserve">overall </w:t>
      </w:r>
      <w:r w:rsidR="00973554">
        <w:rPr>
          <w:rFonts w:ascii="Arial" w:hAnsi="Arial" w:cs="Arial"/>
        </w:rPr>
        <w:t>budget</w:t>
      </w:r>
      <w:r w:rsidR="00551D84">
        <w:rPr>
          <w:rFonts w:ascii="Arial" w:hAnsi="Arial" w:cs="Arial"/>
        </w:rPr>
        <w:t>ed expenditures</w:t>
      </w:r>
      <w:r w:rsidR="00973554">
        <w:rPr>
          <w:rFonts w:ascii="Arial" w:hAnsi="Arial" w:cs="Arial"/>
        </w:rPr>
        <w:t xml:space="preserve"> are from incentives</w:t>
      </w:r>
      <w:r w:rsidR="00960708">
        <w:rPr>
          <w:rFonts w:ascii="Arial" w:hAnsi="Arial" w:cs="Arial"/>
        </w:rPr>
        <w:t>, marketing and outreach,</w:t>
      </w:r>
      <w:r w:rsidR="00973554">
        <w:rPr>
          <w:rFonts w:ascii="Arial" w:hAnsi="Arial" w:cs="Arial"/>
        </w:rPr>
        <w:t xml:space="preserve"> and allocated Energy Trust-internal costs,</w:t>
      </w:r>
      <w:r>
        <w:rPr>
          <w:rFonts w:ascii="Arial" w:hAnsi="Arial" w:cs="Arial"/>
        </w:rPr>
        <w:t xml:space="preserve"> specifically</w:t>
      </w:r>
      <w:r w:rsidR="00960708">
        <w:rPr>
          <w:rFonts w:ascii="Arial" w:hAnsi="Arial" w:cs="Arial"/>
        </w:rPr>
        <w:t xml:space="preserve"> planning and evaluation services.</w:t>
      </w:r>
      <w:r w:rsidR="00761763">
        <w:rPr>
          <w:rFonts w:ascii="Arial" w:hAnsi="Arial" w:cs="Arial"/>
        </w:rPr>
        <w:t xml:space="preserve"> </w:t>
      </w:r>
      <w:r w:rsidR="00E367A8">
        <w:rPr>
          <w:rFonts w:ascii="Arial" w:hAnsi="Arial" w:cs="Arial"/>
        </w:rPr>
        <w:t xml:space="preserve">Per direction from the UTC, </w:t>
      </w:r>
      <w:r w:rsidR="00761763">
        <w:rPr>
          <w:rFonts w:ascii="Arial" w:hAnsi="Arial" w:cs="Arial"/>
        </w:rPr>
        <w:t>Energy Trust will develop Washington-only avoided cost calculations and individual reviews of each measure offered in the state</w:t>
      </w:r>
      <w:r w:rsidR="00E367A8" w:rsidRPr="00E367A8">
        <w:rPr>
          <w:rFonts w:ascii="Arial" w:hAnsi="Arial" w:cs="Arial"/>
        </w:rPr>
        <w:t xml:space="preserve"> </w:t>
      </w:r>
      <w:r w:rsidR="00E367A8">
        <w:rPr>
          <w:rFonts w:ascii="Arial" w:hAnsi="Arial" w:cs="Arial"/>
        </w:rPr>
        <w:t>for the 2017 program year</w:t>
      </w:r>
      <w:r w:rsidR="00761763">
        <w:rPr>
          <w:rFonts w:ascii="Arial" w:hAnsi="Arial" w:cs="Arial"/>
        </w:rPr>
        <w:t>.</w:t>
      </w:r>
      <w:r w:rsidR="00221544">
        <w:rPr>
          <w:rFonts w:ascii="Arial" w:hAnsi="Arial" w:cs="Arial"/>
        </w:rPr>
        <w:t xml:space="preserve"> The allocation methodology for planning and evaluation work related to Washington programs was also fine-tuned in the last budget cycle.</w:t>
      </w:r>
    </w:p>
    <w:p w14:paraId="670A0AB1" w14:textId="77777777" w:rsidR="00761763" w:rsidRDefault="00761763" w:rsidP="009462B7">
      <w:pPr>
        <w:spacing w:after="0" w:line="240" w:lineRule="auto"/>
        <w:rPr>
          <w:rFonts w:ascii="Arial" w:hAnsi="Arial" w:cs="Arial"/>
        </w:rPr>
      </w:pPr>
    </w:p>
    <w:p w14:paraId="670A0AB2" w14:textId="77777777" w:rsidR="00C00D06" w:rsidRDefault="00420C53" w:rsidP="007E438A">
      <w:pPr>
        <w:spacing w:after="0"/>
        <w:rPr>
          <w:rFonts w:ascii="Arial" w:hAnsi="Arial" w:cs="Arial"/>
          <w:b/>
        </w:rPr>
      </w:pPr>
      <w:r>
        <w:rPr>
          <w:rFonts w:ascii="Arial" w:hAnsi="Arial" w:cs="Arial"/>
          <w:b/>
        </w:rPr>
        <w:t>Benefits and Value from Energy Trust</w:t>
      </w:r>
      <w:r w:rsidR="002A0C16">
        <w:rPr>
          <w:rFonts w:ascii="Arial" w:hAnsi="Arial" w:cs="Arial"/>
          <w:b/>
        </w:rPr>
        <w:t xml:space="preserve"> Program</w:t>
      </w:r>
      <w:r>
        <w:rPr>
          <w:rFonts w:ascii="Arial" w:hAnsi="Arial" w:cs="Arial"/>
          <w:b/>
        </w:rPr>
        <w:t xml:space="preserve"> Delivery</w:t>
      </w:r>
    </w:p>
    <w:p w14:paraId="670A0AB3" w14:textId="77777777" w:rsidR="005B3AD9" w:rsidRPr="001C324E" w:rsidRDefault="005B3AD9" w:rsidP="005B3AD9">
      <w:pPr>
        <w:rPr>
          <w:rFonts w:ascii="Arial" w:hAnsi="Arial" w:cs="Arial"/>
        </w:rPr>
      </w:pPr>
      <w:r w:rsidRPr="001C324E">
        <w:rPr>
          <w:rFonts w:ascii="Arial" w:hAnsi="Arial" w:cs="Arial"/>
        </w:rPr>
        <w:t xml:space="preserve">While incentives are </w:t>
      </w:r>
      <w:r>
        <w:rPr>
          <w:rFonts w:ascii="Arial" w:hAnsi="Arial" w:cs="Arial"/>
        </w:rPr>
        <w:t>one way to</w:t>
      </w:r>
      <w:r w:rsidRPr="001C324E">
        <w:rPr>
          <w:rFonts w:ascii="Arial" w:hAnsi="Arial" w:cs="Arial"/>
        </w:rPr>
        <w:t xml:space="preserve"> measur</w:t>
      </w:r>
      <w:r>
        <w:rPr>
          <w:rFonts w:ascii="Arial" w:hAnsi="Arial" w:cs="Arial"/>
        </w:rPr>
        <w:t>e</w:t>
      </w:r>
      <w:r w:rsidRPr="001C324E">
        <w:rPr>
          <w:rFonts w:ascii="Arial" w:hAnsi="Arial" w:cs="Arial"/>
        </w:rPr>
        <w:t xml:space="preserve"> direct customer benefits, there are some program delivery costs that provide broader market benefits over a longer</w:t>
      </w:r>
      <w:r w:rsidR="00E367A8">
        <w:rPr>
          <w:rFonts w:ascii="Arial" w:hAnsi="Arial" w:cs="Arial"/>
        </w:rPr>
        <w:t xml:space="preserve"> time</w:t>
      </w:r>
      <w:r w:rsidRPr="001C324E">
        <w:rPr>
          <w:rFonts w:ascii="Arial" w:hAnsi="Arial" w:cs="Arial"/>
        </w:rPr>
        <w:t xml:space="preserve"> period. Examples include market </w:t>
      </w:r>
      <w:r>
        <w:rPr>
          <w:rFonts w:ascii="Arial" w:hAnsi="Arial" w:cs="Arial"/>
        </w:rPr>
        <w:t xml:space="preserve">development and </w:t>
      </w:r>
      <w:r w:rsidRPr="001C324E">
        <w:rPr>
          <w:rFonts w:ascii="Arial" w:hAnsi="Arial" w:cs="Arial"/>
        </w:rPr>
        <w:t>support to trade ally contractors, more stringent construction codes, and strong protocols for measure development that result in high realization rates.</w:t>
      </w:r>
    </w:p>
    <w:p w14:paraId="670A0AB4" w14:textId="77777777" w:rsidR="00B05FD9" w:rsidRDefault="00B05FD9" w:rsidP="007E438A">
      <w:pPr>
        <w:spacing w:after="0" w:line="240" w:lineRule="auto"/>
        <w:rPr>
          <w:rFonts w:ascii="Arial" w:hAnsi="Arial" w:cs="Arial"/>
        </w:rPr>
      </w:pPr>
      <w:r>
        <w:rPr>
          <w:rFonts w:ascii="Arial" w:hAnsi="Arial" w:cs="Arial"/>
        </w:rPr>
        <w:t xml:space="preserve">Energy Trust’s 15 years in delivering energy-efficiency programs </w:t>
      </w:r>
      <w:r w:rsidR="00E367A8">
        <w:rPr>
          <w:rFonts w:ascii="Arial" w:hAnsi="Arial" w:cs="Arial"/>
        </w:rPr>
        <w:t xml:space="preserve">provides the following additional </w:t>
      </w:r>
      <w:r>
        <w:rPr>
          <w:rFonts w:ascii="Arial" w:hAnsi="Arial" w:cs="Arial"/>
        </w:rPr>
        <w:t>value</w:t>
      </w:r>
      <w:r w:rsidR="00E367A8">
        <w:rPr>
          <w:rFonts w:ascii="Arial" w:hAnsi="Arial" w:cs="Arial"/>
        </w:rPr>
        <w:t>s</w:t>
      </w:r>
      <w:r w:rsidR="007974F1">
        <w:rPr>
          <w:rFonts w:ascii="Arial" w:hAnsi="Arial" w:cs="Arial"/>
        </w:rPr>
        <w:t xml:space="preserve"> to nearly 8</w:t>
      </w:r>
      <w:r>
        <w:rPr>
          <w:rFonts w:ascii="Arial" w:hAnsi="Arial" w:cs="Arial"/>
        </w:rPr>
        <w:t xml:space="preserve">0,000 utility customers being served in NW Natural’s Washington territory, including: </w:t>
      </w:r>
    </w:p>
    <w:p w14:paraId="670A0AB5" w14:textId="77777777" w:rsidR="007974F1" w:rsidRDefault="007974F1" w:rsidP="007E438A">
      <w:pPr>
        <w:spacing w:after="0" w:line="240" w:lineRule="auto"/>
        <w:rPr>
          <w:rFonts w:ascii="Arial" w:hAnsi="Arial" w:cs="Arial"/>
        </w:rPr>
      </w:pPr>
    </w:p>
    <w:p w14:paraId="670A0AB6" w14:textId="77777777" w:rsidR="00B05FD9" w:rsidRDefault="00B05FD9" w:rsidP="007E438A">
      <w:pPr>
        <w:pStyle w:val="ListParagraph"/>
        <w:numPr>
          <w:ilvl w:val="0"/>
          <w:numId w:val="19"/>
        </w:numPr>
        <w:spacing w:after="0" w:line="240" w:lineRule="auto"/>
        <w:ind w:left="720"/>
        <w:rPr>
          <w:rFonts w:ascii="Arial" w:hAnsi="Arial" w:cs="Arial"/>
        </w:rPr>
      </w:pPr>
      <w:r>
        <w:rPr>
          <w:rFonts w:ascii="Arial" w:hAnsi="Arial" w:cs="Arial"/>
        </w:rPr>
        <w:t>Detailed measure engineering, impact and process evaluations, annual true-up of savings and a track record of high realized savings</w:t>
      </w:r>
    </w:p>
    <w:p w14:paraId="670A0AB7" w14:textId="77777777" w:rsidR="00B05FD9" w:rsidRDefault="00B05FD9" w:rsidP="007E438A">
      <w:pPr>
        <w:pStyle w:val="ListParagraph"/>
        <w:numPr>
          <w:ilvl w:val="0"/>
          <w:numId w:val="19"/>
        </w:numPr>
        <w:spacing w:after="0" w:line="240" w:lineRule="auto"/>
        <w:ind w:left="720"/>
        <w:rPr>
          <w:rFonts w:ascii="Arial" w:hAnsi="Arial" w:cs="Arial"/>
        </w:rPr>
      </w:pPr>
      <w:r>
        <w:rPr>
          <w:rFonts w:ascii="Arial" w:hAnsi="Arial" w:cs="Arial"/>
        </w:rPr>
        <w:t xml:space="preserve">A </w:t>
      </w:r>
      <w:r w:rsidRPr="009A6EA3">
        <w:rPr>
          <w:rFonts w:ascii="Arial" w:hAnsi="Arial" w:cs="Arial"/>
        </w:rPr>
        <w:t xml:space="preserve">robust program management model </w:t>
      </w:r>
      <w:r>
        <w:rPr>
          <w:rFonts w:ascii="Arial" w:hAnsi="Arial" w:cs="Arial"/>
        </w:rPr>
        <w:t>that</w:t>
      </w:r>
      <w:r w:rsidRPr="009A6EA3">
        <w:rPr>
          <w:rFonts w:ascii="Arial" w:hAnsi="Arial" w:cs="Arial"/>
        </w:rPr>
        <w:t xml:space="preserve"> supports the market with industry expertise and </w:t>
      </w:r>
      <w:r>
        <w:rPr>
          <w:rFonts w:ascii="Arial" w:hAnsi="Arial" w:cs="Arial"/>
        </w:rPr>
        <w:t>high</w:t>
      </w:r>
      <w:r w:rsidRPr="009A6EA3">
        <w:rPr>
          <w:rFonts w:ascii="Arial" w:hAnsi="Arial" w:cs="Arial"/>
        </w:rPr>
        <w:t xml:space="preserve"> levels of quality assurance</w:t>
      </w:r>
      <w:r>
        <w:rPr>
          <w:rFonts w:ascii="Arial" w:hAnsi="Arial" w:cs="Arial"/>
        </w:rPr>
        <w:t xml:space="preserve"> to ensure measures are correctly </w:t>
      </w:r>
      <w:r w:rsidRPr="009A6EA3">
        <w:rPr>
          <w:rFonts w:ascii="Arial" w:hAnsi="Arial" w:cs="Arial"/>
        </w:rPr>
        <w:t>installed</w:t>
      </w:r>
    </w:p>
    <w:p w14:paraId="670A0AB8" w14:textId="77777777" w:rsidR="00B05FD9" w:rsidRDefault="00B05FD9" w:rsidP="007E438A">
      <w:pPr>
        <w:pStyle w:val="ListParagraph"/>
        <w:numPr>
          <w:ilvl w:val="0"/>
          <w:numId w:val="19"/>
        </w:numPr>
        <w:spacing w:after="0" w:line="240" w:lineRule="auto"/>
        <w:ind w:left="720"/>
        <w:rPr>
          <w:rFonts w:ascii="Arial" w:hAnsi="Arial" w:cs="Arial"/>
        </w:rPr>
      </w:pPr>
      <w:r>
        <w:rPr>
          <w:rFonts w:ascii="Arial" w:hAnsi="Arial" w:cs="Arial"/>
        </w:rPr>
        <w:t>Responsive and direct customer service through contact centers, marketing, outreach and website development</w:t>
      </w:r>
    </w:p>
    <w:p w14:paraId="670A0AB9" w14:textId="77777777" w:rsidR="00B05FD9" w:rsidRDefault="00B05FD9" w:rsidP="007E438A">
      <w:pPr>
        <w:pStyle w:val="ListParagraph"/>
        <w:numPr>
          <w:ilvl w:val="0"/>
          <w:numId w:val="19"/>
        </w:numPr>
        <w:spacing w:after="0" w:line="240" w:lineRule="auto"/>
        <w:ind w:left="720"/>
        <w:rPr>
          <w:rFonts w:ascii="Arial" w:hAnsi="Arial" w:cs="Arial"/>
        </w:rPr>
      </w:pPr>
      <w:r w:rsidRPr="000E43D3">
        <w:rPr>
          <w:rFonts w:ascii="Arial" w:hAnsi="Arial" w:cs="Arial"/>
        </w:rPr>
        <w:t>Trade ally network development providing contractors with technical and business support; expertise and knowledge gained by trade allies also benefits non-</w:t>
      </w:r>
      <w:r>
        <w:rPr>
          <w:rFonts w:ascii="Arial" w:hAnsi="Arial" w:cs="Arial"/>
        </w:rPr>
        <w:t>participating customers (e.g., builders and sub-contractors learning the skills and practices needed to compete and comply with codes)</w:t>
      </w:r>
    </w:p>
    <w:p w14:paraId="670A0ABA" w14:textId="77777777" w:rsidR="000934E7" w:rsidRDefault="00B05FD9" w:rsidP="000934E7">
      <w:pPr>
        <w:spacing w:after="0" w:line="240" w:lineRule="auto"/>
        <w:rPr>
          <w:rFonts w:ascii="Arial" w:hAnsi="Arial" w:cs="Arial"/>
          <w:b/>
        </w:rPr>
      </w:pPr>
      <w:r>
        <w:rPr>
          <w:rFonts w:ascii="Arial" w:hAnsi="Arial" w:cs="Arial"/>
        </w:rPr>
        <w:lastRenderedPageBreak/>
        <w:br/>
      </w:r>
      <w:r w:rsidR="000934E7">
        <w:rPr>
          <w:rFonts w:ascii="Arial" w:hAnsi="Arial" w:cs="Arial"/>
          <w:b/>
        </w:rPr>
        <w:t>Summary</w:t>
      </w:r>
    </w:p>
    <w:p w14:paraId="670A0ABB" w14:textId="77777777" w:rsidR="000934E7" w:rsidRDefault="000934E7" w:rsidP="000934E7">
      <w:pPr>
        <w:rPr>
          <w:rFonts w:ascii="Arial" w:hAnsi="Arial" w:cs="Arial"/>
        </w:rPr>
      </w:pPr>
      <w:r>
        <w:rPr>
          <w:rFonts w:ascii="Arial" w:hAnsi="Arial" w:cs="Arial"/>
        </w:rPr>
        <w:t xml:space="preserve">Compared to the overall Energy Trust 2017 budget of $1,975,211, the ratio of incentives to total budget is 45% (excluding NEEA and the low-income). This budget will fund acquisition of 282,539 annual therms, an </w:t>
      </w:r>
      <w:r w:rsidRPr="004F322E">
        <w:rPr>
          <w:rFonts w:ascii="Arial" w:hAnsi="Arial" w:cs="Arial"/>
        </w:rPr>
        <w:t>increase</w:t>
      </w:r>
      <w:r>
        <w:rPr>
          <w:rFonts w:ascii="Arial" w:hAnsi="Arial" w:cs="Arial"/>
        </w:rPr>
        <w:t xml:space="preserve"> of 6.5% over 2016. The 45% incentive ratio for 2017 is consistent with prior years when Energy Trust expenditures were approximately 42-47% for incentives from 2011-2016. Additionally, 83% of the low income budget provides a direct benefit to customers. Considering these factors w</w:t>
      </w:r>
      <w:r w:rsidRPr="00002459">
        <w:rPr>
          <w:rFonts w:ascii="Arial" w:hAnsi="Arial" w:cs="Arial"/>
        </w:rPr>
        <w:t>e believe</w:t>
      </w:r>
      <w:r>
        <w:rPr>
          <w:rFonts w:ascii="Arial" w:hAnsi="Arial" w:cs="Arial"/>
        </w:rPr>
        <w:t xml:space="preserve"> the 45% ratio for the Energy Trust run portion of the offering is appropriate while recognizing it is</w:t>
      </w:r>
      <w:r w:rsidRPr="00002459">
        <w:rPr>
          <w:rFonts w:ascii="Arial" w:hAnsi="Arial" w:cs="Arial"/>
        </w:rPr>
        <w:t xml:space="preserve"> </w:t>
      </w:r>
      <w:r>
        <w:rPr>
          <w:rFonts w:ascii="Arial" w:hAnsi="Arial" w:cs="Arial"/>
        </w:rPr>
        <w:t>lower</w:t>
      </w:r>
      <w:r w:rsidRPr="00002459">
        <w:rPr>
          <w:rFonts w:ascii="Arial" w:hAnsi="Arial" w:cs="Arial"/>
        </w:rPr>
        <w:t xml:space="preserve"> </w:t>
      </w:r>
      <w:r>
        <w:rPr>
          <w:rFonts w:ascii="Arial" w:hAnsi="Arial" w:cs="Arial"/>
        </w:rPr>
        <w:t>than</w:t>
      </w:r>
      <w:r w:rsidRPr="00002459">
        <w:rPr>
          <w:rFonts w:ascii="Arial" w:hAnsi="Arial" w:cs="Arial"/>
        </w:rPr>
        <w:t xml:space="preserve"> </w:t>
      </w:r>
      <w:r>
        <w:rPr>
          <w:rFonts w:ascii="Arial" w:hAnsi="Arial" w:cs="Arial"/>
        </w:rPr>
        <w:t>other Washington</w:t>
      </w:r>
      <w:r w:rsidRPr="00002459">
        <w:rPr>
          <w:rFonts w:ascii="Arial" w:hAnsi="Arial" w:cs="Arial"/>
        </w:rPr>
        <w:t xml:space="preserve"> utility programs</w:t>
      </w:r>
      <w:r>
        <w:rPr>
          <w:rFonts w:ascii="Arial" w:hAnsi="Arial" w:cs="Arial"/>
        </w:rPr>
        <w:t xml:space="preserve">. </w:t>
      </w:r>
    </w:p>
    <w:p w14:paraId="670A0ABC" w14:textId="77777777" w:rsidR="00B24741" w:rsidRPr="007E438A" w:rsidRDefault="00420C53" w:rsidP="00DA6ED2">
      <w:pPr>
        <w:rPr>
          <w:rFonts w:ascii="Arial" w:hAnsi="Arial" w:cs="Arial"/>
        </w:rPr>
      </w:pPr>
      <w:r>
        <w:rPr>
          <w:rFonts w:ascii="Arial" w:hAnsi="Arial" w:cs="Arial"/>
        </w:rPr>
        <w:t xml:space="preserve">Energy Trust is prepared to </w:t>
      </w:r>
      <w:r w:rsidR="0027123F">
        <w:rPr>
          <w:rFonts w:ascii="Arial" w:hAnsi="Arial" w:cs="Arial"/>
        </w:rPr>
        <w:t>provide additional information on th</w:t>
      </w:r>
      <w:r w:rsidR="00B929CA">
        <w:rPr>
          <w:rFonts w:ascii="Arial" w:hAnsi="Arial" w:cs="Arial"/>
        </w:rPr>
        <w:t>e 2017 budgeted expenditures and activit</w:t>
      </w:r>
      <w:r w:rsidR="0027123F">
        <w:rPr>
          <w:rFonts w:ascii="Arial" w:hAnsi="Arial" w:cs="Arial"/>
        </w:rPr>
        <w:t>ies.</w:t>
      </w:r>
    </w:p>
    <w:sectPr w:rsidR="00B24741" w:rsidRPr="007E438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B387C" w14:textId="77777777" w:rsidR="003A3DA2" w:rsidRDefault="003A3DA2" w:rsidP="003A3DA2">
      <w:pPr>
        <w:spacing w:after="0" w:line="240" w:lineRule="auto"/>
      </w:pPr>
      <w:r>
        <w:separator/>
      </w:r>
    </w:p>
  </w:endnote>
  <w:endnote w:type="continuationSeparator" w:id="0">
    <w:p w14:paraId="3D998B03" w14:textId="77777777" w:rsidR="003A3DA2" w:rsidRDefault="003A3DA2" w:rsidP="003A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09135"/>
      <w:docPartObj>
        <w:docPartGallery w:val="Page Numbers (Bottom of Page)"/>
        <w:docPartUnique/>
      </w:docPartObj>
    </w:sdtPr>
    <w:sdtEndPr>
      <w:rPr>
        <w:noProof/>
      </w:rPr>
    </w:sdtEndPr>
    <w:sdtContent>
      <w:p w14:paraId="18728733" w14:textId="1618B505" w:rsidR="003A3DA2" w:rsidRDefault="003A3DA2">
        <w:pPr>
          <w:pStyle w:val="Footer"/>
          <w:jc w:val="center"/>
        </w:pPr>
        <w:r>
          <w:fldChar w:fldCharType="begin"/>
        </w:r>
        <w:r>
          <w:instrText xml:space="preserve"> PAGE   \* MERGEFORMAT </w:instrText>
        </w:r>
        <w:r>
          <w:fldChar w:fldCharType="separate"/>
        </w:r>
        <w:r w:rsidR="00621FCA">
          <w:rPr>
            <w:noProof/>
          </w:rPr>
          <w:t>1</w:t>
        </w:r>
        <w:r>
          <w:rPr>
            <w:noProof/>
          </w:rPr>
          <w:fldChar w:fldCharType="end"/>
        </w:r>
        <w:r>
          <w:rPr>
            <w:noProof/>
          </w:rPr>
          <w:t xml:space="preserve"> of 3</w:t>
        </w:r>
      </w:p>
    </w:sdtContent>
  </w:sdt>
  <w:p w14:paraId="3B3C29DE" w14:textId="6BBBA33F" w:rsidR="003A3DA2" w:rsidRDefault="003A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E3D7" w14:textId="77777777" w:rsidR="003A3DA2" w:rsidRDefault="003A3DA2" w:rsidP="003A3DA2">
      <w:pPr>
        <w:spacing w:after="0" w:line="240" w:lineRule="auto"/>
      </w:pPr>
      <w:r>
        <w:separator/>
      </w:r>
    </w:p>
  </w:footnote>
  <w:footnote w:type="continuationSeparator" w:id="0">
    <w:p w14:paraId="4128A5A3" w14:textId="77777777" w:rsidR="003A3DA2" w:rsidRDefault="003A3DA2" w:rsidP="003A3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D444" w14:textId="60C9791B" w:rsidR="003A3DA2" w:rsidRPr="003A3DA2" w:rsidRDefault="003A3DA2">
    <w:pPr>
      <w:pStyle w:val="Header"/>
      <w:rPr>
        <w:sz w:val="20"/>
      </w:rPr>
    </w:pPr>
    <w:r w:rsidRPr="003A3DA2">
      <w:rPr>
        <w:sz w:val="20"/>
      </w:rPr>
      <w:t>NWN’s WA Energy Efficiency Plan Supplement</w:t>
    </w:r>
  </w:p>
  <w:p w14:paraId="2C37EA62" w14:textId="2C3B23B9" w:rsidR="003A3DA2" w:rsidRPr="003A3DA2" w:rsidRDefault="003A3DA2">
    <w:pPr>
      <w:pStyle w:val="Header"/>
      <w:rPr>
        <w:sz w:val="20"/>
      </w:rPr>
    </w:pPr>
    <w:r w:rsidRPr="003A3DA2">
      <w:rPr>
        <w:sz w:val="20"/>
      </w:rPr>
      <w:t>UG-161259</w:t>
    </w:r>
  </w:p>
  <w:p w14:paraId="1B929D7B" w14:textId="77777777" w:rsidR="003A3DA2" w:rsidRDefault="003A3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0D0"/>
    <w:multiLevelType w:val="hybridMultilevel"/>
    <w:tmpl w:val="B0483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0620"/>
    <w:multiLevelType w:val="hybridMultilevel"/>
    <w:tmpl w:val="525609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A556A"/>
    <w:multiLevelType w:val="hybridMultilevel"/>
    <w:tmpl w:val="05DAC2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1C90"/>
    <w:multiLevelType w:val="hybridMultilevel"/>
    <w:tmpl w:val="E0B8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60ECB"/>
    <w:multiLevelType w:val="hybridMultilevel"/>
    <w:tmpl w:val="78560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83A45"/>
    <w:multiLevelType w:val="hybridMultilevel"/>
    <w:tmpl w:val="4E5C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370A9"/>
    <w:multiLevelType w:val="hybridMultilevel"/>
    <w:tmpl w:val="8EC2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D56A9"/>
    <w:multiLevelType w:val="hybridMultilevel"/>
    <w:tmpl w:val="A2FC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401C"/>
    <w:multiLevelType w:val="hybridMultilevel"/>
    <w:tmpl w:val="7E46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D325B8"/>
    <w:multiLevelType w:val="hybridMultilevel"/>
    <w:tmpl w:val="85D6D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85788"/>
    <w:multiLevelType w:val="hybridMultilevel"/>
    <w:tmpl w:val="82BE5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021CA2"/>
    <w:multiLevelType w:val="hybridMultilevel"/>
    <w:tmpl w:val="39A018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61FCD"/>
    <w:multiLevelType w:val="hybridMultilevel"/>
    <w:tmpl w:val="871E2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BF5EAC"/>
    <w:multiLevelType w:val="hybridMultilevel"/>
    <w:tmpl w:val="6BF865CC"/>
    <w:lvl w:ilvl="0" w:tplc="DD00D2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414B0"/>
    <w:multiLevelType w:val="hybridMultilevel"/>
    <w:tmpl w:val="BD90F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2048A"/>
    <w:multiLevelType w:val="hybridMultilevel"/>
    <w:tmpl w:val="82F0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F11D9"/>
    <w:multiLevelType w:val="hybridMultilevel"/>
    <w:tmpl w:val="F458779E"/>
    <w:lvl w:ilvl="0" w:tplc="92FAEE7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45C6B"/>
    <w:multiLevelType w:val="hybridMultilevel"/>
    <w:tmpl w:val="379E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33259"/>
    <w:multiLevelType w:val="hybridMultilevel"/>
    <w:tmpl w:val="91B42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26671"/>
    <w:multiLevelType w:val="hybridMultilevel"/>
    <w:tmpl w:val="9412E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045EA"/>
    <w:multiLevelType w:val="hybridMultilevel"/>
    <w:tmpl w:val="9502F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6"/>
  </w:num>
  <w:num w:numId="3">
    <w:abstractNumId w:val="8"/>
  </w:num>
  <w:num w:numId="4">
    <w:abstractNumId w:val="5"/>
  </w:num>
  <w:num w:numId="5">
    <w:abstractNumId w:val="3"/>
  </w:num>
  <w:num w:numId="6">
    <w:abstractNumId w:val="4"/>
  </w:num>
  <w:num w:numId="7">
    <w:abstractNumId w:val="18"/>
  </w:num>
  <w:num w:numId="8">
    <w:abstractNumId w:val="10"/>
  </w:num>
  <w:num w:numId="9">
    <w:abstractNumId w:val="1"/>
  </w:num>
  <w:num w:numId="10">
    <w:abstractNumId w:val="19"/>
  </w:num>
  <w:num w:numId="11">
    <w:abstractNumId w:val="11"/>
  </w:num>
  <w:num w:numId="12">
    <w:abstractNumId w:val="0"/>
  </w:num>
  <w:num w:numId="13">
    <w:abstractNumId w:val="9"/>
  </w:num>
  <w:num w:numId="14">
    <w:abstractNumId w:val="14"/>
  </w:num>
  <w:num w:numId="15">
    <w:abstractNumId w:val="2"/>
  </w:num>
  <w:num w:numId="16">
    <w:abstractNumId w:val="20"/>
  </w:num>
  <w:num w:numId="17">
    <w:abstractNumId w:val="15"/>
  </w:num>
  <w:num w:numId="18">
    <w:abstractNumId w:val="7"/>
  </w:num>
  <w:num w:numId="19">
    <w:abstractNumId w:val="12"/>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5C"/>
    <w:rsid w:val="0000720B"/>
    <w:rsid w:val="00046CE6"/>
    <w:rsid w:val="000934E7"/>
    <w:rsid w:val="000A70A9"/>
    <w:rsid w:val="000C7BB4"/>
    <w:rsid w:val="000D07F3"/>
    <w:rsid w:val="000F12FA"/>
    <w:rsid w:val="000F2032"/>
    <w:rsid w:val="000F4DE7"/>
    <w:rsid w:val="00151151"/>
    <w:rsid w:val="001851A2"/>
    <w:rsid w:val="001A0575"/>
    <w:rsid w:val="001E5CC9"/>
    <w:rsid w:val="00200D54"/>
    <w:rsid w:val="00205065"/>
    <w:rsid w:val="00221544"/>
    <w:rsid w:val="002572B2"/>
    <w:rsid w:val="0027123F"/>
    <w:rsid w:val="002A0C16"/>
    <w:rsid w:val="002A5B6E"/>
    <w:rsid w:val="002B655D"/>
    <w:rsid w:val="002D3399"/>
    <w:rsid w:val="002E2A74"/>
    <w:rsid w:val="002E4D7C"/>
    <w:rsid w:val="00321D27"/>
    <w:rsid w:val="00344D49"/>
    <w:rsid w:val="00357040"/>
    <w:rsid w:val="003650D1"/>
    <w:rsid w:val="003821A3"/>
    <w:rsid w:val="003835B3"/>
    <w:rsid w:val="003937E1"/>
    <w:rsid w:val="003A3DA2"/>
    <w:rsid w:val="00420C53"/>
    <w:rsid w:val="004301E1"/>
    <w:rsid w:val="00433AAA"/>
    <w:rsid w:val="0045716C"/>
    <w:rsid w:val="0046605C"/>
    <w:rsid w:val="00470D17"/>
    <w:rsid w:val="00473DC1"/>
    <w:rsid w:val="00481198"/>
    <w:rsid w:val="004F2F6E"/>
    <w:rsid w:val="004F322E"/>
    <w:rsid w:val="00503F6E"/>
    <w:rsid w:val="00551D84"/>
    <w:rsid w:val="00575F81"/>
    <w:rsid w:val="005874C8"/>
    <w:rsid w:val="005B3AD9"/>
    <w:rsid w:val="005D1A13"/>
    <w:rsid w:val="005E47DB"/>
    <w:rsid w:val="00611107"/>
    <w:rsid w:val="00621FCA"/>
    <w:rsid w:val="0064793B"/>
    <w:rsid w:val="006515C6"/>
    <w:rsid w:val="00652817"/>
    <w:rsid w:val="006D5EEF"/>
    <w:rsid w:val="00713AA5"/>
    <w:rsid w:val="00761763"/>
    <w:rsid w:val="00763330"/>
    <w:rsid w:val="00763349"/>
    <w:rsid w:val="007772B0"/>
    <w:rsid w:val="007974F1"/>
    <w:rsid w:val="007B0855"/>
    <w:rsid w:val="007B67BA"/>
    <w:rsid w:val="007E438A"/>
    <w:rsid w:val="007F3DE4"/>
    <w:rsid w:val="00824B9C"/>
    <w:rsid w:val="008250B0"/>
    <w:rsid w:val="00832105"/>
    <w:rsid w:val="00852762"/>
    <w:rsid w:val="00853BA8"/>
    <w:rsid w:val="00864E70"/>
    <w:rsid w:val="008B2226"/>
    <w:rsid w:val="008F33C6"/>
    <w:rsid w:val="009155CF"/>
    <w:rsid w:val="00927B32"/>
    <w:rsid w:val="009462B7"/>
    <w:rsid w:val="00946471"/>
    <w:rsid w:val="00960316"/>
    <w:rsid w:val="009605FC"/>
    <w:rsid w:val="00960708"/>
    <w:rsid w:val="00963B38"/>
    <w:rsid w:val="00973554"/>
    <w:rsid w:val="00A2713F"/>
    <w:rsid w:val="00AA57BF"/>
    <w:rsid w:val="00AB2351"/>
    <w:rsid w:val="00AB6200"/>
    <w:rsid w:val="00AD0A6A"/>
    <w:rsid w:val="00AD1BA8"/>
    <w:rsid w:val="00AE3A7F"/>
    <w:rsid w:val="00AE69D0"/>
    <w:rsid w:val="00B03DF0"/>
    <w:rsid w:val="00B05FD9"/>
    <w:rsid w:val="00B11282"/>
    <w:rsid w:val="00B24741"/>
    <w:rsid w:val="00B33888"/>
    <w:rsid w:val="00B33AB6"/>
    <w:rsid w:val="00B34F2A"/>
    <w:rsid w:val="00B705A6"/>
    <w:rsid w:val="00B7394C"/>
    <w:rsid w:val="00B929CA"/>
    <w:rsid w:val="00BC4435"/>
    <w:rsid w:val="00BC5BCE"/>
    <w:rsid w:val="00C00D06"/>
    <w:rsid w:val="00C21F61"/>
    <w:rsid w:val="00C42A87"/>
    <w:rsid w:val="00C42B77"/>
    <w:rsid w:val="00C50381"/>
    <w:rsid w:val="00C51628"/>
    <w:rsid w:val="00C567A5"/>
    <w:rsid w:val="00C617F9"/>
    <w:rsid w:val="00C8039F"/>
    <w:rsid w:val="00CB1D07"/>
    <w:rsid w:val="00CB7FBE"/>
    <w:rsid w:val="00CD3D6A"/>
    <w:rsid w:val="00D002F7"/>
    <w:rsid w:val="00D006BC"/>
    <w:rsid w:val="00D349AE"/>
    <w:rsid w:val="00D474C1"/>
    <w:rsid w:val="00D639A8"/>
    <w:rsid w:val="00DA6ED2"/>
    <w:rsid w:val="00DE0163"/>
    <w:rsid w:val="00DE3E69"/>
    <w:rsid w:val="00E319CA"/>
    <w:rsid w:val="00E31F91"/>
    <w:rsid w:val="00E367A8"/>
    <w:rsid w:val="00E46013"/>
    <w:rsid w:val="00E73443"/>
    <w:rsid w:val="00EA54EA"/>
    <w:rsid w:val="00ED6B12"/>
    <w:rsid w:val="00F301D8"/>
    <w:rsid w:val="00F8349D"/>
    <w:rsid w:val="00F87765"/>
    <w:rsid w:val="00FD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0A68"/>
  <w15:docId w15:val="{63A9FDFE-A4E4-4A46-B859-EFE70700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5C"/>
    <w:pPr>
      <w:ind w:left="720"/>
      <w:contextualSpacing/>
    </w:pPr>
  </w:style>
  <w:style w:type="paragraph" w:styleId="BalloonText">
    <w:name w:val="Balloon Text"/>
    <w:basedOn w:val="Normal"/>
    <w:link w:val="BalloonTextChar"/>
    <w:uiPriority w:val="99"/>
    <w:semiHidden/>
    <w:unhideWhenUsed/>
    <w:rsid w:val="002B6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5D"/>
    <w:rPr>
      <w:rFonts w:ascii="Segoe UI" w:hAnsi="Segoe UI" w:cs="Segoe UI"/>
      <w:sz w:val="18"/>
      <w:szCs w:val="18"/>
    </w:rPr>
  </w:style>
  <w:style w:type="character" w:styleId="CommentReference">
    <w:name w:val="annotation reference"/>
    <w:basedOn w:val="DefaultParagraphFont"/>
    <w:uiPriority w:val="99"/>
    <w:semiHidden/>
    <w:unhideWhenUsed/>
    <w:rsid w:val="007B67BA"/>
    <w:rPr>
      <w:sz w:val="16"/>
      <w:szCs w:val="16"/>
    </w:rPr>
  </w:style>
  <w:style w:type="paragraph" w:styleId="CommentText">
    <w:name w:val="annotation text"/>
    <w:basedOn w:val="Normal"/>
    <w:link w:val="CommentTextChar"/>
    <w:uiPriority w:val="99"/>
    <w:semiHidden/>
    <w:unhideWhenUsed/>
    <w:rsid w:val="007B67BA"/>
    <w:pPr>
      <w:spacing w:line="240" w:lineRule="auto"/>
    </w:pPr>
    <w:rPr>
      <w:sz w:val="20"/>
      <w:szCs w:val="20"/>
    </w:rPr>
  </w:style>
  <w:style w:type="character" w:customStyle="1" w:styleId="CommentTextChar">
    <w:name w:val="Comment Text Char"/>
    <w:basedOn w:val="DefaultParagraphFont"/>
    <w:link w:val="CommentText"/>
    <w:uiPriority w:val="99"/>
    <w:semiHidden/>
    <w:rsid w:val="007B67BA"/>
    <w:rPr>
      <w:sz w:val="20"/>
      <w:szCs w:val="20"/>
    </w:rPr>
  </w:style>
  <w:style w:type="paragraph" w:styleId="CommentSubject">
    <w:name w:val="annotation subject"/>
    <w:basedOn w:val="CommentText"/>
    <w:next w:val="CommentText"/>
    <w:link w:val="CommentSubjectChar"/>
    <w:uiPriority w:val="99"/>
    <w:semiHidden/>
    <w:unhideWhenUsed/>
    <w:rsid w:val="007B67BA"/>
    <w:rPr>
      <w:b/>
      <w:bCs/>
    </w:rPr>
  </w:style>
  <w:style w:type="character" w:customStyle="1" w:styleId="CommentSubjectChar">
    <w:name w:val="Comment Subject Char"/>
    <w:basedOn w:val="CommentTextChar"/>
    <w:link w:val="CommentSubject"/>
    <w:uiPriority w:val="99"/>
    <w:semiHidden/>
    <w:rsid w:val="007B67BA"/>
    <w:rPr>
      <w:b/>
      <w:bCs/>
      <w:sz w:val="20"/>
      <w:szCs w:val="20"/>
    </w:rPr>
  </w:style>
  <w:style w:type="paragraph" w:styleId="Revision">
    <w:name w:val="Revision"/>
    <w:hidden/>
    <w:uiPriority w:val="99"/>
    <w:semiHidden/>
    <w:rsid w:val="00AB6200"/>
    <w:pPr>
      <w:spacing w:after="0" w:line="240" w:lineRule="auto"/>
    </w:pPr>
  </w:style>
  <w:style w:type="paragraph" w:styleId="Header">
    <w:name w:val="header"/>
    <w:basedOn w:val="Normal"/>
    <w:link w:val="HeaderChar"/>
    <w:uiPriority w:val="99"/>
    <w:unhideWhenUsed/>
    <w:rsid w:val="003A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DA2"/>
  </w:style>
  <w:style w:type="paragraph" w:styleId="Footer">
    <w:name w:val="footer"/>
    <w:basedOn w:val="Normal"/>
    <w:link w:val="FooterChar"/>
    <w:uiPriority w:val="99"/>
    <w:unhideWhenUsed/>
    <w:rsid w:val="003A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2611">
      <w:bodyDiv w:val="1"/>
      <w:marLeft w:val="0"/>
      <w:marRight w:val="0"/>
      <w:marTop w:val="0"/>
      <w:marBottom w:val="0"/>
      <w:divBdr>
        <w:top w:val="none" w:sz="0" w:space="0" w:color="auto"/>
        <w:left w:val="none" w:sz="0" w:space="0" w:color="auto"/>
        <w:bottom w:val="none" w:sz="0" w:space="0" w:color="auto"/>
        <w:right w:val="none" w:sz="0" w:space="0" w:color="auto"/>
      </w:divBdr>
    </w:div>
    <w:div w:id="593634022">
      <w:bodyDiv w:val="1"/>
      <w:marLeft w:val="0"/>
      <w:marRight w:val="0"/>
      <w:marTop w:val="0"/>
      <w:marBottom w:val="0"/>
      <w:divBdr>
        <w:top w:val="none" w:sz="0" w:space="0" w:color="auto"/>
        <w:left w:val="none" w:sz="0" w:space="0" w:color="auto"/>
        <w:bottom w:val="none" w:sz="0" w:space="0" w:color="auto"/>
        <w:right w:val="none" w:sz="0" w:space="0" w:color="auto"/>
      </w:divBdr>
    </w:div>
    <w:div w:id="597567081">
      <w:bodyDiv w:val="1"/>
      <w:marLeft w:val="0"/>
      <w:marRight w:val="0"/>
      <w:marTop w:val="0"/>
      <w:marBottom w:val="0"/>
      <w:divBdr>
        <w:top w:val="none" w:sz="0" w:space="0" w:color="auto"/>
        <w:left w:val="none" w:sz="0" w:space="0" w:color="auto"/>
        <w:bottom w:val="none" w:sz="0" w:space="0" w:color="auto"/>
        <w:right w:val="none" w:sz="0" w:space="0" w:color="auto"/>
      </w:divBdr>
    </w:div>
    <w:div w:id="807940606">
      <w:bodyDiv w:val="1"/>
      <w:marLeft w:val="0"/>
      <w:marRight w:val="0"/>
      <w:marTop w:val="0"/>
      <w:marBottom w:val="0"/>
      <w:divBdr>
        <w:top w:val="none" w:sz="0" w:space="0" w:color="auto"/>
        <w:left w:val="none" w:sz="0" w:space="0" w:color="auto"/>
        <w:bottom w:val="none" w:sz="0" w:space="0" w:color="auto"/>
        <w:right w:val="none" w:sz="0" w:space="0" w:color="auto"/>
      </w:divBdr>
    </w:div>
    <w:div w:id="1288704859">
      <w:bodyDiv w:val="1"/>
      <w:marLeft w:val="0"/>
      <w:marRight w:val="0"/>
      <w:marTop w:val="0"/>
      <w:marBottom w:val="0"/>
      <w:divBdr>
        <w:top w:val="none" w:sz="0" w:space="0" w:color="auto"/>
        <w:left w:val="none" w:sz="0" w:space="0" w:color="auto"/>
        <w:bottom w:val="none" w:sz="0" w:space="0" w:color="auto"/>
        <w:right w:val="none" w:sz="0" w:space="0" w:color="auto"/>
      </w:divBdr>
    </w:div>
    <w:div w:id="1828469762">
      <w:bodyDiv w:val="1"/>
      <w:marLeft w:val="0"/>
      <w:marRight w:val="0"/>
      <w:marTop w:val="0"/>
      <w:marBottom w:val="0"/>
      <w:divBdr>
        <w:top w:val="none" w:sz="0" w:space="0" w:color="auto"/>
        <w:left w:val="none" w:sz="0" w:space="0" w:color="auto"/>
        <w:bottom w:val="none" w:sz="0" w:space="0" w:color="auto"/>
        <w:right w:val="none" w:sz="0" w:space="0" w:color="auto"/>
      </w:divBdr>
    </w:div>
    <w:div w:id="1830051945">
      <w:bodyDiv w:val="1"/>
      <w:marLeft w:val="0"/>
      <w:marRight w:val="0"/>
      <w:marTop w:val="0"/>
      <w:marBottom w:val="0"/>
      <w:divBdr>
        <w:top w:val="none" w:sz="0" w:space="0" w:color="auto"/>
        <w:left w:val="none" w:sz="0" w:space="0" w:color="auto"/>
        <w:bottom w:val="none" w:sz="0" w:space="0" w:color="auto"/>
        <w:right w:val="none" w:sz="0" w:space="0" w:color="auto"/>
      </w:divBdr>
    </w:div>
    <w:div w:id="21300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2016-12-01T08:00:00+00:00</OpenedDate>
    <Date1 xmlns="dc463f71-b30c-4ab2-9473-d307f9d35888">2017-01-06T08:00:00+00:00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161259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623939E3483B4E9833454BD2A802FC" ma:contentTypeVersion="104" ma:contentTypeDescription="" ma:contentTypeScope="" ma:versionID="7c527a25141470385cfbd6ecff6418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AC22B0-C7A4-48B1-ADE2-2758A737C42F}">
  <ds:schemaRefs>
    <ds:schemaRef ds:uri="http://schemas.microsoft.com/sharepoint/v3/contenttype/forms"/>
  </ds:schemaRefs>
</ds:datastoreItem>
</file>

<file path=customXml/itemProps2.xml><?xml version="1.0" encoding="utf-8"?>
<ds:datastoreItem xmlns:ds="http://schemas.openxmlformats.org/officeDocument/2006/customXml" ds:itemID="{F37ABB99-9A89-444C-AEA6-C2D68E4FD82A}">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a7bd91e-004b-490a-8704-e368d63d59a0"/>
    <ds:schemaRef ds:uri="http://www.w3.org/XML/1998/namespace"/>
  </ds:schemaRefs>
</ds:datastoreItem>
</file>

<file path=customXml/itemProps3.xml><?xml version="1.0" encoding="utf-8"?>
<ds:datastoreItem xmlns:ds="http://schemas.openxmlformats.org/officeDocument/2006/customXml" ds:itemID="{437D1D67-706B-492B-AB8D-9EAD6E4D18AF}"/>
</file>

<file path=customXml/itemProps4.xml><?xml version="1.0" encoding="utf-8"?>
<ds:datastoreItem xmlns:ds="http://schemas.openxmlformats.org/officeDocument/2006/customXml" ds:itemID="{55A87B99-D50C-4D68-9BC5-BE87FA26AAAF}">
  <ds:schemaRefs>
    <ds:schemaRef ds:uri="http://schemas.openxmlformats.org/officeDocument/2006/bibliography"/>
  </ds:schemaRefs>
</ds:datastoreItem>
</file>

<file path=customXml/itemProps5.xml><?xml version="1.0" encoding="utf-8"?>
<ds:datastoreItem xmlns:ds="http://schemas.openxmlformats.org/officeDocument/2006/customXml" ds:itemID="{940D2116-D569-4F1F-82F2-F14AEDA06201}"/>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Energy Trust of Oregon</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Johnson</dc:creator>
  <cp:lastModifiedBy>Kredel, Ashley (UTC)</cp:lastModifiedBy>
  <cp:revision>2</cp:revision>
  <cp:lastPrinted>2016-12-29T18:13:00Z</cp:lastPrinted>
  <dcterms:created xsi:type="dcterms:W3CDTF">2017-01-07T00:22:00Z</dcterms:created>
  <dcterms:modified xsi:type="dcterms:W3CDTF">2017-01-07T00:22:00Z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0x0101006E56B4D1795A2E4DB2F0B01679ED314A00A2623939E3483B4E9833454BD2A802FC</vt:lpwstr>
  </property>
  <property fmtid="{D5CDD505-2E9C-101B-9397-08002B2CF9AE}" pid="3" name="_dlc_DocIdItemGuid">
    <vt:lpwstr>09f4beaa-feb7-4185-8f6d-2090bc8d0253</vt:lpwstr>
  </property>
  <property fmtid="{D5CDD505-2E9C-101B-9397-08002B2CF9AE}" pid="4" name="_docset_NoMedatataSyncRequired">
    <vt:lpwstr>False</vt:lpwstr>
  </property>
</Properties>
</file>