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17D4D" w14:textId="7CB7749F" w:rsidR="008463AA" w:rsidRPr="004454CF" w:rsidRDefault="008463AA" w:rsidP="008463AA">
      <w:pPr>
        <w:jc w:val="center"/>
        <w:rPr>
          <w:rFonts w:ascii="Times New Roman" w:hAnsi="Times New Roman" w:cs="Times New Roman"/>
          <w:b/>
          <w:sz w:val="24"/>
          <w:szCs w:val="24"/>
        </w:rPr>
      </w:pPr>
      <w:bookmarkStart w:id="0" w:name="_GoBack"/>
      <w:bookmarkEnd w:id="0"/>
      <w:r w:rsidRPr="004454CF">
        <w:rPr>
          <w:rFonts w:ascii="Times New Roman" w:hAnsi="Times New Roman" w:cs="Times New Roman"/>
          <w:b/>
          <w:sz w:val="24"/>
          <w:szCs w:val="24"/>
        </w:rPr>
        <w:t xml:space="preserve">UTC </w:t>
      </w:r>
      <w:r w:rsidR="008E5871" w:rsidRPr="004454CF">
        <w:rPr>
          <w:rFonts w:ascii="Times New Roman" w:hAnsi="Times New Roman" w:cs="Times New Roman"/>
          <w:b/>
          <w:sz w:val="24"/>
          <w:szCs w:val="24"/>
        </w:rPr>
        <w:t>STAFF</w:t>
      </w:r>
      <w:r w:rsidRPr="004454CF">
        <w:rPr>
          <w:rFonts w:ascii="Times New Roman" w:hAnsi="Times New Roman" w:cs="Times New Roman"/>
          <w:b/>
          <w:sz w:val="24"/>
          <w:szCs w:val="24"/>
        </w:rPr>
        <w:t xml:space="preserve"> COMMENTS REGARDING ELECTRIC UTILITY REPORTS ON</w:t>
      </w:r>
    </w:p>
    <w:p w14:paraId="1570C506" w14:textId="77777777" w:rsidR="008463AA" w:rsidRPr="004454CF" w:rsidRDefault="008463AA" w:rsidP="008463AA">
      <w:pPr>
        <w:jc w:val="center"/>
        <w:rPr>
          <w:rFonts w:ascii="Times New Roman" w:hAnsi="Times New Roman" w:cs="Times New Roman"/>
          <w:b/>
          <w:sz w:val="24"/>
          <w:szCs w:val="24"/>
        </w:rPr>
      </w:pPr>
      <w:r w:rsidRPr="004454CF">
        <w:rPr>
          <w:rFonts w:ascii="Times New Roman" w:hAnsi="Times New Roman" w:cs="Times New Roman"/>
          <w:b/>
          <w:sz w:val="24"/>
          <w:szCs w:val="24"/>
        </w:rPr>
        <w:t xml:space="preserve">TEN-YEAR ACHIEVABLE CONSERVATION POTENTIAL AND </w:t>
      </w:r>
    </w:p>
    <w:p w14:paraId="224326B0" w14:textId="77777777" w:rsidR="008463AA" w:rsidRPr="004454CF" w:rsidRDefault="008463AA" w:rsidP="008463AA">
      <w:pPr>
        <w:jc w:val="center"/>
        <w:rPr>
          <w:rFonts w:ascii="Times New Roman" w:hAnsi="Times New Roman" w:cs="Times New Roman"/>
          <w:b/>
          <w:sz w:val="24"/>
          <w:szCs w:val="24"/>
        </w:rPr>
      </w:pPr>
      <w:r w:rsidRPr="004454CF">
        <w:rPr>
          <w:rFonts w:ascii="Times New Roman" w:hAnsi="Times New Roman" w:cs="Times New Roman"/>
          <w:b/>
          <w:sz w:val="24"/>
          <w:szCs w:val="24"/>
        </w:rPr>
        <w:t>BIENNIAL CONSERVATION TARGETS</w:t>
      </w:r>
    </w:p>
    <w:p w14:paraId="052FE790" w14:textId="77777777" w:rsidR="008463AA" w:rsidRPr="004454CF" w:rsidRDefault="008463AA" w:rsidP="008463AA">
      <w:pPr>
        <w:jc w:val="center"/>
        <w:rPr>
          <w:rFonts w:ascii="Times New Roman" w:hAnsi="Times New Roman" w:cs="Times New Roman"/>
          <w:b/>
          <w:sz w:val="24"/>
          <w:szCs w:val="24"/>
        </w:rPr>
      </w:pPr>
    </w:p>
    <w:p w14:paraId="19D32694" w14:textId="77777777" w:rsidR="008463AA" w:rsidRPr="004454CF" w:rsidRDefault="00E549EB" w:rsidP="008463AA">
      <w:pPr>
        <w:jc w:val="center"/>
        <w:rPr>
          <w:rFonts w:ascii="Times New Roman" w:hAnsi="Times New Roman" w:cs="Times New Roman"/>
          <w:b/>
          <w:sz w:val="24"/>
          <w:szCs w:val="24"/>
        </w:rPr>
      </w:pPr>
      <w:r w:rsidRPr="004454CF">
        <w:rPr>
          <w:rFonts w:ascii="Times New Roman" w:hAnsi="Times New Roman" w:cs="Times New Roman"/>
          <w:b/>
          <w:sz w:val="24"/>
          <w:szCs w:val="24"/>
        </w:rPr>
        <w:t>DOCKET UE-152058</w:t>
      </w:r>
      <w:r w:rsidR="008463AA" w:rsidRPr="004454CF">
        <w:rPr>
          <w:rFonts w:ascii="Times New Roman" w:hAnsi="Times New Roman" w:cs="Times New Roman"/>
          <w:b/>
          <w:sz w:val="24"/>
          <w:szCs w:val="24"/>
        </w:rPr>
        <w:t xml:space="preserve"> (PUGET SOUND ENERGY)</w:t>
      </w:r>
    </w:p>
    <w:p w14:paraId="547BB622" w14:textId="77777777" w:rsidR="008463AA" w:rsidRPr="004454CF" w:rsidRDefault="008463AA" w:rsidP="008463AA">
      <w:pPr>
        <w:jc w:val="center"/>
        <w:rPr>
          <w:rFonts w:ascii="Times New Roman" w:hAnsi="Times New Roman" w:cs="Times New Roman"/>
          <w:b/>
          <w:sz w:val="24"/>
          <w:szCs w:val="24"/>
        </w:rPr>
      </w:pPr>
    </w:p>
    <w:p w14:paraId="2907234D" w14:textId="518CB6C4" w:rsidR="008463AA" w:rsidRPr="004454CF" w:rsidRDefault="003D08D9" w:rsidP="003D08D9">
      <w:pPr>
        <w:tabs>
          <w:tab w:val="center" w:pos="4680"/>
          <w:tab w:val="right" w:pos="9360"/>
        </w:tabs>
        <w:rPr>
          <w:rFonts w:ascii="Times New Roman" w:hAnsi="Times New Roman" w:cs="Times New Roman"/>
          <w:b/>
          <w:sz w:val="24"/>
          <w:szCs w:val="24"/>
        </w:rPr>
      </w:pPr>
      <w:r w:rsidRPr="004454CF">
        <w:rPr>
          <w:rFonts w:ascii="Times New Roman" w:hAnsi="Times New Roman" w:cs="Times New Roman"/>
          <w:b/>
          <w:sz w:val="24"/>
          <w:szCs w:val="24"/>
        </w:rPr>
        <w:tab/>
      </w:r>
      <w:r w:rsidR="008463AA" w:rsidRPr="004454CF">
        <w:rPr>
          <w:rFonts w:ascii="Times New Roman" w:hAnsi="Times New Roman" w:cs="Times New Roman"/>
          <w:b/>
          <w:sz w:val="24"/>
          <w:szCs w:val="24"/>
        </w:rPr>
        <w:t>DOCKET UE-1</w:t>
      </w:r>
      <w:r w:rsidR="00E549EB" w:rsidRPr="004454CF">
        <w:rPr>
          <w:rFonts w:ascii="Times New Roman" w:hAnsi="Times New Roman" w:cs="Times New Roman"/>
          <w:b/>
          <w:sz w:val="24"/>
          <w:szCs w:val="24"/>
        </w:rPr>
        <w:t>52076</w:t>
      </w:r>
      <w:r w:rsidR="008463AA" w:rsidRPr="004454CF">
        <w:rPr>
          <w:rFonts w:ascii="Times New Roman" w:hAnsi="Times New Roman" w:cs="Times New Roman"/>
          <w:b/>
          <w:sz w:val="24"/>
          <w:szCs w:val="24"/>
        </w:rPr>
        <w:t xml:space="preserve"> (AVISTA</w:t>
      </w:r>
      <w:r w:rsidR="00E549EB" w:rsidRPr="004454CF">
        <w:rPr>
          <w:rFonts w:ascii="Times New Roman" w:hAnsi="Times New Roman" w:cs="Times New Roman"/>
          <w:b/>
          <w:sz w:val="24"/>
          <w:szCs w:val="24"/>
        </w:rPr>
        <w:t xml:space="preserve"> CORPORATION</w:t>
      </w:r>
      <w:r w:rsidR="008463AA" w:rsidRPr="004454CF">
        <w:rPr>
          <w:rFonts w:ascii="Times New Roman" w:hAnsi="Times New Roman" w:cs="Times New Roman"/>
          <w:b/>
          <w:sz w:val="24"/>
          <w:szCs w:val="24"/>
        </w:rPr>
        <w:t>)</w:t>
      </w:r>
      <w:r w:rsidRPr="004454CF">
        <w:rPr>
          <w:rFonts w:ascii="Times New Roman" w:hAnsi="Times New Roman" w:cs="Times New Roman"/>
          <w:b/>
          <w:sz w:val="24"/>
          <w:szCs w:val="24"/>
        </w:rPr>
        <w:tab/>
      </w:r>
    </w:p>
    <w:p w14:paraId="11E1F87F" w14:textId="77777777" w:rsidR="008463AA" w:rsidRPr="004454CF" w:rsidRDefault="008463AA" w:rsidP="008463AA">
      <w:pPr>
        <w:jc w:val="center"/>
        <w:rPr>
          <w:rFonts w:ascii="Times New Roman" w:hAnsi="Times New Roman" w:cs="Times New Roman"/>
          <w:b/>
          <w:sz w:val="24"/>
          <w:szCs w:val="24"/>
        </w:rPr>
      </w:pPr>
    </w:p>
    <w:p w14:paraId="2506EA78" w14:textId="77777777" w:rsidR="008463AA" w:rsidRPr="004454CF" w:rsidRDefault="008463AA" w:rsidP="008463AA">
      <w:pPr>
        <w:jc w:val="center"/>
        <w:rPr>
          <w:rFonts w:ascii="Times New Roman" w:hAnsi="Times New Roman" w:cs="Times New Roman"/>
          <w:b/>
          <w:sz w:val="24"/>
          <w:szCs w:val="24"/>
        </w:rPr>
      </w:pPr>
      <w:r w:rsidRPr="004454CF">
        <w:rPr>
          <w:rFonts w:ascii="Times New Roman" w:hAnsi="Times New Roman" w:cs="Times New Roman"/>
          <w:b/>
          <w:sz w:val="24"/>
          <w:szCs w:val="24"/>
        </w:rPr>
        <w:t>DOCKET UE-1</w:t>
      </w:r>
      <w:r w:rsidR="00E549EB" w:rsidRPr="004454CF">
        <w:rPr>
          <w:rFonts w:ascii="Times New Roman" w:hAnsi="Times New Roman" w:cs="Times New Roman"/>
          <w:b/>
          <w:sz w:val="24"/>
          <w:szCs w:val="24"/>
        </w:rPr>
        <w:t>52072</w:t>
      </w:r>
      <w:r w:rsidRPr="004454CF">
        <w:rPr>
          <w:rFonts w:ascii="Times New Roman" w:hAnsi="Times New Roman" w:cs="Times New Roman"/>
          <w:b/>
          <w:sz w:val="24"/>
          <w:szCs w:val="24"/>
        </w:rPr>
        <w:t xml:space="preserve"> (PACIF</w:t>
      </w:r>
      <w:r w:rsidR="00E549EB" w:rsidRPr="004454CF">
        <w:rPr>
          <w:rFonts w:ascii="Times New Roman" w:hAnsi="Times New Roman" w:cs="Times New Roman"/>
          <w:b/>
          <w:sz w:val="24"/>
          <w:szCs w:val="24"/>
        </w:rPr>
        <w:t>IC POWER &amp; LIGHT COMPANY</w:t>
      </w:r>
      <w:r w:rsidRPr="004454CF">
        <w:rPr>
          <w:rFonts w:ascii="Times New Roman" w:hAnsi="Times New Roman" w:cs="Times New Roman"/>
          <w:b/>
          <w:sz w:val="24"/>
          <w:szCs w:val="24"/>
        </w:rPr>
        <w:t>)</w:t>
      </w:r>
    </w:p>
    <w:p w14:paraId="155DB844" w14:textId="77777777" w:rsidR="008463AA" w:rsidRPr="004454CF" w:rsidRDefault="008463AA" w:rsidP="008463AA">
      <w:pPr>
        <w:jc w:val="center"/>
        <w:rPr>
          <w:rFonts w:ascii="Times New Roman" w:hAnsi="Times New Roman" w:cs="Times New Roman"/>
          <w:b/>
          <w:sz w:val="24"/>
          <w:szCs w:val="24"/>
          <w:u w:val="single"/>
        </w:rPr>
      </w:pPr>
    </w:p>
    <w:sdt>
      <w:sdtPr>
        <w:rPr>
          <w:rFonts w:asciiTheme="minorHAnsi" w:eastAsiaTheme="minorHAnsi" w:hAnsiTheme="minorHAnsi" w:cstheme="minorBidi"/>
          <w:b w:val="0"/>
          <w:bCs w:val="0"/>
          <w:sz w:val="22"/>
          <w:szCs w:val="22"/>
          <w:lang w:eastAsia="en-US"/>
        </w:rPr>
        <w:id w:val="1306207124"/>
        <w:docPartObj>
          <w:docPartGallery w:val="Table of Contents"/>
          <w:docPartUnique/>
        </w:docPartObj>
      </w:sdtPr>
      <w:sdtEndPr/>
      <w:sdtContent>
        <w:p w14:paraId="4772C4CC" w14:textId="77777777" w:rsidR="008463AA" w:rsidRPr="004454CF" w:rsidRDefault="008463AA" w:rsidP="004454CF">
          <w:pPr>
            <w:pStyle w:val="TOCHeading"/>
            <w:ind w:left="720" w:firstLine="0"/>
            <w:jc w:val="center"/>
          </w:pPr>
          <w:r w:rsidRPr="004454CF">
            <w:t>Table of Contents</w:t>
          </w:r>
        </w:p>
        <w:p w14:paraId="35282466" w14:textId="77777777" w:rsidR="003D08D9" w:rsidRPr="004454CF" w:rsidRDefault="003D08D9" w:rsidP="003D08D9">
          <w:pPr>
            <w:rPr>
              <w:rFonts w:ascii="Times New Roman" w:hAnsi="Times New Roman" w:cs="Times New Roman"/>
              <w:lang w:eastAsia="ja-JP"/>
            </w:rPr>
          </w:pPr>
        </w:p>
        <w:p w14:paraId="670E5E9A" w14:textId="77777777" w:rsidR="00050C85" w:rsidRPr="004454CF" w:rsidRDefault="008463AA">
          <w:pPr>
            <w:pStyle w:val="TOC1"/>
            <w:tabs>
              <w:tab w:val="left" w:pos="440"/>
              <w:tab w:val="right" w:leader="dot" w:pos="9350"/>
            </w:tabs>
            <w:rPr>
              <w:rFonts w:ascii="Times New Roman" w:eastAsiaTheme="minorEastAsia" w:hAnsi="Times New Roman" w:cs="Times New Roman"/>
              <w:noProof/>
            </w:rPr>
          </w:pPr>
          <w:r w:rsidRPr="004454CF">
            <w:rPr>
              <w:rFonts w:ascii="Times New Roman" w:hAnsi="Times New Roman" w:cs="Times New Roman"/>
              <w:sz w:val="24"/>
              <w:szCs w:val="24"/>
            </w:rPr>
            <w:fldChar w:fldCharType="begin"/>
          </w:r>
          <w:r w:rsidRPr="004454CF">
            <w:rPr>
              <w:rFonts w:ascii="Times New Roman" w:hAnsi="Times New Roman" w:cs="Times New Roman"/>
              <w:sz w:val="24"/>
              <w:szCs w:val="24"/>
            </w:rPr>
            <w:instrText xml:space="preserve"> TOC \o "1-3" \h \z \u </w:instrText>
          </w:r>
          <w:r w:rsidRPr="004454CF">
            <w:rPr>
              <w:rFonts w:ascii="Times New Roman" w:hAnsi="Times New Roman" w:cs="Times New Roman"/>
              <w:sz w:val="24"/>
              <w:szCs w:val="24"/>
            </w:rPr>
            <w:fldChar w:fldCharType="separate"/>
          </w:r>
          <w:hyperlink w:anchor="_Toc436840001" w:history="1">
            <w:r w:rsidR="00050C85" w:rsidRPr="004454CF">
              <w:rPr>
                <w:rStyle w:val="Hyperlink"/>
                <w:rFonts w:ascii="Times New Roman" w:hAnsi="Times New Roman" w:cs="Times New Roman"/>
                <w:noProof/>
              </w:rPr>
              <w:t>I.</w:t>
            </w:r>
            <w:r w:rsidR="00050C85" w:rsidRPr="004454CF">
              <w:rPr>
                <w:rFonts w:ascii="Times New Roman" w:eastAsiaTheme="minorEastAsia" w:hAnsi="Times New Roman" w:cs="Times New Roman"/>
                <w:noProof/>
              </w:rPr>
              <w:tab/>
            </w:r>
            <w:r w:rsidR="00050C85" w:rsidRPr="004454CF">
              <w:rPr>
                <w:rStyle w:val="Hyperlink"/>
                <w:rFonts w:ascii="Times New Roman" w:hAnsi="Times New Roman" w:cs="Times New Roman"/>
                <w:noProof/>
              </w:rPr>
              <w:t>BACKGROUND</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_Toc436840001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sidR="00CF2949">
              <w:rPr>
                <w:rFonts w:ascii="Times New Roman" w:hAnsi="Times New Roman" w:cs="Times New Roman"/>
                <w:noProof/>
                <w:webHidden/>
              </w:rPr>
              <w:t>1</w:t>
            </w:r>
            <w:r w:rsidR="00050C85" w:rsidRPr="004454CF">
              <w:rPr>
                <w:rFonts w:ascii="Times New Roman" w:hAnsi="Times New Roman" w:cs="Times New Roman"/>
                <w:noProof/>
                <w:webHidden/>
              </w:rPr>
              <w:fldChar w:fldCharType="end"/>
            </w:r>
          </w:hyperlink>
        </w:p>
        <w:p w14:paraId="2D502F6F" w14:textId="77777777" w:rsidR="00050C85" w:rsidRPr="004454CF" w:rsidRDefault="00CF2949">
          <w:pPr>
            <w:pStyle w:val="TOC1"/>
            <w:tabs>
              <w:tab w:val="left" w:pos="440"/>
              <w:tab w:val="right" w:leader="dot" w:pos="9350"/>
            </w:tabs>
            <w:rPr>
              <w:rFonts w:ascii="Times New Roman" w:eastAsiaTheme="minorEastAsia" w:hAnsi="Times New Roman" w:cs="Times New Roman"/>
              <w:noProof/>
            </w:rPr>
          </w:pPr>
          <w:hyperlink w:anchor="_Toc436840002" w:history="1">
            <w:r w:rsidR="00050C85" w:rsidRPr="004454CF">
              <w:rPr>
                <w:rStyle w:val="Hyperlink"/>
                <w:rFonts w:ascii="Times New Roman" w:hAnsi="Times New Roman" w:cs="Times New Roman"/>
                <w:noProof/>
              </w:rPr>
              <w:t>II.</w:t>
            </w:r>
            <w:r w:rsidR="00050C85" w:rsidRPr="004454CF">
              <w:rPr>
                <w:rFonts w:ascii="Times New Roman" w:eastAsiaTheme="minorEastAsia" w:hAnsi="Times New Roman" w:cs="Times New Roman"/>
                <w:noProof/>
              </w:rPr>
              <w:tab/>
            </w:r>
            <w:r w:rsidR="00050C85" w:rsidRPr="004454CF">
              <w:rPr>
                <w:rStyle w:val="Hyperlink"/>
                <w:rFonts w:ascii="Times New Roman" w:hAnsi="Times New Roman" w:cs="Times New Roman"/>
                <w:noProof/>
              </w:rPr>
              <w:t>TARGET SETTING</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_Toc436840002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1</w:t>
            </w:r>
            <w:r w:rsidR="00050C85" w:rsidRPr="004454CF">
              <w:rPr>
                <w:rFonts w:ascii="Times New Roman" w:hAnsi="Times New Roman" w:cs="Times New Roman"/>
                <w:noProof/>
                <w:webHidden/>
              </w:rPr>
              <w:fldChar w:fldCharType="end"/>
            </w:r>
          </w:hyperlink>
        </w:p>
        <w:p w14:paraId="783887F8" w14:textId="77777777" w:rsidR="00050C85" w:rsidRPr="004454CF" w:rsidRDefault="00CF2949">
          <w:pPr>
            <w:pStyle w:val="TOC2"/>
            <w:tabs>
              <w:tab w:val="right" w:leader="dot" w:pos="9350"/>
            </w:tabs>
            <w:rPr>
              <w:rFonts w:ascii="Times New Roman" w:eastAsiaTheme="minorEastAsia" w:hAnsi="Times New Roman" w:cs="Times New Roman"/>
              <w:noProof/>
            </w:rPr>
          </w:pPr>
          <w:hyperlink w:anchor="_Toc436840003" w:history="1">
            <w:r w:rsidR="00050C85" w:rsidRPr="004454CF">
              <w:rPr>
                <w:rStyle w:val="Hyperlink"/>
                <w:rFonts w:ascii="Times New Roman" w:hAnsi="Times New Roman" w:cs="Times New Roman"/>
                <w:noProof/>
              </w:rPr>
              <w:t>Conservation Potential Assessments</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_Toc436840003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2</w:t>
            </w:r>
            <w:r w:rsidR="00050C85" w:rsidRPr="004454CF">
              <w:rPr>
                <w:rFonts w:ascii="Times New Roman" w:hAnsi="Times New Roman" w:cs="Times New Roman"/>
                <w:noProof/>
                <w:webHidden/>
              </w:rPr>
              <w:fldChar w:fldCharType="end"/>
            </w:r>
          </w:hyperlink>
        </w:p>
        <w:p w14:paraId="2BC51C59" w14:textId="77777777" w:rsidR="00050C85" w:rsidRPr="004454CF" w:rsidRDefault="00CF2949">
          <w:pPr>
            <w:pStyle w:val="TOC2"/>
            <w:tabs>
              <w:tab w:val="right" w:leader="dot" w:pos="9350"/>
            </w:tabs>
            <w:rPr>
              <w:rFonts w:ascii="Times New Roman" w:eastAsiaTheme="minorEastAsia" w:hAnsi="Times New Roman" w:cs="Times New Roman"/>
              <w:noProof/>
            </w:rPr>
          </w:pPr>
          <w:hyperlink w:anchor="_Toc436840004" w:history="1">
            <w:r w:rsidR="00050C85" w:rsidRPr="004454CF">
              <w:rPr>
                <w:rStyle w:val="Hyperlink"/>
                <w:rFonts w:ascii="Times New Roman" w:hAnsi="Times New Roman" w:cs="Times New Roman"/>
                <w:noProof/>
              </w:rPr>
              <w:t>UES Values</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_Toc436840004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3</w:t>
            </w:r>
            <w:r w:rsidR="00050C85" w:rsidRPr="004454CF">
              <w:rPr>
                <w:rFonts w:ascii="Times New Roman" w:hAnsi="Times New Roman" w:cs="Times New Roman"/>
                <w:noProof/>
                <w:webHidden/>
              </w:rPr>
              <w:fldChar w:fldCharType="end"/>
            </w:r>
          </w:hyperlink>
        </w:p>
        <w:p w14:paraId="43DD417F" w14:textId="77777777" w:rsidR="00050C85" w:rsidRPr="004454CF" w:rsidRDefault="00CF2949">
          <w:pPr>
            <w:pStyle w:val="TOC2"/>
            <w:tabs>
              <w:tab w:val="right" w:leader="dot" w:pos="9350"/>
            </w:tabs>
            <w:rPr>
              <w:rFonts w:ascii="Times New Roman" w:eastAsiaTheme="minorEastAsia" w:hAnsi="Times New Roman" w:cs="Times New Roman"/>
              <w:noProof/>
            </w:rPr>
          </w:pPr>
          <w:hyperlink w:anchor="_Toc436840005" w:history="1">
            <w:r w:rsidR="00050C85" w:rsidRPr="004454CF">
              <w:rPr>
                <w:rStyle w:val="Hyperlink"/>
                <w:rFonts w:ascii="Times New Roman" w:hAnsi="Times New Roman" w:cs="Times New Roman"/>
                <w:noProof/>
              </w:rPr>
              <w:t>Home Energy Reports</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_Toc436840005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4</w:t>
            </w:r>
            <w:r w:rsidR="00050C85" w:rsidRPr="004454CF">
              <w:rPr>
                <w:rFonts w:ascii="Times New Roman" w:hAnsi="Times New Roman" w:cs="Times New Roman"/>
                <w:noProof/>
                <w:webHidden/>
              </w:rPr>
              <w:fldChar w:fldCharType="end"/>
            </w:r>
          </w:hyperlink>
        </w:p>
        <w:p w14:paraId="1A2683B3" w14:textId="77777777" w:rsidR="00050C85" w:rsidRPr="004454CF" w:rsidRDefault="00CF2949">
          <w:pPr>
            <w:pStyle w:val="TOC2"/>
            <w:tabs>
              <w:tab w:val="right" w:leader="dot" w:pos="9350"/>
            </w:tabs>
            <w:rPr>
              <w:rFonts w:ascii="Times New Roman" w:eastAsiaTheme="minorEastAsia" w:hAnsi="Times New Roman" w:cs="Times New Roman"/>
              <w:noProof/>
            </w:rPr>
          </w:pPr>
          <w:hyperlink w:anchor="_Toc436840006" w:history="1">
            <w:r w:rsidR="00050C85" w:rsidRPr="004454CF">
              <w:rPr>
                <w:rStyle w:val="Hyperlink"/>
                <w:rFonts w:ascii="Times New Roman" w:hAnsi="Times New Roman" w:cs="Times New Roman"/>
                <w:noProof/>
              </w:rPr>
              <w:t>NEEA</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_Toc436840006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4</w:t>
            </w:r>
            <w:r w:rsidR="00050C85" w:rsidRPr="004454CF">
              <w:rPr>
                <w:rFonts w:ascii="Times New Roman" w:hAnsi="Times New Roman" w:cs="Times New Roman"/>
                <w:noProof/>
                <w:webHidden/>
              </w:rPr>
              <w:fldChar w:fldCharType="end"/>
            </w:r>
          </w:hyperlink>
        </w:p>
        <w:p w14:paraId="52972658" w14:textId="77777777" w:rsidR="00050C85" w:rsidRPr="004454CF" w:rsidRDefault="00CF2949">
          <w:pPr>
            <w:pStyle w:val="TOC2"/>
            <w:tabs>
              <w:tab w:val="right" w:leader="dot" w:pos="9350"/>
            </w:tabs>
            <w:rPr>
              <w:rFonts w:ascii="Times New Roman" w:eastAsiaTheme="minorEastAsia" w:hAnsi="Times New Roman" w:cs="Times New Roman"/>
              <w:noProof/>
            </w:rPr>
          </w:pPr>
          <w:hyperlink w:anchor="_Toc436840007" w:history="1">
            <w:r w:rsidR="00050C85" w:rsidRPr="004454CF">
              <w:rPr>
                <w:rStyle w:val="Hyperlink"/>
                <w:rFonts w:ascii="Times New Roman" w:hAnsi="Times New Roman" w:cs="Times New Roman"/>
                <w:noProof/>
              </w:rPr>
              <w:t>Decoupling Targets and Excess Savings</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_Toc436840007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5</w:t>
            </w:r>
            <w:r w:rsidR="00050C85" w:rsidRPr="004454CF">
              <w:rPr>
                <w:rFonts w:ascii="Times New Roman" w:hAnsi="Times New Roman" w:cs="Times New Roman"/>
                <w:noProof/>
                <w:webHidden/>
              </w:rPr>
              <w:fldChar w:fldCharType="end"/>
            </w:r>
          </w:hyperlink>
        </w:p>
        <w:p w14:paraId="0BA6E047" w14:textId="77777777" w:rsidR="00050C85" w:rsidRPr="004454CF" w:rsidRDefault="00CF2949">
          <w:pPr>
            <w:pStyle w:val="TOC1"/>
            <w:tabs>
              <w:tab w:val="left" w:pos="660"/>
              <w:tab w:val="right" w:leader="dot" w:pos="9350"/>
            </w:tabs>
            <w:rPr>
              <w:rFonts w:ascii="Times New Roman" w:eastAsiaTheme="minorEastAsia" w:hAnsi="Times New Roman" w:cs="Times New Roman"/>
              <w:noProof/>
            </w:rPr>
          </w:pPr>
          <w:hyperlink w:anchor="_Toc436840008" w:history="1">
            <w:r w:rsidR="00050C85" w:rsidRPr="004454CF">
              <w:rPr>
                <w:rStyle w:val="Hyperlink"/>
                <w:rFonts w:ascii="Times New Roman" w:hAnsi="Times New Roman" w:cs="Times New Roman"/>
                <w:noProof/>
              </w:rPr>
              <w:t>III.</w:t>
            </w:r>
            <w:r w:rsidR="00050C85" w:rsidRPr="004454CF">
              <w:rPr>
                <w:rFonts w:ascii="Times New Roman" w:eastAsiaTheme="minorEastAsia" w:hAnsi="Times New Roman" w:cs="Times New Roman"/>
                <w:noProof/>
              </w:rPr>
              <w:tab/>
            </w:r>
            <w:r w:rsidR="00050C85" w:rsidRPr="004454CF">
              <w:rPr>
                <w:rStyle w:val="Hyperlink"/>
                <w:rFonts w:ascii="Times New Roman" w:hAnsi="Times New Roman" w:cs="Times New Roman"/>
                <w:noProof/>
              </w:rPr>
              <w:t>COMPANY TARGETS AND PLANS</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_Toc436840008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6</w:t>
            </w:r>
            <w:r w:rsidR="00050C85" w:rsidRPr="004454CF">
              <w:rPr>
                <w:rFonts w:ascii="Times New Roman" w:hAnsi="Times New Roman" w:cs="Times New Roman"/>
                <w:noProof/>
                <w:webHidden/>
              </w:rPr>
              <w:fldChar w:fldCharType="end"/>
            </w:r>
          </w:hyperlink>
        </w:p>
        <w:p w14:paraId="1BF6C342" w14:textId="77777777" w:rsidR="00050C85" w:rsidRPr="004454CF" w:rsidRDefault="00CF2949">
          <w:pPr>
            <w:pStyle w:val="TOC2"/>
            <w:tabs>
              <w:tab w:val="right" w:leader="dot" w:pos="9350"/>
            </w:tabs>
            <w:rPr>
              <w:rFonts w:ascii="Times New Roman" w:eastAsiaTheme="minorEastAsia" w:hAnsi="Times New Roman" w:cs="Times New Roman"/>
              <w:noProof/>
            </w:rPr>
          </w:pPr>
          <w:hyperlink w:anchor="_Toc436840009" w:history="1">
            <w:r w:rsidR="00050C85" w:rsidRPr="004454CF">
              <w:rPr>
                <w:rStyle w:val="Hyperlink"/>
                <w:rFonts w:ascii="Times New Roman" w:hAnsi="Times New Roman" w:cs="Times New Roman"/>
                <w:noProof/>
              </w:rPr>
              <w:t>Puget Sound Energy (Docket UE-152058)</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_Toc436840009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6</w:t>
            </w:r>
            <w:r w:rsidR="00050C85" w:rsidRPr="004454CF">
              <w:rPr>
                <w:rFonts w:ascii="Times New Roman" w:hAnsi="Times New Roman" w:cs="Times New Roman"/>
                <w:noProof/>
                <w:webHidden/>
              </w:rPr>
              <w:fldChar w:fldCharType="end"/>
            </w:r>
          </w:hyperlink>
        </w:p>
        <w:p w14:paraId="64AD8F0B" w14:textId="77777777" w:rsidR="00050C85" w:rsidRPr="004454CF" w:rsidRDefault="00CF2949">
          <w:pPr>
            <w:pStyle w:val="TOC2"/>
            <w:tabs>
              <w:tab w:val="right" w:leader="dot" w:pos="9350"/>
            </w:tabs>
            <w:rPr>
              <w:rFonts w:ascii="Times New Roman" w:eastAsiaTheme="minorEastAsia" w:hAnsi="Times New Roman" w:cs="Times New Roman"/>
              <w:noProof/>
            </w:rPr>
          </w:pPr>
          <w:hyperlink w:anchor="_Toc436840010" w:history="1">
            <w:r w:rsidR="00050C85" w:rsidRPr="004454CF">
              <w:rPr>
                <w:rStyle w:val="Hyperlink"/>
                <w:rFonts w:ascii="Times New Roman" w:hAnsi="Times New Roman" w:cs="Times New Roman"/>
                <w:noProof/>
              </w:rPr>
              <w:t>Avista (Docket UE-152076)</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_Toc436840010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8</w:t>
            </w:r>
            <w:r w:rsidR="00050C85" w:rsidRPr="004454CF">
              <w:rPr>
                <w:rFonts w:ascii="Times New Roman" w:hAnsi="Times New Roman" w:cs="Times New Roman"/>
                <w:noProof/>
                <w:webHidden/>
              </w:rPr>
              <w:fldChar w:fldCharType="end"/>
            </w:r>
          </w:hyperlink>
        </w:p>
        <w:p w14:paraId="7155918E" w14:textId="77777777" w:rsidR="00050C85" w:rsidRPr="004454CF" w:rsidRDefault="00CF2949">
          <w:pPr>
            <w:pStyle w:val="TOC2"/>
            <w:tabs>
              <w:tab w:val="right" w:leader="dot" w:pos="9350"/>
            </w:tabs>
            <w:rPr>
              <w:rFonts w:ascii="Times New Roman" w:eastAsiaTheme="minorEastAsia" w:hAnsi="Times New Roman" w:cs="Times New Roman"/>
              <w:noProof/>
            </w:rPr>
          </w:pPr>
          <w:hyperlink w:anchor="_Toc436840011" w:history="1">
            <w:r w:rsidR="00050C85" w:rsidRPr="004454CF">
              <w:rPr>
                <w:rStyle w:val="Hyperlink"/>
                <w:rFonts w:ascii="Times New Roman" w:hAnsi="Times New Roman" w:cs="Times New Roman"/>
                <w:noProof/>
              </w:rPr>
              <w:t>Pacific Power (Docket UE-152072)</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_Toc436840011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9</w:t>
            </w:r>
            <w:r w:rsidR="00050C85" w:rsidRPr="004454CF">
              <w:rPr>
                <w:rFonts w:ascii="Times New Roman" w:hAnsi="Times New Roman" w:cs="Times New Roman"/>
                <w:noProof/>
                <w:webHidden/>
              </w:rPr>
              <w:fldChar w:fldCharType="end"/>
            </w:r>
          </w:hyperlink>
        </w:p>
        <w:p w14:paraId="7ABDD863" w14:textId="77777777" w:rsidR="00050C85" w:rsidRPr="004454CF" w:rsidRDefault="00CF2949">
          <w:pPr>
            <w:pStyle w:val="TOC1"/>
            <w:tabs>
              <w:tab w:val="left" w:pos="660"/>
              <w:tab w:val="right" w:leader="dot" w:pos="9350"/>
            </w:tabs>
            <w:rPr>
              <w:rFonts w:ascii="Times New Roman" w:eastAsiaTheme="minorEastAsia" w:hAnsi="Times New Roman" w:cs="Times New Roman"/>
              <w:noProof/>
            </w:rPr>
          </w:pPr>
          <w:hyperlink w:anchor="_Toc436840012" w:history="1">
            <w:r w:rsidR="00050C85" w:rsidRPr="004454CF">
              <w:rPr>
                <w:rStyle w:val="Hyperlink"/>
                <w:rFonts w:ascii="Times New Roman" w:hAnsi="Times New Roman" w:cs="Times New Roman"/>
                <w:noProof/>
              </w:rPr>
              <w:t>IV.</w:t>
            </w:r>
            <w:r w:rsidR="00050C85" w:rsidRPr="004454CF">
              <w:rPr>
                <w:rFonts w:ascii="Times New Roman" w:eastAsiaTheme="minorEastAsia" w:hAnsi="Times New Roman" w:cs="Times New Roman"/>
                <w:noProof/>
              </w:rPr>
              <w:tab/>
            </w:r>
            <w:r w:rsidR="00050C85" w:rsidRPr="004454CF">
              <w:rPr>
                <w:rStyle w:val="Hyperlink"/>
                <w:rFonts w:ascii="Times New Roman" w:hAnsi="Times New Roman" w:cs="Times New Roman"/>
                <w:noProof/>
              </w:rPr>
              <w:t>CONCLUSION</w:t>
            </w:r>
            <w:r w:rsidR="00050C85" w:rsidRPr="004454CF">
              <w:rPr>
                <w:rFonts w:ascii="Times New Roman" w:hAnsi="Times New Roman" w:cs="Times New Roman"/>
                <w:noProof/>
                <w:webHidden/>
              </w:rPr>
              <w:tab/>
            </w:r>
            <w:r w:rsidR="00050C85" w:rsidRPr="004454CF">
              <w:rPr>
                <w:rFonts w:ascii="Times New Roman" w:hAnsi="Times New Roman" w:cs="Times New Roman"/>
                <w:noProof/>
                <w:webHidden/>
              </w:rPr>
              <w:fldChar w:fldCharType="begin"/>
            </w:r>
            <w:r w:rsidR="00050C85" w:rsidRPr="004454CF">
              <w:rPr>
                <w:rFonts w:ascii="Times New Roman" w:hAnsi="Times New Roman" w:cs="Times New Roman"/>
                <w:noProof/>
                <w:webHidden/>
              </w:rPr>
              <w:instrText xml:space="preserve"> PAGEREF _Toc436840012 \h </w:instrText>
            </w:r>
            <w:r w:rsidR="00050C85" w:rsidRPr="004454CF">
              <w:rPr>
                <w:rFonts w:ascii="Times New Roman" w:hAnsi="Times New Roman" w:cs="Times New Roman"/>
                <w:noProof/>
                <w:webHidden/>
              </w:rPr>
            </w:r>
            <w:r w:rsidR="00050C85" w:rsidRPr="004454CF">
              <w:rPr>
                <w:rFonts w:ascii="Times New Roman" w:hAnsi="Times New Roman" w:cs="Times New Roman"/>
                <w:noProof/>
                <w:webHidden/>
              </w:rPr>
              <w:fldChar w:fldCharType="separate"/>
            </w:r>
            <w:r>
              <w:rPr>
                <w:rFonts w:ascii="Times New Roman" w:hAnsi="Times New Roman" w:cs="Times New Roman"/>
                <w:noProof/>
                <w:webHidden/>
              </w:rPr>
              <w:t>11</w:t>
            </w:r>
            <w:r w:rsidR="00050C85" w:rsidRPr="004454CF">
              <w:rPr>
                <w:rFonts w:ascii="Times New Roman" w:hAnsi="Times New Roman" w:cs="Times New Roman"/>
                <w:noProof/>
                <w:webHidden/>
              </w:rPr>
              <w:fldChar w:fldCharType="end"/>
            </w:r>
          </w:hyperlink>
        </w:p>
        <w:p w14:paraId="625C759A" w14:textId="77777777" w:rsidR="008463AA" w:rsidRPr="004454CF" w:rsidRDefault="008463AA" w:rsidP="008463AA">
          <w:pPr>
            <w:rPr>
              <w:rFonts w:ascii="Times New Roman" w:hAnsi="Times New Roman" w:cs="Times New Roman"/>
              <w:sz w:val="24"/>
              <w:szCs w:val="24"/>
            </w:rPr>
          </w:pPr>
          <w:r w:rsidRPr="004454CF">
            <w:rPr>
              <w:rFonts w:ascii="Times New Roman" w:hAnsi="Times New Roman" w:cs="Times New Roman"/>
              <w:b/>
              <w:bCs/>
              <w:noProof/>
              <w:sz w:val="24"/>
              <w:szCs w:val="24"/>
            </w:rPr>
            <w:fldChar w:fldCharType="end"/>
          </w:r>
        </w:p>
      </w:sdtContent>
    </w:sdt>
    <w:p w14:paraId="10187D66" w14:textId="77777777" w:rsidR="008463AA" w:rsidRPr="004454CF" w:rsidRDefault="008463AA" w:rsidP="008463AA">
      <w:pPr>
        <w:pStyle w:val="TableofFigures"/>
        <w:tabs>
          <w:tab w:val="right" w:leader="dot" w:pos="9350"/>
        </w:tabs>
        <w:rPr>
          <w:rStyle w:val="Strong"/>
          <w:rFonts w:ascii="Times New Roman" w:hAnsi="Times New Roman" w:cs="Times New Roman"/>
          <w:b w:val="0"/>
          <w:bCs w:val="0"/>
          <w:sz w:val="24"/>
          <w:szCs w:val="24"/>
          <w:lang w:eastAsia="ja-JP"/>
        </w:rPr>
      </w:pPr>
    </w:p>
    <w:p w14:paraId="168F6D7A" w14:textId="77777777" w:rsidR="008463AA" w:rsidRPr="004454CF" w:rsidRDefault="008463AA" w:rsidP="008463AA">
      <w:pPr>
        <w:pStyle w:val="TableofFigures"/>
        <w:tabs>
          <w:tab w:val="right" w:leader="dot" w:pos="9350"/>
        </w:tabs>
        <w:rPr>
          <w:rStyle w:val="Strong"/>
          <w:rFonts w:ascii="Times New Roman" w:hAnsi="Times New Roman" w:cs="Times New Roman"/>
          <w:bCs w:val="0"/>
          <w:sz w:val="24"/>
          <w:szCs w:val="24"/>
          <w:lang w:eastAsia="ja-JP"/>
        </w:rPr>
      </w:pPr>
      <w:r w:rsidRPr="004454CF">
        <w:rPr>
          <w:rStyle w:val="Strong"/>
          <w:rFonts w:ascii="Times New Roman" w:hAnsi="Times New Roman" w:cs="Times New Roman"/>
          <w:sz w:val="24"/>
          <w:szCs w:val="24"/>
          <w:lang w:eastAsia="ja-JP"/>
        </w:rPr>
        <w:t>List of Tables</w:t>
      </w:r>
    </w:p>
    <w:p w14:paraId="1767965F" w14:textId="77777777" w:rsidR="008463AA" w:rsidRPr="004454CF" w:rsidRDefault="008463AA" w:rsidP="008463AA">
      <w:pPr>
        <w:rPr>
          <w:rFonts w:ascii="Times New Roman" w:hAnsi="Times New Roman" w:cs="Times New Roman"/>
          <w:sz w:val="24"/>
          <w:szCs w:val="24"/>
        </w:rPr>
      </w:pPr>
    </w:p>
    <w:p w14:paraId="47889F8E" w14:textId="40BF7F29" w:rsidR="005C6F77" w:rsidRPr="004454CF" w:rsidRDefault="008463AA" w:rsidP="005C6F77">
      <w:pPr>
        <w:pStyle w:val="TableofFigures"/>
        <w:tabs>
          <w:tab w:val="right" w:leader="dot" w:pos="9350"/>
        </w:tabs>
        <w:rPr>
          <w:rFonts w:ascii="Times New Roman" w:hAnsi="Times New Roman" w:cs="Times New Roman"/>
          <w:noProof/>
        </w:rPr>
      </w:pPr>
      <w:r w:rsidRPr="004454CF">
        <w:rPr>
          <w:rStyle w:val="Strong"/>
          <w:rFonts w:ascii="Times New Roman" w:hAnsi="Times New Roman" w:cs="Times New Roman"/>
          <w:b w:val="0"/>
          <w:bCs w:val="0"/>
          <w:sz w:val="24"/>
          <w:szCs w:val="24"/>
          <w:lang w:eastAsia="ja-JP"/>
        </w:rPr>
        <w:fldChar w:fldCharType="begin"/>
      </w:r>
      <w:r w:rsidRPr="004454CF">
        <w:rPr>
          <w:rStyle w:val="Strong"/>
          <w:rFonts w:ascii="Times New Roman" w:hAnsi="Times New Roman" w:cs="Times New Roman"/>
          <w:sz w:val="24"/>
          <w:szCs w:val="24"/>
          <w:lang w:eastAsia="ja-JP"/>
        </w:rPr>
        <w:instrText xml:space="preserve"> TOC \h \z \c "Table" </w:instrText>
      </w:r>
      <w:r w:rsidRPr="004454CF">
        <w:rPr>
          <w:rStyle w:val="Strong"/>
          <w:rFonts w:ascii="Times New Roman" w:hAnsi="Times New Roman" w:cs="Times New Roman"/>
          <w:b w:val="0"/>
          <w:bCs w:val="0"/>
          <w:sz w:val="24"/>
          <w:szCs w:val="24"/>
          <w:lang w:eastAsia="ja-JP"/>
        </w:rPr>
        <w:fldChar w:fldCharType="separate"/>
      </w:r>
      <w:hyperlink w:anchor="_Toc436655111" w:history="1">
        <w:r w:rsidR="00013B07" w:rsidRPr="004454CF">
          <w:rPr>
            <w:rStyle w:val="Hyperlink"/>
            <w:rFonts w:ascii="Times New Roman" w:eastAsia="Calibri" w:hAnsi="Times New Roman" w:cs="Times New Roman"/>
            <w:bCs/>
            <w:noProof/>
          </w:rPr>
          <w:t>Table 1. PSE Conservation Savings and Budgets</w:t>
        </w:r>
        <w:r w:rsidR="00013B07" w:rsidRPr="004454CF">
          <w:rPr>
            <w:rFonts w:ascii="Times New Roman" w:hAnsi="Times New Roman" w:cs="Times New Roman"/>
            <w:noProof/>
            <w:webHidden/>
          </w:rPr>
          <w:tab/>
        </w:r>
        <w:r w:rsidR="00050C85" w:rsidRPr="004454CF">
          <w:rPr>
            <w:rFonts w:ascii="Times New Roman" w:hAnsi="Times New Roman" w:cs="Times New Roman"/>
            <w:noProof/>
            <w:webHidden/>
          </w:rPr>
          <w:t>7</w:t>
        </w:r>
      </w:hyperlink>
    </w:p>
    <w:p w14:paraId="0E79C035" w14:textId="3C3B0F1C" w:rsidR="000257AC" w:rsidRPr="004454CF" w:rsidRDefault="005C6F77" w:rsidP="005C6F77">
      <w:pPr>
        <w:pStyle w:val="TableofFigures"/>
        <w:tabs>
          <w:tab w:val="right" w:leader="dot" w:pos="9350"/>
        </w:tabs>
        <w:rPr>
          <w:rFonts w:ascii="Times New Roman" w:hAnsi="Times New Roman" w:cs="Times New Roman"/>
          <w:noProof/>
        </w:rPr>
      </w:pPr>
      <w:r w:rsidRPr="004454CF">
        <w:rPr>
          <w:rFonts w:ascii="Times New Roman" w:hAnsi="Times New Roman" w:cs="Times New Roman"/>
        </w:rPr>
        <w:t>Table 2. Avista Conservation Savings and Budgets</w:t>
      </w:r>
      <w:r w:rsidR="000257AC" w:rsidRPr="004454CF">
        <w:rPr>
          <w:rFonts w:ascii="Times New Roman" w:hAnsi="Times New Roman" w:cs="Times New Roman"/>
        </w:rPr>
        <w:tab/>
      </w:r>
      <w:r w:rsidR="00050C85" w:rsidRPr="004454CF">
        <w:rPr>
          <w:rFonts w:ascii="Times New Roman" w:hAnsi="Times New Roman" w:cs="Times New Roman"/>
        </w:rPr>
        <w:t>8</w:t>
      </w:r>
      <w:r w:rsidR="000257AC" w:rsidRPr="004454CF">
        <w:rPr>
          <w:rFonts w:ascii="Times New Roman" w:hAnsi="Times New Roman" w:cs="Times New Roman"/>
        </w:rPr>
        <w:tab/>
      </w:r>
    </w:p>
    <w:p w14:paraId="784D49AA" w14:textId="0839CCD3" w:rsidR="00013B07" w:rsidRPr="004454CF" w:rsidRDefault="00CF2949">
      <w:pPr>
        <w:pStyle w:val="TableofFigures"/>
        <w:tabs>
          <w:tab w:val="right" w:leader="dot" w:pos="9350"/>
        </w:tabs>
        <w:rPr>
          <w:rFonts w:ascii="Times New Roman" w:eastAsiaTheme="minorEastAsia" w:hAnsi="Times New Roman" w:cs="Times New Roman"/>
          <w:noProof/>
        </w:rPr>
      </w:pPr>
      <w:hyperlink w:anchor="_Toc436655112" w:history="1">
        <w:r w:rsidR="00013B07" w:rsidRPr="004454CF">
          <w:rPr>
            <w:rStyle w:val="Hyperlink"/>
            <w:rFonts w:ascii="Times New Roman" w:hAnsi="Times New Roman" w:cs="Times New Roman"/>
            <w:noProof/>
          </w:rPr>
          <w:t>Table 3. Pacific Power Conservation Savings and Budgets</w:t>
        </w:r>
        <w:r w:rsidR="00013B07" w:rsidRPr="004454CF">
          <w:rPr>
            <w:rFonts w:ascii="Times New Roman" w:hAnsi="Times New Roman" w:cs="Times New Roman"/>
            <w:noProof/>
            <w:webHidden/>
          </w:rPr>
          <w:tab/>
        </w:r>
        <w:r w:rsidR="00050C85" w:rsidRPr="004454CF">
          <w:rPr>
            <w:rFonts w:ascii="Times New Roman" w:hAnsi="Times New Roman" w:cs="Times New Roman"/>
            <w:noProof/>
            <w:webHidden/>
          </w:rPr>
          <w:t>10</w:t>
        </w:r>
      </w:hyperlink>
    </w:p>
    <w:p w14:paraId="137A47BD" w14:textId="0F36AF11" w:rsidR="008463AA" w:rsidRPr="004454CF" w:rsidRDefault="008463AA" w:rsidP="008463AA">
      <w:pPr>
        <w:pStyle w:val="Heading1"/>
        <w:ind w:left="1080"/>
        <w:rPr>
          <w:rStyle w:val="Strong"/>
          <w:rFonts w:ascii="Times New Roman" w:hAnsi="Times New Roman" w:cs="Times New Roman"/>
          <w:sz w:val="24"/>
          <w:szCs w:val="24"/>
          <w:lang w:eastAsia="ja-JP"/>
        </w:rPr>
      </w:pPr>
      <w:r w:rsidRPr="004454CF">
        <w:rPr>
          <w:rStyle w:val="Strong"/>
          <w:rFonts w:ascii="Times New Roman" w:hAnsi="Times New Roman" w:cs="Times New Roman"/>
          <w:sz w:val="24"/>
          <w:szCs w:val="24"/>
          <w:lang w:eastAsia="ja-JP"/>
        </w:rPr>
        <w:fldChar w:fldCharType="end"/>
      </w:r>
      <w:bookmarkStart w:id="1" w:name="_Toc373834547"/>
      <w:bookmarkEnd w:id="1"/>
    </w:p>
    <w:p w14:paraId="551ED6AE" w14:textId="77777777" w:rsidR="008463AA" w:rsidRPr="004454CF" w:rsidRDefault="008463AA" w:rsidP="008463AA">
      <w:pPr>
        <w:rPr>
          <w:rStyle w:val="Strong"/>
          <w:rFonts w:ascii="Times New Roman" w:eastAsiaTheme="majorEastAsia" w:hAnsi="Times New Roman" w:cs="Times New Roman"/>
          <w:b w:val="0"/>
          <w:bCs w:val="0"/>
          <w:sz w:val="24"/>
          <w:szCs w:val="24"/>
          <w:lang w:eastAsia="ja-JP"/>
        </w:rPr>
      </w:pPr>
      <w:r w:rsidRPr="004454CF">
        <w:rPr>
          <w:rFonts w:ascii="Times New Roman" w:hAnsi="Times New Roman" w:cs="Times New Roman"/>
          <w:b/>
          <w:bCs/>
          <w:sz w:val="24"/>
          <w:szCs w:val="24"/>
          <w:lang w:eastAsia="ja-JP"/>
        </w:rPr>
        <w:br w:type="page"/>
      </w:r>
    </w:p>
    <w:p w14:paraId="1B1EB3D2" w14:textId="77777777" w:rsidR="008463AA" w:rsidRPr="004454CF" w:rsidRDefault="008463AA" w:rsidP="00D5036F">
      <w:pPr>
        <w:pStyle w:val="Heading1"/>
        <w:numPr>
          <w:ilvl w:val="0"/>
          <w:numId w:val="1"/>
        </w:numPr>
        <w:spacing w:before="240"/>
        <w:rPr>
          <w:rStyle w:val="Strong"/>
          <w:rFonts w:ascii="Times New Roman" w:hAnsi="Times New Roman" w:cs="Times New Roman"/>
          <w:b/>
          <w:bCs/>
        </w:rPr>
      </w:pPr>
      <w:bookmarkStart w:id="2" w:name="_Toc436840001"/>
      <w:r w:rsidRPr="004454CF">
        <w:rPr>
          <w:rStyle w:val="Strong"/>
          <w:rFonts w:ascii="Times New Roman" w:hAnsi="Times New Roman" w:cs="Times New Roman"/>
          <w:b/>
        </w:rPr>
        <w:lastRenderedPageBreak/>
        <w:t>BACKGROUND</w:t>
      </w:r>
      <w:bookmarkEnd w:id="2"/>
    </w:p>
    <w:p w14:paraId="03E53444" w14:textId="77777777" w:rsidR="008463AA" w:rsidRPr="004454CF" w:rsidRDefault="008463AA" w:rsidP="008463AA">
      <w:pPr>
        <w:rPr>
          <w:rFonts w:ascii="Times New Roman" w:hAnsi="Times New Roman" w:cs="Times New Roman"/>
          <w:b/>
          <w:sz w:val="24"/>
          <w:szCs w:val="24"/>
        </w:rPr>
      </w:pPr>
    </w:p>
    <w:p w14:paraId="0B12D84B" w14:textId="0C2187B9" w:rsidR="008463AA" w:rsidRPr="004454CF" w:rsidRDefault="00EE311C" w:rsidP="008463AA">
      <w:pPr>
        <w:rPr>
          <w:rFonts w:ascii="Times New Roman" w:hAnsi="Times New Roman" w:cs="Times New Roman"/>
          <w:sz w:val="24"/>
          <w:szCs w:val="24"/>
        </w:rPr>
      </w:pPr>
      <w:r w:rsidRPr="004454CF">
        <w:rPr>
          <w:rFonts w:ascii="Times New Roman" w:hAnsi="Times New Roman" w:cs="Times New Roman"/>
          <w:sz w:val="24"/>
          <w:szCs w:val="24"/>
        </w:rPr>
        <w:t>On October</w:t>
      </w:r>
      <w:r w:rsidR="003140A0" w:rsidRPr="004454CF">
        <w:rPr>
          <w:rFonts w:ascii="Times New Roman" w:hAnsi="Times New Roman" w:cs="Times New Roman"/>
          <w:sz w:val="24"/>
          <w:szCs w:val="24"/>
        </w:rPr>
        <w:t xml:space="preserve"> 29 and</w:t>
      </w:r>
      <w:r w:rsidRPr="004454CF">
        <w:rPr>
          <w:rFonts w:ascii="Times New Roman" w:hAnsi="Times New Roman" w:cs="Times New Roman"/>
          <w:sz w:val="24"/>
          <w:szCs w:val="24"/>
        </w:rPr>
        <w:t xml:space="preserve"> 30, 2015</w:t>
      </w:r>
      <w:r w:rsidR="008463AA" w:rsidRPr="004454CF">
        <w:rPr>
          <w:rFonts w:ascii="Times New Roman" w:hAnsi="Times New Roman" w:cs="Times New Roman"/>
          <w:sz w:val="24"/>
          <w:szCs w:val="24"/>
        </w:rPr>
        <w:t xml:space="preserve">, Puget Sound Energy (PSE), Avista Corporation (Avista) and Pacific Power </w:t>
      </w:r>
      <w:r w:rsidR="008F3B10" w:rsidRPr="004454CF">
        <w:rPr>
          <w:rFonts w:ascii="Times New Roman" w:hAnsi="Times New Roman" w:cs="Times New Roman"/>
          <w:sz w:val="24"/>
          <w:szCs w:val="24"/>
        </w:rPr>
        <w:t>&amp;</w:t>
      </w:r>
      <w:r w:rsidR="008463AA" w:rsidRPr="004454CF">
        <w:rPr>
          <w:rFonts w:ascii="Times New Roman" w:hAnsi="Times New Roman" w:cs="Times New Roman"/>
          <w:sz w:val="24"/>
          <w:szCs w:val="24"/>
        </w:rPr>
        <w:t xml:space="preserve"> Light Company (Pacifi</w:t>
      </w:r>
      <w:r w:rsidR="00E549EB" w:rsidRPr="004454CF">
        <w:rPr>
          <w:rFonts w:ascii="Times New Roman" w:hAnsi="Times New Roman" w:cs="Times New Roman"/>
          <w:sz w:val="24"/>
          <w:szCs w:val="24"/>
        </w:rPr>
        <w:t>c Power</w:t>
      </w:r>
      <w:r w:rsidR="008463AA" w:rsidRPr="004454CF">
        <w:rPr>
          <w:rFonts w:ascii="Times New Roman" w:hAnsi="Times New Roman" w:cs="Times New Roman"/>
          <w:sz w:val="24"/>
          <w:szCs w:val="24"/>
        </w:rPr>
        <w:t>) timely filed their respective Biennial Conservation Plans (BCPs or Plans) with the Washington Utilities and Transportation Commission (Commission), as required by the Energy Independence Act (EIA),</w:t>
      </w:r>
      <w:r w:rsidR="008463AA" w:rsidRPr="004454CF">
        <w:rPr>
          <w:rStyle w:val="FootnoteReference"/>
          <w:rFonts w:ascii="Times New Roman" w:hAnsi="Times New Roman" w:cs="Times New Roman"/>
          <w:sz w:val="24"/>
          <w:szCs w:val="24"/>
        </w:rPr>
        <w:footnoteReference w:id="2"/>
      </w:r>
      <w:r w:rsidR="008463AA" w:rsidRPr="004454CF">
        <w:rPr>
          <w:rFonts w:ascii="Times New Roman" w:hAnsi="Times New Roman" w:cs="Times New Roman"/>
          <w:sz w:val="24"/>
          <w:szCs w:val="24"/>
        </w:rPr>
        <w:t xml:space="preserve"> WAC 480-109-</w:t>
      </w:r>
      <w:r w:rsidRPr="004454CF">
        <w:rPr>
          <w:rFonts w:ascii="Times New Roman" w:hAnsi="Times New Roman" w:cs="Times New Roman"/>
          <w:sz w:val="24"/>
          <w:szCs w:val="24"/>
        </w:rPr>
        <w:t>120</w:t>
      </w:r>
      <w:r w:rsidR="008463AA" w:rsidRPr="004454CF">
        <w:rPr>
          <w:rFonts w:ascii="Times New Roman" w:hAnsi="Times New Roman" w:cs="Times New Roman"/>
          <w:sz w:val="24"/>
          <w:szCs w:val="24"/>
        </w:rPr>
        <w:t xml:space="preserve">, and prior Commission orders. </w:t>
      </w:r>
    </w:p>
    <w:p w14:paraId="6D006293" w14:textId="77777777" w:rsidR="007A4FAC" w:rsidRPr="004454CF" w:rsidRDefault="007A4FAC" w:rsidP="007A4FAC">
      <w:pPr>
        <w:rPr>
          <w:rFonts w:ascii="Times New Roman" w:hAnsi="Times New Roman" w:cs="Times New Roman"/>
          <w:sz w:val="24"/>
          <w:szCs w:val="24"/>
        </w:rPr>
      </w:pPr>
    </w:p>
    <w:p w14:paraId="42D29D7C" w14:textId="55251C5E" w:rsidR="007A4FAC" w:rsidRPr="004454CF" w:rsidRDefault="007A4FAC" w:rsidP="007A4FAC">
      <w:pPr>
        <w:rPr>
          <w:rFonts w:ascii="Times New Roman" w:hAnsi="Times New Roman" w:cs="Times New Roman"/>
          <w:sz w:val="24"/>
          <w:szCs w:val="24"/>
        </w:rPr>
      </w:pPr>
      <w:r w:rsidRPr="004454CF">
        <w:rPr>
          <w:rFonts w:ascii="Times New Roman" w:hAnsi="Times New Roman" w:cs="Times New Roman"/>
          <w:sz w:val="24"/>
          <w:szCs w:val="24"/>
        </w:rPr>
        <w:t xml:space="preserve">Commission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participated in the development of the Plans through advisory groups for all three companies, and conducted a thorough review of the Plans as filed.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’s review focused on verifying</w:t>
      </w:r>
      <w:r w:rsidR="008F3B10" w:rsidRPr="004454CF">
        <w:rPr>
          <w:rFonts w:ascii="Times New Roman" w:hAnsi="Times New Roman" w:cs="Times New Roman"/>
          <w:sz w:val="24"/>
          <w:szCs w:val="24"/>
        </w:rPr>
        <w:t>:</w:t>
      </w:r>
      <w:r w:rsidRPr="004454CF">
        <w:rPr>
          <w:rFonts w:ascii="Times New Roman" w:hAnsi="Times New Roman" w:cs="Times New Roman"/>
          <w:sz w:val="24"/>
          <w:szCs w:val="24"/>
        </w:rPr>
        <w:t xml:space="preserve"> that the companies used methodologies consistent with the Northwest Power and Conservation Council’s (Council) most recent </w:t>
      </w:r>
      <w:r w:rsidR="003140A0" w:rsidRPr="004454CF">
        <w:rPr>
          <w:rFonts w:ascii="Times New Roman" w:hAnsi="Times New Roman" w:cs="Times New Roman"/>
          <w:sz w:val="24"/>
          <w:szCs w:val="24"/>
        </w:rPr>
        <w:t xml:space="preserve">final </w:t>
      </w:r>
      <w:r w:rsidRPr="004454CF">
        <w:rPr>
          <w:rFonts w:ascii="Times New Roman" w:hAnsi="Times New Roman" w:cs="Times New Roman"/>
          <w:sz w:val="24"/>
          <w:szCs w:val="24"/>
        </w:rPr>
        <w:t>Power Plan;</w:t>
      </w:r>
      <w:r w:rsidRPr="004454CF">
        <w:rPr>
          <w:rStyle w:val="FootnoteReference"/>
          <w:rFonts w:ascii="Times New Roman" w:hAnsi="Times New Roman" w:cs="Times New Roman"/>
          <w:sz w:val="24"/>
          <w:szCs w:val="24"/>
        </w:rPr>
        <w:footnoteReference w:id="3"/>
      </w:r>
      <w:r w:rsidRPr="004454CF">
        <w:rPr>
          <w:rFonts w:ascii="Times New Roman" w:hAnsi="Times New Roman" w:cs="Times New Roman"/>
          <w:sz w:val="24"/>
          <w:szCs w:val="24"/>
        </w:rPr>
        <w:t xml:space="preserve"> that proposed program changes are appropriate; and that each Plan complies with the statutory requirement to “pursue all available conservation that is cost-effective, reliable and feasible.”</w:t>
      </w:r>
      <w:r w:rsidRPr="004454CF">
        <w:rPr>
          <w:rStyle w:val="FootnoteReference"/>
          <w:rFonts w:ascii="Times New Roman" w:hAnsi="Times New Roman" w:cs="Times New Roman"/>
          <w:sz w:val="24"/>
          <w:szCs w:val="24"/>
        </w:rPr>
        <w:footnoteReference w:id="4"/>
      </w:r>
    </w:p>
    <w:p w14:paraId="24F07018" w14:textId="77777777" w:rsidR="007A4FAC" w:rsidRPr="004454CF" w:rsidRDefault="007A4FAC" w:rsidP="008463AA">
      <w:pPr>
        <w:rPr>
          <w:rFonts w:ascii="Times New Roman" w:hAnsi="Times New Roman" w:cs="Times New Roman"/>
          <w:sz w:val="24"/>
          <w:szCs w:val="24"/>
        </w:rPr>
      </w:pPr>
    </w:p>
    <w:p w14:paraId="37091E96" w14:textId="44194FDF" w:rsidR="007A4FAC" w:rsidRPr="004454CF" w:rsidRDefault="00EE311C" w:rsidP="008463AA">
      <w:pPr>
        <w:rPr>
          <w:rFonts w:ascii="Times New Roman" w:hAnsi="Times New Roman" w:cs="Times New Roman"/>
          <w:sz w:val="24"/>
          <w:szCs w:val="24"/>
        </w:rPr>
      </w:pPr>
      <w:r w:rsidRPr="004454CF">
        <w:rPr>
          <w:rFonts w:ascii="Times New Roman" w:hAnsi="Times New Roman" w:cs="Times New Roman"/>
          <w:sz w:val="24"/>
          <w:szCs w:val="24"/>
        </w:rPr>
        <w:t>T</w:t>
      </w:r>
      <w:r w:rsidR="007A4FAC" w:rsidRPr="004454CF">
        <w:rPr>
          <w:rFonts w:ascii="Times New Roman" w:hAnsi="Times New Roman" w:cs="Times New Roman"/>
          <w:sz w:val="24"/>
          <w:szCs w:val="24"/>
        </w:rPr>
        <w:t>hese are the first P</w:t>
      </w:r>
      <w:r w:rsidRPr="004454CF">
        <w:rPr>
          <w:rFonts w:ascii="Times New Roman" w:hAnsi="Times New Roman" w:cs="Times New Roman"/>
          <w:sz w:val="24"/>
          <w:szCs w:val="24"/>
        </w:rPr>
        <w:t>lans to be filed since the Commission adopted a new rule for</w:t>
      </w:r>
      <w:r w:rsidR="00A50780" w:rsidRPr="004454CF">
        <w:rPr>
          <w:rFonts w:ascii="Times New Roman" w:hAnsi="Times New Roman" w:cs="Times New Roman"/>
          <w:sz w:val="24"/>
          <w:szCs w:val="24"/>
        </w:rPr>
        <w:t xml:space="preserve"> EIA enforcement in March 2015.</w:t>
      </w:r>
      <w:r w:rsidR="00A4066F" w:rsidRPr="004454CF">
        <w:rPr>
          <w:rStyle w:val="FootnoteReference"/>
          <w:rFonts w:ascii="Times New Roman" w:hAnsi="Times New Roman" w:cs="Times New Roman"/>
          <w:sz w:val="24"/>
          <w:szCs w:val="24"/>
        </w:rPr>
        <w:footnoteReference w:id="5"/>
      </w:r>
      <w:r w:rsidR="00A50780" w:rsidRPr="004454CF">
        <w:rPr>
          <w:rFonts w:ascii="Times New Roman" w:hAnsi="Times New Roman" w:cs="Times New Roman"/>
          <w:sz w:val="24"/>
          <w:szCs w:val="24"/>
        </w:rPr>
        <w:t xml:space="preserve"> Since biennial conservation planning began in 2010, </w:t>
      </w:r>
      <w:r w:rsidR="008E5871" w:rsidRPr="004454CF">
        <w:rPr>
          <w:rFonts w:ascii="Times New Roman" w:hAnsi="Times New Roman" w:cs="Times New Roman"/>
          <w:sz w:val="24"/>
          <w:szCs w:val="24"/>
        </w:rPr>
        <w:t>Staff</w:t>
      </w:r>
      <w:r w:rsidR="00AC3EF9" w:rsidRPr="004454CF">
        <w:rPr>
          <w:rFonts w:ascii="Times New Roman" w:hAnsi="Times New Roman" w:cs="Times New Roman"/>
          <w:sz w:val="24"/>
          <w:szCs w:val="24"/>
        </w:rPr>
        <w:t xml:space="preserve"> has worked with the utilities and stakeholders to address issues not anticipated in the statute and to develop best practices for implementing the EIA’s energy efficiency requirements. </w:t>
      </w:r>
      <w:r w:rsidR="00B1541E" w:rsidRPr="004454CF">
        <w:rPr>
          <w:rFonts w:ascii="Times New Roman" w:hAnsi="Times New Roman" w:cs="Times New Roman"/>
          <w:sz w:val="24"/>
          <w:szCs w:val="24"/>
        </w:rPr>
        <w:t xml:space="preserve">Many of the conventions developed through the first three biennia were codified in the new rule, including the advisory group process, reporting schedule and content, cost recovery, and low-income programs. </w:t>
      </w:r>
      <w:r w:rsidR="008F3B10" w:rsidRPr="004454CF">
        <w:rPr>
          <w:rFonts w:ascii="Times New Roman" w:hAnsi="Times New Roman" w:cs="Times New Roman"/>
          <w:sz w:val="24"/>
          <w:szCs w:val="24"/>
        </w:rPr>
        <w:t>Many of the issues identified in Staff’s comments on previous Plans were also addressed by the new rule.</w:t>
      </w:r>
    </w:p>
    <w:p w14:paraId="73E74079" w14:textId="77777777" w:rsidR="007A4FAC" w:rsidRPr="004454CF" w:rsidRDefault="007A4FAC" w:rsidP="008463AA">
      <w:pPr>
        <w:rPr>
          <w:rFonts w:ascii="Times New Roman" w:hAnsi="Times New Roman" w:cs="Times New Roman"/>
          <w:sz w:val="24"/>
          <w:szCs w:val="24"/>
        </w:rPr>
      </w:pPr>
    </w:p>
    <w:p w14:paraId="09A155F3" w14:textId="4BCF96AA" w:rsidR="008463AA" w:rsidRPr="004454CF" w:rsidRDefault="008F3B10" w:rsidP="008463AA">
      <w:pPr>
        <w:rPr>
          <w:rFonts w:ascii="Times New Roman" w:hAnsi="Times New Roman" w:cs="Times New Roman"/>
          <w:sz w:val="24"/>
          <w:szCs w:val="24"/>
        </w:rPr>
      </w:pPr>
      <w:r w:rsidRPr="004454CF">
        <w:rPr>
          <w:rFonts w:ascii="Times New Roman" w:hAnsi="Times New Roman" w:cs="Times New Roman"/>
          <w:sz w:val="24"/>
          <w:szCs w:val="24"/>
        </w:rPr>
        <w:t>Here, Staff’s</w:t>
      </w:r>
      <w:r w:rsidR="007A4FAC" w:rsidRPr="004454CF">
        <w:rPr>
          <w:rFonts w:ascii="Times New Roman" w:hAnsi="Times New Roman" w:cs="Times New Roman"/>
          <w:sz w:val="24"/>
          <w:szCs w:val="24"/>
        </w:rPr>
        <w:t xml:space="preserve"> </w:t>
      </w:r>
      <w:r w:rsidR="008463AA" w:rsidRPr="004454CF">
        <w:rPr>
          <w:rFonts w:ascii="Times New Roman" w:hAnsi="Times New Roman" w:cs="Times New Roman"/>
          <w:sz w:val="24"/>
          <w:szCs w:val="24"/>
        </w:rPr>
        <w:t xml:space="preserve">comments summarize the target-setting process and </w:t>
      </w:r>
      <w:r w:rsidR="007A4FAC" w:rsidRPr="004454CF">
        <w:rPr>
          <w:rFonts w:ascii="Times New Roman" w:hAnsi="Times New Roman" w:cs="Times New Roman"/>
          <w:sz w:val="24"/>
          <w:szCs w:val="24"/>
        </w:rPr>
        <w:t>discuss a handful of minor outstanding issues</w:t>
      </w:r>
      <w:r w:rsidR="008463AA" w:rsidRPr="004454CF">
        <w:rPr>
          <w:rFonts w:ascii="Times New Roman" w:hAnsi="Times New Roman" w:cs="Times New Roman"/>
          <w:sz w:val="24"/>
          <w:szCs w:val="24"/>
        </w:rPr>
        <w:t xml:space="preserve">. </w:t>
      </w:r>
      <w:r w:rsidR="008E5871" w:rsidRPr="004454CF">
        <w:rPr>
          <w:rFonts w:ascii="Times New Roman" w:hAnsi="Times New Roman" w:cs="Times New Roman"/>
          <w:sz w:val="24"/>
          <w:szCs w:val="24"/>
        </w:rPr>
        <w:t>Staff</w:t>
      </w:r>
      <w:r w:rsidR="008463AA" w:rsidRPr="004454CF">
        <w:rPr>
          <w:rFonts w:ascii="Times New Roman" w:hAnsi="Times New Roman" w:cs="Times New Roman"/>
          <w:sz w:val="24"/>
          <w:szCs w:val="24"/>
        </w:rPr>
        <w:t xml:space="preserve"> will present the final recommendations and the proposed conditions for approval</w:t>
      </w:r>
      <w:r w:rsidR="007A4FAC" w:rsidRPr="004454CF">
        <w:rPr>
          <w:rFonts w:ascii="Times New Roman" w:hAnsi="Times New Roman" w:cs="Times New Roman"/>
          <w:sz w:val="24"/>
          <w:szCs w:val="24"/>
        </w:rPr>
        <w:t xml:space="preserve"> at the Commission’s December 17, 2015</w:t>
      </w:r>
      <w:r w:rsidR="008463AA" w:rsidRPr="004454CF">
        <w:rPr>
          <w:rFonts w:ascii="Times New Roman" w:hAnsi="Times New Roman" w:cs="Times New Roman"/>
          <w:sz w:val="24"/>
          <w:szCs w:val="24"/>
        </w:rPr>
        <w:t>, Open Meeting.</w:t>
      </w:r>
    </w:p>
    <w:p w14:paraId="0D6B05A6" w14:textId="77777777" w:rsidR="008463AA" w:rsidRPr="004454CF" w:rsidRDefault="008463AA" w:rsidP="00D5036F">
      <w:pPr>
        <w:pStyle w:val="Heading1"/>
        <w:numPr>
          <w:ilvl w:val="0"/>
          <w:numId w:val="1"/>
        </w:numPr>
        <w:spacing w:before="360"/>
        <w:rPr>
          <w:rFonts w:ascii="Times New Roman" w:hAnsi="Times New Roman" w:cs="Times New Roman"/>
        </w:rPr>
      </w:pPr>
      <w:bookmarkStart w:id="3" w:name="_Toc436840002"/>
      <w:r w:rsidRPr="004454CF">
        <w:rPr>
          <w:rFonts w:ascii="Times New Roman" w:hAnsi="Times New Roman" w:cs="Times New Roman"/>
        </w:rPr>
        <w:t>TARGET SETTING</w:t>
      </w:r>
      <w:bookmarkEnd w:id="3"/>
    </w:p>
    <w:p w14:paraId="5DC477E3" w14:textId="77777777" w:rsidR="008463AA" w:rsidRPr="004454CF" w:rsidRDefault="008463AA" w:rsidP="008463AA">
      <w:pPr>
        <w:rPr>
          <w:rFonts w:ascii="Times New Roman" w:hAnsi="Times New Roman" w:cs="Times New Roman"/>
          <w:b/>
          <w:sz w:val="24"/>
          <w:szCs w:val="24"/>
        </w:rPr>
      </w:pPr>
    </w:p>
    <w:p w14:paraId="55381D59" w14:textId="77777777" w:rsidR="00104F20" w:rsidRPr="004454CF" w:rsidRDefault="008463AA" w:rsidP="00EB55BD">
      <w:pPr>
        <w:rPr>
          <w:rFonts w:ascii="Times New Roman" w:hAnsi="Times New Roman" w:cs="Times New Roman"/>
          <w:sz w:val="24"/>
          <w:szCs w:val="24"/>
        </w:rPr>
      </w:pPr>
      <w:r w:rsidRPr="004454CF">
        <w:rPr>
          <w:rFonts w:ascii="Times New Roman" w:hAnsi="Times New Roman" w:cs="Times New Roman"/>
          <w:sz w:val="24"/>
          <w:szCs w:val="24"/>
        </w:rPr>
        <w:t xml:space="preserve">The target setting process begins with the development of the Conservation Potential Assessments (CPA), which establish the savings potential in a utility’s service territory over twenty-, ten- and two-year periods. Once the potential is set, the utilities may make necessary adjustments to derive their biennial conservation target. </w:t>
      </w:r>
      <w:r w:rsidR="00104F20" w:rsidRPr="004454CF">
        <w:rPr>
          <w:rFonts w:ascii="Times New Roman" w:hAnsi="Times New Roman" w:cs="Times New Roman"/>
          <w:sz w:val="24"/>
          <w:szCs w:val="24"/>
        </w:rPr>
        <w:t>Examples of the changes that might be made include updating savings estimates based on new information</w:t>
      </w:r>
      <w:r w:rsidR="00EB55BD" w:rsidRPr="004454CF">
        <w:rPr>
          <w:rFonts w:ascii="Times New Roman" w:hAnsi="Times New Roman" w:cs="Times New Roman"/>
          <w:sz w:val="24"/>
          <w:szCs w:val="24"/>
        </w:rPr>
        <w:t>, adding savings associated with measures not captured in the CPA (such as behavioral efficiency), and</w:t>
      </w:r>
      <w:r w:rsidR="00104F20" w:rsidRPr="004454CF">
        <w:rPr>
          <w:rFonts w:ascii="Times New Roman" w:hAnsi="Times New Roman" w:cs="Times New Roman"/>
          <w:sz w:val="24"/>
          <w:szCs w:val="24"/>
        </w:rPr>
        <w:t xml:space="preserve"> removing savings that will be achieved through regional programs, such as the market transformation work done by the Northwest Energy Efficiency Alliance (NEEA). </w:t>
      </w:r>
    </w:p>
    <w:p w14:paraId="539B5736" w14:textId="77777777" w:rsidR="008463AA" w:rsidRPr="004454CF" w:rsidRDefault="008463AA" w:rsidP="008463AA">
      <w:pPr>
        <w:pStyle w:val="Heading2"/>
      </w:pPr>
      <w:bookmarkStart w:id="4" w:name="_Toc436840003"/>
      <w:r w:rsidRPr="004454CF">
        <w:lastRenderedPageBreak/>
        <w:t>Conservation Potential Assessments</w:t>
      </w:r>
      <w:bookmarkEnd w:id="4"/>
    </w:p>
    <w:p w14:paraId="096D9514" w14:textId="77777777" w:rsidR="008463AA" w:rsidRPr="004454CF" w:rsidRDefault="008463AA" w:rsidP="008463AA">
      <w:pPr>
        <w:rPr>
          <w:rFonts w:ascii="Times New Roman" w:hAnsi="Times New Roman" w:cs="Times New Roman"/>
          <w:b/>
          <w:sz w:val="24"/>
          <w:szCs w:val="24"/>
        </w:rPr>
      </w:pPr>
    </w:p>
    <w:p w14:paraId="4BFCC74E" w14:textId="717B6580" w:rsidR="008463AA" w:rsidRPr="004454CF" w:rsidRDefault="008463AA" w:rsidP="008463AA">
      <w:pPr>
        <w:rPr>
          <w:rFonts w:ascii="Times New Roman" w:hAnsi="Times New Roman" w:cs="Times New Roman"/>
          <w:sz w:val="24"/>
          <w:szCs w:val="24"/>
        </w:rPr>
      </w:pPr>
      <w:r w:rsidRPr="004454CF">
        <w:rPr>
          <w:rFonts w:ascii="Times New Roman" w:hAnsi="Times New Roman" w:cs="Times New Roman"/>
          <w:sz w:val="24"/>
          <w:szCs w:val="24"/>
        </w:rPr>
        <w:t>The EIA requires a utility to use a methodology consistent with the Northwest Power and Conservation Council in preparing its assessment of conservation potential.</w:t>
      </w:r>
      <w:r w:rsidRPr="004454CF">
        <w:rPr>
          <w:rStyle w:val="FootnoteReference"/>
          <w:rFonts w:ascii="Times New Roman" w:hAnsi="Times New Roman" w:cs="Times New Roman"/>
          <w:sz w:val="24"/>
          <w:szCs w:val="24"/>
        </w:rPr>
        <w:footnoteReference w:id="6"/>
      </w:r>
      <w:r w:rsidRPr="004454CF">
        <w:rPr>
          <w:rFonts w:ascii="Times New Roman" w:hAnsi="Times New Roman" w:cs="Times New Roman"/>
          <w:sz w:val="24"/>
          <w:szCs w:val="24"/>
        </w:rPr>
        <w:t xml:space="preserve"> The Council builds the regional conservation portfolio from the bottom-up</w:t>
      </w:r>
      <w:r w:rsidR="008F3B10" w:rsidRPr="004454CF">
        <w:rPr>
          <w:rFonts w:ascii="Times New Roman" w:hAnsi="Times New Roman" w:cs="Times New Roman"/>
          <w:sz w:val="24"/>
          <w:szCs w:val="24"/>
        </w:rPr>
        <w:t>;</w:t>
      </w:r>
      <w:r w:rsidRPr="004454CF">
        <w:rPr>
          <w:rFonts w:ascii="Times New Roman" w:hAnsi="Times New Roman" w:cs="Times New Roman"/>
          <w:sz w:val="24"/>
          <w:szCs w:val="24"/>
        </w:rPr>
        <w:t xml:space="preserve"> the methodology consists of a three-step process.</w:t>
      </w:r>
    </w:p>
    <w:p w14:paraId="3B76C72A" w14:textId="77777777" w:rsidR="008463AA" w:rsidRPr="004454CF" w:rsidRDefault="008463AA" w:rsidP="008463AA">
      <w:pPr>
        <w:rPr>
          <w:rFonts w:ascii="Times New Roman" w:hAnsi="Times New Roman" w:cs="Times New Roman"/>
          <w:sz w:val="24"/>
          <w:szCs w:val="24"/>
        </w:rPr>
      </w:pPr>
    </w:p>
    <w:p w14:paraId="56C36934" w14:textId="77777777" w:rsidR="008463AA" w:rsidRPr="004454CF" w:rsidRDefault="008463AA" w:rsidP="008463AA">
      <w:pPr>
        <w:pStyle w:val="ListParagraph"/>
        <w:numPr>
          <w:ilvl w:val="0"/>
          <w:numId w:val="2"/>
        </w:numPr>
        <w:rPr>
          <w:rFonts w:ascii="Times New Roman" w:hAnsi="Times New Roman" w:cs="Times New Roman"/>
          <w:sz w:val="24"/>
          <w:szCs w:val="24"/>
        </w:rPr>
      </w:pPr>
      <w:r w:rsidRPr="004454CF">
        <w:rPr>
          <w:rFonts w:ascii="Times New Roman" w:hAnsi="Times New Roman" w:cs="Times New Roman"/>
          <w:b/>
          <w:sz w:val="24"/>
          <w:szCs w:val="24"/>
        </w:rPr>
        <w:t>Technical Potential:</w:t>
      </w:r>
      <w:r w:rsidRPr="004454CF">
        <w:rPr>
          <w:rFonts w:ascii="Times New Roman" w:hAnsi="Times New Roman" w:cs="Times New Roman"/>
          <w:sz w:val="24"/>
          <w:szCs w:val="24"/>
        </w:rPr>
        <w:t xml:space="preserve"> The Council identifies the conservation that could be physically achieved through all known avenues regardless of cost (including the utility’s own conservation programs, regional conservation programs provided by other entities, updates to building codes and standards, federal energy efficiency standards, etc.).</w:t>
      </w:r>
    </w:p>
    <w:p w14:paraId="21A7CCA7" w14:textId="77777777" w:rsidR="008463AA" w:rsidRPr="004454CF" w:rsidRDefault="008463AA" w:rsidP="008463AA">
      <w:pPr>
        <w:pStyle w:val="ListParagraph"/>
        <w:numPr>
          <w:ilvl w:val="0"/>
          <w:numId w:val="2"/>
        </w:numPr>
        <w:rPr>
          <w:rFonts w:ascii="Times New Roman" w:hAnsi="Times New Roman" w:cs="Times New Roman"/>
          <w:sz w:val="24"/>
          <w:szCs w:val="24"/>
        </w:rPr>
      </w:pPr>
      <w:r w:rsidRPr="004454CF">
        <w:rPr>
          <w:rFonts w:ascii="Times New Roman" w:hAnsi="Times New Roman" w:cs="Times New Roman"/>
          <w:b/>
          <w:sz w:val="24"/>
          <w:szCs w:val="24"/>
        </w:rPr>
        <w:t xml:space="preserve">Achievable Potential: </w:t>
      </w:r>
      <w:r w:rsidRPr="004454CF">
        <w:rPr>
          <w:rFonts w:ascii="Times New Roman" w:hAnsi="Times New Roman" w:cs="Times New Roman"/>
          <w:sz w:val="24"/>
          <w:szCs w:val="24"/>
        </w:rPr>
        <w:t>The Council identifies the portion of the economic potential that can be directly obtained given the inhibiting barriers (penetration and ramping rates, which are fixed at 85 percent for retrofit measures and 65 percent for lost-opportunity measures).</w:t>
      </w:r>
    </w:p>
    <w:p w14:paraId="3D62F790" w14:textId="77777777" w:rsidR="008463AA" w:rsidRPr="004454CF" w:rsidRDefault="008463AA" w:rsidP="008463AA">
      <w:pPr>
        <w:pStyle w:val="ListParagraph"/>
        <w:numPr>
          <w:ilvl w:val="0"/>
          <w:numId w:val="2"/>
        </w:numPr>
        <w:rPr>
          <w:rFonts w:ascii="Times New Roman" w:hAnsi="Times New Roman" w:cs="Times New Roman"/>
          <w:sz w:val="24"/>
          <w:szCs w:val="24"/>
        </w:rPr>
      </w:pPr>
      <w:r w:rsidRPr="004454CF">
        <w:rPr>
          <w:rFonts w:ascii="Times New Roman" w:hAnsi="Times New Roman" w:cs="Times New Roman"/>
          <w:b/>
          <w:sz w:val="24"/>
          <w:szCs w:val="24"/>
        </w:rPr>
        <w:t>Economic Potential:</w:t>
      </w:r>
      <w:r w:rsidRPr="004454CF">
        <w:rPr>
          <w:rFonts w:ascii="Times New Roman" w:hAnsi="Times New Roman" w:cs="Times New Roman"/>
          <w:sz w:val="24"/>
          <w:szCs w:val="24"/>
        </w:rPr>
        <w:t xml:space="preserve"> The Council develops a cost-effectiveness screen, also called the estimated avoided cost, and applies it to the achievable potential for each individual measure.</w:t>
      </w:r>
      <w:r w:rsidRPr="004454CF">
        <w:rPr>
          <w:rFonts w:ascii="Times New Roman" w:hAnsi="Times New Roman" w:cs="Times New Roman"/>
          <w:b/>
          <w:sz w:val="24"/>
          <w:szCs w:val="24"/>
        </w:rPr>
        <w:t xml:space="preserve"> </w:t>
      </w:r>
    </w:p>
    <w:p w14:paraId="18C02170" w14:textId="77777777" w:rsidR="008463AA" w:rsidRPr="004454CF" w:rsidRDefault="008463AA" w:rsidP="008463AA">
      <w:pPr>
        <w:rPr>
          <w:rFonts w:ascii="Times New Roman" w:hAnsi="Times New Roman" w:cs="Times New Roman"/>
          <w:sz w:val="24"/>
          <w:szCs w:val="24"/>
        </w:rPr>
      </w:pPr>
    </w:p>
    <w:p w14:paraId="1DCF7C2A" w14:textId="1F13F0B4" w:rsidR="008463AA" w:rsidRPr="004454CF" w:rsidRDefault="008463AA" w:rsidP="008463AA">
      <w:pPr>
        <w:rPr>
          <w:rFonts w:ascii="Times New Roman" w:hAnsi="Times New Roman" w:cs="Times New Roman"/>
          <w:sz w:val="24"/>
          <w:szCs w:val="24"/>
        </w:rPr>
      </w:pPr>
      <w:r w:rsidRPr="004454CF">
        <w:rPr>
          <w:rFonts w:ascii="Times New Roman" w:hAnsi="Times New Roman" w:cs="Times New Roman"/>
          <w:sz w:val="24"/>
          <w:szCs w:val="24"/>
        </w:rPr>
        <w:t>This is a simplified summary of the Council’s methodology; it is not intended to be a linear model. In pract</w:t>
      </w:r>
      <w:r w:rsidR="00ED42AC" w:rsidRPr="004454CF">
        <w:rPr>
          <w:rFonts w:ascii="Times New Roman" w:hAnsi="Times New Roman" w:cs="Times New Roman"/>
          <w:sz w:val="24"/>
          <w:szCs w:val="24"/>
        </w:rPr>
        <w:t>ice, the companies may use an i</w:t>
      </w:r>
      <w:r w:rsidR="00625C0C" w:rsidRPr="004454CF">
        <w:rPr>
          <w:rFonts w:ascii="Times New Roman" w:hAnsi="Times New Roman" w:cs="Times New Roman"/>
          <w:sz w:val="24"/>
          <w:szCs w:val="24"/>
        </w:rPr>
        <w:t xml:space="preserve">ntegrated </w:t>
      </w:r>
      <w:r w:rsidR="00ED42AC" w:rsidRPr="004454CF">
        <w:rPr>
          <w:rFonts w:ascii="Times New Roman" w:hAnsi="Times New Roman" w:cs="Times New Roman"/>
          <w:sz w:val="24"/>
          <w:szCs w:val="24"/>
        </w:rPr>
        <w:t>r</w:t>
      </w:r>
      <w:r w:rsidR="00625C0C" w:rsidRPr="004454CF">
        <w:rPr>
          <w:rFonts w:ascii="Times New Roman" w:hAnsi="Times New Roman" w:cs="Times New Roman"/>
          <w:sz w:val="24"/>
          <w:szCs w:val="24"/>
        </w:rPr>
        <w:t xml:space="preserve">esource </w:t>
      </w:r>
      <w:r w:rsidR="00ED42AC" w:rsidRPr="004454CF">
        <w:rPr>
          <w:rFonts w:ascii="Times New Roman" w:hAnsi="Times New Roman" w:cs="Times New Roman"/>
          <w:sz w:val="24"/>
          <w:szCs w:val="24"/>
        </w:rPr>
        <w:t>p</w:t>
      </w:r>
      <w:r w:rsidR="00625C0C" w:rsidRPr="004454CF">
        <w:rPr>
          <w:rFonts w:ascii="Times New Roman" w:hAnsi="Times New Roman" w:cs="Times New Roman"/>
          <w:sz w:val="24"/>
          <w:szCs w:val="24"/>
        </w:rPr>
        <w:t>lan (IRP)</w:t>
      </w:r>
      <w:r w:rsidRPr="004454CF">
        <w:rPr>
          <w:rFonts w:ascii="Times New Roman" w:hAnsi="Times New Roman" w:cs="Times New Roman"/>
          <w:sz w:val="24"/>
          <w:szCs w:val="24"/>
        </w:rPr>
        <w:t xml:space="preserve"> to establish the estimated avoided cost and apply it to the technical potential in a more iterative process, which is acceptable as long as the total potential used as an input to the IRP has only been reduced by the Council’s definition of achievable potential. </w:t>
      </w:r>
    </w:p>
    <w:p w14:paraId="3BDB0CC2" w14:textId="77777777" w:rsidR="008463AA" w:rsidRPr="004454CF" w:rsidRDefault="008463AA" w:rsidP="008463AA">
      <w:pPr>
        <w:rPr>
          <w:rFonts w:ascii="Times New Roman" w:hAnsi="Times New Roman" w:cs="Times New Roman"/>
          <w:sz w:val="24"/>
          <w:szCs w:val="24"/>
        </w:rPr>
      </w:pPr>
    </w:p>
    <w:p w14:paraId="5D853C7A" w14:textId="77777777" w:rsidR="008463AA" w:rsidRPr="004454CF" w:rsidRDefault="008463AA" w:rsidP="008463AA">
      <w:pPr>
        <w:rPr>
          <w:rFonts w:ascii="Times New Roman" w:hAnsi="Times New Roman" w:cs="Times New Roman"/>
          <w:sz w:val="24"/>
          <w:szCs w:val="24"/>
        </w:rPr>
      </w:pPr>
      <w:r w:rsidRPr="004454CF">
        <w:rPr>
          <w:rFonts w:ascii="Times New Roman" w:hAnsi="Times New Roman" w:cs="Times New Roman"/>
          <w:sz w:val="24"/>
          <w:szCs w:val="24"/>
        </w:rPr>
        <w:t>Through the Regional Technical Forum (RTF), the Council establishes unit energy savings (UES) values – the energy savings that can be expected from the implementation of a given measure. The Commission, through the conditions it has imposed in accepting previous BCPs, has ordered the companies to use those RTF figures wherever possible, and to justify and document any deviance.</w:t>
      </w:r>
      <w:r w:rsidRPr="004454CF">
        <w:rPr>
          <w:rStyle w:val="FootnoteReference"/>
          <w:rFonts w:ascii="Times New Roman" w:hAnsi="Times New Roman" w:cs="Times New Roman"/>
          <w:sz w:val="24"/>
          <w:szCs w:val="24"/>
        </w:rPr>
        <w:footnoteReference w:id="7"/>
      </w:r>
      <w:r w:rsidRPr="004454CF">
        <w:rPr>
          <w:rFonts w:ascii="Times New Roman" w:hAnsi="Times New Roman" w:cs="Times New Roman"/>
          <w:sz w:val="24"/>
          <w:szCs w:val="24"/>
        </w:rPr>
        <w:t xml:space="preserve"> </w:t>
      </w:r>
    </w:p>
    <w:p w14:paraId="5B6DF188" w14:textId="77777777" w:rsidR="00E549EB" w:rsidRPr="004454CF" w:rsidRDefault="00E549EB" w:rsidP="008463AA">
      <w:pPr>
        <w:rPr>
          <w:rFonts w:ascii="Times New Roman" w:hAnsi="Times New Roman" w:cs="Times New Roman"/>
          <w:sz w:val="24"/>
          <w:szCs w:val="24"/>
        </w:rPr>
      </w:pPr>
    </w:p>
    <w:p w14:paraId="23D7C6C0" w14:textId="53343A67" w:rsidR="00BB5B61" w:rsidRPr="004454CF" w:rsidRDefault="008E5871" w:rsidP="00FF34F1">
      <w:pPr>
        <w:rPr>
          <w:rFonts w:ascii="Times New Roman" w:hAnsi="Times New Roman" w:cs="Times New Roman"/>
        </w:rPr>
      </w:pPr>
      <w:r w:rsidRPr="004454CF">
        <w:rPr>
          <w:rFonts w:ascii="Times New Roman" w:hAnsi="Times New Roman" w:cs="Times New Roman"/>
          <w:sz w:val="24"/>
          <w:szCs w:val="24"/>
        </w:rPr>
        <w:t>Staff</w:t>
      </w:r>
      <w:r w:rsidR="00E549EB" w:rsidRPr="004454CF">
        <w:rPr>
          <w:rFonts w:ascii="Times New Roman" w:hAnsi="Times New Roman" w:cs="Times New Roman"/>
          <w:sz w:val="24"/>
          <w:szCs w:val="24"/>
        </w:rPr>
        <w:t xml:space="preserve"> identified a potential issue relating to </w:t>
      </w:r>
      <w:r w:rsidR="008F3B10" w:rsidRPr="004454CF">
        <w:rPr>
          <w:rFonts w:ascii="Times New Roman" w:hAnsi="Times New Roman" w:cs="Times New Roman"/>
          <w:sz w:val="24"/>
          <w:szCs w:val="24"/>
        </w:rPr>
        <w:t>Avista’s CPA</w:t>
      </w:r>
      <w:r w:rsidR="00E549EB" w:rsidRPr="004454CF">
        <w:rPr>
          <w:rFonts w:ascii="Times New Roman" w:hAnsi="Times New Roman" w:cs="Times New Roman"/>
          <w:sz w:val="24"/>
          <w:szCs w:val="24"/>
        </w:rPr>
        <w:t xml:space="preserve">. </w:t>
      </w:r>
      <w:r w:rsidR="008F3B10" w:rsidRPr="004454CF">
        <w:rPr>
          <w:rFonts w:ascii="Times New Roman" w:hAnsi="Times New Roman" w:cs="Times New Roman"/>
          <w:sz w:val="24"/>
          <w:szCs w:val="24"/>
        </w:rPr>
        <w:t xml:space="preserve">Specifically, Staff questions why Avista’s CPA identified a lower potential than Pacific Power’s even though its load is substantially larger. </w:t>
      </w:r>
      <w:r w:rsidR="002F68B9" w:rsidRPr="004454CF">
        <w:rPr>
          <w:rFonts w:ascii="Times New Roman" w:hAnsi="Times New Roman" w:cs="Times New Roman"/>
          <w:sz w:val="24"/>
          <w:szCs w:val="24"/>
        </w:rPr>
        <w:t xml:space="preserve">Avista identified a 10-year conservation potential of 391,000 </w:t>
      </w:r>
      <w:proofErr w:type="spellStart"/>
      <w:r w:rsidR="002F68B9" w:rsidRPr="004454CF">
        <w:rPr>
          <w:rFonts w:ascii="Times New Roman" w:hAnsi="Times New Roman" w:cs="Times New Roman"/>
          <w:sz w:val="24"/>
          <w:szCs w:val="24"/>
        </w:rPr>
        <w:t>MWh</w:t>
      </w:r>
      <w:proofErr w:type="spellEnd"/>
      <w:r w:rsidR="002F68B9" w:rsidRPr="004454CF">
        <w:rPr>
          <w:rFonts w:ascii="Times New Roman" w:hAnsi="Times New Roman" w:cs="Times New Roman"/>
          <w:sz w:val="24"/>
          <w:szCs w:val="24"/>
        </w:rPr>
        <w:t xml:space="preserve"> and a 2016-2017 biennial target of 72,461 </w:t>
      </w:r>
      <w:proofErr w:type="spellStart"/>
      <w:r w:rsidR="002F68B9" w:rsidRPr="004454CF">
        <w:rPr>
          <w:rFonts w:ascii="Times New Roman" w:hAnsi="Times New Roman" w:cs="Times New Roman"/>
          <w:sz w:val="24"/>
          <w:szCs w:val="24"/>
        </w:rPr>
        <w:t>MWh</w:t>
      </w:r>
      <w:proofErr w:type="spellEnd"/>
      <w:r w:rsidR="002F68B9" w:rsidRPr="004454CF">
        <w:rPr>
          <w:rFonts w:ascii="Times New Roman" w:hAnsi="Times New Roman" w:cs="Times New Roman"/>
          <w:sz w:val="24"/>
          <w:szCs w:val="24"/>
        </w:rPr>
        <w:t xml:space="preserve">. Pacific Power identified a 10-year potential of 457,530 </w:t>
      </w:r>
      <w:proofErr w:type="spellStart"/>
      <w:r w:rsidR="002F68B9" w:rsidRPr="004454CF">
        <w:rPr>
          <w:rFonts w:ascii="Times New Roman" w:hAnsi="Times New Roman" w:cs="Times New Roman"/>
          <w:sz w:val="24"/>
          <w:szCs w:val="24"/>
        </w:rPr>
        <w:t>MWh</w:t>
      </w:r>
      <w:proofErr w:type="spellEnd"/>
      <w:r w:rsidR="002F68B9" w:rsidRPr="004454CF">
        <w:rPr>
          <w:rFonts w:ascii="Times New Roman" w:hAnsi="Times New Roman" w:cs="Times New Roman"/>
          <w:sz w:val="24"/>
          <w:szCs w:val="24"/>
        </w:rPr>
        <w:t xml:space="preserve"> and a biennial target of 87,814 </w:t>
      </w:r>
      <w:proofErr w:type="spellStart"/>
      <w:r w:rsidR="002F68B9" w:rsidRPr="004454CF">
        <w:rPr>
          <w:rFonts w:ascii="Times New Roman" w:hAnsi="Times New Roman" w:cs="Times New Roman"/>
          <w:sz w:val="24"/>
          <w:szCs w:val="24"/>
        </w:rPr>
        <w:t>MWh</w:t>
      </w:r>
      <w:proofErr w:type="spellEnd"/>
      <w:r w:rsidR="002F68B9" w:rsidRPr="004454CF">
        <w:rPr>
          <w:rFonts w:ascii="Times New Roman" w:hAnsi="Times New Roman" w:cs="Times New Roman"/>
          <w:sz w:val="24"/>
          <w:szCs w:val="24"/>
        </w:rPr>
        <w:t xml:space="preserve">. Pacific Power’s 10-year potential is 17 </w:t>
      </w:r>
      <w:r w:rsidR="002F68B9" w:rsidRPr="004454CF">
        <w:rPr>
          <w:rFonts w:ascii="Times New Roman" w:hAnsi="Times New Roman" w:cs="Times New Roman"/>
          <w:sz w:val="24"/>
          <w:szCs w:val="24"/>
        </w:rPr>
        <w:lastRenderedPageBreak/>
        <w:t xml:space="preserve">percent higher than Avista’s, and its biennial target is 21 percent higher. </w:t>
      </w:r>
      <w:r w:rsidRPr="004454CF">
        <w:rPr>
          <w:rFonts w:ascii="Times New Roman" w:hAnsi="Times New Roman" w:cs="Times New Roman"/>
          <w:sz w:val="24"/>
          <w:szCs w:val="24"/>
        </w:rPr>
        <w:t>Staff</w:t>
      </w:r>
      <w:r w:rsidR="002F68B9" w:rsidRPr="004454CF">
        <w:rPr>
          <w:rFonts w:ascii="Times New Roman" w:hAnsi="Times New Roman" w:cs="Times New Roman"/>
          <w:sz w:val="24"/>
          <w:szCs w:val="24"/>
        </w:rPr>
        <w:t xml:space="preserve"> finds this outcome puzzling, given that Avista’s total 2014 load in Washington was </w:t>
      </w:r>
      <w:r w:rsidR="00FF34F1" w:rsidRPr="004454CF">
        <w:rPr>
          <w:rFonts w:ascii="Times New Roman" w:hAnsi="Times New Roman" w:cs="Times New Roman"/>
          <w:sz w:val="24"/>
          <w:szCs w:val="24"/>
        </w:rPr>
        <w:t>38 percent higher than Pacific Power’s. It is even more puzzling given that the two utilities used the same contractor for the CPA.</w:t>
      </w:r>
      <w:r w:rsidR="008F3B10" w:rsidRPr="004454CF">
        <w:rPr>
          <w:rStyle w:val="FootnoteReference"/>
          <w:rFonts w:ascii="Times New Roman" w:hAnsi="Times New Roman" w:cs="Times New Roman"/>
          <w:sz w:val="24"/>
          <w:szCs w:val="24"/>
        </w:rPr>
        <w:footnoteReference w:id="8"/>
      </w:r>
      <w:r w:rsidR="00FF34F1" w:rsidRPr="004454CF">
        <w:rPr>
          <w:rFonts w:ascii="Times New Roman" w:hAnsi="Times New Roman" w:cs="Times New Roman"/>
          <w:sz w:val="24"/>
          <w:szCs w:val="24"/>
        </w:rPr>
        <w:t xml:space="preserve"> </w:t>
      </w:r>
      <w:r w:rsidR="00243E4E" w:rsidRPr="004454CF">
        <w:rPr>
          <w:rFonts w:ascii="Times New Roman" w:hAnsi="Times New Roman" w:cs="Times New Roman"/>
          <w:sz w:val="24"/>
          <w:szCs w:val="24"/>
        </w:rPr>
        <w:t>Neither Avista nor the contractor was able to readily explain the source of this discrepancy, which Staff is actively investigating.</w:t>
      </w:r>
    </w:p>
    <w:p w14:paraId="27F06D26" w14:textId="77777777" w:rsidR="00B12E1F" w:rsidRPr="004454CF" w:rsidRDefault="00B12E1F" w:rsidP="00B12E1F">
      <w:pPr>
        <w:pStyle w:val="Heading2"/>
      </w:pPr>
      <w:bookmarkStart w:id="5" w:name="_Toc436840004"/>
      <w:r w:rsidRPr="004454CF">
        <w:t>UES Values</w:t>
      </w:r>
      <w:bookmarkEnd w:id="5"/>
    </w:p>
    <w:p w14:paraId="4D980386" w14:textId="77777777" w:rsidR="00EB55BD" w:rsidRPr="004454CF" w:rsidRDefault="00EB55BD" w:rsidP="008463AA">
      <w:pPr>
        <w:rPr>
          <w:rFonts w:ascii="Times New Roman" w:hAnsi="Times New Roman" w:cs="Times New Roman"/>
          <w:sz w:val="24"/>
          <w:szCs w:val="24"/>
        </w:rPr>
      </w:pPr>
    </w:p>
    <w:p w14:paraId="5BCC18C6" w14:textId="5D228EBA" w:rsidR="00B12E1F" w:rsidRPr="004454CF" w:rsidRDefault="00B12E1F" w:rsidP="00B12E1F">
      <w:pPr>
        <w:rPr>
          <w:rFonts w:ascii="Times New Roman" w:hAnsi="Times New Roman" w:cs="Times New Roman"/>
          <w:sz w:val="24"/>
          <w:szCs w:val="24"/>
        </w:rPr>
      </w:pPr>
      <w:r w:rsidRPr="004454CF">
        <w:rPr>
          <w:rFonts w:ascii="Times New Roman" w:hAnsi="Times New Roman" w:cs="Times New Roman"/>
          <w:sz w:val="24"/>
          <w:szCs w:val="24"/>
        </w:rPr>
        <w:t>The utilities differ in how frequently they update their plans to incorporate changes in UES values. PSE updates these values every year; Avista and Pacific Power update only at the beginning of a new biennium. In the current biennium, those two utilities agreed to identify what the impact on their reported savings would have been had they done an annual update as PSE does. Since that information was not yet available when the companies made their BCPs</w:t>
      </w:r>
      <w:r w:rsidR="005C144E" w:rsidRPr="004454CF">
        <w:rPr>
          <w:rFonts w:ascii="Times New Roman" w:hAnsi="Times New Roman" w:cs="Times New Roman"/>
          <w:sz w:val="24"/>
          <w:szCs w:val="24"/>
        </w:rPr>
        <w:t xml:space="preserve"> for the upcoming biennium,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and the advisory groups for Avista and Pacific Power agreed that those companies could continue locking their UES values for the </w:t>
      </w:r>
      <w:r w:rsidR="00ED42AC" w:rsidRPr="004454CF">
        <w:rPr>
          <w:rFonts w:ascii="Times New Roman" w:hAnsi="Times New Roman" w:cs="Times New Roman"/>
          <w:sz w:val="24"/>
          <w:szCs w:val="24"/>
        </w:rPr>
        <w:t xml:space="preserve">2016-2017 </w:t>
      </w:r>
      <w:r w:rsidRPr="004454CF">
        <w:rPr>
          <w:rFonts w:ascii="Times New Roman" w:hAnsi="Times New Roman" w:cs="Times New Roman"/>
          <w:sz w:val="24"/>
          <w:szCs w:val="24"/>
        </w:rPr>
        <w:t xml:space="preserve">biennium.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will review the companies’ reports of the impact of a moving UES value and make a recommendation on whether Avista and Pacific Power should use that approach in the 2018-2019 biennium.</w:t>
      </w:r>
    </w:p>
    <w:p w14:paraId="3FDF4FC0" w14:textId="77777777" w:rsidR="00B12E1F" w:rsidRPr="004454CF" w:rsidRDefault="00B12E1F" w:rsidP="00B12E1F">
      <w:pPr>
        <w:rPr>
          <w:rFonts w:ascii="Times New Roman" w:hAnsi="Times New Roman" w:cs="Times New Roman"/>
          <w:sz w:val="24"/>
          <w:szCs w:val="24"/>
        </w:rPr>
      </w:pPr>
    </w:p>
    <w:p w14:paraId="75036132" w14:textId="1EDB1AD8" w:rsidR="00B12E1F" w:rsidRPr="004454CF" w:rsidRDefault="008E5871" w:rsidP="00B12E1F">
      <w:pPr>
        <w:rPr>
          <w:rFonts w:ascii="Times New Roman" w:hAnsi="Times New Roman" w:cs="Times New Roman"/>
          <w:sz w:val="24"/>
          <w:szCs w:val="24"/>
        </w:rPr>
      </w:pPr>
      <w:r w:rsidRPr="004454CF">
        <w:rPr>
          <w:rFonts w:ascii="Times New Roman" w:hAnsi="Times New Roman" w:cs="Times New Roman"/>
          <w:sz w:val="24"/>
          <w:szCs w:val="24"/>
        </w:rPr>
        <w:t>Staff</w:t>
      </w:r>
      <w:r w:rsidR="00B12E1F" w:rsidRPr="004454CF">
        <w:rPr>
          <w:rFonts w:ascii="Times New Roman" w:hAnsi="Times New Roman" w:cs="Times New Roman"/>
          <w:sz w:val="24"/>
          <w:szCs w:val="24"/>
        </w:rPr>
        <w:t xml:space="preserve">’s experience in the current biennium, however, </w:t>
      </w:r>
      <w:r w:rsidR="008F3B10" w:rsidRPr="004454CF">
        <w:rPr>
          <w:rFonts w:ascii="Times New Roman" w:hAnsi="Times New Roman" w:cs="Times New Roman"/>
          <w:sz w:val="24"/>
          <w:szCs w:val="24"/>
        </w:rPr>
        <w:t>suggests</w:t>
      </w:r>
      <w:r w:rsidR="00B12E1F" w:rsidRPr="004454CF">
        <w:rPr>
          <w:rFonts w:ascii="Times New Roman" w:hAnsi="Times New Roman" w:cs="Times New Roman"/>
          <w:sz w:val="24"/>
          <w:szCs w:val="24"/>
        </w:rPr>
        <w:t xml:space="preserve"> that there </w:t>
      </w:r>
      <w:r w:rsidR="008F3B10" w:rsidRPr="004454CF">
        <w:rPr>
          <w:rFonts w:ascii="Times New Roman" w:hAnsi="Times New Roman" w:cs="Times New Roman"/>
          <w:sz w:val="24"/>
          <w:szCs w:val="24"/>
        </w:rPr>
        <w:t>may</w:t>
      </w:r>
      <w:r w:rsidR="00B12E1F" w:rsidRPr="004454CF">
        <w:rPr>
          <w:rFonts w:ascii="Times New Roman" w:hAnsi="Times New Roman" w:cs="Times New Roman"/>
          <w:sz w:val="24"/>
          <w:szCs w:val="24"/>
        </w:rPr>
        <w:t xml:space="preserve"> be value in the utiliti</w:t>
      </w:r>
      <w:r w:rsidR="008B70E9" w:rsidRPr="004454CF">
        <w:rPr>
          <w:rFonts w:ascii="Times New Roman" w:hAnsi="Times New Roman" w:cs="Times New Roman"/>
          <w:sz w:val="24"/>
          <w:szCs w:val="24"/>
        </w:rPr>
        <w:t xml:space="preserve">es conducting </w:t>
      </w:r>
      <w:r w:rsidR="00A36DDA" w:rsidRPr="004454CF">
        <w:rPr>
          <w:rFonts w:ascii="Times New Roman" w:hAnsi="Times New Roman" w:cs="Times New Roman"/>
          <w:sz w:val="24"/>
          <w:szCs w:val="24"/>
        </w:rPr>
        <w:t xml:space="preserve">utility-deemed </w:t>
      </w:r>
      <w:r w:rsidR="008B70E9" w:rsidRPr="004454CF">
        <w:rPr>
          <w:rFonts w:ascii="Times New Roman" w:hAnsi="Times New Roman" w:cs="Times New Roman"/>
          <w:sz w:val="24"/>
          <w:szCs w:val="24"/>
        </w:rPr>
        <w:t xml:space="preserve">UES value reviews earlier in the biennial review process. </w:t>
      </w:r>
      <w:r w:rsidR="00B12E1F" w:rsidRPr="004454CF">
        <w:rPr>
          <w:rFonts w:ascii="Times New Roman" w:hAnsi="Times New Roman" w:cs="Times New Roman"/>
          <w:sz w:val="24"/>
          <w:szCs w:val="24"/>
        </w:rPr>
        <w:t xml:space="preserve">During PSE’s 2014-2015 Biennial Electric Conservation Achievement Review, </w:t>
      </w:r>
      <w:r w:rsidR="008B70E9" w:rsidRPr="004454CF">
        <w:rPr>
          <w:rFonts w:ascii="Times New Roman" w:hAnsi="Times New Roman" w:cs="Times New Roman"/>
          <w:sz w:val="24"/>
          <w:szCs w:val="24"/>
        </w:rPr>
        <w:t xml:space="preserve">third-party reviewer </w:t>
      </w:r>
      <w:r w:rsidR="00B12E1F" w:rsidRPr="004454CF">
        <w:rPr>
          <w:rFonts w:ascii="Times New Roman" w:hAnsi="Times New Roman" w:cs="Times New Roman"/>
          <w:sz w:val="24"/>
          <w:szCs w:val="24"/>
        </w:rPr>
        <w:t>SBW</w:t>
      </w:r>
      <w:r w:rsidR="008B70E9" w:rsidRPr="004454CF">
        <w:rPr>
          <w:rFonts w:ascii="Times New Roman" w:hAnsi="Times New Roman" w:cs="Times New Roman"/>
          <w:sz w:val="24"/>
          <w:szCs w:val="24"/>
        </w:rPr>
        <w:t xml:space="preserve"> </w:t>
      </w:r>
      <w:r w:rsidR="00B12E1F" w:rsidRPr="004454CF">
        <w:rPr>
          <w:rFonts w:ascii="Times New Roman" w:hAnsi="Times New Roman" w:cs="Times New Roman"/>
          <w:sz w:val="24"/>
          <w:szCs w:val="24"/>
        </w:rPr>
        <w:t xml:space="preserve">recommended </w:t>
      </w:r>
      <w:r w:rsidR="008B70E9" w:rsidRPr="004454CF">
        <w:rPr>
          <w:rFonts w:ascii="Times New Roman" w:hAnsi="Times New Roman" w:cs="Times New Roman"/>
          <w:sz w:val="24"/>
          <w:szCs w:val="24"/>
        </w:rPr>
        <w:t xml:space="preserve">decreasing the </w:t>
      </w:r>
      <w:r w:rsidR="00A36DDA" w:rsidRPr="004454CF">
        <w:rPr>
          <w:rFonts w:ascii="Times New Roman" w:hAnsi="Times New Roman" w:cs="Times New Roman"/>
          <w:sz w:val="24"/>
          <w:szCs w:val="24"/>
        </w:rPr>
        <w:t>PSE-deemed UES for a few measures</w:t>
      </w:r>
      <w:r w:rsidR="00B12E1F" w:rsidRPr="004454CF">
        <w:rPr>
          <w:rFonts w:ascii="Times New Roman" w:hAnsi="Times New Roman" w:cs="Times New Roman"/>
          <w:sz w:val="24"/>
          <w:szCs w:val="24"/>
        </w:rPr>
        <w:t>. SBW m</w:t>
      </w:r>
      <w:r w:rsidR="009D79F9" w:rsidRPr="004454CF">
        <w:rPr>
          <w:rFonts w:ascii="Times New Roman" w:hAnsi="Times New Roman" w:cs="Times New Roman"/>
          <w:sz w:val="24"/>
          <w:szCs w:val="24"/>
        </w:rPr>
        <w:t>ade these recommendations</w:t>
      </w:r>
      <w:r w:rsidR="00B12E1F" w:rsidRPr="004454CF">
        <w:rPr>
          <w:rFonts w:ascii="Times New Roman" w:hAnsi="Times New Roman" w:cs="Times New Roman"/>
          <w:sz w:val="24"/>
          <w:szCs w:val="24"/>
        </w:rPr>
        <w:t>, PSE accepted them, and updated the savin</w:t>
      </w:r>
      <w:r w:rsidR="008F3B10" w:rsidRPr="004454CF">
        <w:rPr>
          <w:rFonts w:ascii="Times New Roman" w:hAnsi="Times New Roman" w:cs="Times New Roman"/>
          <w:sz w:val="24"/>
          <w:szCs w:val="24"/>
        </w:rPr>
        <w:t>gs values for 2015. This is the process</w:t>
      </w:r>
      <w:r w:rsidR="008B70E9" w:rsidRPr="004454CF">
        <w:rPr>
          <w:rFonts w:ascii="Times New Roman" w:hAnsi="Times New Roman" w:cs="Times New Roman"/>
          <w:sz w:val="24"/>
          <w:szCs w:val="24"/>
        </w:rPr>
        <w:t xml:space="preserve"> agreed upon by PSE’s advisory group</w:t>
      </w:r>
      <w:r w:rsidR="00243E4E" w:rsidRPr="004454CF">
        <w:rPr>
          <w:rFonts w:ascii="Times New Roman" w:hAnsi="Times New Roman" w:cs="Times New Roman"/>
          <w:sz w:val="24"/>
          <w:szCs w:val="24"/>
        </w:rPr>
        <w:t xml:space="preserve"> in the evaluation, measurement and</w:t>
      </w:r>
      <w:r w:rsidR="00B12E1F" w:rsidRPr="004454CF">
        <w:rPr>
          <w:rFonts w:ascii="Times New Roman" w:hAnsi="Times New Roman" w:cs="Times New Roman"/>
          <w:sz w:val="24"/>
          <w:szCs w:val="24"/>
        </w:rPr>
        <w:t xml:space="preserve"> verification framework. </w:t>
      </w:r>
      <w:r w:rsidRPr="004454CF">
        <w:rPr>
          <w:rFonts w:ascii="Times New Roman" w:hAnsi="Times New Roman" w:cs="Times New Roman"/>
          <w:sz w:val="24"/>
          <w:szCs w:val="24"/>
        </w:rPr>
        <w:t>Staff</w:t>
      </w:r>
      <w:r w:rsidR="00B12E1F" w:rsidRPr="004454CF">
        <w:rPr>
          <w:rFonts w:ascii="Times New Roman" w:hAnsi="Times New Roman" w:cs="Times New Roman"/>
          <w:sz w:val="24"/>
          <w:szCs w:val="24"/>
        </w:rPr>
        <w:t xml:space="preserve"> agrees that PSE, the </w:t>
      </w:r>
      <w:r w:rsidR="008B70E9" w:rsidRPr="004454CF">
        <w:rPr>
          <w:rFonts w:ascii="Times New Roman" w:hAnsi="Times New Roman" w:cs="Times New Roman"/>
          <w:sz w:val="24"/>
          <w:szCs w:val="24"/>
        </w:rPr>
        <w:t>advisory group,</w:t>
      </w:r>
      <w:r w:rsidR="00B12E1F" w:rsidRPr="004454CF">
        <w:rPr>
          <w:rFonts w:ascii="Times New Roman" w:hAnsi="Times New Roman" w:cs="Times New Roman"/>
          <w:sz w:val="24"/>
          <w:szCs w:val="24"/>
        </w:rPr>
        <w:t xml:space="preserve"> and SBW handled the issue appropriately. </w:t>
      </w:r>
    </w:p>
    <w:p w14:paraId="1DB4C350" w14:textId="77777777" w:rsidR="00B12E1F" w:rsidRPr="004454CF" w:rsidRDefault="00B12E1F" w:rsidP="00B12E1F">
      <w:pPr>
        <w:rPr>
          <w:rFonts w:ascii="Times New Roman" w:hAnsi="Times New Roman" w:cs="Times New Roman"/>
          <w:sz w:val="24"/>
          <w:szCs w:val="24"/>
        </w:rPr>
      </w:pPr>
    </w:p>
    <w:p w14:paraId="3AB58930" w14:textId="56A189DD" w:rsidR="008B70E9" w:rsidRPr="004454CF" w:rsidRDefault="00B12E1F" w:rsidP="00B12E1F">
      <w:pPr>
        <w:rPr>
          <w:rFonts w:ascii="Times New Roman" w:hAnsi="Times New Roman" w:cs="Times New Roman"/>
          <w:sz w:val="24"/>
          <w:szCs w:val="24"/>
        </w:rPr>
      </w:pPr>
      <w:r w:rsidRPr="004454CF">
        <w:rPr>
          <w:rFonts w:ascii="Times New Roman" w:hAnsi="Times New Roman" w:cs="Times New Roman"/>
          <w:sz w:val="24"/>
          <w:szCs w:val="24"/>
        </w:rPr>
        <w:t xml:space="preserve">However, this issue raised a question about when is the appropriate time to begin the </w:t>
      </w:r>
      <w:r w:rsidR="00A36DDA" w:rsidRPr="004454CF">
        <w:rPr>
          <w:rFonts w:ascii="Times New Roman" w:hAnsi="Times New Roman" w:cs="Times New Roman"/>
          <w:sz w:val="24"/>
          <w:szCs w:val="24"/>
        </w:rPr>
        <w:t xml:space="preserve">third-party </w:t>
      </w:r>
      <w:r w:rsidRPr="004454CF">
        <w:rPr>
          <w:rFonts w:ascii="Times New Roman" w:hAnsi="Times New Roman" w:cs="Times New Roman"/>
          <w:sz w:val="24"/>
          <w:szCs w:val="24"/>
        </w:rPr>
        <w:t xml:space="preserve">review process. </w:t>
      </w:r>
      <w:r w:rsidR="00383340" w:rsidRPr="004454CF">
        <w:rPr>
          <w:rFonts w:ascii="Times New Roman" w:hAnsi="Times New Roman" w:cs="Times New Roman"/>
          <w:sz w:val="24"/>
          <w:szCs w:val="24"/>
        </w:rPr>
        <w:t>In the case of each utility</w:t>
      </w:r>
      <w:r w:rsidRPr="004454CF">
        <w:rPr>
          <w:rFonts w:ascii="Times New Roman" w:hAnsi="Times New Roman" w:cs="Times New Roman"/>
          <w:sz w:val="24"/>
          <w:szCs w:val="24"/>
        </w:rPr>
        <w:t>, the 2014-2015 third-p</w:t>
      </w:r>
      <w:r w:rsidR="008B70E9" w:rsidRPr="004454CF">
        <w:rPr>
          <w:rFonts w:ascii="Times New Roman" w:hAnsi="Times New Roman" w:cs="Times New Roman"/>
          <w:sz w:val="24"/>
          <w:szCs w:val="24"/>
        </w:rPr>
        <w:t>arty reviewers did not begin their</w:t>
      </w:r>
      <w:r w:rsidRPr="004454CF">
        <w:rPr>
          <w:rFonts w:ascii="Times New Roman" w:hAnsi="Times New Roman" w:cs="Times New Roman"/>
          <w:sz w:val="24"/>
          <w:szCs w:val="24"/>
        </w:rPr>
        <w:t xml:space="preserve"> work until the middle of 2014. Certainly, verifying the acquisition of savings requires a retrospective review, but the review of </w:t>
      </w:r>
      <w:r w:rsidR="00A36DDA" w:rsidRPr="004454CF">
        <w:rPr>
          <w:rFonts w:ascii="Times New Roman" w:hAnsi="Times New Roman" w:cs="Times New Roman"/>
          <w:sz w:val="24"/>
          <w:szCs w:val="24"/>
        </w:rPr>
        <w:t xml:space="preserve">utility-deemed </w:t>
      </w:r>
      <w:r w:rsidRPr="004454CF">
        <w:rPr>
          <w:rFonts w:ascii="Times New Roman" w:hAnsi="Times New Roman" w:cs="Times New Roman"/>
          <w:sz w:val="24"/>
          <w:szCs w:val="24"/>
        </w:rPr>
        <w:t>UES assumptions does not. Like the other two companies, PSE built its 2014-2015 biennial conservation plan in 2013. When SBW made recom</w:t>
      </w:r>
      <w:r w:rsidR="009D79F9" w:rsidRPr="004454CF">
        <w:rPr>
          <w:rFonts w:ascii="Times New Roman" w:hAnsi="Times New Roman" w:cs="Times New Roman"/>
          <w:sz w:val="24"/>
          <w:szCs w:val="24"/>
        </w:rPr>
        <w:t xml:space="preserve">mendations well after the development of the BCP, the </w:t>
      </w:r>
      <w:r w:rsidRPr="004454CF">
        <w:rPr>
          <w:rFonts w:ascii="Times New Roman" w:hAnsi="Times New Roman" w:cs="Times New Roman"/>
          <w:sz w:val="24"/>
          <w:szCs w:val="24"/>
        </w:rPr>
        <w:t xml:space="preserve">recommendations could not go into effect until 2015, halfway into the biennium. For </w:t>
      </w:r>
      <w:r w:rsidR="00E549EB" w:rsidRPr="004454CF">
        <w:rPr>
          <w:rFonts w:ascii="Times New Roman" w:hAnsi="Times New Roman" w:cs="Times New Roman"/>
          <w:sz w:val="24"/>
          <w:szCs w:val="24"/>
        </w:rPr>
        <w:t>Pacific Power</w:t>
      </w:r>
      <w:r w:rsidRPr="004454CF">
        <w:rPr>
          <w:rFonts w:ascii="Times New Roman" w:hAnsi="Times New Roman" w:cs="Times New Roman"/>
          <w:sz w:val="24"/>
          <w:szCs w:val="24"/>
        </w:rPr>
        <w:t xml:space="preserve"> and Avista</w:t>
      </w:r>
      <w:r w:rsidR="00243E4E" w:rsidRPr="004454CF">
        <w:rPr>
          <w:rFonts w:ascii="Times New Roman" w:hAnsi="Times New Roman" w:cs="Times New Roman"/>
          <w:sz w:val="24"/>
          <w:szCs w:val="24"/>
        </w:rPr>
        <w:t>,</w:t>
      </w:r>
      <w:r w:rsidRPr="004454CF">
        <w:rPr>
          <w:rFonts w:ascii="Times New Roman" w:hAnsi="Times New Roman" w:cs="Times New Roman"/>
          <w:sz w:val="24"/>
          <w:szCs w:val="24"/>
        </w:rPr>
        <w:t xml:space="preserve"> who “lock” in the UES values for the entire biennium, the new savings numbers would not go into effect until 2016. </w:t>
      </w:r>
    </w:p>
    <w:p w14:paraId="615CC7F5" w14:textId="77777777" w:rsidR="008B70E9" w:rsidRPr="004454CF" w:rsidRDefault="008B70E9" w:rsidP="00B12E1F">
      <w:pPr>
        <w:rPr>
          <w:rFonts w:ascii="Times New Roman" w:hAnsi="Times New Roman" w:cs="Times New Roman"/>
          <w:sz w:val="24"/>
          <w:szCs w:val="24"/>
        </w:rPr>
      </w:pPr>
    </w:p>
    <w:p w14:paraId="3F6FF3D2" w14:textId="31BE0B2F" w:rsidR="00B12E1F" w:rsidRPr="004454CF" w:rsidRDefault="00CB1454" w:rsidP="00B12E1F">
      <w:pPr>
        <w:rPr>
          <w:rFonts w:ascii="Times New Roman" w:hAnsi="Times New Roman" w:cs="Times New Roman"/>
          <w:sz w:val="24"/>
          <w:szCs w:val="24"/>
        </w:rPr>
      </w:pPr>
      <w:r w:rsidRPr="004454CF">
        <w:rPr>
          <w:rFonts w:ascii="Times New Roman" w:hAnsi="Times New Roman" w:cs="Times New Roman"/>
          <w:sz w:val="24"/>
          <w:szCs w:val="24"/>
        </w:rPr>
        <w:t>T</w:t>
      </w:r>
      <w:r w:rsidR="00B12E1F" w:rsidRPr="004454CF">
        <w:rPr>
          <w:rFonts w:ascii="Times New Roman" w:hAnsi="Times New Roman" w:cs="Times New Roman"/>
          <w:sz w:val="24"/>
          <w:szCs w:val="24"/>
        </w:rPr>
        <w:t xml:space="preserve">here </w:t>
      </w:r>
      <w:r w:rsidRPr="004454CF">
        <w:rPr>
          <w:rFonts w:ascii="Times New Roman" w:hAnsi="Times New Roman" w:cs="Times New Roman"/>
          <w:sz w:val="24"/>
          <w:szCs w:val="24"/>
        </w:rPr>
        <w:t>may be</w:t>
      </w:r>
      <w:r w:rsidR="00B12E1F" w:rsidRPr="004454CF">
        <w:rPr>
          <w:rFonts w:ascii="Times New Roman" w:hAnsi="Times New Roman" w:cs="Times New Roman"/>
          <w:sz w:val="24"/>
          <w:szCs w:val="24"/>
        </w:rPr>
        <w:t xml:space="preserve"> value in beginning the third-party review</w:t>
      </w:r>
      <w:r w:rsidR="009D79F9" w:rsidRPr="004454CF">
        <w:rPr>
          <w:rFonts w:ascii="Times New Roman" w:hAnsi="Times New Roman" w:cs="Times New Roman"/>
          <w:sz w:val="24"/>
          <w:szCs w:val="24"/>
        </w:rPr>
        <w:t xml:space="preserve"> of utility-deemed UES values</w:t>
      </w:r>
      <w:r w:rsidR="00B12E1F" w:rsidRPr="004454CF">
        <w:rPr>
          <w:rFonts w:ascii="Times New Roman" w:hAnsi="Times New Roman" w:cs="Times New Roman"/>
          <w:sz w:val="24"/>
          <w:szCs w:val="24"/>
        </w:rPr>
        <w:t xml:space="preserve"> while the companies are developing the BCPs. This change could be especially beneficial for the company that does not lock in its UES values, PSE. SBW’s recommendation</w:t>
      </w:r>
      <w:r w:rsidRPr="004454CF">
        <w:rPr>
          <w:rFonts w:ascii="Times New Roman" w:hAnsi="Times New Roman" w:cs="Times New Roman"/>
          <w:sz w:val="24"/>
          <w:szCs w:val="24"/>
        </w:rPr>
        <w:t>s</w:t>
      </w:r>
      <w:r w:rsidR="00B12E1F" w:rsidRPr="004454CF">
        <w:rPr>
          <w:rFonts w:ascii="Times New Roman" w:hAnsi="Times New Roman" w:cs="Times New Roman"/>
          <w:sz w:val="24"/>
          <w:szCs w:val="24"/>
        </w:rPr>
        <w:t xml:space="preserve"> </w:t>
      </w:r>
      <w:r w:rsidR="008B70E9" w:rsidRPr="004454CF">
        <w:rPr>
          <w:rFonts w:ascii="Times New Roman" w:hAnsi="Times New Roman" w:cs="Times New Roman"/>
          <w:sz w:val="24"/>
          <w:szCs w:val="24"/>
        </w:rPr>
        <w:t xml:space="preserve">significantly </w:t>
      </w:r>
      <w:r w:rsidR="00B12E1F" w:rsidRPr="004454CF">
        <w:rPr>
          <w:rFonts w:ascii="Times New Roman" w:hAnsi="Times New Roman" w:cs="Times New Roman"/>
          <w:sz w:val="24"/>
          <w:szCs w:val="24"/>
        </w:rPr>
        <w:t>revised th</w:t>
      </w:r>
      <w:r w:rsidR="008B70E9" w:rsidRPr="004454CF">
        <w:rPr>
          <w:rFonts w:ascii="Times New Roman" w:hAnsi="Times New Roman" w:cs="Times New Roman"/>
          <w:sz w:val="24"/>
          <w:szCs w:val="24"/>
        </w:rPr>
        <w:t xml:space="preserve">e UES values downward, </w:t>
      </w:r>
      <w:r w:rsidR="00243E4E" w:rsidRPr="004454CF">
        <w:rPr>
          <w:rFonts w:ascii="Times New Roman" w:hAnsi="Times New Roman" w:cs="Times New Roman"/>
          <w:sz w:val="24"/>
          <w:szCs w:val="24"/>
        </w:rPr>
        <w:t>which made it more difficult for PSE to meet its target</w:t>
      </w:r>
      <w:r w:rsidR="00B12E1F" w:rsidRPr="004454CF">
        <w:rPr>
          <w:rFonts w:ascii="Times New Roman" w:hAnsi="Times New Roman" w:cs="Times New Roman"/>
          <w:sz w:val="24"/>
          <w:szCs w:val="24"/>
        </w:rPr>
        <w:t>. Had PSE had this information when it was building its BCP, it could have used the lower UES values to develop its target and not suffered the savings degradation in the second year of the biennium.</w:t>
      </w:r>
    </w:p>
    <w:p w14:paraId="44E995C2" w14:textId="77777777" w:rsidR="008B70E9" w:rsidRPr="004454CF" w:rsidRDefault="008B70E9" w:rsidP="00B12E1F">
      <w:pPr>
        <w:rPr>
          <w:rFonts w:ascii="Times New Roman" w:hAnsi="Times New Roman" w:cs="Times New Roman"/>
          <w:sz w:val="24"/>
          <w:szCs w:val="24"/>
        </w:rPr>
      </w:pPr>
    </w:p>
    <w:p w14:paraId="5022FE7B" w14:textId="2825ECEA" w:rsidR="00B12E1F" w:rsidRPr="004454CF" w:rsidRDefault="008E5871" w:rsidP="00B12E1F">
      <w:pPr>
        <w:rPr>
          <w:rFonts w:ascii="Times New Roman" w:hAnsi="Times New Roman" w:cs="Times New Roman"/>
          <w:sz w:val="24"/>
          <w:szCs w:val="24"/>
        </w:rPr>
      </w:pPr>
      <w:r w:rsidRPr="004454CF">
        <w:rPr>
          <w:rFonts w:ascii="Times New Roman" w:hAnsi="Times New Roman" w:cs="Times New Roman"/>
          <w:sz w:val="24"/>
          <w:szCs w:val="24"/>
        </w:rPr>
        <w:lastRenderedPageBreak/>
        <w:t>Staff</w:t>
      </w:r>
      <w:r w:rsidR="00B12E1F" w:rsidRPr="004454CF">
        <w:rPr>
          <w:rFonts w:ascii="Times New Roman" w:hAnsi="Times New Roman" w:cs="Times New Roman"/>
          <w:sz w:val="24"/>
          <w:szCs w:val="24"/>
        </w:rPr>
        <w:t xml:space="preserve"> encourages eac</w:t>
      </w:r>
      <w:r w:rsidR="008B70E9" w:rsidRPr="004454CF">
        <w:rPr>
          <w:rFonts w:ascii="Times New Roman" w:hAnsi="Times New Roman" w:cs="Times New Roman"/>
          <w:sz w:val="24"/>
          <w:szCs w:val="24"/>
        </w:rPr>
        <w:t>h of the company advisory group</w:t>
      </w:r>
      <w:r w:rsidR="009D79F9" w:rsidRPr="004454CF">
        <w:rPr>
          <w:rFonts w:ascii="Times New Roman" w:hAnsi="Times New Roman" w:cs="Times New Roman"/>
          <w:sz w:val="24"/>
          <w:szCs w:val="24"/>
        </w:rPr>
        <w:t xml:space="preserve">s to </w:t>
      </w:r>
      <w:r w:rsidR="00383340" w:rsidRPr="004454CF">
        <w:rPr>
          <w:rFonts w:ascii="Times New Roman" w:hAnsi="Times New Roman" w:cs="Times New Roman"/>
          <w:sz w:val="24"/>
          <w:szCs w:val="24"/>
        </w:rPr>
        <w:t xml:space="preserve">consider </w:t>
      </w:r>
      <w:r w:rsidR="00B12E1F" w:rsidRPr="004454CF">
        <w:rPr>
          <w:rFonts w:ascii="Times New Roman" w:hAnsi="Times New Roman" w:cs="Times New Roman"/>
          <w:sz w:val="24"/>
          <w:szCs w:val="24"/>
        </w:rPr>
        <w:t xml:space="preserve">beginning </w:t>
      </w:r>
      <w:r w:rsidR="009D79F9" w:rsidRPr="004454CF">
        <w:rPr>
          <w:rFonts w:ascii="Times New Roman" w:hAnsi="Times New Roman" w:cs="Times New Roman"/>
          <w:sz w:val="24"/>
          <w:szCs w:val="24"/>
        </w:rPr>
        <w:t xml:space="preserve">the </w:t>
      </w:r>
      <w:r w:rsidR="00B12E1F" w:rsidRPr="004454CF">
        <w:rPr>
          <w:rFonts w:ascii="Times New Roman" w:hAnsi="Times New Roman" w:cs="Times New Roman"/>
          <w:sz w:val="24"/>
          <w:szCs w:val="24"/>
        </w:rPr>
        <w:t xml:space="preserve">third-party review </w:t>
      </w:r>
      <w:r w:rsidR="009D79F9" w:rsidRPr="004454CF">
        <w:rPr>
          <w:rFonts w:ascii="Times New Roman" w:hAnsi="Times New Roman" w:cs="Times New Roman"/>
          <w:sz w:val="24"/>
          <w:szCs w:val="24"/>
        </w:rPr>
        <w:t>of utility-deemed UES values during the development of the BCPs</w:t>
      </w:r>
      <w:r w:rsidR="00B12E1F" w:rsidRPr="004454CF">
        <w:rPr>
          <w:rFonts w:ascii="Times New Roman" w:hAnsi="Times New Roman" w:cs="Times New Roman"/>
          <w:sz w:val="24"/>
          <w:szCs w:val="24"/>
        </w:rPr>
        <w:t>.</w:t>
      </w:r>
    </w:p>
    <w:p w14:paraId="698987B4" w14:textId="77777777" w:rsidR="00104F20" w:rsidRPr="004454CF" w:rsidRDefault="008B70E9" w:rsidP="008B70E9">
      <w:pPr>
        <w:pStyle w:val="Heading2"/>
      </w:pPr>
      <w:bookmarkStart w:id="6" w:name="_Toc436840005"/>
      <w:r w:rsidRPr="004454CF">
        <w:t>Home Energy Reports</w:t>
      </w:r>
      <w:bookmarkEnd w:id="6"/>
    </w:p>
    <w:p w14:paraId="5C27E81E" w14:textId="77777777" w:rsidR="008B70E9" w:rsidRPr="004454CF" w:rsidRDefault="008B70E9" w:rsidP="008B70E9">
      <w:pPr>
        <w:rPr>
          <w:rFonts w:ascii="Times New Roman" w:hAnsi="Times New Roman" w:cs="Times New Roman"/>
          <w:sz w:val="24"/>
          <w:szCs w:val="24"/>
        </w:rPr>
      </w:pPr>
    </w:p>
    <w:p w14:paraId="0200BE0A" w14:textId="49DD452F" w:rsidR="008B70E9" w:rsidRPr="004454CF" w:rsidRDefault="008B70E9" w:rsidP="008B70E9">
      <w:pPr>
        <w:rPr>
          <w:rFonts w:ascii="Times New Roman" w:hAnsi="Times New Roman" w:cs="Times New Roman"/>
          <w:sz w:val="24"/>
          <w:szCs w:val="24"/>
        </w:rPr>
      </w:pPr>
      <w:r w:rsidRPr="004454CF">
        <w:rPr>
          <w:rFonts w:ascii="Times New Roman" w:hAnsi="Times New Roman" w:cs="Times New Roman"/>
          <w:sz w:val="24"/>
          <w:szCs w:val="24"/>
        </w:rPr>
        <w:t xml:space="preserve">Administered through third-party contractor </w:t>
      </w:r>
      <w:proofErr w:type="spellStart"/>
      <w:r w:rsidRPr="004454CF">
        <w:rPr>
          <w:rFonts w:ascii="Times New Roman" w:hAnsi="Times New Roman" w:cs="Times New Roman"/>
          <w:sz w:val="24"/>
          <w:szCs w:val="24"/>
        </w:rPr>
        <w:t>Opower</w:t>
      </w:r>
      <w:proofErr w:type="spellEnd"/>
      <w:r w:rsidRPr="004454CF">
        <w:rPr>
          <w:rFonts w:ascii="Times New Roman" w:hAnsi="Times New Roman" w:cs="Times New Roman"/>
          <w:sz w:val="24"/>
          <w:szCs w:val="24"/>
        </w:rPr>
        <w:t>, the Home Energy Reports</w:t>
      </w:r>
      <w:r w:rsidR="00383340" w:rsidRPr="004454CF">
        <w:rPr>
          <w:rFonts w:ascii="Times New Roman" w:hAnsi="Times New Roman" w:cs="Times New Roman"/>
          <w:sz w:val="24"/>
          <w:szCs w:val="24"/>
        </w:rPr>
        <w:t xml:space="preserve"> (HER)</w:t>
      </w:r>
      <w:r w:rsidRPr="004454CF">
        <w:rPr>
          <w:rFonts w:ascii="Times New Roman" w:hAnsi="Times New Roman" w:cs="Times New Roman"/>
          <w:sz w:val="24"/>
          <w:szCs w:val="24"/>
        </w:rPr>
        <w:t xml:space="preserve"> measure is a behavioral program consisting of a</w:t>
      </w:r>
      <w:r w:rsidR="00383340" w:rsidRPr="004454CF">
        <w:rPr>
          <w:rFonts w:ascii="Times New Roman" w:hAnsi="Times New Roman" w:cs="Times New Roman"/>
          <w:sz w:val="24"/>
          <w:szCs w:val="24"/>
        </w:rPr>
        <w:t>n individualized,</w:t>
      </w:r>
      <w:r w:rsidRPr="004454CF">
        <w:rPr>
          <w:rFonts w:ascii="Times New Roman" w:hAnsi="Times New Roman" w:cs="Times New Roman"/>
          <w:sz w:val="24"/>
          <w:szCs w:val="24"/>
        </w:rPr>
        <w:t xml:space="preserve"> detailed billing statement that show</w:t>
      </w:r>
      <w:r w:rsidR="00891A28" w:rsidRPr="004454CF">
        <w:rPr>
          <w:rFonts w:ascii="Times New Roman" w:hAnsi="Times New Roman" w:cs="Times New Roman"/>
          <w:sz w:val="24"/>
          <w:szCs w:val="24"/>
        </w:rPr>
        <w:t>s</w:t>
      </w:r>
      <w:r w:rsidRPr="004454CF">
        <w:rPr>
          <w:rFonts w:ascii="Times New Roman" w:hAnsi="Times New Roman" w:cs="Times New Roman"/>
          <w:sz w:val="24"/>
          <w:szCs w:val="24"/>
        </w:rPr>
        <w:t xml:space="preserve"> how the customer’s usage is trending over time and how it compares to </w:t>
      </w:r>
      <w:r w:rsidR="00243E4E" w:rsidRPr="004454CF">
        <w:rPr>
          <w:rFonts w:ascii="Times New Roman" w:hAnsi="Times New Roman" w:cs="Times New Roman"/>
          <w:sz w:val="24"/>
          <w:szCs w:val="24"/>
        </w:rPr>
        <w:t>similar</w:t>
      </w:r>
      <w:r w:rsidRPr="004454CF">
        <w:rPr>
          <w:rFonts w:ascii="Times New Roman" w:hAnsi="Times New Roman" w:cs="Times New Roman"/>
          <w:sz w:val="24"/>
          <w:szCs w:val="24"/>
        </w:rPr>
        <w:t xml:space="preserve"> customers in the surrounding area. The goal of this program is to provide a social incentive for high-usage customers to become more efficient.</w:t>
      </w:r>
      <w:r w:rsidRPr="004454CF">
        <w:rPr>
          <w:rStyle w:val="FootnoteReference"/>
          <w:rFonts w:ascii="Times New Roman" w:hAnsi="Times New Roman" w:cs="Times New Roman"/>
          <w:sz w:val="24"/>
          <w:szCs w:val="24"/>
        </w:rPr>
        <w:footnoteReference w:id="9"/>
      </w:r>
      <w:r w:rsidRPr="004454CF">
        <w:rPr>
          <w:rFonts w:ascii="Times New Roman" w:hAnsi="Times New Roman" w:cs="Times New Roman"/>
          <w:sz w:val="24"/>
          <w:szCs w:val="24"/>
        </w:rPr>
        <w:t xml:space="preserve"> The reports also provide simple, energy-saving tips to further encourage conservation and participation in utility rebate programs.</w:t>
      </w:r>
    </w:p>
    <w:p w14:paraId="718731C3" w14:textId="77777777" w:rsidR="008B70E9" w:rsidRPr="004454CF" w:rsidRDefault="008B70E9" w:rsidP="008B70E9">
      <w:pPr>
        <w:rPr>
          <w:rFonts w:ascii="Times New Roman" w:hAnsi="Times New Roman" w:cs="Times New Roman"/>
          <w:sz w:val="24"/>
          <w:szCs w:val="24"/>
        </w:rPr>
      </w:pPr>
    </w:p>
    <w:p w14:paraId="6A8D0585" w14:textId="77777777" w:rsidR="008B70E9" w:rsidRPr="004454CF" w:rsidRDefault="008B70E9" w:rsidP="008B70E9">
      <w:pPr>
        <w:rPr>
          <w:rFonts w:ascii="Times New Roman" w:hAnsi="Times New Roman" w:cs="Times New Roman"/>
          <w:sz w:val="24"/>
          <w:szCs w:val="24"/>
        </w:rPr>
      </w:pPr>
      <w:r w:rsidRPr="004454CF">
        <w:rPr>
          <w:rFonts w:ascii="Times New Roman" w:hAnsi="Times New Roman" w:cs="Times New Roman"/>
          <w:sz w:val="24"/>
          <w:szCs w:val="24"/>
        </w:rPr>
        <w:t xml:space="preserve">Although all three companies used the same contractor in the 2014-2015 biennium, each company used a different methodology for determining the savings that can be attributed to the Home Energy Reports. The forthcoming 2016-2017 represents the first biennium the utilities appear to have converged on a common methodology for claiming savings from </w:t>
      </w:r>
      <w:proofErr w:type="spellStart"/>
      <w:r w:rsidRPr="004454CF">
        <w:rPr>
          <w:rFonts w:ascii="Times New Roman" w:hAnsi="Times New Roman" w:cs="Times New Roman"/>
          <w:sz w:val="24"/>
          <w:szCs w:val="24"/>
        </w:rPr>
        <w:t>Opower</w:t>
      </w:r>
      <w:proofErr w:type="spellEnd"/>
      <w:r w:rsidRPr="004454CF">
        <w:rPr>
          <w:rFonts w:ascii="Times New Roman" w:hAnsi="Times New Roman" w:cs="Times New Roman"/>
          <w:sz w:val="24"/>
          <w:szCs w:val="24"/>
        </w:rPr>
        <w:t>.</w:t>
      </w:r>
    </w:p>
    <w:p w14:paraId="3F199DA7" w14:textId="74196391" w:rsidR="008B70E9" w:rsidRPr="004454CF" w:rsidRDefault="008B70E9" w:rsidP="008B70E9">
      <w:pPr>
        <w:rPr>
          <w:rFonts w:ascii="Times New Roman" w:hAnsi="Times New Roman" w:cs="Times New Roman"/>
          <w:sz w:val="24"/>
          <w:szCs w:val="24"/>
        </w:rPr>
      </w:pPr>
      <w:r w:rsidRPr="004454CF">
        <w:rPr>
          <w:rFonts w:ascii="Times New Roman" w:hAnsi="Times New Roman" w:cs="Times New Roman"/>
          <w:sz w:val="24"/>
          <w:szCs w:val="24"/>
        </w:rPr>
        <w:t xml:space="preserve">In its BCP comments in the previous biennium,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noted inconsistencies between the utilities on measure life and persistence assumptions. Although questions regarding </w:t>
      </w:r>
      <w:r w:rsidR="00383340" w:rsidRPr="004454CF">
        <w:rPr>
          <w:rFonts w:ascii="Times New Roman" w:hAnsi="Times New Roman" w:cs="Times New Roman"/>
          <w:sz w:val="24"/>
          <w:szCs w:val="24"/>
        </w:rPr>
        <w:t xml:space="preserve">the </w:t>
      </w:r>
      <w:r w:rsidRPr="004454CF">
        <w:rPr>
          <w:rFonts w:ascii="Times New Roman" w:hAnsi="Times New Roman" w:cs="Times New Roman"/>
          <w:sz w:val="24"/>
          <w:szCs w:val="24"/>
        </w:rPr>
        <w:t>persistence</w:t>
      </w:r>
      <w:r w:rsidR="00383340" w:rsidRPr="004454CF">
        <w:rPr>
          <w:rFonts w:ascii="Times New Roman" w:hAnsi="Times New Roman" w:cs="Times New Roman"/>
          <w:sz w:val="24"/>
          <w:szCs w:val="24"/>
        </w:rPr>
        <w:t xml:space="preserve"> of HER savings</w:t>
      </w:r>
      <w:r w:rsidRPr="004454CF">
        <w:rPr>
          <w:rFonts w:ascii="Times New Roman" w:hAnsi="Times New Roman" w:cs="Times New Roman"/>
          <w:sz w:val="24"/>
          <w:szCs w:val="24"/>
        </w:rPr>
        <w:t xml:space="preserve"> still linger,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does not believe this is an issue that needs resolved </w:t>
      </w:r>
      <w:r w:rsidR="00383340" w:rsidRPr="004454CF">
        <w:rPr>
          <w:rFonts w:ascii="Times New Roman" w:hAnsi="Times New Roman" w:cs="Times New Roman"/>
          <w:sz w:val="24"/>
          <w:szCs w:val="24"/>
        </w:rPr>
        <w:t>at present.</w:t>
      </w:r>
      <w:r w:rsidR="00383340" w:rsidRPr="004454CF">
        <w:rPr>
          <w:rStyle w:val="FootnoteReference"/>
          <w:rFonts w:ascii="Times New Roman" w:hAnsi="Times New Roman" w:cs="Times New Roman"/>
          <w:sz w:val="24"/>
          <w:szCs w:val="24"/>
        </w:rPr>
        <w:footnoteReference w:id="10"/>
      </w:r>
      <w:r w:rsidRPr="004454CF">
        <w:rPr>
          <w:rFonts w:ascii="Times New Roman" w:hAnsi="Times New Roman" w:cs="Times New Roman"/>
          <w:sz w:val="24"/>
          <w:szCs w:val="24"/>
        </w:rPr>
        <w:t xml:space="preserve"> </w:t>
      </w:r>
      <w:r w:rsidR="00383340" w:rsidRPr="004454CF">
        <w:rPr>
          <w:rFonts w:ascii="Times New Roman" w:hAnsi="Times New Roman" w:cs="Times New Roman"/>
          <w:sz w:val="24"/>
          <w:szCs w:val="24"/>
        </w:rPr>
        <w:t xml:space="preserve">This is </w:t>
      </w:r>
      <w:r w:rsidRPr="004454CF">
        <w:rPr>
          <w:rFonts w:ascii="Times New Roman" w:hAnsi="Times New Roman" w:cs="Times New Roman"/>
          <w:sz w:val="24"/>
          <w:szCs w:val="24"/>
        </w:rPr>
        <w:t xml:space="preserve">because all three utilities now assume a two-year measure life that corresponds to each company’s biennial plan, with a complete repurchase of savings in the third year (i.e. the first year of the next biennium). Therefore, given the common analytical construct, all utilities assume there is no persistence from biennium to biennium. </w:t>
      </w:r>
    </w:p>
    <w:p w14:paraId="54C1DD71" w14:textId="77777777" w:rsidR="008B70E9" w:rsidRPr="004454CF" w:rsidRDefault="008B70E9" w:rsidP="008B70E9">
      <w:pPr>
        <w:rPr>
          <w:rFonts w:ascii="Times New Roman" w:hAnsi="Times New Roman" w:cs="Times New Roman"/>
          <w:sz w:val="24"/>
          <w:szCs w:val="24"/>
        </w:rPr>
      </w:pPr>
    </w:p>
    <w:p w14:paraId="2C5926B9" w14:textId="3ED655AA" w:rsidR="008B70E9" w:rsidRPr="004454CF" w:rsidRDefault="00243E4E" w:rsidP="008B70E9">
      <w:pPr>
        <w:rPr>
          <w:rFonts w:ascii="Times New Roman" w:hAnsi="Times New Roman" w:cs="Times New Roman"/>
          <w:sz w:val="24"/>
          <w:szCs w:val="24"/>
        </w:rPr>
      </w:pPr>
      <w:r w:rsidRPr="004454CF">
        <w:rPr>
          <w:rFonts w:ascii="Times New Roman" w:hAnsi="Times New Roman" w:cs="Times New Roman"/>
          <w:sz w:val="24"/>
          <w:szCs w:val="24"/>
        </w:rPr>
        <w:t xml:space="preserve">Although this is not a perfect representation of reality, </w:t>
      </w:r>
      <w:r w:rsidR="008B70E9" w:rsidRPr="004454CF">
        <w:rPr>
          <w:rFonts w:ascii="Times New Roman" w:hAnsi="Times New Roman" w:cs="Times New Roman"/>
          <w:sz w:val="24"/>
          <w:szCs w:val="24"/>
        </w:rPr>
        <w:t>the two-year measure life assumption is appropriate as it aligns well with biennial planning and reporting and avoids complicated analyses involving questionable persistence assumptions. Using a two-year measure life</w:t>
      </w:r>
      <w:r w:rsidR="00383340" w:rsidRPr="004454CF">
        <w:rPr>
          <w:rFonts w:ascii="Times New Roman" w:hAnsi="Times New Roman" w:cs="Times New Roman"/>
          <w:sz w:val="24"/>
          <w:szCs w:val="24"/>
        </w:rPr>
        <w:t xml:space="preserve"> </w:t>
      </w:r>
      <w:r w:rsidR="002368F5" w:rsidRPr="004454CF">
        <w:rPr>
          <w:rFonts w:ascii="Times New Roman" w:hAnsi="Times New Roman" w:cs="Times New Roman"/>
          <w:sz w:val="24"/>
          <w:szCs w:val="24"/>
        </w:rPr>
        <w:t xml:space="preserve">also </w:t>
      </w:r>
      <w:r w:rsidR="00383340" w:rsidRPr="004454CF">
        <w:rPr>
          <w:rFonts w:ascii="Times New Roman" w:hAnsi="Times New Roman" w:cs="Times New Roman"/>
          <w:sz w:val="24"/>
          <w:szCs w:val="24"/>
        </w:rPr>
        <w:t>aligns HER program costs and energy savings with the biennial conservation cycle, thereby facilitating program reporting and cost-effectiveness calculations.</w:t>
      </w:r>
    </w:p>
    <w:p w14:paraId="732F458B" w14:textId="77777777" w:rsidR="008B70E9" w:rsidRPr="004454CF" w:rsidRDefault="008B70E9" w:rsidP="008B70E9">
      <w:pPr>
        <w:rPr>
          <w:rFonts w:ascii="Times New Roman" w:hAnsi="Times New Roman" w:cs="Times New Roman"/>
          <w:sz w:val="24"/>
          <w:szCs w:val="24"/>
        </w:rPr>
      </w:pPr>
    </w:p>
    <w:p w14:paraId="778BEA7E" w14:textId="4510D38D" w:rsidR="008B70E9" w:rsidRPr="004454CF" w:rsidRDefault="00383340" w:rsidP="008B70E9">
      <w:pPr>
        <w:rPr>
          <w:rFonts w:ascii="Times New Roman" w:hAnsi="Times New Roman" w:cs="Times New Roman"/>
          <w:sz w:val="24"/>
          <w:szCs w:val="24"/>
        </w:rPr>
      </w:pPr>
      <w:r w:rsidRPr="004454CF">
        <w:rPr>
          <w:rFonts w:ascii="Times New Roman" w:hAnsi="Times New Roman" w:cs="Times New Roman"/>
          <w:sz w:val="24"/>
          <w:szCs w:val="24"/>
        </w:rPr>
        <w:t>The two-year measure life also ensures that savings achieved within a</w:t>
      </w:r>
      <w:r w:rsidR="008B70E9" w:rsidRPr="004454CF">
        <w:rPr>
          <w:rFonts w:ascii="Times New Roman" w:hAnsi="Times New Roman" w:cs="Times New Roman"/>
          <w:sz w:val="24"/>
          <w:szCs w:val="24"/>
        </w:rPr>
        <w:t xml:space="preserve"> biennium </w:t>
      </w:r>
      <w:r w:rsidRPr="004454CF">
        <w:rPr>
          <w:rFonts w:ascii="Times New Roman" w:hAnsi="Times New Roman" w:cs="Times New Roman"/>
          <w:sz w:val="24"/>
          <w:szCs w:val="24"/>
        </w:rPr>
        <w:t>are not</w:t>
      </w:r>
      <w:r w:rsidR="008B70E9" w:rsidRPr="004454CF">
        <w:rPr>
          <w:rFonts w:ascii="Times New Roman" w:hAnsi="Times New Roman" w:cs="Times New Roman"/>
          <w:sz w:val="24"/>
          <w:szCs w:val="24"/>
        </w:rPr>
        <w:t xml:space="preserve"> counted twice (once for each year) for meeting a utility’s target. The only savings that may be counted in year two of the biennium are savings that are </w:t>
      </w:r>
      <w:r w:rsidR="008B70E9" w:rsidRPr="004454CF">
        <w:rPr>
          <w:rFonts w:ascii="Times New Roman" w:hAnsi="Times New Roman" w:cs="Times New Roman"/>
          <w:i/>
          <w:sz w:val="24"/>
          <w:szCs w:val="24"/>
        </w:rPr>
        <w:t>incremental</w:t>
      </w:r>
      <w:r w:rsidR="008B70E9" w:rsidRPr="004454CF">
        <w:rPr>
          <w:rFonts w:ascii="Times New Roman" w:hAnsi="Times New Roman" w:cs="Times New Roman"/>
          <w:sz w:val="24"/>
          <w:szCs w:val="24"/>
        </w:rPr>
        <w:t xml:space="preserve"> to the savings in year one. This is consistent with the notion that we only allow utilities to claim first-year savings toward meeting their targets. The allowance of </w:t>
      </w:r>
      <w:r w:rsidR="008B70E9" w:rsidRPr="004454CF">
        <w:rPr>
          <w:rFonts w:ascii="Times New Roman" w:hAnsi="Times New Roman" w:cs="Times New Roman"/>
          <w:i/>
          <w:sz w:val="24"/>
          <w:szCs w:val="24"/>
        </w:rPr>
        <w:t xml:space="preserve">incremental </w:t>
      </w:r>
      <w:r w:rsidR="008B70E9" w:rsidRPr="004454CF">
        <w:rPr>
          <w:rFonts w:ascii="Times New Roman" w:hAnsi="Times New Roman" w:cs="Times New Roman"/>
          <w:sz w:val="24"/>
          <w:szCs w:val="24"/>
        </w:rPr>
        <w:t xml:space="preserve">savings from year two is to acknowledge that there may be a “phase-in” period before </w:t>
      </w:r>
      <w:proofErr w:type="spellStart"/>
      <w:r w:rsidR="008B70E9" w:rsidRPr="004454CF">
        <w:rPr>
          <w:rFonts w:ascii="Times New Roman" w:hAnsi="Times New Roman" w:cs="Times New Roman"/>
          <w:sz w:val="24"/>
          <w:szCs w:val="24"/>
        </w:rPr>
        <w:t>Opower</w:t>
      </w:r>
      <w:proofErr w:type="spellEnd"/>
      <w:r w:rsidR="008B70E9" w:rsidRPr="004454CF">
        <w:rPr>
          <w:rFonts w:ascii="Times New Roman" w:hAnsi="Times New Roman" w:cs="Times New Roman"/>
          <w:sz w:val="24"/>
          <w:szCs w:val="24"/>
        </w:rPr>
        <w:t xml:space="preserve"> savings are realized.</w:t>
      </w:r>
    </w:p>
    <w:p w14:paraId="4DAFCD7F" w14:textId="77777777" w:rsidR="008B70E9" w:rsidRPr="004454CF" w:rsidRDefault="008B70E9" w:rsidP="008B70E9">
      <w:pPr>
        <w:pStyle w:val="Heading2"/>
      </w:pPr>
      <w:bookmarkStart w:id="7" w:name="_Toc436840006"/>
      <w:r w:rsidRPr="004454CF">
        <w:t>NEEA</w:t>
      </w:r>
      <w:bookmarkEnd w:id="7"/>
    </w:p>
    <w:p w14:paraId="6C6B665D" w14:textId="77777777" w:rsidR="008B70E9" w:rsidRPr="004454CF" w:rsidRDefault="008B70E9" w:rsidP="008B70E9">
      <w:pPr>
        <w:rPr>
          <w:rFonts w:ascii="Times New Roman" w:hAnsi="Times New Roman" w:cs="Times New Roman"/>
          <w:sz w:val="24"/>
          <w:szCs w:val="24"/>
        </w:rPr>
      </w:pPr>
    </w:p>
    <w:p w14:paraId="6F42E6D5" w14:textId="77C5F9C6" w:rsidR="00104F20" w:rsidRPr="004454CF" w:rsidRDefault="00DF1B93" w:rsidP="008463AA">
      <w:pPr>
        <w:rPr>
          <w:rFonts w:ascii="Times New Roman" w:hAnsi="Times New Roman" w:cs="Times New Roman"/>
          <w:sz w:val="24"/>
          <w:szCs w:val="24"/>
        </w:rPr>
      </w:pPr>
      <w:r w:rsidRPr="004454CF">
        <w:rPr>
          <w:rFonts w:ascii="Times New Roman" w:hAnsi="Times New Roman" w:cs="Times New Roman"/>
          <w:sz w:val="24"/>
          <w:szCs w:val="24"/>
        </w:rPr>
        <w:t xml:space="preserve">In the 2010-11 and 2012-13 biennia, the utilities claimed savings acquired on their behalf by NEEA toward meeting their biennial conservation targets. </w:t>
      </w:r>
      <w:r w:rsidR="00D5036F" w:rsidRPr="004454CF">
        <w:rPr>
          <w:rFonts w:ascii="Times New Roman" w:hAnsi="Times New Roman" w:cs="Times New Roman"/>
          <w:sz w:val="24"/>
          <w:szCs w:val="24"/>
        </w:rPr>
        <w:t>As the utilities</w:t>
      </w:r>
      <w:r w:rsidRPr="004454CF">
        <w:rPr>
          <w:rFonts w:ascii="Times New Roman" w:hAnsi="Times New Roman" w:cs="Times New Roman"/>
          <w:sz w:val="24"/>
          <w:szCs w:val="24"/>
        </w:rPr>
        <w:t xml:space="preserve"> did not use a consistent </w:t>
      </w:r>
      <w:r w:rsidRPr="004454CF">
        <w:rPr>
          <w:rFonts w:ascii="Times New Roman" w:hAnsi="Times New Roman" w:cs="Times New Roman"/>
          <w:sz w:val="24"/>
          <w:szCs w:val="24"/>
        </w:rPr>
        <w:lastRenderedPageBreak/>
        <w:t>ap</w:t>
      </w:r>
      <w:r w:rsidR="00D5036F" w:rsidRPr="004454CF">
        <w:rPr>
          <w:rFonts w:ascii="Times New Roman" w:hAnsi="Times New Roman" w:cs="Times New Roman"/>
          <w:sz w:val="24"/>
          <w:szCs w:val="24"/>
        </w:rPr>
        <w:t>proach to claim NEEA savings,</w:t>
      </w:r>
      <w:r w:rsidRPr="004454CF">
        <w:rPr>
          <w:rFonts w:ascii="Times New Roman" w:hAnsi="Times New Roman" w:cs="Times New Roman"/>
          <w:sz w:val="24"/>
          <w:szCs w:val="24"/>
        </w:rPr>
        <w:t xml:space="preserve"> the Commission ordered them to develop a joint proposal for treatment of NEEA savings. The companies proposed to exclude NEEA savings from establishing the EIA targets at the beginning of a biennium and from claiming savings at the end of a biennium; the Commission accepted this proposal for the 2014-15 biennium on the condition that the utilities continued to fund NEEA activities as part of their obligation to </w:t>
      </w:r>
      <w:r w:rsidR="00493500" w:rsidRPr="004454CF">
        <w:rPr>
          <w:rFonts w:ascii="Times New Roman" w:hAnsi="Times New Roman" w:cs="Times New Roman"/>
          <w:sz w:val="24"/>
          <w:szCs w:val="24"/>
        </w:rPr>
        <w:t>“</w:t>
      </w:r>
      <w:r w:rsidRPr="004454CF">
        <w:rPr>
          <w:rFonts w:ascii="Times New Roman" w:hAnsi="Times New Roman" w:cs="Times New Roman"/>
          <w:sz w:val="24"/>
          <w:szCs w:val="24"/>
        </w:rPr>
        <w:t xml:space="preserve">pursue all available conservation that is cost-effective, </w:t>
      </w:r>
      <w:r w:rsidR="00493500" w:rsidRPr="004454CF">
        <w:rPr>
          <w:rFonts w:ascii="Times New Roman" w:hAnsi="Times New Roman" w:cs="Times New Roman"/>
          <w:sz w:val="24"/>
          <w:szCs w:val="24"/>
        </w:rPr>
        <w:t>reliable, and feasible.”</w:t>
      </w:r>
      <w:r w:rsidR="00493500" w:rsidRPr="004454CF">
        <w:rPr>
          <w:rStyle w:val="FootnoteReference"/>
          <w:rFonts w:ascii="Times New Roman" w:hAnsi="Times New Roman" w:cs="Times New Roman"/>
          <w:sz w:val="24"/>
          <w:szCs w:val="24"/>
        </w:rPr>
        <w:footnoteReference w:id="11"/>
      </w:r>
      <w:r w:rsidRPr="004454CF">
        <w:rPr>
          <w:rFonts w:ascii="Times New Roman" w:hAnsi="Times New Roman" w:cs="Times New Roman"/>
          <w:sz w:val="24"/>
          <w:szCs w:val="24"/>
        </w:rPr>
        <w:t xml:space="preserve">  </w:t>
      </w:r>
    </w:p>
    <w:p w14:paraId="749E6CB1" w14:textId="77777777" w:rsidR="00DF1B93" w:rsidRPr="004454CF" w:rsidRDefault="00DF1B93" w:rsidP="008463AA">
      <w:pPr>
        <w:rPr>
          <w:rFonts w:ascii="Times New Roman" w:hAnsi="Times New Roman" w:cs="Times New Roman"/>
          <w:sz w:val="24"/>
          <w:szCs w:val="24"/>
        </w:rPr>
      </w:pPr>
    </w:p>
    <w:p w14:paraId="5B598436" w14:textId="2596ECD3" w:rsidR="00493500" w:rsidRPr="004454CF" w:rsidRDefault="00DF1B93" w:rsidP="008463AA">
      <w:pPr>
        <w:rPr>
          <w:rFonts w:ascii="Times New Roman" w:hAnsi="Times New Roman" w:cs="Times New Roman"/>
          <w:sz w:val="24"/>
          <w:szCs w:val="24"/>
        </w:rPr>
      </w:pPr>
      <w:r w:rsidRPr="004454CF">
        <w:rPr>
          <w:rFonts w:ascii="Times New Roman" w:hAnsi="Times New Roman" w:cs="Times New Roman"/>
          <w:sz w:val="24"/>
          <w:szCs w:val="24"/>
        </w:rPr>
        <w:t xml:space="preserve">After reviewing the impacts of this approach during the current biennium,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and the advisory groups for the three </w:t>
      </w:r>
      <w:r w:rsidR="008E5871" w:rsidRPr="004454CF">
        <w:rPr>
          <w:rFonts w:ascii="Times New Roman" w:hAnsi="Times New Roman" w:cs="Times New Roman"/>
          <w:sz w:val="24"/>
          <w:szCs w:val="24"/>
        </w:rPr>
        <w:t>utilitie</w:t>
      </w:r>
      <w:r w:rsidRPr="004454CF">
        <w:rPr>
          <w:rFonts w:ascii="Times New Roman" w:hAnsi="Times New Roman" w:cs="Times New Roman"/>
          <w:sz w:val="24"/>
          <w:szCs w:val="24"/>
        </w:rPr>
        <w:t xml:space="preserve">s have agreed to maintain NEEA savings outside of the utilities’ targets. </w:t>
      </w:r>
      <w:r w:rsidR="008E5871" w:rsidRPr="004454CF">
        <w:rPr>
          <w:rFonts w:ascii="Times New Roman" w:hAnsi="Times New Roman" w:cs="Times New Roman"/>
          <w:sz w:val="24"/>
          <w:szCs w:val="24"/>
        </w:rPr>
        <w:t>Staff</w:t>
      </w:r>
      <w:r w:rsidR="005C144E" w:rsidRPr="004454CF">
        <w:rPr>
          <w:rFonts w:ascii="Times New Roman" w:hAnsi="Times New Roman" w:cs="Times New Roman"/>
          <w:sz w:val="24"/>
          <w:szCs w:val="24"/>
        </w:rPr>
        <w:t>’s primary concern with excluding NEE</w:t>
      </w:r>
      <w:r w:rsidR="00EE7ECB" w:rsidRPr="004454CF">
        <w:rPr>
          <w:rFonts w:ascii="Times New Roman" w:hAnsi="Times New Roman" w:cs="Times New Roman"/>
          <w:sz w:val="24"/>
          <w:szCs w:val="24"/>
        </w:rPr>
        <w:t>A from biennial targets was</w:t>
      </w:r>
      <w:r w:rsidR="0035435D" w:rsidRPr="004454CF">
        <w:rPr>
          <w:rFonts w:ascii="Times New Roman" w:hAnsi="Times New Roman" w:cs="Times New Roman"/>
          <w:sz w:val="24"/>
          <w:szCs w:val="24"/>
        </w:rPr>
        <w:t xml:space="preserve"> that utilities would wa</w:t>
      </w:r>
      <w:r w:rsidR="005C144E" w:rsidRPr="004454CF">
        <w:rPr>
          <w:rFonts w:ascii="Times New Roman" w:hAnsi="Times New Roman" w:cs="Times New Roman"/>
          <w:sz w:val="24"/>
          <w:szCs w:val="24"/>
        </w:rPr>
        <w:t xml:space="preserve">ver in their commitment to and funding of NEEA. </w:t>
      </w:r>
      <w:r w:rsidR="00493500" w:rsidRPr="004454CF">
        <w:rPr>
          <w:rFonts w:ascii="Times New Roman" w:hAnsi="Times New Roman" w:cs="Times New Roman"/>
          <w:sz w:val="24"/>
          <w:szCs w:val="24"/>
        </w:rPr>
        <w:t>The Commission’s newly adopted EIA rule addressed this concern by defining ma</w:t>
      </w:r>
      <w:r w:rsidR="002368F5" w:rsidRPr="004454CF">
        <w:rPr>
          <w:rFonts w:ascii="Times New Roman" w:hAnsi="Times New Roman" w:cs="Times New Roman"/>
          <w:sz w:val="24"/>
          <w:szCs w:val="24"/>
        </w:rPr>
        <w:t xml:space="preserve">rket transformation as part of </w:t>
      </w:r>
      <w:r w:rsidR="00493500" w:rsidRPr="004454CF">
        <w:rPr>
          <w:rFonts w:ascii="Times New Roman" w:hAnsi="Times New Roman" w:cs="Times New Roman"/>
          <w:sz w:val="24"/>
          <w:szCs w:val="24"/>
        </w:rPr>
        <w:t>a utility’s statutory obligation to “pursue all” available conservation.</w:t>
      </w:r>
      <w:r w:rsidR="00493500" w:rsidRPr="004454CF">
        <w:rPr>
          <w:rStyle w:val="FootnoteReference"/>
          <w:rFonts w:ascii="Times New Roman" w:hAnsi="Times New Roman" w:cs="Times New Roman"/>
          <w:sz w:val="24"/>
          <w:szCs w:val="24"/>
        </w:rPr>
        <w:footnoteReference w:id="12"/>
      </w:r>
      <w:r w:rsidR="00493500" w:rsidRPr="004454CF">
        <w:rPr>
          <w:rFonts w:ascii="Times New Roman" w:hAnsi="Times New Roman" w:cs="Times New Roman"/>
          <w:sz w:val="24"/>
          <w:szCs w:val="24"/>
        </w:rPr>
        <w:t xml:space="preserve"> </w:t>
      </w:r>
    </w:p>
    <w:p w14:paraId="5AD1D8F1" w14:textId="77777777" w:rsidR="00493500" w:rsidRPr="004454CF" w:rsidRDefault="00493500" w:rsidP="008463AA">
      <w:pPr>
        <w:rPr>
          <w:rFonts w:ascii="Times New Roman" w:hAnsi="Times New Roman" w:cs="Times New Roman"/>
          <w:sz w:val="24"/>
          <w:szCs w:val="24"/>
        </w:rPr>
      </w:pPr>
    </w:p>
    <w:p w14:paraId="55146A78" w14:textId="0642676A" w:rsidR="00D5036F" w:rsidRPr="004454CF" w:rsidRDefault="00493500" w:rsidP="008463AA">
      <w:pPr>
        <w:rPr>
          <w:rFonts w:ascii="Times New Roman" w:hAnsi="Times New Roman" w:cs="Times New Roman"/>
          <w:sz w:val="24"/>
          <w:szCs w:val="24"/>
        </w:rPr>
      </w:pPr>
      <w:r w:rsidRPr="004454CF">
        <w:rPr>
          <w:rFonts w:ascii="Times New Roman" w:hAnsi="Times New Roman" w:cs="Times New Roman"/>
          <w:sz w:val="24"/>
          <w:szCs w:val="24"/>
        </w:rPr>
        <w:t>With Staff’s concern resolved, e</w:t>
      </w:r>
      <w:r w:rsidR="00D5036F" w:rsidRPr="004454CF">
        <w:rPr>
          <w:rFonts w:ascii="Times New Roman" w:hAnsi="Times New Roman" w:cs="Times New Roman"/>
          <w:sz w:val="24"/>
          <w:szCs w:val="24"/>
        </w:rPr>
        <w:t xml:space="preserve">xcluding NEEA from the target makes sense because an individual utility </w:t>
      </w:r>
      <w:r w:rsidR="001F67EC" w:rsidRPr="004454CF">
        <w:rPr>
          <w:rFonts w:ascii="Times New Roman" w:hAnsi="Times New Roman" w:cs="Times New Roman"/>
          <w:sz w:val="24"/>
          <w:szCs w:val="24"/>
        </w:rPr>
        <w:t>has limited control</w:t>
      </w:r>
      <w:r w:rsidR="00D5036F" w:rsidRPr="004454CF">
        <w:rPr>
          <w:rFonts w:ascii="Times New Roman" w:hAnsi="Times New Roman" w:cs="Times New Roman"/>
          <w:sz w:val="24"/>
          <w:szCs w:val="24"/>
        </w:rPr>
        <w:t xml:space="preserve"> over whether those savings are achieved. There are a number of risk factors that may impact NEEA’s market transformation efforts, including product under-performance, unexpected market barriers, insufficient market data, and broad economic conditions. While the utilities that fund NEEA also have a strong voice in directing the agency’s work, there are factors beyond the control of NEEA – and therefore well beyond the control of a single utility funder – that may </w:t>
      </w:r>
      <w:r w:rsidR="00EE7ECB" w:rsidRPr="004454CF">
        <w:rPr>
          <w:rFonts w:ascii="Times New Roman" w:hAnsi="Times New Roman" w:cs="Times New Roman"/>
          <w:sz w:val="24"/>
          <w:szCs w:val="24"/>
        </w:rPr>
        <w:t>result in portfolio underperformance</w:t>
      </w:r>
      <w:r w:rsidR="00D5036F" w:rsidRPr="004454CF">
        <w:rPr>
          <w:rFonts w:ascii="Times New Roman" w:hAnsi="Times New Roman" w:cs="Times New Roman"/>
          <w:sz w:val="24"/>
          <w:szCs w:val="24"/>
        </w:rPr>
        <w:t xml:space="preserve">. Given NEEA’s track record of consistently outperforming its projections, </w:t>
      </w:r>
      <w:r w:rsidR="008E5871" w:rsidRPr="004454CF">
        <w:rPr>
          <w:rFonts w:ascii="Times New Roman" w:hAnsi="Times New Roman" w:cs="Times New Roman"/>
          <w:sz w:val="24"/>
          <w:szCs w:val="24"/>
        </w:rPr>
        <w:t>Staff</w:t>
      </w:r>
      <w:r w:rsidR="00D5036F" w:rsidRPr="004454CF">
        <w:rPr>
          <w:rFonts w:ascii="Times New Roman" w:hAnsi="Times New Roman" w:cs="Times New Roman"/>
          <w:sz w:val="24"/>
          <w:szCs w:val="24"/>
        </w:rPr>
        <w:t xml:space="preserve"> believes that this risk is low, and that treating NEEA savings outside of the target is an appropriate means of managing that risk. </w:t>
      </w:r>
    </w:p>
    <w:p w14:paraId="0B456AEB" w14:textId="77777777" w:rsidR="00D5036F" w:rsidRPr="004454CF" w:rsidRDefault="00D5036F" w:rsidP="008463AA">
      <w:pPr>
        <w:rPr>
          <w:rFonts w:ascii="Times New Roman" w:hAnsi="Times New Roman" w:cs="Times New Roman"/>
          <w:sz w:val="24"/>
          <w:szCs w:val="24"/>
        </w:rPr>
      </w:pPr>
    </w:p>
    <w:p w14:paraId="01236D60" w14:textId="0B4A29C8" w:rsidR="00A56ABC" w:rsidRPr="004454CF" w:rsidRDefault="008E5871" w:rsidP="008463AA">
      <w:pPr>
        <w:rPr>
          <w:rFonts w:ascii="Times New Roman" w:hAnsi="Times New Roman" w:cs="Times New Roman"/>
          <w:sz w:val="24"/>
          <w:szCs w:val="24"/>
        </w:rPr>
      </w:pPr>
      <w:r w:rsidRPr="004454CF">
        <w:rPr>
          <w:rFonts w:ascii="Times New Roman" w:hAnsi="Times New Roman" w:cs="Times New Roman"/>
          <w:sz w:val="24"/>
          <w:szCs w:val="24"/>
        </w:rPr>
        <w:t>Staff</w:t>
      </w:r>
      <w:r w:rsidR="00D5036F" w:rsidRPr="004454CF">
        <w:rPr>
          <w:rFonts w:ascii="Times New Roman" w:hAnsi="Times New Roman" w:cs="Times New Roman"/>
          <w:sz w:val="24"/>
          <w:szCs w:val="24"/>
        </w:rPr>
        <w:t>’s primary concern in the treatment of NEEA savings is that they be handled symmetrically. That is, if they are not included when a utility sets its target, then they cannot be used to meet that target</w:t>
      </w:r>
      <w:r w:rsidR="002A0B07" w:rsidRPr="004454CF">
        <w:rPr>
          <w:rFonts w:ascii="Times New Roman" w:hAnsi="Times New Roman" w:cs="Times New Roman"/>
          <w:sz w:val="24"/>
          <w:szCs w:val="24"/>
        </w:rPr>
        <w:t xml:space="preserve"> or be used as excess conservation </w:t>
      </w:r>
      <w:r w:rsidRPr="004454CF">
        <w:rPr>
          <w:rFonts w:ascii="Times New Roman" w:hAnsi="Times New Roman" w:cs="Times New Roman"/>
          <w:sz w:val="24"/>
          <w:szCs w:val="24"/>
        </w:rPr>
        <w:t>used to meet future targets.</w:t>
      </w:r>
      <w:r w:rsidR="00D5036F" w:rsidRPr="004454CF">
        <w:rPr>
          <w:rFonts w:ascii="Times New Roman" w:hAnsi="Times New Roman" w:cs="Times New Roman"/>
          <w:sz w:val="24"/>
          <w:szCs w:val="24"/>
        </w:rPr>
        <w:t xml:space="preserve"> Likewise, if NEEA is included in the target-setting process, then its savings should be used to meet the target. Since the utility-backed proposal is in harmony with this prin</w:t>
      </w:r>
      <w:r w:rsidR="00EE7ECB" w:rsidRPr="004454CF">
        <w:rPr>
          <w:rFonts w:ascii="Times New Roman" w:hAnsi="Times New Roman" w:cs="Times New Roman"/>
          <w:sz w:val="24"/>
          <w:szCs w:val="24"/>
        </w:rPr>
        <w:t>ciple, and it allows the utilities</w:t>
      </w:r>
      <w:r w:rsidR="00D5036F" w:rsidRPr="004454CF">
        <w:rPr>
          <w:rFonts w:ascii="Times New Roman" w:hAnsi="Times New Roman" w:cs="Times New Roman"/>
          <w:sz w:val="24"/>
          <w:szCs w:val="24"/>
        </w:rPr>
        <w:t xml:space="preserve"> to </w:t>
      </w:r>
      <w:r w:rsidR="00EE7ECB" w:rsidRPr="004454CF">
        <w:rPr>
          <w:rFonts w:ascii="Times New Roman" w:hAnsi="Times New Roman" w:cs="Times New Roman"/>
          <w:sz w:val="24"/>
          <w:szCs w:val="24"/>
        </w:rPr>
        <w:t>participate in regional market transformation without risk of missing their EIA targets</w:t>
      </w:r>
      <w:r w:rsidR="00D5036F" w:rsidRPr="004454CF">
        <w:rPr>
          <w:rFonts w:ascii="Times New Roman" w:hAnsi="Times New Roman" w:cs="Times New Roman"/>
          <w:sz w:val="24"/>
          <w:szCs w:val="24"/>
        </w:rPr>
        <w:t xml:space="preserve">, </w:t>
      </w:r>
      <w:r w:rsidRPr="004454CF">
        <w:rPr>
          <w:rFonts w:ascii="Times New Roman" w:hAnsi="Times New Roman" w:cs="Times New Roman"/>
          <w:sz w:val="24"/>
          <w:szCs w:val="24"/>
        </w:rPr>
        <w:t>Staff</w:t>
      </w:r>
      <w:r w:rsidR="00D5036F" w:rsidRPr="004454CF">
        <w:rPr>
          <w:rFonts w:ascii="Times New Roman" w:hAnsi="Times New Roman" w:cs="Times New Roman"/>
          <w:sz w:val="24"/>
          <w:szCs w:val="24"/>
        </w:rPr>
        <w:t xml:space="preserve"> </w:t>
      </w:r>
      <w:r w:rsidR="00F71125" w:rsidRPr="004454CF">
        <w:rPr>
          <w:rFonts w:ascii="Times New Roman" w:hAnsi="Times New Roman" w:cs="Times New Roman"/>
          <w:sz w:val="24"/>
          <w:szCs w:val="24"/>
        </w:rPr>
        <w:t>continues to support</w:t>
      </w:r>
      <w:r w:rsidR="00D5036F" w:rsidRPr="004454CF">
        <w:rPr>
          <w:rFonts w:ascii="Times New Roman" w:hAnsi="Times New Roman" w:cs="Times New Roman"/>
          <w:sz w:val="24"/>
          <w:szCs w:val="24"/>
        </w:rPr>
        <w:t xml:space="preserve"> the utilities’ proposal for treatment of NEEA savings.</w:t>
      </w:r>
    </w:p>
    <w:p w14:paraId="21873C18" w14:textId="757EC2FD" w:rsidR="00A56ABC" w:rsidRPr="004454CF" w:rsidRDefault="00A56ABC" w:rsidP="00A56ABC">
      <w:pPr>
        <w:pStyle w:val="Heading2"/>
      </w:pPr>
      <w:bookmarkStart w:id="8" w:name="_Toc436840007"/>
      <w:r w:rsidRPr="004454CF">
        <w:t>Decoupling Targets and Excess Savings</w:t>
      </w:r>
      <w:bookmarkEnd w:id="8"/>
    </w:p>
    <w:p w14:paraId="50F581BB" w14:textId="77777777" w:rsidR="00A56ABC" w:rsidRPr="004454CF" w:rsidRDefault="00A56ABC" w:rsidP="00A56ABC">
      <w:pPr>
        <w:rPr>
          <w:rFonts w:ascii="Times New Roman" w:hAnsi="Times New Roman" w:cs="Times New Roman"/>
        </w:rPr>
      </w:pPr>
    </w:p>
    <w:p w14:paraId="5338584E" w14:textId="5411C1E3" w:rsidR="00A56ABC" w:rsidRPr="004454CF" w:rsidRDefault="00A56ABC" w:rsidP="00A56ABC">
      <w:pPr>
        <w:rPr>
          <w:rFonts w:ascii="Times New Roman" w:hAnsi="Times New Roman" w:cs="Times New Roman"/>
          <w:sz w:val="24"/>
          <w:szCs w:val="24"/>
        </w:rPr>
      </w:pPr>
      <w:r w:rsidRPr="004454CF">
        <w:rPr>
          <w:rFonts w:ascii="Times New Roman" w:hAnsi="Times New Roman" w:cs="Times New Roman"/>
          <w:sz w:val="24"/>
          <w:szCs w:val="24"/>
        </w:rPr>
        <w:t>In addition to their statutory biennial conservation targets, PSE and Avista have agreed to achieve an additional 5 percent of their target each biennium as part of their respective decoupling mechanisms.</w:t>
      </w:r>
      <w:r w:rsidRPr="004454CF">
        <w:rPr>
          <w:rStyle w:val="FootnoteReference"/>
          <w:rFonts w:ascii="Times New Roman" w:hAnsi="Times New Roman" w:cs="Times New Roman"/>
          <w:sz w:val="24"/>
          <w:szCs w:val="24"/>
        </w:rPr>
        <w:footnoteReference w:id="13"/>
      </w:r>
      <w:r w:rsidRPr="004454CF">
        <w:rPr>
          <w:rFonts w:ascii="Times New Roman" w:hAnsi="Times New Roman" w:cs="Times New Roman"/>
          <w:sz w:val="24"/>
          <w:szCs w:val="24"/>
        </w:rPr>
        <w:t xml:space="preserve"> </w:t>
      </w:r>
    </w:p>
    <w:p w14:paraId="2E197C42" w14:textId="77777777" w:rsidR="00A56ABC" w:rsidRPr="004454CF" w:rsidRDefault="00A56ABC" w:rsidP="00A56ABC">
      <w:pPr>
        <w:rPr>
          <w:rFonts w:ascii="Times New Roman" w:hAnsi="Times New Roman" w:cs="Times New Roman"/>
          <w:sz w:val="24"/>
          <w:szCs w:val="24"/>
        </w:rPr>
      </w:pPr>
    </w:p>
    <w:p w14:paraId="1B0B5EDF" w14:textId="2D8420A8" w:rsidR="00A56ABC" w:rsidRPr="004454CF" w:rsidRDefault="0061403F" w:rsidP="00A56ABC">
      <w:pPr>
        <w:rPr>
          <w:rFonts w:ascii="Times New Roman" w:hAnsi="Times New Roman" w:cs="Times New Roman"/>
          <w:sz w:val="24"/>
          <w:szCs w:val="24"/>
        </w:rPr>
      </w:pPr>
      <w:r w:rsidRPr="004454CF">
        <w:rPr>
          <w:rFonts w:ascii="Times New Roman" w:hAnsi="Times New Roman" w:cs="Times New Roman"/>
          <w:sz w:val="24"/>
          <w:szCs w:val="24"/>
        </w:rPr>
        <w:lastRenderedPageBreak/>
        <w:t>Earlier this year, the EIA was amended</w:t>
      </w:r>
      <w:r w:rsidR="00A56ABC" w:rsidRPr="004454CF">
        <w:rPr>
          <w:rFonts w:ascii="Times New Roman" w:hAnsi="Times New Roman" w:cs="Times New Roman"/>
          <w:sz w:val="24"/>
          <w:szCs w:val="24"/>
        </w:rPr>
        <w:t xml:space="preserve"> to allow utilities to save the conservation that they achieve in excess of their target for a given biennium and use it toward a subsequent biennial target</w:t>
      </w:r>
      <w:r w:rsidRPr="004454CF">
        <w:rPr>
          <w:rFonts w:ascii="Times New Roman" w:hAnsi="Times New Roman" w:cs="Times New Roman"/>
          <w:sz w:val="24"/>
          <w:szCs w:val="24"/>
        </w:rPr>
        <w:t>.</w:t>
      </w:r>
      <w:r w:rsidR="006B3F84" w:rsidRPr="004454CF">
        <w:rPr>
          <w:rStyle w:val="FootnoteReference"/>
          <w:rFonts w:ascii="Times New Roman" w:hAnsi="Times New Roman" w:cs="Times New Roman"/>
          <w:sz w:val="24"/>
          <w:szCs w:val="24"/>
        </w:rPr>
        <w:footnoteReference w:id="14"/>
      </w:r>
      <w:r w:rsidRPr="004454CF">
        <w:rPr>
          <w:rFonts w:ascii="Times New Roman" w:hAnsi="Times New Roman" w:cs="Times New Roman"/>
          <w:sz w:val="24"/>
          <w:szCs w:val="24"/>
        </w:rPr>
        <w:t xml:space="preserve"> This</w:t>
      </w:r>
      <w:r w:rsidR="006B3F84" w:rsidRPr="004454CF">
        <w:rPr>
          <w:rFonts w:ascii="Times New Roman" w:hAnsi="Times New Roman" w:cs="Times New Roman"/>
          <w:sz w:val="24"/>
          <w:szCs w:val="24"/>
        </w:rPr>
        <w:t xml:space="preserve"> change </w:t>
      </w:r>
      <w:r w:rsidR="00226334" w:rsidRPr="004454CF">
        <w:rPr>
          <w:rFonts w:ascii="Times New Roman" w:hAnsi="Times New Roman" w:cs="Times New Roman"/>
          <w:sz w:val="24"/>
          <w:szCs w:val="24"/>
        </w:rPr>
        <w:t>raised a potential issue with conservation reporting wherein a utility may claim savings in excess of its statutory target toward its decoupling commitment in one biennium, then claim those same excess savings toward its target in a subsequent biennium.</w:t>
      </w:r>
    </w:p>
    <w:p w14:paraId="605EBCF6" w14:textId="77777777" w:rsidR="00226334" w:rsidRPr="004454CF" w:rsidRDefault="00226334" w:rsidP="00A56ABC">
      <w:pPr>
        <w:rPr>
          <w:rFonts w:ascii="Times New Roman" w:hAnsi="Times New Roman" w:cs="Times New Roman"/>
          <w:sz w:val="24"/>
          <w:szCs w:val="24"/>
        </w:rPr>
      </w:pPr>
    </w:p>
    <w:p w14:paraId="40E5871A" w14:textId="595657E4" w:rsidR="00226334" w:rsidRPr="004454CF" w:rsidRDefault="00226334" w:rsidP="00A56ABC">
      <w:pPr>
        <w:rPr>
          <w:rFonts w:ascii="Times New Roman" w:hAnsi="Times New Roman" w:cs="Times New Roman"/>
          <w:sz w:val="24"/>
          <w:szCs w:val="24"/>
        </w:rPr>
      </w:pPr>
      <w:r w:rsidRPr="004454CF">
        <w:rPr>
          <w:rFonts w:ascii="Times New Roman" w:hAnsi="Times New Roman" w:cs="Times New Roman"/>
          <w:sz w:val="24"/>
          <w:szCs w:val="24"/>
        </w:rPr>
        <w:t xml:space="preserve">The integrity of the distinct conservation requirements (e.g., the EIA target and the decoupling target) demands that utilities do not double count the same conservation energy savings for multiple targets. Once a utility uses a specific </w:t>
      </w:r>
      <w:proofErr w:type="spellStart"/>
      <w:r w:rsidRPr="004454CF">
        <w:rPr>
          <w:rFonts w:ascii="Times New Roman" w:hAnsi="Times New Roman" w:cs="Times New Roman"/>
          <w:sz w:val="24"/>
          <w:szCs w:val="24"/>
        </w:rPr>
        <w:t>MWh</w:t>
      </w:r>
      <w:proofErr w:type="spellEnd"/>
      <w:r w:rsidRPr="004454CF">
        <w:rPr>
          <w:rFonts w:ascii="Times New Roman" w:hAnsi="Times New Roman" w:cs="Times New Roman"/>
          <w:sz w:val="24"/>
          <w:szCs w:val="24"/>
        </w:rPr>
        <w:t xml:space="preserve"> of conservation to comply with a conservation requirement, the utility cannot use that </w:t>
      </w:r>
      <w:proofErr w:type="spellStart"/>
      <w:r w:rsidRPr="004454CF">
        <w:rPr>
          <w:rFonts w:ascii="Times New Roman" w:hAnsi="Times New Roman" w:cs="Times New Roman"/>
          <w:sz w:val="24"/>
          <w:szCs w:val="24"/>
        </w:rPr>
        <w:t>MWh</w:t>
      </w:r>
      <w:proofErr w:type="spellEnd"/>
      <w:r w:rsidRPr="004454CF">
        <w:rPr>
          <w:rFonts w:ascii="Times New Roman" w:hAnsi="Times New Roman" w:cs="Times New Roman"/>
          <w:sz w:val="24"/>
          <w:szCs w:val="24"/>
        </w:rPr>
        <w:t xml:space="preserve"> of conservation to satisfy any other conservation requirement in the current or subsequent biennia.</w:t>
      </w:r>
    </w:p>
    <w:p w14:paraId="4DF10497" w14:textId="77777777" w:rsidR="007C1A8A" w:rsidRPr="004454CF" w:rsidRDefault="007C1A8A" w:rsidP="00A56ABC">
      <w:pPr>
        <w:rPr>
          <w:rFonts w:ascii="Times New Roman" w:hAnsi="Times New Roman" w:cs="Times New Roman"/>
          <w:sz w:val="24"/>
          <w:szCs w:val="24"/>
        </w:rPr>
      </w:pPr>
    </w:p>
    <w:p w14:paraId="458CCA1E" w14:textId="7F2D6068" w:rsidR="00226334" w:rsidRPr="004454CF" w:rsidRDefault="007C1A8A" w:rsidP="00A56ABC">
      <w:pPr>
        <w:rPr>
          <w:rFonts w:ascii="Times New Roman" w:hAnsi="Times New Roman" w:cs="Times New Roman"/>
          <w:sz w:val="24"/>
          <w:szCs w:val="24"/>
        </w:rPr>
      </w:pPr>
      <w:r w:rsidRPr="004454CF">
        <w:rPr>
          <w:rFonts w:ascii="Times New Roman" w:hAnsi="Times New Roman" w:cs="Times New Roman"/>
          <w:sz w:val="24"/>
          <w:szCs w:val="24"/>
        </w:rPr>
        <w:t xml:space="preserve">As PSE and Avista both have decoupling targets, and Pacific Power has a requested a decoupling mechanism in its recently filed rate case, Staff recommends that the Commission clarify </w:t>
      </w:r>
      <w:r w:rsidR="003D08D9" w:rsidRPr="004454CF">
        <w:rPr>
          <w:rFonts w:ascii="Times New Roman" w:hAnsi="Times New Roman" w:cs="Times New Roman"/>
          <w:sz w:val="24"/>
          <w:szCs w:val="24"/>
        </w:rPr>
        <w:t xml:space="preserve">in </w:t>
      </w:r>
      <w:r w:rsidR="004454CF">
        <w:rPr>
          <w:rFonts w:ascii="Times New Roman" w:hAnsi="Times New Roman" w:cs="Times New Roman"/>
          <w:sz w:val="24"/>
          <w:szCs w:val="24"/>
        </w:rPr>
        <w:t>its order to each company</w:t>
      </w:r>
      <w:r w:rsidRPr="004454CF">
        <w:rPr>
          <w:rFonts w:ascii="Times New Roman" w:hAnsi="Times New Roman" w:cs="Times New Roman"/>
          <w:sz w:val="24"/>
          <w:szCs w:val="24"/>
        </w:rPr>
        <w:t xml:space="preserve"> </w:t>
      </w:r>
      <w:r w:rsidR="004454CF">
        <w:rPr>
          <w:rFonts w:ascii="Times New Roman" w:hAnsi="Times New Roman" w:cs="Times New Roman"/>
          <w:sz w:val="24"/>
          <w:szCs w:val="24"/>
        </w:rPr>
        <w:t xml:space="preserve">in these dockets </w:t>
      </w:r>
      <w:r w:rsidRPr="004454CF">
        <w:rPr>
          <w:rFonts w:ascii="Times New Roman" w:hAnsi="Times New Roman" w:cs="Times New Roman"/>
          <w:sz w:val="24"/>
          <w:szCs w:val="24"/>
        </w:rPr>
        <w:t xml:space="preserve">that utilities may apply each verified </w:t>
      </w:r>
      <w:proofErr w:type="spellStart"/>
      <w:r w:rsidRPr="004454CF">
        <w:rPr>
          <w:rFonts w:ascii="Times New Roman" w:hAnsi="Times New Roman" w:cs="Times New Roman"/>
          <w:sz w:val="24"/>
          <w:szCs w:val="24"/>
        </w:rPr>
        <w:t>MWh</w:t>
      </w:r>
      <w:proofErr w:type="spellEnd"/>
      <w:r w:rsidRPr="004454CF">
        <w:rPr>
          <w:rFonts w:ascii="Times New Roman" w:hAnsi="Times New Roman" w:cs="Times New Roman"/>
          <w:sz w:val="24"/>
          <w:szCs w:val="24"/>
        </w:rPr>
        <w:t xml:space="preserve"> of conservation acquired in excess of the EIA Target to meet biennial conservation requirements relat</w:t>
      </w:r>
      <w:r w:rsidR="003D08D9" w:rsidRPr="004454CF">
        <w:rPr>
          <w:rFonts w:ascii="Times New Roman" w:hAnsi="Times New Roman" w:cs="Times New Roman"/>
          <w:sz w:val="24"/>
          <w:szCs w:val="24"/>
        </w:rPr>
        <w:t>ed to either the d</w:t>
      </w:r>
      <w:r w:rsidRPr="004454CF">
        <w:rPr>
          <w:rFonts w:ascii="Times New Roman" w:hAnsi="Times New Roman" w:cs="Times New Roman"/>
          <w:sz w:val="24"/>
          <w:szCs w:val="24"/>
        </w:rPr>
        <w:t xml:space="preserve">ecoupling </w:t>
      </w:r>
      <w:r w:rsidR="003D08D9" w:rsidRPr="004454CF">
        <w:rPr>
          <w:rFonts w:ascii="Times New Roman" w:hAnsi="Times New Roman" w:cs="Times New Roman"/>
          <w:sz w:val="24"/>
          <w:szCs w:val="24"/>
        </w:rPr>
        <w:t>target or to an EIA t</w:t>
      </w:r>
      <w:r w:rsidRPr="004454CF">
        <w:rPr>
          <w:rFonts w:ascii="Times New Roman" w:hAnsi="Times New Roman" w:cs="Times New Roman"/>
          <w:sz w:val="24"/>
          <w:szCs w:val="24"/>
        </w:rPr>
        <w:t xml:space="preserve">arget shortfall in one of the subsequent two biennia, but that utilities may not use the same </w:t>
      </w:r>
      <w:proofErr w:type="spellStart"/>
      <w:r w:rsidRPr="004454CF">
        <w:rPr>
          <w:rFonts w:ascii="Times New Roman" w:hAnsi="Times New Roman" w:cs="Times New Roman"/>
          <w:sz w:val="24"/>
          <w:szCs w:val="24"/>
        </w:rPr>
        <w:t>MWh</w:t>
      </w:r>
      <w:proofErr w:type="spellEnd"/>
      <w:r w:rsidRPr="004454CF">
        <w:rPr>
          <w:rFonts w:ascii="Times New Roman" w:hAnsi="Times New Roman" w:cs="Times New Roman"/>
          <w:sz w:val="24"/>
          <w:szCs w:val="24"/>
        </w:rPr>
        <w:t xml:space="preserve"> of conservation to comply with multiple targets.</w:t>
      </w:r>
      <w:r w:rsidR="004454CF">
        <w:rPr>
          <w:rFonts w:ascii="Times New Roman" w:hAnsi="Times New Roman" w:cs="Times New Roman"/>
          <w:sz w:val="24"/>
          <w:szCs w:val="24"/>
        </w:rPr>
        <w:t xml:space="preserve"> </w:t>
      </w:r>
    </w:p>
    <w:p w14:paraId="4727B199" w14:textId="77777777" w:rsidR="008463AA" w:rsidRPr="004454CF" w:rsidRDefault="008463AA" w:rsidP="00D5036F">
      <w:pPr>
        <w:pStyle w:val="Heading1"/>
        <w:numPr>
          <w:ilvl w:val="0"/>
          <w:numId w:val="1"/>
        </w:numPr>
        <w:spacing w:before="360"/>
        <w:rPr>
          <w:rFonts w:ascii="Times New Roman" w:hAnsi="Times New Roman" w:cs="Times New Roman"/>
        </w:rPr>
      </w:pPr>
      <w:bookmarkStart w:id="9" w:name="_Toc436840008"/>
      <w:r w:rsidRPr="004454CF">
        <w:rPr>
          <w:rFonts w:ascii="Times New Roman" w:hAnsi="Times New Roman" w:cs="Times New Roman"/>
        </w:rPr>
        <w:t>COMPANY TARGETS AND PLANS</w:t>
      </w:r>
      <w:bookmarkEnd w:id="9"/>
    </w:p>
    <w:p w14:paraId="58D51D7D" w14:textId="77777777" w:rsidR="00DF1B93" w:rsidRPr="004454CF" w:rsidRDefault="00DF1B93" w:rsidP="00DF1B93">
      <w:pPr>
        <w:pStyle w:val="Heading2"/>
        <w:spacing w:before="0"/>
      </w:pPr>
    </w:p>
    <w:p w14:paraId="02D920BA" w14:textId="77777777" w:rsidR="008463AA" w:rsidRPr="004454CF" w:rsidRDefault="008463AA" w:rsidP="00DF1B93">
      <w:pPr>
        <w:pStyle w:val="Heading2"/>
        <w:spacing w:before="0"/>
      </w:pPr>
      <w:bookmarkStart w:id="10" w:name="_Toc436840009"/>
      <w:r w:rsidRPr="004454CF">
        <w:t>Puget Sound Energy</w:t>
      </w:r>
      <w:r w:rsidR="00BB5B61" w:rsidRPr="004454CF">
        <w:t xml:space="preserve"> (Docket UE-152058)</w:t>
      </w:r>
      <w:bookmarkEnd w:id="10"/>
    </w:p>
    <w:p w14:paraId="5EC92AA7" w14:textId="77777777" w:rsidR="008463AA" w:rsidRPr="004454CF" w:rsidRDefault="008463AA" w:rsidP="008463AA">
      <w:pPr>
        <w:rPr>
          <w:rFonts w:ascii="Times New Roman" w:hAnsi="Times New Roman" w:cs="Times New Roman"/>
          <w:sz w:val="24"/>
          <w:szCs w:val="24"/>
        </w:rPr>
      </w:pPr>
    </w:p>
    <w:p w14:paraId="66763384" w14:textId="77777777" w:rsidR="00104F20" w:rsidRPr="004454CF" w:rsidRDefault="00104F20" w:rsidP="00104F20">
      <w:pPr>
        <w:rPr>
          <w:rFonts w:ascii="Times New Roman" w:eastAsia="Calibri" w:hAnsi="Times New Roman" w:cs="Times New Roman"/>
          <w:sz w:val="24"/>
          <w:szCs w:val="24"/>
        </w:rPr>
      </w:pPr>
      <w:r w:rsidRPr="004454CF">
        <w:rPr>
          <w:rFonts w:ascii="Times New Roman" w:eastAsia="Calibri" w:hAnsi="Times New Roman" w:cs="Times New Roman"/>
          <w:sz w:val="24"/>
          <w:szCs w:val="24"/>
        </w:rPr>
        <w:t xml:space="preserve">For the 2016-2025 period, PSE estimates that its 10-year achievable conservation potential is 2,715,486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(309.9 </w:t>
      </w:r>
      <w:proofErr w:type="spellStart"/>
      <w:r w:rsidRPr="004454CF">
        <w:rPr>
          <w:rFonts w:ascii="Times New Roman" w:eastAsia="Calibri" w:hAnsi="Times New Roman" w:cs="Times New Roman"/>
          <w:sz w:val="24"/>
          <w:szCs w:val="24"/>
        </w:rPr>
        <w:t>aMW</w:t>
      </w:r>
      <w:proofErr w:type="spellEnd"/>
      <w:r w:rsidRPr="004454CF">
        <w:rPr>
          <w:rFonts w:ascii="Times New Roman" w:eastAsia="Calibri" w:hAnsi="Times New Roman" w:cs="Times New Roman"/>
          <w:sz w:val="24"/>
          <w:szCs w:val="24"/>
        </w:rPr>
        <w:t xml:space="preserve">), as measured at the customer meter. The majority of the savings come from energy efficiency measures. PSE also plans to achieve approximately 55,177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in distribution efficiency.</w:t>
      </w:r>
    </w:p>
    <w:p w14:paraId="5FA3408B" w14:textId="77777777" w:rsidR="00104F20" w:rsidRPr="004454CF" w:rsidRDefault="00104F20" w:rsidP="00104F20">
      <w:pPr>
        <w:rPr>
          <w:rFonts w:ascii="Times New Roman" w:eastAsia="Calibri" w:hAnsi="Times New Roman" w:cs="Times New Roman"/>
          <w:sz w:val="24"/>
          <w:szCs w:val="24"/>
        </w:rPr>
      </w:pPr>
    </w:p>
    <w:p w14:paraId="14EFFC6D" w14:textId="77777777" w:rsidR="00104F20" w:rsidRPr="004454CF" w:rsidRDefault="00104F20" w:rsidP="00104F20">
      <w:pPr>
        <w:rPr>
          <w:rFonts w:ascii="Times New Roman" w:eastAsia="Calibri" w:hAnsi="Times New Roman" w:cs="Times New Roman"/>
          <w:sz w:val="24"/>
          <w:szCs w:val="24"/>
        </w:rPr>
      </w:pPr>
      <w:r w:rsidRPr="004454CF">
        <w:rPr>
          <w:rFonts w:ascii="Times New Roman" w:eastAsia="Calibri" w:hAnsi="Times New Roman" w:cs="Times New Roman"/>
          <w:sz w:val="24"/>
          <w:szCs w:val="24"/>
        </w:rPr>
        <w:t xml:space="preserve">PSE’s identified potential for the 2016-2017 biennium is 554,132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(63.3 </w:t>
      </w:r>
      <w:proofErr w:type="spellStart"/>
      <w:r w:rsidRPr="004454CF">
        <w:rPr>
          <w:rFonts w:ascii="Times New Roman" w:eastAsia="Calibri" w:hAnsi="Times New Roman" w:cs="Times New Roman"/>
          <w:sz w:val="24"/>
          <w:szCs w:val="24"/>
        </w:rPr>
        <w:t>aMW</w:t>
      </w:r>
      <w:proofErr w:type="spellEnd"/>
      <w:r w:rsidRPr="004454CF">
        <w:rPr>
          <w:rFonts w:ascii="Times New Roman" w:eastAsia="Calibri" w:hAnsi="Times New Roman" w:cs="Times New Roman"/>
          <w:sz w:val="24"/>
          <w:szCs w:val="24"/>
        </w:rPr>
        <w:t xml:space="preserve">), including 11,035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of distribution efficiency. PSE then made two adjustments to derive its biennial conservation target. First, PSE’s CPA does not include behavioral savings, so the company added 5,722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of projected savings from its existing Home Energy Reports initiative to the target. Next, PSE subtracted 22,776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of savings attributable to NEEA programs from the biennial conservation target. These adjustments resulted in a 2016-2017 biennial conservation target of 537,078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(61.3 </w:t>
      </w:r>
      <w:proofErr w:type="spellStart"/>
      <w:r w:rsidRPr="004454CF">
        <w:rPr>
          <w:rFonts w:ascii="Times New Roman" w:eastAsia="Calibri" w:hAnsi="Times New Roman" w:cs="Times New Roman"/>
          <w:sz w:val="24"/>
          <w:szCs w:val="24"/>
        </w:rPr>
        <w:t>aMW</w:t>
      </w:r>
      <w:proofErr w:type="spellEnd"/>
      <w:r w:rsidRPr="004454CF">
        <w:rPr>
          <w:rFonts w:ascii="Times New Roman" w:eastAsia="Calibri" w:hAnsi="Times New Roman" w:cs="Times New Roman"/>
          <w:sz w:val="24"/>
          <w:szCs w:val="24"/>
        </w:rPr>
        <w:t>).</w:t>
      </w:r>
    </w:p>
    <w:p w14:paraId="55B3929A" w14:textId="77777777" w:rsidR="00104F20" w:rsidRPr="004454CF" w:rsidRDefault="00104F20" w:rsidP="00104F20">
      <w:pPr>
        <w:rPr>
          <w:rFonts w:ascii="Times New Roman" w:eastAsia="Calibri" w:hAnsi="Times New Roman" w:cs="Times New Roman"/>
          <w:sz w:val="24"/>
          <w:szCs w:val="24"/>
        </w:rPr>
      </w:pPr>
    </w:p>
    <w:p w14:paraId="650BEFD7" w14:textId="75CBF269" w:rsidR="00174AF0" w:rsidRPr="004454CF" w:rsidRDefault="00104F20" w:rsidP="00174AF0">
      <w:pPr>
        <w:rPr>
          <w:rFonts w:ascii="Times New Roman" w:hAnsi="Times New Roman" w:cs="Times New Roman"/>
          <w:sz w:val="24"/>
          <w:szCs w:val="24"/>
        </w:rPr>
      </w:pPr>
      <w:r w:rsidRPr="004454CF">
        <w:rPr>
          <w:rFonts w:ascii="Times New Roman" w:eastAsia="Calibri" w:hAnsi="Times New Roman" w:cs="Times New Roman"/>
          <w:sz w:val="24"/>
          <w:szCs w:val="24"/>
        </w:rPr>
        <w:t xml:space="preserve">PSE’s business plan also includes an expansion of the Home Energy Reports (HER) as a pilot that it anticipates can generate 17,347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of savings. Due to the uncertainty of pilot savings, PSE did not include the HER expansion savings in its target</w:t>
      </w:r>
      <w:r w:rsidR="00C0143B" w:rsidRPr="004454CF">
        <w:rPr>
          <w:rFonts w:ascii="Times New Roman" w:eastAsia="Calibri" w:hAnsi="Times New Roman" w:cs="Times New Roman"/>
          <w:sz w:val="24"/>
          <w:szCs w:val="24"/>
        </w:rPr>
        <w:t>.</w:t>
      </w:r>
      <w:r w:rsidRPr="004454CF">
        <w:rPr>
          <w:rFonts w:ascii="Times New Roman" w:eastAsia="Calibri" w:hAnsi="Times New Roman" w:cs="Times New Roman"/>
          <w:sz w:val="24"/>
          <w:szCs w:val="24"/>
        </w:rPr>
        <w:t xml:space="preserve"> In addition, because of PSE’s decoupling mechanism in Docket UE-121697, the </w:t>
      </w:r>
      <w:r w:rsidR="004454CF">
        <w:rPr>
          <w:rFonts w:ascii="Times New Roman" w:eastAsia="Calibri" w:hAnsi="Times New Roman" w:cs="Times New Roman"/>
          <w:sz w:val="24"/>
          <w:szCs w:val="24"/>
        </w:rPr>
        <w:t>c</w:t>
      </w:r>
      <w:r w:rsidRPr="004454CF">
        <w:rPr>
          <w:rFonts w:ascii="Times New Roman" w:eastAsia="Calibri" w:hAnsi="Times New Roman" w:cs="Times New Roman"/>
          <w:sz w:val="24"/>
          <w:szCs w:val="24"/>
        </w:rPr>
        <w:t xml:space="preserve">ompany has committed to achieve five percent above its biennial conservation target. In this biennium, PSE’s decoupling commitment </w:t>
      </w:r>
      <w:r w:rsidRPr="004454CF">
        <w:rPr>
          <w:rFonts w:ascii="Times New Roman" w:eastAsia="Calibri" w:hAnsi="Times New Roman" w:cs="Times New Roman"/>
          <w:sz w:val="24"/>
          <w:szCs w:val="24"/>
        </w:rPr>
        <w:lastRenderedPageBreak/>
        <w:t xml:space="preserve">is an additional 27,993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w:t>
      </w:r>
      <w:r w:rsidRPr="004454CF">
        <w:rPr>
          <w:rStyle w:val="FootnoteReference"/>
          <w:rFonts w:ascii="Times New Roman" w:eastAsia="Calibri" w:hAnsi="Times New Roman" w:cs="Times New Roman"/>
          <w:sz w:val="24"/>
          <w:szCs w:val="24"/>
        </w:rPr>
        <w:footnoteReference w:id="15"/>
      </w:r>
      <w:r w:rsidR="004454CF">
        <w:rPr>
          <w:rFonts w:ascii="Times New Roman" w:eastAsia="Calibri" w:hAnsi="Times New Roman" w:cs="Times New Roman"/>
          <w:sz w:val="24"/>
          <w:szCs w:val="24"/>
        </w:rPr>
        <w:t xml:space="preserve"> The </w:t>
      </w:r>
      <w:proofErr w:type="gramStart"/>
      <w:r w:rsidR="004454CF">
        <w:rPr>
          <w:rFonts w:ascii="Times New Roman" w:eastAsia="Calibri" w:hAnsi="Times New Roman" w:cs="Times New Roman"/>
          <w:sz w:val="24"/>
          <w:szCs w:val="24"/>
        </w:rPr>
        <w:t>c</w:t>
      </w:r>
      <w:r w:rsidRPr="004454CF">
        <w:rPr>
          <w:rFonts w:ascii="Times New Roman" w:eastAsia="Calibri" w:hAnsi="Times New Roman" w:cs="Times New Roman"/>
          <w:sz w:val="24"/>
          <w:szCs w:val="24"/>
        </w:rPr>
        <w:t>ompany’s</w:t>
      </w:r>
      <w:proofErr w:type="gramEnd"/>
      <w:r w:rsidRPr="004454CF">
        <w:rPr>
          <w:rFonts w:ascii="Times New Roman" w:eastAsia="Calibri" w:hAnsi="Times New Roman" w:cs="Times New Roman"/>
          <w:sz w:val="24"/>
          <w:szCs w:val="24"/>
        </w:rPr>
        <w:t xml:space="preserve"> 2016-2017 total </w:t>
      </w:r>
      <w:r w:rsidR="00174AF0" w:rsidRPr="004454CF">
        <w:rPr>
          <w:rFonts w:ascii="Times New Roman" w:eastAsia="Calibri" w:hAnsi="Times New Roman" w:cs="Times New Roman"/>
          <w:sz w:val="24"/>
          <w:szCs w:val="24"/>
        </w:rPr>
        <w:t xml:space="preserve">projected </w:t>
      </w:r>
      <w:r w:rsidRPr="004454CF">
        <w:rPr>
          <w:rFonts w:ascii="Times New Roman" w:eastAsia="Calibri" w:hAnsi="Times New Roman" w:cs="Times New Roman"/>
          <w:sz w:val="24"/>
          <w:szCs w:val="24"/>
        </w:rPr>
        <w:t xml:space="preserve">portfolio savings is 605,194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w:t>
      </w:r>
      <w:r w:rsidR="00174AF0" w:rsidRPr="004454CF">
        <w:rPr>
          <w:rFonts w:ascii="Times New Roman" w:eastAsia="Calibri" w:hAnsi="Times New Roman" w:cs="Times New Roman"/>
          <w:sz w:val="24"/>
          <w:szCs w:val="24"/>
        </w:rPr>
        <w:t xml:space="preserve"> </w:t>
      </w:r>
      <w:r w:rsidR="00174AF0" w:rsidRPr="004454CF">
        <w:rPr>
          <w:rFonts w:ascii="Times New Roman" w:hAnsi="Times New Roman" w:cs="Times New Roman"/>
          <w:sz w:val="24"/>
          <w:szCs w:val="24"/>
        </w:rPr>
        <w:t>Table 1 compares PSE’s current and upcoming biennial targets and budgets:</w:t>
      </w:r>
    </w:p>
    <w:p w14:paraId="15FCF967" w14:textId="77777777" w:rsidR="00104F20" w:rsidRPr="004454CF" w:rsidRDefault="00104F20" w:rsidP="00104F20">
      <w:pPr>
        <w:rPr>
          <w:rFonts w:ascii="Times New Roman" w:eastAsia="Calibri" w:hAnsi="Times New Roman" w:cs="Times New Roman"/>
          <w:sz w:val="24"/>
          <w:szCs w:val="24"/>
        </w:rPr>
      </w:pPr>
    </w:p>
    <w:p w14:paraId="24F8A648" w14:textId="77777777" w:rsidR="00104F20" w:rsidRPr="004454CF" w:rsidRDefault="00104F20" w:rsidP="00104F20">
      <w:pPr>
        <w:keepNext/>
        <w:spacing w:after="200"/>
        <w:rPr>
          <w:rFonts w:ascii="Times New Roman" w:eastAsia="Calibri" w:hAnsi="Times New Roman" w:cs="Times New Roman"/>
          <w:b/>
          <w:bCs/>
          <w:sz w:val="24"/>
          <w:szCs w:val="24"/>
        </w:rPr>
      </w:pPr>
      <w:bookmarkStart w:id="11" w:name="_Toc436655111"/>
      <w:r w:rsidRPr="004454CF">
        <w:rPr>
          <w:rFonts w:ascii="Times New Roman" w:eastAsia="Calibri" w:hAnsi="Times New Roman" w:cs="Times New Roman"/>
          <w:b/>
          <w:bCs/>
          <w:sz w:val="24"/>
          <w:szCs w:val="24"/>
        </w:rPr>
        <w:t xml:space="preserve">Table </w:t>
      </w:r>
      <w:r w:rsidRPr="004454CF">
        <w:rPr>
          <w:rFonts w:ascii="Times New Roman" w:eastAsia="Calibri" w:hAnsi="Times New Roman" w:cs="Times New Roman"/>
          <w:b/>
          <w:bCs/>
          <w:sz w:val="24"/>
          <w:szCs w:val="24"/>
        </w:rPr>
        <w:fldChar w:fldCharType="begin"/>
      </w:r>
      <w:r w:rsidRPr="004454CF">
        <w:rPr>
          <w:rFonts w:ascii="Times New Roman" w:eastAsia="Calibri" w:hAnsi="Times New Roman" w:cs="Times New Roman"/>
          <w:b/>
          <w:bCs/>
          <w:sz w:val="24"/>
          <w:szCs w:val="24"/>
        </w:rPr>
        <w:instrText xml:space="preserve"> SEQ Table \* ARABIC </w:instrText>
      </w:r>
      <w:r w:rsidRPr="004454CF">
        <w:rPr>
          <w:rFonts w:ascii="Times New Roman" w:eastAsia="Calibri" w:hAnsi="Times New Roman" w:cs="Times New Roman"/>
          <w:b/>
          <w:bCs/>
          <w:sz w:val="24"/>
          <w:szCs w:val="24"/>
        </w:rPr>
        <w:fldChar w:fldCharType="separate"/>
      </w:r>
      <w:r w:rsidR="00CF2949">
        <w:rPr>
          <w:rFonts w:ascii="Times New Roman" w:eastAsia="Calibri" w:hAnsi="Times New Roman" w:cs="Times New Roman"/>
          <w:b/>
          <w:bCs/>
          <w:noProof/>
          <w:sz w:val="24"/>
          <w:szCs w:val="24"/>
        </w:rPr>
        <w:t>1</w:t>
      </w:r>
      <w:r w:rsidRPr="004454CF">
        <w:rPr>
          <w:rFonts w:ascii="Times New Roman" w:eastAsia="Calibri" w:hAnsi="Times New Roman" w:cs="Times New Roman"/>
          <w:b/>
          <w:bCs/>
          <w:noProof/>
          <w:sz w:val="24"/>
          <w:szCs w:val="24"/>
        </w:rPr>
        <w:fldChar w:fldCharType="end"/>
      </w:r>
      <w:r w:rsidRPr="004454CF">
        <w:rPr>
          <w:rFonts w:ascii="Times New Roman" w:eastAsia="Calibri" w:hAnsi="Times New Roman" w:cs="Times New Roman"/>
          <w:b/>
          <w:bCs/>
          <w:sz w:val="24"/>
          <w:szCs w:val="24"/>
        </w:rPr>
        <w:t>. PSE Conservation Savings and Budgets</w:t>
      </w:r>
      <w:bookmarkEnd w:id="11"/>
    </w:p>
    <w:tbl>
      <w:tblPr>
        <w:tblStyle w:val="TableGrid"/>
        <w:tblW w:w="0" w:type="auto"/>
        <w:tblInd w:w="0" w:type="dxa"/>
        <w:tblLook w:val="04A0" w:firstRow="1" w:lastRow="0" w:firstColumn="1" w:lastColumn="0" w:noHBand="0" w:noVBand="1"/>
      </w:tblPr>
      <w:tblGrid>
        <w:gridCol w:w="1679"/>
        <w:gridCol w:w="1932"/>
        <w:gridCol w:w="1907"/>
        <w:gridCol w:w="1900"/>
        <w:gridCol w:w="1932"/>
      </w:tblGrid>
      <w:tr w:rsidR="00104F20" w:rsidRPr="004454CF" w14:paraId="0B16D6CD" w14:textId="77777777" w:rsidTr="002523CE">
        <w:tc>
          <w:tcPr>
            <w:tcW w:w="1728" w:type="dxa"/>
          </w:tcPr>
          <w:p w14:paraId="720FE508" w14:textId="77777777" w:rsidR="00104F20" w:rsidRPr="004454CF" w:rsidRDefault="00104F20" w:rsidP="002523CE">
            <w:pPr>
              <w:jc w:val="center"/>
              <w:rPr>
                <w:rFonts w:ascii="Times New Roman" w:eastAsia="Calibri" w:hAnsi="Times New Roman" w:cs="Times New Roman"/>
                <w:b/>
                <w:sz w:val="24"/>
                <w:szCs w:val="24"/>
              </w:rPr>
            </w:pPr>
          </w:p>
        </w:tc>
        <w:tc>
          <w:tcPr>
            <w:tcW w:w="1962" w:type="dxa"/>
          </w:tcPr>
          <w:p w14:paraId="66D24BAE" w14:textId="77777777" w:rsidR="00104F20" w:rsidRPr="004454CF" w:rsidRDefault="00104F20" w:rsidP="002523CE">
            <w:pPr>
              <w:jc w:val="center"/>
              <w:rPr>
                <w:rFonts w:ascii="Times New Roman" w:eastAsia="Calibri" w:hAnsi="Times New Roman" w:cs="Times New Roman"/>
                <w:b/>
                <w:sz w:val="24"/>
                <w:szCs w:val="24"/>
              </w:rPr>
            </w:pPr>
            <w:r w:rsidRPr="004454CF">
              <w:rPr>
                <w:rFonts w:ascii="Times New Roman" w:eastAsia="Calibri" w:hAnsi="Times New Roman" w:cs="Times New Roman"/>
                <w:b/>
                <w:sz w:val="24"/>
                <w:szCs w:val="24"/>
              </w:rPr>
              <w:t>2014-2015</w:t>
            </w:r>
            <w:r w:rsidRPr="004454CF">
              <w:rPr>
                <w:rStyle w:val="FootnoteReference"/>
                <w:rFonts w:ascii="Times New Roman" w:eastAsia="Calibri" w:hAnsi="Times New Roman" w:cs="Times New Roman"/>
                <w:sz w:val="24"/>
                <w:szCs w:val="24"/>
              </w:rPr>
              <w:footnoteReference w:id="16"/>
            </w:r>
            <w:r w:rsidRPr="004454CF">
              <w:rPr>
                <w:rFonts w:ascii="Times New Roman" w:eastAsia="Calibri" w:hAnsi="Times New Roman" w:cs="Times New Roman"/>
                <w:b/>
                <w:sz w:val="24"/>
                <w:szCs w:val="24"/>
              </w:rPr>
              <w:t xml:space="preserve"> Biennial Target</w:t>
            </w:r>
          </w:p>
        </w:tc>
        <w:tc>
          <w:tcPr>
            <w:tcW w:w="1962" w:type="dxa"/>
          </w:tcPr>
          <w:p w14:paraId="2CAE4215" w14:textId="77777777" w:rsidR="00104F20" w:rsidRPr="004454CF" w:rsidRDefault="00104F20" w:rsidP="002523CE">
            <w:pPr>
              <w:jc w:val="center"/>
              <w:rPr>
                <w:rFonts w:ascii="Times New Roman" w:eastAsia="Calibri" w:hAnsi="Times New Roman" w:cs="Times New Roman"/>
                <w:b/>
                <w:sz w:val="24"/>
                <w:szCs w:val="24"/>
              </w:rPr>
            </w:pPr>
            <w:r w:rsidRPr="004454CF">
              <w:rPr>
                <w:rFonts w:ascii="Times New Roman" w:eastAsia="Calibri" w:hAnsi="Times New Roman" w:cs="Times New Roman"/>
                <w:b/>
                <w:sz w:val="24"/>
                <w:szCs w:val="24"/>
              </w:rPr>
              <w:t>2016-2025</w:t>
            </w:r>
          </w:p>
          <w:p w14:paraId="3429DA60" w14:textId="77777777" w:rsidR="00104F20" w:rsidRPr="004454CF" w:rsidRDefault="00104F20" w:rsidP="002523CE">
            <w:pPr>
              <w:jc w:val="center"/>
              <w:rPr>
                <w:rFonts w:ascii="Times New Roman" w:eastAsia="Calibri" w:hAnsi="Times New Roman" w:cs="Times New Roman"/>
                <w:b/>
                <w:sz w:val="24"/>
                <w:szCs w:val="24"/>
              </w:rPr>
            </w:pPr>
            <w:r w:rsidRPr="004454CF">
              <w:rPr>
                <w:rFonts w:ascii="Times New Roman" w:eastAsia="Calibri" w:hAnsi="Times New Roman" w:cs="Times New Roman"/>
                <w:b/>
                <w:sz w:val="24"/>
                <w:szCs w:val="24"/>
              </w:rPr>
              <w:t>10-year potential</w:t>
            </w:r>
          </w:p>
        </w:tc>
        <w:tc>
          <w:tcPr>
            <w:tcW w:w="1962" w:type="dxa"/>
          </w:tcPr>
          <w:p w14:paraId="44AB57F0" w14:textId="77777777" w:rsidR="00104F20" w:rsidRPr="004454CF" w:rsidRDefault="00104F20" w:rsidP="002523CE">
            <w:pPr>
              <w:jc w:val="center"/>
              <w:rPr>
                <w:rFonts w:ascii="Times New Roman" w:eastAsia="Calibri" w:hAnsi="Times New Roman" w:cs="Times New Roman"/>
                <w:b/>
                <w:sz w:val="24"/>
                <w:szCs w:val="24"/>
              </w:rPr>
            </w:pPr>
            <w:r w:rsidRPr="004454CF">
              <w:rPr>
                <w:rFonts w:ascii="Times New Roman" w:eastAsia="Calibri" w:hAnsi="Times New Roman" w:cs="Times New Roman"/>
                <w:b/>
                <w:sz w:val="24"/>
                <w:szCs w:val="24"/>
              </w:rPr>
              <w:t>2016-2017 Biennial Target</w:t>
            </w:r>
          </w:p>
        </w:tc>
        <w:tc>
          <w:tcPr>
            <w:tcW w:w="1962" w:type="dxa"/>
          </w:tcPr>
          <w:p w14:paraId="7C595B77" w14:textId="3D859C86" w:rsidR="00104F20" w:rsidRPr="004454CF" w:rsidRDefault="002368F5" w:rsidP="00174AF0">
            <w:pPr>
              <w:jc w:val="center"/>
              <w:rPr>
                <w:rFonts w:ascii="Times New Roman" w:eastAsia="Calibri" w:hAnsi="Times New Roman" w:cs="Times New Roman"/>
                <w:b/>
                <w:sz w:val="24"/>
                <w:szCs w:val="24"/>
              </w:rPr>
            </w:pPr>
            <w:r w:rsidRPr="004454CF">
              <w:rPr>
                <w:rFonts w:ascii="Times New Roman" w:eastAsia="Calibri" w:hAnsi="Times New Roman" w:cs="Times New Roman"/>
                <w:b/>
                <w:sz w:val="24"/>
                <w:szCs w:val="24"/>
              </w:rPr>
              <w:t>2016</w:t>
            </w:r>
            <w:r w:rsidR="00104F20" w:rsidRPr="004454CF">
              <w:rPr>
                <w:rFonts w:ascii="Times New Roman" w:eastAsia="Calibri" w:hAnsi="Times New Roman" w:cs="Times New Roman"/>
                <w:b/>
                <w:sz w:val="24"/>
                <w:szCs w:val="24"/>
              </w:rPr>
              <w:t>-201</w:t>
            </w:r>
            <w:r w:rsidRPr="004454CF">
              <w:rPr>
                <w:rFonts w:ascii="Times New Roman" w:eastAsia="Calibri" w:hAnsi="Times New Roman" w:cs="Times New Roman"/>
                <w:b/>
                <w:sz w:val="24"/>
                <w:szCs w:val="24"/>
              </w:rPr>
              <w:t>7</w:t>
            </w:r>
            <w:r w:rsidR="00104F20" w:rsidRPr="004454CF">
              <w:rPr>
                <w:rFonts w:ascii="Times New Roman" w:eastAsia="Calibri" w:hAnsi="Times New Roman" w:cs="Times New Roman"/>
                <w:b/>
                <w:sz w:val="24"/>
                <w:szCs w:val="24"/>
              </w:rPr>
              <w:t xml:space="preserve"> Portfolio Total</w:t>
            </w:r>
            <w:r w:rsidR="00174AF0" w:rsidRPr="004454CF">
              <w:rPr>
                <w:rStyle w:val="FootnoteReference"/>
                <w:rFonts w:ascii="Times New Roman" w:eastAsia="Calibri" w:hAnsi="Times New Roman" w:cs="Times New Roman"/>
                <w:b/>
                <w:sz w:val="24"/>
                <w:szCs w:val="24"/>
              </w:rPr>
              <w:footnoteReference w:id="17"/>
            </w:r>
          </w:p>
        </w:tc>
      </w:tr>
      <w:tr w:rsidR="00104F20" w:rsidRPr="004454CF" w14:paraId="43FA3958" w14:textId="77777777" w:rsidTr="002523CE">
        <w:tc>
          <w:tcPr>
            <w:tcW w:w="1728" w:type="dxa"/>
          </w:tcPr>
          <w:p w14:paraId="063B1F9D" w14:textId="77777777" w:rsidR="00104F20" w:rsidRPr="004454CF" w:rsidRDefault="00104F20" w:rsidP="002523CE">
            <w:pPr>
              <w:rPr>
                <w:rFonts w:ascii="Times New Roman" w:eastAsia="Calibri" w:hAnsi="Times New Roman" w:cs="Times New Roman"/>
                <w:b/>
                <w:sz w:val="24"/>
                <w:szCs w:val="24"/>
              </w:rPr>
            </w:pPr>
            <w:r w:rsidRPr="004454CF">
              <w:rPr>
                <w:rFonts w:ascii="Times New Roman" w:eastAsia="Calibri" w:hAnsi="Times New Roman" w:cs="Times New Roman"/>
                <w:b/>
                <w:sz w:val="24"/>
                <w:szCs w:val="24"/>
              </w:rPr>
              <w:t>Savings</w:t>
            </w:r>
          </w:p>
        </w:tc>
        <w:tc>
          <w:tcPr>
            <w:tcW w:w="1962" w:type="dxa"/>
          </w:tcPr>
          <w:p w14:paraId="253872CC" w14:textId="77777777" w:rsidR="00104F20" w:rsidRPr="004454CF" w:rsidRDefault="00104F20" w:rsidP="002523CE">
            <w:pPr>
              <w:jc w:val="center"/>
              <w:rPr>
                <w:rFonts w:ascii="Times New Roman" w:eastAsia="Calibri" w:hAnsi="Times New Roman" w:cs="Times New Roman"/>
                <w:sz w:val="24"/>
                <w:szCs w:val="24"/>
              </w:rPr>
            </w:pPr>
            <w:r w:rsidRPr="004454CF">
              <w:rPr>
                <w:rFonts w:ascii="Times New Roman" w:eastAsia="Calibri" w:hAnsi="Times New Roman" w:cs="Times New Roman"/>
                <w:sz w:val="24"/>
                <w:szCs w:val="24"/>
              </w:rPr>
              <w:t xml:space="preserve">485,770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(55.5 </w:t>
            </w:r>
            <w:proofErr w:type="spellStart"/>
            <w:r w:rsidRPr="004454CF">
              <w:rPr>
                <w:rFonts w:ascii="Times New Roman" w:eastAsia="Calibri" w:hAnsi="Times New Roman" w:cs="Times New Roman"/>
                <w:sz w:val="24"/>
                <w:szCs w:val="24"/>
              </w:rPr>
              <w:t>aMW</w:t>
            </w:r>
            <w:proofErr w:type="spellEnd"/>
            <w:r w:rsidRPr="004454CF">
              <w:rPr>
                <w:rFonts w:ascii="Times New Roman" w:eastAsia="Calibri" w:hAnsi="Times New Roman" w:cs="Times New Roman"/>
                <w:sz w:val="24"/>
                <w:szCs w:val="24"/>
              </w:rPr>
              <w:t>)</w:t>
            </w:r>
          </w:p>
        </w:tc>
        <w:tc>
          <w:tcPr>
            <w:tcW w:w="1962" w:type="dxa"/>
          </w:tcPr>
          <w:p w14:paraId="0198CEC2" w14:textId="77777777" w:rsidR="00104F20" w:rsidRPr="004454CF" w:rsidRDefault="00104F20" w:rsidP="002523CE">
            <w:pPr>
              <w:jc w:val="center"/>
              <w:rPr>
                <w:rFonts w:ascii="Times New Roman" w:eastAsia="Calibri" w:hAnsi="Times New Roman" w:cs="Times New Roman"/>
                <w:sz w:val="24"/>
                <w:szCs w:val="24"/>
              </w:rPr>
            </w:pPr>
            <w:r w:rsidRPr="004454CF">
              <w:rPr>
                <w:rFonts w:ascii="Times New Roman" w:eastAsia="Calibri" w:hAnsi="Times New Roman" w:cs="Times New Roman"/>
                <w:sz w:val="24"/>
                <w:szCs w:val="24"/>
              </w:rPr>
              <w:t xml:space="preserve">2,715,486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(309.9 </w:t>
            </w:r>
            <w:proofErr w:type="spellStart"/>
            <w:r w:rsidRPr="004454CF">
              <w:rPr>
                <w:rFonts w:ascii="Times New Roman" w:eastAsia="Calibri" w:hAnsi="Times New Roman" w:cs="Times New Roman"/>
                <w:sz w:val="24"/>
                <w:szCs w:val="24"/>
              </w:rPr>
              <w:t>aMW</w:t>
            </w:r>
            <w:proofErr w:type="spellEnd"/>
            <w:r w:rsidRPr="004454CF">
              <w:rPr>
                <w:rFonts w:ascii="Times New Roman" w:eastAsia="Calibri" w:hAnsi="Times New Roman" w:cs="Times New Roman"/>
                <w:sz w:val="24"/>
                <w:szCs w:val="24"/>
              </w:rPr>
              <w:t>)</w:t>
            </w:r>
          </w:p>
        </w:tc>
        <w:tc>
          <w:tcPr>
            <w:tcW w:w="1962" w:type="dxa"/>
          </w:tcPr>
          <w:p w14:paraId="5E40A95D" w14:textId="77777777" w:rsidR="00104F20" w:rsidRPr="004454CF" w:rsidRDefault="00104F20" w:rsidP="002523CE">
            <w:pPr>
              <w:jc w:val="center"/>
              <w:rPr>
                <w:rFonts w:ascii="Times New Roman" w:eastAsia="Calibri" w:hAnsi="Times New Roman" w:cs="Times New Roman"/>
                <w:sz w:val="24"/>
                <w:szCs w:val="24"/>
              </w:rPr>
            </w:pPr>
            <w:r w:rsidRPr="004454CF">
              <w:rPr>
                <w:rFonts w:ascii="Times New Roman" w:eastAsia="Calibri" w:hAnsi="Times New Roman" w:cs="Times New Roman"/>
                <w:sz w:val="24"/>
                <w:szCs w:val="24"/>
              </w:rPr>
              <w:t xml:space="preserve">537,078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(61.3 </w:t>
            </w:r>
            <w:proofErr w:type="spellStart"/>
            <w:r w:rsidRPr="004454CF">
              <w:rPr>
                <w:rFonts w:ascii="Times New Roman" w:eastAsia="Calibri" w:hAnsi="Times New Roman" w:cs="Times New Roman"/>
                <w:sz w:val="24"/>
                <w:szCs w:val="24"/>
              </w:rPr>
              <w:t>aMW</w:t>
            </w:r>
            <w:proofErr w:type="spellEnd"/>
            <w:r w:rsidRPr="004454CF">
              <w:rPr>
                <w:rFonts w:ascii="Times New Roman" w:eastAsia="Calibri" w:hAnsi="Times New Roman" w:cs="Times New Roman"/>
                <w:sz w:val="24"/>
                <w:szCs w:val="24"/>
              </w:rPr>
              <w:t>)</w:t>
            </w:r>
          </w:p>
        </w:tc>
        <w:tc>
          <w:tcPr>
            <w:tcW w:w="1962" w:type="dxa"/>
          </w:tcPr>
          <w:p w14:paraId="71AE3A29" w14:textId="77777777" w:rsidR="00104F20" w:rsidRPr="004454CF" w:rsidRDefault="00104F20" w:rsidP="002523CE">
            <w:pPr>
              <w:jc w:val="center"/>
              <w:rPr>
                <w:rFonts w:ascii="Times New Roman" w:eastAsia="Calibri" w:hAnsi="Times New Roman" w:cs="Times New Roman"/>
                <w:sz w:val="24"/>
                <w:szCs w:val="24"/>
              </w:rPr>
            </w:pPr>
            <w:r w:rsidRPr="004454CF">
              <w:rPr>
                <w:rFonts w:ascii="Times New Roman" w:eastAsia="Calibri" w:hAnsi="Times New Roman" w:cs="Times New Roman"/>
                <w:sz w:val="24"/>
                <w:szCs w:val="24"/>
              </w:rPr>
              <w:t xml:space="preserve">605,194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(69.1 </w:t>
            </w:r>
            <w:proofErr w:type="spellStart"/>
            <w:r w:rsidRPr="004454CF">
              <w:rPr>
                <w:rFonts w:ascii="Times New Roman" w:eastAsia="Calibri" w:hAnsi="Times New Roman" w:cs="Times New Roman"/>
                <w:sz w:val="24"/>
                <w:szCs w:val="24"/>
              </w:rPr>
              <w:t>aMW</w:t>
            </w:r>
            <w:proofErr w:type="spellEnd"/>
            <w:r w:rsidRPr="004454CF">
              <w:rPr>
                <w:rFonts w:ascii="Times New Roman" w:eastAsia="Calibri" w:hAnsi="Times New Roman" w:cs="Times New Roman"/>
                <w:sz w:val="24"/>
                <w:szCs w:val="24"/>
              </w:rPr>
              <w:t>)</w:t>
            </w:r>
          </w:p>
        </w:tc>
      </w:tr>
      <w:tr w:rsidR="00104F20" w:rsidRPr="004454CF" w14:paraId="4B1EEB1E" w14:textId="77777777" w:rsidTr="002523CE">
        <w:tc>
          <w:tcPr>
            <w:tcW w:w="1728" w:type="dxa"/>
          </w:tcPr>
          <w:p w14:paraId="7176C7F2" w14:textId="77777777" w:rsidR="00104F20" w:rsidRPr="004454CF" w:rsidRDefault="00104F20" w:rsidP="002523CE">
            <w:pPr>
              <w:rPr>
                <w:rFonts w:ascii="Times New Roman" w:eastAsia="Calibri" w:hAnsi="Times New Roman" w:cs="Times New Roman"/>
                <w:b/>
                <w:sz w:val="24"/>
                <w:szCs w:val="24"/>
              </w:rPr>
            </w:pPr>
            <w:r w:rsidRPr="004454CF">
              <w:rPr>
                <w:rFonts w:ascii="Times New Roman" w:eastAsia="Calibri" w:hAnsi="Times New Roman" w:cs="Times New Roman"/>
                <w:b/>
                <w:sz w:val="24"/>
                <w:szCs w:val="24"/>
              </w:rPr>
              <w:t>Budget</w:t>
            </w:r>
          </w:p>
        </w:tc>
        <w:tc>
          <w:tcPr>
            <w:tcW w:w="1962" w:type="dxa"/>
          </w:tcPr>
          <w:p w14:paraId="74E18D17" w14:textId="77777777" w:rsidR="00104F20" w:rsidRPr="004454CF" w:rsidRDefault="00104F20" w:rsidP="002523CE">
            <w:pPr>
              <w:jc w:val="center"/>
              <w:rPr>
                <w:rFonts w:ascii="Times New Roman" w:eastAsia="Calibri" w:hAnsi="Times New Roman" w:cs="Times New Roman"/>
                <w:sz w:val="24"/>
                <w:szCs w:val="24"/>
              </w:rPr>
            </w:pPr>
            <w:r w:rsidRPr="004454CF">
              <w:rPr>
                <w:rFonts w:ascii="Times New Roman" w:eastAsia="Calibri" w:hAnsi="Times New Roman" w:cs="Times New Roman"/>
                <w:sz w:val="24"/>
                <w:szCs w:val="24"/>
              </w:rPr>
              <w:t>$188,784,000</w:t>
            </w:r>
          </w:p>
        </w:tc>
        <w:tc>
          <w:tcPr>
            <w:tcW w:w="1962" w:type="dxa"/>
          </w:tcPr>
          <w:p w14:paraId="0BEEA711" w14:textId="77777777" w:rsidR="00104F20" w:rsidRPr="004454CF" w:rsidRDefault="00104F20" w:rsidP="002523CE">
            <w:pPr>
              <w:jc w:val="center"/>
              <w:rPr>
                <w:rFonts w:ascii="Times New Roman" w:eastAsia="Calibri" w:hAnsi="Times New Roman" w:cs="Times New Roman"/>
                <w:sz w:val="24"/>
                <w:szCs w:val="24"/>
              </w:rPr>
            </w:pPr>
            <w:r w:rsidRPr="004454CF">
              <w:rPr>
                <w:rFonts w:ascii="Times New Roman" w:eastAsia="Calibri" w:hAnsi="Times New Roman" w:cs="Times New Roman"/>
                <w:sz w:val="24"/>
                <w:szCs w:val="24"/>
              </w:rPr>
              <w:t>-</w:t>
            </w:r>
          </w:p>
        </w:tc>
        <w:tc>
          <w:tcPr>
            <w:tcW w:w="1962" w:type="dxa"/>
          </w:tcPr>
          <w:p w14:paraId="5D8BE674" w14:textId="77777777" w:rsidR="00104F20" w:rsidRPr="004454CF" w:rsidRDefault="00104F20" w:rsidP="002523CE">
            <w:pPr>
              <w:jc w:val="center"/>
              <w:rPr>
                <w:rFonts w:ascii="Times New Roman" w:eastAsia="Calibri" w:hAnsi="Times New Roman" w:cs="Times New Roman"/>
                <w:sz w:val="24"/>
                <w:szCs w:val="24"/>
              </w:rPr>
            </w:pPr>
            <w:r w:rsidRPr="004454CF">
              <w:rPr>
                <w:rFonts w:ascii="Times New Roman" w:eastAsia="Calibri" w:hAnsi="Times New Roman" w:cs="Times New Roman"/>
                <w:sz w:val="24"/>
                <w:szCs w:val="24"/>
              </w:rPr>
              <w:t>-</w:t>
            </w:r>
          </w:p>
        </w:tc>
        <w:tc>
          <w:tcPr>
            <w:tcW w:w="1962" w:type="dxa"/>
          </w:tcPr>
          <w:p w14:paraId="5B14E195" w14:textId="0383330D" w:rsidR="00104F20" w:rsidRPr="004454CF" w:rsidRDefault="00104F20" w:rsidP="002523CE">
            <w:pPr>
              <w:jc w:val="center"/>
              <w:rPr>
                <w:rFonts w:ascii="Times New Roman" w:eastAsia="Calibri" w:hAnsi="Times New Roman" w:cs="Times New Roman"/>
                <w:sz w:val="24"/>
                <w:szCs w:val="24"/>
              </w:rPr>
            </w:pPr>
            <w:r w:rsidRPr="004454CF">
              <w:rPr>
                <w:rFonts w:ascii="Times New Roman" w:eastAsia="Calibri" w:hAnsi="Times New Roman" w:cs="Times New Roman"/>
                <w:sz w:val="24"/>
                <w:szCs w:val="24"/>
              </w:rPr>
              <w:t>$</w:t>
            </w:r>
            <w:r w:rsidR="004454CF" w:rsidRPr="004454CF">
              <w:rPr>
                <w:rFonts w:ascii="Times New Roman" w:eastAsia="Calibri" w:hAnsi="Times New Roman" w:cs="Times New Roman"/>
                <w:sz w:val="24"/>
                <w:szCs w:val="24"/>
              </w:rPr>
              <w:t>196,440,000</w:t>
            </w:r>
          </w:p>
        </w:tc>
      </w:tr>
    </w:tbl>
    <w:p w14:paraId="7C2EBD81" w14:textId="77777777" w:rsidR="00104F20" w:rsidRPr="004454CF" w:rsidRDefault="00104F20" w:rsidP="00104F20">
      <w:pPr>
        <w:rPr>
          <w:rFonts w:ascii="Times New Roman" w:eastAsia="Calibri" w:hAnsi="Times New Roman" w:cs="Times New Roman"/>
          <w:sz w:val="24"/>
          <w:szCs w:val="24"/>
        </w:rPr>
      </w:pPr>
    </w:p>
    <w:p w14:paraId="2828F560" w14:textId="29A34396" w:rsidR="00104F20" w:rsidRPr="004454CF" w:rsidRDefault="00104F20" w:rsidP="00104F20">
      <w:pPr>
        <w:rPr>
          <w:rFonts w:ascii="Times New Roman" w:eastAsia="Calibri" w:hAnsi="Times New Roman" w:cs="Times New Roman"/>
          <w:sz w:val="24"/>
          <w:szCs w:val="24"/>
        </w:rPr>
      </w:pPr>
      <w:r w:rsidRPr="004454CF">
        <w:rPr>
          <w:rFonts w:ascii="Times New Roman" w:eastAsia="Calibri" w:hAnsi="Times New Roman" w:cs="Times New Roman"/>
          <w:sz w:val="24"/>
          <w:szCs w:val="24"/>
        </w:rPr>
        <w:t xml:space="preserve">PSE plans to spend $196,440,000 to achieve the total portfolio savings of 605,194 </w:t>
      </w:r>
      <w:proofErr w:type="spellStart"/>
      <w:r w:rsidRPr="004454CF">
        <w:rPr>
          <w:rFonts w:ascii="Times New Roman" w:eastAsia="Calibri" w:hAnsi="Times New Roman" w:cs="Times New Roman"/>
          <w:sz w:val="24"/>
          <w:szCs w:val="24"/>
        </w:rPr>
        <w:t>MWh</w:t>
      </w:r>
      <w:proofErr w:type="spellEnd"/>
      <w:r w:rsidRPr="004454CF">
        <w:rPr>
          <w:rFonts w:ascii="Times New Roman" w:eastAsia="Calibri" w:hAnsi="Times New Roman" w:cs="Times New Roman"/>
          <w:sz w:val="24"/>
          <w:szCs w:val="24"/>
        </w:rPr>
        <w:t xml:space="preserve">, which includes NEEA savings, the HER expansion pilot and the decoupling commitment savings. The company also plans to spend $2,730,000 on net metering and the electric vehicle charger incentive programs, whose revenue is collected through the electric conservation service </w:t>
      </w:r>
      <w:r w:rsidR="00C0143B" w:rsidRPr="004454CF">
        <w:rPr>
          <w:rFonts w:ascii="Times New Roman" w:eastAsia="Calibri" w:hAnsi="Times New Roman" w:cs="Times New Roman"/>
          <w:sz w:val="24"/>
          <w:szCs w:val="24"/>
        </w:rPr>
        <w:t>S</w:t>
      </w:r>
      <w:r w:rsidRPr="004454CF">
        <w:rPr>
          <w:rFonts w:ascii="Times New Roman" w:eastAsia="Calibri" w:hAnsi="Times New Roman" w:cs="Times New Roman"/>
          <w:sz w:val="24"/>
          <w:szCs w:val="24"/>
        </w:rPr>
        <w:t>chedule 83. The biennial budget is about five percent greater than the previous biennial budget. The decrease in expected savings from NEEA is the primary driver of the 2016-2017 target increase over the previous biennium.</w:t>
      </w:r>
      <w:r w:rsidRPr="004454CF">
        <w:rPr>
          <w:rStyle w:val="FootnoteReference"/>
          <w:rFonts w:ascii="Times New Roman" w:eastAsia="Calibri" w:hAnsi="Times New Roman" w:cs="Times New Roman"/>
          <w:sz w:val="24"/>
          <w:szCs w:val="24"/>
        </w:rPr>
        <w:footnoteReference w:id="18"/>
      </w:r>
      <w:r w:rsidRPr="004454CF">
        <w:rPr>
          <w:rFonts w:ascii="Times New Roman" w:eastAsia="Calibri" w:hAnsi="Times New Roman" w:cs="Times New Roman"/>
          <w:sz w:val="24"/>
          <w:szCs w:val="24"/>
        </w:rPr>
        <w:t xml:space="preserve"> The company expects its total portfolio to achieve a Total Resource Cost (TRC) ratio of 1.69 and a Utility Cost Test (UCT) ratio of 2.22, indicating that the portfolio is cost-effective. </w:t>
      </w:r>
    </w:p>
    <w:p w14:paraId="465A32ED" w14:textId="77777777" w:rsidR="00104F20" w:rsidRPr="004454CF" w:rsidRDefault="00104F20" w:rsidP="00104F20">
      <w:pPr>
        <w:rPr>
          <w:rFonts w:ascii="Times New Roman" w:eastAsia="Calibri" w:hAnsi="Times New Roman" w:cs="Times New Roman"/>
          <w:sz w:val="24"/>
          <w:szCs w:val="24"/>
        </w:rPr>
      </w:pPr>
    </w:p>
    <w:p w14:paraId="0D6079C7" w14:textId="2ABD4A84" w:rsidR="00104F20" w:rsidRPr="004454CF" w:rsidRDefault="00104F20" w:rsidP="00104F20">
      <w:pPr>
        <w:rPr>
          <w:rFonts w:ascii="Times New Roman" w:eastAsia="Calibri" w:hAnsi="Times New Roman" w:cs="Times New Roman"/>
          <w:sz w:val="24"/>
          <w:szCs w:val="24"/>
        </w:rPr>
      </w:pPr>
      <w:r w:rsidRPr="004454CF">
        <w:rPr>
          <w:rFonts w:ascii="Times New Roman" w:eastAsia="Calibri" w:hAnsi="Times New Roman" w:cs="Times New Roman"/>
          <w:sz w:val="24"/>
          <w:szCs w:val="24"/>
        </w:rPr>
        <w:t xml:space="preserve">The primary drivers of the changes to the savings portfolio are familiar issues from previous biennia, including the decoupling commitment, decreased NEEA savings, changing </w:t>
      </w:r>
      <w:r w:rsidR="00174AF0" w:rsidRPr="004454CF">
        <w:rPr>
          <w:rFonts w:ascii="Times New Roman" w:eastAsia="Calibri" w:hAnsi="Times New Roman" w:cs="Times New Roman"/>
          <w:sz w:val="24"/>
          <w:szCs w:val="24"/>
        </w:rPr>
        <w:t>UES values</w:t>
      </w:r>
      <w:r w:rsidRPr="004454CF">
        <w:rPr>
          <w:rFonts w:ascii="Times New Roman" w:eastAsia="Calibri" w:hAnsi="Times New Roman" w:cs="Times New Roman"/>
          <w:sz w:val="24"/>
          <w:szCs w:val="24"/>
        </w:rPr>
        <w:t>, and the HER expansion pilot. Consistent with the 2014-2015 biennium, PSE’s business plan intends to achieve 105 percent of the 2016-2017 biennial conservation target due to the requirements of its decoupling mechanism. Also as part of its decoupling settlement agreement, PSE has increased funding for low-in</w:t>
      </w:r>
      <w:r w:rsidR="00174AF0" w:rsidRPr="004454CF">
        <w:rPr>
          <w:rFonts w:ascii="Times New Roman" w:eastAsia="Calibri" w:hAnsi="Times New Roman" w:cs="Times New Roman"/>
          <w:sz w:val="24"/>
          <w:szCs w:val="24"/>
        </w:rPr>
        <w:t>come weatherization by $500,000.</w:t>
      </w:r>
      <w:r w:rsidR="00B20ADD" w:rsidRPr="004454CF">
        <w:rPr>
          <w:rFonts w:ascii="Times New Roman" w:eastAsia="Calibri" w:hAnsi="Times New Roman" w:cs="Times New Roman"/>
          <w:sz w:val="24"/>
          <w:szCs w:val="24"/>
        </w:rPr>
        <w:t xml:space="preserve"> Despite the increase in funding, the company expects roughly the same amount of savings as the previous </w:t>
      </w:r>
      <w:r w:rsidR="00323045" w:rsidRPr="004454CF">
        <w:rPr>
          <w:rFonts w:ascii="Times New Roman" w:eastAsia="Calibri" w:hAnsi="Times New Roman" w:cs="Times New Roman"/>
          <w:sz w:val="24"/>
          <w:szCs w:val="24"/>
        </w:rPr>
        <w:t>biennium, in part due to decreasing</w:t>
      </w:r>
      <w:r w:rsidR="00B20ADD" w:rsidRPr="004454CF">
        <w:rPr>
          <w:rFonts w:ascii="Times New Roman" w:eastAsia="Calibri" w:hAnsi="Times New Roman" w:cs="Times New Roman"/>
          <w:sz w:val="24"/>
          <w:szCs w:val="24"/>
        </w:rPr>
        <w:t xml:space="preserve"> RTF savings and increasing agency administrative costs</w:t>
      </w:r>
      <w:r w:rsidR="00323045" w:rsidRPr="004454CF">
        <w:rPr>
          <w:rFonts w:ascii="Times New Roman" w:eastAsia="Calibri" w:hAnsi="Times New Roman" w:cs="Times New Roman"/>
          <w:sz w:val="24"/>
          <w:szCs w:val="24"/>
        </w:rPr>
        <w:t>.</w:t>
      </w:r>
      <w:r w:rsidR="00B20ADD" w:rsidRPr="004454CF">
        <w:rPr>
          <w:rFonts w:ascii="Times New Roman" w:eastAsia="Calibri" w:hAnsi="Times New Roman" w:cs="Times New Roman"/>
          <w:sz w:val="24"/>
          <w:szCs w:val="24"/>
        </w:rPr>
        <w:t xml:space="preserve"> </w:t>
      </w:r>
    </w:p>
    <w:p w14:paraId="492C8C4D" w14:textId="77777777" w:rsidR="00104F20" w:rsidRPr="004454CF" w:rsidRDefault="00104F20" w:rsidP="00104F20">
      <w:pPr>
        <w:rPr>
          <w:rFonts w:ascii="Times New Roman" w:eastAsia="Calibri" w:hAnsi="Times New Roman" w:cs="Times New Roman"/>
          <w:sz w:val="24"/>
          <w:szCs w:val="24"/>
        </w:rPr>
      </w:pPr>
    </w:p>
    <w:p w14:paraId="4D0F4AFA" w14:textId="199D87FA" w:rsidR="00104F20" w:rsidRPr="004454CF" w:rsidRDefault="008E5871" w:rsidP="00104F20">
      <w:pPr>
        <w:rPr>
          <w:rFonts w:ascii="Times New Roman" w:eastAsia="Calibri" w:hAnsi="Times New Roman" w:cs="Times New Roman"/>
          <w:sz w:val="24"/>
          <w:szCs w:val="24"/>
        </w:rPr>
      </w:pPr>
      <w:r w:rsidRPr="004454CF">
        <w:rPr>
          <w:rFonts w:ascii="Times New Roman" w:eastAsia="Calibri" w:hAnsi="Times New Roman" w:cs="Times New Roman"/>
          <w:sz w:val="24"/>
          <w:szCs w:val="24"/>
        </w:rPr>
        <w:t>Staff</w:t>
      </w:r>
      <w:r w:rsidR="00F71125" w:rsidRPr="004454CF">
        <w:rPr>
          <w:rFonts w:ascii="Times New Roman" w:eastAsia="Calibri" w:hAnsi="Times New Roman" w:cs="Times New Roman"/>
          <w:sz w:val="24"/>
          <w:szCs w:val="24"/>
        </w:rPr>
        <w:t xml:space="preserve"> finds that </w:t>
      </w:r>
      <w:r w:rsidR="00104F20" w:rsidRPr="004454CF">
        <w:rPr>
          <w:rFonts w:ascii="Times New Roman" w:eastAsia="Calibri" w:hAnsi="Times New Roman" w:cs="Times New Roman"/>
          <w:sz w:val="24"/>
          <w:szCs w:val="24"/>
        </w:rPr>
        <w:t>the company used methodology consistent with the Council’s 6th Northwest Power Plan, as required by WAC 480-109-100(2</w:t>
      </w:r>
      <w:proofErr w:type="gramStart"/>
      <w:r w:rsidR="00104F20" w:rsidRPr="004454CF">
        <w:rPr>
          <w:rFonts w:ascii="Times New Roman" w:eastAsia="Calibri" w:hAnsi="Times New Roman" w:cs="Times New Roman"/>
          <w:sz w:val="24"/>
          <w:szCs w:val="24"/>
        </w:rPr>
        <w:t>)(</w:t>
      </w:r>
      <w:proofErr w:type="gramEnd"/>
      <w:r w:rsidR="00104F20" w:rsidRPr="004454CF">
        <w:rPr>
          <w:rFonts w:ascii="Times New Roman" w:eastAsia="Calibri" w:hAnsi="Times New Roman" w:cs="Times New Roman"/>
          <w:sz w:val="24"/>
          <w:szCs w:val="24"/>
        </w:rPr>
        <w:t>b) and WAC 480-109-999(1)(a)</w:t>
      </w:r>
      <w:r w:rsidR="000505A6" w:rsidRPr="004454CF">
        <w:rPr>
          <w:rFonts w:ascii="Times New Roman" w:eastAsia="Calibri" w:hAnsi="Times New Roman" w:cs="Times New Roman"/>
          <w:sz w:val="24"/>
          <w:szCs w:val="24"/>
        </w:rPr>
        <w:t>,</w:t>
      </w:r>
      <w:r w:rsidR="00104F20" w:rsidRPr="004454CF">
        <w:rPr>
          <w:rFonts w:ascii="Times New Roman" w:eastAsia="Calibri" w:hAnsi="Times New Roman" w:cs="Times New Roman"/>
          <w:sz w:val="24"/>
          <w:szCs w:val="24"/>
        </w:rPr>
        <w:t xml:space="preserve"> to develop its conservation potential assessment. The company highlighted a few </w:t>
      </w:r>
      <w:r w:rsidR="00174AF0" w:rsidRPr="004454CF">
        <w:rPr>
          <w:rFonts w:ascii="Times New Roman" w:eastAsia="Calibri" w:hAnsi="Times New Roman" w:cs="Times New Roman"/>
          <w:sz w:val="24"/>
          <w:szCs w:val="24"/>
        </w:rPr>
        <w:t xml:space="preserve">minor </w:t>
      </w:r>
      <w:r w:rsidR="00104F20" w:rsidRPr="004454CF">
        <w:rPr>
          <w:rFonts w:ascii="Times New Roman" w:eastAsia="Calibri" w:hAnsi="Times New Roman" w:cs="Times New Roman"/>
          <w:sz w:val="24"/>
          <w:szCs w:val="24"/>
        </w:rPr>
        <w:t xml:space="preserve">differences in </w:t>
      </w:r>
      <w:r w:rsidR="00174AF0" w:rsidRPr="004454CF">
        <w:rPr>
          <w:rFonts w:ascii="Times New Roman" w:eastAsia="Calibri" w:hAnsi="Times New Roman" w:cs="Times New Roman"/>
          <w:sz w:val="24"/>
          <w:szCs w:val="24"/>
        </w:rPr>
        <w:t>approach;</w:t>
      </w:r>
      <w:r w:rsidR="00104F20" w:rsidRPr="004454CF">
        <w:rPr>
          <w:rFonts w:ascii="Times New Roman" w:eastAsia="Calibri" w:hAnsi="Times New Roman" w:cs="Times New Roman"/>
          <w:sz w:val="24"/>
          <w:szCs w:val="24"/>
        </w:rPr>
        <w:t xml:space="preserve"> however, none </w:t>
      </w:r>
      <w:r w:rsidR="00174AF0" w:rsidRPr="004454CF">
        <w:rPr>
          <w:rFonts w:ascii="Times New Roman" w:eastAsia="Calibri" w:hAnsi="Times New Roman" w:cs="Times New Roman"/>
          <w:sz w:val="24"/>
          <w:szCs w:val="24"/>
        </w:rPr>
        <w:t xml:space="preserve">were </w:t>
      </w:r>
      <w:r w:rsidR="00104F20" w:rsidRPr="004454CF">
        <w:rPr>
          <w:rFonts w:ascii="Times New Roman" w:eastAsia="Calibri" w:hAnsi="Times New Roman" w:cs="Times New Roman"/>
          <w:sz w:val="24"/>
          <w:szCs w:val="24"/>
        </w:rPr>
        <w:t>significant enough to be considered a departure from the Council methodology</w:t>
      </w:r>
      <w:r w:rsidR="00174AF0" w:rsidRPr="004454CF">
        <w:rPr>
          <w:rFonts w:ascii="Times New Roman" w:eastAsia="Calibri" w:hAnsi="Times New Roman" w:cs="Times New Roman"/>
          <w:sz w:val="24"/>
          <w:szCs w:val="24"/>
        </w:rPr>
        <w:t>.</w:t>
      </w:r>
    </w:p>
    <w:p w14:paraId="5EBC2CF7" w14:textId="77777777" w:rsidR="00104F20" w:rsidRPr="004454CF" w:rsidRDefault="00104F20" w:rsidP="00104F20">
      <w:pPr>
        <w:rPr>
          <w:rFonts w:ascii="Times New Roman" w:eastAsia="Calibri" w:hAnsi="Times New Roman" w:cs="Times New Roman"/>
          <w:sz w:val="24"/>
          <w:szCs w:val="24"/>
        </w:rPr>
      </w:pPr>
    </w:p>
    <w:p w14:paraId="7415D8E4" w14:textId="6BDBAA68" w:rsidR="00104F20" w:rsidRPr="004454CF" w:rsidRDefault="00104F20" w:rsidP="00104F20">
      <w:pPr>
        <w:rPr>
          <w:rFonts w:ascii="Times New Roman" w:eastAsia="Calibri" w:hAnsi="Times New Roman" w:cs="Times New Roman"/>
          <w:sz w:val="24"/>
          <w:szCs w:val="24"/>
        </w:rPr>
      </w:pPr>
      <w:r w:rsidRPr="004454CF">
        <w:rPr>
          <w:rFonts w:ascii="Times New Roman" w:eastAsia="Calibri" w:hAnsi="Times New Roman" w:cs="Times New Roman"/>
          <w:sz w:val="24"/>
          <w:szCs w:val="24"/>
        </w:rPr>
        <w:t>The number of controversial issu</w:t>
      </w:r>
      <w:r w:rsidR="00174AF0" w:rsidRPr="004454CF">
        <w:rPr>
          <w:rFonts w:ascii="Times New Roman" w:eastAsia="Calibri" w:hAnsi="Times New Roman" w:cs="Times New Roman"/>
          <w:sz w:val="24"/>
          <w:szCs w:val="24"/>
        </w:rPr>
        <w:t>es raised during the BCP filing has</w:t>
      </w:r>
      <w:r w:rsidRPr="004454CF">
        <w:rPr>
          <w:rFonts w:ascii="Times New Roman" w:eastAsia="Calibri" w:hAnsi="Times New Roman" w:cs="Times New Roman"/>
          <w:sz w:val="24"/>
          <w:szCs w:val="24"/>
        </w:rPr>
        <w:t xml:space="preserve"> diminished in each subsequent biennium, in part due to the robust and engaged Conservation Resources Advisory Group (CRAG). The company and the CRAG have recognized and dealt with issues early and </w:t>
      </w:r>
      <w:r w:rsidRPr="004454CF">
        <w:rPr>
          <w:rFonts w:ascii="Times New Roman" w:eastAsia="Calibri" w:hAnsi="Times New Roman" w:cs="Times New Roman"/>
          <w:sz w:val="24"/>
          <w:szCs w:val="24"/>
        </w:rPr>
        <w:lastRenderedPageBreak/>
        <w:t xml:space="preserve">transparently in this biennium. Consequently, there are comparatively few issues to consider at this time. </w:t>
      </w:r>
      <w:r w:rsidR="008E5871" w:rsidRPr="004454CF">
        <w:rPr>
          <w:rFonts w:ascii="Times New Roman" w:eastAsia="Calibri" w:hAnsi="Times New Roman" w:cs="Times New Roman"/>
          <w:sz w:val="24"/>
          <w:szCs w:val="24"/>
        </w:rPr>
        <w:t>Staff</w:t>
      </w:r>
      <w:r w:rsidRPr="004454CF">
        <w:rPr>
          <w:rFonts w:ascii="Times New Roman" w:eastAsia="Calibri" w:hAnsi="Times New Roman" w:cs="Times New Roman"/>
          <w:sz w:val="24"/>
          <w:szCs w:val="24"/>
        </w:rPr>
        <w:t xml:space="preserve"> appreciates the amount of time that the company and the members of the CRAG have devoted to resolving these issues before the company filed the </w:t>
      </w:r>
      <w:r w:rsidR="00174AF0" w:rsidRPr="004454CF">
        <w:rPr>
          <w:rFonts w:ascii="Times New Roman" w:eastAsia="Calibri" w:hAnsi="Times New Roman" w:cs="Times New Roman"/>
          <w:sz w:val="24"/>
          <w:szCs w:val="24"/>
        </w:rPr>
        <w:t>BCP</w:t>
      </w:r>
      <w:r w:rsidRPr="004454CF">
        <w:rPr>
          <w:rFonts w:ascii="Times New Roman" w:eastAsia="Calibri" w:hAnsi="Times New Roman" w:cs="Times New Roman"/>
          <w:sz w:val="24"/>
          <w:szCs w:val="24"/>
        </w:rPr>
        <w:t>.</w:t>
      </w:r>
    </w:p>
    <w:p w14:paraId="6A117190" w14:textId="77777777" w:rsidR="008463AA" w:rsidRPr="004454CF" w:rsidRDefault="008463AA" w:rsidP="008463AA">
      <w:pPr>
        <w:pStyle w:val="Heading2"/>
      </w:pPr>
      <w:bookmarkStart w:id="12" w:name="_Toc436840010"/>
      <w:r w:rsidRPr="004454CF">
        <w:t>Avista</w:t>
      </w:r>
      <w:r w:rsidR="00BB5B61" w:rsidRPr="004454CF">
        <w:t xml:space="preserve"> (Docket UE-152076)</w:t>
      </w:r>
      <w:bookmarkEnd w:id="12"/>
    </w:p>
    <w:p w14:paraId="3A3E9980" w14:textId="77777777" w:rsidR="008463AA" w:rsidRPr="004454CF" w:rsidRDefault="008463AA" w:rsidP="008463AA">
      <w:pPr>
        <w:rPr>
          <w:rFonts w:ascii="Times New Roman" w:hAnsi="Times New Roman" w:cs="Times New Roman"/>
          <w:sz w:val="24"/>
          <w:szCs w:val="24"/>
        </w:rPr>
      </w:pPr>
    </w:p>
    <w:p w14:paraId="63CA92CA" w14:textId="5690A6D1" w:rsidR="00111BC5" w:rsidRPr="004454CF" w:rsidRDefault="00111BC5" w:rsidP="00111BC5">
      <w:pPr>
        <w:rPr>
          <w:rFonts w:ascii="Times New Roman" w:hAnsi="Times New Roman" w:cs="Times New Roman"/>
          <w:sz w:val="24"/>
          <w:szCs w:val="24"/>
        </w:rPr>
      </w:pPr>
      <w:r w:rsidRPr="004454CF">
        <w:rPr>
          <w:rFonts w:ascii="Times New Roman" w:hAnsi="Times New Roman" w:cs="Times New Roman"/>
          <w:sz w:val="24"/>
          <w:szCs w:val="24"/>
        </w:rPr>
        <w:t xml:space="preserve">Avista’s 2015 IRP identified a 10-year conservation potential of 391,000 </w:t>
      </w:r>
      <w:proofErr w:type="spellStart"/>
      <w:r w:rsidRPr="004454CF">
        <w:rPr>
          <w:rFonts w:ascii="Times New Roman" w:hAnsi="Times New Roman" w:cs="Times New Roman"/>
          <w:sz w:val="24"/>
          <w:szCs w:val="24"/>
        </w:rPr>
        <w:t>MWh</w:t>
      </w:r>
      <w:proofErr w:type="spellEnd"/>
      <w:r w:rsidRPr="004454CF">
        <w:rPr>
          <w:rFonts w:ascii="Times New Roman" w:hAnsi="Times New Roman" w:cs="Times New Roman"/>
          <w:sz w:val="24"/>
          <w:szCs w:val="24"/>
        </w:rPr>
        <w:t xml:space="preserve"> </w:t>
      </w:r>
      <w:r w:rsidR="00A81157" w:rsidRPr="004454CF">
        <w:rPr>
          <w:rFonts w:ascii="Times New Roman" w:hAnsi="Times New Roman" w:cs="Times New Roman"/>
          <w:sz w:val="24"/>
          <w:szCs w:val="24"/>
        </w:rPr>
        <w:t xml:space="preserve">(44.6 </w:t>
      </w:r>
      <w:proofErr w:type="spellStart"/>
      <w:r w:rsidR="00A81157" w:rsidRPr="004454CF">
        <w:rPr>
          <w:rFonts w:ascii="Times New Roman" w:hAnsi="Times New Roman" w:cs="Times New Roman"/>
          <w:sz w:val="24"/>
          <w:szCs w:val="24"/>
        </w:rPr>
        <w:t>aMW</w:t>
      </w:r>
      <w:proofErr w:type="spellEnd"/>
      <w:r w:rsidR="00A81157" w:rsidRPr="004454CF">
        <w:rPr>
          <w:rFonts w:ascii="Times New Roman" w:hAnsi="Times New Roman" w:cs="Times New Roman"/>
          <w:sz w:val="24"/>
          <w:szCs w:val="24"/>
        </w:rPr>
        <w:t xml:space="preserve">) </w:t>
      </w:r>
      <w:r w:rsidRPr="004454CF">
        <w:rPr>
          <w:rFonts w:ascii="Times New Roman" w:hAnsi="Times New Roman" w:cs="Times New Roman"/>
          <w:sz w:val="24"/>
          <w:szCs w:val="24"/>
        </w:rPr>
        <w:t>in its Washington territory.</w:t>
      </w:r>
      <w:r w:rsidRPr="004454CF">
        <w:rPr>
          <w:rStyle w:val="FootnoteReference"/>
          <w:rFonts w:ascii="Times New Roman" w:hAnsi="Times New Roman" w:cs="Times New Roman"/>
          <w:sz w:val="24"/>
          <w:szCs w:val="24"/>
        </w:rPr>
        <w:footnoteReference w:id="19"/>
      </w:r>
      <w:r w:rsidRPr="004454CF">
        <w:rPr>
          <w:rFonts w:ascii="Times New Roman" w:hAnsi="Times New Roman" w:cs="Times New Roman"/>
          <w:sz w:val="24"/>
          <w:szCs w:val="24"/>
        </w:rPr>
        <w:t xml:space="preserve"> </w:t>
      </w:r>
      <w:r w:rsidR="00E63655" w:rsidRPr="004454CF">
        <w:rPr>
          <w:rFonts w:ascii="Times New Roman" w:hAnsi="Times New Roman" w:cs="Times New Roman"/>
          <w:sz w:val="24"/>
          <w:szCs w:val="24"/>
        </w:rPr>
        <w:t xml:space="preserve">By rule, Avista’s biennial target must be at least 20 percent of the 10-year target. </w:t>
      </w:r>
      <w:r w:rsidR="0041791C" w:rsidRPr="004454CF">
        <w:rPr>
          <w:rFonts w:ascii="Times New Roman" w:hAnsi="Times New Roman" w:cs="Times New Roman"/>
          <w:sz w:val="24"/>
          <w:szCs w:val="24"/>
        </w:rPr>
        <w:t xml:space="preserve">Given that Avista’s </w:t>
      </w:r>
      <w:r w:rsidR="00731196" w:rsidRPr="004454CF">
        <w:rPr>
          <w:rFonts w:ascii="Times New Roman" w:hAnsi="Times New Roman" w:cs="Times New Roman"/>
          <w:sz w:val="24"/>
          <w:szCs w:val="24"/>
        </w:rPr>
        <w:t>2-year</w:t>
      </w:r>
      <w:r w:rsidR="0041791C" w:rsidRPr="004454CF">
        <w:rPr>
          <w:rFonts w:ascii="Times New Roman" w:hAnsi="Times New Roman" w:cs="Times New Roman"/>
          <w:sz w:val="24"/>
          <w:szCs w:val="24"/>
        </w:rPr>
        <w:t xml:space="preserve"> potential</w:t>
      </w:r>
      <w:r w:rsidR="00731196" w:rsidRPr="004454CF">
        <w:rPr>
          <w:rFonts w:ascii="Times New Roman" w:hAnsi="Times New Roman" w:cs="Times New Roman"/>
          <w:sz w:val="24"/>
          <w:szCs w:val="24"/>
        </w:rPr>
        <w:t>, as initially calculated,</w:t>
      </w:r>
      <w:r w:rsidR="0041791C" w:rsidRPr="004454CF">
        <w:rPr>
          <w:rFonts w:ascii="Times New Roman" w:hAnsi="Times New Roman" w:cs="Times New Roman"/>
          <w:sz w:val="24"/>
          <w:szCs w:val="24"/>
        </w:rPr>
        <w:t xml:space="preserve"> was substantially below the pro rata share of the 10-year potential, </w:t>
      </w:r>
      <w:r w:rsidR="00E63655" w:rsidRPr="004454CF">
        <w:rPr>
          <w:rFonts w:ascii="Times New Roman" w:hAnsi="Times New Roman" w:cs="Times New Roman"/>
          <w:sz w:val="24"/>
          <w:szCs w:val="24"/>
        </w:rPr>
        <w:t>the pro rata share of Avista’s 10-year poten</w:t>
      </w:r>
      <w:r w:rsidR="004454CF">
        <w:rPr>
          <w:rFonts w:ascii="Times New Roman" w:hAnsi="Times New Roman" w:cs="Times New Roman"/>
          <w:sz w:val="24"/>
          <w:szCs w:val="24"/>
        </w:rPr>
        <w:t>tial will be the basis for the c</w:t>
      </w:r>
      <w:r w:rsidR="00E63655" w:rsidRPr="004454CF">
        <w:rPr>
          <w:rFonts w:ascii="Times New Roman" w:hAnsi="Times New Roman" w:cs="Times New Roman"/>
          <w:sz w:val="24"/>
          <w:szCs w:val="24"/>
        </w:rPr>
        <w:t xml:space="preserve">ompany’s target. Thus, the starting point for Avista’s biennial target is 78,200 </w:t>
      </w:r>
      <w:proofErr w:type="spellStart"/>
      <w:r w:rsidR="00E63655" w:rsidRPr="004454CF">
        <w:rPr>
          <w:rFonts w:ascii="Times New Roman" w:hAnsi="Times New Roman" w:cs="Times New Roman"/>
          <w:sz w:val="24"/>
          <w:szCs w:val="24"/>
        </w:rPr>
        <w:t>MWh</w:t>
      </w:r>
      <w:proofErr w:type="spellEnd"/>
      <w:r w:rsidR="00731196" w:rsidRPr="004454CF">
        <w:rPr>
          <w:rFonts w:ascii="Times New Roman" w:hAnsi="Times New Roman" w:cs="Times New Roman"/>
          <w:sz w:val="24"/>
          <w:szCs w:val="24"/>
        </w:rPr>
        <w:t xml:space="preserve"> (8.9 </w:t>
      </w:r>
      <w:proofErr w:type="spellStart"/>
      <w:r w:rsidR="00731196" w:rsidRPr="004454CF">
        <w:rPr>
          <w:rFonts w:ascii="Times New Roman" w:hAnsi="Times New Roman" w:cs="Times New Roman"/>
          <w:sz w:val="24"/>
          <w:szCs w:val="24"/>
        </w:rPr>
        <w:t>aMW</w:t>
      </w:r>
      <w:proofErr w:type="spellEnd"/>
      <w:r w:rsidR="00731196" w:rsidRPr="004454CF">
        <w:rPr>
          <w:rFonts w:ascii="Times New Roman" w:hAnsi="Times New Roman" w:cs="Times New Roman"/>
          <w:sz w:val="24"/>
          <w:szCs w:val="24"/>
        </w:rPr>
        <w:t xml:space="preserve">). </w:t>
      </w:r>
    </w:p>
    <w:p w14:paraId="129C1DAB" w14:textId="77777777" w:rsidR="00731196" w:rsidRPr="004454CF" w:rsidRDefault="00731196" w:rsidP="00111BC5">
      <w:pPr>
        <w:rPr>
          <w:rFonts w:ascii="Times New Roman" w:hAnsi="Times New Roman" w:cs="Times New Roman"/>
          <w:sz w:val="24"/>
          <w:szCs w:val="24"/>
        </w:rPr>
      </w:pPr>
    </w:p>
    <w:p w14:paraId="6F51091F" w14:textId="3828226D" w:rsidR="00731196" w:rsidRPr="004454CF" w:rsidRDefault="00731196" w:rsidP="00111BC5">
      <w:pPr>
        <w:rPr>
          <w:rFonts w:ascii="Times New Roman" w:hAnsi="Times New Roman" w:cs="Times New Roman"/>
          <w:sz w:val="24"/>
          <w:szCs w:val="24"/>
        </w:rPr>
      </w:pPr>
      <w:r w:rsidRPr="004454CF">
        <w:rPr>
          <w:rFonts w:ascii="Times New Roman" w:hAnsi="Times New Roman" w:cs="Times New Roman"/>
          <w:sz w:val="24"/>
          <w:szCs w:val="24"/>
        </w:rPr>
        <w:t xml:space="preserve">Avista then </w:t>
      </w:r>
      <w:r w:rsidR="00F76E8F" w:rsidRPr="004454CF">
        <w:rPr>
          <w:rFonts w:ascii="Times New Roman" w:hAnsi="Times New Roman" w:cs="Times New Roman"/>
          <w:sz w:val="24"/>
          <w:szCs w:val="24"/>
        </w:rPr>
        <w:t>made</w:t>
      </w:r>
      <w:r w:rsidRPr="004454CF">
        <w:rPr>
          <w:rFonts w:ascii="Times New Roman" w:hAnsi="Times New Roman" w:cs="Times New Roman"/>
          <w:sz w:val="24"/>
          <w:szCs w:val="24"/>
        </w:rPr>
        <w:t xml:space="preserve"> a number of adjustments to reflect activities </w:t>
      </w:r>
      <w:r w:rsidR="00EC2041" w:rsidRPr="004454CF">
        <w:rPr>
          <w:rFonts w:ascii="Times New Roman" w:hAnsi="Times New Roman" w:cs="Times New Roman"/>
          <w:sz w:val="24"/>
          <w:szCs w:val="24"/>
        </w:rPr>
        <w:t xml:space="preserve">not covered, or covered inaccurately, in the CPA. </w:t>
      </w:r>
      <w:r w:rsidR="009A49A5" w:rsidRPr="004454CF">
        <w:rPr>
          <w:rFonts w:ascii="Times New Roman" w:hAnsi="Times New Roman" w:cs="Times New Roman"/>
          <w:sz w:val="24"/>
          <w:szCs w:val="24"/>
        </w:rPr>
        <w:t>The company</w:t>
      </w:r>
      <w:r w:rsidR="003E2409" w:rsidRPr="004454CF">
        <w:rPr>
          <w:rFonts w:ascii="Times New Roman" w:hAnsi="Times New Roman" w:cs="Times New Roman"/>
          <w:sz w:val="24"/>
          <w:szCs w:val="24"/>
        </w:rPr>
        <w:t xml:space="preserve"> </w:t>
      </w:r>
      <w:r w:rsidR="00EC2041" w:rsidRPr="004454CF">
        <w:rPr>
          <w:rFonts w:ascii="Times New Roman" w:hAnsi="Times New Roman" w:cs="Times New Roman"/>
          <w:sz w:val="24"/>
          <w:szCs w:val="24"/>
        </w:rPr>
        <w:t xml:space="preserve">removed 7,972 </w:t>
      </w:r>
      <w:proofErr w:type="spellStart"/>
      <w:r w:rsidR="00EC2041" w:rsidRPr="004454CF">
        <w:rPr>
          <w:rFonts w:ascii="Times New Roman" w:hAnsi="Times New Roman" w:cs="Times New Roman"/>
          <w:sz w:val="24"/>
          <w:szCs w:val="24"/>
        </w:rPr>
        <w:t>MWh</w:t>
      </w:r>
      <w:proofErr w:type="spellEnd"/>
      <w:r w:rsidR="00EC2041" w:rsidRPr="004454CF">
        <w:rPr>
          <w:rFonts w:ascii="Times New Roman" w:hAnsi="Times New Roman" w:cs="Times New Roman"/>
          <w:sz w:val="24"/>
          <w:szCs w:val="24"/>
        </w:rPr>
        <w:t xml:space="preserve"> reflecting the pro rata share for market transformation activities, added 2,082 </w:t>
      </w:r>
      <w:proofErr w:type="spellStart"/>
      <w:r w:rsidR="00EC2041" w:rsidRPr="004454CF">
        <w:rPr>
          <w:rFonts w:ascii="Times New Roman" w:hAnsi="Times New Roman" w:cs="Times New Roman"/>
          <w:sz w:val="24"/>
          <w:szCs w:val="24"/>
        </w:rPr>
        <w:t>MWh</w:t>
      </w:r>
      <w:proofErr w:type="spellEnd"/>
      <w:r w:rsidR="00EC2041" w:rsidRPr="004454CF">
        <w:rPr>
          <w:rFonts w:ascii="Times New Roman" w:hAnsi="Times New Roman" w:cs="Times New Roman"/>
          <w:sz w:val="24"/>
          <w:szCs w:val="24"/>
        </w:rPr>
        <w:t xml:space="preserve"> for distribution and street light efficiency, and added</w:t>
      </w:r>
      <w:r w:rsidR="003E2409" w:rsidRPr="004454CF">
        <w:rPr>
          <w:rFonts w:ascii="Times New Roman" w:hAnsi="Times New Roman" w:cs="Times New Roman"/>
          <w:sz w:val="24"/>
          <w:szCs w:val="24"/>
        </w:rPr>
        <w:t xml:space="preserve"> 151 </w:t>
      </w:r>
      <w:proofErr w:type="spellStart"/>
      <w:r w:rsidR="003E2409" w:rsidRPr="004454CF">
        <w:rPr>
          <w:rFonts w:ascii="Times New Roman" w:hAnsi="Times New Roman" w:cs="Times New Roman"/>
          <w:sz w:val="24"/>
          <w:szCs w:val="24"/>
        </w:rPr>
        <w:t>MWh</w:t>
      </w:r>
      <w:proofErr w:type="spellEnd"/>
      <w:r w:rsidR="003E2409" w:rsidRPr="004454CF">
        <w:rPr>
          <w:rFonts w:ascii="Times New Roman" w:hAnsi="Times New Roman" w:cs="Times New Roman"/>
          <w:sz w:val="24"/>
          <w:szCs w:val="24"/>
        </w:rPr>
        <w:t xml:space="preserve"> for generation efficiency. The final adjusted EIA target</w:t>
      </w:r>
      <w:r w:rsidR="00AE6C9C" w:rsidRPr="004454CF">
        <w:rPr>
          <w:rFonts w:ascii="Times New Roman" w:hAnsi="Times New Roman" w:cs="Times New Roman"/>
          <w:sz w:val="24"/>
          <w:szCs w:val="24"/>
        </w:rPr>
        <w:t xml:space="preserve">, as proposed by Avista, is 72,461 </w:t>
      </w:r>
      <w:proofErr w:type="spellStart"/>
      <w:r w:rsidR="00AE6C9C" w:rsidRPr="004454CF">
        <w:rPr>
          <w:rFonts w:ascii="Times New Roman" w:hAnsi="Times New Roman" w:cs="Times New Roman"/>
          <w:sz w:val="24"/>
          <w:szCs w:val="24"/>
        </w:rPr>
        <w:t>MWh</w:t>
      </w:r>
      <w:proofErr w:type="spellEnd"/>
      <w:r w:rsidR="00AE6C9C" w:rsidRPr="004454CF">
        <w:rPr>
          <w:rFonts w:ascii="Times New Roman" w:hAnsi="Times New Roman" w:cs="Times New Roman"/>
          <w:sz w:val="24"/>
          <w:szCs w:val="24"/>
        </w:rPr>
        <w:t xml:space="preserve">. </w:t>
      </w:r>
      <w:r w:rsidR="00F76E8F" w:rsidRPr="004454CF">
        <w:rPr>
          <w:rFonts w:ascii="Times New Roman" w:hAnsi="Times New Roman" w:cs="Times New Roman"/>
          <w:sz w:val="24"/>
          <w:szCs w:val="24"/>
        </w:rPr>
        <w:t>This number is adjusted in the table below to reflect the correct starting point.</w:t>
      </w:r>
    </w:p>
    <w:p w14:paraId="1EB348B8" w14:textId="326A480F" w:rsidR="00A83DD6" w:rsidRPr="004454CF" w:rsidRDefault="00A83DD6" w:rsidP="00111BC5">
      <w:pPr>
        <w:rPr>
          <w:rFonts w:ascii="Times New Roman" w:hAnsi="Times New Roman" w:cs="Times New Roman"/>
          <w:sz w:val="24"/>
          <w:szCs w:val="24"/>
        </w:rPr>
      </w:pPr>
    </w:p>
    <w:p w14:paraId="14B8961B" w14:textId="13B44E46" w:rsidR="00A83DD6" w:rsidRPr="004454CF" w:rsidRDefault="00A83DD6" w:rsidP="00A83DD6">
      <w:pPr>
        <w:pStyle w:val="Caption"/>
      </w:pPr>
      <w:r w:rsidRPr="004454CF">
        <w:t xml:space="preserve">Table </w:t>
      </w:r>
      <w:r w:rsidR="00EC664B" w:rsidRPr="004454CF">
        <w:t>2</w:t>
      </w:r>
      <w:r w:rsidRPr="004454CF">
        <w:t>. Avista Conservation Savings and Budgets</w:t>
      </w:r>
      <w:r w:rsidR="00360DFC" w:rsidRPr="004454CF">
        <w:t xml:space="preserve"> (subject to change)</w:t>
      </w:r>
    </w:p>
    <w:tbl>
      <w:tblPr>
        <w:tblStyle w:val="TableGrid"/>
        <w:tblW w:w="0" w:type="auto"/>
        <w:tblInd w:w="0" w:type="dxa"/>
        <w:tblLook w:val="04A0" w:firstRow="1" w:lastRow="0" w:firstColumn="1" w:lastColumn="0" w:noHBand="0" w:noVBand="1"/>
      </w:tblPr>
      <w:tblGrid>
        <w:gridCol w:w="1682"/>
        <w:gridCol w:w="1927"/>
        <w:gridCol w:w="1909"/>
        <w:gridCol w:w="1857"/>
        <w:gridCol w:w="1975"/>
      </w:tblGrid>
      <w:tr w:rsidR="00A83DD6" w:rsidRPr="004454CF" w14:paraId="44AB134B" w14:textId="77777777" w:rsidTr="00771E77">
        <w:tc>
          <w:tcPr>
            <w:tcW w:w="1682" w:type="dxa"/>
            <w:tcBorders>
              <w:top w:val="single" w:sz="4" w:space="0" w:color="auto"/>
              <w:left w:val="single" w:sz="4" w:space="0" w:color="auto"/>
              <w:bottom w:val="single" w:sz="4" w:space="0" w:color="auto"/>
              <w:right w:val="single" w:sz="4" w:space="0" w:color="auto"/>
            </w:tcBorders>
          </w:tcPr>
          <w:p w14:paraId="08633CC3" w14:textId="77777777" w:rsidR="00A83DD6" w:rsidRPr="004454CF" w:rsidRDefault="00A83DD6" w:rsidP="00771E77">
            <w:pPr>
              <w:jc w:val="center"/>
              <w:rPr>
                <w:rFonts w:ascii="Times New Roman" w:hAnsi="Times New Roman" w:cs="Times New Roman"/>
                <w:b/>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14:paraId="621ECC18" w14:textId="77777777" w:rsidR="00A83DD6" w:rsidRPr="004454CF" w:rsidRDefault="00A83DD6" w:rsidP="00771E77">
            <w:pPr>
              <w:jc w:val="center"/>
              <w:rPr>
                <w:rFonts w:ascii="Times New Roman" w:hAnsi="Times New Roman" w:cs="Times New Roman"/>
                <w:b/>
                <w:sz w:val="24"/>
                <w:szCs w:val="24"/>
              </w:rPr>
            </w:pPr>
            <w:r w:rsidRPr="004454CF">
              <w:rPr>
                <w:rFonts w:ascii="Times New Roman" w:hAnsi="Times New Roman" w:cs="Times New Roman"/>
                <w:b/>
                <w:sz w:val="24"/>
                <w:szCs w:val="24"/>
              </w:rPr>
              <w:t>2014-2015 Biennial Target</w:t>
            </w:r>
          </w:p>
        </w:tc>
        <w:tc>
          <w:tcPr>
            <w:tcW w:w="1909" w:type="dxa"/>
            <w:tcBorders>
              <w:top w:val="single" w:sz="4" w:space="0" w:color="auto"/>
              <w:left w:val="single" w:sz="4" w:space="0" w:color="auto"/>
              <w:bottom w:val="single" w:sz="4" w:space="0" w:color="auto"/>
              <w:right w:val="single" w:sz="4" w:space="0" w:color="auto"/>
            </w:tcBorders>
            <w:hideMark/>
          </w:tcPr>
          <w:p w14:paraId="5288AAF4" w14:textId="77777777" w:rsidR="00A83DD6" w:rsidRPr="004454CF" w:rsidRDefault="00A83DD6" w:rsidP="00771E77">
            <w:pPr>
              <w:jc w:val="center"/>
              <w:rPr>
                <w:rFonts w:ascii="Times New Roman" w:hAnsi="Times New Roman" w:cs="Times New Roman"/>
                <w:b/>
                <w:sz w:val="24"/>
                <w:szCs w:val="24"/>
              </w:rPr>
            </w:pPr>
            <w:r w:rsidRPr="004454CF">
              <w:rPr>
                <w:rFonts w:ascii="Times New Roman" w:hAnsi="Times New Roman" w:cs="Times New Roman"/>
                <w:b/>
                <w:sz w:val="24"/>
                <w:szCs w:val="24"/>
              </w:rPr>
              <w:t>2016-2025</w:t>
            </w:r>
          </w:p>
          <w:p w14:paraId="6013449B" w14:textId="77777777" w:rsidR="00A83DD6" w:rsidRPr="004454CF" w:rsidRDefault="00A83DD6" w:rsidP="00771E77">
            <w:pPr>
              <w:jc w:val="center"/>
              <w:rPr>
                <w:rFonts w:ascii="Times New Roman" w:hAnsi="Times New Roman" w:cs="Times New Roman"/>
                <w:b/>
                <w:sz w:val="24"/>
                <w:szCs w:val="24"/>
              </w:rPr>
            </w:pPr>
            <w:r w:rsidRPr="004454CF">
              <w:rPr>
                <w:rFonts w:ascii="Times New Roman" w:hAnsi="Times New Roman" w:cs="Times New Roman"/>
                <w:b/>
                <w:sz w:val="24"/>
                <w:szCs w:val="24"/>
              </w:rPr>
              <w:t>10-year potential</w:t>
            </w:r>
          </w:p>
        </w:tc>
        <w:tc>
          <w:tcPr>
            <w:tcW w:w="1857" w:type="dxa"/>
            <w:tcBorders>
              <w:top w:val="single" w:sz="4" w:space="0" w:color="auto"/>
              <w:left w:val="single" w:sz="4" w:space="0" w:color="auto"/>
              <w:bottom w:val="single" w:sz="4" w:space="0" w:color="auto"/>
              <w:right w:val="single" w:sz="4" w:space="0" w:color="auto"/>
            </w:tcBorders>
            <w:hideMark/>
          </w:tcPr>
          <w:p w14:paraId="5E3BD2B6" w14:textId="77777777" w:rsidR="00A83DD6" w:rsidRPr="004454CF" w:rsidRDefault="00A83DD6" w:rsidP="00771E77">
            <w:pPr>
              <w:jc w:val="center"/>
              <w:rPr>
                <w:rFonts w:ascii="Times New Roman" w:hAnsi="Times New Roman" w:cs="Times New Roman"/>
                <w:b/>
                <w:sz w:val="24"/>
                <w:szCs w:val="24"/>
              </w:rPr>
            </w:pPr>
            <w:r w:rsidRPr="004454CF">
              <w:rPr>
                <w:rFonts w:ascii="Times New Roman" w:hAnsi="Times New Roman" w:cs="Times New Roman"/>
                <w:b/>
                <w:sz w:val="24"/>
                <w:szCs w:val="24"/>
              </w:rPr>
              <w:t>2016-2017 Biennial Target</w:t>
            </w:r>
          </w:p>
        </w:tc>
        <w:tc>
          <w:tcPr>
            <w:tcW w:w="1975" w:type="dxa"/>
            <w:tcBorders>
              <w:top w:val="single" w:sz="4" w:space="0" w:color="auto"/>
              <w:left w:val="single" w:sz="4" w:space="0" w:color="auto"/>
              <w:bottom w:val="single" w:sz="4" w:space="0" w:color="auto"/>
              <w:right w:val="single" w:sz="4" w:space="0" w:color="auto"/>
            </w:tcBorders>
            <w:hideMark/>
          </w:tcPr>
          <w:p w14:paraId="380F793E" w14:textId="77777777" w:rsidR="00A83DD6" w:rsidRPr="004454CF" w:rsidRDefault="00A83DD6" w:rsidP="00771E77">
            <w:pPr>
              <w:jc w:val="center"/>
              <w:rPr>
                <w:rFonts w:ascii="Times New Roman" w:hAnsi="Times New Roman" w:cs="Times New Roman"/>
                <w:b/>
                <w:sz w:val="24"/>
                <w:szCs w:val="24"/>
              </w:rPr>
            </w:pPr>
            <w:r w:rsidRPr="004454CF">
              <w:rPr>
                <w:rFonts w:ascii="Times New Roman" w:hAnsi="Times New Roman" w:cs="Times New Roman"/>
                <w:b/>
                <w:sz w:val="24"/>
                <w:szCs w:val="24"/>
              </w:rPr>
              <w:t>2016-2017 Portfolio Total</w:t>
            </w:r>
            <w:r w:rsidRPr="004454CF">
              <w:rPr>
                <w:rStyle w:val="FootnoteReference"/>
                <w:rFonts w:ascii="Times New Roman" w:hAnsi="Times New Roman" w:cs="Times New Roman"/>
                <w:b/>
                <w:sz w:val="24"/>
                <w:szCs w:val="24"/>
              </w:rPr>
              <w:footnoteReference w:id="20"/>
            </w:r>
          </w:p>
        </w:tc>
      </w:tr>
      <w:tr w:rsidR="00A83DD6" w:rsidRPr="004454CF" w14:paraId="4833A6BA" w14:textId="77777777" w:rsidTr="00771E77">
        <w:trPr>
          <w:trHeight w:val="638"/>
        </w:trPr>
        <w:tc>
          <w:tcPr>
            <w:tcW w:w="1682" w:type="dxa"/>
            <w:tcBorders>
              <w:top w:val="single" w:sz="4" w:space="0" w:color="auto"/>
              <w:left w:val="single" w:sz="4" w:space="0" w:color="auto"/>
              <w:bottom w:val="single" w:sz="4" w:space="0" w:color="auto"/>
              <w:right w:val="single" w:sz="4" w:space="0" w:color="auto"/>
            </w:tcBorders>
            <w:hideMark/>
          </w:tcPr>
          <w:p w14:paraId="721000EE" w14:textId="77777777" w:rsidR="00A83DD6" w:rsidRPr="004454CF" w:rsidRDefault="00A83DD6" w:rsidP="00771E77">
            <w:pPr>
              <w:rPr>
                <w:rFonts w:ascii="Times New Roman" w:hAnsi="Times New Roman" w:cs="Times New Roman"/>
                <w:b/>
                <w:sz w:val="24"/>
                <w:szCs w:val="24"/>
              </w:rPr>
            </w:pPr>
            <w:r w:rsidRPr="004454CF">
              <w:rPr>
                <w:rFonts w:ascii="Times New Roman" w:hAnsi="Times New Roman" w:cs="Times New Roman"/>
                <w:b/>
                <w:sz w:val="24"/>
                <w:szCs w:val="24"/>
              </w:rPr>
              <w:t>Savings</w:t>
            </w:r>
          </w:p>
        </w:tc>
        <w:tc>
          <w:tcPr>
            <w:tcW w:w="1927" w:type="dxa"/>
            <w:tcBorders>
              <w:top w:val="single" w:sz="4" w:space="0" w:color="auto"/>
              <w:left w:val="single" w:sz="4" w:space="0" w:color="auto"/>
              <w:bottom w:val="single" w:sz="4" w:space="0" w:color="auto"/>
              <w:right w:val="single" w:sz="4" w:space="0" w:color="auto"/>
            </w:tcBorders>
            <w:vAlign w:val="center"/>
            <w:hideMark/>
          </w:tcPr>
          <w:p w14:paraId="6B009EBF" w14:textId="179CDB02" w:rsidR="00A83DD6" w:rsidRPr="004454CF" w:rsidRDefault="00F520B6" w:rsidP="00771E77">
            <w:pPr>
              <w:jc w:val="center"/>
              <w:rPr>
                <w:rFonts w:ascii="Times New Roman" w:hAnsi="Times New Roman" w:cs="Times New Roman"/>
                <w:sz w:val="24"/>
                <w:szCs w:val="24"/>
              </w:rPr>
            </w:pPr>
            <w:r w:rsidRPr="004454CF">
              <w:rPr>
                <w:rFonts w:ascii="Times New Roman" w:hAnsi="Times New Roman" w:cs="Times New Roman"/>
                <w:sz w:val="24"/>
                <w:szCs w:val="24"/>
              </w:rPr>
              <w:t>64,956</w:t>
            </w:r>
            <w:r w:rsidR="00A83DD6" w:rsidRPr="004454CF">
              <w:rPr>
                <w:rFonts w:ascii="Times New Roman" w:hAnsi="Times New Roman" w:cs="Times New Roman"/>
                <w:sz w:val="24"/>
                <w:szCs w:val="24"/>
              </w:rPr>
              <w:t xml:space="preserve"> </w:t>
            </w:r>
            <w:proofErr w:type="spellStart"/>
            <w:r w:rsidR="00A83DD6" w:rsidRPr="004454CF">
              <w:rPr>
                <w:rFonts w:ascii="Times New Roman" w:hAnsi="Times New Roman" w:cs="Times New Roman"/>
                <w:sz w:val="24"/>
                <w:szCs w:val="24"/>
              </w:rPr>
              <w:t>MWh</w:t>
            </w:r>
            <w:proofErr w:type="spellEnd"/>
          </w:p>
          <w:p w14:paraId="11D701FF" w14:textId="778A9532" w:rsidR="00A83DD6" w:rsidRPr="004454CF" w:rsidRDefault="00A83DD6" w:rsidP="00771E77">
            <w:pPr>
              <w:jc w:val="center"/>
              <w:rPr>
                <w:rFonts w:ascii="Times New Roman" w:hAnsi="Times New Roman" w:cs="Times New Roman"/>
                <w:sz w:val="24"/>
                <w:szCs w:val="24"/>
              </w:rPr>
            </w:pPr>
            <w:r w:rsidRPr="004454CF">
              <w:rPr>
                <w:rFonts w:ascii="Times New Roman" w:hAnsi="Times New Roman" w:cs="Times New Roman"/>
                <w:sz w:val="24"/>
                <w:szCs w:val="24"/>
              </w:rPr>
              <w:t>(</w:t>
            </w:r>
            <w:r w:rsidR="00F520B6" w:rsidRPr="004454CF">
              <w:rPr>
                <w:rFonts w:ascii="Times New Roman" w:hAnsi="Times New Roman" w:cs="Times New Roman"/>
                <w:sz w:val="24"/>
                <w:szCs w:val="24"/>
              </w:rPr>
              <w:t>7.4</w:t>
            </w:r>
            <w:r w:rsidRPr="004454CF">
              <w:rPr>
                <w:rFonts w:ascii="Times New Roman" w:hAnsi="Times New Roman" w:cs="Times New Roman"/>
                <w:sz w:val="24"/>
                <w:szCs w:val="24"/>
              </w:rPr>
              <w:t xml:space="preserve"> </w:t>
            </w:r>
            <w:proofErr w:type="spellStart"/>
            <w:r w:rsidRPr="004454CF">
              <w:rPr>
                <w:rFonts w:ascii="Times New Roman" w:hAnsi="Times New Roman" w:cs="Times New Roman"/>
                <w:sz w:val="24"/>
                <w:szCs w:val="24"/>
              </w:rPr>
              <w:t>aMW</w:t>
            </w:r>
            <w:proofErr w:type="spellEnd"/>
            <w:r w:rsidRPr="004454CF">
              <w:rPr>
                <w:rFonts w:ascii="Times New Roman" w:hAnsi="Times New Roman" w:cs="Times New Roman"/>
                <w:sz w:val="24"/>
                <w:szCs w:val="24"/>
              </w:rPr>
              <w:t>)</w:t>
            </w:r>
          </w:p>
        </w:tc>
        <w:tc>
          <w:tcPr>
            <w:tcW w:w="1909" w:type="dxa"/>
            <w:tcBorders>
              <w:top w:val="single" w:sz="4" w:space="0" w:color="auto"/>
              <w:left w:val="single" w:sz="4" w:space="0" w:color="auto"/>
              <w:bottom w:val="single" w:sz="4" w:space="0" w:color="auto"/>
              <w:right w:val="single" w:sz="4" w:space="0" w:color="auto"/>
            </w:tcBorders>
            <w:vAlign w:val="center"/>
            <w:hideMark/>
          </w:tcPr>
          <w:p w14:paraId="007449D0" w14:textId="266C92CA" w:rsidR="00A83DD6" w:rsidRPr="004454CF" w:rsidRDefault="007A1AAD" w:rsidP="00771E77">
            <w:pPr>
              <w:jc w:val="center"/>
              <w:rPr>
                <w:rFonts w:ascii="Times New Roman" w:hAnsi="Times New Roman" w:cs="Times New Roman"/>
                <w:sz w:val="24"/>
                <w:szCs w:val="24"/>
              </w:rPr>
            </w:pPr>
            <w:r w:rsidRPr="004454CF">
              <w:rPr>
                <w:rFonts w:ascii="Times New Roman" w:hAnsi="Times New Roman" w:cs="Times New Roman"/>
                <w:sz w:val="24"/>
                <w:szCs w:val="24"/>
              </w:rPr>
              <w:t>391,000</w:t>
            </w:r>
            <w:r w:rsidR="00360DFC" w:rsidRPr="004454CF">
              <w:rPr>
                <w:rFonts w:ascii="Times New Roman" w:hAnsi="Times New Roman" w:cs="Times New Roman"/>
                <w:sz w:val="24"/>
                <w:szCs w:val="24"/>
              </w:rPr>
              <w:t xml:space="preserve"> </w:t>
            </w:r>
            <w:proofErr w:type="spellStart"/>
            <w:r w:rsidR="00360DFC" w:rsidRPr="004454CF">
              <w:rPr>
                <w:rFonts w:ascii="Times New Roman" w:hAnsi="Times New Roman" w:cs="Times New Roman"/>
                <w:sz w:val="24"/>
                <w:szCs w:val="24"/>
              </w:rPr>
              <w:t>MWh</w:t>
            </w:r>
            <w:proofErr w:type="spellEnd"/>
          </w:p>
          <w:p w14:paraId="0840708E" w14:textId="2E4810A6" w:rsidR="00A83DD6" w:rsidRPr="004454CF" w:rsidRDefault="00A83DD6" w:rsidP="00771E77">
            <w:pPr>
              <w:jc w:val="center"/>
              <w:rPr>
                <w:rFonts w:ascii="Times New Roman" w:hAnsi="Times New Roman" w:cs="Times New Roman"/>
                <w:sz w:val="24"/>
                <w:szCs w:val="24"/>
              </w:rPr>
            </w:pPr>
            <w:r w:rsidRPr="004454CF">
              <w:rPr>
                <w:rFonts w:ascii="Times New Roman" w:hAnsi="Times New Roman" w:cs="Times New Roman"/>
                <w:sz w:val="24"/>
                <w:szCs w:val="24"/>
              </w:rPr>
              <w:t>(</w:t>
            </w:r>
            <w:r w:rsidR="007A1AAD" w:rsidRPr="004454CF">
              <w:rPr>
                <w:rFonts w:ascii="Times New Roman" w:hAnsi="Times New Roman" w:cs="Times New Roman"/>
                <w:sz w:val="24"/>
                <w:szCs w:val="24"/>
              </w:rPr>
              <w:t>44.6</w:t>
            </w:r>
            <w:r w:rsidRPr="004454CF">
              <w:rPr>
                <w:rFonts w:ascii="Times New Roman" w:hAnsi="Times New Roman" w:cs="Times New Roman"/>
                <w:sz w:val="24"/>
                <w:szCs w:val="24"/>
              </w:rPr>
              <w:t xml:space="preserve"> </w:t>
            </w:r>
            <w:proofErr w:type="spellStart"/>
            <w:r w:rsidRPr="004454CF">
              <w:rPr>
                <w:rFonts w:ascii="Times New Roman" w:hAnsi="Times New Roman" w:cs="Times New Roman"/>
                <w:sz w:val="24"/>
                <w:szCs w:val="24"/>
              </w:rPr>
              <w:t>aMW</w:t>
            </w:r>
            <w:proofErr w:type="spellEnd"/>
            <w:r w:rsidRPr="004454CF">
              <w:rPr>
                <w:rFonts w:ascii="Times New Roman" w:hAnsi="Times New Roman" w:cs="Times New Roman"/>
                <w:sz w:val="24"/>
                <w:szCs w:val="24"/>
              </w:rPr>
              <w:t>)</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B2AAFB6" w14:textId="1DB36BCD" w:rsidR="00A83DD6" w:rsidRPr="004454CF" w:rsidRDefault="007A1AAD" w:rsidP="00771E77">
            <w:pPr>
              <w:jc w:val="center"/>
              <w:rPr>
                <w:rFonts w:ascii="Times New Roman" w:hAnsi="Times New Roman" w:cs="Times New Roman"/>
                <w:sz w:val="24"/>
                <w:szCs w:val="24"/>
              </w:rPr>
            </w:pPr>
            <w:r w:rsidRPr="004454CF">
              <w:rPr>
                <w:rFonts w:ascii="Times New Roman" w:hAnsi="Times New Roman" w:cs="Times New Roman"/>
                <w:sz w:val="24"/>
                <w:szCs w:val="24"/>
              </w:rPr>
              <w:t>72,461</w:t>
            </w:r>
            <w:r w:rsidR="00A83DD6" w:rsidRPr="004454CF">
              <w:rPr>
                <w:rFonts w:ascii="Times New Roman" w:hAnsi="Times New Roman" w:cs="Times New Roman"/>
                <w:sz w:val="24"/>
                <w:szCs w:val="24"/>
              </w:rPr>
              <w:t xml:space="preserve"> </w:t>
            </w:r>
            <w:proofErr w:type="spellStart"/>
            <w:r w:rsidR="00A83DD6" w:rsidRPr="004454CF">
              <w:rPr>
                <w:rFonts w:ascii="Times New Roman" w:hAnsi="Times New Roman" w:cs="Times New Roman"/>
                <w:sz w:val="24"/>
                <w:szCs w:val="24"/>
              </w:rPr>
              <w:t>MWh</w:t>
            </w:r>
            <w:proofErr w:type="spellEnd"/>
          </w:p>
          <w:p w14:paraId="1FA399F8" w14:textId="7B53037F" w:rsidR="00A83DD6" w:rsidRPr="004454CF" w:rsidRDefault="007A1AAD" w:rsidP="00771E77">
            <w:pPr>
              <w:jc w:val="center"/>
              <w:rPr>
                <w:rFonts w:ascii="Times New Roman" w:hAnsi="Times New Roman" w:cs="Times New Roman"/>
                <w:sz w:val="24"/>
                <w:szCs w:val="24"/>
              </w:rPr>
            </w:pPr>
            <w:r w:rsidRPr="004454CF">
              <w:rPr>
                <w:rFonts w:ascii="Times New Roman" w:hAnsi="Times New Roman" w:cs="Times New Roman"/>
                <w:sz w:val="24"/>
                <w:szCs w:val="24"/>
              </w:rPr>
              <w:t>(</w:t>
            </w:r>
            <w:r w:rsidR="00B37113" w:rsidRPr="004454CF">
              <w:rPr>
                <w:rFonts w:ascii="Times New Roman" w:hAnsi="Times New Roman" w:cs="Times New Roman"/>
                <w:sz w:val="24"/>
                <w:szCs w:val="24"/>
              </w:rPr>
              <w:t>8.3</w:t>
            </w:r>
            <w:r w:rsidR="00A83DD6" w:rsidRPr="004454CF">
              <w:rPr>
                <w:rFonts w:ascii="Times New Roman" w:hAnsi="Times New Roman" w:cs="Times New Roman"/>
                <w:sz w:val="24"/>
                <w:szCs w:val="24"/>
              </w:rPr>
              <w:t xml:space="preserve"> </w:t>
            </w:r>
            <w:proofErr w:type="spellStart"/>
            <w:r w:rsidR="00A83DD6" w:rsidRPr="004454CF">
              <w:rPr>
                <w:rFonts w:ascii="Times New Roman" w:hAnsi="Times New Roman" w:cs="Times New Roman"/>
                <w:sz w:val="24"/>
                <w:szCs w:val="24"/>
              </w:rPr>
              <w:t>aMW</w:t>
            </w:r>
            <w:proofErr w:type="spellEnd"/>
            <w:r w:rsidR="00A83DD6" w:rsidRPr="004454CF">
              <w:rPr>
                <w:rFonts w:ascii="Times New Roman" w:hAnsi="Times New Roman" w:cs="Times New Roman"/>
                <w:sz w:val="24"/>
                <w:szCs w:val="24"/>
              </w:rPr>
              <w:t>)</w:t>
            </w:r>
          </w:p>
        </w:tc>
        <w:tc>
          <w:tcPr>
            <w:tcW w:w="1975" w:type="dxa"/>
            <w:tcBorders>
              <w:top w:val="single" w:sz="4" w:space="0" w:color="auto"/>
              <w:left w:val="single" w:sz="4" w:space="0" w:color="auto"/>
              <w:bottom w:val="single" w:sz="4" w:space="0" w:color="auto"/>
              <w:right w:val="single" w:sz="4" w:space="0" w:color="auto"/>
            </w:tcBorders>
            <w:vAlign w:val="center"/>
            <w:hideMark/>
          </w:tcPr>
          <w:p w14:paraId="62568DCE" w14:textId="073B537E" w:rsidR="00A83DD6" w:rsidRPr="004454CF" w:rsidRDefault="007A1AAD" w:rsidP="00771E77">
            <w:pPr>
              <w:jc w:val="center"/>
              <w:rPr>
                <w:rFonts w:ascii="Times New Roman" w:hAnsi="Times New Roman" w:cs="Times New Roman"/>
                <w:sz w:val="24"/>
                <w:szCs w:val="24"/>
              </w:rPr>
            </w:pPr>
            <w:r w:rsidRPr="004454CF">
              <w:rPr>
                <w:rFonts w:ascii="Times New Roman" w:hAnsi="Times New Roman" w:cs="Times New Roman"/>
                <w:sz w:val="24"/>
                <w:szCs w:val="24"/>
              </w:rPr>
              <w:t>78,681</w:t>
            </w:r>
            <w:r w:rsidR="00A83DD6" w:rsidRPr="004454CF">
              <w:rPr>
                <w:rFonts w:ascii="Times New Roman" w:hAnsi="Times New Roman" w:cs="Times New Roman"/>
                <w:sz w:val="24"/>
                <w:szCs w:val="24"/>
              </w:rPr>
              <w:t xml:space="preserve"> </w:t>
            </w:r>
            <w:proofErr w:type="spellStart"/>
            <w:r w:rsidR="00A83DD6" w:rsidRPr="004454CF">
              <w:rPr>
                <w:rFonts w:ascii="Times New Roman" w:hAnsi="Times New Roman" w:cs="Times New Roman"/>
                <w:sz w:val="24"/>
                <w:szCs w:val="24"/>
              </w:rPr>
              <w:t>MWh</w:t>
            </w:r>
            <w:proofErr w:type="spellEnd"/>
          </w:p>
          <w:p w14:paraId="2D8AFDB4" w14:textId="3ABA1B85" w:rsidR="00A83DD6" w:rsidRPr="004454CF" w:rsidRDefault="00B37113" w:rsidP="00771E77">
            <w:pPr>
              <w:jc w:val="center"/>
              <w:rPr>
                <w:rFonts w:ascii="Times New Roman" w:hAnsi="Times New Roman" w:cs="Times New Roman"/>
                <w:sz w:val="24"/>
                <w:szCs w:val="24"/>
              </w:rPr>
            </w:pPr>
            <w:r w:rsidRPr="004454CF">
              <w:rPr>
                <w:rFonts w:ascii="Times New Roman" w:hAnsi="Times New Roman" w:cs="Times New Roman"/>
                <w:sz w:val="24"/>
                <w:szCs w:val="24"/>
              </w:rPr>
              <w:t>(9.0</w:t>
            </w:r>
            <w:r w:rsidR="00A83DD6" w:rsidRPr="004454CF">
              <w:rPr>
                <w:rFonts w:ascii="Times New Roman" w:hAnsi="Times New Roman" w:cs="Times New Roman"/>
                <w:sz w:val="24"/>
                <w:szCs w:val="24"/>
              </w:rPr>
              <w:t xml:space="preserve"> </w:t>
            </w:r>
            <w:proofErr w:type="spellStart"/>
            <w:r w:rsidR="00A83DD6" w:rsidRPr="004454CF">
              <w:rPr>
                <w:rFonts w:ascii="Times New Roman" w:hAnsi="Times New Roman" w:cs="Times New Roman"/>
                <w:sz w:val="24"/>
                <w:szCs w:val="24"/>
              </w:rPr>
              <w:t>aMW</w:t>
            </w:r>
            <w:proofErr w:type="spellEnd"/>
            <w:r w:rsidR="00A83DD6" w:rsidRPr="004454CF">
              <w:rPr>
                <w:rFonts w:ascii="Times New Roman" w:hAnsi="Times New Roman" w:cs="Times New Roman"/>
                <w:sz w:val="24"/>
                <w:szCs w:val="24"/>
              </w:rPr>
              <w:t>)</w:t>
            </w:r>
          </w:p>
        </w:tc>
      </w:tr>
      <w:tr w:rsidR="00A83DD6" w:rsidRPr="004454CF" w14:paraId="336AFBF6" w14:textId="77777777" w:rsidTr="00771E77">
        <w:trPr>
          <w:trHeight w:val="350"/>
        </w:trPr>
        <w:tc>
          <w:tcPr>
            <w:tcW w:w="1682" w:type="dxa"/>
            <w:tcBorders>
              <w:top w:val="single" w:sz="4" w:space="0" w:color="auto"/>
              <w:left w:val="single" w:sz="4" w:space="0" w:color="auto"/>
              <w:bottom w:val="single" w:sz="4" w:space="0" w:color="auto"/>
              <w:right w:val="single" w:sz="4" w:space="0" w:color="auto"/>
            </w:tcBorders>
            <w:hideMark/>
          </w:tcPr>
          <w:p w14:paraId="008FFA3A" w14:textId="77777777" w:rsidR="00A83DD6" w:rsidRPr="004454CF" w:rsidRDefault="00A83DD6" w:rsidP="00771E77">
            <w:pPr>
              <w:rPr>
                <w:rFonts w:ascii="Times New Roman" w:hAnsi="Times New Roman" w:cs="Times New Roman"/>
                <w:b/>
                <w:sz w:val="24"/>
                <w:szCs w:val="24"/>
              </w:rPr>
            </w:pPr>
            <w:r w:rsidRPr="004454CF">
              <w:rPr>
                <w:rFonts w:ascii="Times New Roman" w:hAnsi="Times New Roman" w:cs="Times New Roman"/>
                <w:b/>
                <w:sz w:val="24"/>
                <w:szCs w:val="24"/>
              </w:rPr>
              <w:t>Budget</w:t>
            </w:r>
          </w:p>
        </w:tc>
        <w:tc>
          <w:tcPr>
            <w:tcW w:w="1927" w:type="dxa"/>
            <w:tcBorders>
              <w:top w:val="single" w:sz="4" w:space="0" w:color="auto"/>
              <w:left w:val="single" w:sz="4" w:space="0" w:color="auto"/>
              <w:bottom w:val="single" w:sz="4" w:space="0" w:color="auto"/>
              <w:right w:val="single" w:sz="4" w:space="0" w:color="auto"/>
            </w:tcBorders>
            <w:vAlign w:val="center"/>
            <w:hideMark/>
          </w:tcPr>
          <w:p w14:paraId="2E7F2F94" w14:textId="7860E45A" w:rsidR="00A83DD6" w:rsidRPr="004454CF" w:rsidRDefault="00A83DD6" w:rsidP="00771E77">
            <w:pPr>
              <w:jc w:val="center"/>
              <w:rPr>
                <w:rFonts w:ascii="Times New Roman" w:hAnsi="Times New Roman" w:cs="Times New Roman"/>
                <w:sz w:val="24"/>
                <w:szCs w:val="24"/>
              </w:rPr>
            </w:pPr>
            <w:r w:rsidRPr="004454CF">
              <w:rPr>
                <w:rFonts w:ascii="Times New Roman" w:hAnsi="Times New Roman" w:cs="Times New Roman"/>
                <w:sz w:val="24"/>
                <w:szCs w:val="24"/>
              </w:rPr>
              <w:t>$</w:t>
            </w:r>
            <w:r w:rsidR="00B14679" w:rsidRPr="004454CF">
              <w:rPr>
                <w:rFonts w:ascii="Times New Roman" w:hAnsi="Times New Roman" w:cs="Times New Roman"/>
                <w:sz w:val="24"/>
                <w:szCs w:val="24"/>
              </w:rPr>
              <w:t>22,107,757</w:t>
            </w:r>
          </w:p>
        </w:tc>
        <w:tc>
          <w:tcPr>
            <w:tcW w:w="1909" w:type="dxa"/>
            <w:tcBorders>
              <w:top w:val="single" w:sz="4" w:space="0" w:color="auto"/>
              <w:left w:val="single" w:sz="4" w:space="0" w:color="auto"/>
              <w:bottom w:val="single" w:sz="4" w:space="0" w:color="auto"/>
              <w:right w:val="single" w:sz="4" w:space="0" w:color="auto"/>
            </w:tcBorders>
            <w:vAlign w:val="center"/>
            <w:hideMark/>
          </w:tcPr>
          <w:p w14:paraId="6051168F" w14:textId="77777777" w:rsidR="00A83DD6" w:rsidRPr="004454CF" w:rsidRDefault="00A83DD6" w:rsidP="00771E77">
            <w:pPr>
              <w:jc w:val="center"/>
              <w:rPr>
                <w:rFonts w:ascii="Times New Roman" w:hAnsi="Times New Roman" w:cs="Times New Roman"/>
                <w:sz w:val="24"/>
                <w:szCs w:val="24"/>
              </w:rPr>
            </w:pPr>
            <w:r w:rsidRPr="004454CF">
              <w:rPr>
                <w:rFonts w:ascii="Times New Roman" w:hAnsi="Times New Roman" w:cs="Times New Roman"/>
                <w:sz w:val="24"/>
                <w:szCs w:val="24"/>
              </w:rPr>
              <w:t>-</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1DB5078" w14:textId="77777777" w:rsidR="00A83DD6" w:rsidRPr="004454CF" w:rsidRDefault="00A83DD6" w:rsidP="00771E77">
            <w:pPr>
              <w:jc w:val="center"/>
              <w:rPr>
                <w:rFonts w:ascii="Times New Roman" w:hAnsi="Times New Roman" w:cs="Times New Roman"/>
                <w:sz w:val="24"/>
                <w:szCs w:val="24"/>
              </w:rPr>
            </w:pPr>
            <w:r w:rsidRPr="004454CF">
              <w:rPr>
                <w:rFonts w:ascii="Times New Roman" w:hAnsi="Times New Roman" w:cs="Times New Roman"/>
                <w:sz w:val="24"/>
                <w:szCs w:val="24"/>
              </w:rPr>
              <w:t>-</w:t>
            </w:r>
          </w:p>
        </w:tc>
        <w:tc>
          <w:tcPr>
            <w:tcW w:w="1975" w:type="dxa"/>
            <w:tcBorders>
              <w:top w:val="single" w:sz="4" w:space="0" w:color="auto"/>
              <w:left w:val="single" w:sz="4" w:space="0" w:color="auto"/>
              <w:bottom w:val="single" w:sz="4" w:space="0" w:color="auto"/>
              <w:right w:val="single" w:sz="4" w:space="0" w:color="auto"/>
            </w:tcBorders>
            <w:vAlign w:val="center"/>
            <w:hideMark/>
          </w:tcPr>
          <w:p w14:paraId="75AAC596" w14:textId="52BB0399" w:rsidR="00A83DD6" w:rsidRPr="004454CF" w:rsidRDefault="00A83DD6" w:rsidP="00771E77">
            <w:pPr>
              <w:jc w:val="center"/>
              <w:rPr>
                <w:rFonts w:ascii="Times New Roman" w:hAnsi="Times New Roman" w:cs="Times New Roman"/>
                <w:sz w:val="24"/>
                <w:szCs w:val="24"/>
              </w:rPr>
            </w:pPr>
            <w:r w:rsidRPr="004454CF">
              <w:rPr>
                <w:rFonts w:ascii="Times New Roman" w:hAnsi="Times New Roman" w:cs="Times New Roman"/>
                <w:sz w:val="24"/>
                <w:szCs w:val="24"/>
              </w:rPr>
              <w:t>$</w:t>
            </w:r>
            <w:r w:rsidR="00B14679" w:rsidRPr="004454CF">
              <w:rPr>
                <w:rFonts w:ascii="Times New Roman" w:hAnsi="Times New Roman" w:cs="Times New Roman"/>
                <w:sz w:val="24"/>
                <w:szCs w:val="24"/>
              </w:rPr>
              <w:t>25,880,000</w:t>
            </w:r>
          </w:p>
        </w:tc>
      </w:tr>
    </w:tbl>
    <w:p w14:paraId="304B0B5A" w14:textId="77777777" w:rsidR="00457A2C" w:rsidRPr="004454CF" w:rsidRDefault="00457A2C" w:rsidP="00111BC5">
      <w:pPr>
        <w:rPr>
          <w:rFonts w:ascii="Times New Roman" w:hAnsi="Times New Roman" w:cs="Times New Roman"/>
          <w:sz w:val="24"/>
          <w:szCs w:val="24"/>
        </w:rPr>
      </w:pPr>
    </w:p>
    <w:p w14:paraId="0ABE95D1" w14:textId="47E65781" w:rsidR="00457A2C" w:rsidRPr="004454CF" w:rsidRDefault="00771E77" w:rsidP="00111BC5">
      <w:pPr>
        <w:rPr>
          <w:rFonts w:ascii="Times New Roman" w:hAnsi="Times New Roman" w:cs="Times New Roman"/>
          <w:sz w:val="24"/>
          <w:szCs w:val="24"/>
        </w:rPr>
      </w:pPr>
      <w:r w:rsidRPr="004454CF">
        <w:rPr>
          <w:rFonts w:ascii="Times New Roman" w:hAnsi="Times New Roman" w:cs="Times New Roman"/>
          <w:sz w:val="24"/>
          <w:szCs w:val="24"/>
        </w:rPr>
        <w:t>Three</w:t>
      </w:r>
      <w:r w:rsidR="00457A2C" w:rsidRPr="004454CF">
        <w:rPr>
          <w:rFonts w:ascii="Times New Roman" w:hAnsi="Times New Roman" w:cs="Times New Roman"/>
          <w:sz w:val="24"/>
          <w:szCs w:val="24"/>
        </w:rPr>
        <w:t xml:space="preserve"> </w:t>
      </w:r>
      <w:r w:rsidRPr="004454CF">
        <w:rPr>
          <w:rFonts w:ascii="Times New Roman" w:hAnsi="Times New Roman" w:cs="Times New Roman"/>
          <w:sz w:val="24"/>
          <w:szCs w:val="24"/>
        </w:rPr>
        <w:t xml:space="preserve">substantive </w:t>
      </w:r>
      <w:r w:rsidR="00457A2C" w:rsidRPr="004454CF">
        <w:rPr>
          <w:rFonts w:ascii="Times New Roman" w:hAnsi="Times New Roman" w:cs="Times New Roman"/>
          <w:sz w:val="24"/>
          <w:szCs w:val="24"/>
        </w:rPr>
        <w:t xml:space="preserve">issues need to be resolved before </w:t>
      </w:r>
      <w:r w:rsidR="008E5871" w:rsidRPr="004454CF">
        <w:rPr>
          <w:rFonts w:ascii="Times New Roman" w:hAnsi="Times New Roman" w:cs="Times New Roman"/>
          <w:sz w:val="24"/>
          <w:szCs w:val="24"/>
        </w:rPr>
        <w:t>Staff</w:t>
      </w:r>
      <w:r w:rsidR="001F67EC" w:rsidRPr="004454CF">
        <w:rPr>
          <w:rFonts w:ascii="Times New Roman" w:hAnsi="Times New Roman" w:cs="Times New Roman"/>
          <w:sz w:val="24"/>
          <w:szCs w:val="24"/>
        </w:rPr>
        <w:t xml:space="preserve"> can recommend approval of</w:t>
      </w:r>
      <w:r w:rsidR="00457A2C" w:rsidRPr="004454CF">
        <w:rPr>
          <w:rFonts w:ascii="Times New Roman" w:hAnsi="Times New Roman" w:cs="Times New Roman"/>
          <w:sz w:val="24"/>
          <w:szCs w:val="24"/>
        </w:rPr>
        <w:t xml:space="preserve"> Avista’s 10-year potential and biennial target. Those issues are:</w:t>
      </w:r>
    </w:p>
    <w:p w14:paraId="7776F78D" w14:textId="77777777" w:rsidR="00457A2C" w:rsidRPr="004454CF" w:rsidRDefault="00457A2C" w:rsidP="00111BC5">
      <w:pPr>
        <w:rPr>
          <w:rFonts w:ascii="Times New Roman" w:hAnsi="Times New Roman" w:cs="Times New Roman"/>
          <w:sz w:val="24"/>
          <w:szCs w:val="24"/>
        </w:rPr>
      </w:pPr>
    </w:p>
    <w:p w14:paraId="19AC62A5" w14:textId="68E5C1C0" w:rsidR="00F76E8F" w:rsidRPr="004454CF" w:rsidRDefault="00F76E8F" w:rsidP="00F76E8F">
      <w:pPr>
        <w:pStyle w:val="ListParagraph"/>
        <w:numPr>
          <w:ilvl w:val="0"/>
          <w:numId w:val="8"/>
        </w:numPr>
        <w:rPr>
          <w:rFonts w:ascii="Times New Roman" w:hAnsi="Times New Roman" w:cs="Times New Roman"/>
          <w:sz w:val="24"/>
          <w:szCs w:val="24"/>
        </w:rPr>
      </w:pPr>
      <w:r w:rsidRPr="004454CF">
        <w:rPr>
          <w:rFonts w:ascii="Times New Roman" w:hAnsi="Times New Roman" w:cs="Times New Roman"/>
          <w:sz w:val="24"/>
          <w:szCs w:val="24"/>
        </w:rPr>
        <w:t>The CPA itself has produced questionable results, thereby casting doubts on Staff’s ability to recommend approval of Avista’s 10-year potential and, by extension, its biennial target.</w:t>
      </w:r>
    </w:p>
    <w:p w14:paraId="74BF9506" w14:textId="77C5D260" w:rsidR="00457A2C" w:rsidRPr="004454CF" w:rsidRDefault="00457A2C" w:rsidP="009A49A5">
      <w:pPr>
        <w:pStyle w:val="ListParagraph"/>
        <w:numPr>
          <w:ilvl w:val="0"/>
          <w:numId w:val="8"/>
        </w:numPr>
        <w:rPr>
          <w:rFonts w:ascii="Times New Roman" w:hAnsi="Times New Roman" w:cs="Times New Roman"/>
          <w:sz w:val="24"/>
          <w:szCs w:val="24"/>
        </w:rPr>
      </w:pPr>
      <w:r w:rsidRPr="004454CF">
        <w:rPr>
          <w:rFonts w:ascii="Times New Roman" w:hAnsi="Times New Roman" w:cs="Times New Roman"/>
          <w:sz w:val="24"/>
          <w:szCs w:val="24"/>
        </w:rPr>
        <w:t>NEEA savings projections were not co</w:t>
      </w:r>
      <w:r w:rsidR="00F76E8F" w:rsidRPr="004454CF">
        <w:rPr>
          <w:rFonts w:ascii="Times New Roman" w:hAnsi="Times New Roman" w:cs="Times New Roman"/>
          <w:sz w:val="24"/>
          <w:szCs w:val="24"/>
        </w:rPr>
        <w:t>rrectly removed from the target.</w:t>
      </w:r>
    </w:p>
    <w:p w14:paraId="6D988F5B" w14:textId="68A06FA3" w:rsidR="00457A2C" w:rsidRPr="004454CF" w:rsidRDefault="00457A2C" w:rsidP="009A49A5">
      <w:pPr>
        <w:pStyle w:val="ListParagraph"/>
        <w:numPr>
          <w:ilvl w:val="0"/>
          <w:numId w:val="8"/>
        </w:numPr>
        <w:rPr>
          <w:rFonts w:ascii="Times New Roman" w:hAnsi="Times New Roman" w:cs="Times New Roman"/>
          <w:sz w:val="24"/>
          <w:szCs w:val="24"/>
        </w:rPr>
      </w:pPr>
      <w:proofErr w:type="spellStart"/>
      <w:r w:rsidRPr="004454CF">
        <w:rPr>
          <w:rFonts w:ascii="Times New Roman" w:hAnsi="Times New Roman" w:cs="Times New Roman"/>
          <w:sz w:val="24"/>
          <w:szCs w:val="24"/>
        </w:rPr>
        <w:t>Opower</w:t>
      </w:r>
      <w:proofErr w:type="spellEnd"/>
      <w:r w:rsidRPr="004454CF">
        <w:rPr>
          <w:rFonts w:ascii="Times New Roman" w:hAnsi="Times New Roman" w:cs="Times New Roman"/>
          <w:sz w:val="24"/>
          <w:szCs w:val="24"/>
        </w:rPr>
        <w:t xml:space="preserve"> savings were not correctly modeled in the CPA, so the biennial target</w:t>
      </w:r>
      <w:r w:rsidR="00345E24" w:rsidRPr="004454CF">
        <w:rPr>
          <w:rFonts w:ascii="Times New Roman" w:hAnsi="Times New Roman" w:cs="Times New Roman"/>
          <w:sz w:val="24"/>
          <w:szCs w:val="24"/>
        </w:rPr>
        <w:t xml:space="preserve"> does not include the correct sav</w:t>
      </w:r>
      <w:r w:rsidR="00F76E8F" w:rsidRPr="004454CF">
        <w:rPr>
          <w:rFonts w:ascii="Times New Roman" w:hAnsi="Times New Roman" w:cs="Times New Roman"/>
          <w:sz w:val="24"/>
          <w:szCs w:val="24"/>
        </w:rPr>
        <w:t xml:space="preserve">ings projections for </w:t>
      </w:r>
      <w:proofErr w:type="spellStart"/>
      <w:r w:rsidR="00F76E8F" w:rsidRPr="004454CF">
        <w:rPr>
          <w:rFonts w:ascii="Times New Roman" w:hAnsi="Times New Roman" w:cs="Times New Roman"/>
          <w:sz w:val="24"/>
          <w:szCs w:val="24"/>
        </w:rPr>
        <w:t>Opower</w:t>
      </w:r>
      <w:proofErr w:type="spellEnd"/>
      <w:r w:rsidR="00F76E8F" w:rsidRPr="004454CF">
        <w:rPr>
          <w:rFonts w:ascii="Times New Roman" w:hAnsi="Times New Roman" w:cs="Times New Roman"/>
          <w:sz w:val="24"/>
          <w:szCs w:val="24"/>
        </w:rPr>
        <w:t>.</w:t>
      </w:r>
    </w:p>
    <w:p w14:paraId="0E938477" w14:textId="77777777" w:rsidR="008463AA" w:rsidRPr="004454CF" w:rsidRDefault="008463AA" w:rsidP="008463AA">
      <w:pPr>
        <w:rPr>
          <w:rFonts w:ascii="Times New Roman" w:hAnsi="Times New Roman" w:cs="Times New Roman"/>
          <w:b/>
          <w:sz w:val="24"/>
          <w:szCs w:val="24"/>
        </w:rPr>
      </w:pPr>
    </w:p>
    <w:p w14:paraId="0083880E" w14:textId="4FDD9A88" w:rsidR="00F76E8F" w:rsidRPr="004454CF" w:rsidRDefault="00F76E8F" w:rsidP="00F76E8F">
      <w:pPr>
        <w:rPr>
          <w:rFonts w:ascii="Times New Roman" w:hAnsi="Times New Roman" w:cs="Times New Roman"/>
          <w:sz w:val="24"/>
          <w:szCs w:val="24"/>
        </w:rPr>
      </w:pPr>
      <w:r w:rsidRPr="004454CF">
        <w:rPr>
          <w:rFonts w:ascii="Times New Roman" w:hAnsi="Times New Roman" w:cs="Times New Roman"/>
          <w:sz w:val="24"/>
          <w:szCs w:val="24"/>
        </w:rPr>
        <w:t xml:space="preserve">First, Staff continues to have concerns regarding Avista’s CPA. It is baffling to Staff that Avista’s 10-year potential is substantially lower than Pacific Power’s 10-year potential, even though Avista has a significantly higher load than Pacific Power. To date, outside of a couple anecdotal explanations for why there </w:t>
      </w:r>
      <w:r w:rsidRPr="004454CF">
        <w:rPr>
          <w:rFonts w:ascii="Times New Roman" w:hAnsi="Times New Roman" w:cs="Times New Roman"/>
          <w:i/>
          <w:sz w:val="24"/>
          <w:szCs w:val="24"/>
        </w:rPr>
        <w:t xml:space="preserve">could </w:t>
      </w:r>
      <w:r w:rsidRPr="004454CF">
        <w:rPr>
          <w:rFonts w:ascii="Times New Roman" w:hAnsi="Times New Roman" w:cs="Times New Roman"/>
          <w:sz w:val="24"/>
          <w:szCs w:val="24"/>
        </w:rPr>
        <w:t xml:space="preserve">be a difference between the utilities, neither Avista </w:t>
      </w:r>
      <w:r w:rsidRPr="004454CF">
        <w:rPr>
          <w:rFonts w:ascii="Times New Roman" w:hAnsi="Times New Roman" w:cs="Times New Roman"/>
          <w:sz w:val="24"/>
          <w:szCs w:val="24"/>
        </w:rPr>
        <w:lastRenderedPageBreak/>
        <w:t xml:space="preserve">nor AEG has been able to determine, specifically, why there is such a discrepancy (AEG conducted the CPA for both Avista and Pacific Power). Without meaningful resolution of this issue, Staff sees no way it can recommend approval of Avista’s biennial target. Staff continues to work with </w:t>
      </w:r>
      <w:r w:rsidR="00D522BE" w:rsidRPr="004454CF">
        <w:rPr>
          <w:rFonts w:ascii="Times New Roman" w:hAnsi="Times New Roman" w:cs="Times New Roman"/>
          <w:sz w:val="24"/>
          <w:szCs w:val="24"/>
        </w:rPr>
        <w:t xml:space="preserve">Avista and </w:t>
      </w:r>
      <w:r w:rsidRPr="004454CF">
        <w:rPr>
          <w:rFonts w:ascii="Times New Roman" w:hAnsi="Times New Roman" w:cs="Times New Roman"/>
          <w:sz w:val="24"/>
          <w:szCs w:val="24"/>
        </w:rPr>
        <w:t>AEG to resolve this issue.</w:t>
      </w:r>
    </w:p>
    <w:p w14:paraId="6380C5D9" w14:textId="77777777" w:rsidR="00F76E8F" w:rsidRPr="004454CF" w:rsidRDefault="00F76E8F" w:rsidP="00F76E8F">
      <w:pPr>
        <w:rPr>
          <w:rFonts w:ascii="Times New Roman" w:hAnsi="Times New Roman" w:cs="Times New Roman"/>
          <w:sz w:val="24"/>
          <w:szCs w:val="24"/>
        </w:rPr>
      </w:pPr>
    </w:p>
    <w:p w14:paraId="606E1CDB" w14:textId="7C4E5DE7" w:rsidR="00345E24" w:rsidRPr="004454CF" w:rsidRDefault="00C30D7D" w:rsidP="008463AA">
      <w:pPr>
        <w:rPr>
          <w:rFonts w:ascii="Times New Roman" w:hAnsi="Times New Roman" w:cs="Times New Roman"/>
          <w:sz w:val="24"/>
          <w:szCs w:val="24"/>
        </w:rPr>
      </w:pPr>
      <w:r w:rsidRPr="004454CF">
        <w:rPr>
          <w:rFonts w:ascii="Times New Roman" w:hAnsi="Times New Roman" w:cs="Times New Roman"/>
          <w:sz w:val="24"/>
          <w:szCs w:val="24"/>
        </w:rPr>
        <w:t xml:space="preserve">For the reasons discussed </w:t>
      </w:r>
      <w:r w:rsidR="00EC664B" w:rsidRPr="004454CF">
        <w:rPr>
          <w:rFonts w:ascii="Times New Roman" w:hAnsi="Times New Roman" w:cs="Times New Roman"/>
          <w:sz w:val="24"/>
          <w:szCs w:val="24"/>
        </w:rPr>
        <w:t xml:space="preserve">in Section II </w:t>
      </w:r>
      <w:r w:rsidRPr="004454CF">
        <w:rPr>
          <w:rFonts w:ascii="Times New Roman" w:hAnsi="Times New Roman" w:cs="Times New Roman"/>
          <w:sz w:val="24"/>
          <w:szCs w:val="24"/>
        </w:rPr>
        <w:t xml:space="preserve">above,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agrees that for this biennium it is appropriate to remove NEEA savings from the companies’ targets. To accomplish this, Avista attempted to identify all NEEA-related market transformation savings in the 10-year potential and </w:t>
      </w:r>
      <w:r w:rsidR="00EC664B" w:rsidRPr="004454CF">
        <w:rPr>
          <w:rFonts w:ascii="Times New Roman" w:hAnsi="Times New Roman" w:cs="Times New Roman"/>
          <w:sz w:val="24"/>
          <w:szCs w:val="24"/>
        </w:rPr>
        <w:t>pro</w:t>
      </w:r>
      <w:r w:rsidR="00D4133D" w:rsidRPr="004454CF">
        <w:rPr>
          <w:rFonts w:ascii="Times New Roman" w:hAnsi="Times New Roman" w:cs="Times New Roman"/>
          <w:sz w:val="24"/>
          <w:szCs w:val="24"/>
        </w:rPr>
        <w:t>-</w:t>
      </w:r>
      <w:r w:rsidR="00EC664B" w:rsidRPr="004454CF">
        <w:rPr>
          <w:rFonts w:ascii="Times New Roman" w:hAnsi="Times New Roman" w:cs="Times New Roman"/>
          <w:sz w:val="24"/>
          <w:szCs w:val="24"/>
        </w:rPr>
        <w:t>rate</w:t>
      </w:r>
      <w:r w:rsidRPr="004454CF">
        <w:rPr>
          <w:rFonts w:ascii="Times New Roman" w:hAnsi="Times New Roman" w:cs="Times New Roman"/>
          <w:sz w:val="24"/>
          <w:szCs w:val="24"/>
        </w:rPr>
        <w:t xml:space="preserve"> those savings for the 2016-17 biennium. Although NEEA itself projected </w:t>
      </w:r>
      <w:r w:rsidR="00ED51B1" w:rsidRPr="004454CF">
        <w:rPr>
          <w:rFonts w:ascii="Times New Roman" w:hAnsi="Times New Roman" w:cs="Times New Roman"/>
          <w:sz w:val="24"/>
          <w:szCs w:val="24"/>
        </w:rPr>
        <w:t xml:space="preserve">6,220 </w:t>
      </w:r>
      <w:proofErr w:type="spellStart"/>
      <w:r w:rsidR="00ED51B1" w:rsidRPr="004454CF">
        <w:rPr>
          <w:rFonts w:ascii="Times New Roman" w:hAnsi="Times New Roman" w:cs="Times New Roman"/>
          <w:sz w:val="24"/>
          <w:szCs w:val="24"/>
        </w:rPr>
        <w:t>MWh</w:t>
      </w:r>
      <w:proofErr w:type="spellEnd"/>
      <w:r w:rsidR="00ED51B1" w:rsidRPr="004454CF">
        <w:rPr>
          <w:rFonts w:ascii="Times New Roman" w:hAnsi="Times New Roman" w:cs="Times New Roman"/>
          <w:sz w:val="24"/>
          <w:szCs w:val="24"/>
        </w:rPr>
        <w:t xml:space="preserve"> for the biennium, Avista removed 7,972 </w:t>
      </w:r>
      <w:proofErr w:type="spellStart"/>
      <w:r w:rsidR="00ED51B1" w:rsidRPr="004454CF">
        <w:rPr>
          <w:rFonts w:ascii="Times New Roman" w:hAnsi="Times New Roman" w:cs="Times New Roman"/>
          <w:sz w:val="24"/>
          <w:szCs w:val="24"/>
        </w:rPr>
        <w:t>MWh</w:t>
      </w:r>
      <w:proofErr w:type="spellEnd"/>
      <w:r w:rsidR="00ED51B1" w:rsidRPr="004454CF">
        <w:rPr>
          <w:rFonts w:ascii="Times New Roman" w:hAnsi="Times New Roman" w:cs="Times New Roman"/>
          <w:sz w:val="24"/>
          <w:szCs w:val="24"/>
        </w:rPr>
        <w:t xml:space="preserve"> from the target. </w:t>
      </w:r>
      <w:r w:rsidR="00150D1F" w:rsidRPr="004454CF">
        <w:rPr>
          <w:rFonts w:ascii="Times New Roman" w:hAnsi="Times New Roman" w:cs="Times New Roman"/>
          <w:sz w:val="24"/>
          <w:szCs w:val="24"/>
        </w:rPr>
        <w:t>By</w:t>
      </w:r>
      <w:r w:rsidR="00ED51B1" w:rsidRPr="004454CF">
        <w:rPr>
          <w:rFonts w:ascii="Times New Roman" w:hAnsi="Times New Roman" w:cs="Times New Roman"/>
          <w:sz w:val="24"/>
          <w:szCs w:val="24"/>
        </w:rPr>
        <w:t xml:space="preserve"> removing more from the target than what NEEA projects to achieve</w:t>
      </w:r>
      <w:r w:rsidR="00771E77" w:rsidRPr="004454CF">
        <w:rPr>
          <w:rFonts w:ascii="Times New Roman" w:hAnsi="Times New Roman" w:cs="Times New Roman"/>
          <w:sz w:val="24"/>
          <w:szCs w:val="24"/>
        </w:rPr>
        <w:t xml:space="preserve">, Avista </w:t>
      </w:r>
      <w:r w:rsidR="00150D1F" w:rsidRPr="004454CF">
        <w:rPr>
          <w:rFonts w:ascii="Times New Roman" w:hAnsi="Times New Roman" w:cs="Times New Roman"/>
          <w:sz w:val="24"/>
          <w:szCs w:val="24"/>
        </w:rPr>
        <w:t xml:space="preserve">not only creates suspicion that </w:t>
      </w:r>
      <w:r w:rsidR="00771E77" w:rsidRPr="004454CF">
        <w:rPr>
          <w:rFonts w:ascii="Times New Roman" w:hAnsi="Times New Roman" w:cs="Times New Roman"/>
          <w:sz w:val="24"/>
          <w:szCs w:val="24"/>
        </w:rPr>
        <w:t xml:space="preserve">it </w:t>
      </w:r>
      <w:r w:rsidR="00150D1F" w:rsidRPr="004454CF">
        <w:rPr>
          <w:rFonts w:ascii="Times New Roman" w:hAnsi="Times New Roman" w:cs="Times New Roman"/>
          <w:sz w:val="24"/>
          <w:szCs w:val="24"/>
        </w:rPr>
        <w:t xml:space="preserve">is attempting to artificially deflate its target, but </w:t>
      </w:r>
      <w:r w:rsidR="00771E77" w:rsidRPr="004454CF">
        <w:rPr>
          <w:rFonts w:ascii="Times New Roman" w:hAnsi="Times New Roman" w:cs="Times New Roman"/>
          <w:sz w:val="24"/>
          <w:szCs w:val="24"/>
        </w:rPr>
        <w:t xml:space="preserve">it </w:t>
      </w:r>
      <w:r w:rsidR="00EC664B" w:rsidRPr="004454CF">
        <w:rPr>
          <w:rFonts w:ascii="Times New Roman" w:hAnsi="Times New Roman" w:cs="Times New Roman"/>
          <w:sz w:val="24"/>
          <w:szCs w:val="24"/>
        </w:rPr>
        <w:t>also violates</w:t>
      </w:r>
      <w:r w:rsidR="00ED51B1" w:rsidRPr="004454CF">
        <w:rPr>
          <w:rFonts w:ascii="Times New Roman" w:hAnsi="Times New Roman" w:cs="Times New Roman"/>
          <w:sz w:val="24"/>
          <w:szCs w:val="24"/>
        </w:rPr>
        <w:t xml:space="preserve"> </w:t>
      </w:r>
      <w:r w:rsidR="00150D1F" w:rsidRPr="004454CF">
        <w:rPr>
          <w:rFonts w:ascii="Times New Roman" w:hAnsi="Times New Roman" w:cs="Times New Roman"/>
          <w:sz w:val="24"/>
          <w:szCs w:val="24"/>
        </w:rPr>
        <w:t xml:space="preserve">the spirit of the agreement to allow NEEA savings </w:t>
      </w:r>
      <w:r w:rsidR="00771E77" w:rsidRPr="004454CF">
        <w:rPr>
          <w:rFonts w:ascii="Times New Roman" w:hAnsi="Times New Roman" w:cs="Times New Roman"/>
          <w:sz w:val="24"/>
          <w:szCs w:val="24"/>
        </w:rPr>
        <w:t xml:space="preserve">to be removed </w:t>
      </w:r>
      <w:r w:rsidR="00150D1F" w:rsidRPr="004454CF">
        <w:rPr>
          <w:rFonts w:ascii="Times New Roman" w:hAnsi="Times New Roman" w:cs="Times New Roman"/>
          <w:sz w:val="24"/>
          <w:szCs w:val="24"/>
        </w:rPr>
        <w:t>from its target in the first place. Given that NEEA savings acquisition is largely outside of the direct cont</w:t>
      </w:r>
      <w:r w:rsidR="00771E77" w:rsidRPr="004454CF">
        <w:rPr>
          <w:rFonts w:ascii="Times New Roman" w:hAnsi="Times New Roman" w:cs="Times New Roman"/>
          <w:sz w:val="24"/>
          <w:szCs w:val="24"/>
        </w:rPr>
        <w:t>rol of the utility, the idea is</w:t>
      </w:r>
      <w:r w:rsidR="00150D1F" w:rsidRPr="004454CF">
        <w:rPr>
          <w:rFonts w:ascii="Times New Roman" w:hAnsi="Times New Roman" w:cs="Times New Roman"/>
          <w:sz w:val="24"/>
          <w:szCs w:val="24"/>
        </w:rPr>
        <w:t xml:space="preserve"> to not hold Avista accountable for what NEEA </w:t>
      </w:r>
      <w:r w:rsidR="00935A8C" w:rsidRPr="004454CF">
        <w:rPr>
          <w:rFonts w:ascii="Times New Roman" w:hAnsi="Times New Roman" w:cs="Times New Roman"/>
          <w:sz w:val="24"/>
          <w:szCs w:val="24"/>
        </w:rPr>
        <w:t>actually can achieve. Thus, the amount to be removed from the target should correspond exactly t</w:t>
      </w:r>
      <w:r w:rsidR="000A0F16" w:rsidRPr="004454CF">
        <w:rPr>
          <w:rFonts w:ascii="Times New Roman" w:hAnsi="Times New Roman" w:cs="Times New Roman"/>
          <w:sz w:val="24"/>
          <w:szCs w:val="24"/>
        </w:rPr>
        <w:t>o the amount NEEA is projecting</w:t>
      </w:r>
      <w:r w:rsidR="000B50DF" w:rsidRPr="004454CF">
        <w:rPr>
          <w:rFonts w:ascii="Times New Roman" w:hAnsi="Times New Roman" w:cs="Times New Roman"/>
          <w:sz w:val="24"/>
          <w:szCs w:val="24"/>
        </w:rPr>
        <w:t xml:space="preserve">. </w:t>
      </w:r>
    </w:p>
    <w:p w14:paraId="3301FF5C" w14:textId="77777777" w:rsidR="00F77E2E" w:rsidRPr="004454CF" w:rsidRDefault="00F77E2E" w:rsidP="008463AA">
      <w:pPr>
        <w:rPr>
          <w:rFonts w:ascii="Times New Roman" w:hAnsi="Times New Roman" w:cs="Times New Roman"/>
          <w:sz w:val="24"/>
          <w:szCs w:val="24"/>
        </w:rPr>
      </w:pPr>
    </w:p>
    <w:p w14:paraId="24FB942F" w14:textId="3613AB20" w:rsidR="00F77E2E" w:rsidRPr="004454CF" w:rsidRDefault="00F77E2E" w:rsidP="008463AA">
      <w:pPr>
        <w:rPr>
          <w:rFonts w:ascii="Times New Roman" w:hAnsi="Times New Roman" w:cs="Times New Roman"/>
          <w:sz w:val="24"/>
          <w:szCs w:val="24"/>
        </w:rPr>
      </w:pPr>
      <w:r w:rsidRPr="004454CF">
        <w:rPr>
          <w:rFonts w:ascii="Times New Roman" w:hAnsi="Times New Roman" w:cs="Times New Roman"/>
          <w:sz w:val="24"/>
          <w:szCs w:val="24"/>
        </w:rPr>
        <w:t xml:space="preserve">In Avista’s CPA, AEG attempted </w:t>
      </w:r>
      <w:r w:rsidR="00C34280" w:rsidRPr="004454CF">
        <w:rPr>
          <w:rFonts w:ascii="Times New Roman" w:hAnsi="Times New Roman" w:cs="Times New Roman"/>
          <w:sz w:val="24"/>
          <w:szCs w:val="24"/>
        </w:rPr>
        <w:t xml:space="preserve">to quantify conservation potential associated with behavioral programs. Although </w:t>
      </w:r>
      <w:r w:rsidR="008E5871" w:rsidRPr="004454CF">
        <w:rPr>
          <w:rFonts w:ascii="Times New Roman" w:hAnsi="Times New Roman" w:cs="Times New Roman"/>
          <w:sz w:val="24"/>
          <w:szCs w:val="24"/>
        </w:rPr>
        <w:t>Staff</w:t>
      </w:r>
      <w:r w:rsidR="00C34280" w:rsidRPr="004454CF">
        <w:rPr>
          <w:rFonts w:ascii="Times New Roman" w:hAnsi="Times New Roman" w:cs="Times New Roman"/>
          <w:sz w:val="24"/>
          <w:szCs w:val="24"/>
        </w:rPr>
        <w:t xml:space="preserve"> believes those savings can, and should, be accounted for in the potential assessment, for the current CPA those savings were not modeled consistent with how behavioral savings are considered from a regulatory perspective. All three utilities now consider </w:t>
      </w:r>
      <w:proofErr w:type="spellStart"/>
      <w:r w:rsidR="00C34280" w:rsidRPr="004454CF">
        <w:rPr>
          <w:rFonts w:ascii="Times New Roman" w:hAnsi="Times New Roman" w:cs="Times New Roman"/>
          <w:sz w:val="24"/>
          <w:szCs w:val="24"/>
        </w:rPr>
        <w:t>Opower’s</w:t>
      </w:r>
      <w:proofErr w:type="spellEnd"/>
      <w:r w:rsidR="00C34280" w:rsidRPr="004454CF">
        <w:rPr>
          <w:rFonts w:ascii="Times New Roman" w:hAnsi="Times New Roman" w:cs="Times New Roman"/>
          <w:sz w:val="24"/>
          <w:szCs w:val="24"/>
        </w:rPr>
        <w:t xml:space="preserve"> Home Energy Reports to have a 2-year measure life with a complete re-purchase of savings upon a new biennium. </w:t>
      </w:r>
      <w:r w:rsidR="00CE0B08" w:rsidRPr="004454CF">
        <w:rPr>
          <w:rFonts w:ascii="Times New Roman" w:hAnsi="Times New Roman" w:cs="Times New Roman"/>
          <w:sz w:val="24"/>
          <w:szCs w:val="24"/>
        </w:rPr>
        <w:t xml:space="preserve">AEG modeled behavioral measures as a 3-year measure life, and it appears that the savings repurchase was not considered in the model. As a result, the 2-year potential for behavioral programs in the CPA was ten times less than </w:t>
      </w:r>
      <w:proofErr w:type="spellStart"/>
      <w:r w:rsidR="00CE0B08" w:rsidRPr="004454CF">
        <w:rPr>
          <w:rFonts w:ascii="Times New Roman" w:hAnsi="Times New Roman" w:cs="Times New Roman"/>
          <w:sz w:val="24"/>
          <w:szCs w:val="24"/>
        </w:rPr>
        <w:t>Opower’s</w:t>
      </w:r>
      <w:proofErr w:type="spellEnd"/>
      <w:r w:rsidR="00CE0B08" w:rsidRPr="004454CF">
        <w:rPr>
          <w:rFonts w:ascii="Times New Roman" w:hAnsi="Times New Roman" w:cs="Times New Roman"/>
          <w:sz w:val="24"/>
          <w:szCs w:val="24"/>
        </w:rPr>
        <w:t xml:space="preserve"> projection for the biennium. The biennial potential for behavioral programs </w:t>
      </w:r>
      <w:r w:rsidR="00F76E8F" w:rsidRPr="004454CF">
        <w:rPr>
          <w:rFonts w:ascii="Times New Roman" w:hAnsi="Times New Roman" w:cs="Times New Roman"/>
          <w:sz w:val="24"/>
          <w:szCs w:val="24"/>
        </w:rPr>
        <w:t>must</w:t>
      </w:r>
      <w:r w:rsidR="00CE0B08" w:rsidRPr="004454CF">
        <w:rPr>
          <w:rFonts w:ascii="Times New Roman" w:hAnsi="Times New Roman" w:cs="Times New Roman"/>
          <w:sz w:val="24"/>
          <w:szCs w:val="24"/>
        </w:rPr>
        <w:t xml:space="preserve"> be corrected </w:t>
      </w:r>
      <w:r w:rsidR="00F76E8F" w:rsidRPr="004454CF">
        <w:rPr>
          <w:rFonts w:ascii="Times New Roman" w:hAnsi="Times New Roman" w:cs="Times New Roman"/>
          <w:sz w:val="24"/>
          <w:szCs w:val="24"/>
        </w:rPr>
        <w:t xml:space="preserve">and properly incorporated into </w:t>
      </w:r>
      <w:r w:rsidR="00CE0B08" w:rsidRPr="004454CF">
        <w:rPr>
          <w:rFonts w:ascii="Times New Roman" w:hAnsi="Times New Roman" w:cs="Times New Roman"/>
          <w:sz w:val="24"/>
          <w:szCs w:val="24"/>
        </w:rPr>
        <w:t xml:space="preserve">Avista’s biennial target </w:t>
      </w:r>
      <w:r w:rsidR="00F76E8F" w:rsidRPr="004454CF">
        <w:rPr>
          <w:rFonts w:ascii="Times New Roman" w:hAnsi="Times New Roman" w:cs="Times New Roman"/>
          <w:sz w:val="24"/>
          <w:szCs w:val="24"/>
        </w:rPr>
        <w:t>before it could be</w:t>
      </w:r>
      <w:r w:rsidR="00CE0B08" w:rsidRPr="004454CF">
        <w:rPr>
          <w:rFonts w:ascii="Times New Roman" w:hAnsi="Times New Roman" w:cs="Times New Roman"/>
          <w:sz w:val="24"/>
          <w:szCs w:val="24"/>
        </w:rPr>
        <w:t xml:space="preserve"> approved.</w:t>
      </w:r>
      <w:r w:rsidR="000F5B70" w:rsidRPr="004454CF">
        <w:rPr>
          <w:rFonts w:ascii="Times New Roman" w:hAnsi="Times New Roman" w:cs="Times New Roman"/>
          <w:sz w:val="24"/>
          <w:szCs w:val="24"/>
        </w:rPr>
        <w:t xml:space="preserve"> </w:t>
      </w:r>
    </w:p>
    <w:p w14:paraId="4C4D8F37" w14:textId="77777777" w:rsidR="008463AA" w:rsidRPr="004454CF" w:rsidRDefault="008463AA" w:rsidP="008463AA">
      <w:pPr>
        <w:pStyle w:val="Heading2"/>
      </w:pPr>
      <w:bookmarkStart w:id="13" w:name="_Toc436840011"/>
      <w:r w:rsidRPr="004454CF">
        <w:t>Pacifi</w:t>
      </w:r>
      <w:r w:rsidR="005E1B50" w:rsidRPr="004454CF">
        <w:t>c Power</w:t>
      </w:r>
      <w:r w:rsidR="00BB5B61" w:rsidRPr="004454CF">
        <w:t xml:space="preserve"> (Docket UE-152072)</w:t>
      </w:r>
      <w:bookmarkEnd w:id="13"/>
    </w:p>
    <w:p w14:paraId="567BFD7B" w14:textId="77777777" w:rsidR="008463AA" w:rsidRPr="004454CF" w:rsidRDefault="008463AA" w:rsidP="008463AA">
      <w:pPr>
        <w:rPr>
          <w:rFonts w:ascii="Times New Roman" w:hAnsi="Times New Roman" w:cs="Times New Roman"/>
          <w:b/>
          <w:sz w:val="24"/>
          <w:szCs w:val="24"/>
        </w:rPr>
      </w:pPr>
    </w:p>
    <w:p w14:paraId="6DB842FA" w14:textId="17F2A3A3" w:rsidR="008463AA" w:rsidRPr="004454CF" w:rsidRDefault="008463AA" w:rsidP="008463AA">
      <w:pPr>
        <w:rPr>
          <w:rFonts w:ascii="Times New Roman" w:hAnsi="Times New Roman" w:cs="Times New Roman"/>
          <w:sz w:val="24"/>
          <w:szCs w:val="24"/>
        </w:rPr>
      </w:pPr>
      <w:r w:rsidRPr="004454CF">
        <w:rPr>
          <w:rFonts w:ascii="Times New Roman" w:hAnsi="Times New Roman" w:cs="Times New Roman"/>
          <w:sz w:val="24"/>
          <w:szCs w:val="24"/>
        </w:rPr>
        <w:t>P</w:t>
      </w:r>
      <w:r w:rsidR="00E549EB" w:rsidRPr="004454CF">
        <w:rPr>
          <w:rFonts w:ascii="Times New Roman" w:hAnsi="Times New Roman" w:cs="Times New Roman"/>
          <w:sz w:val="24"/>
          <w:szCs w:val="24"/>
        </w:rPr>
        <w:t>acific Power</w:t>
      </w:r>
      <w:r w:rsidRPr="004454CF">
        <w:rPr>
          <w:rFonts w:ascii="Times New Roman" w:hAnsi="Times New Roman" w:cs="Times New Roman"/>
          <w:sz w:val="24"/>
          <w:szCs w:val="24"/>
        </w:rPr>
        <w:t xml:space="preserve">’s 2015 </w:t>
      </w:r>
      <w:r w:rsidR="002368F5" w:rsidRPr="004454CF">
        <w:rPr>
          <w:rFonts w:ascii="Times New Roman" w:hAnsi="Times New Roman" w:cs="Times New Roman"/>
          <w:sz w:val="24"/>
          <w:szCs w:val="24"/>
        </w:rPr>
        <w:t>IRP</w:t>
      </w:r>
      <w:r w:rsidRPr="004454CF">
        <w:rPr>
          <w:rFonts w:ascii="Times New Roman" w:hAnsi="Times New Roman" w:cs="Times New Roman"/>
          <w:sz w:val="24"/>
          <w:szCs w:val="24"/>
        </w:rPr>
        <w:t xml:space="preserve"> identified an initial 10-year conservation potential of 423,100 </w:t>
      </w:r>
      <w:proofErr w:type="spellStart"/>
      <w:r w:rsidRPr="004454CF">
        <w:rPr>
          <w:rFonts w:ascii="Times New Roman" w:hAnsi="Times New Roman" w:cs="Times New Roman"/>
          <w:sz w:val="24"/>
          <w:szCs w:val="24"/>
        </w:rPr>
        <w:t>MWh</w:t>
      </w:r>
      <w:proofErr w:type="spellEnd"/>
      <w:r w:rsidRPr="004454CF">
        <w:rPr>
          <w:rFonts w:ascii="Times New Roman" w:hAnsi="Times New Roman" w:cs="Times New Roman"/>
          <w:sz w:val="24"/>
          <w:szCs w:val="24"/>
        </w:rPr>
        <w:t xml:space="preserve"> (48.3 </w:t>
      </w:r>
      <w:proofErr w:type="spellStart"/>
      <w:r w:rsidRPr="004454CF">
        <w:rPr>
          <w:rFonts w:ascii="Times New Roman" w:hAnsi="Times New Roman" w:cs="Times New Roman"/>
          <w:sz w:val="24"/>
          <w:szCs w:val="24"/>
        </w:rPr>
        <w:t>aMW</w:t>
      </w:r>
      <w:proofErr w:type="spellEnd"/>
      <w:r w:rsidRPr="004454CF">
        <w:rPr>
          <w:rFonts w:ascii="Times New Roman" w:hAnsi="Times New Roman" w:cs="Times New Roman"/>
          <w:sz w:val="24"/>
          <w:szCs w:val="24"/>
        </w:rPr>
        <w:t>) in its Washington territory.</w:t>
      </w:r>
      <w:r w:rsidRPr="004454CF">
        <w:rPr>
          <w:rStyle w:val="FootnoteReference"/>
          <w:rFonts w:ascii="Times New Roman" w:hAnsi="Times New Roman" w:cs="Times New Roman"/>
          <w:sz w:val="24"/>
          <w:szCs w:val="24"/>
        </w:rPr>
        <w:footnoteReference w:id="21"/>
      </w:r>
      <w:r w:rsidR="005A6C62" w:rsidRPr="004454CF">
        <w:rPr>
          <w:rFonts w:ascii="Times New Roman" w:hAnsi="Times New Roman" w:cs="Times New Roman"/>
          <w:sz w:val="24"/>
          <w:szCs w:val="24"/>
        </w:rPr>
        <w:t xml:space="preserve"> In preparing the 2016-2025</w:t>
      </w:r>
      <w:r w:rsidRPr="004454CF">
        <w:rPr>
          <w:rFonts w:ascii="Times New Roman" w:hAnsi="Times New Roman" w:cs="Times New Roman"/>
          <w:sz w:val="24"/>
          <w:szCs w:val="24"/>
        </w:rPr>
        <w:t xml:space="preserve"> conservation forecast, the company made a number of </w:t>
      </w:r>
      <w:r w:rsidR="005A6C62" w:rsidRPr="004454CF">
        <w:rPr>
          <w:rFonts w:ascii="Times New Roman" w:hAnsi="Times New Roman" w:cs="Times New Roman"/>
          <w:sz w:val="24"/>
          <w:szCs w:val="24"/>
        </w:rPr>
        <w:t>adjustments that fall into two</w:t>
      </w:r>
      <w:r w:rsidRPr="004454CF">
        <w:rPr>
          <w:rFonts w:ascii="Times New Roman" w:hAnsi="Times New Roman" w:cs="Times New Roman"/>
          <w:sz w:val="24"/>
          <w:szCs w:val="24"/>
        </w:rPr>
        <w:t xml:space="preserve"> general categories: revised UES values based on RTF updates or company program evaluations, </w:t>
      </w:r>
      <w:r w:rsidR="005A6C62" w:rsidRPr="004454CF">
        <w:rPr>
          <w:rFonts w:ascii="Times New Roman" w:hAnsi="Times New Roman" w:cs="Times New Roman"/>
          <w:sz w:val="24"/>
          <w:szCs w:val="24"/>
        </w:rPr>
        <w:t>and technologies not considered in the CPA, but evaluated through other studies.</w:t>
      </w:r>
      <w:r w:rsidR="005A6C62" w:rsidRPr="004454CF">
        <w:rPr>
          <w:rStyle w:val="FootnoteReference"/>
          <w:rFonts w:ascii="Times New Roman" w:hAnsi="Times New Roman" w:cs="Times New Roman"/>
          <w:sz w:val="24"/>
          <w:szCs w:val="24"/>
        </w:rPr>
        <w:footnoteReference w:id="22"/>
      </w:r>
      <w:r w:rsidR="00744E3A" w:rsidRPr="004454CF">
        <w:rPr>
          <w:rFonts w:ascii="Times New Roman" w:hAnsi="Times New Roman" w:cs="Times New Roman"/>
          <w:sz w:val="24"/>
          <w:szCs w:val="24"/>
        </w:rPr>
        <w:t xml:space="preserve"> </w:t>
      </w:r>
      <w:r w:rsidRPr="004454CF">
        <w:rPr>
          <w:rFonts w:ascii="Times New Roman" w:hAnsi="Times New Roman" w:cs="Times New Roman"/>
          <w:sz w:val="24"/>
          <w:szCs w:val="24"/>
        </w:rPr>
        <w:t xml:space="preserve">On </w:t>
      </w:r>
      <w:r w:rsidR="001A3769" w:rsidRPr="004454CF">
        <w:rPr>
          <w:rFonts w:ascii="Times New Roman" w:hAnsi="Times New Roman" w:cs="Times New Roman"/>
          <w:sz w:val="24"/>
          <w:szCs w:val="24"/>
        </w:rPr>
        <w:t>balance</w:t>
      </w:r>
      <w:r w:rsidRPr="004454CF">
        <w:rPr>
          <w:rFonts w:ascii="Times New Roman" w:hAnsi="Times New Roman" w:cs="Times New Roman"/>
          <w:sz w:val="24"/>
          <w:szCs w:val="24"/>
        </w:rPr>
        <w:t xml:space="preserve">, these adjustments increased the 10-year conservation forecast to </w:t>
      </w:r>
      <w:r w:rsidR="007F3C2D" w:rsidRPr="004454CF">
        <w:rPr>
          <w:rFonts w:ascii="Times New Roman" w:hAnsi="Times New Roman" w:cs="Times New Roman"/>
          <w:sz w:val="24"/>
          <w:szCs w:val="24"/>
        </w:rPr>
        <w:t xml:space="preserve">457,530 </w:t>
      </w:r>
      <w:proofErr w:type="spellStart"/>
      <w:r w:rsidR="007F3C2D" w:rsidRPr="004454CF">
        <w:rPr>
          <w:rFonts w:ascii="Times New Roman" w:hAnsi="Times New Roman" w:cs="Times New Roman"/>
          <w:sz w:val="24"/>
          <w:szCs w:val="24"/>
        </w:rPr>
        <w:t>MWh</w:t>
      </w:r>
      <w:proofErr w:type="spellEnd"/>
      <w:r w:rsidR="007F3C2D" w:rsidRPr="004454CF">
        <w:rPr>
          <w:rFonts w:ascii="Times New Roman" w:hAnsi="Times New Roman" w:cs="Times New Roman"/>
          <w:sz w:val="24"/>
          <w:szCs w:val="24"/>
        </w:rPr>
        <w:t xml:space="preserve"> (52.2</w:t>
      </w:r>
      <w:r w:rsidRPr="004454CF">
        <w:rPr>
          <w:rFonts w:ascii="Times New Roman" w:hAnsi="Times New Roman" w:cs="Times New Roman"/>
          <w:sz w:val="24"/>
          <w:szCs w:val="24"/>
        </w:rPr>
        <w:t xml:space="preserve"> </w:t>
      </w:r>
      <w:proofErr w:type="spellStart"/>
      <w:r w:rsidRPr="004454CF">
        <w:rPr>
          <w:rFonts w:ascii="Times New Roman" w:hAnsi="Times New Roman" w:cs="Times New Roman"/>
          <w:sz w:val="24"/>
          <w:szCs w:val="24"/>
        </w:rPr>
        <w:t>aMW</w:t>
      </w:r>
      <w:proofErr w:type="spellEnd"/>
      <w:r w:rsidRPr="004454CF">
        <w:rPr>
          <w:rFonts w:ascii="Times New Roman" w:hAnsi="Times New Roman" w:cs="Times New Roman"/>
          <w:sz w:val="24"/>
          <w:szCs w:val="24"/>
        </w:rPr>
        <w:t>).</w:t>
      </w:r>
      <w:r w:rsidRPr="004454CF">
        <w:rPr>
          <w:rStyle w:val="FootnoteReference"/>
          <w:rFonts w:ascii="Times New Roman" w:hAnsi="Times New Roman" w:cs="Times New Roman"/>
          <w:sz w:val="24"/>
          <w:szCs w:val="24"/>
        </w:rPr>
        <w:footnoteReference w:id="23"/>
      </w:r>
    </w:p>
    <w:p w14:paraId="50EE7538" w14:textId="77777777" w:rsidR="001A3769" w:rsidRPr="004454CF" w:rsidRDefault="001A3769" w:rsidP="008463AA">
      <w:pPr>
        <w:rPr>
          <w:rFonts w:ascii="Times New Roman" w:hAnsi="Times New Roman" w:cs="Times New Roman"/>
          <w:sz w:val="24"/>
          <w:szCs w:val="24"/>
        </w:rPr>
      </w:pPr>
    </w:p>
    <w:p w14:paraId="6713BDAF" w14:textId="77777777" w:rsidR="005E1B50" w:rsidRPr="004454CF" w:rsidRDefault="00C62F92" w:rsidP="008463AA">
      <w:pPr>
        <w:rPr>
          <w:rFonts w:ascii="Times New Roman" w:hAnsi="Times New Roman" w:cs="Times New Roman"/>
          <w:sz w:val="24"/>
          <w:szCs w:val="24"/>
        </w:rPr>
      </w:pPr>
      <w:r w:rsidRPr="004454CF">
        <w:rPr>
          <w:rFonts w:ascii="Times New Roman" w:hAnsi="Times New Roman" w:cs="Times New Roman"/>
          <w:sz w:val="24"/>
          <w:szCs w:val="24"/>
        </w:rPr>
        <w:t>Virtually all of the conservation identified in Pacific Power’s 10-year potential is associated with the energy efficiency measu</w:t>
      </w:r>
      <w:r w:rsidR="003873FF" w:rsidRPr="004454CF">
        <w:rPr>
          <w:rFonts w:ascii="Times New Roman" w:hAnsi="Times New Roman" w:cs="Times New Roman"/>
          <w:sz w:val="24"/>
          <w:szCs w:val="24"/>
        </w:rPr>
        <w:t>res identified in the 2014 CPA prepared by AEG</w:t>
      </w:r>
      <w:r w:rsidRPr="004454CF">
        <w:rPr>
          <w:rFonts w:ascii="Times New Roman" w:hAnsi="Times New Roman" w:cs="Times New Roman"/>
          <w:sz w:val="24"/>
          <w:szCs w:val="24"/>
        </w:rPr>
        <w:t xml:space="preserve">. Pacific Power used the inputs from the CPA in the 2015 Integrated Resource Plan, which screened them for </w:t>
      </w:r>
      <w:r w:rsidR="005E1B50" w:rsidRPr="004454CF">
        <w:rPr>
          <w:rFonts w:ascii="Times New Roman" w:hAnsi="Times New Roman" w:cs="Times New Roman"/>
          <w:sz w:val="24"/>
          <w:szCs w:val="24"/>
        </w:rPr>
        <w:t xml:space="preserve">cost </w:t>
      </w:r>
      <w:r w:rsidR="005E1B50" w:rsidRPr="004454CF">
        <w:rPr>
          <w:rFonts w:ascii="Times New Roman" w:hAnsi="Times New Roman" w:cs="Times New Roman"/>
          <w:sz w:val="24"/>
          <w:szCs w:val="24"/>
        </w:rPr>
        <w:lastRenderedPageBreak/>
        <w:t xml:space="preserve">effectiveness against other supply-side options. For the BCP, </w:t>
      </w:r>
      <w:r w:rsidRPr="004454CF">
        <w:rPr>
          <w:rFonts w:ascii="Times New Roman" w:hAnsi="Times New Roman" w:cs="Times New Roman"/>
          <w:sz w:val="24"/>
          <w:szCs w:val="24"/>
        </w:rPr>
        <w:t xml:space="preserve">Pacific Power updated a handful of UES values to align with RTF updates made </w:t>
      </w:r>
      <w:r w:rsidR="005E1B50" w:rsidRPr="004454CF">
        <w:rPr>
          <w:rFonts w:ascii="Times New Roman" w:hAnsi="Times New Roman" w:cs="Times New Roman"/>
          <w:sz w:val="24"/>
          <w:szCs w:val="24"/>
        </w:rPr>
        <w:t xml:space="preserve">subsequent to the CPA’s preparation. The company also updated its identified potential for its </w:t>
      </w:r>
      <w:proofErr w:type="spellStart"/>
      <w:r w:rsidR="003873FF" w:rsidRPr="004454CF">
        <w:rPr>
          <w:rFonts w:ascii="Times New Roman" w:hAnsi="Times New Roman" w:cs="Times New Roman"/>
          <w:sz w:val="24"/>
          <w:szCs w:val="24"/>
        </w:rPr>
        <w:t>Opower</w:t>
      </w:r>
      <w:proofErr w:type="spellEnd"/>
      <w:r w:rsidR="003873FF" w:rsidRPr="004454CF">
        <w:rPr>
          <w:rFonts w:ascii="Times New Roman" w:hAnsi="Times New Roman" w:cs="Times New Roman"/>
          <w:sz w:val="24"/>
          <w:szCs w:val="24"/>
        </w:rPr>
        <w:t xml:space="preserve"> program based on </w:t>
      </w:r>
      <w:r w:rsidR="005E1B50" w:rsidRPr="004454CF">
        <w:rPr>
          <w:rFonts w:ascii="Times New Roman" w:hAnsi="Times New Roman" w:cs="Times New Roman"/>
          <w:sz w:val="24"/>
          <w:szCs w:val="24"/>
        </w:rPr>
        <w:t xml:space="preserve">program evaluations and to reflect a two-year measure cycle. </w:t>
      </w:r>
    </w:p>
    <w:p w14:paraId="7B60C254" w14:textId="77777777" w:rsidR="005E1B50" w:rsidRPr="004454CF" w:rsidRDefault="005E1B50" w:rsidP="008463AA">
      <w:pPr>
        <w:rPr>
          <w:rFonts w:ascii="Times New Roman" w:hAnsi="Times New Roman" w:cs="Times New Roman"/>
          <w:sz w:val="24"/>
          <w:szCs w:val="24"/>
        </w:rPr>
      </w:pPr>
    </w:p>
    <w:p w14:paraId="4A0C15F6" w14:textId="25F882E8" w:rsidR="001A3769" w:rsidRPr="004454CF" w:rsidRDefault="00C62F92" w:rsidP="008463AA">
      <w:pPr>
        <w:rPr>
          <w:rFonts w:ascii="Times New Roman" w:hAnsi="Times New Roman" w:cs="Times New Roman"/>
          <w:sz w:val="24"/>
          <w:szCs w:val="24"/>
        </w:rPr>
      </w:pPr>
      <w:r w:rsidRPr="004454CF">
        <w:rPr>
          <w:rFonts w:ascii="Times New Roman" w:hAnsi="Times New Roman" w:cs="Times New Roman"/>
          <w:sz w:val="24"/>
          <w:szCs w:val="24"/>
        </w:rPr>
        <w:t>The only adjustment that the company made as a result of an external study was for wa</w:t>
      </w:r>
      <w:r w:rsidR="005E1B50" w:rsidRPr="004454CF">
        <w:rPr>
          <w:rFonts w:ascii="Times New Roman" w:hAnsi="Times New Roman" w:cs="Times New Roman"/>
          <w:sz w:val="24"/>
          <w:szCs w:val="24"/>
        </w:rPr>
        <w:t xml:space="preserve">ste heat-to-power technologies, based on a </w:t>
      </w:r>
      <w:proofErr w:type="spellStart"/>
      <w:r w:rsidR="005E1B50" w:rsidRPr="004454CF">
        <w:rPr>
          <w:rFonts w:ascii="Times New Roman" w:hAnsi="Times New Roman" w:cs="Times New Roman"/>
          <w:sz w:val="24"/>
          <w:szCs w:val="24"/>
        </w:rPr>
        <w:t>CLEAResult</w:t>
      </w:r>
      <w:proofErr w:type="spellEnd"/>
      <w:r w:rsidR="005E1B50" w:rsidRPr="004454CF">
        <w:rPr>
          <w:rFonts w:ascii="Times New Roman" w:hAnsi="Times New Roman" w:cs="Times New Roman"/>
          <w:sz w:val="24"/>
          <w:szCs w:val="24"/>
        </w:rPr>
        <w:t xml:space="preserve"> study that identified about 7,500 </w:t>
      </w:r>
      <w:proofErr w:type="spellStart"/>
      <w:r w:rsidR="005E1B50" w:rsidRPr="004454CF">
        <w:rPr>
          <w:rFonts w:ascii="Times New Roman" w:hAnsi="Times New Roman" w:cs="Times New Roman"/>
          <w:sz w:val="24"/>
          <w:szCs w:val="24"/>
        </w:rPr>
        <w:t>MWh</w:t>
      </w:r>
      <w:proofErr w:type="spellEnd"/>
      <w:r w:rsidR="005E1B50" w:rsidRPr="004454CF">
        <w:rPr>
          <w:rFonts w:ascii="Times New Roman" w:hAnsi="Times New Roman" w:cs="Times New Roman"/>
          <w:sz w:val="24"/>
          <w:szCs w:val="24"/>
        </w:rPr>
        <w:t xml:space="preserve"> of potential a</w:t>
      </w:r>
      <w:r w:rsidR="002368F5" w:rsidRPr="004454CF">
        <w:rPr>
          <w:rFonts w:ascii="Times New Roman" w:hAnsi="Times New Roman" w:cs="Times New Roman"/>
          <w:sz w:val="24"/>
          <w:szCs w:val="24"/>
        </w:rPr>
        <w:t>ssociated with organic Rankine c</w:t>
      </w:r>
      <w:r w:rsidR="005E1B50" w:rsidRPr="004454CF">
        <w:rPr>
          <w:rFonts w:ascii="Times New Roman" w:hAnsi="Times New Roman" w:cs="Times New Roman"/>
          <w:sz w:val="24"/>
          <w:szCs w:val="24"/>
        </w:rPr>
        <w:t xml:space="preserve">ycle and steam system optimization, beginning in 2019. </w:t>
      </w:r>
    </w:p>
    <w:p w14:paraId="4CB36B8A" w14:textId="77777777" w:rsidR="005E1B50" w:rsidRPr="004454CF" w:rsidRDefault="005E1B50" w:rsidP="008463AA">
      <w:pPr>
        <w:rPr>
          <w:rFonts w:ascii="Times New Roman" w:hAnsi="Times New Roman" w:cs="Times New Roman"/>
          <w:sz w:val="24"/>
          <w:szCs w:val="24"/>
        </w:rPr>
      </w:pPr>
    </w:p>
    <w:p w14:paraId="1A315990" w14:textId="7C9CD6BC" w:rsidR="005E1B50" w:rsidRPr="004454CF" w:rsidRDefault="005E1B50" w:rsidP="008463AA">
      <w:pPr>
        <w:rPr>
          <w:rFonts w:ascii="Times New Roman" w:hAnsi="Times New Roman" w:cs="Times New Roman"/>
          <w:sz w:val="24"/>
          <w:szCs w:val="24"/>
        </w:rPr>
      </w:pPr>
      <w:r w:rsidRPr="004454CF">
        <w:rPr>
          <w:rFonts w:ascii="Times New Roman" w:hAnsi="Times New Roman" w:cs="Times New Roman"/>
          <w:sz w:val="24"/>
          <w:szCs w:val="24"/>
        </w:rPr>
        <w:t>Pacific Power continues to rely on previous studies and pi</w:t>
      </w:r>
      <w:r w:rsidR="00635B42" w:rsidRPr="004454CF">
        <w:rPr>
          <w:rFonts w:ascii="Times New Roman" w:hAnsi="Times New Roman" w:cs="Times New Roman"/>
          <w:sz w:val="24"/>
          <w:szCs w:val="24"/>
        </w:rPr>
        <w:t>l</w:t>
      </w:r>
      <w:r w:rsidRPr="004454CF">
        <w:rPr>
          <w:rFonts w:ascii="Times New Roman" w:hAnsi="Times New Roman" w:cs="Times New Roman"/>
          <w:sz w:val="24"/>
          <w:szCs w:val="24"/>
        </w:rPr>
        <w:t xml:space="preserve">ot projects that were unable to identify cost-effective savings associated with distribution efficiency </w:t>
      </w:r>
      <w:r w:rsidR="00590201" w:rsidRPr="004454CF">
        <w:rPr>
          <w:rFonts w:ascii="Times New Roman" w:hAnsi="Times New Roman" w:cs="Times New Roman"/>
          <w:sz w:val="24"/>
          <w:szCs w:val="24"/>
        </w:rPr>
        <w:t>in Washington. The company previously identified a small amount of conservation opportunities at its generation facilities, but all of those projects have been completed.</w:t>
      </w:r>
    </w:p>
    <w:p w14:paraId="7245A747" w14:textId="77777777" w:rsidR="005E1B50" w:rsidRPr="004454CF" w:rsidRDefault="005E1B50" w:rsidP="008463AA">
      <w:pPr>
        <w:rPr>
          <w:rFonts w:ascii="Times New Roman" w:hAnsi="Times New Roman" w:cs="Times New Roman"/>
          <w:sz w:val="24"/>
          <w:szCs w:val="24"/>
        </w:rPr>
      </w:pPr>
    </w:p>
    <w:p w14:paraId="752F30F2" w14:textId="77777777" w:rsidR="008463AA" w:rsidRPr="004454CF" w:rsidRDefault="00590201" w:rsidP="008463AA">
      <w:pPr>
        <w:rPr>
          <w:rFonts w:ascii="Times New Roman" w:hAnsi="Times New Roman" w:cs="Times New Roman"/>
          <w:sz w:val="24"/>
          <w:szCs w:val="24"/>
        </w:rPr>
      </w:pPr>
      <w:r w:rsidRPr="004454CF">
        <w:rPr>
          <w:rFonts w:ascii="Times New Roman" w:hAnsi="Times New Roman" w:cs="Times New Roman"/>
          <w:sz w:val="24"/>
          <w:szCs w:val="24"/>
        </w:rPr>
        <w:t xml:space="preserve">After </w:t>
      </w:r>
      <w:r w:rsidR="007D2678" w:rsidRPr="004454CF">
        <w:rPr>
          <w:rFonts w:ascii="Times New Roman" w:hAnsi="Times New Roman" w:cs="Times New Roman"/>
          <w:sz w:val="24"/>
          <w:szCs w:val="24"/>
        </w:rPr>
        <w:t>making these adjustments</w:t>
      </w:r>
      <w:r w:rsidR="008463AA" w:rsidRPr="004454CF">
        <w:rPr>
          <w:rFonts w:ascii="Times New Roman" w:hAnsi="Times New Roman" w:cs="Times New Roman"/>
          <w:sz w:val="24"/>
          <w:szCs w:val="24"/>
        </w:rPr>
        <w:t xml:space="preserve">, </w:t>
      </w:r>
      <w:r w:rsidRPr="004454CF">
        <w:rPr>
          <w:rFonts w:ascii="Times New Roman" w:hAnsi="Times New Roman" w:cs="Times New Roman"/>
          <w:sz w:val="24"/>
          <w:szCs w:val="24"/>
        </w:rPr>
        <w:t xml:space="preserve">Pacific Power identified a </w:t>
      </w:r>
      <w:r w:rsidR="005A03F3" w:rsidRPr="004454CF">
        <w:rPr>
          <w:rFonts w:ascii="Times New Roman" w:hAnsi="Times New Roman" w:cs="Times New Roman"/>
          <w:sz w:val="24"/>
          <w:szCs w:val="24"/>
        </w:rPr>
        <w:t xml:space="preserve">biennial potential of 93,059 </w:t>
      </w:r>
      <w:proofErr w:type="spellStart"/>
      <w:r w:rsidR="005A03F3" w:rsidRPr="004454CF">
        <w:rPr>
          <w:rFonts w:ascii="Times New Roman" w:hAnsi="Times New Roman" w:cs="Times New Roman"/>
          <w:sz w:val="24"/>
          <w:szCs w:val="24"/>
        </w:rPr>
        <w:t>MWh</w:t>
      </w:r>
      <w:proofErr w:type="spellEnd"/>
      <w:r w:rsidR="005A03F3" w:rsidRPr="004454CF">
        <w:rPr>
          <w:rFonts w:ascii="Times New Roman" w:hAnsi="Times New Roman" w:cs="Times New Roman"/>
          <w:sz w:val="24"/>
          <w:szCs w:val="24"/>
        </w:rPr>
        <w:t xml:space="preserve">. </w:t>
      </w:r>
      <w:r w:rsidR="008463AA" w:rsidRPr="004454CF">
        <w:rPr>
          <w:rFonts w:ascii="Times New Roman" w:hAnsi="Times New Roman" w:cs="Times New Roman"/>
          <w:sz w:val="24"/>
          <w:szCs w:val="24"/>
        </w:rPr>
        <w:t xml:space="preserve">After removing NEEA’s projected savings, the company’s </w:t>
      </w:r>
      <w:r w:rsidR="005A03F3" w:rsidRPr="004454CF">
        <w:rPr>
          <w:rFonts w:ascii="Times New Roman" w:hAnsi="Times New Roman" w:cs="Times New Roman"/>
          <w:sz w:val="24"/>
          <w:szCs w:val="24"/>
        </w:rPr>
        <w:t xml:space="preserve">2016-2017 biennial </w:t>
      </w:r>
      <w:r w:rsidR="008463AA" w:rsidRPr="004454CF">
        <w:rPr>
          <w:rFonts w:ascii="Times New Roman" w:hAnsi="Times New Roman" w:cs="Times New Roman"/>
          <w:sz w:val="24"/>
          <w:szCs w:val="24"/>
        </w:rPr>
        <w:t xml:space="preserve">conservation target is </w:t>
      </w:r>
      <w:r w:rsidR="005A03F3" w:rsidRPr="004454CF">
        <w:rPr>
          <w:rFonts w:ascii="Times New Roman" w:hAnsi="Times New Roman" w:cs="Times New Roman"/>
          <w:sz w:val="24"/>
          <w:szCs w:val="24"/>
        </w:rPr>
        <w:t>87,814</w:t>
      </w:r>
      <w:r w:rsidR="008463AA" w:rsidRPr="004454CF">
        <w:rPr>
          <w:rFonts w:ascii="Times New Roman" w:hAnsi="Times New Roman" w:cs="Times New Roman"/>
          <w:sz w:val="24"/>
          <w:szCs w:val="24"/>
        </w:rPr>
        <w:t xml:space="preserve"> </w:t>
      </w:r>
      <w:proofErr w:type="spellStart"/>
      <w:r w:rsidR="008463AA" w:rsidRPr="004454CF">
        <w:rPr>
          <w:rFonts w:ascii="Times New Roman" w:hAnsi="Times New Roman" w:cs="Times New Roman"/>
          <w:sz w:val="24"/>
          <w:szCs w:val="24"/>
        </w:rPr>
        <w:t>MWh</w:t>
      </w:r>
      <w:proofErr w:type="spellEnd"/>
      <w:r w:rsidR="008463AA" w:rsidRPr="004454CF">
        <w:rPr>
          <w:rFonts w:ascii="Times New Roman" w:hAnsi="Times New Roman" w:cs="Times New Roman"/>
          <w:sz w:val="24"/>
          <w:szCs w:val="24"/>
        </w:rPr>
        <w:t xml:space="preserve"> (</w:t>
      </w:r>
      <w:r w:rsidR="005A03F3" w:rsidRPr="004454CF">
        <w:rPr>
          <w:rFonts w:ascii="Times New Roman" w:hAnsi="Times New Roman" w:cs="Times New Roman"/>
          <w:sz w:val="24"/>
          <w:szCs w:val="24"/>
        </w:rPr>
        <w:t>10</w:t>
      </w:r>
      <w:r w:rsidR="008463AA" w:rsidRPr="004454CF">
        <w:rPr>
          <w:rFonts w:ascii="Times New Roman" w:hAnsi="Times New Roman" w:cs="Times New Roman"/>
          <w:sz w:val="24"/>
          <w:szCs w:val="24"/>
        </w:rPr>
        <w:t xml:space="preserve"> </w:t>
      </w:r>
      <w:proofErr w:type="spellStart"/>
      <w:r w:rsidR="008463AA" w:rsidRPr="004454CF">
        <w:rPr>
          <w:rFonts w:ascii="Times New Roman" w:hAnsi="Times New Roman" w:cs="Times New Roman"/>
          <w:sz w:val="24"/>
          <w:szCs w:val="24"/>
        </w:rPr>
        <w:t>aMW</w:t>
      </w:r>
      <w:proofErr w:type="spellEnd"/>
      <w:r w:rsidR="008463AA" w:rsidRPr="004454CF">
        <w:rPr>
          <w:rFonts w:ascii="Times New Roman" w:hAnsi="Times New Roman" w:cs="Times New Roman"/>
          <w:sz w:val="24"/>
          <w:szCs w:val="24"/>
        </w:rPr>
        <w:t xml:space="preserve">). In its 2014-2015 DSM Business Plan, </w:t>
      </w:r>
      <w:r w:rsidR="00E549EB" w:rsidRPr="004454CF">
        <w:rPr>
          <w:rFonts w:ascii="Times New Roman" w:hAnsi="Times New Roman" w:cs="Times New Roman"/>
          <w:sz w:val="24"/>
          <w:szCs w:val="24"/>
        </w:rPr>
        <w:t>Pacific Power</w:t>
      </w:r>
      <w:r w:rsidR="008463AA" w:rsidRPr="004454CF">
        <w:rPr>
          <w:rFonts w:ascii="Times New Roman" w:hAnsi="Times New Roman" w:cs="Times New Roman"/>
          <w:sz w:val="24"/>
          <w:szCs w:val="24"/>
        </w:rPr>
        <w:t xml:space="preserve"> projects that </w:t>
      </w:r>
      <w:r w:rsidR="003F10AE" w:rsidRPr="004454CF">
        <w:rPr>
          <w:rFonts w:ascii="Times New Roman" w:hAnsi="Times New Roman" w:cs="Times New Roman"/>
          <w:sz w:val="24"/>
          <w:szCs w:val="24"/>
        </w:rPr>
        <w:t xml:space="preserve">its company-sponsored programs will achieve 91,630 </w:t>
      </w:r>
      <w:proofErr w:type="spellStart"/>
      <w:r w:rsidR="003F10AE" w:rsidRPr="004454CF">
        <w:rPr>
          <w:rFonts w:ascii="Times New Roman" w:hAnsi="Times New Roman" w:cs="Times New Roman"/>
          <w:sz w:val="24"/>
          <w:szCs w:val="24"/>
        </w:rPr>
        <w:t>MWh</w:t>
      </w:r>
      <w:proofErr w:type="spellEnd"/>
      <w:r w:rsidR="003F10AE" w:rsidRPr="004454CF">
        <w:rPr>
          <w:rFonts w:ascii="Times New Roman" w:hAnsi="Times New Roman" w:cs="Times New Roman"/>
          <w:sz w:val="24"/>
          <w:szCs w:val="24"/>
        </w:rPr>
        <w:t xml:space="preserve"> of savings, exceeding the target by 4.3 percent. When projected NEEA savings are included, Pacific Power projects that it will achieve 96,876 (11 </w:t>
      </w:r>
      <w:proofErr w:type="spellStart"/>
      <w:r w:rsidR="003F10AE" w:rsidRPr="004454CF">
        <w:rPr>
          <w:rFonts w:ascii="Times New Roman" w:hAnsi="Times New Roman" w:cs="Times New Roman"/>
          <w:sz w:val="24"/>
          <w:szCs w:val="24"/>
        </w:rPr>
        <w:t>aMW</w:t>
      </w:r>
      <w:proofErr w:type="spellEnd"/>
      <w:r w:rsidR="003F10AE" w:rsidRPr="004454CF">
        <w:rPr>
          <w:rFonts w:ascii="Times New Roman" w:hAnsi="Times New Roman" w:cs="Times New Roman"/>
          <w:sz w:val="24"/>
          <w:szCs w:val="24"/>
        </w:rPr>
        <w:t xml:space="preserve">) in the 2016-2017 biennium. Table 3 </w:t>
      </w:r>
      <w:r w:rsidR="0001377C" w:rsidRPr="004454CF">
        <w:rPr>
          <w:rFonts w:ascii="Times New Roman" w:hAnsi="Times New Roman" w:cs="Times New Roman"/>
          <w:sz w:val="24"/>
          <w:szCs w:val="24"/>
        </w:rPr>
        <w:t>compares Pacific Power’s current and upcoming biennial targets and budgets:</w:t>
      </w:r>
    </w:p>
    <w:p w14:paraId="2E75B252" w14:textId="77777777" w:rsidR="008463AA" w:rsidRPr="004454CF" w:rsidRDefault="008463AA" w:rsidP="008463AA">
      <w:pPr>
        <w:rPr>
          <w:rFonts w:ascii="Times New Roman" w:hAnsi="Times New Roman" w:cs="Times New Roman"/>
          <w:b/>
          <w:sz w:val="24"/>
          <w:szCs w:val="24"/>
        </w:rPr>
      </w:pPr>
    </w:p>
    <w:p w14:paraId="7446B7BF" w14:textId="77777777" w:rsidR="008463AA" w:rsidRPr="004454CF" w:rsidRDefault="008463AA" w:rsidP="008463AA">
      <w:pPr>
        <w:pStyle w:val="Caption"/>
      </w:pPr>
      <w:bookmarkStart w:id="14" w:name="_Toc436655112"/>
      <w:r w:rsidRPr="004454CF">
        <w:t xml:space="preserve">Table </w:t>
      </w:r>
      <w:fldSimple w:instr=" SEQ Table \* ARABIC ">
        <w:r w:rsidR="00CF2949">
          <w:rPr>
            <w:noProof/>
          </w:rPr>
          <w:t>2</w:t>
        </w:r>
      </w:fldSimple>
      <w:r w:rsidRPr="004454CF">
        <w:t>. Pacifi</w:t>
      </w:r>
      <w:r w:rsidR="0001377C" w:rsidRPr="004454CF">
        <w:t>c Power</w:t>
      </w:r>
      <w:r w:rsidRPr="004454CF">
        <w:t xml:space="preserve"> Conservation Savings and Budgets</w:t>
      </w:r>
      <w:bookmarkEnd w:id="14"/>
    </w:p>
    <w:tbl>
      <w:tblPr>
        <w:tblStyle w:val="TableGrid"/>
        <w:tblW w:w="0" w:type="auto"/>
        <w:tblInd w:w="0" w:type="dxa"/>
        <w:tblLook w:val="04A0" w:firstRow="1" w:lastRow="0" w:firstColumn="1" w:lastColumn="0" w:noHBand="0" w:noVBand="1"/>
      </w:tblPr>
      <w:tblGrid>
        <w:gridCol w:w="1682"/>
        <w:gridCol w:w="1927"/>
        <w:gridCol w:w="1909"/>
        <w:gridCol w:w="1857"/>
        <w:gridCol w:w="1975"/>
      </w:tblGrid>
      <w:tr w:rsidR="008463AA" w:rsidRPr="004454CF" w14:paraId="499F02E1" w14:textId="77777777" w:rsidTr="003F10AE">
        <w:tc>
          <w:tcPr>
            <w:tcW w:w="1682" w:type="dxa"/>
            <w:tcBorders>
              <w:top w:val="single" w:sz="4" w:space="0" w:color="auto"/>
              <w:left w:val="single" w:sz="4" w:space="0" w:color="auto"/>
              <w:bottom w:val="single" w:sz="4" w:space="0" w:color="auto"/>
              <w:right w:val="single" w:sz="4" w:space="0" w:color="auto"/>
            </w:tcBorders>
          </w:tcPr>
          <w:p w14:paraId="580410EC" w14:textId="77777777" w:rsidR="008463AA" w:rsidRPr="004454CF" w:rsidRDefault="008463AA">
            <w:pPr>
              <w:jc w:val="center"/>
              <w:rPr>
                <w:rFonts w:ascii="Times New Roman" w:hAnsi="Times New Roman" w:cs="Times New Roman"/>
                <w:b/>
                <w:sz w:val="24"/>
                <w:szCs w:val="24"/>
              </w:rPr>
            </w:pPr>
          </w:p>
        </w:tc>
        <w:tc>
          <w:tcPr>
            <w:tcW w:w="1927" w:type="dxa"/>
            <w:tcBorders>
              <w:top w:val="single" w:sz="4" w:space="0" w:color="auto"/>
              <w:left w:val="single" w:sz="4" w:space="0" w:color="auto"/>
              <w:bottom w:val="single" w:sz="4" w:space="0" w:color="auto"/>
              <w:right w:val="single" w:sz="4" w:space="0" w:color="auto"/>
            </w:tcBorders>
            <w:hideMark/>
          </w:tcPr>
          <w:p w14:paraId="2F0A155D" w14:textId="77777777" w:rsidR="008463AA" w:rsidRPr="004454CF" w:rsidRDefault="0096744F">
            <w:pPr>
              <w:jc w:val="center"/>
              <w:rPr>
                <w:rFonts w:ascii="Times New Roman" w:hAnsi="Times New Roman" w:cs="Times New Roman"/>
                <w:b/>
                <w:sz w:val="24"/>
                <w:szCs w:val="24"/>
              </w:rPr>
            </w:pPr>
            <w:r w:rsidRPr="004454CF">
              <w:rPr>
                <w:rFonts w:ascii="Times New Roman" w:hAnsi="Times New Roman" w:cs="Times New Roman"/>
                <w:b/>
                <w:sz w:val="24"/>
                <w:szCs w:val="24"/>
              </w:rPr>
              <w:t>2014-2015</w:t>
            </w:r>
            <w:r w:rsidR="008463AA" w:rsidRPr="004454CF">
              <w:rPr>
                <w:rFonts w:ascii="Times New Roman" w:hAnsi="Times New Roman" w:cs="Times New Roman"/>
                <w:b/>
                <w:sz w:val="24"/>
                <w:szCs w:val="24"/>
              </w:rPr>
              <w:t xml:space="preserve"> Biennial Target</w:t>
            </w:r>
          </w:p>
        </w:tc>
        <w:tc>
          <w:tcPr>
            <w:tcW w:w="1909" w:type="dxa"/>
            <w:tcBorders>
              <w:top w:val="single" w:sz="4" w:space="0" w:color="auto"/>
              <w:left w:val="single" w:sz="4" w:space="0" w:color="auto"/>
              <w:bottom w:val="single" w:sz="4" w:space="0" w:color="auto"/>
              <w:right w:val="single" w:sz="4" w:space="0" w:color="auto"/>
            </w:tcBorders>
            <w:hideMark/>
          </w:tcPr>
          <w:p w14:paraId="30E24C48" w14:textId="77777777" w:rsidR="008463AA" w:rsidRPr="004454CF" w:rsidRDefault="0096744F">
            <w:pPr>
              <w:jc w:val="center"/>
              <w:rPr>
                <w:rFonts w:ascii="Times New Roman" w:hAnsi="Times New Roman" w:cs="Times New Roman"/>
                <w:b/>
                <w:sz w:val="24"/>
                <w:szCs w:val="24"/>
              </w:rPr>
            </w:pPr>
            <w:r w:rsidRPr="004454CF">
              <w:rPr>
                <w:rFonts w:ascii="Times New Roman" w:hAnsi="Times New Roman" w:cs="Times New Roman"/>
                <w:b/>
                <w:sz w:val="24"/>
                <w:szCs w:val="24"/>
              </w:rPr>
              <w:t>2016-2025</w:t>
            </w:r>
          </w:p>
          <w:p w14:paraId="7495222C" w14:textId="77777777" w:rsidR="008463AA" w:rsidRPr="004454CF" w:rsidRDefault="008463AA">
            <w:pPr>
              <w:jc w:val="center"/>
              <w:rPr>
                <w:rFonts w:ascii="Times New Roman" w:hAnsi="Times New Roman" w:cs="Times New Roman"/>
                <w:b/>
                <w:sz w:val="24"/>
                <w:szCs w:val="24"/>
              </w:rPr>
            </w:pPr>
            <w:r w:rsidRPr="004454CF">
              <w:rPr>
                <w:rFonts w:ascii="Times New Roman" w:hAnsi="Times New Roman" w:cs="Times New Roman"/>
                <w:b/>
                <w:sz w:val="24"/>
                <w:szCs w:val="24"/>
              </w:rPr>
              <w:t>10-year potential</w:t>
            </w:r>
          </w:p>
        </w:tc>
        <w:tc>
          <w:tcPr>
            <w:tcW w:w="1857" w:type="dxa"/>
            <w:tcBorders>
              <w:top w:val="single" w:sz="4" w:space="0" w:color="auto"/>
              <w:left w:val="single" w:sz="4" w:space="0" w:color="auto"/>
              <w:bottom w:val="single" w:sz="4" w:space="0" w:color="auto"/>
              <w:right w:val="single" w:sz="4" w:space="0" w:color="auto"/>
            </w:tcBorders>
            <w:hideMark/>
          </w:tcPr>
          <w:p w14:paraId="184CDEC8" w14:textId="77777777" w:rsidR="008463AA" w:rsidRPr="004454CF" w:rsidRDefault="0096744F">
            <w:pPr>
              <w:jc w:val="center"/>
              <w:rPr>
                <w:rFonts w:ascii="Times New Roman" w:hAnsi="Times New Roman" w:cs="Times New Roman"/>
                <w:b/>
                <w:sz w:val="24"/>
                <w:szCs w:val="24"/>
              </w:rPr>
            </w:pPr>
            <w:r w:rsidRPr="004454CF">
              <w:rPr>
                <w:rFonts w:ascii="Times New Roman" w:hAnsi="Times New Roman" w:cs="Times New Roman"/>
                <w:b/>
                <w:sz w:val="24"/>
                <w:szCs w:val="24"/>
              </w:rPr>
              <w:t>2016-2017</w:t>
            </w:r>
            <w:r w:rsidR="008463AA" w:rsidRPr="004454CF">
              <w:rPr>
                <w:rFonts w:ascii="Times New Roman" w:hAnsi="Times New Roman" w:cs="Times New Roman"/>
                <w:b/>
                <w:sz w:val="24"/>
                <w:szCs w:val="24"/>
              </w:rPr>
              <w:t xml:space="preserve"> Biennial Target</w:t>
            </w:r>
          </w:p>
        </w:tc>
        <w:tc>
          <w:tcPr>
            <w:tcW w:w="1975" w:type="dxa"/>
            <w:tcBorders>
              <w:top w:val="single" w:sz="4" w:space="0" w:color="auto"/>
              <w:left w:val="single" w:sz="4" w:space="0" w:color="auto"/>
              <w:bottom w:val="single" w:sz="4" w:space="0" w:color="auto"/>
              <w:right w:val="single" w:sz="4" w:space="0" w:color="auto"/>
            </w:tcBorders>
            <w:hideMark/>
          </w:tcPr>
          <w:p w14:paraId="580B6E9B" w14:textId="77777777" w:rsidR="008463AA" w:rsidRPr="004454CF" w:rsidRDefault="0096744F">
            <w:pPr>
              <w:jc w:val="center"/>
              <w:rPr>
                <w:rFonts w:ascii="Times New Roman" w:hAnsi="Times New Roman" w:cs="Times New Roman"/>
                <w:b/>
                <w:sz w:val="24"/>
                <w:szCs w:val="24"/>
              </w:rPr>
            </w:pPr>
            <w:r w:rsidRPr="004454CF">
              <w:rPr>
                <w:rFonts w:ascii="Times New Roman" w:hAnsi="Times New Roman" w:cs="Times New Roman"/>
                <w:b/>
                <w:sz w:val="24"/>
                <w:szCs w:val="24"/>
              </w:rPr>
              <w:t>2016-2017</w:t>
            </w:r>
            <w:r w:rsidR="008463AA" w:rsidRPr="004454CF">
              <w:rPr>
                <w:rFonts w:ascii="Times New Roman" w:hAnsi="Times New Roman" w:cs="Times New Roman"/>
                <w:b/>
                <w:sz w:val="24"/>
                <w:szCs w:val="24"/>
              </w:rPr>
              <w:t xml:space="preserve"> Portfolio Total</w:t>
            </w:r>
            <w:r w:rsidRPr="004454CF">
              <w:rPr>
                <w:rStyle w:val="FootnoteReference"/>
                <w:rFonts w:ascii="Times New Roman" w:hAnsi="Times New Roman" w:cs="Times New Roman"/>
                <w:b/>
                <w:sz w:val="24"/>
                <w:szCs w:val="24"/>
              </w:rPr>
              <w:footnoteReference w:id="24"/>
            </w:r>
          </w:p>
        </w:tc>
      </w:tr>
      <w:tr w:rsidR="008463AA" w:rsidRPr="004454CF" w14:paraId="61475CEF" w14:textId="77777777" w:rsidTr="003F10AE">
        <w:trPr>
          <w:trHeight w:val="638"/>
        </w:trPr>
        <w:tc>
          <w:tcPr>
            <w:tcW w:w="1682" w:type="dxa"/>
            <w:tcBorders>
              <w:top w:val="single" w:sz="4" w:space="0" w:color="auto"/>
              <w:left w:val="single" w:sz="4" w:space="0" w:color="auto"/>
              <w:bottom w:val="single" w:sz="4" w:space="0" w:color="auto"/>
              <w:right w:val="single" w:sz="4" w:space="0" w:color="auto"/>
            </w:tcBorders>
            <w:hideMark/>
          </w:tcPr>
          <w:p w14:paraId="743E5205" w14:textId="77777777" w:rsidR="008463AA" w:rsidRPr="004454CF" w:rsidRDefault="008463AA">
            <w:pPr>
              <w:rPr>
                <w:rFonts w:ascii="Times New Roman" w:hAnsi="Times New Roman" w:cs="Times New Roman"/>
                <w:b/>
                <w:sz w:val="24"/>
                <w:szCs w:val="24"/>
              </w:rPr>
            </w:pPr>
            <w:r w:rsidRPr="004454CF">
              <w:rPr>
                <w:rFonts w:ascii="Times New Roman" w:hAnsi="Times New Roman" w:cs="Times New Roman"/>
                <w:b/>
                <w:sz w:val="24"/>
                <w:szCs w:val="24"/>
              </w:rPr>
              <w:t>Savings</w:t>
            </w:r>
          </w:p>
        </w:tc>
        <w:tc>
          <w:tcPr>
            <w:tcW w:w="1927" w:type="dxa"/>
            <w:tcBorders>
              <w:top w:val="single" w:sz="4" w:space="0" w:color="auto"/>
              <w:left w:val="single" w:sz="4" w:space="0" w:color="auto"/>
              <w:bottom w:val="single" w:sz="4" w:space="0" w:color="auto"/>
              <w:right w:val="single" w:sz="4" w:space="0" w:color="auto"/>
            </w:tcBorders>
            <w:vAlign w:val="center"/>
            <w:hideMark/>
          </w:tcPr>
          <w:p w14:paraId="15DD7351" w14:textId="77777777" w:rsidR="0096744F" w:rsidRPr="004454CF" w:rsidRDefault="0096744F" w:rsidP="003F10AE">
            <w:pPr>
              <w:jc w:val="center"/>
              <w:rPr>
                <w:rFonts w:ascii="Times New Roman" w:hAnsi="Times New Roman" w:cs="Times New Roman"/>
                <w:sz w:val="24"/>
                <w:szCs w:val="24"/>
              </w:rPr>
            </w:pPr>
            <w:r w:rsidRPr="004454CF">
              <w:rPr>
                <w:rFonts w:ascii="Times New Roman" w:hAnsi="Times New Roman" w:cs="Times New Roman"/>
                <w:sz w:val="24"/>
                <w:szCs w:val="24"/>
              </w:rPr>
              <w:t>74,703</w:t>
            </w:r>
            <w:r w:rsidR="0001377C" w:rsidRPr="004454CF">
              <w:rPr>
                <w:rFonts w:ascii="Times New Roman" w:hAnsi="Times New Roman" w:cs="Times New Roman"/>
                <w:sz w:val="24"/>
                <w:szCs w:val="24"/>
              </w:rPr>
              <w:t xml:space="preserve"> </w:t>
            </w:r>
            <w:proofErr w:type="spellStart"/>
            <w:r w:rsidR="0001377C" w:rsidRPr="004454CF">
              <w:rPr>
                <w:rFonts w:ascii="Times New Roman" w:hAnsi="Times New Roman" w:cs="Times New Roman"/>
                <w:sz w:val="24"/>
                <w:szCs w:val="24"/>
              </w:rPr>
              <w:t>MWh</w:t>
            </w:r>
            <w:proofErr w:type="spellEnd"/>
          </w:p>
          <w:p w14:paraId="6B9DBAAC" w14:textId="77777777" w:rsidR="008463AA" w:rsidRPr="004454CF" w:rsidRDefault="0096744F" w:rsidP="003F10AE">
            <w:pPr>
              <w:jc w:val="center"/>
              <w:rPr>
                <w:rFonts w:ascii="Times New Roman" w:hAnsi="Times New Roman" w:cs="Times New Roman"/>
                <w:sz w:val="24"/>
                <w:szCs w:val="24"/>
              </w:rPr>
            </w:pPr>
            <w:r w:rsidRPr="004454CF">
              <w:rPr>
                <w:rFonts w:ascii="Times New Roman" w:hAnsi="Times New Roman" w:cs="Times New Roman"/>
                <w:sz w:val="24"/>
                <w:szCs w:val="24"/>
              </w:rPr>
              <w:t xml:space="preserve">(8.5 </w:t>
            </w:r>
            <w:proofErr w:type="spellStart"/>
            <w:r w:rsidRPr="004454CF">
              <w:rPr>
                <w:rFonts w:ascii="Times New Roman" w:hAnsi="Times New Roman" w:cs="Times New Roman"/>
                <w:sz w:val="24"/>
                <w:szCs w:val="24"/>
              </w:rPr>
              <w:t>aMW</w:t>
            </w:r>
            <w:proofErr w:type="spellEnd"/>
            <w:r w:rsidRPr="004454CF">
              <w:rPr>
                <w:rFonts w:ascii="Times New Roman" w:hAnsi="Times New Roman" w:cs="Times New Roman"/>
                <w:sz w:val="24"/>
                <w:szCs w:val="24"/>
              </w:rPr>
              <w:t>)</w:t>
            </w:r>
          </w:p>
        </w:tc>
        <w:tc>
          <w:tcPr>
            <w:tcW w:w="1909" w:type="dxa"/>
            <w:tcBorders>
              <w:top w:val="single" w:sz="4" w:space="0" w:color="auto"/>
              <w:left w:val="single" w:sz="4" w:space="0" w:color="auto"/>
              <w:bottom w:val="single" w:sz="4" w:space="0" w:color="auto"/>
              <w:right w:val="single" w:sz="4" w:space="0" w:color="auto"/>
            </w:tcBorders>
            <w:vAlign w:val="center"/>
            <w:hideMark/>
          </w:tcPr>
          <w:p w14:paraId="1D0F46EE" w14:textId="77777777" w:rsidR="0096744F" w:rsidRPr="004454CF" w:rsidRDefault="0096744F" w:rsidP="003F10AE">
            <w:pPr>
              <w:jc w:val="center"/>
              <w:rPr>
                <w:rFonts w:ascii="Times New Roman" w:hAnsi="Times New Roman" w:cs="Times New Roman"/>
                <w:sz w:val="24"/>
                <w:szCs w:val="24"/>
              </w:rPr>
            </w:pPr>
            <w:r w:rsidRPr="004454CF">
              <w:rPr>
                <w:rFonts w:ascii="Times New Roman" w:hAnsi="Times New Roman" w:cs="Times New Roman"/>
                <w:sz w:val="24"/>
                <w:szCs w:val="24"/>
              </w:rPr>
              <w:t>457,530</w:t>
            </w:r>
          </w:p>
          <w:p w14:paraId="6E20E868" w14:textId="77777777" w:rsidR="008463AA" w:rsidRPr="004454CF" w:rsidRDefault="008463AA" w:rsidP="003F10AE">
            <w:pPr>
              <w:jc w:val="center"/>
              <w:rPr>
                <w:rFonts w:ascii="Times New Roman" w:hAnsi="Times New Roman" w:cs="Times New Roman"/>
                <w:sz w:val="24"/>
                <w:szCs w:val="24"/>
              </w:rPr>
            </w:pPr>
            <w:r w:rsidRPr="004454CF">
              <w:rPr>
                <w:rFonts w:ascii="Times New Roman" w:hAnsi="Times New Roman" w:cs="Times New Roman"/>
                <w:sz w:val="24"/>
                <w:szCs w:val="24"/>
              </w:rPr>
              <w:t>(</w:t>
            </w:r>
            <w:r w:rsidR="0096744F" w:rsidRPr="004454CF">
              <w:rPr>
                <w:rFonts w:ascii="Times New Roman" w:hAnsi="Times New Roman" w:cs="Times New Roman"/>
                <w:sz w:val="24"/>
                <w:szCs w:val="24"/>
              </w:rPr>
              <w:t>52.2</w:t>
            </w:r>
            <w:r w:rsidRPr="004454CF">
              <w:rPr>
                <w:rFonts w:ascii="Times New Roman" w:hAnsi="Times New Roman" w:cs="Times New Roman"/>
                <w:sz w:val="24"/>
                <w:szCs w:val="24"/>
              </w:rPr>
              <w:t xml:space="preserve"> </w:t>
            </w:r>
            <w:proofErr w:type="spellStart"/>
            <w:r w:rsidRPr="004454CF">
              <w:rPr>
                <w:rFonts w:ascii="Times New Roman" w:hAnsi="Times New Roman" w:cs="Times New Roman"/>
                <w:sz w:val="24"/>
                <w:szCs w:val="24"/>
              </w:rPr>
              <w:t>aMW</w:t>
            </w:r>
            <w:proofErr w:type="spellEnd"/>
            <w:r w:rsidRPr="004454CF">
              <w:rPr>
                <w:rFonts w:ascii="Times New Roman" w:hAnsi="Times New Roman" w:cs="Times New Roman"/>
                <w:sz w:val="24"/>
                <w:szCs w:val="24"/>
              </w:rPr>
              <w:t>)</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F80D6B6" w14:textId="77777777" w:rsidR="008463AA" w:rsidRPr="004454CF" w:rsidRDefault="0096744F" w:rsidP="003F10AE">
            <w:pPr>
              <w:jc w:val="center"/>
              <w:rPr>
                <w:rFonts w:ascii="Times New Roman" w:hAnsi="Times New Roman" w:cs="Times New Roman"/>
                <w:sz w:val="24"/>
                <w:szCs w:val="24"/>
              </w:rPr>
            </w:pPr>
            <w:r w:rsidRPr="004454CF">
              <w:rPr>
                <w:rFonts w:ascii="Times New Roman" w:hAnsi="Times New Roman" w:cs="Times New Roman"/>
                <w:sz w:val="24"/>
                <w:szCs w:val="24"/>
              </w:rPr>
              <w:t xml:space="preserve">87,814 </w:t>
            </w:r>
            <w:proofErr w:type="spellStart"/>
            <w:r w:rsidRPr="004454CF">
              <w:rPr>
                <w:rFonts w:ascii="Times New Roman" w:hAnsi="Times New Roman" w:cs="Times New Roman"/>
                <w:sz w:val="24"/>
                <w:szCs w:val="24"/>
              </w:rPr>
              <w:t>MWh</w:t>
            </w:r>
            <w:proofErr w:type="spellEnd"/>
          </w:p>
          <w:p w14:paraId="0CBA0AEB" w14:textId="77777777" w:rsidR="0096744F" w:rsidRPr="004454CF" w:rsidRDefault="0096744F" w:rsidP="003F10AE">
            <w:pPr>
              <w:jc w:val="center"/>
              <w:rPr>
                <w:rFonts w:ascii="Times New Roman" w:hAnsi="Times New Roman" w:cs="Times New Roman"/>
                <w:sz w:val="24"/>
                <w:szCs w:val="24"/>
              </w:rPr>
            </w:pPr>
            <w:r w:rsidRPr="004454CF">
              <w:rPr>
                <w:rFonts w:ascii="Times New Roman" w:hAnsi="Times New Roman" w:cs="Times New Roman"/>
                <w:sz w:val="24"/>
                <w:szCs w:val="24"/>
              </w:rPr>
              <w:t xml:space="preserve">(10 </w:t>
            </w:r>
            <w:proofErr w:type="spellStart"/>
            <w:r w:rsidRPr="004454CF">
              <w:rPr>
                <w:rFonts w:ascii="Times New Roman" w:hAnsi="Times New Roman" w:cs="Times New Roman"/>
                <w:sz w:val="24"/>
                <w:szCs w:val="24"/>
              </w:rPr>
              <w:t>aMW</w:t>
            </w:r>
            <w:proofErr w:type="spellEnd"/>
            <w:r w:rsidRPr="004454CF">
              <w:rPr>
                <w:rFonts w:ascii="Times New Roman" w:hAnsi="Times New Roman" w:cs="Times New Roman"/>
                <w:sz w:val="24"/>
                <w:szCs w:val="24"/>
              </w:rPr>
              <w:t>)</w:t>
            </w:r>
          </w:p>
        </w:tc>
        <w:tc>
          <w:tcPr>
            <w:tcW w:w="1975" w:type="dxa"/>
            <w:tcBorders>
              <w:top w:val="single" w:sz="4" w:space="0" w:color="auto"/>
              <w:left w:val="single" w:sz="4" w:space="0" w:color="auto"/>
              <w:bottom w:val="single" w:sz="4" w:space="0" w:color="auto"/>
              <w:right w:val="single" w:sz="4" w:space="0" w:color="auto"/>
            </w:tcBorders>
            <w:vAlign w:val="center"/>
            <w:hideMark/>
          </w:tcPr>
          <w:p w14:paraId="58418427" w14:textId="77777777" w:rsidR="008463AA" w:rsidRPr="004454CF" w:rsidRDefault="0096744F" w:rsidP="003F10AE">
            <w:pPr>
              <w:jc w:val="center"/>
              <w:rPr>
                <w:rFonts w:ascii="Times New Roman" w:hAnsi="Times New Roman" w:cs="Times New Roman"/>
                <w:sz w:val="24"/>
                <w:szCs w:val="24"/>
              </w:rPr>
            </w:pPr>
            <w:r w:rsidRPr="004454CF">
              <w:rPr>
                <w:rFonts w:ascii="Times New Roman" w:hAnsi="Times New Roman" w:cs="Times New Roman"/>
                <w:sz w:val="24"/>
                <w:szCs w:val="24"/>
              </w:rPr>
              <w:t>96,876</w:t>
            </w:r>
            <w:r w:rsidR="008463AA" w:rsidRPr="004454CF">
              <w:rPr>
                <w:rFonts w:ascii="Times New Roman" w:hAnsi="Times New Roman" w:cs="Times New Roman"/>
                <w:sz w:val="24"/>
                <w:szCs w:val="24"/>
              </w:rPr>
              <w:t xml:space="preserve"> </w:t>
            </w:r>
            <w:proofErr w:type="spellStart"/>
            <w:r w:rsidR="008463AA" w:rsidRPr="004454CF">
              <w:rPr>
                <w:rFonts w:ascii="Times New Roman" w:hAnsi="Times New Roman" w:cs="Times New Roman"/>
                <w:sz w:val="24"/>
                <w:szCs w:val="24"/>
              </w:rPr>
              <w:t>MWh</w:t>
            </w:r>
            <w:proofErr w:type="spellEnd"/>
          </w:p>
          <w:p w14:paraId="6477C181" w14:textId="77777777" w:rsidR="008463AA" w:rsidRPr="004454CF" w:rsidRDefault="0096744F" w:rsidP="003F10AE">
            <w:pPr>
              <w:jc w:val="center"/>
              <w:rPr>
                <w:rFonts w:ascii="Times New Roman" w:hAnsi="Times New Roman" w:cs="Times New Roman"/>
                <w:sz w:val="24"/>
                <w:szCs w:val="24"/>
              </w:rPr>
            </w:pPr>
            <w:r w:rsidRPr="004454CF">
              <w:rPr>
                <w:rFonts w:ascii="Times New Roman" w:hAnsi="Times New Roman" w:cs="Times New Roman"/>
                <w:sz w:val="24"/>
                <w:szCs w:val="24"/>
              </w:rPr>
              <w:t>(11</w:t>
            </w:r>
            <w:r w:rsidR="008463AA" w:rsidRPr="004454CF">
              <w:rPr>
                <w:rFonts w:ascii="Times New Roman" w:hAnsi="Times New Roman" w:cs="Times New Roman"/>
                <w:sz w:val="24"/>
                <w:szCs w:val="24"/>
              </w:rPr>
              <w:t xml:space="preserve"> </w:t>
            </w:r>
            <w:proofErr w:type="spellStart"/>
            <w:r w:rsidR="008463AA" w:rsidRPr="004454CF">
              <w:rPr>
                <w:rFonts w:ascii="Times New Roman" w:hAnsi="Times New Roman" w:cs="Times New Roman"/>
                <w:sz w:val="24"/>
                <w:szCs w:val="24"/>
              </w:rPr>
              <w:t>aMW</w:t>
            </w:r>
            <w:proofErr w:type="spellEnd"/>
            <w:r w:rsidR="008463AA" w:rsidRPr="004454CF">
              <w:rPr>
                <w:rFonts w:ascii="Times New Roman" w:hAnsi="Times New Roman" w:cs="Times New Roman"/>
                <w:sz w:val="24"/>
                <w:szCs w:val="24"/>
              </w:rPr>
              <w:t>)</w:t>
            </w:r>
          </w:p>
        </w:tc>
      </w:tr>
      <w:tr w:rsidR="008463AA" w:rsidRPr="004454CF" w14:paraId="4F012421" w14:textId="77777777" w:rsidTr="003F10AE">
        <w:trPr>
          <w:trHeight w:val="350"/>
        </w:trPr>
        <w:tc>
          <w:tcPr>
            <w:tcW w:w="1682" w:type="dxa"/>
            <w:tcBorders>
              <w:top w:val="single" w:sz="4" w:space="0" w:color="auto"/>
              <w:left w:val="single" w:sz="4" w:space="0" w:color="auto"/>
              <w:bottom w:val="single" w:sz="4" w:space="0" w:color="auto"/>
              <w:right w:val="single" w:sz="4" w:space="0" w:color="auto"/>
            </w:tcBorders>
            <w:hideMark/>
          </w:tcPr>
          <w:p w14:paraId="09C52C52" w14:textId="77777777" w:rsidR="008463AA" w:rsidRPr="004454CF" w:rsidRDefault="008463AA">
            <w:pPr>
              <w:rPr>
                <w:rFonts w:ascii="Times New Roman" w:hAnsi="Times New Roman" w:cs="Times New Roman"/>
                <w:b/>
                <w:sz w:val="24"/>
                <w:szCs w:val="24"/>
              </w:rPr>
            </w:pPr>
            <w:r w:rsidRPr="004454CF">
              <w:rPr>
                <w:rFonts w:ascii="Times New Roman" w:hAnsi="Times New Roman" w:cs="Times New Roman"/>
                <w:b/>
                <w:sz w:val="24"/>
                <w:szCs w:val="24"/>
              </w:rPr>
              <w:t>Budget</w:t>
            </w:r>
          </w:p>
        </w:tc>
        <w:tc>
          <w:tcPr>
            <w:tcW w:w="1927" w:type="dxa"/>
            <w:tcBorders>
              <w:top w:val="single" w:sz="4" w:space="0" w:color="auto"/>
              <w:left w:val="single" w:sz="4" w:space="0" w:color="auto"/>
              <w:bottom w:val="single" w:sz="4" w:space="0" w:color="auto"/>
              <w:right w:val="single" w:sz="4" w:space="0" w:color="auto"/>
            </w:tcBorders>
            <w:vAlign w:val="center"/>
            <w:hideMark/>
          </w:tcPr>
          <w:p w14:paraId="6C42040D" w14:textId="77777777" w:rsidR="008463AA" w:rsidRPr="004454CF" w:rsidRDefault="0096744F" w:rsidP="003F10AE">
            <w:pPr>
              <w:jc w:val="center"/>
              <w:rPr>
                <w:rFonts w:ascii="Times New Roman" w:hAnsi="Times New Roman" w:cs="Times New Roman"/>
                <w:sz w:val="24"/>
                <w:szCs w:val="24"/>
              </w:rPr>
            </w:pPr>
            <w:r w:rsidRPr="004454CF">
              <w:rPr>
                <w:rFonts w:ascii="Times New Roman" w:hAnsi="Times New Roman" w:cs="Times New Roman"/>
                <w:sz w:val="24"/>
                <w:szCs w:val="24"/>
              </w:rPr>
              <w:t>$20,724,657</w:t>
            </w:r>
          </w:p>
        </w:tc>
        <w:tc>
          <w:tcPr>
            <w:tcW w:w="1909" w:type="dxa"/>
            <w:tcBorders>
              <w:top w:val="single" w:sz="4" w:space="0" w:color="auto"/>
              <w:left w:val="single" w:sz="4" w:space="0" w:color="auto"/>
              <w:bottom w:val="single" w:sz="4" w:space="0" w:color="auto"/>
              <w:right w:val="single" w:sz="4" w:space="0" w:color="auto"/>
            </w:tcBorders>
            <w:vAlign w:val="center"/>
            <w:hideMark/>
          </w:tcPr>
          <w:p w14:paraId="3BA264C1" w14:textId="77777777" w:rsidR="008463AA" w:rsidRPr="004454CF" w:rsidRDefault="008463AA" w:rsidP="003F10AE">
            <w:pPr>
              <w:jc w:val="center"/>
              <w:rPr>
                <w:rFonts w:ascii="Times New Roman" w:hAnsi="Times New Roman" w:cs="Times New Roman"/>
                <w:sz w:val="24"/>
                <w:szCs w:val="24"/>
              </w:rPr>
            </w:pPr>
            <w:r w:rsidRPr="004454CF">
              <w:rPr>
                <w:rFonts w:ascii="Times New Roman" w:hAnsi="Times New Roman" w:cs="Times New Roman"/>
                <w:sz w:val="24"/>
                <w:szCs w:val="24"/>
              </w:rPr>
              <w:t>-</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00007AB" w14:textId="77777777" w:rsidR="008463AA" w:rsidRPr="004454CF" w:rsidRDefault="008463AA" w:rsidP="003F10AE">
            <w:pPr>
              <w:jc w:val="center"/>
              <w:rPr>
                <w:rFonts w:ascii="Times New Roman" w:hAnsi="Times New Roman" w:cs="Times New Roman"/>
                <w:sz w:val="24"/>
                <w:szCs w:val="24"/>
              </w:rPr>
            </w:pPr>
            <w:r w:rsidRPr="004454CF">
              <w:rPr>
                <w:rFonts w:ascii="Times New Roman" w:hAnsi="Times New Roman" w:cs="Times New Roman"/>
                <w:sz w:val="24"/>
                <w:szCs w:val="24"/>
              </w:rPr>
              <w:t>-</w:t>
            </w:r>
          </w:p>
        </w:tc>
        <w:tc>
          <w:tcPr>
            <w:tcW w:w="1975" w:type="dxa"/>
            <w:tcBorders>
              <w:top w:val="single" w:sz="4" w:space="0" w:color="auto"/>
              <w:left w:val="single" w:sz="4" w:space="0" w:color="auto"/>
              <w:bottom w:val="single" w:sz="4" w:space="0" w:color="auto"/>
              <w:right w:val="single" w:sz="4" w:space="0" w:color="auto"/>
            </w:tcBorders>
            <w:vAlign w:val="center"/>
            <w:hideMark/>
          </w:tcPr>
          <w:p w14:paraId="7C3316DD" w14:textId="77777777" w:rsidR="008463AA" w:rsidRPr="004454CF" w:rsidRDefault="008463AA" w:rsidP="003F10AE">
            <w:pPr>
              <w:jc w:val="center"/>
              <w:rPr>
                <w:rFonts w:ascii="Times New Roman" w:hAnsi="Times New Roman" w:cs="Times New Roman"/>
                <w:sz w:val="24"/>
                <w:szCs w:val="24"/>
              </w:rPr>
            </w:pPr>
            <w:r w:rsidRPr="004454CF">
              <w:rPr>
                <w:rFonts w:ascii="Times New Roman" w:hAnsi="Times New Roman" w:cs="Times New Roman"/>
                <w:sz w:val="24"/>
                <w:szCs w:val="24"/>
              </w:rPr>
              <w:t>$</w:t>
            </w:r>
            <w:r w:rsidR="0096744F" w:rsidRPr="004454CF">
              <w:rPr>
                <w:rFonts w:ascii="Times New Roman" w:hAnsi="Times New Roman" w:cs="Times New Roman"/>
                <w:sz w:val="24"/>
                <w:szCs w:val="24"/>
              </w:rPr>
              <w:t>24,560,529</w:t>
            </w:r>
          </w:p>
        </w:tc>
      </w:tr>
    </w:tbl>
    <w:p w14:paraId="79D3EBF6" w14:textId="77777777" w:rsidR="008463AA" w:rsidRPr="004454CF" w:rsidRDefault="008463AA" w:rsidP="008463AA">
      <w:pPr>
        <w:rPr>
          <w:rFonts w:ascii="Times New Roman" w:hAnsi="Times New Roman" w:cs="Times New Roman"/>
          <w:sz w:val="24"/>
          <w:szCs w:val="24"/>
        </w:rPr>
      </w:pPr>
    </w:p>
    <w:p w14:paraId="521044BC" w14:textId="77777777" w:rsidR="008463AA" w:rsidRPr="004454CF" w:rsidRDefault="008463AA" w:rsidP="008463AA">
      <w:pPr>
        <w:rPr>
          <w:rFonts w:ascii="Times New Roman" w:hAnsi="Times New Roman" w:cs="Times New Roman"/>
          <w:sz w:val="24"/>
          <w:szCs w:val="24"/>
        </w:rPr>
      </w:pPr>
      <w:r w:rsidRPr="004454CF">
        <w:rPr>
          <w:rFonts w:ascii="Times New Roman" w:hAnsi="Times New Roman" w:cs="Times New Roman"/>
          <w:sz w:val="24"/>
          <w:szCs w:val="24"/>
        </w:rPr>
        <w:t>At the total portfolio level, which includes NEEA savings, P</w:t>
      </w:r>
      <w:r w:rsidR="0001377C" w:rsidRPr="004454CF">
        <w:rPr>
          <w:rFonts w:ascii="Times New Roman" w:hAnsi="Times New Roman" w:cs="Times New Roman"/>
          <w:sz w:val="24"/>
          <w:szCs w:val="24"/>
        </w:rPr>
        <w:t xml:space="preserve">acific Power </w:t>
      </w:r>
      <w:r w:rsidRPr="004454CF">
        <w:rPr>
          <w:rFonts w:ascii="Times New Roman" w:hAnsi="Times New Roman" w:cs="Times New Roman"/>
          <w:sz w:val="24"/>
          <w:szCs w:val="24"/>
        </w:rPr>
        <w:t xml:space="preserve">projects that it will achieve </w:t>
      </w:r>
      <w:r w:rsidR="0001377C" w:rsidRPr="004454CF">
        <w:rPr>
          <w:rFonts w:ascii="Times New Roman" w:hAnsi="Times New Roman" w:cs="Times New Roman"/>
          <w:sz w:val="24"/>
          <w:szCs w:val="24"/>
        </w:rPr>
        <w:t>96,876</w:t>
      </w:r>
      <w:r w:rsidRPr="004454CF">
        <w:rPr>
          <w:rFonts w:ascii="Times New Roman" w:hAnsi="Times New Roman" w:cs="Times New Roman"/>
          <w:sz w:val="24"/>
          <w:szCs w:val="24"/>
        </w:rPr>
        <w:t xml:space="preserve"> </w:t>
      </w:r>
      <w:proofErr w:type="spellStart"/>
      <w:r w:rsidRPr="004454CF">
        <w:rPr>
          <w:rFonts w:ascii="Times New Roman" w:hAnsi="Times New Roman" w:cs="Times New Roman"/>
          <w:sz w:val="24"/>
          <w:szCs w:val="24"/>
        </w:rPr>
        <w:t>MWh</w:t>
      </w:r>
      <w:proofErr w:type="spellEnd"/>
      <w:r w:rsidRPr="004454CF">
        <w:rPr>
          <w:rFonts w:ascii="Times New Roman" w:hAnsi="Times New Roman" w:cs="Times New Roman"/>
          <w:sz w:val="24"/>
          <w:szCs w:val="24"/>
        </w:rPr>
        <w:t xml:space="preserve"> of savings over the biennium, at a cost of $</w:t>
      </w:r>
      <w:r w:rsidR="0001377C" w:rsidRPr="004454CF">
        <w:rPr>
          <w:rFonts w:ascii="Times New Roman" w:hAnsi="Times New Roman" w:cs="Times New Roman"/>
          <w:sz w:val="24"/>
          <w:szCs w:val="24"/>
        </w:rPr>
        <w:t>24,560,529</w:t>
      </w:r>
      <w:r w:rsidRPr="004454CF">
        <w:rPr>
          <w:rFonts w:ascii="Times New Roman" w:hAnsi="Times New Roman" w:cs="Times New Roman"/>
          <w:sz w:val="24"/>
          <w:szCs w:val="24"/>
        </w:rPr>
        <w:t xml:space="preserve">. </w:t>
      </w:r>
      <w:r w:rsidR="0001377C" w:rsidRPr="004454CF">
        <w:rPr>
          <w:rFonts w:ascii="Times New Roman" w:hAnsi="Times New Roman" w:cs="Times New Roman"/>
          <w:sz w:val="24"/>
          <w:szCs w:val="24"/>
        </w:rPr>
        <w:t xml:space="preserve">An independent review conducted by consulting firm Navigant projects that the company’s portfolio </w:t>
      </w:r>
      <w:r w:rsidR="0019043D" w:rsidRPr="004454CF">
        <w:rPr>
          <w:rFonts w:ascii="Times New Roman" w:hAnsi="Times New Roman" w:cs="Times New Roman"/>
          <w:sz w:val="24"/>
          <w:szCs w:val="24"/>
        </w:rPr>
        <w:t>will achieve a TRC ratio of 1.68</w:t>
      </w:r>
      <w:r w:rsidR="0001377C" w:rsidRPr="004454CF">
        <w:rPr>
          <w:rFonts w:ascii="Times New Roman" w:hAnsi="Times New Roman" w:cs="Times New Roman"/>
          <w:sz w:val="24"/>
          <w:szCs w:val="24"/>
        </w:rPr>
        <w:t xml:space="preserve"> and a UCT ratio of </w:t>
      </w:r>
      <w:r w:rsidR="0019043D" w:rsidRPr="004454CF">
        <w:rPr>
          <w:rFonts w:ascii="Times New Roman" w:hAnsi="Times New Roman" w:cs="Times New Roman"/>
          <w:sz w:val="24"/>
          <w:szCs w:val="24"/>
        </w:rPr>
        <w:t>2.22</w:t>
      </w:r>
      <w:r w:rsidR="008F23A0" w:rsidRPr="004454CF">
        <w:rPr>
          <w:rFonts w:ascii="Times New Roman" w:hAnsi="Times New Roman" w:cs="Times New Roman"/>
          <w:sz w:val="24"/>
          <w:szCs w:val="24"/>
        </w:rPr>
        <w:t>.</w:t>
      </w:r>
      <w:r w:rsidR="008F23A0" w:rsidRPr="004454CF">
        <w:rPr>
          <w:rStyle w:val="FootnoteReference"/>
          <w:rFonts w:ascii="Times New Roman" w:hAnsi="Times New Roman" w:cs="Times New Roman"/>
          <w:sz w:val="24"/>
          <w:szCs w:val="24"/>
        </w:rPr>
        <w:footnoteReference w:id="25"/>
      </w:r>
    </w:p>
    <w:p w14:paraId="5529D09D" w14:textId="77777777" w:rsidR="008463AA" w:rsidRPr="004454CF" w:rsidRDefault="008463AA" w:rsidP="008463AA">
      <w:pPr>
        <w:rPr>
          <w:rFonts w:ascii="Times New Roman" w:hAnsi="Times New Roman" w:cs="Times New Roman"/>
          <w:sz w:val="24"/>
          <w:szCs w:val="24"/>
        </w:rPr>
      </w:pPr>
    </w:p>
    <w:p w14:paraId="4034FB97" w14:textId="77777777" w:rsidR="008463AA" w:rsidRPr="004454CF" w:rsidRDefault="0019043D" w:rsidP="008463AA">
      <w:pPr>
        <w:rPr>
          <w:rFonts w:ascii="Times New Roman" w:hAnsi="Times New Roman" w:cs="Times New Roman"/>
          <w:sz w:val="24"/>
          <w:szCs w:val="24"/>
        </w:rPr>
      </w:pPr>
      <w:r w:rsidRPr="004454CF">
        <w:rPr>
          <w:rFonts w:ascii="Times New Roman" w:hAnsi="Times New Roman" w:cs="Times New Roman"/>
          <w:sz w:val="24"/>
          <w:szCs w:val="24"/>
        </w:rPr>
        <w:t>Pacific Power’s business plan incorporates a number of proposed program and tariff changes. A number of small measure changes to the residential and commercial/industrial programs have already been discussed with the advisory group, posted to the public, and are scheduled to take place on January 1, 2016.</w:t>
      </w:r>
    </w:p>
    <w:p w14:paraId="4BA4A08E" w14:textId="77777777" w:rsidR="0019043D" w:rsidRPr="004454CF" w:rsidRDefault="0019043D" w:rsidP="008463AA">
      <w:pPr>
        <w:rPr>
          <w:rFonts w:ascii="Times New Roman" w:hAnsi="Times New Roman" w:cs="Times New Roman"/>
          <w:sz w:val="24"/>
          <w:szCs w:val="24"/>
        </w:rPr>
      </w:pPr>
    </w:p>
    <w:p w14:paraId="05B0331E" w14:textId="6CF93AF5" w:rsidR="0019043D" w:rsidRPr="004454CF" w:rsidRDefault="0019043D" w:rsidP="008463AA">
      <w:pPr>
        <w:rPr>
          <w:rFonts w:ascii="Times New Roman" w:hAnsi="Times New Roman" w:cs="Times New Roman"/>
          <w:sz w:val="24"/>
          <w:szCs w:val="24"/>
        </w:rPr>
      </w:pPr>
      <w:r w:rsidRPr="004454CF">
        <w:rPr>
          <w:rFonts w:ascii="Times New Roman" w:hAnsi="Times New Roman" w:cs="Times New Roman"/>
          <w:sz w:val="24"/>
          <w:szCs w:val="24"/>
        </w:rPr>
        <w:lastRenderedPageBreak/>
        <w:t>Pacific Power has filed</w:t>
      </w:r>
      <w:r w:rsidR="00771E77" w:rsidRPr="004454CF">
        <w:rPr>
          <w:rFonts w:ascii="Times New Roman" w:hAnsi="Times New Roman" w:cs="Times New Roman"/>
          <w:sz w:val="24"/>
          <w:szCs w:val="24"/>
        </w:rPr>
        <w:t xml:space="preserve"> two proposed </w:t>
      </w:r>
      <w:r w:rsidRPr="004454CF">
        <w:rPr>
          <w:rFonts w:ascii="Times New Roman" w:hAnsi="Times New Roman" w:cs="Times New Roman"/>
          <w:sz w:val="24"/>
          <w:szCs w:val="24"/>
        </w:rPr>
        <w:t>tariff changes that will require Commission approval</w:t>
      </w:r>
      <w:r w:rsidR="00DB7063" w:rsidRPr="004454CF">
        <w:rPr>
          <w:rFonts w:ascii="Times New Roman" w:hAnsi="Times New Roman" w:cs="Times New Roman"/>
          <w:sz w:val="24"/>
          <w:szCs w:val="24"/>
        </w:rPr>
        <w:t xml:space="preserve">. The first, filed in Docket UE-152173, updates the company’s low-income weatherization tariff to expand eligibility, streamline administrative processes, and include a current list of eligible measures and their UES values. The second proposed change, filed in Docket UE-152237, would cancel the company’s refrigerator recycling program due to </w:t>
      </w:r>
      <w:r w:rsidR="00F3676E" w:rsidRPr="004454CF">
        <w:rPr>
          <w:rFonts w:ascii="Times New Roman" w:hAnsi="Times New Roman" w:cs="Times New Roman"/>
          <w:sz w:val="24"/>
          <w:szCs w:val="24"/>
        </w:rPr>
        <w:t xml:space="preserve">a recent independent evaluation that determined that the program is no longer cost effective. </w:t>
      </w:r>
      <w:r w:rsidR="008E5871" w:rsidRPr="004454CF">
        <w:rPr>
          <w:rFonts w:ascii="Times New Roman" w:hAnsi="Times New Roman" w:cs="Times New Roman"/>
          <w:sz w:val="24"/>
          <w:szCs w:val="24"/>
        </w:rPr>
        <w:t>Staff</w:t>
      </w:r>
      <w:r w:rsidR="00F3676E" w:rsidRPr="004454CF">
        <w:rPr>
          <w:rFonts w:ascii="Times New Roman" w:hAnsi="Times New Roman" w:cs="Times New Roman"/>
          <w:sz w:val="24"/>
          <w:szCs w:val="24"/>
        </w:rPr>
        <w:t xml:space="preserve"> has reviewed the support for these two proposed changes and supports them.</w:t>
      </w:r>
    </w:p>
    <w:p w14:paraId="53A5BCF8" w14:textId="77777777" w:rsidR="00F3676E" w:rsidRPr="004454CF" w:rsidRDefault="00F3676E" w:rsidP="008463AA">
      <w:pPr>
        <w:rPr>
          <w:rFonts w:ascii="Times New Roman" w:hAnsi="Times New Roman" w:cs="Times New Roman"/>
          <w:sz w:val="24"/>
          <w:szCs w:val="24"/>
        </w:rPr>
      </w:pPr>
    </w:p>
    <w:p w14:paraId="184F6358" w14:textId="1052C27B" w:rsidR="00F3676E" w:rsidRPr="004454CF" w:rsidRDefault="006E3932" w:rsidP="008463AA">
      <w:pPr>
        <w:rPr>
          <w:rFonts w:ascii="Times New Roman" w:hAnsi="Times New Roman" w:cs="Times New Roman"/>
          <w:sz w:val="24"/>
          <w:szCs w:val="24"/>
        </w:rPr>
      </w:pPr>
      <w:r w:rsidRPr="004454CF">
        <w:rPr>
          <w:rFonts w:ascii="Times New Roman" w:hAnsi="Times New Roman" w:cs="Times New Roman"/>
          <w:sz w:val="24"/>
          <w:szCs w:val="24"/>
        </w:rPr>
        <w:t xml:space="preserve">Overall,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is pleased by Pacific Power’s 2016-2017 BCP, which demonstrates a strong commitment by the company to pursue all reliable, cost-effective conservation. The company’s CPA appears to have </w:t>
      </w:r>
      <w:r w:rsidR="00DF1B93" w:rsidRPr="004454CF">
        <w:rPr>
          <w:rFonts w:ascii="Times New Roman" w:hAnsi="Times New Roman" w:cs="Times New Roman"/>
          <w:sz w:val="24"/>
          <w:szCs w:val="24"/>
        </w:rPr>
        <w:t xml:space="preserve">followed the Council’s methodology and </w:t>
      </w:r>
      <w:r w:rsidRPr="004454CF">
        <w:rPr>
          <w:rFonts w:ascii="Times New Roman" w:hAnsi="Times New Roman" w:cs="Times New Roman"/>
          <w:sz w:val="24"/>
          <w:szCs w:val="24"/>
        </w:rPr>
        <w:t xml:space="preserve">accurately captured the rapidly evolving energy efficiency industry and identified new opportunities that allowed the company to set a target for the upcoming biennium that is 17.5 percent higher than the current biennial target. </w:t>
      </w:r>
    </w:p>
    <w:p w14:paraId="38A2D400" w14:textId="77777777" w:rsidR="0067694E" w:rsidRPr="004454CF" w:rsidRDefault="0067694E" w:rsidP="008463AA">
      <w:pPr>
        <w:rPr>
          <w:rFonts w:ascii="Times New Roman" w:hAnsi="Times New Roman" w:cs="Times New Roman"/>
          <w:sz w:val="24"/>
          <w:szCs w:val="24"/>
        </w:rPr>
      </w:pPr>
    </w:p>
    <w:p w14:paraId="59ABE435" w14:textId="3C636569" w:rsidR="0067694E" w:rsidRPr="004454CF" w:rsidRDefault="008E5871" w:rsidP="008463AA">
      <w:pPr>
        <w:rPr>
          <w:rFonts w:ascii="Times New Roman" w:hAnsi="Times New Roman" w:cs="Times New Roman"/>
          <w:sz w:val="24"/>
          <w:szCs w:val="24"/>
        </w:rPr>
      </w:pPr>
      <w:r w:rsidRPr="004454CF">
        <w:rPr>
          <w:rFonts w:ascii="Times New Roman" w:hAnsi="Times New Roman" w:cs="Times New Roman"/>
          <w:sz w:val="24"/>
          <w:szCs w:val="24"/>
        </w:rPr>
        <w:t>Staff</w:t>
      </w:r>
      <w:r w:rsidR="0067694E" w:rsidRPr="004454CF">
        <w:rPr>
          <w:rFonts w:ascii="Times New Roman" w:hAnsi="Times New Roman" w:cs="Times New Roman"/>
          <w:sz w:val="24"/>
          <w:szCs w:val="24"/>
        </w:rPr>
        <w:t>’s lone item of concern with Pacific Power’s plan is the lack of pilot programs. WAC 480-109-100(1)(c) directs utilities to implement pilot projects “when appropriate and expected to produce cost-effective savings within the current or immediately subsequent biennium, as long as the overall portfolio remains cost-effective.” In approving Pacific Power’s 2014-2015 BCP, the Commission authorized the company to spend up to 10 percent of its budget on programs whose savings impact has not yet been measured.</w:t>
      </w:r>
      <w:r w:rsidR="0067694E" w:rsidRPr="004454CF">
        <w:rPr>
          <w:rStyle w:val="FootnoteReference"/>
          <w:rFonts w:ascii="Times New Roman" w:hAnsi="Times New Roman" w:cs="Times New Roman"/>
          <w:sz w:val="24"/>
          <w:szCs w:val="24"/>
        </w:rPr>
        <w:footnoteReference w:id="26"/>
      </w:r>
      <w:r w:rsidR="0067694E" w:rsidRPr="004454CF">
        <w:rPr>
          <w:rFonts w:ascii="Times New Roman" w:hAnsi="Times New Roman" w:cs="Times New Roman"/>
          <w:sz w:val="24"/>
          <w:szCs w:val="24"/>
        </w:rPr>
        <w:t xml:space="preserve"> Pacific Power’s 2016-2017 plan includes only one such program – Be </w:t>
      </w:r>
      <w:proofErr w:type="spellStart"/>
      <w:r w:rsidR="0067694E" w:rsidRPr="004454CF">
        <w:rPr>
          <w:rFonts w:ascii="Times New Roman" w:hAnsi="Times New Roman" w:cs="Times New Roman"/>
          <w:sz w:val="24"/>
          <w:szCs w:val="24"/>
        </w:rPr>
        <w:t>wattsmart</w:t>
      </w:r>
      <w:proofErr w:type="spellEnd"/>
      <w:r w:rsidR="0067694E" w:rsidRPr="004454CF">
        <w:rPr>
          <w:rFonts w:ascii="Times New Roman" w:hAnsi="Times New Roman" w:cs="Times New Roman"/>
          <w:sz w:val="24"/>
          <w:szCs w:val="24"/>
        </w:rPr>
        <w:t xml:space="preserve">, Begin at Home – that accounts for just 0.5 percent of the two-year budget. </w:t>
      </w:r>
    </w:p>
    <w:p w14:paraId="325EA7C9" w14:textId="77777777" w:rsidR="0067694E" w:rsidRPr="004454CF" w:rsidRDefault="0067694E" w:rsidP="008463AA">
      <w:pPr>
        <w:rPr>
          <w:rFonts w:ascii="Times New Roman" w:hAnsi="Times New Roman" w:cs="Times New Roman"/>
          <w:sz w:val="24"/>
          <w:szCs w:val="24"/>
        </w:rPr>
      </w:pPr>
    </w:p>
    <w:p w14:paraId="74579E63" w14:textId="7CB47FEA" w:rsidR="0067694E" w:rsidRPr="004454CF" w:rsidRDefault="0067694E" w:rsidP="008463AA">
      <w:pPr>
        <w:rPr>
          <w:rFonts w:ascii="Times New Roman" w:hAnsi="Times New Roman" w:cs="Times New Roman"/>
          <w:sz w:val="24"/>
          <w:szCs w:val="24"/>
        </w:rPr>
      </w:pPr>
      <w:r w:rsidRPr="004454CF">
        <w:rPr>
          <w:rFonts w:ascii="Times New Roman" w:hAnsi="Times New Roman" w:cs="Times New Roman"/>
          <w:sz w:val="24"/>
          <w:szCs w:val="24"/>
        </w:rPr>
        <w:t>Given that the company has identified</w:t>
      </w:r>
      <w:r w:rsidR="00DF1B93" w:rsidRPr="004454CF">
        <w:rPr>
          <w:rFonts w:ascii="Times New Roman" w:hAnsi="Times New Roman" w:cs="Times New Roman"/>
          <w:sz w:val="24"/>
          <w:szCs w:val="24"/>
        </w:rPr>
        <w:t xml:space="preserve"> a significant amount of </w:t>
      </w:r>
      <w:r w:rsidRPr="004454CF">
        <w:rPr>
          <w:rFonts w:ascii="Times New Roman" w:hAnsi="Times New Roman" w:cs="Times New Roman"/>
          <w:sz w:val="24"/>
          <w:szCs w:val="24"/>
        </w:rPr>
        <w:t xml:space="preserve">potential savings within the next 10 years that are associated with </w:t>
      </w:r>
      <w:r w:rsidR="00DF1B93" w:rsidRPr="004454CF">
        <w:rPr>
          <w:rFonts w:ascii="Times New Roman" w:hAnsi="Times New Roman" w:cs="Times New Roman"/>
          <w:sz w:val="24"/>
          <w:szCs w:val="24"/>
        </w:rPr>
        <w:t>new</w:t>
      </w:r>
      <w:r w:rsidRPr="004454CF">
        <w:rPr>
          <w:rFonts w:ascii="Times New Roman" w:hAnsi="Times New Roman" w:cs="Times New Roman"/>
          <w:sz w:val="24"/>
          <w:szCs w:val="24"/>
        </w:rPr>
        <w:t xml:space="preserve"> measures such as organic Rankin</w:t>
      </w:r>
      <w:r w:rsidR="00DF1B93" w:rsidRPr="004454CF">
        <w:rPr>
          <w:rFonts w:ascii="Times New Roman" w:hAnsi="Times New Roman" w:cs="Times New Roman"/>
          <w:sz w:val="24"/>
          <w:szCs w:val="24"/>
        </w:rPr>
        <w:t>e</w:t>
      </w:r>
      <w:r w:rsidRPr="004454CF">
        <w:rPr>
          <w:rFonts w:ascii="Times New Roman" w:hAnsi="Times New Roman" w:cs="Times New Roman"/>
          <w:sz w:val="24"/>
          <w:szCs w:val="24"/>
        </w:rPr>
        <w:t xml:space="preserve"> cycles and steam system optimization,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strongly encourages the company to begin developing pilot programs to pursue those savings. </w:t>
      </w:r>
      <w:r w:rsidR="008E5871" w:rsidRPr="004454CF">
        <w:rPr>
          <w:rFonts w:ascii="Times New Roman" w:hAnsi="Times New Roman" w:cs="Times New Roman"/>
          <w:sz w:val="24"/>
          <w:szCs w:val="24"/>
        </w:rPr>
        <w:t>Staff</w:t>
      </w:r>
      <w:r w:rsidRPr="004454CF">
        <w:rPr>
          <w:rFonts w:ascii="Times New Roman" w:hAnsi="Times New Roman" w:cs="Times New Roman"/>
          <w:sz w:val="24"/>
          <w:szCs w:val="24"/>
        </w:rPr>
        <w:t xml:space="preserve"> will work with Pacific Power, through the advisory group process, to identify potential pilot programs that will help enable future, cost-effective savings.</w:t>
      </w:r>
      <w:r w:rsidR="00635B42" w:rsidRPr="004454CF">
        <w:rPr>
          <w:rFonts w:ascii="Times New Roman" w:hAnsi="Times New Roman" w:cs="Times New Roman"/>
          <w:sz w:val="24"/>
          <w:szCs w:val="24"/>
        </w:rPr>
        <w:t xml:space="preserve"> These kinds of programs should be proposed as part of the December 1, 2016, filing of the annual plan update.</w:t>
      </w:r>
    </w:p>
    <w:p w14:paraId="60642A08" w14:textId="77777777" w:rsidR="008463AA" w:rsidRPr="004454CF" w:rsidRDefault="008463AA" w:rsidP="00D5036F">
      <w:pPr>
        <w:pStyle w:val="Heading1"/>
        <w:numPr>
          <w:ilvl w:val="0"/>
          <w:numId w:val="1"/>
        </w:numPr>
        <w:spacing w:before="360"/>
        <w:rPr>
          <w:rFonts w:ascii="Times New Roman" w:hAnsi="Times New Roman" w:cs="Times New Roman"/>
        </w:rPr>
      </w:pPr>
      <w:bookmarkStart w:id="15" w:name="_Toc436840012"/>
      <w:r w:rsidRPr="004454CF">
        <w:rPr>
          <w:rFonts w:ascii="Times New Roman" w:hAnsi="Times New Roman" w:cs="Times New Roman"/>
        </w:rPr>
        <w:t>CONCLUSION</w:t>
      </w:r>
      <w:bookmarkEnd w:id="15"/>
    </w:p>
    <w:p w14:paraId="7DAD6EA9" w14:textId="77777777" w:rsidR="008463AA" w:rsidRPr="004454CF" w:rsidRDefault="008463AA" w:rsidP="008463AA">
      <w:pPr>
        <w:rPr>
          <w:rFonts w:ascii="Times New Roman" w:hAnsi="Times New Roman" w:cs="Times New Roman"/>
          <w:b/>
          <w:sz w:val="24"/>
          <w:szCs w:val="24"/>
        </w:rPr>
      </w:pPr>
    </w:p>
    <w:p w14:paraId="017B4FF8" w14:textId="6AEBC775" w:rsidR="008463AA" w:rsidRPr="004454CF" w:rsidRDefault="008E5871" w:rsidP="008463AA">
      <w:pPr>
        <w:rPr>
          <w:rFonts w:ascii="Times New Roman" w:hAnsi="Times New Roman" w:cs="Times New Roman"/>
          <w:sz w:val="24"/>
          <w:szCs w:val="24"/>
        </w:rPr>
      </w:pPr>
      <w:r w:rsidRPr="004454CF">
        <w:rPr>
          <w:rFonts w:ascii="Times New Roman" w:hAnsi="Times New Roman" w:cs="Times New Roman"/>
          <w:sz w:val="24"/>
          <w:szCs w:val="24"/>
        </w:rPr>
        <w:t>Staff</w:t>
      </w:r>
      <w:r w:rsidR="008463AA" w:rsidRPr="004454CF">
        <w:rPr>
          <w:rFonts w:ascii="Times New Roman" w:hAnsi="Times New Roman" w:cs="Times New Roman"/>
          <w:sz w:val="24"/>
          <w:szCs w:val="24"/>
        </w:rPr>
        <w:t xml:space="preserve"> will present its final re</w:t>
      </w:r>
      <w:r w:rsidR="00BE085B" w:rsidRPr="004454CF">
        <w:rPr>
          <w:rFonts w:ascii="Times New Roman" w:hAnsi="Times New Roman" w:cs="Times New Roman"/>
          <w:sz w:val="24"/>
          <w:szCs w:val="24"/>
        </w:rPr>
        <w:t>commendations at the December 17</w:t>
      </w:r>
      <w:r w:rsidR="008463AA" w:rsidRPr="004454CF">
        <w:rPr>
          <w:rFonts w:ascii="Times New Roman" w:hAnsi="Times New Roman" w:cs="Times New Roman"/>
          <w:sz w:val="24"/>
          <w:szCs w:val="24"/>
        </w:rPr>
        <w:t>, 201</w:t>
      </w:r>
      <w:r w:rsidR="00BE085B" w:rsidRPr="004454CF">
        <w:rPr>
          <w:rFonts w:ascii="Times New Roman" w:hAnsi="Times New Roman" w:cs="Times New Roman"/>
          <w:sz w:val="24"/>
          <w:szCs w:val="24"/>
        </w:rPr>
        <w:t>5</w:t>
      </w:r>
      <w:r w:rsidR="008463AA" w:rsidRPr="004454CF">
        <w:rPr>
          <w:rFonts w:ascii="Times New Roman" w:hAnsi="Times New Roman" w:cs="Times New Roman"/>
          <w:sz w:val="24"/>
          <w:szCs w:val="24"/>
        </w:rPr>
        <w:t>, Open Meeting, after stakeholder comments have been received and reviewed.</w:t>
      </w:r>
    </w:p>
    <w:p w14:paraId="72B79942" w14:textId="77777777" w:rsidR="008463AA" w:rsidRPr="004454CF" w:rsidRDefault="008463AA" w:rsidP="008463AA">
      <w:pPr>
        <w:rPr>
          <w:rFonts w:ascii="Times New Roman" w:hAnsi="Times New Roman" w:cs="Times New Roman"/>
          <w:sz w:val="24"/>
          <w:szCs w:val="24"/>
        </w:rPr>
      </w:pPr>
    </w:p>
    <w:p w14:paraId="087F73B7" w14:textId="77777777" w:rsidR="008463AA" w:rsidRPr="004454CF" w:rsidRDefault="008463AA" w:rsidP="008463AA">
      <w:pPr>
        <w:rPr>
          <w:rFonts w:ascii="Times New Roman" w:hAnsi="Times New Roman" w:cs="Times New Roman"/>
          <w:sz w:val="24"/>
          <w:szCs w:val="24"/>
        </w:rPr>
      </w:pPr>
    </w:p>
    <w:p w14:paraId="1C86E05D" w14:textId="77777777" w:rsidR="002C039A" w:rsidRPr="004454CF" w:rsidRDefault="002C039A" w:rsidP="00AD3312">
      <w:pPr>
        <w:rPr>
          <w:rFonts w:ascii="Times New Roman" w:hAnsi="Times New Roman" w:cs="Times New Roman"/>
          <w:sz w:val="24"/>
          <w:szCs w:val="24"/>
        </w:rPr>
      </w:pPr>
    </w:p>
    <w:sectPr w:rsidR="002C039A" w:rsidRPr="004454CF" w:rsidSect="00EE7ECB">
      <w:head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3B0E8" w14:textId="77777777" w:rsidR="00AF2A4F" w:rsidRDefault="00AF2A4F" w:rsidP="008463AA">
      <w:r>
        <w:separator/>
      </w:r>
    </w:p>
  </w:endnote>
  <w:endnote w:type="continuationSeparator" w:id="0">
    <w:p w14:paraId="7749F2F4" w14:textId="77777777" w:rsidR="00AF2A4F" w:rsidRDefault="00AF2A4F" w:rsidP="008463AA">
      <w:r>
        <w:continuationSeparator/>
      </w:r>
    </w:p>
  </w:endnote>
  <w:endnote w:type="continuationNotice" w:id="1">
    <w:p w14:paraId="23CF1EAB" w14:textId="77777777" w:rsidR="00AF2A4F" w:rsidRDefault="00AF2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B968E" w14:textId="77777777" w:rsidR="00AF2A4F" w:rsidRDefault="00AF2A4F" w:rsidP="008463AA">
      <w:r>
        <w:separator/>
      </w:r>
    </w:p>
  </w:footnote>
  <w:footnote w:type="continuationSeparator" w:id="0">
    <w:p w14:paraId="66FC5C5B" w14:textId="77777777" w:rsidR="00AF2A4F" w:rsidRDefault="00AF2A4F" w:rsidP="008463AA">
      <w:r>
        <w:continuationSeparator/>
      </w:r>
    </w:p>
  </w:footnote>
  <w:footnote w:type="continuationNotice" w:id="1">
    <w:p w14:paraId="37319895" w14:textId="77777777" w:rsidR="00AF2A4F" w:rsidRDefault="00AF2A4F"/>
  </w:footnote>
  <w:footnote w:id="2">
    <w:p w14:paraId="0066385F" w14:textId="77777777" w:rsidR="003D08D9" w:rsidRPr="00243E4E" w:rsidRDefault="003D08D9" w:rsidP="008463AA">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RCW 19.285.</w:t>
      </w:r>
    </w:p>
  </w:footnote>
  <w:footnote w:id="3">
    <w:p w14:paraId="6C8D388D" w14:textId="77777777" w:rsidR="003D08D9" w:rsidRPr="00243E4E" w:rsidRDefault="003D08D9" w:rsidP="007A4FAC">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RCW 19.285.040(1</w:t>
      </w:r>
      <w:proofErr w:type="gramStart"/>
      <w:r w:rsidRPr="00243E4E">
        <w:rPr>
          <w:rFonts w:ascii="Times New Roman" w:hAnsi="Times New Roman" w:cs="Times New Roman"/>
        </w:rPr>
        <w:t>)(</w:t>
      </w:r>
      <w:proofErr w:type="gramEnd"/>
      <w:r w:rsidRPr="00243E4E">
        <w:rPr>
          <w:rFonts w:ascii="Times New Roman" w:hAnsi="Times New Roman" w:cs="Times New Roman"/>
        </w:rPr>
        <w:t>a).</w:t>
      </w:r>
    </w:p>
  </w:footnote>
  <w:footnote w:id="4">
    <w:p w14:paraId="00BF613B" w14:textId="77777777" w:rsidR="003D08D9" w:rsidRPr="00243E4E" w:rsidRDefault="003D08D9" w:rsidP="007A4FAC">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RCW 19.285.040(1).</w:t>
      </w:r>
    </w:p>
  </w:footnote>
  <w:footnote w:id="5">
    <w:p w14:paraId="526618FC" w14:textId="32D3458A"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See Docket UE-131723, General Order R-578 (March 13, 2015). The new rule is codified in WAC 480-109.</w:t>
      </w:r>
    </w:p>
  </w:footnote>
  <w:footnote w:id="6">
    <w:p w14:paraId="4901B46E" w14:textId="77777777" w:rsidR="003D08D9" w:rsidRPr="00243E4E" w:rsidRDefault="003D08D9" w:rsidP="008463AA">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The Commission’s rules allow a company to base its CPA on either the company’s own Integrated Resource Plan (IRP) or on the company’s prorated share of the Council’s regional target, based on sales volume. See WAC 480-109-010(1). Each company used its IRP.</w:t>
      </w:r>
    </w:p>
  </w:footnote>
  <w:footnote w:id="7">
    <w:p w14:paraId="6173A8F1" w14:textId="77777777" w:rsidR="003D08D9" w:rsidRPr="00243E4E" w:rsidRDefault="003D08D9" w:rsidP="008463AA">
      <w:pPr>
        <w:widowControl w:val="0"/>
        <w:autoSpaceDE w:val="0"/>
        <w:autoSpaceDN w:val="0"/>
        <w:adjustRightInd w:val="0"/>
        <w:spacing w:after="19"/>
        <w:rPr>
          <w:rFonts w:ascii="Times New Roman" w:hAnsi="Times New Roman" w:cs="Times New Roman"/>
          <w:i/>
          <w:sz w:val="20"/>
          <w:szCs w:val="20"/>
        </w:rPr>
      </w:pPr>
      <w:r w:rsidRPr="00243E4E">
        <w:rPr>
          <w:rStyle w:val="FootnoteReference"/>
          <w:rFonts w:ascii="Times New Roman" w:hAnsi="Times New Roman" w:cs="Times New Roman"/>
          <w:sz w:val="20"/>
          <w:szCs w:val="20"/>
        </w:rPr>
        <w:footnoteRef/>
      </w:r>
      <w:r w:rsidRPr="00243E4E">
        <w:rPr>
          <w:rFonts w:ascii="Times New Roman" w:hAnsi="Times New Roman" w:cs="Times New Roman"/>
          <w:sz w:val="20"/>
          <w:szCs w:val="20"/>
        </w:rPr>
        <w:t xml:space="preserve"> </w:t>
      </w:r>
      <w:r w:rsidRPr="00243E4E">
        <w:rPr>
          <w:rFonts w:ascii="Times New Roman" w:hAnsi="Times New Roman" w:cs="Times New Roman"/>
          <w:i/>
          <w:sz w:val="20"/>
          <w:szCs w:val="20"/>
        </w:rPr>
        <w:t>In re Pacific Power &amp; Light Company’s 2012-2021 Ten-Year Achievable Conservation Potential and 2012-2013 Biennial Conservation Target Under RCW 19.285.040 and WAC 480</w:t>
      </w:r>
      <w:r w:rsidRPr="00243E4E">
        <w:rPr>
          <w:rFonts w:ascii="Times New Roman" w:hAnsi="Times New Roman" w:cs="Times New Roman"/>
          <w:i/>
          <w:sz w:val="20"/>
          <w:szCs w:val="20"/>
        </w:rPr>
        <w:noBreakHyphen/>
        <w:t>109</w:t>
      </w:r>
      <w:r w:rsidRPr="00243E4E">
        <w:rPr>
          <w:rFonts w:ascii="Times New Roman" w:hAnsi="Times New Roman" w:cs="Times New Roman"/>
          <w:i/>
          <w:sz w:val="20"/>
          <w:szCs w:val="20"/>
        </w:rPr>
        <w:noBreakHyphen/>
        <w:t xml:space="preserve">010 </w:t>
      </w:r>
      <w:r w:rsidRPr="00243E4E">
        <w:rPr>
          <w:rFonts w:ascii="Times New Roman" w:hAnsi="Times New Roman" w:cs="Times New Roman"/>
          <w:sz w:val="20"/>
          <w:szCs w:val="20"/>
        </w:rPr>
        <w:t xml:space="preserve">Docket UE-111880, Order 01 at ¶ 27; </w:t>
      </w:r>
      <w:r w:rsidRPr="00243E4E">
        <w:rPr>
          <w:rFonts w:ascii="Times New Roman" w:hAnsi="Times New Roman" w:cs="Times New Roman"/>
          <w:i/>
          <w:sz w:val="20"/>
          <w:szCs w:val="20"/>
        </w:rPr>
        <w:t>Puget Sound Energy, Inc.’s 2012-2021 Ten-Year Achievable Conservation Potential and 2012-2013 Biennial Conservation Target Under RCW 19.285.040 and WAC 480</w:t>
      </w:r>
      <w:r w:rsidRPr="00243E4E">
        <w:rPr>
          <w:rFonts w:ascii="Times New Roman" w:hAnsi="Times New Roman" w:cs="Times New Roman"/>
          <w:i/>
          <w:sz w:val="20"/>
          <w:szCs w:val="20"/>
        </w:rPr>
        <w:noBreakHyphen/>
        <w:t>109</w:t>
      </w:r>
      <w:r w:rsidRPr="00243E4E">
        <w:rPr>
          <w:rFonts w:ascii="Times New Roman" w:hAnsi="Times New Roman" w:cs="Times New Roman"/>
          <w:i/>
          <w:sz w:val="20"/>
          <w:szCs w:val="20"/>
        </w:rPr>
        <w:noBreakHyphen/>
        <w:t xml:space="preserve">010 </w:t>
      </w:r>
      <w:r w:rsidRPr="00243E4E">
        <w:rPr>
          <w:rFonts w:ascii="Times New Roman" w:hAnsi="Times New Roman" w:cs="Times New Roman"/>
          <w:sz w:val="20"/>
          <w:szCs w:val="20"/>
        </w:rPr>
        <w:t xml:space="preserve">Docket UE-111881, Order 01 at ¶ 35; </w:t>
      </w:r>
      <w:r w:rsidRPr="00243E4E">
        <w:rPr>
          <w:rFonts w:ascii="Times New Roman" w:hAnsi="Times New Roman" w:cs="Times New Roman"/>
          <w:i/>
          <w:sz w:val="20"/>
          <w:szCs w:val="20"/>
        </w:rPr>
        <w:t>Avista Corporation’s 2012-2021 Ten-Year Achievable Conservation Potential and 2012-2013 Biennial Conservation Target Under RCW 19.285.040 and WAC 480</w:t>
      </w:r>
      <w:r w:rsidRPr="00243E4E">
        <w:rPr>
          <w:rFonts w:ascii="Times New Roman" w:hAnsi="Times New Roman" w:cs="Times New Roman"/>
          <w:i/>
          <w:sz w:val="20"/>
          <w:szCs w:val="20"/>
        </w:rPr>
        <w:noBreakHyphen/>
        <w:t>109</w:t>
      </w:r>
      <w:r w:rsidRPr="00243E4E">
        <w:rPr>
          <w:rFonts w:ascii="Times New Roman" w:hAnsi="Times New Roman" w:cs="Times New Roman"/>
          <w:i/>
          <w:sz w:val="20"/>
          <w:szCs w:val="20"/>
        </w:rPr>
        <w:noBreakHyphen/>
        <w:t>010</w:t>
      </w:r>
      <w:r w:rsidRPr="00243E4E">
        <w:rPr>
          <w:rFonts w:ascii="Times New Roman" w:hAnsi="Times New Roman" w:cs="Times New Roman"/>
          <w:sz w:val="20"/>
          <w:szCs w:val="20"/>
        </w:rPr>
        <w:t xml:space="preserve"> Docket UE-111882, Order 01 at ¶ 28.</w:t>
      </w:r>
    </w:p>
  </w:footnote>
  <w:footnote w:id="8">
    <w:p w14:paraId="3934AC8B" w14:textId="7518794C"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Both Avista and Pacific Power hired Applied Energy Group (AEG) to prepare their CPA.</w:t>
      </w:r>
    </w:p>
  </w:footnote>
  <w:footnote w:id="9">
    <w:p w14:paraId="2D2507B5" w14:textId="77777777" w:rsidR="003D08D9" w:rsidRPr="00243E4E" w:rsidRDefault="003D08D9" w:rsidP="008B70E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See Moore, Michal C., “The Role of Energy Efficiency in Electric Power Systems: Lessons from Experiments in the US.”</w:t>
      </w:r>
    </w:p>
  </w:footnote>
  <w:footnote w:id="10">
    <w:p w14:paraId="5A8E9FD4" w14:textId="791120F3"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Persistence of savings refers the length of time that the behavior changes effectuated by HER remain in place after reports cease. This is a key question in determining</w:t>
      </w:r>
      <w:r w:rsidR="00243E4E">
        <w:rPr>
          <w:rFonts w:ascii="Times New Roman" w:hAnsi="Times New Roman" w:cs="Times New Roman"/>
        </w:rPr>
        <w:t xml:space="preserve"> the measure life for HER, </w:t>
      </w:r>
      <w:proofErr w:type="spellStart"/>
      <w:r w:rsidR="00243E4E">
        <w:rPr>
          <w:rFonts w:ascii="Times New Roman" w:hAnsi="Times New Roman" w:cs="Times New Roman"/>
        </w:rPr>
        <w:t>i.e</w:t>
      </w:r>
      <w:proofErr w:type="spellEnd"/>
      <w:proofErr w:type="gramStart"/>
      <w:r w:rsidR="00243E4E">
        <w:rPr>
          <w:rFonts w:ascii="Times New Roman" w:hAnsi="Times New Roman" w:cs="Times New Roman"/>
        </w:rPr>
        <w:t>,,</w:t>
      </w:r>
      <w:proofErr w:type="gramEnd"/>
      <w:r w:rsidRPr="00243E4E">
        <w:rPr>
          <w:rFonts w:ascii="Times New Roman" w:hAnsi="Times New Roman" w:cs="Times New Roman"/>
        </w:rPr>
        <w:t xml:space="preserve"> how frequently the savings must be “re-purchased” by a new cycle of reports. There is a very limited amount of research on this topic.</w:t>
      </w:r>
    </w:p>
  </w:footnote>
  <w:footnote w:id="11">
    <w:p w14:paraId="010C1C1E" w14:textId="5F597F24"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RCW 19.285.040(1).</w:t>
      </w:r>
    </w:p>
  </w:footnote>
  <w:footnote w:id="12">
    <w:p w14:paraId="28424A76" w14:textId="5EF1CAFE"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WAC 480-109-100(1</w:t>
      </w:r>
      <w:proofErr w:type="gramStart"/>
      <w:r w:rsidRPr="00243E4E">
        <w:rPr>
          <w:rFonts w:ascii="Times New Roman" w:hAnsi="Times New Roman" w:cs="Times New Roman"/>
        </w:rPr>
        <w:t>)(</w:t>
      </w:r>
      <w:proofErr w:type="gramEnd"/>
      <w:r w:rsidRPr="00243E4E">
        <w:rPr>
          <w:rFonts w:ascii="Times New Roman" w:hAnsi="Times New Roman" w:cs="Times New Roman"/>
        </w:rPr>
        <w:t>b).</w:t>
      </w:r>
    </w:p>
  </w:footnote>
  <w:footnote w:id="13">
    <w:p w14:paraId="48481168" w14:textId="3F3BA98C"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w:t>
      </w:r>
      <w:r w:rsidRPr="00243E4E">
        <w:rPr>
          <w:rFonts w:ascii="Times New Roman" w:hAnsi="Times New Roman" w:cs="Times New Roman"/>
          <w:i/>
        </w:rPr>
        <w:t xml:space="preserve">In the Matter of the Petition of Puget Sound Energy, Inc. and Northwest Energy Coalition For an Order Authorizing PSE to Implement Electric and Natural Gas Decoupling Mechanism and to Record Accounting Entries Associated with the Mechanisms, </w:t>
      </w:r>
      <w:r w:rsidRPr="00243E4E">
        <w:rPr>
          <w:rFonts w:ascii="Times New Roman" w:hAnsi="Times New Roman" w:cs="Times New Roman"/>
        </w:rPr>
        <w:t xml:space="preserve">Docket UE-121697, Order 07 (June 25, 2013) ¶ 108; </w:t>
      </w:r>
      <w:r w:rsidRPr="00243E4E">
        <w:rPr>
          <w:rFonts w:ascii="Times New Roman" w:hAnsi="Times New Roman" w:cs="Times New Roman"/>
          <w:i/>
        </w:rPr>
        <w:t>WUTC vs. Avista Corporation d/b/a Avista Utilities</w:t>
      </w:r>
      <w:r w:rsidRPr="00243E4E">
        <w:rPr>
          <w:rFonts w:ascii="Times New Roman" w:hAnsi="Times New Roman" w:cs="Times New Roman"/>
        </w:rPr>
        <w:t>, Docket UE-140188, Order 05 (November 25, 2014) ¶ 26.</w:t>
      </w:r>
    </w:p>
  </w:footnote>
  <w:footnote w:id="14">
    <w:p w14:paraId="7D84765E" w14:textId="50616CA0"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RCW 19.285.040(1</w:t>
      </w:r>
      <w:proofErr w:type="gramStart"/>
      <w:r w:rsidRPr="00243E4E">
        <w:rPr>
          <w:rFonts w:ascii="Times New Roman" w:hAnsi="Times New Roman" w:cs="Times New Roman"/>
        </w:rPr>
        <w:t>)(</w:t>
      </w:r>
      <w:proofErr w:type="gramEnd"/>
      <w:r w:rsidRPr="00243E4E">
        <w:rPr>
          <w:rFonts w:ascii="Times New Roman" w:hAnsi="Times New Roman" w:cs="Times New Roman"/>
        </w:rPr>
        <w:t>c)(</w:t>
      </w:r>
      <w:proofErr w:type="spellStart"/>
      <w:r w:rsidRPr="00243E4E">
        <w:rPr>
          <w:rFonts w:ascii="Times New Roman" w:hAnsi="Times New Roman" w:cs="Times New Roman"/>
        </w:rPr>
        <w:t>i</w:t>
      </w:r>
      <w:proofErr w:type="spellEnd"/>
      <w:r w:rsidRPr="00243E4E">
        <w:rPr>
          <w:rFonts w:ascii="Times New Roman" w:hAnsi="Times New Roman" w:cs="Times New Roman"/>
        </w:rPr>
        <w:t>).</w:t>
      </w:r>
    </w:p>
  </w:footnote>
  <w:footnote w:id="15">
    <w:p w14:paraId="6891D040" w14:textId="77777777" w:rsidR="003D08D9" w:rsidRPr="00243E4E" w:rsidRDefault="003D08D9" w:rsidP="00104F20">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PSE’s Decoupling savings is five percent of its base savings (including NEEA) plus HER legacy savings potential, or 559,854 </w:t>
      </w:r>
      <w:proofErr w:type="spellStart"/>
      <w:r w:rsidRPr="00243E4E">
        <w:rPr>
          <w:rFonts w:ascii="Times New Roman" w:hAnsi="Times New Roman" w:cs="Times New Roman"/>
        </w:rPr>
        <w:t>MWh</w:t>
      </w:r>
      <w:proofErr w:type="spellEnd"/>
      <w:r w:rsidRPr="00243E4E">
        <w:rPr>
          <w:rFonts w:ascii="Times New Roman" w:hAnsi="Times New Roman" w:cs="Times New Roman"/>
        </w:rPr>
        <w:t xml:space="preserve">. </w:t>
      </w:r>
    </w:p>
  </w:footnote>
  <w:footnote w:id="16">
    <w:p w14:paraId="3CEF1F10" w14:textId="77777777" w:rsidR="003D08D9" w:rsidRPr="00243E4E" w:rsidRDefault="003D08D9" w:rsidP="00104F20">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Docket UE-132043.</w:t>
      </w:r>
    </w:p>
  </w:footnote>
  <w:footnote w:id="17">
    <w:p w14:paraId="3C8778C3" w14:textId="56C38454"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Includes NEEA</w:t>
      </w:r>
      <w:r w:rsidR="002368F5">
        <w:rPr>
          <w:rFonts w:ascii="Times New Roman" w:hAnsi="Times New Roman" w:cs="Times New Roman"/>
        </w:rPr>
        <w:t xml:space="preserve"> and pilot programs</w:t>
      </w:r>
      <w:r w:rsidRPr="00243E4E">
        <w:rPr>
          <w:rFonts w:ascii="Times New Roman" w:hAnsi="Times New Roman" w:cs="Times New Roman"/>
        </w:rPr>
        <w:t>.</w:t>
      </w:r>
    </w:p>
  </w:footnote>
  <w:footnote w:id="18">
    <w:p w14:paraId="3430A369" w14:textId="77777777" w:rsidR="003D08D9" w:rsidRPr="00243E4E" w:rsidRDefault="003D08D9" w:rsidP="00104F20">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NEEA is expecting fewer savings in 2016-2017 than the previous biennium. Therefore, when PSE subtracts out NEEA savings from its target, there are fewer savings to remove. </w:t>
      </w:r>
    </w:p>
  </w:footnote>
  <w:footnote w:id="19">
    <w:p w14:paraId="6D6E4910" w14:textId="0B51D573" w:rsidR="003D08D9" w:rsidRPr="00243E4E" w:rsidRDefault="003D08D9" w:rsidP="00111BC5">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Docket UE-143214, Avista Corporation 2015 Integrated Resource Plan, Appendix C at 65.</w:t>
      </w:r>
    </w:p>
  </w:footnote>
  <w:footnote w:id="20">
    <w:p w14:paraId="7A912876" w14:textId="77777777" w:rsidR="003D08D9" w:rsidRPr="00243E4E" w:rsidRDefault="003D08D9" w:rsidP="00A83DD6">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Includes NEEA.</w:t>
      </w:r>
    </w:p>
  </w:footnote>
  <w:footnote w:id="21">
    <w:p w14:paraId="48F9D36D" w14:textId="77777777" w:rsidR="003D08D9" w:rsidRPr="00243E4E" w:rsidRDefault="003D08D9" w:rsidP="008463AA">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Docket UE-140546, Pacific Power &amp; Light Company 2015 Integrated Resource Plan, Appendix D at 64.</w:t>
      </w:r>
    </w:p>
  </w:footnote>
  <w:footnote w:id="22">
    <w:p w14:paraId="3330E619" w14:textId="77777777"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Technologies evaluated through outside studies include waste heat to power, regenerative technologies and high efficiency co-generation. The company also continues to rely on previous studies done for production and distribution efficiency opportunities. </w:t>
      </w:r>
    </w:p>
  </w:footnote>
  <w:footnote w:id="23">
    <w:p w14:paraId="75F81D54" w14:textId="77777777" w:rsidR="003D08D9" w:rsidRPr="00243E4E" w:rsidRDefault="003D08D9" w:rsidP="008463AA">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Docket UE-152072, Pacific Power Biennial Conservation Plan at 19.</w:t>
      </w:r>
    </w:p>
  </w:footnote>
  <w:footnote w:id="24">
    <w:p w14:paraId="4A8A0DF6" w14:textId="77777777"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Includes NEEA.</w:t>
      </w:r>
    </w:p>
  </w:footnote>
  <w:footnote w:id="25">
    <w:p w14:paraId="2D466651" w14:textId="77777777"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Pacific Power Demand-side Management 2016-2017 Business Plan – Washington at A1-9. </w:t>
      </w:r>
    </w:p>
  </w:footnote>
  <w:footnote w:id="26">
    <w:p w14:paraId="00D00400" w14:textId="77777777" w:rsidR="003D08D9" w:rsidRPr="00243E4E" w:rsidRDefault="003D08D9">
      <w:pPr>
        <w:pStyle w:val="FootnoteText"/>
        <w:rPr>
          <w:rFonts w:ascii="Times New Roman" w:hAnsi="Times New Roman" w:cs="Times New Roman"/>
        </w:rPr>
      </w:pPr>
      <w:r w:rsidRPr="00243E4E">
        <w:rPr>
          <w:rStyle w:val="FootnoteReference"/>
          <w:rFonts w:ascii="Times New Roman" w:hAnsi="Times New Roman" w:cs="Times New Roman"/>
        </w:rPr>
        <w:footnoteRef/>
      </w:r>
      <w:r w:rsidRPr="00243E4E">
        <w:rPr>
          <w:rFonts w:ascii="Times New Roman" w:hAnsi="Times New Roman" w:cs="Times New Roman"/>
        </w:rPr>
        <w:t xml:space="preserve"> Docket UE-132047, Order 01, Attachment A at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938816"/>
      <w:docPartObj>
        <w:docPartGallery w:val="Page Numbers (Top of Page)"/>
        <w:docPartUnique/>
      </w:docPartObj>
    </w:sdtPr>
    <w:sdtEndPr>
      <w:rPr>
        <w:rFonts w:ascii="Times New Roman" w:hAnsi="Times New Roman" w:cs="Times New Roman"/>
        <w:noProof/>
      </w:rPr>
    </w:sdtEndPr>
    <w:sdtContent>
      <w:p w14:paraId="0897A2B2" w14:textId="7E871B19" w:rsidR="003D08D9" w:rsidRPr="00635B42" w:rsidRDefault="003D08D9">
        <w:pPr>
          <w:pStyle w:val="Header"/>
          <w:rPr>
            <w:rFonts w:ascii="Times New Roman" w:hAnsi="Times New Roman" w:cs="Times New Roman"/>
          </w:rPr>
        </w:pPr>
        <w:r w:rsidRPr="00635B42">
          <w:rPr>
            <w:rFonts w:ascii="Times New Roman" w:hAnsi="Times New Roman" w:cs="Times New Roman"/>
          </w:rPr>
          <w:t>Staff Comments on 2016-2017 Biennial Conservation Plans</w:t>
        </w:r>
      </w:p>
      <w:p w14:paraId="3C4931E6" w14:textId="77777777" w:rsidR="003D08D9" w:rsidRPr="00635B42" w:rsidRDefault="003D08D9">
        <w:pPr>
          <w:pStyle w:val="Header"/>
          <w:rPr>
            <w:rFonts w:ascii="Times New Roman" w:hAnsi="Times New Roman" w:cs="Times New Roman"/>
          </w:rPr>
        </w:pPr>
        <w:r w:rsidRPr="00635B42">
          <w:rPr>
            <w:rFonts w:ascii="Times New Roman" w:hAnsi="Times New Roman" w:cs="Times New Roman"/>
          </w:rPr>
          <w:t>Dockets UE-152058, UE-152072, UE-152076</w:t>
        </w:r>
      </w:p>
      <w:p w14:paraId="5F0C16F9" w14:textId="77777777" w:rsidR="003D08D9" w:rsidRPr="00635B42" w:rsidRDefault="003D08D9">
        <w:pPr>
          <w:pStyle w:val="Header"/>
          <w:rPr>
            <w:rFonts w:ascii="Times New Roman" w:hAnsi="Times New Roman" w:cs="Times New Roman"/>
          </w:rPr>
        </w:pPr>
        <w:r w:rsidRPr="00635B42">
          <w:rPr>
            <w:rFonts w:ascii="Times New Roman" w:hAnsi="Times New Roman" w:cs="Times New Roman"/>
          </w:rPr>
          <w:t xml:space="preserve">Page </w:t>
        </w:r>
        <w:r w:rsidRPr="00635B42">
          <w:rPr>
            <w:rFonts w:ascii="Times New Roman" w:hAnsi="Times New Roman" w:cs="Times New Roman"/>
          </w:rPr>
          <w:fldChar w:fldCharType="begin"/>
        </w:r>
        <w:r w:rsidRPr="00635B42">
          <w:rPr>
            <w:rFonts w:ascii="Times New Roman" w:hAnsi="Times New Roman" w:cs="Times New Roman"/>
          </w:rPr>
          <w:instrText xml:space="preserve"> PAGE   \* MERGEFORMAT </w:instrText>
        </w:r>
        <w:r w:rsidRPr="00635B42">
          <w:rPr>
            <w:rFonts w:ascii="Times New Roman" w:hAnsi="Times New Roman" w:cs="Times New Roman"/>
          </w:rPr>
          <w:fldChar w:fldCharType="separate"/>
        </w:r>
        <w:r w:rsidR="00CF2949">
          <w:rPr>
            <w:rFonts w:ascii="Times New Roman" w:hAnsi="Times New Roman" w:cs="Times New Roman"/>
            <w:noProof/>
          </w:rPr>
          <w:t>11</w:t>
        </w:r>
        <w:r w:rsidRPr="00635B42">
          <w:rPr>
            <w:rFonts w:ascii="Times New Roman" w:hAnsi="Times New Roman" w:cs="Times New Roman"/>
            <w:noProof/>
          </w:rPr>
          <w:fldChar w:fldCharType="end"/>
        </w:r>
      </w:p>
    </w:sdtContent>
  </w:sdt>
  <w:p w14:paraId="6DDA472A" w14:textId="77777777" w:rsidR="003D08D9" w:rsidRPr="001F67EC" w:rsidRDefault="003D0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51E1"/>
    <w:multiLevelType w:val="hybridMultilevel"/>
    <w:tmpl w:val="5E6834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A9F36B6"/>
    <w:multiLevelType w:val="hybridMultilevel"/>
    <w:tmpl w:val="303C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7C47BB1"/>
    <w:multiLevelType w:val="hybridMultilevel"/>
    <w:tmpl w:val="93E2B494"/>
    <w:lvl w:ilvl="0" w:tplc="163C3CA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1911B1"/>
    <w:multiLevelType w:val="hybridMultilevel"/>
    <w:tmpl w:val="75083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1BE025E"/>
    <w:multiLevelType w:val="hybridMultilevel"/>
    <w:tmpl w:val="0172B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6F46A52"/>
    <w:multiLevelType w:val="hybridMultilevel"/>
    <w:tmpl w:val="FFB67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FA13C2"/>
    <w:multiLevelType w:val="hybridMultilevel"/>
    <w:tmpl w:val="80EA3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52F6A3D"/>
    <w:multiLevelType w:val="hybridMultilevel"/>
    <w:tmpl w:val="E076C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AA"/>
    <w:rsid w:val="0001377C"/>
    <w:rsid w:val="00013B07"/>
    <w:rsid w:val="000257AC"/>
    <w:rsid w:val="000505A6"/>
    <w:rsid w:val="00050C85"/>
    <w:rsid w:val="000A0F16"/>
    <w:rsid w:val="000B13AC"/>
    <w:rsid w:val="000B50DF"/>
    <w:rsid w:val="000E0C30"/>
    <w:rsid w:val="000E640C"/>
    <w:rsid w:val="000F5B70"/>
    <w:rsid w:val="00104F20"/>
    <w:rsid w:val="00111BC5"/>
    <w:rsid w:val="00150D1F"/>
    <w:rsid w:val="00151291"/>
    <w:rsid w:val="00174AF0"/>
    <w:rsid w:val="0019043D"/>
    <w:rsid w:val="001A3769"/>
    <w:rsid w:val="001C5AB1"/>
    <w:rsid w:val="001E1D7A"/>
    <w:rsid w:val="001F67EC"/>
    <w:rsid w:val="00217B20"/>
    <w:rsid w:val="00226334"/>
    <w:rsid w:val="002368F5"/>
    <w:rsid w:val="00243E4E"/>
    <w:rsid w:val="002523CE"/>
    <w:rsid w:val="002A0B07"/>
    <w:rsid w:val="002C039A"/>
    <w:rsid w:val="002D0932"/>
    <w:rsid w:val="002F68B9"/>
    <w:rsid w:val="003140A0"/>
    <w:rsid w:val="00323045"/>
    <w:rsid w:val="00336C32"/>
    <w:rsid w:val="00345E24"/>
    <w:rsid w:val="0035435D"/>
    <w:rsid w:val="00360DFC"/>
    <w:rsid w:val="00383340"/>
    <w:rsid w:val="003873FF"/>
    <w:rsid w:val="003B2413"/>
    <w:rsid w:val="003D08D9"/>
    <w:rsid w:val="003E2409"/>
    <w:rsid w:val="003F10AE"/>
    <w:rsid w:val="0040723E"/>
    <w:rsid w:val="0041791C"/>
    <w:rsid w:val="0042062A"/>
    <w:rsid w:val="00422A57"/>
    <w:rsid w:val="004454CF"/>
    <w:rsid w:val="00457A2C"/>
    <w:rsid w:val="00472D0F"/>
    <w:rsid w:val="0047353B"/>
    <w:rsid w:val="00493500"/>
    <w:rsid w:val="004D127F"/>
    <w:rsid w:val="00521A9B"/>
    <w:rsid w:val="00552600"/>
    <w:rsid w:val="0057768B"/>
    <w:rsid w:val="00590201"/>
    <w:rsid w:val="005A03F3"/>
    <w:rsid w:val="005A6C62"/>
    <w:rsid w:val="005A6C74"/>
    <w:rsid w:val="005C144E"/>
    <w:rsid w:val="005C6F77"/>
    <w:rsid w:val="005E1B50"/>
    <w:rsid w:val="0061403F"/>
    <w:rsid w:val="00625C0C"/>
    <w:rsid w:val="00626FA5"/>
    <w:rsid w:val="00635B42"/>
    <w:rsid w:val="00672F7B"/>
    <w:rsid w:val="0067694E"/>
    <w:rsid w:val="006A41EE"/>
    <w:rsid w:val="006B3F84"/>
    <w:rsid w:val="006B7FDB"/>
    <w:rsid w:val="006E3932"/>
    <w:rsid w:val="00731196"/>
    <w:rsid w:val="00736530"/>
    <w:rsid w:val="00744E3A"/>
    <w:rsid w:val="00750D5B"/>
    <w:rsid w:val="00771308"/>
    <w:rsid w:val="00771E77"/>
    <w:rsid w:val="007A1AAD"/>
    <w:rsid w:val="007A4FAC"/>
    <w:rsid w:val="007C1A8A"/>
    <w:rsid w:val="007D2678"/>
    <w:rsid w:val="007E4357"/>
    <w:rsid w:val="007F3B07"/>
    <w:rsid w:val="007F3C2D"/>
    <w:rsid w:val="008463AA"/>
    <w:rsid w:val="00865548"/>
    <w:rsid w:val="00891A28"/>
    <w:rsid w:val="008B70E9"/>
    <w:rsid w:val="008C1DC7"/>
    <w:rsid w:val="008E5871"/>
    <w:rsid w:val="008F23A0"/>
    <w:rsid w:val="008F3B10"/>
    <w:rsid w:val="00935A8C"/>
    <w:rsid w:val="00960616"/>
    <w:rsid w:val="00962E4D"/>
    <w:rsid w:val="0096744F"/>
    <w:rsid w:val="009A49A5"/>
    <w:rsid w:val="009D79F9"/>
    <w:rsid w:val="00A36DDA"/>
    <w:rsid w:val="00A4066F"/>
    <w:rsid w:val="00A50780"/>
    <w:rsid w:val="00A56ABC"/>
    <w:rsid w:val="00A65DB3"/>
    <w:rsid w:val="00A66505"/>
    <w:rsid w:val="00A70078"/>
    <w:rsid w:val="00A81157"/>
    <w:rsid w:val="00A83DD6"/>
    <w:rsid w:val="00A84C2A"/>
    <w:rsid w:val="00AC3EF9"/>
    <w:rsid w:val="00AD3312"/>
    <w:rsid w:val="00AE273E"/>
    <w:rsid w:val="00AE6C9C"/>
    <w:rsid w:val="00AF2A4F"/>
    <w:rsid w:val="00B12E1F"/>
    <w:rsid w:val="00B13041"/>
    <w:rsid w:val="00B14679"/>
    <w:rsid w:val="00B1541E"/>
    <w:rsid w:val="00B20ADD"/>
    <w:rsid w:val="00B37113"/>
    <w:rsid w:val="00BB5B61"/>
    <w:rsid w:val="00BE085B"/>
    <w:rsid w:val="00C0143B"/>
    <w:rsid w:val="00C30D7D"/>
    <w:rsid w:val="00C34280"/>
    <w:rsid w:val="00C62F92"/>
    <w:rsid w:val="00C740D1"/>
    <w:rsid w:val="00CB1454"/>
    <w:rsid w:val="00CE0B08"/>
    <w:rsid w:val="00CE6D0B"/>
    <w:rsid w:val="00CF2949"/>
    <w:rsid w:val="00D4133D"/>
    <w:rsid w:val="00D5036F"/>
    <w:rsid w:val="00D522BE"/>
    <w:rsid w:val="00D75081"/>
    <w:rsid w:val="00D83561"/>
    <w:rsid w:val="00DA1B86"/>
    <w:rsid w:val="00DA4C42"/>
    <w:rsid w:val="00DB5B63"/>
    <w:rsid w:val="00DB7063"/>
    <w:rsid w:val="00DD2A47"/>
    <w:rsid w:val="00DF1B93"/>
    <w:rsid w:val="00E37A55"/>
    <w:rsid w:val="00E4744C"/>
    <w:rsid w:val="00E549EB"/>
    <w:rsid w:val="00E63655"/>
    <w:rsid w:val="00E67CE2"/>
    <w:rsid w:val="00EB55BD"/>
    <w:rsid w:val="00EC2041"/>
    <w:rsid w:val="00EC664B"/>
    <w:rsid w:val="00ED42AC"/>
    <w:rsid w:val="00ED51B1"/>
    <w:rsid w:val="00EE311C"/>
    <w:rsid w:val="00EE7ECB"/>
    <w:rsid w:val="00F14DA5"/>
    <w:rsid w:val="00F21B68"/>
    <w:rsid w:val="00F3676E"/>
    <w:rsid w:val="00F520B6"/>
    <w:rsid w:val="00F71125"/>
    <w:rsid w:val="00F76E8F"/>
    <w:rsid w:val="00F77E2E"/>
    <w:rsid w:val="00FF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EDD4A"/>
  <w15:chartTrackingRefBased/>
  <w15:docId w15:val="{1B32CB1C-C059-44B8-AD72-6231E62C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3AA"/>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63AA"/>
    <w:pPr>
      <w:keepNext/>
      <w:keepLines/>
      <w:spacing w:before="200"/>
      <w:outlineLvl w:val="1"/>
    </w:pPr>
    <w:rPr>
      <w:rFonts w:ascii="Times New Roman" w:eastAsiaTheme="majorEastAsia" w:hAnsi="Times New Roman" w:cs="Times New Roman"/>
      <w:b/>
      <w:bCs/>
      <w:sz w:val="24"/>
      <w:szCs w:val="24"/>
      <w:u w:val="single"/>
    </w:rPr>
  </w:style>
  <w:style w:type="paragraph" w:styleId="Heading3">
    <w:name w:val="heading 3"/>
    <w:basedOn w:val="Normal"/>
    <w:next w:val="Normal"/>
    <w:link w:val="Heading3Char"/>
    <w:uiPriority w:val="9"/>
    <w:semiHidden/>
    <w:unhideWhenUsed/>
    <w:qFormat/>
    <w:rsid w:val="008463AA"/>
    <w:pPr>
      <w:keepNext/>
      <w:keepLines/>
      <w:spacing w:before="200"/>
      <w:outlineLvl w:val="2"/>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63AA"/>
    <w:rPr>
      <w:rFonts w:ascii="Times New Roman" w:eastAsiaTheme="majorEastAsia" w:hAnsi="Times New Roman" w:cs="Times New Roman"/>
      <w:b/>
      <w:bCs/>
      <w:sz w:val="24"/>
      <w:szCs w:val="24"/>
      <w:u w:val="single"/>
    </w:rPr>
  </w:style>
  <w:style w:type="character" w:customStyle="1" w:styleId="Heading3Char">
    <w:name w:val="Heading 3 Char"/>
    <w:basedOn w:val="DefaultParagraphFont"/>
    <w:link w:val="Heading3"/>
    <w:uiPriority w:val="9"/>
    <w:semiHidden/>
    <w:rsid w:val="008463AA"/>
    <w:rPr>
      <w:rFonts w:ascii="Times New Roman" w:eastAsiaTheme="majorEastAsia" w:hAnsi="Times New Roman" w:cs="Times New Roman"/>
      <w:b/>
      <w:bCs/>
      <w:sz w:val="24"/>
      <w:szCs w:val="24"/>
    </w:rPr>
  </w:style>
  <w:style w:type="character" w:styleId="Hyperlink">
    <w:name w:val="Hyperlink"/>
    <w:basedOn w:val="DefaultParagraphFont"/>
    <w:uiPriority w:val="99"/>
    <w:unhideWhenUsed/>
    <w:rsid w:val="008463AA"/>
    <w:rPr>
      <w:color w:val="0000FF" w:themeColor="hyperlink"/>
      <w:u w:val="single"/>
    </w:rPr>
  </w:style>
  <w:style w:type="paragraph" w:styleId="TOC1">
    <w:name w:val="toc 1"/>
    <w:basedOn w:val="Normal"/>
    <w:next w:val="Normal"/>
    <w:autoRedefine/>
    <w:uiPriority w:val="39"/>
    <w:unhideWhenUsed/>
    <w:rsid w:val="008463AA"/>
    <w:pPr>
      <w:spacing w:after="100"/>
    </w:pPr>
  </w:style>
  <w:style w:type="paragraph" w:styleId="TOC2">
    <w:name w:val="toc 2"/>
    <w:basedOn w:val="Normal"/>
    <w:next w:val="Normal"/>
    <w:autoRedefine/>
    <w:uiPriority w:val="39"/>
    <w:unhideWhenUsed/>
    <w:rsid w:val="008463AA"/>
    <w:pPr>
      <w:spacing w:after="100"/>
      <w:ind w:left="220"/>
    </w:pPr>
  </w:style>
  <w:style w:type="paragraph" w:styleId="TOC3">
    <w:name w:val="toc 3"/>
    <w:basedOn w:val="Normal"/>
    <w:next w:val="Normal"/>
    <w:autoRedefine/>
    <w:uiPriority w:val="39"/>
    <w:semiHidden/>
    <w:unhideWhenUsed/>
    <w:rsid w:val="008463AA"/>
    <w:pPr>
      <w:spacing w:after="100"/>
      <w:ind w:left="440"/>
    </w:pPr>
  </w:style>
  <w:style w:type="paragraph" w:styleId="FootnoteText">
    <w:name w:val="footnote text"/>
    <w:basedOn w:val="Normal"/>
    <w:link w:val="FootnoteTextChar"/>
    <w:uiPriority w:val="99"/>
    <w:semiHidden/>
    <w:unhideWhenUsed/>
    <w:rsid w:val="008463AA"/>
    <w:rPr>
      <w:sz w:val="20"/>
      <w:szCs w:val="20"/>
    </w:rPr>
  </w:style>
  <w:style w:type="character" w:customStyle="1" w:styleId="FootnoteTextChar">
    <w:name w:val="Footnote Text Char"/>
    <w:basedOn w:val="DefaultParagraphFont"/>
    <w:link w:val="FootnoteText"/>
    <w:uiPriority w:val="99"/>
    <w:semiHidden/>
    <w:rsid w:val="008463AA"/>
    <w:rPr>
      <w:sz w:val="20"/>
      <w:szCs w:val="20"/>
    </w:rPr>
  </w:style>
  <w:style w:type="paragraph" w:styleId="Caption">
    <w:name w:val="caption"/>
    <w:basedOn w:val="Normal"/>
    <w:next w:val="Normal"/>
    <w:uiPriority w:val="35"/>
    <w:semiHidden/>
    <w:unhideWhenUsed/>
    <w:qFormat/>
    <w:rsid w:val="008463AA"/>
    <w:pPr>
      <w:keepNext/>
      <w:spacing w:after="200"/>
    </w:pPr>
    <w:rPr>
      <w:rFonts w:ascii="Times New Roman" w:hAnsi="Times New Roman" w:cs="Times New Roman"/>
      <w:b/>
      <w:bCs/>
      <w:sz w:val="24"/>
      <w:szCs w:val="24"/>
    </w:rPr>
  </w:style>
  <w:style w:type="paragraph" w:styleId="TableofFigures">
    <w:name w:val="table of figures"/>
    <w:basedOn w:val="Normal"/>
    <w:next w:val="Normal"/>
    <w:uiPriority w:val="99"/>
    <w:unhideWhenUsed/>
    <w:rsid w:val="008463AA"/>
  </w:style>
  <w:style w:type="paragraph" w:styleId="ListParagraph">
    <w:name w:val="List Paragraph"/>
    <w:basedOn w:val="Normal"/>
    <w:uiPriority w:val="34"/>
    <w:qFormat/>
    <w:rsid w:val="008463AA"/>
    <w:pPr>
      <w:ind w:left="720"/>
      <w:contextualSpacing/>
    </w:pPr>
  </w:style>
  <w:style w:type="paragraph" w:styleId="TOCHeading">
    <w:name w:val="TOC Heading"/>
    <w:basedOn w:val="Heading1"/>
    <w:next w:val="Normal"/>
    <w:uiPriority w:val="39"/>
    <w:semiHidden/>
    <w:unhideWhenUsed/>
    <w:qFormat/>
    <w:rsid w:val="008463AA"/>
    <w:pPr>
      <w:spacing w:line="276" w:lineRule="auto"/>
      <w:ind w:left="1080" w:hanging="720"/>
      <w:outlineLvl w:val="9"/>
    </w:pPr>
    <w:rPr>
      <w:rFonts w:ascii="Times New Roman" w:hAnsi="Times New Roman" w:cs="Times New Roman"/>
      <w:color w:val="auto"/>
      <w:sz w:val="24"/>
      <w:szCs w:val="24"/>
      <w:lang w:eastAsia="ja-JP"/>
    </w:rPr>
  </w:style>
  <w:style w:type="character" w:styleId="FootnoteReference">
    <w:name w:val="footnote reference"/>
    <w:basedOn w:val="DefaultParagraphFont"/>
    <w:uiPriority w:val="99"/>
    <w:semiHidden/>
    <w:unhideWhenUsed/>
    <w:rsid w:val="008463AA"/>
    <w:rPr>
      <w:vertAlign w:val="superscript"/>
    </w:rPr>
  </w:style>
  <w:style w:type="table" w:styleId="TableGrid">
    <w:name w:val="Table Grid"/>
    <w:basedOn w:val="TableNormal"/>
    <w:uiPriority w:val="59"/>
    <w:rsid w:val="008463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63AA"/>
    <w:rPr>
      <w:b/>
      <w:bCs/>
    </w:rPr>
  </w:style>
  <w:style w:type="character" w:styleId="CommentReference">
    <w:name w:val="annotation reference"/>
    <w:basedOn w:val="DefaultParagraphFont"/>
    <w:uiPriority w:val="99"/>
    <w:semiHidden/>
    <w:unhideWhenUsed/>
    <w:rsid w:val="00EB55BD"/>
    <w:rPr>
      <w:sz w:val="16"/>
      <w:szCs w:val="16"/>
    </w:rPr>
  </w:style>
  <w:style w:type="paragraph" w:styleId="CommentText">
    <w:name w:val="annotation text"/>
    <w:basedOn w:val="Normal"/>
    <w:link w:val="CommentTextChar"/>
    <w:uiPriority w:val="99"/>
    <w:semiHidden/>
    <w:unhideWhenUsed/>
    <w:rsid w:val="00EB55BD"/>
    <w:rPr>
      <w:sz w:val="20"/>
      <w:szCs w:val="20"/>
    </w:rPr>
  </w:style>
  <w:style w:type="character" w:customStyle="1" w:styleId="CommentTextChar">
    <w:name w:val="Comment Text Char"/>
    <w:basedOn w:val="DefaultParagraphFont"/>
    <w:link w:val="CommentText"/>
    <w:uiPriority w:val="99"/>
    <w:semiHidden/>
    <w:rsid w:val="00EB55BD"/>
    <w:rPr>
      <w:sz w:val="20"/>
      <w:szCs w:val="20"/>
    </w:rPr>
  </w:style>
  <w:style w:type="paragraph" w:styleId="CommentSubject">
    <w:name w:val="annotation subject"/>
    <w:basedOn w:val="CommentText"/>
    <w:next w:val="CommentText"/>
    <w:link w:val="CommentSubjectChar"/>
    <w:uiPriority w:val="99"/>
    <w:semiHidden/>
    <w:unhideWhenUsed/>
    <w:rsid w:val="00EB55BD"/>
    <w:rPr>
      <w:b/>
      <w:bCs/>
    </w:rPr>
  </w:style>
  <w:style w:type="character" w:customStyle="1" w:styleId="CommentSubjectChar">
    <w:name w:val="Comment Subject Char"/>
    <w:basedOn w:val="CommentTextChar"/>
    <w:link w:val="CommentSubject"/>
    <w:uiPriority w:val="99"/>
    <w:semiHidden/>
    <w:rsid w:val="00EB55BD"/>
    <w:rPr>
      <w:b/>
      <w:bCs/>
      <w:sz w:val="20"/>
      <w:szCs w:val="20"/>
    </w:rPr>
  </w:style>
  <w:style w:type="paragraph" w:styleId="BalloonText">
    <w:name w:val="Balloon Text"/>
    <w:basedOn w:val="Normal"/>
    <w:link w:val="BalloonTextChar"/>
    <w:uiPriority w:val="99"/>
    <w:semiHidden/>
    <w:unhideWhenUsed/>
    <w:rsid w:val="00EB5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5BD"/>
    <w:rPr>
      <w:rFonts w:ascii="Segoe UI" w:hAnsi="Segoe UI" w:cs="Segoe UI"/>
      <w:sz w:val="18"/>
      <w:szCs w:val="18"/>
    </w:rPr>
  </w:style>
  <w:style w:type="paragraph" w:styleId="Header">
    <w:name w:val="header"/>
    <w:basedOn w:val="Normal"/>
    <w:link w:val="HeaderChar"/>
    <w:uiPriority w:val="99"/>
    <w:unhideWhenUsed/>
    <w:rsid w:val="00EE7ECB"/>
    <w:pPr>
      <w:tabs>
        <w:tab w:val="center" w:pos="4680"/>
        <w:tab w:val="right" w:pos="9360"/>
      </w:tabs>
    </w:pPr>
  </w:style>
  <w:style w:type="character" w:customStyle="1" w:styleId="HeaderChar">
    <w:name w:val="Header Char"/>
    <w:basedOn w:val="DefaultParagraphFont"/>
    <w:link w:val="Header"/>
    <w:uiPriority w:val="99"/>
    <w:rsid w:val="00EE7ECB"/>
  </w:style>
  <w:style w:type="paragraph" w:styleId="Footer">
    <w:name w:val="footer"/>
    <w:basedOn w:val="Normal"/>
    <w:link w:val="FooterChar"/>
    <w:uiPriority w:val="99"/>
    <w:unhideWhenUsed/>
    <w:rsid w:val="00EE7ECB"/>
    <w:pPr>
      <w:tabs>
        <w:tab w:val="center" w:pos="4680"/>
        <w:tab w:val="right" w:pos="9360"/>
      </w:tabs>
    </w:pPr>
  </w:style>
  <w:style w:type="character" w:customStyle="1" w:styleId="FooterChar">
    <w:name w:val="Footer Char"/>
    <w:basedOn w:val="DefaultParagraphFont"/>
    <w:link w:val="Footer"/>
    <w:uiPriority w:val="99"/>
    <w:rsid w:val="00EE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52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2015-12-03T08:00:00+00:00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65C668D-D374-43AE-B021-E14A3A31A594}"/>
</file>

<file path=customXml/itemProps2.xml><?xml version="1.0" encoding="utf-8"?>
<ds:datastoreItem xmlns:ds="http://schemas.openxmlformats.org/officeDocument/2006/customXml" ds:itemID="{4B2BBD69-DF62-480D-91AA-E5FAE566DF4E}"/>
</file>

<file path=customXml/itemProps3.xml><?xml version="1.0" encoding="utf-8"?>
<ds:datastoreItem xmlns:ds="http://schemas.openxmlformats.org/officeDocument/2006/customXml" ds:itemID="{8DECBAA8-D583-48FB-8172-D63DE2DF3A4F}"/>
</file>

<file path=customXml/itemProps4.xml><?xml version="1.0" encoding="utf-8"?>
<ds:datastoreItem xmlns:ds="http://schemas.openxmlformats.org/officeDocument/2006/customXml" ds:itemID="{44560B31-D878-4FCB-B046-66F1D92D56EC}"/>
</file>

<file path=customXml/itemProps5.xml><?xml version="1.0" encoding="utf-8"?>
<ds:datastoreItem xmlns:ds="http://schemas.openxmlformats.org/officeDocument/2006/customXml" ds:itemID="{6320D150-6A4E-4E03-8C2A-A372F5ABB0B6}"/>
</file>

<file path=docProps/app.xml><?xml version="1.0" encoding="utf-8"?>
<Properties xmlns="http://schemas.openxmlformats.org/officeDocument/2006/extended-properties" xmlns:vt="http://schemas.openxmlformats.org/officeDocument/2006/docPropsVTypes">
  <Template>Normal.dotm</Template>
  <TotalTime>0</TotalTime>
  <Pages>12</Pages>
  <Words>4716</Words>
  <Characters>26887</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Staff Comments on 2016-2017 Biennial Conservation Plans</vt:lpstr>
    </vt:vector>
  </TitlesOfParts>
  <Company>Washington Utilities and Transportation Commission</Company>
  <LinksUpToDate>false</LinksUpToDate>
  <CharactersWithSpaces>31540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Comments on 2016-2017 Biennial Conservation Plans</dc:title>
  <dc:subject/>
  <dc:creator>Twitchell, Jeremy (UTC)</dc:creator>
  <cp:keywords/>
  <dc:description/>
  <cp:lastModifiedBy>DeMarco, Betsy (UTC)</cp:lastModifiedBy>
  <cp:revision>2</cp:revision>
  <cp:lastPrinted>2015-12-03T22:57:00Z</cp:lastPrinted>
  <dcterms:created xsi:type="dcterms:W3CDTF">2015-12-03T23:05:00Z</dcterms:created>
  <dcterms:modified xsi:type="dcterms:W3CDTF">2015-12-03T23:05:00Z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_docset_NoMedatataSyncRequired">
    <vt:lpwstr>False</vt:lpwstr>
  </property>
</Properties>
</file>