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DB6AD" w14:textId="7838AAF9" w:rsidR="00DF6C4E" w:rsidRDefault="005668F1" w:rsidP="00DF6C4E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Agenda Date: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710A6">
        <w:rPr>
          <w:rFonts w:ascii="Times New Roman" w:hAnsi="Times New Roman"/>
        </w:rPr>
        <w:t>February 14</w:t>
      </w:r>
      <w:r w:rsidR="00F51994">
        <w:rPr>
          <w:rFonts w:ascii="Times New Roman" w:hAnsi="Times New Roman"/>
        </w:rPr>
        <w:t xml:space="preserve">, </w:t>
      </w:r>
      <w:r w:rsidR="00E03710">
        <w:rPr>
          <w:rFonts w:ascii="Times New Roman" w:hAnsi="Times New Roman"/>
        </w:rPr>
        <w:t>201</w:t>
      </w:r>
      <w:r w:rsidR="006B3FA8">
        <w:rPr>
          <w:rFonts w:ascii="Times New Roman" w:hAnsi="Times New Roman"/>
        </w:rPr>
        <w:t>4</w:t>
      </w:r>
    </w:p>
    <w:p w14:paraId="6B6DB6AE" w14:textId="09EB6A48" w:rsidR="00DF6C4E" w:rsidRDefault="00DF6C4E" w:rsidP="00DF6C4E">
      <w:pPr>
        <w:rPr>
          <w:rFonts w:ascii="Times New Roman" w:hAnsi="Times New Roman"/>
        </w:rPr>
      </w:pPr>
      <w:r>
        <w:rPr>
          <w:rFonts w:ascii="Times New Roman" w:hAnsi="Times New Roman"/>
        </w:rPr>
        <w:t>Item Number: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</w:t>
      </w:r>
      <w:r w:rsidR="00C94DAB">
        <w:rPr>
          <w:rFonts w:ascii="Times New Roman" w:hAnsi="Times New Roman"/>
        </w:rPr>
        <w:t>3</w:t>
      </w:r>
    </w:p>
    <w:p w14:paraId="6B6DB6AF" w14:textId="77777777" w:rsidR="00DF6C4E" w:rsidRDefault="00DF6C4E" w:rsidP="00DF6C4E">
      <w:pPr>
        <w:rPr>
          <w:rFonts w:ascii="Times New Roman" w:hAnsi="Times New Roman"/>
        </w:rPr>
      </w:pPr>
    </w:p>
    <w:p w14:paraId="6B6DB6B0" w14:textId="1B575D70" w:rsidR="00DF6C4E" w:rsidRDefault="00DF6C4E" w:rsidP="00DF6C4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Docket: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UW-</w:t>
      </w:r>
      <w:r w:rsidR="0090749F">
        <w:rPr>
          <w:rFonts w:ascii="Times New Roman" w:hAnsi="Times New Roman"/>
          <w:b/>
        </w:rPr>
        <w:t>132352</w:t>
      </w:r>
    </w:p>
    <w:p w14:paraId="78707987" w14:textId="3E898D22" w:rsidR="005668F1" w:rsidRPr="005668F1" w:rsidRDefault="00DF6C4E" w:rsidP="005668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Company Name: </w:t>
      </w:r>
      <w:r>
        <w:rPr>
          <w:rFonts w:ascii="Times New Roman" w:hAnsi="Times New Roman"/>
        </w:rPr>
        <w:tab/>
      </w:r>
      <w:r w:rsidR="006B3FA8">
        <w:rPr>
          <w:rFonts w:ascii="Times New Roman" w:hAnsi="Times New Roman"/>
        </w:rPr>
        <w:t>Pedersen Family LLC</w:t>
      </w:r>
    </w:p>
    <w:p w14:paraId="6B6DB6B2" w14:textId="77777777" w:rsidR="00DF6C4E" w:rsidRDefault="00DF6C4E" w:rsidP="00DF6C4E">
      <w:pPr>
        <w:rPr>
          <w:rFonts w:ascii="Times New Roman" w:hAnsi="Times New Roman"/>
        </w:rPr>
      </w:pPr>
    </w:p>
    <w:p w14:paraId="6B6DB6B3" w14:textId="77777777" w:rsidR="00DF6C4E" w:rsidRDefault="00DF6C4E" w:rsidP="00DF6C4E">
      <w:pPr>
        <w:rPr>
          <w:rFonts w:ascii="Times New Roman" w:hAnsi="Times New Roman"/>
        </w:rPr>
      </w:pPr>
      <w:r>
        <w:rPr>
          <w:rFonts w:ascii="Times New Roman" w:hAnsi="Times New Roman"/>
        </w:rPr>
        <w:t>Staff: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51994">
        <w:rPr>
          <w:rFonts w:ascii="Times New Roman" w:hAnsi="Times New Roman"/>
        </w:rPr>
        <w:t>Jim Ward</w:t>
      </w:r>
      <w:r>
        <w:rPr>
          <w:rFonts w:ascii="Times New Roman" w:hAnsi="Times New Roman"/>
        </w:rPr>
        <w:t xml:space="preserve">, Regulatory Analyst </w:t>
      </w:r>
    </w:p>
    <w:p w14:paraId="6B6DB6B4" w14:textId="77777777" w:rsidR="00DF6C4E" w:rsidRDefault="00DF6C4E" w:rsidP="00DF6C4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51994">
        <w:rPr>
          <w:rFonts w:ascii="Times New Roman" w:hAnsi="Times New Roman"/>
        </w:rPr>
        <w:t>John Cupp</w:t>
      </w:r>
      <w:r>
        <w:rPr>
          <w:rFonts w:ascii="Times New Roman" w:hAnsi="Times New Roman"/>
        </w:rPr>
        <w:t xml:space="preserve">, Consumer Protection Staff </w:t>
      </w:r>
    </w:p>
    <w:p w14:paraId="50E232B0" w14:textId="77777777" w:rsidR="008A5A74" w:rsidRDefault="008A5A74" w:rsidP="00DF6C4E">
      <w:pPr>
        <w:rPr>
          <w:rFonts w:ascii="Times New Roman" w:hAnsi="Times New Roman"/>
        </w:rPr>
      </w:pPr>
    </w:p>
    <w:p w14:paraId="6B6DB6B6" w14:textId="4EDEDB9D" w:rsidR="00DF6C4E" w:rsidRDefault="00DF6C4E" w:rsidP="00DF6C4E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Recommendation</w:t>
      </w:r>
    </w:p>
    <w:p w14:paraId="6B6DB6B7" w14:textId="569BF917" w:rsidR="00DF6C4E" w:rsidRDefault="00DF6C4E" w:rsidP="00DF6C4E">
      <w:pPr>
        <w:rPr>
          <w:rFonts w:ascii="Times New Roman" w:hAnsi="Times New Roman"/>
        </w:rPr>
      </w:pPr>
    </w:p>
    <w:p w14:paraId="6B6DB6B8" w14:textId="5C02AA5E" w:rsidR="00DF6C4E" w:rsidRDefault="00E03710" w:rsidP="00DF6C4E">
      <w:pPr>
        <w:rPr>
          <w:rFonts w:ascii="Times New Roman" w:hAnsi="Times New Roman"/>
        </w:rPr>
      </w:pPr>
      <w:r>
        <w:rPr>
          <w:rFonts w:ascii="Times New Roman" w:hAnsi="Times New Roman"/>
        </w:rPr>
        <w:t>Take no action</w:t>
      </w:r>
      <w:r w:rsidR="00AE1068">
        <w:rPr>
          <w:rFonts w:ascii="Times New Roman" w:hAnsi="Times New Roman"/>
        </w:rPr>
        <w:t>, thereby</w:t>
      </w:r>
      <w:r>
        <w:rPr>
          <w:rFonts w:ascii="Times New Roman" w:hAnsi="Times New Roman"/>
        </w:rPr>
        <w:t xml:space="preserve"> a</w:t>
      </w:r>
      <w:r w:rsidR="00DF6C4E">
        <w:rPr>
          <w:rFonts w:ascii="Times New Roman" w:hAnsi="Times New Roman"/>
        </w:rPr>
        <w:t>llow</w:t>
      </w:r>
      <w:r w:rsidR="00AE1068">
        <w:rPr>
          <w:rFonts w:ascii="Times New Roman" w:hAnsi="Times New Roman"/>
        </w:rPr>
        <w:t>ing</w:t>
      </w:r>
      <w:r w:rsidR="00DF6C4E">
        <w:rPr>
          <w:rFonts w:ascii="Times New Roman" w:hAnsi="Times New Roman"/>
        </w:rPr>
        <w:t xml:space="preserve"> the </w:t>
      </w:r>
      <w:r w:rsidR="00AE1068">
        <w:rPr>
          <w:rFonts w:ascii="Times New Roman" w:hAnsi="Times New Roman"/>
        </w:rPr>
        <w:t>tariff revision</w:t>
      </w:r>
      <w:r w:rsidR="00EC7C31">
        <w:rPr>
          <w:rFonts w:ascii="Times New Roman" w:hAnsi="Times New Roman"/>
        </w:rPr>
        <w:t>s</w:t>
      </w:r>
      <w:r w:rsidR="00AE1068">
        <w:rPr>
          <w:rFonts w:ascii="Times New Roman" w:hAnsi="Times New Roman"/>
        </w:rPr>
        <w:t xml:space="preserve"> </w:t>
      </w:r>
      <w:r w:rsidR="001C6F06">
        <w:rPr>
          <w:rFonts w:ascii="Times New Roman" w:hAnsi="Times New Roman"/>
        </w:rPr>
        <w:t>filed</w:t>
      </w:r>
      <w:r w:rsidR="00DF6C4E">
        <w:rPr>
          <w:rFonts w:ascii="Times New Roman" w:hAnsi="Times New Roman"/>
        </w:rPr>
        <w:t xml:space="preserve"> by </w:t>
      </w:r>
      <w:r w:rsidR="006B3FA8">
        <w:rPr>
          <w:rFonts w:ascii="Times New Roman" w:hAnsi="Times New Roman"/>
        </w:rPr>
        <w:t>Pedersen Family LLC</w:t>
      </w:r>
      <w:r w:rsidR="00DF6C4E">
        <w:rPr>
          <w:rFonts w:ascii="Times New Roman" w:hAnsi="Times New Roman"/>
        </w:rPr>
        <w:t xml:space="preserve">, on </w:t>
      </w:r>
      <w:r w:rsidR="006B3FA8">
        <w:rPr>
          <w:rFonts w:ascii="Times New Roman" w:hAnsi="Times New Roman"/>
        </w:rPr>
        <w:t>December 20</w:t>
      </w:r>
      <w:r w:rsidR="00D60D9F">
        <w:rPr>
          <w:rFonts w:ascii="Times New Roman" w:hAnsi="Times New Roman"/>
        </w:rPr>
        <w:t>, 2013,</w:t>
      </w:r>
      <w:r w:rsidR="0090749F">
        <w:rPr>
          <w:rFonts w:ascii="Times New Roman" w:hAnsi="Times New Roman"/>
        </w:rPr>
        <w:t xml:space="preserve"> </w:t>
      </w:r>
      <w:r w:rsidR="00BB7775">
        <w:rPr>
          <w:rFonts w:ascii="Times New Roman" w:hAnsi="Times New Roman"/>
        </w:rPr>
        <w:t xml:space="preserve">as </w:t>
      </w:r>
      <w:r w:rsidR="002F16E2">
        <w:rPr>
          <w:rFonts w:ascii="Times New Roman" w:hAnsi="Times New Roman"/>
        </w:rPr>
        <w:t>revised on January 17</w:t>
      </w:r>
      <w:r w:rsidR="00E710A6">
        <w:rPr>
          <w:rFonts w:ascii="Times New Roman" w:hAnsi="Times New Roman"/>
        </w:rPr>
        <w:t xml:space="preserve">, 2014, </w:t>
      </w:r>
      <w:r w:rsidR="00DF6C4E">
        <w:rPr>
          <w:rFonts w:ascii="Times New Roman" w:hAnsi="Times New Roman"/>
        </w:rPr>
        <w:t xml:space="preserve">to become effective </w:t>
      </w:r>
      <w:r w:rsidR="001B0029">
        <w:rPr>
          <w:rFonts w:ascii="Times New Roman" w:hAnsi="Times New Roman"/>
        </w:rPr>
        <w:t xml:space="preserve">on </w:t>
      </w:r>
      <w:r w:rsidR="00E710A6">
        <w:rPr>
          <w:rFonts w:ascii="Times New Roman" w:hAnsi="Times New Roman"/>
        </w:rPr>
        <w:t>February</w:t>
      </w:r>
      <w:r w:rsidR="006B3FA8">
        <w:rPr>
          <w:rFonts w:ascii="Times New Roman" w:hAnsi="Times New Roman"/>
        </w:rPr>
        <w:t xml:space="preserve"> 20</w:t>
      </w:r>
      <w:r w:rsidR="00DF6C4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201</w:t>
      </w:r>
      <w:r w:rsidR="008356F9">
        <w:rPr>
          <w:rFonts w:ascii="Times New Roman" w:hAnsi="Times New Roman"/>
        </w:rPr>
        <w:t>4</w:t>
      </w:r>
      <w:r w:rsidR="00E36635" w:rsidRPr="00E36635">
        <w:rPr>
          <w:rFonts w:ascii="Times New Roman" w:hAnsi="Times New Roman"/>
        </w:rPr>
        <w:t>, by operation of law</w:t>
      </w:r>
      <w:r w:rsidR="00DF6C4E">
        <w:rPr>
          <w:rFonts w:ascii="Times New Roman" w:hAnsi="Times New Roman"/>
        </w:rPr>
        <w:t xml:space="preserve">. </w:t>
      </w:r>
    </w:p>
    <w:p w14:paraId="6B6DB6B9" w14:textId="4A8C476B" w:rsidR="00DF6C4E" w:rsidRDefault="00DF6C4E" w:rsidP="00DF6C4E">
      <w:pPr>
        <w:rPr>
          <w:rFonts w:ascii="Times New Roman" w:hAnsi="Times New Roman"/>
        </w:rPr>
      </w:pPr>
    </w:p>
    <w:p w14:paraId="6B6DB6BA" w14:textId="4FBE10EB" w:rsidR="00DF6C4E" w:rsidRDefault="00DF6C4E" w:rsidP="00DF6C4E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Discussion</w:t>
      </w:r>
    </w:p>
    <w:p w14:paraId="6B6DB6BB" w14:textId="499BE4E2" w:rsidR="00DF6C4E" w:rsidRDefault="00DF6C4E" w:rsidP="00DF6C4E">
      <w:pPr>
        <w:rPr>
          <w:rFonts w:ascii="Times New Roman" w:hAnsi="Times New Roman"/>
        </w:rPr>
      </w:pPr>
    </w:p>
    <w:p w14:paraId="232718C2" w14:textId="1CCBE5D7" w:rsidR="00C410A5" w:rsidRPr="00C410A5" w:rsidRDefault="003271B8" w:rsidP="00C410A5">
      <w:pPr>
        <w:rPr>
          <w:rFonts w:ascii="Times New Roman" w:hAnsi="Times New Roman"/>
        </w:rPr>
      </w:pPr>
      <w:r w:rsidRPr="003271B8">
        <w:rPr>
          <w:rFonts w:ascii="Times New Roman" w:hAnsi="Times New Roman"/>
        </w:rPr>
        <w:t xml:space="preserve">On </w:t>
      </w:r>
      <w:r w:rsidR="00C410A5">
        <w:rPr>
          <w:rFonts w:ascii="Times New Roman" w:hAnsi="Times New Roman"/>
        </w:rPr>
        <w:t xml:space="preserve">December 20, 2013, Pedersen Family LLC (company) filed </w:t>
      </w:r>
      <w:r w:rsidR="00915507">
        <w:rPr>
          <w:rFonts w:ascii="Times New Roman" w:hAnsi="Times New Roman"/>
        </w:rPr>
        <w:t xml:space="preserve">with the Utilities and Transportation Commission (commission) </w:t>
      </w:r>
      <w:r w:rsidR="00C410A5">
        <w:rPr>
          <w:rFonts w:ascii="Times New Roman" w:hAnsi="Times New Roman"/>
        </w:rPr>
        <w:t xml:space="preserve">a </w:t>
      </w:r>
      <w:r w:rsidR="00915507">
        <w:rPr>
          <w:rFonts w:ascii="Times New Roman" w:hAnsi="Times New Roman"/>
        </w:rPr>
        <w:t xml:space="preserve">proposed </w:t>
      </w:r>
      <w:r w:rsidR="00C410A5" w:rsidRPr="00C410A5">
        <w:rPr>
          <w:rFonts w:ascii="Times New Roman" w:hAnsi="Times New Roman"/>
        </w:rPr>
        <w:t>general rate increase that would generate $10,850 (25.7 percent) additional annual revenue. The tariff revision</w:t>
      </w:r>
      <w:r w:rsidR="00915507">
        <w:rPr>
          <w:rFonts w:ascii="Times New Roman" w:hAnsi="Times New Roman"/>
        </w:rPr>
        <w:t>s</w:t>
      </w:r>
      <w:r w:rsidR="00C410A5" w:rsidRPr="00C410A5">
        <w:rPr>
          <w:rFonts w:ascii="Times New Roman" w:hAnsi="Times New Roman"/>
        </w:rPr>
        <w:t xml:space="preserve"> include language to implement the Department of Health’s Cross Connection Control requirements. The proposed effective date </w:t>
      </w:r>
      <w:r w:rsidR="00BA4437">
        <w:rPr>
          <w:rFonts w:ascii="Times New Roman" w:hAnsi="Times New Roman"/>
        </w:rPr>
        <w:t>was</w:t>
      </w:r>
      <w:r w:rsidR="00C410A5" w:rsidRPr="00C410A5">
        <w:rPr>
          <w:rFonts w:ascii="Times New Roman" w:hAnsi="Times New Roman"/>
        </w:rPr>
        <w:t xml:space="preserve"> January 20, 2014. The company serves 2</w:t>
      </w:r>
      <w:r w:rsidR="00BA4437">
        <w:rPr>
          <w:rFonts w:ascii="Times New Roman" w:hAnsi="Times New Roman"/>
        </w:rPr>
        <w:t>1</w:t>
      </w:r>
      <w:r w:rsidR="00C410A5" w:rsidRPr="00C410A5">
        <w:rPr>
          <w:rFonts w:ascii="Times New Roman" w:hAnsi="Times New Roman"/>
        </w:rPr>
        <w:t>0 residential customers near Sequim in Clallam County. The company’s last rate increase was effective June 1, 2000.</w:t>
      </w:r>
    </w:p>
    <w:p w14:paraId="427E62F1" w14:textId="77777777" w:rsidR="00BA4437" w:rsidRDefault="00BA4437" w:rsidP="00BA4437">
      <w:pPr>
        <w:rPr>
          <w:rFonts w:ascii="Times New Roman" w:hAnsi="Times New Roman"/>
        </w:rPr>
      </w:pPr>
    </w:p>
    <w:p w14:paraId="59382707" w14:textId="76D1DADB" w:rsidR="00FC6969" w:rsidRDefault="00BA4437" w:rsidP="00FC69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January 10, 2014, the company filed to extend the effective date </w:t>
      </w:r>
      <w:r w:rsidR="00311510">
        <w:rPr>
          <w:rFonts w:ascii="Times New Roman" w:hAnsi="Times New Roman"/>
        </w:rPr>
        <w:t>until</w:t>
      </w:r>
      <w:r>
        <w:rPr>
          <w:rFonts w:ascii="Times New Roman" w:hAnsi="Times New Roman"/>
        </w:rPr>
        <w:t xml:space="preserve"> February 20, 2014. On January </w:t>
      </w:r>
      <w:r w:rsidR="002F16E2">
        <w:rPr>
          <w:rFonts w:ascii="Times New Roman" w:hAnsi="Times New Roman"/>
        </w:rPr>
        <w:t>17</w:t>
      </w:r>
      <w:r>
        <w:rPr>
          <w:rFonts w:ascii="Times New Roman" w:hAnsi="Times New Roman"/>
        </w:rPr>
        <w:t>, 2014, the company filed revised rates at staff recommended levels.</w:t>
      </w:r>
      <w:r w:rsidR="00B82AAD">
        <w:rPr>
          <w:rFonts w:ascii="Times New Roman" w:hAnsi="Times New Roman"/>
        </w:rPr>
        <w:t xml:space="preserve"> The revised filing would generate $20,160 (47.7</w:t>
      </w:r>
      <w:r w:rsidR="00BB7775">
        <w:rPr>
          <w:rFonts w:ascii="Times New Roman" w:hAnsi="Times New Roman"/>
        </w:rPr>
        <w:t xml:space="preserve"> percent</w:t>
      </w:r>
      <w:r w:rsidR="00B82AAD">
        <w:rPr>
          <w:rFonts w:ascii="Times New Roman" w:hAnsi="Times New Roman"/>
        </w:rPr>
        <w:t xml:space="preserve">). The original filing </w:t>
      </w:r>
      <w:r w:rsidR="00BB7775">
        <w:rPr>
          <w:rFonts w:ascii="Times New Roman" w:hAnsi="Times New Roman"/>
        </w:rPr>
        <w:t xml:space="preserve">increased rates </w:t>
      </w:r>
      <w:r w:rsidR="00B82AAD">
        <w:rPr>
          <w:rFonts w:ascii="Times New Roman" w:hAnsi="Times New Roman"/>
        </w:rPr>
        <w:t xml:space="preserve">to </w:t>
      </w:r>
      <w:r w:rsidR="00BB7775">
        <w:rPr>
          <w:rFonts w:ascii="Times New Roman" w:hAnsi="Times New Roman"/>
        </w:rPr>
        <w:t xml:space="preserve">only </w:t>
      </w:r>
      <w:r w:rsidR="00B82AAD">
        <w:rPr>
          <w:rFonts w:ascii="Times New Roman" w:hAnsi="Times New Roman"/>
        </w:rPr>
        <w:t xml:space="preserve">one water system and </w:t>
      </w:r>
      <w:r w:rsidR="00910264">
        <w:rPr>
          <w:rFonts w:ascii="Times New Roman" w:hAnsi="Times New Roman"/>
        </w:rPr>
        <w:t xml:space="preserve">the </w:t>
      </w:r>
      <w:r w:rsidR="00B82AAD">
        <w:rPr>
          <w:rFonts w:ascii="Times New Roman" w:hAnsi="Times New Roman"/>
        </w:rPr>
        <w:t xml:space="preserve">company limited the filing to only three </w:t>
      </w:r>
      <w:r w:rsidR="002F16E2">
        <w:rPr>
          <w:rFonts w:ascii="Times New Roman" w:hAnsi="Times New Roman"/>
        </w:rPr>
        <w:t>categories</w:t>
      </w:r>
      <w:r w:rsidR="00B82AAD">
        <w:rPr>
          <w:rFonts w:ascii="Times New Roman" w:hAnsi="Times New Roman"/>
        </w:rPr>
        <w:t xml:space="preserve"> of expense</w:t>
      </w:r>
      <w:r w:rsidR="00FC6969">
        <w:rPr>
          <w:rFonts w:ascii="Times New Roman" w:hAnsi="Times New Roman"/>
        </w:rPr>
        <w:t>s</w:t>
      </w:r>
      <w:r w:rsidR="00B82AAD">
        <w:rPr>
          <w:rFonts w:ascii="Times New Roman" w:hAnsi="Times New Roman"/>
        </w:rPr>
        <w:t xml:space="preserve">. The revised filing reviewed </w:t>
      </w:r>
      <w:r w:rsidR="002F16E2">
        <w:rPr>
          <w:rFonts w:ascii="Times New Roman" w:hAnsi="Times New Roman"/>
        </w:rPr>
        <w:t>company</w:t>
      </w:r>
      <w:r w:rsidR="00BB7775">
        <w:rPr>
          <w:rFonts w:ascii="Times New Roman" w:hAnsi="Times New Roman"/>
        </w:rPr>
        <w:t>-</w:t>
      </w:r>
      <w:r w:rsidR="002F16E2">
        <w:rPr>
          <w:rFonts w:ascii="Times New Roman" w:hAnsi="Times New Roman"/>
        </w:rPr>
        <w:t>wide</w:t>
      </w:r>
      <w:r w:rsidR="00B82AAD">
        <w:rPr>
          <w:rFonts w:ascii="Times New Roman" w:hAnsi="Times New Roman"/>
        </w:rPr>
        <w:t xml:space="preserve"> </w:t>
      </w:r>
      <w:r w:rsidR="001B0029" w:rsidRPr="001B0029">
        <w:rPr>
          <w:rFonts w:ascii="Times New Roman" w:hAnsi="Times New Roman"/>
        </w:rPr>
        <w:t>revenues and expenses for all water systems</w:t>
      </w:r>
      <w:r w:rsidR="00B82AAD">
        <w:rPr>
          <w:rFonts w:ascii="Times New Roman" w:hAnsi="Times New Roman"/>
        </w:rPr>
        <w:t xml:space="preserve">. </w:t>
      </w:r>
      <w:r w:rsidR="00BB7775">
        <w:rPr>
          <w:rFonts w:ascii="Times New Roman" w:hAnsi="Times New Roman"/>
        </w:rPr>
        <w:t>The tariff update would also require c</w:t>
      </w:r>
      <w:r w:rsidR="00FC6969">
        <w:rPr>
          <w:rFonts w:ascii="Times New Roman" w:hAnsi="Times New Roman"/>
        </w:rPr>
        <w:t xml:space="preserve">ustomers </w:t>
      </w:r>
      <w:r w:rsidR="00BB7775">
        <w:rPr>
          <w:rFonts w:ascii="Times New Roman" w:hAnsi="Times New Roman"/>
        </w:rPr>
        <w:t>to</w:t>
      </w:r>
      <w:r w:rsidR="00FC6969">
        <w:rPr>
          <w:rFonts w:ascii="Times New Roman" w:hAnsi="Times New Roman"/>
        </w:rPr>
        <w:t xml:space="preserve"> complet</w:t>
      </w:r>
      <w:r w:rsidR="00BB7775">
        <w:rPr>
          <w:rFonts w:ascii="Times New Roman" w:hAnsi="Times New Roman"/>
        </w:rPr>
        <w:t>e</w:t>
      </w:r>
      <w:r w:rsidR="00FC6969">
        <w:rPr>
          <w:rFonts w:ascii="Times New Roman" w:hAnsi="Times New Roman"/>
        </w:rPr>
        <w:t xml:space="preserve"> Cross Connection Control surveys. </w:t>
      </w:r>
    </w:p>
    <w:p w14:paraId="6B6DB6BD" w14:textId="37DFB742" w:rsidR="00BA493D" w:rsidRDefault="00BA493D" w:rsidP="00DF6C4E">
      <w:pPr>
        <w:rPr>
          <w:rFonts w:ascii="Times New Roman" w:hAnsi="Times New Roman"/>
        </w:rPr>
      </w:pPr>
    </w:p>
    <w:p w14:paraId="2A0B7791" w14:textId="74204225" w:rsidR="00E2165C" w:rsidRDefault="00E2165C" w:rsidP="00967230">
      <w:pPr>
        <w:rPr>
          <w:rFonts w:ascii="Times New Roman" w:hAnsi="Times New Roman"/>
        </w:rPr>
      </w:pPr>
      <w:r>
        <w:rPr>
          <w:rFonts w:ascii="Times New Roman" w:hAnsi="Times New Roman"/>
        </w:rPr>
        <w:t>The company owns four water systems</w:t>
      </w:r>
      <w:r w:rsidR="00407894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Dungeness Bay </w:t>
      </w:r>
      <w:r w:rsidR="00407894">
        <w:rPr>
          <w:rFonts w:ascii="Times New Roman" w:hAnsi="Times New Roman"/>
        </w:rPr>
        <w:t>serv</w:t>
      </w:r>
      <w:r w:rsidR="00BB7775">
        <w:rPr>
          <w:rFonts w:ascii="Times New Roman" w:hAnsi="Times New Roman"/>
        </w:rPr>
        <w:t>es</w:t>
      </w:r>
      <w:r w:rsidR="004078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166 </w:t>
      </w:r>
      <w:r w:rsidR="00407894">
        <w:rPr>
          <w:rFonts w:ascii="Times New Roman" w:hAnsi="Times New Roman"/>
        </w:rPr>
        <w:t xml:space="preserve">customers, </w:t>
      </w:r>
      <w:r>
        <w:rPr>
          <w:rFonts w:ascii="Times New Roman" w:hAnsi="Times New Roman"/>
        </w:rPr>
        <w:t xml:space="preserve">Jamestown </w:t>
      </w:r>
      <w:r w:rsidR="00407894">
        <w:rPr>
          <w:rFonts w:ascii="Times New Roman" w:hAnsi="Times New Roman"/>
        </w:rPr>
        <w:t>serv</w:t>
      </w:r>
      <w:r w:rsidR="00BB7775">
        <w:rPr>
          <w:rFonts w:ascii="Times New Roman" w:hAnsi="Times New Roman"/>
        </w:rPr>
        <w:t>es</w:t>
      </w:r>
      <w:r w:rsidR="00407894">
        <w:rPr>
          <w:rFonts w:ascii="Times New Roman" w:hAnsi="Times New Roman"/>
        </w:rPr>
        <w:t xml:space="preserve"> </w:t>
      </w:r>
      <w:r w:rsidR="00BA4437">
        <w:rPr>
          <w:rFonts w:ascii="Times New Roman" w:hAnsi="Times New Roman"/>
        </w:rPr>
        <w:t>4</w:t>
      </w:r>
      <w:r>
        <w:rPr>
          <w:rFonts w:ascii="Times New Roman" w:hAnsi="Times New Roman"/>
        </w:rPr>
        <w:t>3</w:t>
      </w:r>
      <w:r w:rsidR="00407894">
        <w:rPr>
          <w:rFonts w:ascii="Times New Roman" w:hAnsi="Times New Roman"/>
        </w:rPr>
        <w:t xml:space="preserve"> customers</w:t>
      </w:r>
      <w:r w:rsidR="00BB777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Skyridge </w:t>
      </w:r>
      <w:r w:rsidR="00407894">
        <w:rPr>
          <w:rFonts w:ascii="Times New Roman" w:hAnsi="Times New Roman"/>
        </w:rPr>
        <w:t>serv</w:t>
      </w:r>
      <w:r w:rsidR="006A20BD">
        <w:rPr>
          <w:rFonts w:ascii="Times New Roman" w:hAnsi="Times New Roman"/>
        </w:rPr>
        <w:t>es</w:t>
      </w:r>
      <w:r>
        <w:rPr>
          <w:rFonts w:ascii="Times New Roman" w:hAnsi="Times New Roman"/>
        </w:rPr>
        <w:t xml:space="preserve"> one customer</w:t>
      </w:r>
      <w:r w:rsidR="0040789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Pedersen Group B </w:t>
      </w:r>
      <w:r w:rsidR="008620EB">
        <w:rPr>
          <w:rFonts w:ascii="Times New Roman" w:hAnsi="Times New Roman"/>
        </w:rPr>
        <w:t>has</w:t>
      </w:r>
      <w:r w:rsidR="004078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no customers at this time. </w:t>
      </w:r>
    </w:p>
    <w:p w14:paraId="563429CC" w14:textId="7E509A22" w:rsidR="00E2165C" w:rsidRDefault="00E2165C" w:rsidP="00967230">
      <w:pPr>
        <w:rPr>
          <w:rFonts w:ascii="Times New Roman" w:hAnsi="Times New Roman"/>
        </w:rPr>
      </w:pPr>
    </w:p>
    <w:p w14:paraId="12146806" w14:textId="6BC5F11A" w:rsidR="00365BF4" w:rsidRDefault="00A915FB" w:rsidP="00CF6047">
      <w:pPr>
        <w:autoSpaceDE w:val="0"/>
        <w:autoSpaceDN w:val="0"/>
        <w:adjustRightInd w:val="0"/>
        <w:rPr>
          <w:rFonts w:ascii="Times New Roman" w:hAnsi="Times New Roman"/>
        </w:rPr>
      </w:pPr>
      <w:r w:rsidRPr="00A915FB">
        <w:rPr>
          <w:rFonts w:ascii="Times New Roman" w:hAnsi="Times New Roman"/>
        </w:rPr>
        <w:t>Th</w:t>
      </w:r>
      <w:r>
        <w:rPr>
          <w:rFonts w:ascii="Times New Roman" w:hAnsi="Times New Roman"/>
        </w:rPr>
        <w:t xml:space="preserve">is </w:t>
      </w:r>
      <w:r w:rsidR="00BC037A">
        <w:rPr>
          <w:rFonts w:ascii="Times New Roman" w:hAnsi="Times New Roman"/>
        </w:rPr>
        <w:t xml:space="preserve">revised </w:t>
      </w:r>
      <w:r w:rsidRPr="00A915FB">
        <w:rPr>
          <w:rFonts w:ascii="Times New Roman" w:hAnsi="Times New Roman"/>
        </w:rPr>
        <w:t xml:space="preserve">filing </w:t>
      </w:r>
      <w:r w:rsidR="003648DC">
        <w:rPr>
          <w:rFonts w:ascii="Times New Roman" w:hAnsi="Times New Roman"/>
        </w:rPr>
        <w:t xml:space="preserve">proposes to </w:t>
      </w:r>
      <w:r w:rsidR="005668F1">
        <w:rPr>
          <w:rFonts w:ascii="Times New Roman" w:hAnsi="Times New Roman"/>
        </w:rPr>
        <w:t>change</w:t>
      </w:r>
      <w:r w:rsidR="00CB6C31">
        <w:rPr>
          <w:rFonts w:ascii="Times New Roman" w:hAnsi="Times New Roman"/>
        </w:rPr>
        <w:t xml:space="preserve"> current </w:t>
      </w:r>
      <w:r w:rsidR="00723AED">
        <w:rPr>
          <w:rFonts w:ascii="Times New Roman" w:hAnsi="Times New Roman"/>
        </w:rPr>
        <w:t xml:space="preserve">rates for </w:t>
      </w:r>
      <w:r w:rsidR="00BA4437">
        <w:rPr>
          <w:rFonts w:ascii="Times New Roman" w:hAnsi="Times New Roman"/>
        </w:rPr>
        <w:t>all</w:t>
      </w:r>
      <w:r w:rsidR="00723AED">
        <w:rPr>
          <w:rFonts w:ascii="Times New Roman" w:hAnsi="Times New Roman"/>
        </w:rPr>
        <w:t xml:space="preserve"> water </w:t>
      </w:r>
      <w:r w:rsidR="00FC6969">
        <w:rPr>
          <w:rFonts w:ascii="Times New Roman" w:hAnsi="Times New Roman"/>
        </w:rPr>
        <w:t>company</w:t>
      </w:r>
      <w:r w:rsidR="00723AED">
        <w:rPr>
          <w:rFonts w:ascii="Times New Roman" w:hAnsi="Times New Roman"/>
        </w:rPr>
        <w:t xml:space="preserve"> customers. </w:t>
      </w:r>
      <w:r w:rsidR="00311510">
        <w:rPr>
          <w:rFonts w:ascii="Times New Roman" w:hAnsi="Times New Roman"/>
        </w:rPr>
        <w:t>Previously</w:t>
      </w:r>
      <w:r w:rsidR="00BA4437">
        <w:rPr>
          <w:rFonts w:ascii="Times New Roman" w:hAnsi="Times New Roman"/>
        </w:rPr>
        <w:t xml:space="preserve"> the company </w:t>
      </w:r>
      <w:r w:rsidR="00BB7775">
        <w:rPr>
          <w:rFonts w:ascii="Times New Roman" w:hAnsi="Times New Roman"/>
        </w:rPr>
        <w:t>proposed to increase</w:t>
      </w:r>
      <w:r w:rsidR="00BA4437">
        <w:rPr>
          <w:rFonts w:ascii="Times New Roman" w:hAnsi="Times New Roman"/>
        </w:rPr>
        <w:t xml:space="preserve"> rates for </w:t>
      </w:r>
      <w:r w:rsidR="00BB7775">
        <w:rPr>
          <w:rFonts w:ascii="Times New Roman" w:hAnsi="Times New Roman"/>
        </w:rPr>
        <w:t xml:space="preserve">only </w:t>
      </w:r>
      <w:r w:rsidR="00BA4437">
        <w:rPr>
          <w:rFonts w:ascii="Times New Roman" w:hAnsi="Times New Roman"/>
        </w:rPr>
        <w:t xml:space="preserve">the </w:t>
      </w:r>
      <w:r w:rsidR="00311510">
        <w:rPr>
          <w:rFonts w:ascii="Times New Roman" w:hAnsi="Times New Roman"/>
        </w:rPr>
        <w:t>Dungeness</w:t>
      </w:r>
      <w:r w:rsidR="00BA4437">
        <w:rPr>
          <w:rFonts w:ascii="Times New Roman" w:hAnsi="Times New Roman"/>
        </w:rPr>
        <w:t xml:space="preserve"> Bay customers. </w:t>
      </w:r>
      <w:r w:rsidR="00723AED">
        <w:rPr>
          <w:rFonts w:ascii="Times New Roman" w:hAnsi="Times New Roman"/>
        </w:rPr>
        <w:t>Th</w:t>
      </w:r>
      <w:r w:rsidR="00BA4437">
        <w:rPr>
          <w:rFonts w:ascii="Times New Roman" w:hAnsi="Times New Roman"/>
        </w:rPr>
        <w:t>at</w:t>
      </w:r>
      <w:r w:rsidR="00723AED">
        <w:rPr>
          <w:rFonts w:ascii="Times New Roman" w:hAnsi="Times New Roman"/>
        </w:rPr>
        <w:t xml:space="preserve"> water system </w:t>
      </w:r>
      <w:r w:rsidR="00407894">
        <w:rPr>
          <w:rFonts w:ascii="Times New Roman" w:hAnsi="Times New Roman"/>
        </w:rPr>
        <w:t xml:space="preserve">serves </w:t>
      </w:r>
      <w:r w:rsidR="00723AED">
        <w:rPr>
          <w:rFonts w:ascii="Times New Roman" w:hAnsi="Times New Roman"/>
        </w:rPr>
        <w:t xml:space="preserve">166 customers and </w:t>
      </w:r>
      <w:r w:rsidR="00BB7775">
        <w:rPr>
          <w:rFonts w:ascii="Times New Roman" w:hAnsi="Times New Roman"/>
        </w:rPr>
        <w:t>is the only water system that the Department of Health (DOH) requires to treat the water. T</w:t>
      </w:r>
      <w:r w:rsidR="00723AED">
        <w:rPr>
          <w:rFonts w:ascii="Times New Roman" w:hAnsi="Times New Roman"/>
        </w:rPr>
        <w:t xml:space="preserve">he company </w:t>
      </w:r>
      <w:r w:rsidR="00E26E0F">
        <w:rPr>
          <w:rFonts w:ascii="Times New Roman" w:hAnsi="Times New Roman"/>
        </w:rPr>
        <w:t xml:space="preserve">originally </w:t>
      </w:r>
      <w:r w:rsidR="00723AED">
        <w:rPr>
          <w:rFonts w:ascii="Times New Roman" w:hAnsi="Times New Roman"/>
        </w:rPr>
        <w:t>believe</w:t>
      </w:r>
      <w:r w:rsidR="00E26E0F">
        <w:rPr>
          <w:rFonts w:ascii="Times New Roman" w:hAnsi="Times New Roman"/>
        </w:rPr>
        <w:t>d</w:t>
      </w:r>
      <w:r w:rsidR="00723AED">
        <w:rPr>
          <w:rFonts w:ascii="Times New Roman" w:hAnsi="Times New Roman"/>
        </w:rPr>
        <w:t xml:space="preserve"> that only </w:t>
      </w:r>
      <w:r w:rsidR="00407894">
        <w:rPr>
          <w:rFonts w:ascii="Times New Roman" w:hAnsi="Times New Roman"/>
        </w:rPr>
        <w:t xml:space="preserve">customers served by </w:t>
      </w:r>
      <w:r w:rsidR="00723AED">
        <w:rPr>
          <w:rFonts w:ascii="Times New Roman" w:hAnsi="Times New Roman"/>
        </w:rPr>
        <w:t>th</w:t>
      </w:r>
      <w:r w:rsidR="00E26E0F">
        <w:rPr>
          <w:rFonts w:ascii="Times New Roman" w:hAnsi="Times New Roman"/>
        </w:rPr>
        <w:t>at</w:t>
      </w:r>
      <w:r w:rsidR="00723AED">
        <w:rPr>
          <w:rFonts w:ascii="Times New Roman" w:hAnsi="Times New Roman"/>
        </w:rPr>
        <w:t xml:space="preserve"> water system should bear the cost</w:t>
      </w:r>
      <w:r w:rsidR="00407894">
        <w:rPr>
          <w:rFonts w:ascii="Times New Roman" w:hAnsi="Times New Roman"/>
        </w:rPr>
        <w:t xml:space="preserve"> of treatment</w:t>
      </w:r>
      <w:r w:rsidR="00723AED">
        <w:rPr>
          <w:rFonts w:ascii="Times New Roman" w:hAnsi="Times New Roman"/>
        </w:rPr>
        <w:t>.</w:t>
      </w:r>
      <w:r w:rsidR="00E26E0F">
        <w:rPr>
          <w:rFonts w:ascii="Times New Roman" w:hAnsi="Times New Roman"/>
        </w:rPr>
        <w:t xml:space="preserve"> </w:t>
      </w:r>
    </w:p>
    <w:p w14:paraId="50D921D6" w14:textId="77777777" w:rsidR="00365BF4" w:rsidRDefault="00365BF4" w:rsidP="00CF604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1A0FFCC" w14:textId="317D4EB6" w:rsidR="00967230" w:rsidRDefault="00E26E0F" w:rsidP="00CF6047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During the company’s </w:t>
      </w:r>
      <w:r w:rsidR="00365BF4">
        <w:rPr>
          <w:rFonts w:ascii="Times New Roman" w:hAnsi="Times New Roman"/>
        </w:rPr>
        <w:t xml:space="preserve">initial </w:t>
      </w:r>
      <w:r>
        <w:rPr>
          <w:rFonts w:ascii="Times New Roman" w:hAnsi="Times New Roman"/>
        </w:rPr>
        <w:t xml:space="preserve">filing and staff’s review, </w:t>
      </w:r>
      <w:r w:rsidR="00BB7775">
        <w:rPr>
          <w:rFonts w:ascii="Times New Roman" w:hAnsi="Times New Roman"/>
        </w:rPr>
        <w:t xml:space="preserve">the company found </w:t>
      </w:r>
      <w:r>
        <w:rPr>
          <w:rFonts w:ascii="Times New Roman" w:hAnsi="Times New Roman"/>
        </w:rPr>
        <w:t xml:space="preserve">that </w:t>
      </w:r>
      <w:r w:rsidR="00BB7775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cost to </w:t>
      </w:r>
      <w:r w:rsidR="00BB7775">
        <w:rPr>
          <w:rFonts w:ascii="Times New Roman" w:hAnsi="Times New Roman"/>
        </w:rPr>
        <w:t xml:space="preserve">operate the </w:t>
      </w:r>
      <w:r>
        <w:rPr>
          <w:rFonts w:ascii="Times New Roman" w:hAnsi="Times New Roman"/>
        </w:rPr>
        <w:t>other water systems had also increased since June 2000.</w:t>
      </w:r>
      <w:r w:rsidR="0028259E">
        <w:rPr>
          <w:rFonts w:ascii="Times New Roman" w:hAnsi="Times New Roman"/>
        </w:rPr>
        <w:t xml:space="preserve"> </w:t>
      </w:r>
      <w:r w:rsidR="0028259E" w:rsidRPr="00CF6047">
        <w:rPr>
          <w:rFonts w:ascii="Times New Roman" w:hAnsi="Times New Roman"/>
        </w:rPr>
        <w:t xml:space="preserve">This </w:t>
      </w:r>
      <w:r w:rsidR="006213CF">
        <w:rPr>
          <w:rFonts w:ascii="Times New Roman" w:hAnsi="Times New Roman"/>
        </w:rPr>
        <w:t xml:space="preserve">revised filing </w:t>
      </w:r>
      <w:r w:rsidR="00BB7775">
        <w:rPr>
          <w:rFonts w:ascii="Times New Roman" w:hAnsi="Times New Roman"/>
        </w:rPr>
        <w:t>reflects i</w:t>
      </w:r>
      <w:r w:rsidR="0028259E" w:rsidRPr="00CF6047">
        <w:rPr>
          <w:rFonts w:ascii="Times New Roman" w:hAnsi="Times New Roman"/>
        </w:rPr>
        <w:t>ncreas</w:t>
      </w:r>
      <w:r w:rsidR="00BB7775">
        <w:rPr>
          <w:rFonts w:ascii="Times New Roman" w:hAnsi="Times New Roman"/>
        </w:rPr>
        <w:t xml:space="preserve">ed </w:t>
      </w:r>
      <w:r w:rsidR="0028259E" w:rsidRPr="00CF6047">
        <w:rPr>
          <w:rFonts w:ascii="Times New Roman" w:hAnsi="Times New Roman"/>
        </w:rPr>
        <w:t>costs of labor, testing, insurance, and operations (</w:t>
      </w:r>
      <w:r w:rsidR="00BB7775" w:rsidRPr="00CF6047">
        <w:rPr>
          <w:rFonts w:ascii="Times New Roman" w:hAnsi="Times New Roman"/>
        </w:rPr>
        <w:t>e.</w:t>
      </w:r>
      <w:r w:rsidR="00BB7775">
        <w:rPr>
          <w:rFonts w:ascii="Times New Roman" w:hAnsi="Times New Roman"/>
        </w:rPr>
        <w:t>g.</w:t>
      </w:r>
      <w:r w:rsidR="0028259E" w:rsidRPr="00CF6047">
        <w:rPr>
          <w:rFonts w:ascii="Times New Roman" w:hAnsi="Times New Roman"/>
        </w:rPr>
        <w:t xml:space="preserve"> electricity,</w:t>
      </w:r>
      <w:r w:rsidR="00CF6047" w:rsidRPr="00CF6047">
        <w:rPr>
          <w:rFonts w:ascii="Times New Roman" w:hAnsi="Times New Roman"/>
        </w:rPr>
        <w:t xml:space="preserve"> </w:t>
      </w:r>
      <w:r w:rsidR="0028259E" w:rsidRPr="00CF6047">
        <w:rPr>
          <w:rFonts w:ascii="Times New Roman" w:hAnsi="Times New Roman"/>
        </w:rPr>
        <w:t>maintenance, postage, telephone, transportation, etc.). The proposed rates also promote overall water conservation.</w:t>
      </w:r>
    </w:p>
    <w:p w14:paraId="2A34493C" w14:textId="708997E3" w:rsidR="00E2165C" w:rsidRDefault="00E2165C" w:rsidP="00967230">
      <w:pPr>
        <w:rPr>
          <w:rFonts w:ascii="Times New Roman" w:hAnsi="Times New Roman"/>
        </w:rPr>
      </w:pPr>
    </w:p>
    <w:p w14:paraId="1F90D89E" w14:textId="0B5D7FDE" w:rsidR="00723AED" w:rsidRDefault="00407894" w:rsidP="00967230">
      <w:pPr>
        <w:rPr>
          <w:rFonts w:ascii="Times New Roman" w:hAnsi="Times New Roman"/>
        </w:rPr>
      </w:pPr>
      <w:r>
        <w:rPr>
          <w:rFonts w:ascii="Times New Roman" w:hAnsi="Times New Roman"/>
        </w:rPr>
        <w:t>Currently</w:t>
      </w:r>
      <w:r w:rsidR="00E50A7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no customers are charged a meter rate. </w:t>
      </w:r>
      <w:r w:rsidR="00723AED">
        <w:rPr>
          <w:rFonts w:ascii="Times New Roman" w:hAnsi="Times New Roman"/>
        </w:rPr>
        <w:t xml:space="preserve">Additionally, the company </w:t>
      </w:r>
      <w:r w:rsidR="00EF5181">
        <w:rPr>
          <w:rFonts w:ascii="Times New Roman" w:hAnsi="Times New Roman"/>
        </w:rPr>
        <w:t>ha</w:t>
      </w:r>
      <w:r w:rsidR="00723AED">
        <w:rPr>
          <w:rFonts w:ascii="Times New Roman" w:hAnsi="Times New Roman"/>
        </w:rPr>
        <w:t>s not fully metered all customers</w:t>
      </w:r>
      <w:r w:rsidR="007962C7">
        <w:rPr>
          <w:rFonts w:ascii="Times New Roman" w:hAnsi="Times New Roman"/>
        </w:rPr>
        <w:t>. Only 88 of 210 company-wide customers are metered. T</w:t>
      </w:r>
      <w:r w:rsidR="00BB7775">
        <w:rPr>
          <w:rFonts w:ascii="Times New Roman" w:hAnsi="Times New Roman"/>
        </w:rPr>
        <w:t xml:space="preserve">he company </w:t>
      </w:r>
      <w:r w:rsidR="00723AED">
        <w:rPr>
          <w:rFonts w:ascii="Times New Roman" w:hAnsi="Times New Roman"/>
        </w:rPr>
        <w:t xml:space="preserve">will </w:t>
      </w:r>
      <w:r w:rsidR="00723AED">
        <w:rPr>
          <w:rFonts w:ascii="Times New Roman" w:hAnsi="Times New Roman"/>
        </w:rPr>
        <w:lastRenderedPageBreak/>
        <w:t xml:space="preserve">continue to install meters as </w:t>
      </w:r>
      <w:r w:rsidR="00BB7775">
        <w:rPr>
          <w:rFonts w:ascii="Times New Roman" w:hAnsi="Times New Roman"/>
        </w:rPr>
        <w:t xml:space="preserve">it </w:t>
      </w:r>
      <w:r w:rsidR="00723AED">
        <w:rPr>
          <w:rFonts w:ascii="Times New Roman" w:hAnsi="Times New Roman"/>
        </w:rPr>
        <w:t xml:space="preserve">can afford them. </w:t>
      </w:r>
      <w:r w:rsidR="00E50A74" w:rsidRPr="006A20BD">
        <w:rPr>
          <w:rFonts w:ascii="Times New Roman" w:hAnsi="Times New Roman"/>
        </w:rPr>
        <w:t>DOH rules require all systems to install and use meters by 2017.</w:t>
      </w:r>
      <w:r w:rsidR="00E50A74">
        <w:rPr>
          <w:rFonts w:ascii="Times New Roman" w:hAnsi="Times New Roman"/>
        </w:rPr>
        <w:t xml:space="preserve"> </w:t>
      </w:r>
      <w:r w:rsidR="006213CF">
        <w:rPr>
          <w:rFonts w:ascii="Times New Roman" w:hAnsi="Times New Roman"/>
        </w:rPr>
        <w:t xml:space="preserve">The company </w:t>
      </w:r>
      <w:r w:rsidR="00D444C3">
        <w:rPr>
          <w:rFonts w:ascii="Times New Roman" w:hAnsi="Times New Roman"/>
        </w:rPr>
        <w:t xml:space="preserve">has </w:t>
      </w:r>
      <w:r w:rsidR="00BB7775">
        <w:rPr>
          <w:rFonts w:ascii="Times New Roman" w:hAnsi="Times New Roman"/>
        </w:rPr>
        <w:t xml:space="preserve">stated </w:t>
      </w:r>
      <w:r w:rsidR="00D444C3">
        <w:rPr>
          <w:rFonts w:ascii="Times New Roman" w:hAnsi="Times New Roman"/>
        </w:rPr>
        <w:t xml:space="preserve">that </w:t>
      </w:r>
      <w:r w:rsidR="00BB7775">
        <w:rPr>
          <w:rFonts w:ascii="Times New Roman" w:hAnsi="Times New Roman"/>
        </w:rPr>
        <w:t xml:space="preserve">it </w:t>
      </w:r>
      <w:r w:rsidR="006213CF">
        <w:rPr>
          <w:rFonts w:ascii="Times New Roman" w:hAnsi="Times New Roman"/>
        </w:rPr>
        <w:t>will start reading meters and will bill customers for water usage beginning with the March – April billing period.</w:t>
      </w:r>
    </w:p>
    <w:p w14:paraId="7D6942F3" w14:textId="2BFBE488" w:rsidR="007E2667" w:rsidRDefault="007E2667" w:rsidP="00967230">
      <w:pPr>
        <w:rPr>
          <w:rFonts w:ascii="Times New Roman" w:hAnsi="Times New Roman"/>
        </w:rPr>
      </w:pPr>
    </w:p>
    <w:p w14:paraId="6B6DB6C2" w14:textId="7EDFAE42" w:rsidR="005E79D2" w:rsidRDefault="005E79D2" w:rsidP="00DF6C4E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Customer Comments</w:t>
      </w:r>
    </w:p>
    <w:p w14:paraId="6B6DB6C3" w14:textId="662D074C" w:rsidR="005E79D2" w:rsidRDefault="005E79D2" w:rsidP="00DF6C4E">
      <w:pPr>
        <w:rPr>
          <w:rFonts w:ascii="Times New Roman" w:hAnsi="Times New Roman"/>
        </w:rPr>
      </w:pPr>
    </w:p>
    <w:p w14:paraId="622891F7" w14:textId="18AF4DBD" w:rsidR="006D6CF6" w:rsidRDefault="006D6CF6" w:rsidP="006D6CF6">
      <w:pPr>
        <w:pStyle w:val="ListParagraph"/>
        <w:ind w:left="0"/>
        <w:rPr>
          <w:rFonts w:ascii="Times New Roman" w:hAnsi="Times New Roman"/>
        </w:rPr>
      </w:pPr>
      <w:r w:rsidRPr="00E20CCF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="006B3FA8">
        <w:rPr>
          <w:rFonts w:ascii="Times New Roman" w:hAnsi="Times New Roman"/>
        </w:rPr>
        <w:t>December</w:t>
      </w:r>
      <w:r w:rsidR="00E03710">
        <w:rPr>
          <w:rFonts w:ascii="Times New Roman" w:hAnsi="Times New Roman"/>
        </w:rPr>
        <w:t xml:space="preserve"> </w:t>
      </w:r>
      <w:r w:rsidR="006B3FA8">
        <w:rPr>
          <w:rFonts w:ascii="Times New Roman" w:hAnsi="Times New Roman"/>
        </w:rPr>
        <w:t>20</w:t>
      </w:r>
      <w:r w:rsidRPr="00E20CCF">
        <w:rPr>
          <w:rFonts w:ascii="Times New Roman" w:hAnsi="Times New Roman"/>
        </w:rPr>
        <w:t xml:space="preserve">, </w:t>
      </w:r>
      <w:r w:rsidR="00E03710">
        <w:rPr>
          <w:rFonts w:ascii="Times New Roman" w:hAnsi="Times New Roman"/>
        </w:rPr>
        <w:t>2013</w:t>
      </w:r>
      <w:r w:rsidR="009A7392">
        <w:rPr>
          <w:rFonts w:ascii="Times New Roman" w:hAnsi="Times New Roman"/>
        </w:rPr>
        <w:t xml:space="preserve">, </w:t>
      </w:r>
      <w:r w:rsidRPr="00E20CCF">
        <w:rPr>
          <w:rFonts w:ascii="Times New Roman" w:hAnsi="Times New Roman"/>
        </w:rPr>
        <w:t xml:space="preserve">the company notified its </w:t>
      </w:r>
      <w:r w:rsidR="0031559B">
        <w:rPr>
          <w:rFonts w:ascii="Times New Roman" w:hAnsi="Times New Roman"/>
        </w:rPr>
        <w:t xml:space="preserve">Dungeness Bay </w:t>
      </w:r>
      <w:r w:rsidRPr="00E20CCF">
        <w:rPr>
          <w:rFonts w:ascii="Times New Roman" w:hAnsi="Times New Roman"/>
        </w:rPr>
        <w:t xml:space="preserve">customers of the </w:t>
      </w:r>
      <w:r w:rsidR="00BC037A">
        <w:rPr>
          <w:rFonts w:ascii="Times New Roman" w:hAnsi="Times New Roman"/>
        </w:rPr>
        <w:t xml:space="preserve">original </w:t>
      </w:r>
      <w:r w:rsidRPr="00E20CCF">
        <w:rPr>
          <w:rFonts w:ascii="Times New Roman" w:hAnsi="Times New Roman"/>
        </w:rPr>
        <w:t>proposed rate increase by mail.</w:t>
      </w:r>
      <w:r w:rsidR="006B166F">
        <w:rPr>
          <w:rFonts w:ascii="Times New Roman" w:hAnsi="Times New Roman"/>
        </w:rPr>
        <w:t xml:space="preserve"> The commission received no comments.</w:t>
      </w:r>
      <w:r w:rsidR="00BC037A">
        <w:rPr>
          <w:rFonts w:ascii="Times New Roman" w:hAnsi="Times New Roman"/>
        </w:rPr>
        <w:t xml:space="preserve"> On January </w:t>
      </w:r>
      <w:r w:rsidR="00362D86">
        <w:rPr>
          <w:rFonts w:ascii="Times New Roman" w:hAnsi="Times New Roman"/>
        </w:rPr>
        <w:t>17</w:t>
      </w:r>
      <w:r w:rsidR="00BC037A">
        <w:rPr>
          <w:rFonts w:ascii="Times New Roman" w:hAnsi="Times New Roman"/>
        </w:rPr>
        <w:t xml:space="preserve">, 2014, the company notified all of its customers of the revised filing. The commission has </w:t>
      </w:r>
      <w:r w:rsidR="00311510">
        <w:rPr>
          <w:rFonts w:ascii="Times New Roman" w:hAnsi="Times New Roman"/>
        </w:rPr>
        <w:t>received</w:t>
      </w:r>
      <w:r w:rsidR="00BC037A">
        <w:rPr>
          <w:rFonts w:ascii="Times New Roman" w:hAnsi="Times New Roman"/>
        </w:rPr>
        <w:t xml:space="preserve"> no </w:t>
      </w:r>
      <w:r w:rsidR="00311510">
        <w:rPr>
          <w:rFonts w:ascii="Times New Roman" w:hAnsi="Times New Roman"/>
        </w:rPr>
        <w:t>comments</w:t>
      </w:r>
      <w:r w:rsidR="00BC037A">
        <w:rPr>
          <w:rFonts w:ascii="Times New Roman" w:hAnsi="Times New Roman"/>
        </w:rPr>
        <w:t xml:space="preserve"> on the revised filing.</w:t>
      </w:r>
    </w:p>
    <w:p w14:paraId="20A7068C" w14:textId="77777777" w:rsidR="00BC037A" w:rsidRDefault="00BC037A" w:rsidP="006D6CF6">
      <w:pPr>
        <w:pStyle w:val="ListParagraph"/>
        <w:ind w:left="0"/>
        <w:rPr>
          <w:rFonts w:ascii="Times New Roman" w:hAnsi="Times New Roman"/>
        </w:rPr>
      </w:pPr>
    </w:p>
    <w:p w14:paraId="3AAC09ED" w14:textId="2D0E823C" w:rsidR="00BA64CD" w:rsidRDefault="00BA64CD" w:rsidP="00BC037A">
      <w:pPr>
        <w:spacing w:after="200" w:line="276" w:lineRule="auto"/>
        <w:jc w:val="center"/>
        <w:rPr>
          <w:rFonts w:ascii="Times New Roman" w:hAnsi="Times New Roman"/>
          <w:b/>
          <w:u w:val="single"/>
        </w:rPr>
      </w:pPr>
      <w:r w:rsidRPr="00ED617B">
        <w:rPr>
          <w:rFonts w:ascii="Times New Roman" w:hAnsi="Times New Roman"/>
          <w:b/>
          <w:u w:val="single"/>
        </w:rPr>
        <w:t>Rate Comparison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4050"/>
        <w:gridCol w:w="1800"/>
        <w:gridCol w:w="1893"/>
        <w:gridCol w:w="1905"/>
      </w:tblGrid>
      <w:tr w:rsidR="00335937" w:rsidRPr="006B166F" w14:paraId="53EA633E" w14:textId="78632E9C" w:rsidTr="00B8722A"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14:paraId="7505A34F" w14:textId="11C2A15B" w:rsidR="00335937" w:rsidRPr="006B166F" w:rsidRDefault="00335937" w:rsidP="00F906D9">
            <w:pPr>
              <w:jc w:val="center"/>
              <w:rPr>
                <w:rFonts w:ascii="Times New Roman" w:hAnsi="Times New Roman"/>
                <w:b/>
              </w:rPr>
            </w:pPr>
            <w:r w:rsidRPr="006B166F">
              <w:rPr>
                <w:rFonts w:ascii="Times New Roman" w:hAnsi="Times New Roman"/>
                <w:b/>
              </w:rPr>
              <w:t>Monthly Rate</w:t>
            </w:r>
          </w:p>
        </w:tc>
        <w:tc>
          <w:tcPr>
            <w:tcW w:w="1800" w:type="dxa"/>
            <w:shd w:val="pct10" w:color="auto" w:fill="auto"/>
            <w:vAlign w:val="center"/>
          </w:tcPr>
          <w:p w14:paraId="74570236" w14:textId="1CDF2F0F" w:rsidR="00335937" w:rsidRPr="006B166F" w:rsidRDefault="00335937" w:rsidP="00146764">
            <w:pPr>
              <w:jc w:val="center"/>
              <w:rPr>
                <w:rFonts w:ascii="Times New Roman" w:hAnsi="Times New Roman"/>
                <w:b/>
              </w:rPr>
            </w:pPr>
            <w:r w:rsidRPr="006B166F">
              <w:rPr>
                <w:rFonts w:ascii="Times New Roman" w:hAnsi="Times New Roman"/>
                <w:b/>
              </w:rPr>
              <w:t>Current Rate</w:t>
            </w:r>
          </w:p>
        </w:tc>
        <w:tc>
          <w:tcPr>
            <w:tcW w:w="1893" w:type="dxa"/>
            <w:shd w:val="pct10" w:color="auto" w:fill="auto"/>
          </w:tcPr>
          <w:p w14:paraId="0A39A415" w14:textId="2E579EBE" w:rsidR="00335937" w:rsidRPr="006B166F" w:rsidRDefault="00335937" w:rsidP="00BA64CD">
            <w:pPr>
              <w:jc w:val="center"/>
              <w:rPr>
                <w:rFonts w:ascii="Times New Roman" w:hAnsi="Times New Roman"/>
                <w:b/>
              </w:rPr>
            </w:pPr>
            <w:r w:rsidRPr="006B166F">
              <w:rPr>
                <w:rFonts w:ascii="Times New Roman" w:hAnsi="Times New Roman"/>
                <w:b/>
              </w:rPr>
              <w:t>Proposed</w:t>
            </w:r>
            <w:r>
              <w:rPr>
                <w:rFonts w:ascii="Times New Roman" w:hAnsi="Times New Roman"/>
                <w:b/>
              </w:rPr>
              <w:t xml:space="preserve"> Rate</w:t>
            </w:r>
            <w:r w:rsidR="00B8722A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905" w:type="dxa"/>
            <w:shd w:val="pct10" w:color="auto" w:fill="auto"/>
          </w:tcPr>
          <w:p w14:paraId="48FCBCD7" w14:textId="0B22750C" w:rsidR="00335937" w:rsidRPr="006B166F" w:rsidRDefault="00B8722A" w:rsidP="00BA64C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Revi</w:t>
            </w:r>
            <w:r w:rsidR="00335937" w:rsidRPr="006B166F">
              <w:rPr>
                <w:rFonts w:ascii="Times New Roman" w:hAnsi="Times New Roman"/>
                <w:b/>
              </w:rPr>
              <w:t>sed</w:t>
            </w:r>
            <w:r w:rsidR="00335937">
              <w:rPr>
                <w:rFonts w:ascii="Times New Roman" w:hAnsi="Times New Roman"/>
                <w:b/>
              </w:rPr>
              <w:t xml:space="preserve"> Rate</w:t>
            </w:r>
          </w:p>
        </w:tc>
      </w:tr>
      <w:tr w:rsidR="00335937" w:rsidRPr="006B166F" w14:paraId="5754F921" w14:textId="749A0E00" w:rsidTr="00B8722A">
        <w:tc>
          <w:tcPr>
            <w:tcW w:w="4050" w:type="dxa"/>
            <w:shd w:val="clear" w:color="auto" w:fill="auto"/>
          </w:tcPr>
          <w:p w14:paraId="709A9C07" w14:textId="6C07BD50" w:rsidR="00335937" w:rsidRPr="006B166F" w:rsidRDefault="00335937" w:rsidP="009C5D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Base Rate, 3/4–Inch Meter</w:t>
            </w:r>
          </w:p>
        </w:tc>
        <w:tc>
          <w:tcPr>
            <w:tcW w:w="1800" w:type="dxa"/>
          </w:tcPr>
          <w:p w14:paraId="7660B931" w14:textId="0A0C6005" w:rsidR="00335937" w:rsidRPr="00DB13BD" w:rsidRDefault="00335937" w:rsidP="00C410A5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$8.00</w:t>
            </w:r>
          </w:p>
        </w:tc>
        <w:tc>
          <w:tcPr>
            <w:tcW w:w="1893" w:type="dxa"/>
          </w:tcPr>
          <w:p w14:paraId="3AAF1E5F" w14:textId="289D79D2" w:rsidR="00335937" w:rsidRPr="00DB13BD" w:rsidRDefault="00B8722A" w:rsidP="00362D86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$10.00</w:t>
            </w:r>
          </w:p>
        </w:tc>
        <w:tc>
          <w:tcPr>
            <w:tcW w:w="1905" w:type="dxa"/>
          </w:tcPr>
          <w:p w14:paraId="77AD885B" w14:textId="60586888" w:rsidR="00335937" w:rsidRPr="00DB13BD" w:rsidRDefault="00335937" w:rsidP="00362D86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$16.00</w:t>
            </w:r>
          </w:p>
        </w:tc>
      </w:tr>
      <w:tr w:rsidR="00335937" w:rsidRPr="006B166F" w14:paraId="69DC8DA5" w14:textId="75C3220A" w:rsidTr="00B8722A">
        <w:tc>
          <w:tcPr>
            <w:tcW w:w="4050" w:type="dxa"/>
          </w:tcPr>
          <w:p w14:paraId="2B8A3F07" w14:textId="5662FB82" w:rsidR="00335937" w:rsidRPr="006B166F" w:rsidRDefault="00335937" w:rsidP="00984CDA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>Allowance With Base Charge</w:t>
            </w:r>
            <w:r>
              <w:rPr>
                <w:rFonts w:ascii="Times New Roman" w:hAnsi="Times New Roman"/>
              </w:rPr>
              <w:t xml:space="preserve"> CF</w:t>
            </w:r>
            <w:r w:rsidR="00B8722A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800" w:type="dxa"/>
          </w:tcPr>
          <w:p w14:paraId="71A0B8E5" w14:textId="098F6EBF" w:rsidR="00335937" w:rsidRPr="00DB13BD" w:rsidRDefault="00335937" w:rsidP="00BA64CD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0</w:t>
            </w:r>
          </w:p>
        </w:tc>
        <w:tc>
          <w:tcPr>
            <w:tcW w:w="1893" w:type="dxa"/>
          </w:tcPr>
          <w:p w14:paraId="353658C2" w14:textId="3C573A04" w:rsidR="00335937" w:rsidRPr="00DB13BD" w:rsidRDefault="00B8722A" w:rsidP="00BA64CD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0</w:t>
            </w:r>
          </w:p>
        </w:tc>
        <w:tc>
          <w:tcPr>
            <w:tcW w:w="1905" w:type="dxa"/>
          </w:tcPr>
          <w:p w14:paraId="3DE222BA" w14:textId="6B2CEABE" w:rsidR="00335937" w:rsidRPr="00DB13BD" w:rsidRDefault="00335937" w:rsidP="00BA64CD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0</w:t>
            </w:r>
          </w:p>
        </w:tc>
      </w:tr>
      <w:tr w:rsidR="00335937" w:rsidRPr="006B166F" w14:paraId="757A1FD7" w14:textId="5B34A528" w:rsidTr="00B8722A">
        <w:tc>
          <w:tcPr>
            <w:tcW w:w="4050" w:type="dxa"/>
          </w:tcPr>
          <w:p w14:paraId="4D32E44F" w14:textId="0BF879BD" w:rsidR="00335937" w:rsidRPr="006B166F" w:rsidRDefault="00335937" w:rsidP="00430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6B16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6B16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Pr="006B166F">
              <w:rPr>
                <w:rFonts w:ascii="Times New Roman" w:hAnsi="Times New Roman"/>
              </w:rPr>
              <w:t>00 CF, Per CCF</w:t>
            </w:r>
            <w:r>
              <w:rPr>
                <w:rFonts w:ascii="Times New Roman" w:hAnsi="Times New Roman"/>
              </w:rPr>
              <w:t>*</w:t>
            </w:r>
            <w:r w:rsidR="00B8722A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800" w:type="dxa"/>
          </w:tcPr>
          <w:p w14:paraId="346D7DB9" w14:textId="3690D153" w:rsidR="00335937" w:rsidRPr="00DB13BD" w:rsidRDefault="00335937" w:rsidP="00C410A5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$.35</w:t>
            </w:r>
          </w:p>
        </w:tc>
        <w:tc>
          <w:tcPr>
            <w:tcW w:w="1893" w:type="dxa"/>
          </w:tcPr>
          <w:p w14:paraId="4257B994" w14:textId="7959854A" w:rsidR="00335937" w:rsidRPr="00DB13BD" w:rsidRDefault="00B8722A" w:rsidP="00C410A5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$.50</w:t>
            </w:r>
          </w:p>
        </w:tc>
        <w:tc>
          <w:tcPr>
            <w:tcW w:w="1905" w:type="dxa"/>
          </w:tcPr>
          <w:p w14:paraId="677CDF92" w14:textId="00F7ED50" w:rsidR="00335937" w:rsidRPr="00DB13BD" w:rsidRDefault="00335937" w:rsidP="00C410A5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$.50</w:t>
            </w:r>
          </w:p>
        </w:tc>
      </w:tr>
      <w:tr w:rsidR="00335937" w:rsidRPr="006B166F" w14:paraId="15142B34" w14:textId="5108559B" w:rsidTr="00B8722A">
        <w:tc>
          <w:tcPr>
            <w:tcW w:w="4050" w:type="dxa"/>
          </w:tcPr>
          <w:p w14:paraId="62964CCB" w14:textId="5CE88A48" w:rsidR="00335937" w:rsidRPr="006B166F" w:rsidRDefault="00335937" w:rsidP="00FC5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B166F">
              <w:rPr>
                <w:rFonts w:ascii="Times New Roman" w:hAnsi="Times New Roman"/>
              </w:rPr>
              <w:t xml:space="preserve">01 CF </w:t>
            </w:r>
            <w:r>
              <w:rPr>
                <w:rFonts w:ascii="Times New Roman" w:hAnsi="Times New Roman"/>
              </w:rPr>
              <w:t>a</w:t>
            </w:r>
            <w:r w:rsidRPr="006B166F">
              <w:rPr>
                <w:rFonts w:ascii="Times New Roman" w:hAnsi="Times New Roman"/>
              </w:rPr>
              <w:t xml:space="preserve">nd Above, Per CCF </w:t>
            </w:r>
          </w:p>
        </w:tc>
        <w:tc>
          <w:tcPr>
            <w:tcW w:w="1800" w:type="dxa"/>
          </w:tcPr>
          <w:p w14:paraId="3B0D01F4" w14:textId="6FF6B613" w:rsidR="00335937" w:rsidRPr="00DB13BD" w:rsidRDefault="00335937" w:rsidP="00033BC0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$.55</w:t>
            </w:r>
          </w:p>
        </w:tc>
        <w:tc>
          <w:tcPr>
            <w:tcW w:w="1893" w:type="dxa"/>
          </w:tcPr>
          <w:p w14:paraId="0BEC9CFB" w14:textId="7A5B5FEA" w:rsidR="00335937" w:rsidRPr="00DB13BD" w:rsidRDefault="00B8722A" w:rsidP="00033BC0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$.70</w:t>
            </w:r>
          </w:p>
        </w:tc>
        <w:tc>
          <w:tcPr>
            <w:tcW w:w="1905" w:type="dxa"/>
          </w:tcPr>
          <w:p w14:paraId="7D10D14B" w14:textId="3A77405A" w:rsidR="00335937" w:rsidRPr="00DB13BD" w:rsidRDefault="00335937" w:rsidP="00033BC0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$.80</w:t>
            </w:r>
          </w:p>
        </w:tc>
      </w:tr>
      <w:tr w:rsidR="00335937" w:rsidRPr="006B166F" w14:paraId="26D574A8" w14:textId="2A7CE602" w:rsidTr="00B8722A">
        <w:tc>
          <w:tcPr>
            <w:tcW w:w="4050" w:type="dxa"/>
            <w:tcBorders>
              <w:bottom w:val="single" w:sz="4" w:space="0" w:color="auto"/>
            </w:tcBorders>
          </w:tcPr>
          <w:p w14:paraId="72BBD0BE" w14:textId="47C90721" w:rsidR="00335937" w:rsidRPr="006B166F" w:rsidRDefault="00335937" w:rsidP="00BA64C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2A440F85" w14:textId="06236571" w:rsidR="00335937" w:rsidRPr="00DB13BD" w:rsidRDefault="00335937" w:rsidP="00BA6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14:paraId="66987609" w14:textId="77777777" w:rsidR="00335937" w:rsidRPr="00DB13BD" w:rsidRDefault="00335937" w:rsidP="00BA6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14:paraId="10143CF5" w14:textId="0F4F0C53" w:rsidR="00335937" w:rsidRPr="00DB13BD" w:rsidRDefault="00335937" w:rsidP="00BA64CD">
            <w:pPr>
              <w:jc w:val="center"/>
              <w:rPr>
                <w:rFonts w:ascii="Times New Roman" w:hAnsi="Times New Roman"/>
              </w:rPr>
            </w:pPr>
          </w:p>
        </w:tc>
      </w:tr>
      <w:tr w:rsidR="00335937" w:rsidRPr="006B166F" w14:paraId="4E2DB3BA" w14:textId="6289EFFC" w:rsidTr="00B8722A"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749839C2" w14:textId="0C218ABC" w:rsidR="00335937" w:rsidRPr="006A20BD" w:rsidRDefault="00335937" w:rsidP="00033BC0">
            <w:pPr>
              <w:rPr>
                <w:rFonts w:ascii="Times New Roman" w:hAnsi="Times New Roman"/>
              </w:rPr>
            </w:pPr>
            <w:r w:rsidRPr="006A20BD">
              <w:rPr>
                <w:rFonts w:ascii="Times New Roman" w:hAnsi="Times New Roman"/>
              </w:rPr>
              <w:t>Un-metered Rate</w:t>
            </w:r>
          </w:p>
        </w:tc>
        <w:tc>
          <w:tcPr>
            <w:tcW w:w="1800" w:type="dxa"/>
          </w:tcPr>
          <w:p w14:paraId="0EECB64D" w14:textId="4D9270CD" w:rsidR="00335937" w:rsidRPr="00DB13BD" w:rsidRDefault="00335937" w:rsidP="00033BC0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$15.00</w:t>
            </w:r>
          </w:p>
        </w:tc>
        <w:tc>
          <w:tcPr>
            <w:tcW w:w="1893" w:type="dxa"/>
          </w:tcPr>
          <w:p w14:paraId="34B4AD48" w14:textId="1E7B93EA" w:rsidR="00335937" w:rsidRPr="00DB13BD" w:rsidRDefault="00B8722A" w:rsidP="00281E0D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$20.50</w:t>
            </w:r>
          </w:p>
        </w:tc>
        <w:tc>
          <w:tcPr>
            <w:tcW w:w="1905" w:type="dxa"/>
          </w:tcPr>
          <w:p w14:paraId="2A1A4DF7" w14:textId="01F525B8" w:rsidR="00335937" w:rsidRPr="00DB13BD" w:rsidRDefault="00335937" w:rsidP="00281E0D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$23.00</w:t>
            </w:r>
          </w:p>
        </w:tc>
      </w:tr>
    </w:tbl>
    <w:p w14:paraId="6E6C6468" w14:textId="57527E92" w:rsidR="00BA64CD" w:rsidRPr="00B8722A" w:rsidRDefault="00B8722A" w:rsidP="00B872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5" w:lineRule="auto"/>
        <w:rPr>
          <w:rFonts w:ascii="Times New Roman" w:eastAsia="Times New Roman" w:hAnsi="Times New Roman"/>
          <w:sz w:val="20"/>
          <w:szCs w:val="20"/>
        </w:rPr>
      </w:pPr>
      <w:r w:rsidRPr="00B8722A">
        <w:rPr>
          <w:rFonts w:ascii="Times New Roman" w:eastAsia="Times New Roman" w:hAnsi="Times New Roman"/>
          <w:sz w:val="20"/>
          <w:szCs w:val="20"/>
        </w:rPr>
        <w:t>*Notice to Dungeness Bay Only</w:t>
      </w:r>
      <w:r w:rsidR="00185E84" w:rsidRPr="00B8722A">
        <w:rPr>
          <w:rFonts w:ascii="Times New Roman" w:eastAsia="Times New Roman" w:hAnsi="Times New Roman"/>
          <w:sz w:val="20"/>
          <w:szCs w:val="20"/>
        </w:rPr>
        <w:tab/>
      </w:r>
      <w:r w:rsidRPr="00B8722A">
        <w:rPr>
          <w:rFonts w:ascii="Times New Roman" w:eastAsia="Times New Roman" w:hAnsi="Times New Roman"/>
          <w:sz w:val="20"/>
          <w:szCs w:val="20"/>
        </w:rPr>
        <w:t>*</w:t>
      </w:r>
      <w:r w:rsidR="002575CD" w:rsidRPr="00B8722A">
        <w:rPr>
          <w:rFonts w:ascii="Times New Roman" w:eastAsia="Times New Roman" w:hAnsi="Times New Roman"/>
          <w:sz w:val="20"/>
          <w:szCs w:val="20"/>
        </w:rPr>
        <w:t xml:space="preserve">* </w:t>
      </w:r>
      <w:r w:rsidR="00BA64CD" w:rsidRPr="00B8722A">
        <w:rPr>
          <w:rFonts w:ascii="Times New Roman" w:eastAsia="Times New Roman" w:hAnsi="Times New Roman"/>
          <w:sz w:val="20"/>
          <w:szCs w:val="20"/>
        </w:rPr>
        <w:t xml:space="preserve">CF – Cubic Feet, </w:t>
      </w:r>
      <w:r w:rsidR="00185E84" w:rsidRPr="00B8722A">
        <w:rPr>
          <w:rFonts w:ascii="Times New Roman" w:eastAsia="Times New Roman" w:hAnsi="Times New Roman"/>
          <w:sz w:val="20"/>
          <w:szCs w:val="20"/>
        </w:rPr>
        <w:tab/>
      </w:r>
      <w:r w:rsidR="00185E84" w:rsidRPr="00B8722A">
        <w:rPr>
          <w:rFonts w:ascii="Times New Roman" w:eastAsia="Times New Roman" w:hAnsi="Times New Roman"/>
          <w:sz w:val="20"/>
          <w:szCs w:val="20"/>
        </w:rPr>
        <w:tab/>
      </w:r>
      <w:r w:rsidRPr="00B8722A">
        <w:rPr>
          <w:rFonts w:ascii="Times New Roman" w:eastAsia="Times New Roman" w:hAnsi="Times New Roman"/>
          <w:sz w:val="20"/>
          <w:szCs w:val="20"/>
        </w:rPr>
        <w:t>*</w:t>
      </w:r>
      <w:r w:rsidR="006B166F" w:rsidRPr="00B8722A">
        <w:rPr>
          <w:rFonts w:ascii="Times New Roman" w:eastAsia="Times New Roman" w:hAnsi="Times New Roman"/>
          <w:sz w:val="20"/>
          <w:szCs w:val="20"/>
        </w:rPr>
        <w:t xml:space="preserve">** </w:t>
      </w:r>
      <w:r w:rsidR="00BA64CD" w:rsidRPr="00B8722A">
        <w:rPr>
          <w:rFonts w:ascii="Times New Roman" w:eastAsia="Times New Roman" w:hAnsi="Times New Roman"/>
          <w:sz w:val="20"/>
          <w:szCs w:val="20"/>
        </w:rPr>
        <w:t>CCF - 100 Cubic Feet</w:t>
      </w:r>
      <w:r w:rsidR="006B166F" w:rsidRPr="00B8722A">
        <w:rPr>
          <w:rFonts w:ascii="Times New Roman" w:eastAsia="Times New Roman" w:hAnsi="Times New Roman"/>
          <w:sz w:val="20"/>
          <w:szCs w:val="20"/>
        </w:rPr>
        <w:t>,</w:t>
      </w:r>
    </w:p>
    <w:p w14:paraId="6A73E0AC" w14:textId="27896624" w:rsidR="00244107" w:rsidRPr="00F13BA9" w:rsidRDefault="00244107" w:rsidP="00DF6C4E">
      <w:pPr>
        <w:rPr>
          <w:rFonts w:ascii="Times New Roman" w:hAnsi="Times New Roman"/>
        </w:rPr>
      </w:pPr>
    </w:p>
    <w:p w14:paraId="6B6DB6F2" w14:textId="57C50808" w:rsidR="004D1FC3" w:rsidRPr="00F13BA9" w:rsidRDefault="0024576B" w:rsidP="004D1F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Monthly</w:t>
      </w:r>
      <w:r w:rsidR="004D1FC3" w:rsidRPr="00F13BA9">
        <w:rPr>
          <w:rFonts w:ascii="Times New Roman" w:hAnsi="Times New Roman"/>
          <w:b/>
          <w:u w:val="single"/>
        </w:rPr>
        <w:t xml:space="preserve"> </w:t>
      </w:r>
      <w:r w:rsidR="00F33385">
        <w:rPr>
          <w:rFonts w:ascii="Times New Roman" w:hAnsi="Times New Roman"/>
          <w:b/>
          <w:u w:val="single"/>
        </w:rPr>
        <w:t xml:space="preserve">Residential </w:t>
      </w:r>
      <w:r w:rsidR="004D1FC3" w:rsidRPr="00F13BA9">
        <w:rPr>
          <w:rFonts w:ascii="Times New Roman" w:hAnsi="Times New Roman"/>
          <w:b/>
          <w:u w:val="single"/>
        </w:rPr>
        <w:t xml:space="preserve">Bill Comparison </w:t>
      </w:r>
    </w:p>
    <w:p w14:paraId="6B6DB6F3" w14:textId="3CD1F68B" w:rsidR="004D1FC3" w:rsidRPr="00F13BA9" w:rsidRDefault="004D1FC3" w:rsidP="004D1FC3">
      <w:pPr>
        <w:jc w:val="center"/>
        <w:rPr>
          <w:rFonts w:ascii="Times New Roman" w:hAnsi="Times New Roman"/>
        </w:rPr>
      </w:pPr>
    </w:p>
    <w:tbl>
      <w:tblPr>
        <w:tblStyle w:val="TableGrid"/>
        <w:tblW w:w="0" w:type="auto"/>
        <w:jc w:val="center"/>
        <w:tblInd w:w="-81" w:type="dxa"/>
        <w:tblLook w:val="04A0" w:firstRow="1" w:lastRow="0" w:firstColumn="1" w:lastColumn="0" w:noHBand="0" w:noVBand="1"/>
      </w:tblPr>
      <w:tblGrid>
        <w:gridCol w:w="4019"/>
        <w:gridCol w:w="1800"/>
        <w:gridCol w:w="1879"/>
        <w:gridCol w:w="1959"/>
      </w:tblGrid>
      <w:tr w:rsidR="00335937" w:rsidRPr="00F13BA9" w14:paraId="12D718E1" w14:textId="41E5E717" w:rsidTr="00B8722A">
        <w:trPr>
          <w:jc w:val="center"/>
        </w:trPr>
        <w:tc>
          <w:tcPr>
            <w:tcW w:w="4019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5EB74154" w14:textId="7DE01394" w:rsidR="00335937" w:rsidRPr="00F13BA9" w:rsidRDefault="00335937" w:rsidP="00033BC0">
            <w:pPr>
              <w:rPr>
                <w:rFonts w:ascii="Times New Roman" w:hAnsi="Times New Roman"/>
                <w:b/>
              </w:rPr>
            </w:pPr>
            <w:r w:rsidRPr="00F13BA9">
              <w:rPr>
                <w:rFonts w:ascii="Times New Roman" w:hAnsi="Times New Roman"/>
                <w:b/>
              </w:rPr>
              <w:t xml:space="preserve">Monthly </w:t>
            </w:r>
            <w:r>
              <w:rPr>
                <w:rFonts w:ascii="Times New Roman" w:hAnsi="Times New Roman"/>
                <w:b/>
              </w:rPr>
              <w:t>Average 1,081 Cubic Feet</w:t>
            </w:r>
          </w:p>
        </w:tc>
        <w:tc>
          <w:tcPr>
            <w:tcW w:w="1800" w:type="dxa"/>
            <w:shd w:val="pct10" w:color="auto" w:fill="auto"/>
          </w:tcPr>
          <w:p w14:paraId="37521692" w14:textId="21A8684E" w:rsidR="00335937" w:rsidRPr="00F13BA9" w:rsidRDefault="00335937" w:rsidP="006D2229">
            <w:pPr>
              <w:jc w:val="center"/>
              <w:rPr>
                <w:rFonts w:ascii="Times New Roman" w:hAnsi="Times New Roman"/>
                <w:b/>
              </w:rPr>
            </w:pPr>
            <w:r w:rsidRPr="00F13BA9">
              <w:rPr>
                <w:rFonts w:ascii="Times New Roman" w:hAnsi="Times New Roman"/>
                <w:b/>
              </w:rPr>
              <w:t>Current Rate</w:t>
            </w:r>
          </w:p>
        </w:tc>
        <w:tc>
          <w:tcPr>
            <w:tcW w:w="1879" w:type="dxa"/>
            <w:shd w:val="pct10" w:color="auto" w:fill="auto"/>
          </w:tcPr>
          <w:p w14:paraId="420B40D7" w14:textId="7271A3CE" w:rsidR="00335937" w:rsidRPr="00F13BA9" w:rsidRDefault="00335937" w:rsidP="00B8722A">
            <w:pPr>
              <w:rPr>
                <w:rFonts w:ascii="Times New Roman" w:hAnsi="Times New Roman"/>
                <w:b/>
              </w:rPr>
            </w:pPr>
            <w:r w:rsidRPr="006B166F">
              <w:rPr>
                <w:rFonts w:ascii="Times New Roman" w:hAnsi="Times New Roman"/>
                <w:b/>
              </w:rPr>
              <w:t>Proposed</w:t>
            </w:r>
            <w:r w:rsidR="00B8722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Rate</w:t>
            </w:r>
            <w:r w:rsidR="00B8722A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959" w:type="dxa"/>
            <w:shd w:val="pct10" w:color="auto" w:fill="auto"/>
          </w:tcPr>
          <w:p w14:paraId="6338BDD2" w14:textId="42770747" w:rsidR="00335937" w:rsidRPr="00F13BA9" w:rsidRDefault="00B8722A" w:rsidP="00B872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Revi</w:t>
            </w:r>
            <w:r w:rsidR="00335937" w:rsidRPr="00F13BA9">
              <w:rPr>
                <w:rFonts w:ascii="Times New Roman" w:hAnsi="Times New Roman"/>
                <w:b/>
              </w:rPr>
              <w:t>sed</w:t>
            </w:r>
            <w:r w:rsidR="00335937">
              <w:rPr>
                <w:rFonts w:ascii="Times New Roman" w:hAnsi="Times New Roman"/>
                <w:b/>
              </w:rPr>
              <w:t xml:space="preserve"> Rate</w:t>
            </w:r>
          </w:p>
        </w:tc>
      </w:tr>
      <w:tr w:rsidR="00335937" w:rsidRPr="00F13BA9" w14:paraId="6B6DB6FB" w14:textId="4428FED7" w:rsidTr="00B8722A">
        <w:trPr>
          <w:jc w:val="center"/>
        </w:trPr>
        <w:tc>
          <w:tcPr>
            <w:tcW w:w="4019" w:type="dxa"/>
          </w:tcPr>
          <w:p w14:paraId="6B6DB6F8" w14:textId="10B8E5F7" w:rsidR="00335937" w:rsidRPr="00F13BA9" w:rsidRDefault="00335937" w:rsidP="009C5D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3/4-Inch Metered </w:t>
            </w:r>
            <w:r w:rsidRPr="00F13BA9">
              <w:rPr>
                <w:rFonts w:ascii="Times New Roman" w:hAnsi="Times New Roman"/>
              </w:rPr>
              <w:t xml:space="preserve">Service </w:t>
            </w:r>
            <w:r>
              <w:rPr>
                <w:rFonts w:ascii="Times New Roman" w:hAnsi="Times New Roman"/>
              </w:rPr>
              <w:t>Base</w:t>
            </w:r>
          </w:p>
        </w:tc>
        <w:tc>
          <w:tcPr>
            <w:tcW w:w="1800" w:type="dxa"/>
          </w:tcPr>
          <w:p w14:paraId="6B6DB6F9" w14:textId="0F251797" w:rsidR="00335937" w:rsidRPr="00DB13BD" w:rsidRDefault="00335937" w:rsidP="00033BC0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$8.00</w:t>
            </w:r>
          </w:p>
        </w:tc>
        <w:tc>
          <w:tcPr>
            <w:tcW w:w="1879" w:type="dxa"/>
          </w:tcPr>
          <w:p w14:paraId="11236582" w14:textId="6EC028E3" w:rsidR="00335937" w:rsidRPr="00DB13BD" w:rsidRDefault="00B8722A" w:rsidP="00362D86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$10.00</w:t>
            </w:r>
          </w:p>
        </w:tc>
        <w:tc>
          <w:tcPr>
            <w:tcW w:w="1959" w:type="dxa"/>
          </w:tcPr>
          <w:p w14:paraId="6B6DB6FA" w14:textId="44C33DB7" w:rsidR="00335937" w:rsidRPr="00DB13BD" w:rsidRDefault="00335937" w:rsidP="00362D86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$16.00</w:t>
            </w:r>
          </w:p>
        </w:tc>
      </w:tr>
      <w:tr w:rsidR="00335937" w:rsidRPr="00F13BA9" w14:paraId="1D73B585" w14:textId="0D594965" w:rsidTr="00B8722A">
        <w:trPr>
          <w:jc w:val="center"/>
        </w:trPr>
        <w:tc>
          <w:tcPr>
            <w:tcW w:w="4019" w:type="dxa"/>
          </w:tcPr>
          <w:p w14:paraId="262D7295" w14:textId="49CB0EB8" w:rsidR="00335937" w:rsidRDefault="00335937" w:rsidP="00033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– 500 Cubic Feet</w:t>
            </w:r>
          </w:p>
        </w:tc>
        <w:tc>
          <w:tcPr>
            <w:tcW w:w="1800" w:type="dxa"/>
          </w:tcPr>
          <w:p w14:paraId="38917D4B" w14:textId="534EFF53" w:rsidR="00335937" w:rsidRPr="00DB13BD" w:rsidRDefault="00335937" w:rsidP="00033BC0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$1.75</w:t>
            </w:r>
          </w:p>
        </w:tc>
        <w:tc>
          <w:tcPr>
            <w:tcW w:w="1879" w:type="dxa"/>
          </w:tcPr>
          <w:p w14:paraId="2DFC4E95" w14:textId="5CED7CDB" w:rsidR="00335937" w:rsidRPr="00DB13BD" w:rsidRDefault="00B8722A" w:rsidP="00033BC0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$2.50</w:t>
            </w:r>
          </w:p>
        </w:tc>
        <w:tc>
          <w:tcPr>
            <w:tcW w:w="1959" w:type="dxa"/>
          </w:tcPr>
          <w:p w14:paraId="408084CE" w14:textId="15F9DF68" w:rsidR="00335937" w:rsidRPr="00DB13BD" w:rsidRDefault="00335937" w:rsidP="00033BC0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$2.50</w:t>
            </w:r>
          </w:p>
        </w:tc>
      </w:tr>
      <w:tr w:rsidR="00335937" w:rsidRPr="00F13BA9" w14:paraId="0BA165B2" w14:textId="5820309C" w:rsidTr="00B8722A">
        <w:trPr>
          <w:jc w:val="center"/>
        </w:trPr>
        <w:tc>
          <w:tcPr>
            <w:tcW w:w="4019" w:type="dxa"/>
          </w:tcPr>
          <w:p w14:paraId="174CDAAC" w14:textId="737D4C15" w:rsidR="00335937" w:rsidRPr="00F13BA9" w:rsidRDefault="00335937" w:rsidP="00033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 – 1,081 Cubic Feet</w:t>
            </w:r>
          </w:p>
        </w:tc>
        <w:tc>
          <w:tcPr>
            <w:tcW w:w="1800" w:type="dxa"/>
          </w:tcPr>
          <w:p w14:paraId="7A6DC9B4" w14:textId="21894B63" w:rsidR="00335937" w:rsidRPr="00DB13BD" w:rsidRDefault="00335937" w:rsidP="00AB525E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$3.20</w:t>
            </w:r>
          </w:p>
        </w:tc>
        <w:tc>
          <w:tcPr>
            <w:tcW w:w="1879" w:type="dxa"/>
          </w:tcPr>
          <w:p w14:paraId="3EFDF94E" w14:textId="79C17827" w:rsidR="00335937" w:rsidRPr="00DB13BD" w:rsidRDefault="00DB13BD" w:rsidP="007C2969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$4.07</w:t>
            </w:r>
          </w:p>
        </w:tc>
        <w:tc>
          <w:tcPr>
            <w:tcW w:w="1959" w:type="dxa"/>
          </w:tcPr>
          <w:p w14:paraId="60DFFAB2" w14:textId="435F6DA4" w:rsidR="00335937" w:rsidRPr="00DB13BD" w:rsidRDefault="00335937" w:rsidP="007C2969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$4.65</w:t>
            </w:r>
          </w:p>
        </w:tc>
      </w:tr>
      <w:tr w:rsidR="00335937" w:rsidRPr="00F13BA9" w14:paraId="6B6DB703" w14:textId="7D3FE025" w:rsidTr="00B8722A">
        <w:trPr>
          <w:jc w:val="center"/>
        </w:trPr>
        <w:tc>
          <w:tcPr>
            <w:tcW w:w="4019" w:type="dxa"/>
          </w:tcPr>
          <w:p w14:paraId="6B6DB700" w14:textId="1F2D77A6" w:rsidR="00335937" w:rsidRPr="00F13BA9" w:rsidRDefault="00335937" w:rsidP="00E36635">
            <w:pPr>
              <w:rPr>
                <w:rFonts w:ascii="Times New Roman" w:hAnsi="Times New Roman"/>
              </w:rPr>
            </w:pPr>
            <w:r w:rsidRPr="00F13B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</w:tcPr>
          <w:p w14:paraId="6B6DB701" w14:textId="2E53DDB1" w:rsidR="00335937" w:rsidRPr="00DB13BD" w:rsidRDefault="00335937" w:rsidP="00AB5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9" w:type="dxa"/>
          </w:tcPr>
          <w:p w14:paraId="54B73305" w14:textId="77777777" w:rsidR="00335937" w:rsidRPr="00DB13BD" w:rsidRDefault="00335937" w:rsidP="00AB5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14:paraId="6B6DB702" w14:textId="3051FF2D" w:rsidR="00335937" w:rsidRPr="00DB13BD" w:rsidRDefault="00335937" w:rsidP="00AB525E">
            <w:pPr>
              <w:jc w:val="center"/>
              <w:rPr>
                <w:rFonts w:ascii="Times New Roman" w:hAnsi="Times New Roman"/>
              </w:rPr>
            </w:pPr>
          </w:p>
        </w:tc>
      </w:tr>
      <w:tr w:rsidR="00335937" w:rsidRPr="00F13BA9" w14:paraId="6B6DB707" w14:textId="35224A91" w:rsidTr="00B8722A">
        <w:trPr>
          <w:jc w:val="center"/>
        </w:trPr>
        <w:tc>
          <w:tcPr>
            <w:tcW w:w="4019" w:type="dxa"/>
          </w:tcPr>
          <w:p w14:paraId="6B6DB704" w14:textId="4EFA027C" w:rsidR="00335937" w:rsidRPr="00F13BA9" w:rsidRDefault="00335937" w:rsidP="00AB525E">
            <w:pPr>
              <w:rPr>
                <w:rFonts w:ascii="Times New Roman" w:hAnsi="Times New Roman"/>
              </w:rPr>
            </w:pPr>
            <w:r w:rsidRPr="00F13BA9">
              <w:rPr>
                <w:rFonts w:ascii="Times New Roman" w:hAnsi="Times New Roman"/>
              </w:rPr>
              <w:t xml:space="preserve">Water Bill Total </w:t>
            </w: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14:paraId="6B6DB705" w14:textId="33548268" w:rsidR="00335937" w:rsidRPr="00DB13BD" w:rsidRDefault="00335937" w:rsidP="00E22E57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$12.95</w:t>
            </w:r>
          </w:p>
        </w:tc>
        <w:tc>
          <w:tcPr>
            <w:tcW w:w="1879" w:type="dxa"/>
            <w:tcBorders>
              <w:bottom w:val="single" w:sz="18" w:space="0" w:color="auto"/>
            </w:tcBorders>
          </w:tcPr>
          <w:p w14:paraId="45395F7B" w14:textId="0E2B7073" w:rsidR="00335937" w:rsidRPr="00DB13BD" w:rsidRDefault="00DB13BD" w:rsidP="00281E0D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$16.57</w:t>
            </w:r>
          </w:p>
        </w:tc>
        <w:tc>
          <w:tcPr>
            <w:tcW w:w="1959" w:type="dxa"/>
            <w:tcBorders>
              <w:bottom w:val="single" w:sz="18" w:space="0" w:color="auto"/>
            </w:tcBorders>
          </w:tcPr>
          <w:p w14:paraId="6B6DB706" w14:textId="132D2035" w:rsidR="00335937" w:rsidRPr="00DB13BD" w:rsidRDefault="00335937" w:rsidP="00281E0D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$23.15</w:t>
            </w:r>
          </w:p>
        </w:tc>
      </w:tr>
      <w:tr w:rsidR="00335937" w:rsidRPr="00F13BA9" w14:paraId="6B6DB70B" w14:textId="10382552" w:rsidTr="00B8722A">
        <w:trPr>
          <w:jc w:val="center"/>
        </w:trPr>
        <w:tc>
          <w:tcPr>
            <w:tcW w:w="4019" w:type="dxa"/>
          </w:tcPr>
          <w:p w14:paraId="6B6DB708" w14:textId="6FCBF50B" w:rsidR="00335937" w:rsidRPr="00F13BA9" w:rsidRDefault="00335937" w:rsidP="007279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Increase From Current Rates - $10.20 </w:t>
            </w:r>
            <w:r w:rsidRPr="00F13B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4" w:space="0" w:color="auto"/>
            </w:tcBorders>
          </w:tcPr>
          <w:p w14:paraId="6B6DB709" w14:textId="5EB5D672" w:rsidR="00335937" w:rsidRPr="00DB13BD" w:rsidRDefault="00335937" w:rsidP="00AB5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9" w:type="dxa"/>
            <w:tcBorders>
              <w:top w:val="single" w:sz="18" w:space="0" w:color="auto"/>
              <w:bottom w:val="single" w:sz="4" w:space="0" w:color="auto"/>
            </w:tcBorders>
          </w:tcPr>
          <w:p w14:paraId="2E403DAB" w14:textId="33859E0E" w:rsidR="00335937" w:rsidRPr="00DB13BD" w:rsidRDefault="00DB13BD" w:rsidP="00E22E57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27.9%</w:t>
            </w:r>
          </w:p>
        </w:tc>
        <w:tc>
          <w:tcPr>
            <w:tcW w:w="1959" w:type="dxa"/>
            <w:tcBorders>
              <w:top w:val="single" w:sz="18" w:space="0" w:color="auto"/>
              <w:bottom w:val="single" w:sz="4" w:space="0" w:color="auto"/>
            </w:tcBorders>
          </w:tcPr>
          <w:p w14:paraId="6B6DB70A" w14:textId="4510BD70" w:rsidR="00335937" w:rsidRPr="00DB13BD" w:rsidRDefault="00335937" w:rsidP="00E22E57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 xml:space="preserve">78.8% </w:t>
            </w:r>
          </w:p>
        </w:tc>
      </w:tr>
      <w:tr w:rsidR="00335937" w:rsidRPr="00F13BA9" w14:paraId="555BD7FF" w14:textId="77777777" w:rsidTr="00B8722A">
        <w:trPr>
          <w:jc w:val="center"/>
        </w:trPr>
        <w:tc>
          <w:tcPr>
            <w:tcW w:w="4019" w:type="dxa"/>
          </w:tcPr>
          <w:p w14:paraId="4BB71383" w14:textId="77777777" w:rsidR="00335937" w:rsidRPr="006A20BD" w:rsidRDefault="00335937" w:rsidP="001267C9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9746F9E" w14:textId="77777777" w:rsidR="00335937" w:rsidRPr="00DB13BD" w:rsidRDefault="00335937" w:rsidP="00AB5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14:paraId="69E8FF18" w14:textId="77777777" w:rsidR="00335937" w:rsidRPr="00DB13BD" w:rsidRDefault="00335937" w:rsidP="00E22E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14:paraId="12EAD0E0" w14:textId="718A83A3" w:rsidR="00335937" w:rsidRPr="00DB13BD" w:rsidRDefault="00335937" w:rsidP="00E22E57">
            <w:pPr>
              <w:jc w:val="center"/>
              <w:rPr>
                <w:rFonts w:ascii="Times New Roman" w:hAnsi="Times New Roman"/>
              </w:rPr>
            </w:pPr>
          </w:p>
        </w:tc>
      </w:tr>
      <w:tr w:rsidR="00335937" w:rsidRPr="00F13BA9" w14:paraId="5319553B" w14:textId="1E1813C9" w:rsidTr="00B8722A">
        <w:trPr>
          <w:jc w:val="center"/>
        </w:trPr>
        <w:tc>
          <w:tcPr>
            <w:tcW w:w="4019" w:type="dxa"/>
          </w:tcPr>
          <w:p w14:paraId="5D1E4DE5" w14:textId="339F6275" w:rsidR="00335937" w:rsidRPr="006A20BD" w:rsidRDefault="00335937" w:rsidP="001267C9">
            <w:pPr>
              <w:rPr>
                <w:rFonts w:ascii="Times New Roman" w:hAnsi="Times New Roman"/>
              </w:rPr>
            </w:pPr>
            <w:r w:rsidRPr="006A20BD">
              <w:rPr>
                <w:rFonts w:ascii="Times New Roman" w:hAnsi="Times New Roman"/>
              </w:rPr>
              <w:t>Un-metered Bill Total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E9F44EC" w14:textId="48BA92D0" w:rsidR="00335937" w:rsidRPr="00DB13BD" w:rsidRDefault="00335937" w:rsidP="00AB525E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$15.00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14:paraId="5359A5A6" w14:textId="280D545B" w:rsidR="00335937" w:rsidRPr="00DB13BD" w:rsidRDefault="00DB13BD" w:rsidP="00E22E57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$20.50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14:paraId="6F23FFCD" w14:textId="2A8F37BA" w:rsidR="00335937" w:rsidRPr="00DB13BD" w:rsidRDefault="00335937" w:rsidP="00E22E57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$23.00</w:t>
            </w:r>
          </w:p>
        </w:tc>
      </w:tr>
      <w:tr w:rsidR="00335937" w:rsidRPr="00F13BA9" w14:paraId="729D486C" w14:textId="77DC7625" w:rsidTr="00B8722A">
        <w:trPr>
          <w:jc w:val="center"/>
        </w:trPr>
        <w:tc>
          <w:tcPr>
            <w:tcW w:w="4019" w:type="dxa"/>
          </w:tcPr>
          <w:p w14:paraId="5C053D94" w14:textId="6D626840" w:rsidR="00335937" w:rsidRPr="00735912" w:rsidRDefault="00335937" w:rsidP="00281E0D">
            <w:pPr>
              <w:rPr>
                <w:rFonts w:ascii="Times New Roman" w:hAnsi="Times New Roman"/>
              </w:rPr>
            </w:pPr>
            <w:r w:rsidRPr="00735912">
              <w:rPr>
                <w:rFonts w:ascii="Times New Roman" w:hAnsi="Times New Roman"/>
              </w:rPr>
              <w:t xml:space="preserve"> Increase From Current Rates - </w:t>
            </w:r>
            <w:r>
              <w:rPr>
                <w:rFonts w:ascii="Times New Roman" w:hAnsi="Times New Roman"/>
              </w:rPr>
              <w:t>$8</w:t>
            </w:r>
            <w:r w:rsidRPr="007359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735912">
              <w:rPr>
                <w:rFonts w:ascii="Times New Roman" w:hAnsi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01841D6" w14:textId="014103B4" w:rsidR="00335937" w:rsidRPr="00DB13BD" w:rsidRDefault="00335937" w:rsidP="00AB5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</w:tcPr>
          <w:p w14:paraId="4C9C3BDB" w14:textId="2269F5A9" w:rsidR="00335937" w:rsidRPr="00DB13BD" w:rsidRDefault="00DB13BD" w:rsidP="00281E0D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36.7%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14:paraId="4DA29E3C" w14:textId="3134AB4B" w:rsidR="00335937" w:rsidRPr="00DB13BD" w:rsidRDefault="00335937" w:rsidP="00281E0D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53.3%</w:t>
            </w:r>
          </w:p>
        </w:tc>
      </w:tr>
    </w:tbl>
    <w:p w14:paraId="6B6DB70C" w14:textId="53689AD7" w:rsidR="00FC6969" w:rsidRDefault="00B8722A" w:rsidP="00B8722A">
      <w:pPr>
        <w:rPr>
          <w:rFonts w:ascii="Times New Roman" w:hAnsi="Times New Roman"/>
        </w:rPr>
      </w:pPr>
      <w:r w:rsidRPr="00B8722A">
        <w:rPr>
          <w:rFonts w:ascii="Times New Roman" w:eastAsia="Times New Roman" w:hAnsi="Times New Roman"/>
          <w:sz w:val="20"/>
          <w:szCs w:val="20"/>
        </w:rPr>
        <w:t>*Notice to Dungeness Bay Only</w:t>
      </w:r>
    </w:p>
    <w:p w14:paraId="0B376AA6" w14:textId="77777777" w:rsidR="00FC6969" w:rsidRDefault="00FC6969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3349439" w14:textId="6BAB9794" w:rsidR="00735912" w:rsidRDefault="00735912" w:rsidP="00735912">
      <w:pPr>
        <w:spacing w:after="200" w:line="276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Ancillary</w:t>
      </w:r>
      <w:r w:rsidRPr="00ED617B">
        <w:rPr>
          <w:rFonts w:ascii="Times New Roman" w:hAnsi="Times New Roman"/>
          <w:b/>
          <w:u w:val="single"/>
        </w:rPr>
        <w:t xml:space="preserve"> C</w:t>
      </w:r>
      <w:r>
        <w:rPr>
          <w:rFonts w:ascii="Times New Roman" w:hAnsi="Times New Roman"/>
          <w:b/>
          <w:u w:val="single"/>
        </w:rPr>
        <w:t>harges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3510"/>
        <w:gridCol w:w="1800"/>
        <w:gridCol w:w="1862"/>
        <w:gridCol w:w="1846"/>
      </w:tblGrid>
      <w:tr w:rsidR="00335937" w:rsidRPr="006B166F" w14:paraId="497EFFC1" w14:textId="77777777" w:rsidTr="00335937"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13270B67" w14:textId="36831390" w:rsidR="00335937" w:rsidRPr="006B166F" w:rsidRDefault="00335937" w:rsidP="007E30F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1800" w:type="dxa"/>
            <w:shd w:val="pct10" w:color="auto" w:fill="auto"/>
            <w:vAlign w:val="center"/>
          </w:tcPr>
          <w:p w14:paraId="5BED26D7" w14:textId="77777777" w:rsidR="00335937" w:rsidRPr="006B166F" w:rsidRDefault="00335937" w:rsidP="007E30F3">
            <w:pPr>
              <w:jc w:val="center"/>
              <w:rPr>
                <w:rFonts w:ascii="Times New Roman" w:hAnsi="Times New Roman"/>
                <w:b/>
              </w:rPr>
            </w:pPr>
            <w:r w:rsidRPr="006B166F">
              <w:rPr>
                <w:rFonts w:ascii="Times New Roman" w:hAnsi="Times New Roman"/>
                <w:b/>
              </w:rPr>
              <w:t>Current Rate</w:t>
            </w:r>
          </w:p>
        </w:tc>
        <w:tc>
          <w:tcPr>
            <w:tcW w:w="1862" w:type="dxa"/>
            <w:shd w:val="pct10" w:color="auto" w:fill="auto"/>
          </w:tcPr>
          <w:p w14:paraId="4AF80A58" w14:textId="0CA60C4D" w:rsidR="00335937" w:rsidRPr="006B166F" w:rsidRDefault="00335937" w:rsidP="007E30F3">
            <w:pPr>
              <w:jc w:val="center"/>
              <w:rPr>
                <w:rFonts w:ascii="Times New Roman" w:hAnsi="Times New Roman"/>
                <w:b/>
              </w:rPr>
            </w:pPr>
            <w:r w:rsidRPr="006B166F">
              <w:rPr>
                <w:rFonts w:ascii="Times New Roman" w:hAnsi="Times New Roman"/>
                <w:b/>
              </w:rPr>
              <w:t>Proposed</w:t>
            </w:r>
            <w:r>
              <w:rPr>
                <w:rFonts w:ascii="Times New Roman" w:hAnsi="Times New Roman"/>
                <w:b/>
              </w:rPr>
              <w:t xml:space="preserve"> Rate</w:t>
            </w:r>
            <w:r w:rsidR="00B8722A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846" w:type="dxa"/>
            <w:shd w:val="pct10" w:color="auto" w:fill="auto"/>
          </w:tcPr>
          <w:p w14:paraId="33F7EE55" w14:textId="7B931BFF" w:rsidR="00335937" w:rsidRPr="006B166F" w:rsidRDefault="00B8722A" w:rsidP="00B872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Revis</w:t>
            </w:r>
            <w:r w:rsidR="00335937" w:rsidRPr="006B166F">
              <w:rPr>
                <w:rFonts w:ascii="Times New Roman" w:hAnsi="Times New Roman"/>
                <w:b/>
              </w:rPr>
              <w:t>ed</w:t>
            </w:r>
            <w:r w:rsidR="00335937">
              <w:rPr>
                <w:rFonts w:ascii="Times New Roman" w:hAnsi="Times New Roman"/>
                <w:b/>
              </w:rPr>
              <w:t xml:space="preserve"> Rate</w:t>
            </w:r>
          </w:p>
        </w:tc>
      </w:tr>
      <w:tr w:rsidR="00335937" w:rsidRPr="006B166F" w14:paraId="4E0994DB" w14:textId="77777777" w:rsidTr="00335937">
        <w:tc>
          <w:tcPr>
            <w:tcW w:w="3510" w:type="dxa"/>
            <w:shd w:val="clear" w:color="auto" w:fill="auto"/>
          </w:tcPr>
          <w:p w14:paraId="6764D918" w14:textId="60A076BD" w:rsidR="00335937" w:rsidRDefault="00335937" w:rsidP="007E3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Disconnection Visit</w:t>
            </w:r>
          </w:p>
        </w:tc>
        <w:tc>
          <w:tcPr>
            <w:tcW w:w="1800" w:type="dxa"/>
          </w:tcPr>
          <w:p w14:paraId="22E96A07" w14:textId="06F8210E" w:rsidR="00335937" w:rsidRPr="00DB13BD" w:rsidRDefault="00335937" w:rsidP="007E30F3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NA</w:t>
            </w:r>
          </w:p>
        </w:tc>
        <w:tc>
          <w:tcPr>
            <w:tcW w:w="1862" w:type="dxa"/>
          </w:tcPr>
          <w:p w14:paraId="431EB59D" w14:textId="0BF9E84E" w:rsidR="00335937" w:rsidRPr="00DB13BD" w:rsidRDefault="00335937" w:rsidP="00735912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NA</w:t>
            </w:r>
          </w:p>
        </w:tc>
        <w:tc>
          <w:tcPr>
            <w:tcW w:w="1846" w:type="dxa"/>
          </w:tcPr>
          <w:p w14:paraId="6F954F21" w14:textId="28B1ABF6" w:rsidR="00335937" w:rsidRPr="00DB13BD" w:rsidRDefault="00335937" w:rsidP="00735912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$15.00</w:t>
            </w:r>
          </w:p>
        </w:tc>
      </w:tr>
      <w:tr w:rsidR="00335937" w:rsidRPr="006B166F" w14:paraId="777A2E14" w14:textId="77777777" w:rsidTr="00335937">
        <w:tc>
          <w:tcPr>
            <w:tcW w:w="3510" w:type="dxa"/>
            <w:shd w:val="clear" w:color="auto" w:fill="auto"/>
          </w:tcPr>
          <w:p w14:paraId="282676E4" w14:textId="59AA1634" w:rsidR="00335937" w:rsidRPr="006B166F" w:rsidRDefault="00335937" w:rsidP="007E3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Reconnection Visit</w:t>
            </w:r>
          </w:p>
        </w:tc>
        <w:tc>
          <w:tcPr>
            <w:tcW w:w="1800" w:type="dxa"/>
          </w:tcPr>
          <w:p w14:paraId="66ABD241" w14:textId="0F3B1D3B" w:rsidR="00335937" w:rsidRPr="00DB13BD" w:rsidRDefault="00335937" w:rsidP="007E30F3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$20.00</w:t>
            </w:r>
          </w:p>
        </w:tc>
        <w:tc>
          <w:tcPr>
            <w:tcW w:w="1862" w:type="dxa"/>
          </w:tcPr>
          <w:p w14:paraId="4614EF0C" w14:textId="560185AB" w:rsidR="00335937" w:rsidRPr="00DB13BD" w:rsidRDefault="00DB13BD" w:rsidP="00735912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$20.00</w:t>
            </w:r>
          </w:p>
        </w:tc>
        <w:tc>
          <w:tcPr>
            <w:tcW w:w="1846" w:type="dxa"/>
          </w:tcPr>
          <w:p w14:paraId="68AE081D" w14:textId="0C2A1930" w:rsidR="00335937" w:rsidRPr="00DB13BD" w:rsidRDefault="00335937" w:rsidP="00735912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$30.00</w:t>
            </w:r>
          </w:p>
        </w:tc>
      </w:tr>
      <w:tr w:rsidR="00335937" w:rsidRPr="006B166F" w14:paraId="05242303" w14:textId="77777777" w:rsidTr="00335937">
        <w:tc>
          <w:tcPr>
            <w:tcW w:w="3510" w:type="dxa"/>
          </w:tcPr>
          <w:p w14:paraId="2546A489" w14:textId="64AC87A3" w:rsidR="00335937" w:rsidRPr="006B166F" w:rsidRDefault="00335937" w:rsidP="007E3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Service Visit</w:t>
            </w:r>
          </w:p>
        </w:tc>
        <w:tc>
          <w:tcPr>
            <w:tcW w:w="1800" w:type="dxa"/>
          </w:tcPr>
          <w:p w14:paraId="2222EB92" w14:textId="28E21F9B" w:rsidR="00335937" w:rsidRPr="00DB13BD" w:rsidRDefault="00335937" w:rsidP="007E30F3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NA</w:t>
            </w:r>
          </w:p>
        </w:tc>
        <w:tc>
          <w:tcPr>
            <w:tcW w:w="1862" w:type="dxa"/>
          </w:tcPr>
          <w:p w14:paraId="6A828D74" w14:textId="0FA98E37" w:rsidR="00335937" w:rsidRPr="00DB13BD" w:rsidRDefault="00335937" w:rsidP="007E30F3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NA</w:t>
            </w:r>
          </w:p>
        </w:tc>
        <w:tc>
          <w:tcPr>
            <w:tcW w:w="1846" w:type="dxa"/>
          </w:tcPr>
          <w:p w14:paraId="30B404AD" w14:textId="2C238A6F" w:rsidR="00335937" w:rsidRPr="00DB13BD" w:rsidRDefault="00335937" w:rsidP="007E30F3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$30.00</w:t>
            </w:r>
          </w:p>
        </w:tc>
      </w:tr>
      <w:tr w:rsidR="00335937" w:rsidRPr="006B166F" w14:paraId="2CFF1EED" w14:textId="77777777" w:rsidTr="00335937">
        <w:tc>
          <w:tcPr>
            <w:tcW w:w="3510" w:type="dxa"/>
          </w:tcPr>
          <w:p w14:paraId="34B86026" w14:textId="3548ACDF" w:rsidR="00335937" w:rsidRDefault="00335937" w:rsidP="007E3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Late Payment</w:t>
            </w:r>
          </w:p>
        </w:tc>
        <w:tc>
          <w:tcPr>
            <w:tcW w:w="1800" w:type="dxa"/>
          </w:tcPr>
          <w:p w14:paraId="204D6E0B" w14:textId="39137F37" w:rsidR="00335937" w:rsidRPr="00DB13BD" w:rsidRDefault="00335937" w:rsidP="007E30F3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NA</w:t>
            </w:r>
          </w:p>
        </w:tc>
        <w:tc>
          <w:tcPr>
            <w:tcW w:w="1862" w:type="dxa"/>
          </w:tcPr>
          <w:p w14:paraId="2927803C" w14:textId="76C18462" w:rsidR="00335937" w:rsidRPr="00DB13BD" w:rsidRDefault="00335937" w:rsidP="00735912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NA</w:t>
            </w:r>
          </w:p>
        </w:tc>
        <w:tc>
          <w:tcPr>
            <w:tcW w:w="1846" w:type="dxa"/>
          </w:tcPr>
          <w:p w14:paraId="55836679" w14:textId="19D17C07" w:rsidR="00335937" w:rsidRPr="00DB13BD" w:rsidRDefault="00335937" w:rsidP="00735912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 xml:space="preserve">2% or $1.00 </w:t>
            </w:r>
            <w:r w:rsidR="00B8722A" w:rsidRPr="00DB13BD">
              <w:rPr>
                <w:rFonts w:ascii="Times New Roman" w:hAnsi="Times New Roman"/>
              </w:rPr>
              <w:t>*</w:t>
            </w:r>
            <w:r w:rsidRPr="00DB13BD">
              <w:rPr>
                <w:rFonts w:ascii="Times New Roman" w:hAnsi="Times New Roman"/>
              </w:rPr>
              <w:t>*</w:t>
            </w:r>
          </w:p>
        </w:tc>
      </w:tr>
      <w:tr w:rsidR="00335937" w:rsidRPr="006B166F" w14:paraId="65FB2FC8" w14:textId="77777777" w:rsidTr="00335937">
        <w:tc>
          <w:tcPr>
            <w:tcW w:w="3510" w:type="dxa"/>
          </w:tcPr>
          <w:p w14:paraId="565FEC7A" w14:textId="38418773" w:rsidR="00335937" w:rsidRPr="006B166F" w:rsidRDefault="00335937" w:rsidP="007E3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Account Setup</w:t>
            </w:r>
          </w:p>
        </w:tc>
        <w:tc>
          <w:tcPr>
            <w:tcW w:w="1800" w:type="dxa"/>
          </w:tcPr>
          <w:p w14:paraId="38FFDB9D" w14:textId="30962759" w:rsidR="00335937" w:rsidRPr="00DB13BD" w:rsidRDefault="00335937" w:rsidP="007E30F3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NA</w:t>
            </w:r>
          </w:p>
        </w:tc>
        <w:tc>
          <w:tcPr>
            <w:tcW w:w="1862" w:type="dxa"/>
          </w:tcPr>
          <w:p w14:paraId="26BEB9B4" w14:textId="79008A7A" w:rsidR="00335937" w:rsidRPr="00DB13BD" w:rsidRDefault="00335937" w:rsidP="00735912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NA</w:t>
            </w:r>
          </w:p>
        </w:tc>
        <w:tc>
          <w:tcPr>
            <w:tcW w:w="1846" w:type="dxa"/>
          </w:tcPr>
          <w:p w14:paraId="4A98E0F7" w14:textId="6B6F4534" w:rsidR="00335937" w:rsidRPr="00DB13BD" w:rsidRDefault="00335937" w:rsidP="00735912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$10.00</w:t>
            </w:r>
          </w:p>
        </w:tc>
      </w:tr>
      <w:tr w:rsidR="00335937" w:rsidRPr="006B166F" w14:paraId="65BF3944" w14:textId="77777777" w:rsidTr="00335937">
        <w:tc>
          <w:tcPr>
            <w:tcW w:w="3510" w:type="dxa"/>
          </w:tcPr>
          <w:p w14:paraId="1BF3DAB7" w14:textId="7404E108" w:rsidR="00335937" w:rsidRDefault="00335937" w:rsidP="007E3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NSF Check</w:t>
            </w:r>
          </w:p>
        </w:tc>
        <w:tc>
          <w:tcPr>
            <w:tcW w:w="1800" w:type="dxa"/>
          </w:tcPr>
          <w:p w14:paraId="751A534D" w14:textId="7A39EF5B" w:rsidR="00335937" w:rsidRPr="00DB13BD" w:rsidRDefault="00335937" w:rsidP="007E30F3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NA</w:t>
            </w:r>
          </w:p>
        </w:tc>
        <w:tc>
          <w:tcPr>
            <w:tcW w:w="1862" w:type="dxa"/>
          </w:tcPr>
          <w:p w14:paraId="1FD537E8" w14:textId="24CD534C" w:rsidR="00335937" w:rsidRPr="00DB13BD" w:rsidRDefault="00335937" w:rsidP="00AC5581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NA</w:t>
            </w:r>
          </w:p>
        </w:tc>
        <w:tc>
          <w:tcPr>
            <w:tcW w:w="1846" w:type="dxa"/>
          </w:tcPr>
          <w:p w14:paraId="0DFAB35A" w14:textId="7DE6F1BF" w:rsidR="00335937" w:rsidRPr="00DB13BD" w:rsidRDefault="00335937" w:rsidP="00AC5581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$12.00</w:t>
            </w:r>
          </w:p>
        </w:tc>
      </w:tr>
      <w:tr w:rsidR="00335937" w:rsidRPr="006B166F" w14:paraId="5FDF64F1" w14:textId="77777777" w:rsidTr="00335937">
        <w:tc>
          <w:tcPr>
            <w:tcW w:w="3510" w:type="dxa"/>
          </w:tcPr>
          <w:p w14:paraId="7064F381" w14:textId="3BE41F4B" w:rsidR="00335937" w:rsidRPr="006B166F" w:rsidRDefault="00335937" w:rsidP="007E3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Water Availability</w:t>
            </w:r>
            <w:r w:rsidRPr="006B16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Letter</w:t>
            </w:r>
          </w:p>
        </w:tc>
        <w:tc>
          <w:tcPr>
            <w:tcW w:w="1800" w:type="dxa"/>
          </w:tcPr>
          <w:p w14:paraId="6BDE929F" w14:textId="417324F2" w:rsidR="00335937" w:rsidRPr="00DB13BD" w:rsidRDefault="00335937" w:rsidP="007E30F3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NA</w:t>
            </w:r>
          </w:p>
        </w:tc>
        <w:tc>
          <w:tcPr>
            <w:tcW w:w="1862" w:type="dxa"/>
          </w:tcPr>
          <w:p w14:paraId="79573FA9" w14:textId="74015084" w:rsidR="00335937" w:rsidRPr="00DB13BD" w:rsidRDefault="00335937" w:rsidP="00735912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NA</w:t>
            </w:r>
          </w:p>
        </w:tc>
        <w:tc>
          <w:tcPr>
            <w:tcW w:w="1846" w:type="dxa"/>
          </w:tcPr>
          <w:p w14:paraId="54ABDA37" w14:textId="51CE7B26" w:rsidR="00335937" w:rsidRPr="00DB13BD" w:rsidRDefault="00335937" w:rsidP="00735912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$10.00</w:t>
            </w:r>
          </w:p>
        </w:tc>
      </w:tr>
      <w:tr w:rsidR="00335937" w:rsidRPr="006B166F" w14:paraId="0E84B996" w14:textId="77777777" w:rsidTr="00335937">
        <w:tc>
          <w:tcPr>
            <w:tcW w:w="3510" w:type="dxa"/>
          </w:tcPr>
          <w:p w14:paraId="468CE588" w14:textId="14D07A20" w:rsidR="00335937" w:rsidRDefault="00335937" w:rsidP="007E3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Service Connection</w:t>
            </w:r>
          </w:p>
        </w:tc>
        <w:tc>
          <w:tcPr>
            <w:tcW w:w="1800" w:type="dxa"/>
          </w:tcPr>
          <w:p w14:paraId="264E63DB" w14:textId="1CE9CDCE" w:rsidR="00335937" w:rsidRPr="00DB13BD" w:rsidRDefault="00335937" w:rsidP="007E30F3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$300.00</w:t>
            </w:r>
          </w:p>
        </w:tc>
        <w:tc>
          <w:tcPr>
            <w:tcW w:w="1862" w:type="dxa"/>
          </w:tcPr>
          <w:p w14:paraId="5826202C" w14:textId="148FE13A" w:rsidR="00335937" w:rsidRPr="00DB13BD" w:rsidRDefault="00335937" w:rsidP="00735912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$500</w:t>
            </w:r>
            <w:r w:rsidR="00B8722A" w:rsidRPr="00DB13BD">
              <w:rPr>
                <w:rFonts w:ascii="Times New Roman" w:hAnsi="Times New Roman"/>
              </w:rPr>
              <w:t>.00</w:t>
            </w:r>
          </w:p>
        </w:tc>
        <w:tc>
          <w:tcPr>
            <w:tcW w:w="1846" w:type="dxa"/>
          </w:tcPr>
          <w:p w14:paraId="28598D0B" w14:textId="233234F3" w:rsidR="00335937" w:rsidRPr="00DB13BD" w:rsidRDefault="00335937" w:rsidP="00735912">
            <w:pPr>
              <w:jc w:val="center"/>
              <w:rPr>
                <w:rFonts w:ascii="Times New Roman" w:hAnsi="Times New Roman"/>
              </w:rPr>
            </w:pPr>
            <w:r w:rsidRPr="00DB13BD">
              <w:rPr>
                <w:rFonts w:ascii="Times New Roman" w:hAnsi="Times New Roman"/>
              </w:rPr>
              <w:t>$500.00</w:t>
            </w:r>
          </w:p>
        </w:tc>
      </w:tr>
    </w:tbl>
    <w:p w14:paraId="1A2E7469" w14:textId="32B9B7EB" w:rsidR="00735912" w:rsidRPr="007E30F3" w:rsidRDefault="007E30F3" w:rsidP="007E30F3">
      <w:pPr>
        <w:rPr>
          <w:rFonts w:ascii="Times New Roman" w:hAnsi="Times New Roman"/>
          <w:sz w:val="20"/>
          <w:szCs w:val="20"/>
        </w:rPr>
      </w:pPr>
      <w:r w:rsidRPr="007E30F3">
        <w:rPr>
          <w:rFonts w:ascii="Times New Roman" w:hAnsi="Times New Roman"/>
          <w:sz w:val="20"/>
          <w:szCs w:val="20"/>
        </w:rPr>
        <w:t>*</w:t>
      </w:r>
      <w:r w:rsidR="00B8722A" w:rsidRPr="00B8722A">
        <w:rPr>
          <w:rFonts w:ascii="Times New Roman" w:eastAsia="Times New Roman" w:hAnsi="Times New Roman"/>
          <w:sz w:val="20"/>
          <w:szCs w:val="20"/>
        </w:rPr>
        <w:t>Notice to Dungeness Bay Only</w:t>
      </w:r>
      <w:r w:rsidR="00B8722A" w:rsidRPr="007E30F3">
        <w:rPr>
          <w:rFonts w:ascii="Times New Roman" w:hAnsi="Times New Roman"/>
          <w:sz w:val="20"/>
          <w:szCs w:val="20"/>
        </w:rPr>
        <w:t xml:space="preserve"> </w:t>
      </w:r>
      <w:r w:rsidR="00B8722A">
        <w:rPr>
          <w:rFonts w:ascii="Times New Roman" w:hAnsi="Times New Roman"/>
          <w:sz w:val="20"/>
          <w:szCs w:val="20"/>
        </w:rPr>
        <w:t xml:space="preserve"> **</w:t>
      </w:r>
      <w:r w:rsidRPr="007E30F3">
        <w:rPr>
          <w:rFonts w:ascii="Times New Roman" w:hAnsi="Times New Roman"/>
          <w:sz w:val="20"/>
          <w:szCs w:val="20"/>
        </w:rPr>
        <w:t xml:space="preserve">2% of unpaid balance or minimum </w:t>
      </w:r>
      <w:r>
        <w:rPr>
          <w:rFonts w:ascii="Times New Roman" w:hAnsi="Times New Roman"/>
          <w:sz w:val="20"/>
          <w:szCs w:val="20"/>
        </w:rPr>
        <w:t xml:space="preserve">charge of </w:t>
      </w:r>
      <w:r w:rsidRPr="007E30F3">
        <w:rPr>
          <w:rFonts w:ascii="Times New Roman" w:hAnsi="Times New Roman"/>
          <w:sz w:val="20"/>
          <w:szCs w:val="20"/>
        </w:rPr>
        <w:t>$1.00</w:t>
      </w:r>
    </w:p>
    <w:p w14:paraId="57E34992" w14:textId="77777777" w:rsidR="007E30F3" w:rsidRPr="007E30F3" w:rsidRDefault="007E30F3" w:rsidP="007E30F3">
      <w:pPr>
        <w:ind w:left="720"/>
        <w:rPr>
          <w:rFonts w:ascii="Times New Roman" w:hAnsi="Times New Roman"/>
        </w:rPr>
      </w:pPr>
    </w:p>
    <w:p w14:paraId="6B6DB70D" w14:textId="51BAB556" w:rsidR="00022731" w:rsidRDefault="00022731" w:rsidP="00AD33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Commission staff has completed its review of the </w:t>
      </w:r>
      <w:r w:rsidR="0029750E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 xml:space="preserve">’s supporting financial documents, books and records. Staff’s review </w:t>
      </w:r>
      <w:r w:rsidR="00422B51">
        <w:rPr>
          <w:rFonts w:ascii="Times New Roman" w:hAnsi="Times New Roman"/>
        </w:rPr>
        <w:t xml:space="preserve">of the filing </w:t>
      </w:r>
      <w:r>
        <w:rPr>
          <w:rFonts w:ascii="Times New Roman" w:hAnsi="Times New Roman"/>
        </w:rPr>
        <w:t xml:space="preserve">shows that the operating expenses are reasonable and required as part of the </w:t>
      </w:r>
      <w:r w:rsidR="0029750E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 xml:space="preserve">’s operation. The </w:t>
      </w:r>
      <w:r w:rsidR="0029750E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>’s financial information supports the revenue requirement and</w:t>
      </w:r>
      <w:r w:rsidR="00763DAD">
        <w:rPr>
          <w:rFonts w:ascii="Times New Roman" w:hAnsi="Times New Roman"/>
        </w:rPr>
        <w:t xml:space="preserve"> the proposed rates and</w:t>
      </w:r>
      <w:r>
        <w:rPr>
          <w:rFonts w:ascii="Times New Roman" w:hAnsi="Times New Roman"/>
        </w:rPr>
        <w:t xml:space="preserve"> charges are fair, just, reasonable, and sufficient. </w:t>
      </w:r>
    </w:p>
    <w:p w14:paraId="506447BB" w14:textId="4C4FDA47" w:rsidR="00906F0D" w:rsidRDefault="00906F0D" w:rsidP="00AD3312">
      <w:pPr>
        <w:rPr>
          <w:rFonts w:ascii="Times New Roman" w:hAnsi="Times New Roman"/>
          <w:b/>
          <w:u w:val="single"/>
        </w:rPr>
      </w:pPr>
    </w:p>
    <w:p w14:paraId="6B6DB70F" w14:textId="727B3B8F" w:rsidR="00022731" w:rsidRDefault="00AC1768" w:rsidP="00AD3312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Conclusion</w:t>
      </w:r>
    </w:p>
    <w:p w14:paraId="7F61AA01" w14:textId="7CA8C2A0" w:rsidR="00EC7C31" w:rsidRDefault="00EC7C31" w:rsidP="00AD3312">
      <w:pPr>
        <w:rPr>
          <w:rFonts w:ascii="Times New Roman" w:hAnsi="Times New Roman"/>
          <w:b/>
          <w:u w:val="single"/>
        </w:rPr>
      </w:pPr>
    </w:p>
    <w:p w14:paraId="40083DF1" w14:textId="6D4EB06A" w:rsidR="008356F9" w:rsidRDefault="00D60D9F" w:rsidP="00185E84">
      <w:pPr>
        <w:rPr>
          <w:rFonts w:ascii="Times New Roman" w:hAnsi="Times New Roman"/>
        </w:rPr>
      </w:pPr>
      <w:r w:rsidRPr="00D60D9F">
        <w:rPr>
          <w:rFonts w:ascii="Times New Roman" w:hAnsi="Times New Roman"/>
        </w:rPr>
        <w:t xml:space="preserve">Take no action, thereby allowing the tariff revisions </w:t>
      </w:r>
      <w:r w:rsidR="00915507">
        <w:rPr>
          <w:rFonts w:ascii="Times New Roman" w:hAnsi="Times New Roman"/>
        </w:rPr>
        <w:t>f</w:t>
      </w:r>
      <w:r w:rsidRPr="00D60D9F">
        <w:rPr>
          <w:rFonts w:ascii="Times New Roman" w:hAnsi="Times New Roman"/>
        </w:rPr>
        <w:t xml:space="preserve">iled by </w:t>
      </w:r>
      <w:r w:rsidR="006B3FA8">
        <w:rPr>
          <w:rFonts w:ascii="Times New Roman" w:hAnsi="Times New Roman"/>
        </w:rPr>
        <w:t>Pedersen Family LLC</w:t>
      </w:r>
      <w:r w:rsidRPr="00D60D9F">
        <w:rPr>
          <w:rFonts w:ascii="Times New Roman" w:hAnsi="Times New Roman"/>
        </w:rPr>
        <w:t xml:space="preserve">, on </w:t>
      </w:r>
      <w:r w:rsidR="006B3FA8">
        <w:rPr>
          <w:rFonts w:ascii="Times New Roman" w:hAnsi="Times New Roman"/>
        </w:rPr>
        <w:t>December 20</w:t>
      </w:r>
      <w:r w:rsidRPr="00D60D9F">
        <w:rPr>
          <w:rFonts w:ascii="Times New Roman" w:hAnsi="Times New Roman"/>
        </w:rPr>
        <w:t xml:space="preserve">, 2013, </w:t>
      </w:r>
      <w:r w:rsidR="00BB7775">
        <w:rPr>
          <w:rFonts w:ascii="Times New Roman" w:hAnsi="Times New Roman"/>
        </w:rPr>
        <w:t xml:space="preserve">as </w:t>
      </w:r>
      <w:r w:rsidR="00311510">
        <w:rPr>
          <w:rFonts w:ascii="Times New Roman" w:hAnsi="Times New Roman"/>
        </w:rPr>
        <w:t>revised</w:t>
      </w:r>
      <w:r w:rsidR="00E710A6">
        <w:rPr>
          <w:rFonts w:ascii="Times New Roman" w:hAnsi="Times New Roman"/>
        </w:rPr>
        <w:t xml:space="preserve"> January </w:t>
      </w:r>
      <w:r w:rsidR="002F16E2">
        <w:rPr>
          <w:rFonts w:ascii="Times New Roman" w:hAnsi="Times New Roman"/>
        </w:rPr>
        <w:t>17</w:t>
      </w:r>
      <w:r w:rsidR="00E710A6">
        <w:rPr>
          <w:rFonts w:ascii="Times New Roman" w:hAnsi="Times New Roman"/>
        </w:rPr>
        <w:t xml:space="preserve">, 2014, </w:t>
      </w:r>
      <w:r w:rsidRPr="00D60D9F">
        <w:rPr>
          <w:rFonts w:ascii="Times New Roman" w:hAnsi="Times New Roman"/>
        </w:rPr>
        <w:t xml:space="preserve">to become effective </w:t>
      </w:r>
      <w:r w:rsidR="001B0029">
        <w:rPr>
          <w:rFonts w:ascii="Times New Roman" w:hAnsi="Times New Roman"/>
        </w:rPr>
        <w:t xml:space="preserve">on </w:t>
      </w:r>
      <w:r w:rsidR="00E710A6">
        <w:rPr>
          <w:rFonts w:ascii="Times New Roman" w:hAnsi="Times New Roman"/>
        </w:rPr>
        <w:t>Febr</w:t>
      </w:r>
      <w:r w:rsidR="006B3FA8">
        <w:rPr>
          <w:rFonts w:ascii="Times New Roman" w:hAnsi="Times New Roman"/>
        </w:rPr>
        <w:t>uary 20</w:t>
      </w:r>
      <w:r w:rsidRPr="00D60D9F">
        <w:rPr>
          <w:rFonts w:ascii="Times New Roman" w:hAnsi="Times New Roman"/>
        </w:rPr>
        <w:t>, 2014, by operation of law.</w:t>
      </w:r>
      <w:r w:rsidR="00185E84">
        <w:rPr>
          <w:rFonts w:ascii="Times New Roman" w:hAnsi="Times New Roman"/>
        </w:rPr>
        <w:t xml:space="preserve"> </w:t>
      </w:r>
    </w:p>
    <w:sectPr w:rsidR="008356F9" w:rsidSect="00476E8F">
      <w:headerReference w:type="default" r:id="rId12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ECC07" w14:textId="77777777" w:rsidR="00DB13BD" w:rsidRDefault="00DB13BD" w:rsidP="004D1FC3">
      <w:r>
        <w:separator/>
      </w:r>
    </w:p>
  </w:endnote>
  <w:endnote w:type="continuationSeparator" w:id="0">
    <w:p w14:paraId="02FDE848" w14:textId="77777777" w:rsidR="00DB13BD" w:rsidRDefault="00DB13BD" w:rsidP="004D1FC3">
      <w:r>
        <w:continuationSeparator/>
      </w:r>
    </w:p>
  </w:endnote>
  <w:endnote w:type="continuationNotice" w:id="1">
    <w:p w14:paraId="174BF4B2" w14:textId="77777777" w:rsidR="00DB13BD" w:rsidRDefault="00DB13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F7545" w14:textId="77777777" w:rsidR="00DB13BD" w:rsidRDefault="00DB13BD" w:rsidP="004D1FC3">
      <w:r>
        <w:separator/>
      </w:r>
    </w:p>
  </w:footnote>
  <w:footnote w:type="continuationSeparator" w:id="0">
    <w:p w14:paraId="5D08274B" w14:textId="77777777" w:rsidR="00DB13BD" w:rsidRDefault="00DB13BD" w:rsidP="004D1FC3">
      <w:r>
        <w:continuationSeparator/>
      </w:r>
    </w:p>
  </w:footnote>
  <w:footnote w:type="continuationNotice" w:id="1">
    <w:p w14:paraId="6632CCEC" w14:textId="77777777" w:rsidR="00DB13BD" w:rsidRDefault="00DB13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DB718" w14:textId="4D837A33" w:rsidR="00DB13BD" w:rsidRPr="00683AD3" w:rsidRDefault="00DB13BD">
    <w:pPr>
      <w:pStyle w:val="Header"/>
      <w:rPr>
        <w:rFonts w:ascii="Times New Roman" w:hAnsi="Times New Roman"/>
        <w:sz w:val="20"/>
        <w:szCs w:val="20"/>
      </w:rPr>
    </w:pPr>
    <w:r w:rsidRPr="00683AD3">
      <w:rPr>
        <w:rFonts w:ascii="Times New Roman" w:hAnsi="Times New Roman"/>
        <w:sz w:val="20"/>
        <w:szCs w:val="20"/>
      </w:rPr>
      <w:t>Docket UW-</w:t>
    </w:r>
    <w:r>
      <w:rPr>
        <w:rFonts w:ascii="Times New Roman" w:hAnsi="Times New Roman"/>
        <w:sz w:val="20"/>
        <w:szCs w:val="20"/>
      </w:rPr>
      <w:t>132352</w:t>
    </w:r>
  </w:p>
  <w:p w14:paraId="6B6DB719" w14:textId="55FFEA6A" w:rsidR="00DB13BD" w:rsidRPr="00683AD3" w:rsidRDefault="00DB13BD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February 14, 2014</w:t>
    </w:r>
  </w:p>
  <w:p w14:paraId="6B6DB71A" w14:textId="77777777" w:rsidR="00DB13BD" w:rsidRPr="00683AD3" w:rsidRDefault="00DB13BD">
    <w:pPr>
      <w:pStyle w:val="Header"/>
      <w:rPr>
        <w:rFonts w:ascii="Times New Roman" w:hAnsi="Times New Roman"/>
        <w:sz w:val="20"/>
        <w:szCs w:val="20"/>
      </w:rPr>
    </w:pPr>
    <w:r w:rsidRPr="00683AD3">
      <w:rPr>
        <w:rFonts w:ascii="Times New Roman" w:hAnsi="Times New Roman"/>
        <w:sz w:val="20"/>
        <w:szCs w:val="20"/>
      </w:rPr>
      <w:t xml:space="preserve">Page </w:t>
    </w:r>
    <w:r w:rsidRPr="00683AD3">
      <w:rPr>
        <w:rFonts w:ascii="Times New Roman" w:hAnsi="Times New Roman"/>
        <w:sz w:val="20"/>
        <w:szCs w:val="20"/>
      </w:rPr>
      <w:fldChar w:fldCharType="begin"/>
    </w:r>
    <w:r w:rsidRPr="00683AD3">
      <w:rPr>
        <w:rFonts w:ascii="Times New Roman" w:hAnsi="Times New Roman"/>
        <w:sz w:val="20"/>
        <w:szCs w:val="20"/>
      </w:rPr>
      <w:instrText xml:space="preserve"> PAGE   \* MERGEFORMAT </w:instrText>
    </w:r>
    <w:r w:rsidRPr="00683AD3">
      <w:rPr>
        <w:rFonts w:ascii="Times New Roman" w:hAnsi="Times New Roman"/>
        <w:sz w:val="20"/>
        <w:szCs w:val="20"/>
      </w:rPr>
      <w:fldChar w:fldCharType="separate"/>
    </w:r>
    <w:r w:rsidR="0047792D">
      <w:rPr>
        <w:rFonts w:ascii="Times New Roman" w:hAnsi="Times New Roman"/>
        <w:noProof/>
        <w:sz w:val="20"/>
        <w:szCs w:val="20"/>
      </w:rPr>
      <w:t>3</w:t>
    </w:r>
    <w:r w:rsidRPr="00683AD3">
      <w:rPr>
        <w:rFonts w:ascii="Times New Roman" w:hAnsi="Times New Roman"/>
        <w:sz w:val="20"/>
        <w:szCs w:val="20"/>
      </w:rPr>
      <w:fldChar w:fldCharType="end"/>
    </w:r>
  </w:p>
  <w:p w14:paraId="6B6DB71B" w14:textId="77777777" w:rsidR="00DB13BD" w:rsidRPr="00C77D16" w:rsidRDefault="00DB13BD">
    <w:pPr>
      <w:pStyle w:val="Header"/>
      <w:rPr>
        <w:rFonts w:ascii="Times New Roman" w:hAnsi="Times New Roman"/>
        <w:sz w:val="20"/>
        <w:szCs w:val="20"/>
      </w:rPr>
    </w:pPr>
  </w:p>
  <w:p w14:paraId="6B6DB71C" w14:textId="77777777" w:rsidR="00DB13BD" w:rsidRPr="00C77D16" w:rsidRDefault="00DB13BD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C15"/>
    <w:multiLevelType w:val="hybridMultilevel"/>
    <w:tmpl w:val="9AD09C5E"/>
    <w:lvl w:ilvl="0" w:tplc="2872258A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7495D"/>
    <w:multiLevelType w:val="hybridMultilevel"/>
    <w:tmpl w:val="7A8A85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6622A8"/>
    <w:multiLevelType w:val="hybridMultilevel"/>
    <w:tmpl w:val="1DF256CC"/>
    <w:lvl w:ilvl="0" w:tplc="40F6A0E6">
      <w:start w:val="7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F44559"/>
    <w:multiLevelType w:val="hybridMultilevel"/>
    <w:tmpl w:val="A87044A4"/>
    <w:lvl w:ilvl="0" w:tplc="7C5AF586">
      <w:start w:val="20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B51069"/>
    <w:multiLevelType w:val="hybridMultilevel"/>
    <w:tmpl w:val="802A531A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4E"/>
    <w:rsid w:val="000007E7"/>
    <w:rsid w:val="00004636"/>
    <w:rsid w:val="0000477E"/>
    <w:rsid w:val="00022731"/>
    <w:rsid w:val="000257BA"/>
    <w:rsid w:val="00033BC0"/>
    <w:rsid w:val="00054D73"/>
    <w:rsid w:val="00067C8D"/>
    <w:rsid w:val="00070ADA"/>
    <w:rsid w:val="0007354D"/>
    <w:rsid w:val="00077105"/>
    <w:rsid w:val="000951D6"/>
    <w:rsid w:val="000A08FA"/>
    <w:rsid w:val="000A5867"/>
    <w:rsid w:val="000C156D"/>
    <w:rsid w:val="000C5621"/>
    <w:rsid w:val="000E640C"/>
    <w:rsid w:val="001035E6"/>
    <w:rsid w:val="0010775A"/>
    <w:rsid w:val="001267C9"/>
    <w:rsid w:val="00146764"/>
    <w:rsid w:val="00164699"/>
    <w:rsid w:val="00185E84"/>
    <w:rsid w:val="00185F8F"/>
    <w:rsid w:val="001B0029"/>
    <w:rsid w:val="001C573E"/>
    <w:rsid w:val="001C5AB1"/>
    <w:rsid w:val="001C6F06"/>
    <w:rsid w:val="001D12CC"/>
    <w:rsid w:val="001E1D7A"/>
    <w:rsid w:val="002259D5"/>
    <w:rsid w:val="00226B17"/>
    <w:rsid w:val="00244107"/>
    <w:rsid w:val="0024576B"/>
    <w:rsid w:val="00250248"/>
    <w:rsid w:val="002575CD"/>
    <w:rsid w:val="00281E0D"/>
    <w:rsid w:val="0028259E"/>
    <w:rsid w:val="00292463"/>
    <w:rsid w:val="0029750E"/>
    <w:rsid w:val="002C039A"/>
    <w:rsid w:val="002C4E7E"/>
    <w:rsid w:val="002E61C2"/>
    <w:rsid w:val="002F16E2"/>
    <w:rsid w:val="002F340A"/>
    <w:rsid w:val="00302EAF"/>
    <w:rsid w:val="003039EA"/>
    <w:rsid w:val="00311510"/>
    <w:rsid w:val="00312D0C"/>
    <w:rsid w:val="0031559B"/>
    <w:rsid w:val="003271B8"/>
    <w:rsid w:val="00335937"/>
    <w:rsid w:val="00340DA6"/>
    <w:rsid w:val="003420BB"/>
    <w:rsid w:val="003435B1"/>
    <w:rsid w:val="0035684F"/>
    <w:rsid w:val="00362D86"/>
    <w:rsid w:val="003648DC"/>
    <w:rsid w:val="00365BF4"/>
    <w:rsid w:val="003A0E3F"/>
    <w:rsid w:val="00401EC0"/>
    <w:rsid w:val="00407894"/>
    <w:rsid w:val="00422B51"/>
    <w:rsid w:val="00430682"/>
    <w:rsid w:val="00450F2D"/>
    <w:rsid w:val="00464145"/>
    <w:rsid w:val="0046505C"/>
    <w:rsid w:val="00476249"/>
    <w:rsid w:val="00476B35"/>
    <w:rsid w:val="00476E8F"/>
    <w:rsid w:val="0047792D"/>
    <w:rsid w:val="00485438"/>
    <w:rsid w:val="00496EDC"/>
    <w:rsid w:val="004A77D1"/>
    <w:rsid w:val="004B1410"/>
    <w:rsid w:val="004C6EE5"/>
    <w:rsid w:val="004D1FC3"/>
    <w:rsid w:val="004E3065"/>
    <w:rsid w:val="004E6C92"/>
    <w:rsid w:val="005143FB"/>
    <w:rsid w:val="00552600"/>
    <w:rsid w:val="005668F1"/>
    <w:rsid w:val="00596D9D"/>
    <w:rsid w:val="005A0229"/>
    <w:rsid w:val="005A6C74"/>
    <w:rsid w:val="005E0287"/>
    <w:rsid w:val="005E0378"/>
    <w:rsid w:val="005E79D2"/>
    <w:rsid w:val="00603F18"/>
    <w:rsid w:val="006103F8"/>
    <w:rsid w:val="006137E8"/>
    <w:rsid w:val="006213CF"/>
    <w:rsid w:val="00623E31"/>
    <w:rsid w:val="006450C6"/>
    <w:rsid w:val="00653270"/>
    <w:rsid w:val="00663604"/>
    <w:rsid w:val="00672F7B"/>
    <w:rsid w:val="0068010E"/>
    <w:rsid w:val="006825A8"/>
    <w:rsid w:val="00683AD3"/>
    <w:rsid w:val="006A20BD"/>
    <w:rsid w:val="006A41EE"/>
    <w:rsid w:val="006A4B32"/>
    <w:rsid w:val="006B166F"/>
    <w:rsid w:val="006B18B1"/>
    <w:rsid w:val="006B3FA8"/>
    <w:rsid w:val="006C30BB"/>
    <w:rsid w:val="006D2217"/>
    <w:rsid w:val="006D2229"/>
    <w:rsid w:val="006D6CF6"/>
    <w:rsid w:val="007003F7"/>
    <w:rsid w:val="0071176E"/>
    <w:rsid w:val="00723AED"/>
    <w:rsid w:val="007279B4"/>
    <w:rsid w:val="00735912"/>
    <w:rsid w:val="007427F9"/>
    <w:rsid w:val="00763DAD"/>
    <w:rsid w:val="007773E1"/>
    <w:rsid w:val="00791C63"/>
    <w:rsid w:val="00794F46"/>
    <w:rsid w:val="007962C7"/>
    <w:rsid w:val="007B6000"/>
    <w:rsid w:val="007C11F2"/>
    <w:rsid w:val="007C1696"/>
    <w:rsid w:val="007C2969"/>
    <w:rsid w:val="007C4123"/>
    <w:rsid w:val="007E2192"/>
    <w:rsid w:val="007E2667"/>
    <w:rsid w:val="007E30F3"/>
    <w:rsid w:val="007F0ED7"/>
    <w:rsid w:val="00806234"/>
    <w:rsid w:val="00817783"/>
    <w:rsid w:val="008356F9"/>
    <w:rsid w:val="008620EB"/>
    <w:rsid w:val="00881580"/>
    <w:rsid w:val="00893040"/>
    <w:rsid w:val="0089675A"/>
    <w:rsid w:val="008A1722"/>
    <w:rsid w:val="008A5A74"/>
    <w:rsid w:val="008B1CAC"/>
    <w:rsid w:val="008B1F06"/>
    <w:rsid w:val="008D4D0E"/>
    <w:rsid w:val="008E008B"/>
    <w:rsid w:val="009000B3"/>
    <w:rsid w:val="0090667A"/>
    <w:rsid w:val="00906F0D"/>
    <w:rsid w:val="0090749F"/>
    <w:rsid w:val="00910264"/>
    <w:rsid w:val="00915507"/>
    <w:rsid w:val="00920BB4"/>
    <w:rsid w:val="00951172"/>
    <w:rsid w:val="00967230"/>
    <w:rsid w:val="00971DF7"/>
    <w:rsid w:val="0097395C"/>
    <w:rsid w:val="00984CDA"/>
    <w:rsid w:val="00990A1F"/>
    <w:rsid w:val="009A485C"/>
    <w:rsid w:val="009A7392"/>
    <w:rsid w:val="009C4765"/>
    <w:rsid w:val="009C5D96"/>
    <w:rsid w:val="009E3C3D"/>
    <w:rsid w:val="009F79E7"/>
    <w:rsid w:val="00A02121"/>
    <w:rsid w:val="00A16638"/>
    <w:rsid w:val="00A30EA5"/>
    <w:rsid w:val="00A51575"/>
    <w:rsid w:val="00A601AC"/>
    <w:rsid w:val="00A84C2A"/>
    <w:rsid w:val="00A915FB"/>
    <w:rsid w:val="00AB525E"/>
    <w:rsid w:val="00AC1768"/>
    <w:rsid w:val="00AC5507"/>
    <w:rsid w:val="00AC5581"/>
    <w:rsid w:val="00AD12A9"/>
    <w:rsid w:val="00AD1A60"/>
    <w:rsid w:val="00AD3312"/>
    <w:rsid w:val="00AE1068"/>
    <w:rsid w:val="00AE273E"/>
    <w:rsid w:val="00AF23A1"/>
    <w:rsid w:val="00B04E42"/>
    <w:rsid w:val="00B07384"/>
    <w:rsid w:val="00B13041"/>
    <w:rsid w:val="00B37CD3"/>
    <w:rsid w:val="00B662F4"/>
    <w:rsid w:val="00B82AAD"/>
    <w:rsid w:val="00B8722A"/>
    <w:rsid w:val="00BA4437"/>
    <w:rsid w:val="00BA493D"/>
    <w:rsid w:val="00BA64CD"/>
    <w:rsid w:val="00BB2231"/>
    <w:rsid w:val="00BB7775"/>
    <w:rsid w:val="00BC037A"/>
    <w:rsid w:val="00BD08DA"/>
    <w:rsid w:val="00BD1D8D"/>
    <w:rsid w:val="00BE48DB"/>
    <w:rsid w:val="00BF0223"/>
    <w:rsid w:val="00C410A5"/>
    <w:rsid w:val="00C4586C"/>
    <w:rsid w:val="00C71ACB"/>
    <w:rsid w:val="00C77D16"/>
    <w:rsid w:val="00C935DA"/>
    <w:rsid w:val="00C94DAB"/>
    <w:rsid w:val="00C96534"/>
    <w:rsid w:val="00CB6C31"/>
    <w:rsid w:val="00CB749D"/>
    <w:rsid w:val="00CD2EC6"/>
    <w:rsid w:val="00CF36EC"/>
    <w:rsid w:val="00CF6047"/>
    <w:rsid w:val="00D0605A"/>
    <w:rsid w:val="00D12D9A"/>
    <w:rsid w:val="00D1413D"/>
    <w:rsid w:val="00D157C1"/>
    <w:rsid w:val="00D3756C"/>
    <w:rsid w:val="00D444C3"/>
    <w:rsid w:val="00D54212"/>
    <w:rsid w:val="00D57DFC"/>
    <w:rsid w:val="00D60D9F"/>
    <w:rsid w:val="00D619EC"/>
    <w:rsid w:val="00D63842"/>
    <w:rsid w:val="00D7249A"/>
    <w:rsid w:val="00D81EDE"/>
    <w:rsid w:val="00DA1B86"/>
    <w:rsid w:val="00DA334E"/>
    <w:rsid w:val="00DB13BD"/>
    <w:rsid w:val="00DB2540"/>
    <w:rsid w:val="00DC55A7"/>
    <w:rsid w:val="00DC579E"/>
    <w:rsid w:val="00DD2A47"/>
    <w:rsid w:val="00DE61D8"/>
    <w:rsid w:val="00DF433F"/>
    <w:rsid w:val="00DF6C4E"/>
    <w:rsid w:val="00E01F9A"/>
    <w:rsid w:val="00E03710"/>
    <w:rsid w:val="00E06BC4"/>
    <w:rsid w:val="00E2165C"/>
    <w:rsid w:val="00E22E57"/>
    <w:rsid w:val="00E26E0F"/>
    <w:rsid w:val="00E326C8"/>
    <w:rsid w:val="00E36635"/>
    <w:rsid w:val="00E50A74"/>
    <w:rsid w:val="00E710A6"/>
    <w:rsid w:val="00E77BF7"/>
    <w:rsid w:val="00E8305A"/>
    <w:rsid w:val="00EB3D57"/>
    <w:rsid w:val="00EB7812"/>
    <w:rsid w:val="00EC7C31"/>
    <w:rsid w:val="00EF5181"/>
    <w:rsid w:val="00F004A1"/>
    <w:rsid w:val="00F02F31"/>
    <w:rsid w:val="00F04779"/>
    <w:rsid w:val="00F07E2C"/>
    <w:rsid w:val="00F13BA9"/>
    <w:rsid w:val="00F154F3"/>
    <w:rsid w:val="00F164F3"/>
    <w:rsid w:val="00F21B68"/>
    <w:rsid w:val="00F33385"/>
    <w:rsid w:val="00F41103"/>
    <w:rsid w:val="00F44F71"/>
    <w:rsid w:val="00F51994"/>
    <w:rsid w:val="00F6370E"/>
    <w:rsid w:val="00F657DE"/>
    <w:rsid w:val="00F7381C"/>
    <w:rsid w:val="00F74702"/>
    <w:rsid w:val="00F825C0"/>
    <w:rsid w:val="00F906D9"/>
    <w:rsid w:val="00FA156B"/>
    <w:rsid w:val="00FB093A"/>
    <w:rsid w:val="00FC568B"/>
    <w:rsid w:val="00FC6969"/>
    <w:rsid w:val="00FC7FC3"/>
    <w:rsid w:val="00FD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DB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50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C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C4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C4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C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C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C4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C4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C4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C4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C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C4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C4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F6C4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C4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C4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C4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C4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C4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F6C4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F6C4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C4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F6C4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F6C4E"/>
    <w:rPr>
      <w:b/>
      <w:bCs/>
    </w:rPr>
  </w:style>
  <w:style w:type="character" w:styleId="Emphasis">
    <w:name w:val="Emphasis"/>
    <w:basedOn w:val="DefaultParagraphFont"/>
    <w:uiPriority w:val="20"/>
    <w:qFormat/>
    <w:rsid w:val="00DF6C4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F6C4E"/>
    <w:rPr>
      <w:szCs w:val="32"/>
    </w:rPr>
  </w:style>
  <w:style w:type="paragraph" w:styleId="ListParagraph">
    <w:name w:val="List Paragraph"/>
    <w:basedOn w:val="Normal"/>
    <w:uiPriority w:val="34"/>
    <w:qFormat/>
    <w:rsid w:val="00DF6C4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F6C4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F6C4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C4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C4E"/>
    <w:rPr>
      <w:b/>
      <w:i/>
      <w:sz w:val="24"/>
    </w:rPr>
  </w:style>
  <w:style w:type="character" w:styleId="SubtleEmphasis">
    <w:name w:val="Subtle Emphasis"/>
    <w:uiPriority w:val="19"/>
    <w:qFormat/>
    <w:rsid w:val="00DF6C4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F6C4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F6C4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F6C4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F6C4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6C4E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09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F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1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FC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0EA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6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8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8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4123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50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C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C4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C4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C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C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C4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C4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C4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C4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C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C4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C4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F6C4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C4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C4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C4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C4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C4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F6C4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F6C4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C4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F6C4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F6C4E"/>
    <w:rPr>
      <w:b/>
      <w:bCs/>
    </w:rPr>
  </w:style>
  <w:style w:type="character" w:styleId="Emphasis">
    <w:name w:val="Emphasis"/>
    <w:basedOn w:val="DefaultParagraphFont"/>
    <w:uiPriority w:val="20"/>
    <w:qFormat/>
    <w:rsid w:val="00DF6C4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F6C4E"/>
    <w:rPr>
      <w:szCs w:val="32"/>
    </w:rPr>
  </w:style>
  <w:style w:type="paragraph" w:styleId="ListParagraph">
    <w:name w:val="List Paragraph"/>
    <w:basedOn w:val="Normal"/>
    <w:uiPriority w:val="34"/>
    <w:qFormat/>
    <w:rsid w:val="00DF6C4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F6C4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F6C4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C4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C4E"/>
    <w:rPr>
      <w:b/>
      <w:i/>
      <w:sz w:val="24"/>
    </w:rPr>
  </w:style>
  <w:style w:type="character" w:styleId="SubtleEmphasis">
    <w:name w:val="Subtle Emphasis"/>
    <w:uiPriority w:val="19"/>
    <w:qFormat/>
    <w:rsid w:val="00DF6C4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F6C4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F6C4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F6C4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F6C4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6C4E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09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F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1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FC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0EA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6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8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8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412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2013-12-20T08:00:00+00:00</OpenedDate>
    <Date1 xmlns="dc463f71-b30c-4ab2-9473-d307f9d35888">2014-02-14T08:00:00+00:00</Date1>
    <IsDocumentOrder xmlns="dc463f71-b30c-4ab2-9473-d307f9d35888" xsi:nil="true"/>
    <IsHighlyConfidential xmlns="dc463f71-b30c-4ab2-9473-d307f9d35888">false</IsHighlyConfidential>
    <CaseCompanyNames xmlns="dc463f71-b30c-4ab2-9473-d307f9d35888">Pedersen Family, LLC</CaseCompanyNames>
    <DocketNumber xmlns="dc463f71-b30c-4ab2-9473-d307f9d35888">132352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2152B8FE06A134EBDB2DB4DD48CC635" ma:contentTypeVersion="135" ma:contentTypeDescription="" ma:contentTypeScope="" ma:versionID="261de62fac6522d985160c0fa44432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D3135C-1F4D-4402-9EAD-E1F6372780D6}"/>
</file>

<file path=customXml/itemProps2.xml><?xml version="1.0" encoding="utf-8"?>
<ds:datastoreItem xmlns:ds="http://schemas.openxmlformats.org/officeDocument/2006/customXml" ds:itemID="{5463ECBD-6ADC-4ED7-AFD5-6725658EF112}"/>
</file>

<file path=customXml/itemProps3.xml><?xml version="1.0" encoding="utf-8"?>
<ds:datastoreItem xmlns:ds="http://schemas.openxmlformats.org/officeDocument/2006/customXml" ds:itemID="{2454F1DA-846E-461D-885C-AE6B4622EA00}"/>
</file>

<file path=customXml/itemProps4.xml><?xml version="1.0" encoding="utf-8"?>
<ds:datastoreItem xmlns:ds="http://schemas.openxmlformats.org/officeDocument/2006/customXml" ds:itemID="{0C08F597-A623-4DC9-8481-D65E61230E29}"/>
</file>

<file path=customXml/itemProps5.xml><?xml version="1.0" encoding="utf-8"?>
<ds:datastoreItem xmlns:ds="http://schemas.openxmlformats.org/officeDocument/2006/customXml" ds:itemID="{067FA976-16C4-491D-80B8-B6055A44D4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UW-132352 Memo 01 to allow rates</vt:lpstr>
    </vt:vector>
  </TitlesOfParts>
  <Company>Washington Utilities and Transportation Commission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UW-132352 Memo 01 to allow rates</dc:title>
  <dc:creator>Amy White</dc:creator>
  <cp:lastModifiedBy>Lisa Wyse</cp:lastModifiedBy>
  <cp:revision>2</cp:revision>
  <cp:lastPrinted>2014-01-16T19:48:00Z</cp:lastPrinted>
  <dcterms:created xsi:type="dcterms:W3CDTF">2014-02-11T16:05:00Z</dcterms:created>
  <dcterms:modified xsi:type="dcterms:W3CDTF">2014-02-11T16:05:00Z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0x0101006E56B4D1795A2E4DB2F0B01679ED314A00F2152B8FE06A134EBDB2DB4DD48CC635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