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6579B" w14:textId="1B6ECEE7" w:rsidR="0069009B" w:rsidRDefault="0069009B" w:rsidP="0069009B">
      <w:pPr>
        <w:pStyle w:val="Header"/>
        <w:rPr>
          <w:rFonts w:ascii="Arial" w:hAnsi="Arial"/>
          <w:noProof/>
        </w:rPr>
      </w:pPr>
      <w:r>
        <w:rPr>
          <w:rFonts w:ascii="Arial" w:hAnsi="Arial"/>
          <w:noProof/>
        </w:rPr>
        <w:drawing>
          <wp:anchor distT="0" distB="0" distL="114300" distR="114300" simplePos="0" relativeHeight="251659264" behindDoc="0" locked="0" layoutInCell="1" allowOverlap="1" wp14:anchorId="500EE41B" wp14:editId="0E64BCF7">
            <wp:simplePos x="0" y="0"/>
            <wp:positionH relativeFrom="column">
              <wp:posOffset>2828925</wp:posOffset>
            </wp:positionH>
            <wp:positionV relativeFrom="paragraph">
              <wp:posOffset>-317500</wp:posOffset>
            </wp:positionV>
            <wp:extent cx="3244850" cy="708660"/>
            <wp:effectExtent l="0" t="0" r="0" b="0"/>
            <wp:wrapTopAndBottom/>
            <wp:docPr id="8" name="Picture 8"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wn letter templ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rPr>
        <mc:AlternateContent>
          <mc:Choice Requires="wps">
            <w:drawing>
              <wp:anchor distT="0" distB="0" distL="114300" distR="114300" simplePos="0" relativeHeight="251660288" behindDoc="0" locked="0" layoutInCell="1" allowOverlap="1" wp14:anchorId="4E894BDE" wp14:editId="05043B54">
                <wp:simplePos x="0" y="0"/>
                <wp:positionH relativeFrom="column">
                  <wp:posOffset>-139065</wp:posOffset>
                </wp:positionH>
                <wp:positionV relativeFrom="paragraph">
                  <wp:posOffset>-318770</wp:posOffset>
                </wp:positionV>
                <wp:extent cx="2209800" cy="914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A084" w14:textId="41BA5F9E" w:rsidR="0069009B" w:rsidRPr="00EE3393" w:rsidRDefault="0069009B" w:rsidP="0069009B">
                            <w:pPr>
                              <w:pStyle w:val="Heading1"/>
                              <w:ind w:left="0" w:firstLine="0"/>
                              <w:jc w:val="both"/>
                              <w:rPr>
                                <w:sz w:val="18"/>
                                <w:szCs w:val="18"/>
                              </w:rPr>
                            </w:pPr>
                            <w:r>
                              <w:rPr>
                                <w:sz w:val="18"/>
                                <w:szCs w:val="18"/>
                              </w:rPr>
                              <w:t xml:space="preserve">MARK </w:t>
                            </w:r>
                            <w:r w:rsidR="00953A3C">
                              <w:rPr>
                                <w:sz w:val="18"/>
                                <w:szCs w:val="18"/>
                              </w:rPr>
                              <w:t xml:space="preserve">R. </w:t>
                            </w:r>
                            <w:r>
                              <w:rPr>
                                <w:sz w:val="18"/>
                                <w:szCs w:val="18"/>
                              </w:rPr>
                              <w:t>THOMPSON</w:t>
                            </w:r>
                          </w:p>
                          <w:p w14:paraId="2933A4A1" w14:textId="77777777" w:rsidR="0069009B" w:rsidRDefault="0069009B" w:rsidP="0069009B">
                            <w:pPr>
                              <w:spacing w:line="240" w:lineRule="auto"/>
                              <w:contextualSpacing/>
                              <w:rPr>
                                <w:rFonts w:ascii="News Gothic MT" w:hAnsi="News Gothic MT"/>
                                <w:i/>
                                <w:sz w:val="18"/>
                                <w:szCs w:val="18"/>
                              </w:rPr>
                            </w:pPr>
                            <w:r>
                              <w:rPr>
                                <w:rFonts w:ascii="News Gothic MT" w:hAnsi="News Gothic MT"/>
                                <w:i/>
                                <w:sz w:val="18"/>
                                <w:szCs w:val="18"/>
                              </w:rPr>
                              <w:t>Manager, Rates &amp; Regulatory Affairs</w:t>
                            </w:r>
                          </w:p>
                          <w:p w14:paraId="18813DE6" w14:textId="51145347" w:rsidR="0069009B" w:rsidRDefault="0069009B" w:rsidP="0069009B">
                            <w:pPr>
                              <w:spacing w:line="240" w:lineRule="auto"/>
                              <w:contextualSpacing/>
                              <w:rPr>
                                <w:rFonts w:ascii="News Gothic MT" w:hAnsi="News Gothic MT"/>
                                <w:i/>
                                <w:sz w:val="18"/>
                                <w:szCs w:val="18"/>
                              </w:rPr>
                            </w:pPr>
                            <w:r w:rsidRPr="00EE3393">
                              <w:rPr>
                                <w:rFonts w:ascii="News Gothic MT" w:hAnsi="News Gothic MT"/>
                                <w:i/>
                                <w:sz w:val="18"/>
                                <w:szCs w:val="18"/>
                              </w:rPr>
                              <w:t>Tel:  503.721.24</w:t>
                            </w:r>
                            <w:r>
                              <w:rPr>
                                <w:rFonts w:ascii="News Gothic MT" w:hAnsi="News Gothic MT"/>
                                <w:i/>
                                <w:sz w:val="18"/>
                                <w:szCs w:val="18"/>
                              </w:rPr>
                              <w:t>76</w:t>
                            </w:r>
                          </w:p>
                          <w:p w14:paraId="54B48C59" w14:textId="313068DD" w:rsidR="0069009B" w:rsidRDefault="0069009B" w:rsidP="0069009B">
                            <w:pPr>
                              <w:spacing w:line="240" w:lineRule="auto"/>
                              <w:contextualSpacing/>
                              <w:rPr>
                                <w:rFonts w:ascii="News Gothic MT" w:hAnsi="News Gothic MT"/>
                                <w:i/>
                                <w:sz w:val="18"/>
                                <w:szCs w:val="18"/>
                              </w:rPr>
                            </w:pPr>
                            <w:r w:rsidRPr="00EE3393">
                              <w:rPr>
                                <w:rFonts w:ascii="News Gothic MT" w:hAnsi="News Gothic MT"/>
                                <w:i/>
                                <w:sz w:val="18"/>
                                <w:szCs w:val="18"/>
                              </w:rPr>
                              <w:t>Fax: 503.721.2516</w:t>
                            </w:r>
                          </w:p>
                          <w:p w14:paraId="05257820" w14:textId="47FFE967" w:rsidR="0069009B" w:rsidRPr="0069009B" w:rsidRDefault="0069009B" w:rsidP="0069009B">
                            <w:pPr>
                              <w:spacing w:line="240" w:lineRule="auto"/>
                              <w:rPr>
                                <w:rFonts w:ascii="News Gothic MT" w:hAnsi="News Gothic MT"/>
                                <w:i/>
                                <w:sz w:val="18"/>
                                <w:szCs w:val="18"/>
                              </w:rPr>
                            </w:pPr>
                            <w:proofErr w:type="gramStart"/>
                            <w:r>
                              <w:rPr>
                                <w:rFonts w:ascii="News Gothic MT" w:hAnsi="News Gothic MT"/>
                                <w:i/>
                                <w:sz w:val="18"/>
                                <w:szCs w:val="18"/>
                              </w:rPr>
                              <w:t>email</w:t>
                            </w:r>
                            <w:proofErr w:type="gramEnd"/>
                            <w:r>
                              <w:rPr>
                                <w:rFonts w:ascii="News Gothic MT" w:hAnsi="News Gothic MT"/>
                                <w:i/>
                                <w:sz w:val="18"/>
                                <w:szCs w:val="18"/>
                              </w:rPr>
                              <w:t>: mark.thompson</w:t>
                            </w:r>
                            <w:r w:rsidRPr="00EE3393">
                              <w:rPr>
                                <w:rFonts w:ascii="News Gothic MT" w:hAnsi="News Gothic MT"/>
                                <w:i/>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95pt;margin-top:-25.1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" filled="f" stroked="f">
                <v:textbox>
                  <w:txbxContent>
                    <w:p w14:paraId="2E2DA084" w14:textId="41BA5F9E" w:rsidR="0069009B" w:rsidRPr="00EE3393" w:rsidRDefault="0069009B" w:rsidP="0069009B">
                      <w:pPr>
                        <w:pStyle w:val="Heading1"/>
                        <w:ind w:left="0" w:firstLine="0"/>
                        <w:jc w:val="both"/>
                        <w:rPr>
                          <w:sz w:val="18"/>
                          <w:szCs w:val="18"/>
                        </w:rPr>
                      </w:pPr>
                      <w:r>
                        <w:rPr>
                          <w:sz w:val="18"/>
                          <w:szCs w:val="18"/>
                        </w:rPr>
                        <w:t xml:space="preserve">MARK </w:t>
                      </w:r>
                      <w:r w:rsidR="00953A3C">
                        <w:rPr>
                          <w:sz w:val="18"/>
                          <w:szCs w:val="18"/>
                        </w:rPr>
                        <w:t xml:space="preserve">R. </w:t>
                      </w:r>
                      <w:r>
                        <w:rPr>
                          <w:sz w:val="18"/>
                          <w:szCs w:val="18"/>
                        </w:rPr>
                        <w:t>THOMPSON</w:t>
                      </w:r>
                    </w:p>
                    <w:p w14:paraId="2933A4A1" w14:textId="77777777" w:rsidR="0069009B" w:rsidRDefault="0069009B" w:rsidP="0069009B">
                      <w:pPr>
                        <w:spacing w:line="240" w:lineRule="auto"/>
                        <w:contextualSpacing/>
                        <w:rPr>
                          <w:rFonts w:ascii="News Gothic MT" w:hAnsi="News Gothic MT"/>
                          <w:i/>
                          <w:sz w:val="18"/>
                          <w:szCs w:val="18"/>
                        </w:rPr>
                      </w:pPr>
                      <w:r>
                        <w:rPr>
                          <w:rFonts w:ascii="News Gothic MT" w:hAnsi="News Gothic MT"/>
                          <w:i/>
                          <w:sz w:val="18"/>
                          <w:szCs w:val="18"/>
                        </w:rPr>
                        <w:t>Manager, Rates &amp; Regulatory Affairs</w:t>
                      </w:r>
                    </w:p>
                    <w:p w14:paraId="18813DE6" w14:textId="51145347" w:rsidR="0069009B" w:rsidRDefault="0069009B" w:rsidP="0069009B">
                      <w:pPr>
                        <w:spacing w:line="240" w:lineRule="auto"/>
                        <w:contextualSpacing/>
                        <w:rPr>
                          <w:rFonts w:ascii="News Gothic MT" w:hAnsi="News Gothic MT"/>
                          <w:i/>
                          <w:sz w:val="18"/>
                          <w:szCs w:val="18"/>
                        </w:rPr>
                      </w:pPr>
                      <w:r w:rsidRPr="00EE3393">
                        <w:rPr>
                          <w:rFonts w:ascii="News Gothic MT" w:hAnsi="News Gothic MT"/>
                          <w:i/>
                          <w:sz w:val="18"/>
                          <w:szCs w:val="18"/>
                        </w:rPr>
                        <w:t>Tel:  503.721.24</w:t>
                      </w:r>
                      <w:r>
                        <w:rPr>
                          <w:rFonts w:ascii="News Gothic MT" w:hAnsi="News Gothic MT"/>
                          <w:i/>
                          <w:sz w:val="18"/>
                          <w:szCs w:val="18"/>
                        </w:rPr>
                        <w:t>76</w:t>
                      </w:r>
                    </w:p>
                    <w:p w14:paraId="54B48C59" w14:textId="313068DD" w:rsidR="0069009B" w:rsidRDefault="0069009B" w:rsidP="0069009B">
                      <w:pPr>
                        <w:spacing w:line="240" w:lineRule="auto"/>
                        <w:contextualSpacing/>
                        <w:rPr>
                          <w:rFonts w:ascii="News Gothic MT" w:hAnsi="News Gothic MT"/>
                          <w:i/>
                          <w:sz w:val="18"/>
                          <w:szCs w:val="18"/>
                        </w:rPr>
                      </w:pPr>
                      <w:r w:rsidRPr="00EE3393">
                        <w:rPr>
                          <w:rFonts w:ascii="News Gothic MT" w:hAnsi="News Gothic MT"/>
                          <w:i/>
                          <w:sz w:val="18"/>
                          <w:szCs w:val="18"/>
                        </w:rPr>
                        <w:t>Fax: 503.721.2516</w:t>
                      </w:r>
                    </w:p>
                    <w:p w14:paraId="05257820" w14:textId="47FFE967" w:rsidR="0069009B" w:rsidRPr="0069009B" w:rsidRDefault="0069009B" w:rsidP="0069009B">
                      <w:pPr>
                        <w:spacing w:line="240" w:lineRule="auto"/>
                        <w:rPr>
                          <w:rFonts w:ascii="News Gothic MT" w:hAnsi="News Gothic MT"/>
                          <w:i/>
                          <w:sz w:val="18"/>
                          <w:szCs w:val="18"/>
                        </w:rPr>
                      </w:pPr>
                      <w:proofErr w:type="gramStart"/>
                      <w:r>
                        <w:rPr>
                          <w:rFonts w:ascii="News Gothic MT" w:hAnsi="News Gothic MT"/>
                          <w:i/>
                          <w:sz w:val="18"/>
                          <w:szCs w:val="18"/>
                        </w:rPr>
                        <w:t>email</w:t>
                      </w:r>
                      <w:proofErr w:type="gramEnd"/>
                      <w:r>
                        <w:rPr>
                          <w:rFonts w:ascii="News Gothic MT" w:hAnsi="News Gothic MT"/>
                          <w:i/>
                          <w:sz w:val="18"/>
                          <w:szCs w:val="18"/>
                        </w:rPr>
                        <w:t>: mark.thompson</w:t>
                      </w:r>
                      <w:r w:rsidRPr="00EE3393">
                        <w:rPr>
                          <w:rFonts w:ascii="News Gothic MT" w:hAnsi="News Gothic MT"/>
                          <w:i/>
                          <w:sz w:val="18"/>
                          <w:szCs w:val="18"/>
                        </w:rPr>
                        <w:t xml:space="preserve">@nwnatural.com </w:t>
                      </w:r>
                    </w:p>
                  </w:txbxContent>
                </v:textbox>
              </v:rect>
            </w:pict>
          </mc:Fallback>
        </mc:AlternateContent>
      </w:r>
    </w:p>
    <w:p w14:paraId="07A0E3D8" w14:textId="77777777" w:rsidR="0069009B" w:rsidRPr="00F1533B" w:rsidRDefault="0069009B" w:rsidP="0069009B">
      <w:pPr>
        <w:rPr>
          <w:rFonts w:ascii="Arial" w:hAnsi="Arial"/>
          <w:sz w:val="22"/>
        </w:rPr>
      </w:pPr>
    </w:p>
    <w:p w14:paraId="42519336" w14:textId="77777777" w:rsidR="0069009B" w:rsidRPr="0069009B" w:rsidRDefault="0069009B" w:rsidP="0069009B">
      <w:pPr>
        <w:pStyle w:val="Heading3"/>
        <w:rPr>
          <w:rFonts w:cs="Arial"/>
          <w:sz w:val="22"/>
          <w:szCs w:val="22"/>
        </w:rPr>
      </w:pPr>
      <w:r w:rsidRPr="0069009B">
        <w:rPr>
          <w:rFonts w:cs="Arial"/>
          <w:sz w:val="22"/>
          <w:szCs w:val="22"/>
        </w:rPr>
        <w:t>VIA ELECTRONIC FILING</w:t>
      </w:r>
    </w:p>
    <w:p w14:paraId="13CB992C" w14:textId="77777777" w:rsidR="0069009B" w:rsidRPr="0069009B" w:rsidRDefault="0069009B" w:rsidP="00C1748F">
      <w:pPr>
        <w:spacing w:after="0" w:line="240" w:lineRule="auto"/>
        <w:ind w:left="720" w:hanging="720"/>
        <w:rPr>
          <w:rFonts w:ascii="Arial" w:hAnsi="Arial" w:cs="Arial"/>
          <w:sz w:val="22"/>
        </w:rPr>
      </w:pPr>
    </w:p>
    <w:p w14:paraId="25027814" w14:textId="77777777" w:rsidR="00C1748F" w:rsidRPr="0069009B" w:rsidRDefault="00C1748F" w:rsidP="00C1748F">
      <w:pPr>
        <w:spacing w:after="0" w:line="240" w:lineRule="auto"/>
        <w:ind w:left="720" w:hanging="720"/>
        <w:rPr>
          <w:rFonts w:ascii="Arial" w:hAnsi="Arial" w:cs="Arial"/>
          <w:sz w:val="22"/>
        </w:rPr>
      </w:pPr>
      <w:r w:rsidRPr="0069009B">
        <w:rPr>
          <w:rFonts w:ascii="Arial" w:hAnsi="Arial" w:cs="Arial"/>
          <w:sz w:val="22"/>
        </w:rPr>
        <w:t>January 13, 2014</w:t>
      </w:r>
    </w:p>
    <w:p w14:paraId="6AC55D8C" w14:textId="77777777" w:rsidR="00C1748F" w:rsidRPr="0069009B" w:rsidRDefault="00C1748F" w:rsidP="00C1748F">
      <w:pPr>
        <w:spacing w:after="0" w:line="240" w:lineRule="auto"/>
        <w:ind w:left="720" w:hanging="720"/>
        <w:rPr>
          <w:rFonts w:ascii="Arial" w:hAnsi="Arial" w:cs="Arial"/>
          <w:sz w:val="22"/>
        </w:rPr>
      </w:pPr>
    </w:p>
    <w:p w14:paraId="30A2AC3C" w14:textId="77777777" w:rsidR="00C1748F" w:rsidRPr="0069009B" w:rsidRDefault="00C1748F" w:rsidP="00C1748F">
      <w:pPr>
        <w:spacing w:after="0" w:line="240" w:lineRule="auto"/>
        <w:ind w:left="720" w:hanging="720"/>
        <w:rPr>
          <w:rFonts w:ascii="Arial" w:hAnsi="Arial" w:cs="Arial"/>
          <w:sz w:val="22"/>
        </w:rPr>
      </w:pPr>
    </w:p>
    <w:p w14:paraId="6BB654AF" w14:textId="77777777" w:rsidR="00C1748F" w:rsidRPr="0069009B" w:rsidRDefault="00C1748F" w:rsidP="00C1748F">
      <w:pPr>
        <w:spacing w:after="0" w:line="240" w:lineRule="auto"/>
        <w:ind w:left="720" w:hanging="720"/>
        <w:rPr>
          <w:rFonts w:ascii="Arial" w:hAnsi="Arial" w:cs="Arial"/>
          <w:sz w:val="22"/>
        </w:rPr>
      </w:pPr>
    </w:p>
    <w:p w14:paraId="4CDBA413" w14:textId="16D5ADFA" w:rsidR="00341FBE" w:rsidRPr="0069009B" w:rsidRDefault="00341FBE" w:rsidP="00DF68E6">
      <w:pPr>
        <w:spacing w:after="0" w:line="240" w:lineRule="auto"/>
        <w:rPr>
          <w:rFonts w:ascii="Arial" w:hAnsi="Arial" w:cs="Arial"/>
          <w:sz w:val="22"/>
        </w:rPr>
      </w:pPr>
      <w:r w:rsidRPr="0069009B">
        <w:rPr>
          <w:rFonts w:ascii="Arial" w:hAnsi="Arial" w:cs="Arial"/>
          <w:sz w:val="22"/>
        </w:rPr>
        <w:t>S</w:t>
      </w:r>
      <w:r w:rsidR="005C00F0">
        <w:rPr>
          <w:rFonts w:ascii="Arial" w:hAnsi="Arial" w:cs="Arial"/>
          <w:sz w:val="22"/>
        </w:rPr>
        <w:t xml:space="preserve">teven </w:t>
      </w:r>
      <w:r w:rsidRPr="0069009B">
        <w:rPr>
          <w:rFonts w:ascii="Arial" w:hAnsi="Arial" w:cs="Arial"/>
          <w:sz w:val="22"/>
        </w:rPr>
        <w:t>V. K</w:t>
      </w:r>
      <w:r w:rsidR="005C00F0">
        <w:rPr>
          <w:rFonts w:ascii="Arial" w:hAnsi="Arial" w:cs="Arial"/>
          <w:sz w:val="22"/>
        </w:rPr>
        <w:t>ing</w:t>
      </w:r>
    </w:p>
    <w:p w14:paraId="21325953" w14:textId="77777777" w:rsidR="00341FBE" w:rsidRPr="0069009B" w:rsidRDefault="00341FBE" w:rsidP="00DF68E6">
      <w:pPr>
        <w:spacing w:after="0" w:line="240" w:lineRule="auto"/>
        <w:rPr>
          <w:rFonts w:ascii="Arial" w:hAnsi="Arial" w:cs="Arial"/>
          <w:sz w:val="22"/>
        </w:rPr>
      </w:pPr>
      <w:r w:rsidRPr="0069009B">
        <w:rPr>
          <w:rFonts w:ascii="Arial" w:hAnsi="Arial" w:cs="Arial"/>
          <w:sz w:val="22"/>
        </w:rPr>
        <w:t>Executive Director and Secretary</w:t>
      </w:r>
    </w:p>
    <w:p w14:paraId="239998A0" w14:textId="77777777" w:rsidR="00341FBE" w:rsidRPr="0069009B" w:rsidRDefault="00341FBE" w:rsidP="00DF68E6">
      <w:pPr>
        <w:spacing w:after="0" w:line="240" w:lineRule="auto"/>
        <w:rPr>
          <w:rFonts w:ascii="Arial" w:hAnsi="Arial" w:cs="Arial"/>
          <w:sz w:val="22"/>
        </w:rPr>
      </w:pPr>
      <w:r w:rsidRPr="0069009B">
        <w:rPr>
          <w:rFonts w:ascii="Arial" w:hAnsi="Arial" w:cs="Arial"/>
          <w:sz w:val="22"/>
        </w:rPr>
        <w:t>State of Washington Utilities and Transportation Commission</w:t>
      </w:r>
    </w:p>
    <w:p w14:paraId="5680F2F0" w14:textId="77777777" w:rsidR="00341FBE" w:rsidRPr="0069009B" w:rsidRDefault="00341FBE" w:rsidP="00DF68E6">
      <w:pPr>
        <w:spacing w:after="0" w:line="240" w:lineRule="auto"/>
        <w:rPr>
          <w:rFonts w:ascii="Arial" w:hAnsi="Arial" w:cs="Arial"/>
          <w:sz w:val="22"/>
        </w:rPr>
      </w:pPr>
      <w:r w:rsidRPr="0069009B">
        <w:rPr>
          <w:rFonts w:ascii="Arial" w:hAnsi="Arial" w:cs="Arial"/>
          <w:sz w:val="22"/>
        </w:rPr>
        <w:t>1300 S. Evergreen Park Drive SW</w:t>
      </w:r>
    </w:p>
    <w:p w14:paraId="2BF4BF99" w14:textId="77777777" w:rsidR="00341FBE" w:rsidRPr="0069009B" w:rsidRDefault="00341FBE" w:rsidP="00DF68E6">
      <w:pPr>
        <w:spacing w:after="0" w:line="240" w:lineRule="auto"/>
        <w:rPr>
          <w:rFonts w:ascii="Arial" w:hAnsi="Arial" w:cs="Arial"/>
          <w:sz w:val="22"/>
        </w:rPr>
      </w:pPr>
      <w:r w:rsidRPr="0069009B">
        <w:rPr>
          <w:rFonts w:ascii="Arial" w:hAnsi="Arial" w:cs="Arial"/>
          <w:sz w:val="22"/>
        </w:rPr>
        <w:t>P.O. Box 47250</w:t>
      </w:r>
    </w:p>
    <w:p w14:paraId="67672553" w14:textId="77777777" w:rsidR="00341FBE" w:rsidRPr="0069009B" w:rsidRDefault="00341FBE" w:rsidP="00DF68E6">
      <w:pPr>
        <w:spacing w:after="0" w:line="240" w:lineRule="auto"/>
        <w:rPr>
          <w:rFonts w:ascii="Arial" w:hAnsi="Arial" w:cs="Arial"/>
          <w:sz w:val="22"/>
        </w:rPr>
      </w:pPr>
      <w:r w:rsidRPr="0069009B">
        <w:rPr>
          <w:rFonts w:ascii="Arial" w:hAnsi="Arial" w:cs="Arial"/>
          <w:sz w:val="22"/>
        </w:rPr>
        <w:t>Olympia, Washington 98504-7250</w:t>
      </w:r>
    </w:p>
    <w:p w14:paraId="7B0FCBB2" w14:textId="77777777" w:rsidR="00341FBE" w:rsidRPr="0069009B" w:rsidRDefault="00341FBE" w:rsidP="00341FBE">
      <w:pPr>
        <w:spacing w:after="0" w:line="240" w:lineRule="auto"/>
        <w:ind w:left="720" w:hanging="720"/>
        <w:rPr>
          <w:rFonts w:ascii="Arial" w:hAnsi="Arial" w:cs="Arial"/>
          <w:sz w:val="22"/>
        </w:rPr>
      </w:pPr>
    </w:p>
    <w:p w14:paraId="2806771B" w14:textId="77777777" w:rsidR="00C1748F" w:rsidRPr="0069009B" w:rsidRDefault="00C1748F" w:rsidP="00341FBE">
      <w:pPr>
        <w:spacing w:after="0" w:line="240" w:lineRule="auto"/>
        <w:ind w:left="720" w:hanging="720"/>
        <w:rPr>
          <w:rFonts w:ascii="Arial" w:hAnsi="Arial" w:cs="Arial"/>
          <w:sz w:val="22"/>
        </w:rPr>
      </w:pPr>
    </w:p>
    <w:p w14:paraId="1B142200" w14:textId="6939413C" w:rsidR="00341FBE" w:rsidRPr="0069009B" w:rsidRDefault="00341FBE" w:rsidP="00341FBE">
      <w:pPr>
        <w:spacing w:after="0" w:line="240" w:lineRule="auto"/>
        <w:ind w:left="720" w:hanging="720"/>
        <w:rPr>
          <w:rFonts w:ascii="Arial" w:hAnsi="Arial" w:cs="Arial"/>
          <w:sz w:val="22"/>
        </w:rPr>
      </w:pPr>
      <w:r w:rsidRPr="0069009B">
        <w:rPr>
          <w:rFonts w:ascii="Arial" w:hAnsi="Arial" w:cs="Arial"/>
          <w:sz w:val="22"/>
        </w:rPr>
        <w:t xml:space="preserve">RE:  </w:t>
      </w:r>
      <w:r w:rsidRPr="0069009B">
        <w:rPr>
          <w:rFonts w:ascii="Arial" w:hAnsi="Arial" w:cs="Arial"/>
          <w:sz w:val="22"/>
        </w:rPr>
        <w:tab/>
      </w:r>
      <w:bookmarkStart w:id="0" w:name="_GoBack"/>
      <w:r w:rsidR="0069009B" w:rsidRPr="0069009B">
        <w:rPr>
          <w:rFonts w:ascii="Arial" w:hAnsi="Arial" w:cs="Arial"/>
          <w:sz w:val="22"/>
        </w:rPr>
        <w:t>Docket UG-132019</w:t>
      </w:r>
      <w:r w:rsidR="0069009B">
        <w:rPr>
          <w:rFonts w:ascii="Arial" w:hAnsi="Arial" w:cs="Arial"/>
          <w:sz w:val="22"/>
        </w:rPr>
        <w:t xml:space="preserve">.  </w:t>
      </w:r>
      <w:r w:rsidRPr="0069009B">
        <w:rPr>
          <w:rFonts w:ascii="Arial" w:hAnsi="Arial" w:cs="Arial"/>
          <w:sz w:val="22"/>
        </w:rPr>
        <w:t>NW Natural’s Comments - Inquiry into Local Distribution Companies’ Natural Gas Hedging Prac</w:t>
      </w:r>
      <w:r w:rsidR="0069009B">
        <w:rPr>
          <w:rFonts w:ascii="Arial" w:hAnsi="Arial" w:cs="Arial"/>
          <w:sz w:val="22"/>
        </w:rPr>
        <w:t>tices and Transaction Reporting</w:t>
      </w:r>
      <w:r w:rsidRPr="0069009B">
        <w:rPr>
          <w:rFonts w:ascii="Arial" w:hAnsi="Arial" w:cs="Arial"/>
          <w:sz w:val="22"/>
        </w:rPr>
        <w:t xml:space="preserve"> </w:t>
      </w:r>
      <w:bookmarkEnd w:id="0"/>
    </w:p>
    <w:p w14:paraId="6E690FA5" w14:textId="77777777" w:rsidR="00341FBE" w:rsidRPr="0069009B" w:rsidRDefault="00341FBE" w:rsidP="00DF68E6">
      <w:pPr>
        <w:spacing w:after="0" w:line="240" w:lineRule="auto"/>
        <w:rPr>
          <w:rFonts w:ascii="Arial" w:hAnsi="Arial" w:cs="Arial"/>
          <w:sz w:val="22"/>
        </w:rPr>
      </w:pPr>
    </w:p>
    <w:p w14:paraId="4F8A2F3E" w14:textId="77777777" w:rsidR="00DF68E6" w:rsidRPr="0069009B" w:rsidRDefault="00DF68E6" w:rsidP="00DF68E6">
      <w:pPr>
        <w:spacing w:after="0" w:line="240" w:lineRule="auto"/>
        <w:rPr>
          <w:rFonts w:ascii="Arial" w:hAnsi="Arial" w:cs="Arial"/>
          <w:sz w:val="22"/>
        </w:rPr>
      </w:pPr>
    </w:p>
    <w:p w14:paraId="03433292" w14:textId="77777777" w:rsidR="008723A1" w:rsidRPr="0069009B" w:rsidRDefault="008723A1" w:rsidP="00DF68E6">
      <w:pPr>
        <w:spacing w:after="0" w:line="240" w:lineRule="auto"/>
        <w:rPr>
          <w:rFonts w:ascii="Arial" w:hAnsi="Arial" w:cs="Arial"/>
          <w:b/>
          <w:sz w:val="22"/>
        </w:rPr>
      </w:pPr>
      <w:r w:rsidRPr="0069009B">
        <w:rPr>
          <w:rFonts w:ascii="Arial" w:hAnsi="Arial" w:cs="Arial"/>
          <w:b/>
          <w:sz w:val="22"/>
        </w:rPr>
        <w:t>Introduction</w:t>
      </w:r>
    </w:p>
    <w:p w14:paraId="43F7C4BC" w14:textId="77777777" w:rsidR="008723A1" w:rsidRPr="0069009B" w:rsidRDefault="008723A1" w:rsidP="00DF68E6">
      <w:pPr>
        <w:spacing w:after="0" w:line="240" w:lineRule="auto"/>
        <w:rPr>
          <w:rFonts w:ascii="Arial" w:hAnsi="Arial" w:cs="Arial"/>
          <w:sz w:val="22"/>
        </w:rPr>
      </w:pPr>
    </w:p>
    <w:p w14:paraId="14510272" w14:textId="050E4B71" w:rsidR="00C1748F" w:rsidRPr="0069009B" w:rsidRDefault="00C1748F" w:rsidP="00DB5B6B">
      <w:pPr>
        <w:spacing w:after="0" w:line="240" w:lineRule="auto"/>
        <w:ind w:firstLine="720"/>
        <w:rPr>
          <w:rFonts w:ascii="Arial" w:hAnsi="Arial" w:cs="Arial"/>
          <w:sz w:val="22"/>
        </w:rPr>
      </w:pPr>
      <w:r w:rsidRPr="0069009B">
        <w:rPr>
          <w:rFonts w:ascii="Arial" w:hAnsi="Arial" w:cs="Arial"/>
          <w:sz w:val="22"/>
        </w:rPr>
        <w:t>NW Natural submits these comments in response to the notice of December 18, 2013, inviting comments on the topic of natural gas hedging, and the questions provided in th</w:t>
      </w:r>
      <w:r w:rsidR="008723A1" w:rsidRPr="0069009B">
        <w:rPr>
          <w:rFonts w:ascii="Arial" w:hAnsi="Arial" w:cs="Arial"/>
          <w:sz w:val="22"/>
        </w:rPr>
        <w:t>at notice.  We appreciate</w:t>
      </w:r>
      <w:r w:rsidR="00DF68E6" w:rsidRPr="0069009B">
        <w:rPr>
          <w:rFonts w:ascii="Arial" w:hAnsi="Arial" w:cs="Arial"/>
          <w:sz w:val="22"/>
        </w:rPr>
        <w:t xml:space="preserve"> this opportunity</w:t>
      </w:r>
      <w:r w:rsidR="003A3B09" w:rsidRPr="0069009B">
        <w:rPr>
          <w:rFonts w:ascii="Arial" w:hAnsi="Arial" w:cs="Arial"/>
          <w:sz w:val="22"/>
        </w:rPr>
        <w:t xml:space="preserve"> to provide </w:t>
      </w:r>
      <w:r w:rsidRPr="0069009B">
        <w:rPr>
          <w:rFonts w:ascii="Arial" w:hAnsi="Arial" w:cs="Arial"/>
          <w:sz w:val="22"/>
        </w:rPr>
        <w:t xml:space="preserve">information and our views for the Commission’s consideration of </w:t>
      </w:r>
      <w:r w:rsidR="003A3B09" w:rsidRPr="0069009B">
        <w:rPr>
          <w:rFonts w:ascii="Arial" w:hAnsi="Arial" w:cs="Arial"/>
          <w:sz w:val="22"/>
        </w:rPr>
        <w:t>this very important topic</w:t>
      </w:r>
      <w:r w:rsidR="00DF68E6" w:rsidRPr="0069009B">
        <w:rPr>
          <w:rFonts w:ascii="Arial" w:hAnsi="Arial" w:cs="Arial"/>
          <w:sz w:val="22"/>
        </w:rPr>
        <w:t>.</w:t>
      </w:r>
      <w:r w:rsidR="003A3B09" w:rsidRPr="0069009B">
        <w:rPr>
          <w:rFonts w:ascii="Arial" w:hAnsi="Arial" w:cs="Arial"/>
          <w:sz w:val="22"/>
        </w:rPr>
        <w:t xml:space="preserve">  </w:t>
      </w:r>
    </w:p>
    <w:p w14:paraId="02D78D4F" w14:textId="77777777" w:rsidR="00C1748F" w:rsidRPr="0069009B" w:rsidRDefault="00C1748F" w:rsidP="00DB5B6B">
      <w:pPr>
        <w:spacing w:after="0" w:line="240" w:lineRule="auto"/>
        <w:ind w:firstLine="720"/>
        <w:rPr>
          <w:rFonts w:ascii="Arial" w:hAnsi="Arial" w:cs="Arial"/>
          <w:sz w:val="22"/>
        </w:rPr>
      </w:pPr>
    </w:p>
    <w:p w14:paraId="2254C487" w14:textId="7DD46925" w:rsidR="00DF68E6" w:rsidRPr="0069009B" w:rsidRDefault="008723A1" w:rsidP="00DB5B6B">
      <w:pPr>
        <w:spacing w:after="0" w:line="240" w:lineRule="auto"/>
        <w:ind w:firstLine="720"/>
        <w:rPr>
          <w:rFonts w:ascii="Arial" w:hAnsi="Arial" w:cs="Arial"/>
          <w:sz w:val="22"/>
        </w:rPr>
      </w:pPr>
      <w:r w:rsidRPr="0069009B">
        <w:rPr>
          <w:rFonts w:ascii="Arial" w:hAnsi="Arial" w:cs="Arial"/>
          <w:sz w:val="22"/>
        </w:rPr>
        <w:t xml:space="preserve">NW Natural assumes that the Commission’s references to </w:t>
      </w:r>
      <w:r w:rsidR="00DF68E6" w:rsidRPr="0069009B">
        <w:rPr>
          <w:rFonts w:ascii="Arial" w:hAnsi="Arial" w:cs="Arial"/>
          <w:sz w:val="22"/>
        </w:rPr>
        <w:t xml:space="preserve">“hedging” </w:t>
      </w:r>
      <w:r w:rsidRPr="0069009B">
        <w:rPr>
          <w:rFonts w:ascii="Arial" w:hAnsi="Arial" w:cs="Arial"/>
          <w:sz w:val="22"/>
        </w:rPr>
        <w:t xml:space="preserve">in the questions provided in the notice are broad enough to </w:t>
      </w:r>
      <w:r w:rsidR="00DF68E6" w:rsidRPr="0069009B">
        <w:rPr>
          <w:rFonts w:ascii="Arial" w:hAnsi="Arial" w:cs="Arial"/>
          <w:sz w:val="22"/>
        </w:rPr>
        <w:t>encompass not just the use of financial derivatives</w:t>
      </w:r>
      <w:r w:rsidRPr="0069009B">
        <w:rPr>
          <w:rFonts w:ascii="Arial" w:hAnsi="Arial" w:cs="Arial"/>
          <w:sz w:val="22"/>
        </w:rPr>
        <w:t>,</w:t>
      </w:r>
      <w:r w:rsidR="00DF68E6" w:rsidRPr="0069009B">
        <w:rPr>
          <w:rFonts w:ascii="Arial" w:hAnsi="Arial" w:cs="Arial"/>
          <w:sz w:val="22"/>
        </w:rPr>
        <w:t xml:space="preserve"> but all other hedging tools</w:t>
      </w:r>
      <w:r w:rsidRPr="0069009B">
        <w:rPr>
          <w:rFonts w:ascii="Arial" w:hAnsi="Arial" w:cs="Arial"/>
          <w:sz w:val="22"/>
        </w:rPr>
        <w:t xml:space="preserve"> as well,</w:t>
      </w:r>
      <w:r w:rsidR="00DF68E6" w:rsidRPr="0069009B">
        <w:rPr>
          <w:rFonts w:ascii="Arial" w:hAnsi="Arial" w:cs="Arial"/>
          <w:sz w:val="22"/>
        </w:rPr>
        <w:t xml:space="preserve"> such as physical gas in storage, fixed price contracts with physical gas suppliers, and the </w:t>
      </w:r>
      <w:r w:rsidR="00A5150A" w:rsidRPr="0069009B">
        <w:rPr>
          <w:rFonts w:ascii="Arial" w:hAnsi="Arial" w:cs="Arial"/>
          <w:sz w:val="22"/>
        </w:rPr>
        <w:t>production</w:t>
      </w:r>
      <w:r w:rsidR="00DF68E6" w:rsidRPr="0069009B">
        <w:rPr>
          <w:rFonts w:ascii="Arial" w:hAnsi="Arial" w:cs="Arial"/>
          <w:sz w:val="22"/>
        </w:rPr>
        <w:t xml:space="preserve"> of natural gas reserves.</w:t>
      </w:r>
      <w:r w:rsidRPr="0069009B">
        <w:rPr>
          <w:rFonts w:ascii="Arial" w:hAnsi="Arial" w:cs="Arial"/>
          <w:sz w:val="22"/>
        </w:rPr>
        <w:t xml:space="preserve">  Unless otherwise indicated, NW Natural’s comments intend this broad definition when referring to hedging.  </w:t>
      </w:r>
      <w:r w:rsidR="00DF68E6" w:rsidRPr="0069009B">
        <w:rPr>
          <w:rFonts w:ascii="Arial" w:hAnsi="Arial" w:cs="Arial"/>
          <w:sz w:val="22"/>
        </w:rPr>
        <w:t xml:space="preserve"> </w:t>
      </w:r>
    </w:p>
    <w:p w14:paraId="290424B2" w14:textId="77777777" w:rsidR="00DF68E6" w:rsidRPr="0069009B" w:rsidRDefault="00DF68E6" w:rsidP="00DF68E6">
      <w:pPr>
        <w:spacing w:after="0" w:line="240" w:lineRule="auto"/>
        <w:rPr>
          <w:rFonts w:ascii="Arial" w:hAnsi="Arial" w:cs="Arial"/>
          <w:sz w:val="22"/>
        </w:rPr>
      </w:pPr>
    </w:p>
    <w:p w14:paraId="1F008D3E" w14:textId="77777777" w:rsidR="008723A1" w:rsidRPr="0069009B" w:rsidRDefault="008723A1" w:rsidP="00DF68E6">
      <w:pPr>
        <w:spacing w:after="0" w:line="240" w:lineRule="auto"/>
        <w:rPr>
          <w:rFonts w:ascii="Arial" w:hAnsi="Arial" w:cs="Arial"/>
          <w:b/>
          <w:sz w:val="22"/>
        </w:rPr>
      </w:pPr>
      <w:r w:rsidRPr="0069009B">
        <w:rPr>
          <w:rFonts w:ascii="Arial" w:hAnsi="Arial" w:cs="Arial"/>
          <w:b/>
          <w:sz w:val="22"/>
        </w:rPr>
        <w:t>Response to Questions Provided in December 18</w:t>
      </w:r>
      <w:r w:rsidRPr="0069009B">
        <w:rPr>
          <w:rFonts w:ascii="Arial" w:hAnsi="Arial" w:cs="Arial"/>
          <w:b/>
          <w:sz w:val="22"/>
          <w:vertAlign w:val="superscript"/>
        </w:rPr>
        <w:t>th</w:t>
      </w:r>
      <w:r w:rsidRPr="0069009B">
        <w:rPr>
          <w:rFonts w:ascii="Arial" w:hAnsi="Arial" w:cs="Arial"/>
          <w:b/>
          <w:sz w:val="22"/>
        </w:rPr>
        <w:t xml:space="preserve"> Notice</w:t>
      </w:r>
    </w:p>
    <w:p w14:paraId="73374F6C" w14:textId="77777777" w:rsidR="008723A1" w:rsidRPr="0069009B" w:rsidRDefault="008723A1" w:rsidP="00DF68E6">
      <w:pPr>
        <w:spacing w:after="0" w:line="240" w:lineRule="auto"/>
        <w:rPr>
          <w:rFonts w:ascii="Arial" w:hAnsi="Arial" w:cs="Arial"/>
          <w:sz w:val="22"/>
        </w:rPr>
      </w:pPr>
    </w:p>
    <w:p w14:paraId="2BEEE283" w14:textId="77777777" w:rsidR="00DF68E6" w:rsidRPr="0069009B" w:rsidRDefault="008723A1" w:rsidP="00DB5B6B">
      <w:pPr>
        <w:spacing w:after="0" w:line="240" w:lineRule="auto"/>
        <w:rPr>
          <w:rFonts w:ascii="Arial" w:hAnsi="Arial" w:cs="Arial"/>
          <w:sz w:val="22"/>
        </w:rPr>
      </w:pPr>
      <w:r w:rsidRPr="0069009B">
        <w:rPr>
          <w:rFonts w:ascii="Arial" w:hAnsi="Arial" w:cs="Arial"/>
          <w:sz w:val="22"/>
        </w:rPr>
        <w:t xml:space="preserve">Question 1:  </w:t>
      </w:r>
      <w:r w:rsidR="00DF68E6" w:rsidRPr="0069009B">
        <w:rPr>
          <w:rFonts w:ascii="Arial" w:hAnsi="Arial" w:cs="Arial"/>
          <w:sz w:val="22"/>
        </w:rPr>
        <w:t>Hedging Activities</w:t>
      </w:r>
    </w:p>
    <w:p w14:paraId="0674943C" w14:textId="77777777" w:rsidR="00E12B27" w:rsidRPr="0069009B" w:rsidRDefault="00E12B27" w:rsidP="00DF68E6">
      <w:pPr>
        <w:spacing w:after="0" w:line="240" w:lineRule="auto"/>
        <w:rPr>
          <w:rFonts w:ascii="Arial" w:hAnsi="Arial" w:cs="Arial"/>
          <w:sz w:val="22"/>
        </w:rPr>
      </w:pPr>
    </w:p>
    <w:p w14:paraId="416770B4" w14:textId="77777777" w:rsidR="00DF68E6" w:rsidRPr="0069009B" w:rsidRDefault="00DF68E6" w:rsidP="00BF6BBC">
      <w:pPr>
        <w:pStyle w:val="ListParagraph"/>
        <w:numPr>
          <w:ilvl w:val="1"/>
          <w:numId w:val="1"/>
        </w:numPr>
        <w:spacing w:after="0" w:line="240" w:lineRule="auto"/>
        <w:rPr>
          <w:rFonts w:ascii="Arial" w:hAnsi="Arial" w:cs="Arial"/>
          <w:i/>
          <w:sz w:val="22"/>
        </w:rPr>
      </w:pPr>
      <w:r w:rsidRPr="0069009B">
        <w:rPr>
          <w:rFonts w:ascii="Arial" w:hAnsi="Arial" w:cs="Arial"/>
          <w:i/>
          <w:sz w:val="22"/>
        </w:rPr>
        <w:t>What is the purpose of hedging?</w:t>
      </w:r>
    </w:p>
    <w:p w14:paraId="385B77FE" w14:textId="77777777" w:rsidR="00BF6BBC" w:rsidRPr="0069009B" w:rsidRDefault="00BF6BBC" w:rsidP="00BF6BBC">
      <w:pPr>
        <w:pStyle w:val="ListParagraph"/>
        <w:numPr>
          <w:ilvl w:val="2"/>
          <w:numId w:val="1"/>
        </w:numPr>
        <w:spacing w:after="0" w:line="240" w:lineRule="auto"/>
        <w:rPr>
          <w:rFonts w:ascii="Arial" w:hAnsi="Arial" w:cs="Arial"/>
          <w:i/>
          <w:sz w:val="22"/>
        </w:rPr>
      </w:pPr>
      <w:r w:rsidRPr="0069009B">
        <w:rPr>
          <w:rFonts w:ascii="Arial" w:hAnsi="Arial" w:cs="Arial"/>
          <w:i/>
          <w:sz w:val="22"/>
        </w:rPr>
        <w:t>R</w:t>
      </w:r>
      <w:r w:rsidR="00DF68E6" w:rsidRPr="0069009B">
        <w:rPr>
          <w:rFonts w:ascii="Arial" w:hAnsi="Arial" w:cs="Arial"/>
          <w:i/>
          <w:sz w:val="22"/>
        </w:rPr>
        <w:t>eduction in price volatility allowing greater cash-flow certainty?</w:t>
      </w:r>
    </w:p>
    <w:p w14:paraId="28171382" w14:textId="77777777" w:rsidR="00DF68E6" w:rsidRPr="0069009B" w:rsidRDefault="00DF68E6" w:rsidP="00BF6BBC">
      <w:pPr>
        <w:pStyle w:val="ListParagraph"/>
        <w:numPr>
          <w:ilvl w:val="2"/>
          <w:numId w:val="1"/>
        </w:numPr>
        <w:spacing w:after="0" w:line="240" w:lineRule="auto"/>
        <w:rPr>
          <w:rFonts w:ascii="Arial" w:hAnsi="Arial" w:cs="Arial"/>
          <w:i/>
          <w:sz w:val="22"/>
        </w:rPr>
      </w:pPr>
      <w:r w:rsidRPr="0069009B">
        <w:rPr>
          <w:rFonts w:ascii="Arial" w:hAnsi="Arial" w:cs="Arial"/>
          <w:i/>
          <w:sz w:val="22"/>
        </w:rPr>
        <w:t xml:space="preserve">Protection against </w:t>
      </w:r>
      <w:r w:rsidR="00E12B27" w:rsidRPr="0069009B">
        <w:rPr>
          <w:rFonts w:ascii="Arial" w:hAnsi="Arial" w:cs="Arial"/>
          <w:i/>
          <w:sz w:val="22"/>
        </w:rPr>
        <w:t xml:space="preserve">the </w:t>
      </w:r>
      <w:r w:rsidRPr="0069009B">
        <w:rPr>
          <w:rFonts w:ascii="Arial" w:hAnsi="Arial" w:cs="Arial"/>
          <w:i/>
          <w:sz w:val="22"/>
        </w:rPr>
        <w:t>substantial rate hikes?</w:t>
      </w:r>
    </w:p>
    <w:p w14:paraId="1854199A" w14:textId="77777777" w:rsidR="00DF68E6" w:rsidRPr="0069009B" w:rsidRDefault="00DF68E6" w:rsidP="00BF6BBC">
      <w:pPr>
        <w:pStyle w:val="ListParagraph"/>
        <w:numPr>
          <w:ilvl w:val="2"/>
          <w:numId w:val="1"/>
        </w:numPr>
        <w:spacing w:after="0" w:line="240" w:lineRule="auto"/>
        <w:rPr>
          <w:rFonts w:ascii="Arial" w:hAnsi="Arial" w:cs="Arial"/>
          <w:i/>
          <w:sz w:val="22"/>
        </w:rPr>
      </w:pPr>
      <w:r w:rsidRPr="0069009B">
        <w:rPr>
          <w:rFonts w:ascii="Arial" w:hAnsi="Arial" w:cs="Arial"/>
          <w:i/>
          <w:sz w:val="22"/>
        </w:rPr>
        <w:t>Stabilization</w:t>
      </w:r>
      <w:r w:rsidR="00E12B27" w:rsidRPr="0069009B">
        <w:rPr>
          <w:rFonts w:ascii="Arial" w:hAnsi="Arial" w:cs="Arial"/>
          <w:i/>
          <w:sz w:val="22"/>
        </w:rPr>
        <w:t xml:space="preserve"> </w:t>
      </w:r>
      <w:r w:rsidRPr="0069009B">
        <w:rPr>
          <w:rFonts w:ascii="Arial" w:hAnsi="Arial" w:cs="Arial"/>
          <w:i/>
          <w:sz w:val="22"/>
        </w:rPr>
        <w:t>of customer rates, especially during the winter months?</w:t>
      </w:r>
    </w:p>
    <w:p w14:paraId="6D66E556" w14:textId="77777777" w:rsidR="00477657" w:rsidRPr="0069009B" w:rsidRDefault="00DF68E6" w:rsidP="00477657">
      <w:pPr>
        <w:pStyle w:val="ListParagraph"/>
        <w:numPr>
          <w:ilvl w:val="2"/>
          <w:numId w:val="1"/>
        </w:numPr>
        <w:spacing w:after="0" w:line="240" w:lineRule="auto"/>
        <w:rPr>
          <w:rFonts w:ascii="Arial" w:hAnsi="Arial" w:cs="Arial"/>
          <w:i/>
          <w:sz w:val="22"/>
        </w:rPr>
      </w:pPr>
      <w:r w:rsidRPr="0069009B">
        <w:rPr>
          <w:rFonts w:ascii="Arial" w:hAnsi="Arial" w:cs="Arial"/>
          <w:i/>
          <w:sz w:val="22"/>
        </w:rPr>
        <w:t>Other reasons?</w:t>
      </w:r>
    </w:p>
    <w:p w14:paraId="1F78FD85" w14:textId="77777777" w:rsidR="00DF68E6" w:rsidRPr="0069009B" w:rsidRDefault="00DF68E6" w:rsidP="00DF68E6">
      <w:pPr>
        <w:spacing w:after="0" w:line="240" w:lineRule="auto"/>
        <w:rPr>
          <w:rFonts w:ascii="Arial" w:hAnsi="Arial" w:cs="Arial"/>
          <w:sz w:val="22"/>
        </w:rPr>
      </w:pPr>
    </w:p>
    <w:p w14:paraId="7FA292BB" w14:textId="77777777" w:rsidR="00DF68E6" w:rsidRPr="0069009B" w:rsidRDefault="00DF68E6" w:rsidP="00DF68E6">
      <w:pPr>
        <w:spacing w:after="0" w:line="240" w:lineRule="auto"/>
        <w:rPr>
          <w:rFonts w:ascii="Arial" w:hAnsi="Arial" w:cs="Arial"/>
          <w:sz w:val="22"/>
        </w:rPr>
      </w:pPr>
      <w:r w:rsidRPr="0069009B">
        <w:rPr>
          <w:rFonts w:ascii="Arial" w:hAnsi="Arial" w:cs="Arial"/>
          <w:sz w:val="22"/>
        </w:rPr>
        <w:t>Response:</w:t>
      </w:r>
    </w:p>
    <w:p w14:paraId="1AE411B6" w14:textId="77777777" w:rsidR="008723A1" w:rsidRPr="0069009B" w:rsidRDefault="008723A1" w:rsidP="00DF68E6">
      <w:pPr>
        <w:spacing w:after="0" w:line="240" w:lineRule="auto"/>
        <w:rPr>
          <w:rFonts w:ascii="Arial" w:hAnsi="Arial" w:cs="Arial"/>
          <w:sz w:val="22"/>
        </w:rPr>
      </w:pPr>
    </w:p>
    <w:p w14:paraId="3A883DAC" w14:textId="4FB2D667" w:rsidR="00E12B27" w:rsidRPr="0069009B" w:rsidRDefault="00A92769" w:rsidP="00DB5B6B">
      <w:pPr>
        <w:spacing w:after="0" w:line="240" w:lineRule="auto"/>
        <w:ind w:firstLine="720"/>
        <w:rPr>
          <w:rFonts w:ascii="Arial" w:hAnsi="Arial" w:cs="Arial"/>
          <w:sz w:val="22"/>
        </w:rPr>
      </w:pPr>
      <w:r w:rsidRPr="0069009B">
        <w:rPr>
          <w:rFonts w:ascii="Arial" w:hAnsi="Arial" w:cs="Arial"/>
          <w:sz w:val="22"/>
        </w:rPr>
        <w:t xml:space="preserve">The purpose of hedging is to help ensure the Company’s objectives are met within risk tolerance levels for both customers and the Company.  </w:t>
      </w:r>
      <w:r w:rsidR="008723A1" w:rsidRPr="0069009B">
        <w:rPr>
          <w:rFonts w:ascii="Arial" w:hAnsi="Arial" w:cs="Arial"/>
          <w:sz w:val="22"/>
        </w:rPr>
        <w:t>NW Natural views e</w:t>
      </w:r>
      <w:r w:rsidR="00DF68E6" w:rsidRPr="0069009B">
        <w:rPr>
          <w:rFonts w:ascii="Arial" w:hAnsi="Arial" w:cs="Arial"/>
          <w:sz w:val="22"/>
        </w:rPr>
        <w:t xml:space="preserve">ach of the three </w:t>
      </w:r>
      <w:r w:rsidR="008723A1" w:rsidRPr="0069009B">
        <w:rPr>
          <w:rFonts w:ascii="Arial" w:hAnsi="Arial" w:cs="Arial"/>
          <w:sz w:val="22"/>
        </w:rPr>
        <w:lastRenderedPageBreak/>
        <w:t>purposes for hedging described in the Commission’s</w:t>
      </w:r>
      <w:r w:rsidR="00E12B27" w:rsidRPr="0069009B">
        <w:rPr>
          <w:rFonts w:ascii="Arial" w:hAnsi="Arial" w:cs="Arial"/>
          <w:sz w:val="22"/>
        </w:rPr>
        <w:t xml:space="preserve"> above </w:t>
      </w:r>
      <w:r w:rsidR="008723A1" w:rsidRPr="0069009B">
        <w:rPr>
          <w:rFonts w:ascii="Arial" w:hAnsi="Arial" w:cs="Arial"/>
          <w:sz w:val="22"/>
        </w:rPr>
        <w:t xml:space="preserve">question </w:t>
      </w:r>
      <w:r w:rsidR="00E12B27" w:rsidRPr="0069009B">
        <w:rPr>
          <w:rFonts w:ascii="Arial" w:hAnsi="Arial" w:cs="Arial"/>
          <w:sz w:val="22"/>
        </w:rPr>
        <w:t>a</w:t>
      </w:r>
      <w:r w:rsidR="008723A1" w:rsidRPr="0069009B">
        <w:rPr>
          <w:rFonts w:ascii="Arial" w:hAnsi="Arial" w:cs="Arial"/>
          <w:sz w:val="22"/>
        </w:rPr>
        <w:t>s</w:t>
      </w:r>
      <w:r w:rsidR="00E12B27" w:rsidRPr="0069009B">
        <w:rPr>
          <w:rFonts w:ascii="Arial" w:hAnsi="Arial" w:cs="Arial"/>
          <w:sz w:val="22"/>
        </w:rPr>
        <w:t xml:space="preserve"> </w:t>
      </w:r>
      <w:r w:rsidR="008723A1" w:rsidRPr="0069009B">
        <w:rPr>
          <w:rFonts w:ascii="Arial" w:hAnsi="Arial" w:cs="Arial"/>
          <w:sz w:val="22"/>
        </w:rPr>
        <w:t xml:space="preserve">appropriate purposes </w:t>
      </w:r>
      <w:r w:rsidR="00E12B27" w:rsidRPr="0069009B">
        <w:rPr>
          <w:rFonts w:ascii="Arial" w:hAnsi="Arial" w:cs="Arial"/>
          <w:sz w:val="22"/>
        </w:rPr>
        <w:t xml:space="preserve">for hedging.  </w:t>
      </w:r>
      <w:r w:rsidR="008723A1" w:rsidRPr="0069009B">
        <w:rPr>
          <w:rFonts w:ascii="Arial" w:hAnsi="Arial" w:cs="Arial"/>
          <w:sz w:val="22"/>
        </w:rPr>
        <w:t xml:space="preserve">NW Natural tends to </w:t>
      </w:r>
      <w:r w:rsidR="00E12B27" w:rsidRPr="0069009B">
        <w:rPr>
          <w:rFonts w:ascii="Arial" w:hAnsi="Arial" w:cs="Arial"/>
          <w:sz w:val="22"/>
        </w:rPr>
        <w:t xml:space="preserve">think of these </w:t>
      </w:r>
      <w:r w:rsidR="008723A1" w:rsidRPr="0069009B">
        <w:rPr>
          <w:rFonts w:ascii="Arial" w:hAnsi="Arial" w:cs="Arial"/>
          <w:sz w:val="22"/>
        </w:rPr>
        <w:t xml:space="preserve">purposes more specifically </w:t>
      </w:r>
      <w:r w:rsidR="00E12B27" w:rsidRPr="0069009B">
        <w:rPr>
          <w:rFonts w:ascii="Arial" w:hAnsi="Arial" w:cs="Arial"/>
          <w:sz w:val="22"/>
        </w:rPr>
        <w:t xml:space="preserve">as </w:t>
      </w:r>
      <w:r w:rsidR="008723A1" w:rsidRPr="0069009B">
        <w:rPr>
          <w:rFonts w:ascii="Arial" w:hAnsi="Arial" w:cs="Arial"/>
          <w:sz w:val="22"/>
        </w:rPr>
        <w:t xml:space="preserve">providing for </w:t>
      </w:r>
      <w:r w:rsidR="00ED2582" w:rsidRPr="0069009B">
        <w:rPr>
          <w:rFonts w:ascii="Arial" w:hAnsi="Arial" w:cs="Arial"/>
          <w:sz w:val="22"/>
        </w:rPr>
        <w:t xml:space="preserve">cost management, </w:t>
      </w:r>
      <w:r w:rsidR="00E12B27" w:rsidRPr="0069009B">
        <w:rPr>
          <w:rFonts w:ascii="Arial" w:hAnsi="Arial" w:cs="Arial"/>
          <w:sz w:val="22"/>
        </w:rPr>
        <w:t>risk mitigation</w:t>
      </w:r>
      <w:r w:rsidR="00ED2582" w:rsidRPr="0069009B">
        <w:rPr>
          <w:rFonts w:ascii="Arial" w:hAnsi="Arial" w:cs="Arial"/>
          <w:sz w:val="22"/>
        </w:rPr>
        <w:t xml:space="preserve"> and</w:t>
      </w:r>
      <w:r w:rsidR="00E12B27" w:rsidRPr="0069009B">
        <w:rPr>
          <w:rFonts w:ascii="Arial" w:hAnsi="Arial" w:cs="Arial"/>
          <w:sz w:val="22"/>
        </w:rPr>
        <w:t xml:space="preserve"> rate stability.</w:t>
      </w:r>
      <w:r w:rsidR="008723A1" w:rsidRPr="0069009B">
        <w:rPr>
          <w:rFonts w:ascii="Arial" w:hAnsi="Arial" w:cs="Arial"/>
          <w:sz w:val="22"/>
        </w:rPr>
        <w:t xml:space="preserve">  NW Natural does not enter into hedges for purposes of </w:t>
      </w:r>
      <w:r w:rsidR="00707127" w:rsidRPr="0069009B">
        <w:rPr>
          <w:rFonts w:ascii="Arial" w:hAnsi="Arial" w:cs="Arial"/>
          <w:sz w:val="22"/>
        </w:rPr>
        <w:t xml:space="preserve">speculating on the market, by trying to “beat” future gas prices through hedges.  Instead, hedges serve the purposes described above by limiting price volatility and allowing greater certainty of gas prices that will be passed on to our customers.  </w:t>
      </w:r>
    </w:p>
    <w:p w14:paraId="17B2BF10" w14:textId="77777777" w:rsidR="00E12B27" w:rsidRPr="0069009B" w:rsidRDefault="00E12B27" w:rsidP="00DF68E6">
      <w:pPr>
        <w:spacing w:after="0" w:line="240" w:lineRule="auto"/>
        <w:rPr>
          <w:rFonts w:ascii="Arial" w:hAnsi="Arial" w:cs="Arial"/>
          <w:sz w:val="22"/>
        </w:rPr>
      </w:pPr>
    </w:p>
    <w:p w14:paraId="3F58788B" w14:textId="77777777" w:rsidR="00477657" w:rsidRPr="0069009B" w:rsidRDefault="00477657" w:rsidP="00477657">
      <w:pPr>
        <w:pStyle w:val="ListParagraph"/>
        <w:numPr>
          <w:ilvl w:val="1"/>
          <w:numId w:val="1"/>
        </w:numPr>
        <w:spacing w:after="0" w:line="240" w:lineRule="auto"/>
        <w:rPr>
          <w:rFonts w:ascii="Arial" w:hAnsi="Arial" w:cs="Arial"/>
          <w:i/>
          <w:sz w:val="22"/>
        </w:rPr>
      </w:pPr>
      <w:r w:rsidRPr="0069009B">
        <w:rPr>
          <w:rFonts w:ascii="Arial" w:hAnsi="Arial" w:cs="Arial"/>
          <w:i/>
          <w:sz w:val="22"/>
        </w:rPr>
        <w:t>Who should be the beneficiaries of hedging?</w:t>
      </w:r>
    </w:p>
    <w:p w14:paraId="40153B05" w14:textId="77777777" w:rsidR="00E12B27" w:rsidRPr="0069009B" w:rsidRDefault="00E12B27" w:rsidP="00DF68E6">
      <w:pPr>
        <w:spacing w:after="0" w:line="240" w:lineRule="auto"/>
        <w:rPr>
          <w:rFonts w:ascii="Arial" w:hAnsi="Arial" w:cs="Arial"/>
          <w:sz w:val="22"/>
        </w:rPr>
      </w:pPr>
    </w:p>
    <w:p w14:paraId="09861672" w14:textId="77777777" w:rsidR="00E12B27" w:rsidRPr="0069009B" w:rsidRDefault="00E12B27" w:rsidP="00DF68E6">
      <w:pPr>
        <w:spacing w:after="0" w:line="240" w:lineRule="auto"/>
        <w:rPr>
          <w:rFonts w:ascii="Arial" w:hAnsi="Arial" w:cs="Arial"/>
          <w:sz w:val="22"/>
        </w:rPr>
      </w:pPr>
      <w:r w:rsidRPr="0069009B">
        <w:rPr>
          <w:rFonts w:ascii="Arial" w:hAnsi="Arial" w:cs="Arial"/>
          <w:sz w:val="22"/>
        </w:rPr>
        <w:t>Response:</w:t>
      </w:r>
    </w:p>
    <w:p w14:paraId="7817CEE7" w14:textId="77777777" w:rsidR="00627018" w:rsidRPr="0069009B" w:rsidRDefault="00627018" w:rsidP="00DF68E6">
      <w:pPr>
        <w:spacing w:after="0" w:line="240" w:lineRule="auto"/>
        <w:rPr>
          <w:rFonts w:ascii="Arial" w:hAnsi="Arial" w:cs="Arial"/>
          <w:sz w:val="22"/>
        </w:rPr>
      </w:pPr>
    </w:p>
    <w:p w14:paraId="44697CAA" w14:textId="77777777" w:rsidR="00E12B27" w:rsidRPr="0069009B" w:rsidRDefault="00E12B27" w:rsidP="00DB5B6B">
      <w:pPr>
        <w:spacing w:after="0" w:line="240" w:lineRule="auto"/>
        <w:ind w:firstLine="720"/>
        <w:rPr>
          <w:rFonts w:ascii="Arial" w:hAnsi="Arial" w:cs="Arial"/>
          <w:sz w:val="22"/>
        </w:rPr>
      </w:pPr>
      <w:r w:rsidRPr="0069009B">
        <w:rPr>
          <w:rFonts w:ascii="Arial" w:hAnsi="Arial" w:cs="Arial"/>
          <w:sz w:val="22"/>
        </w:rPr>
        <w:t>Hedging is done on behalf</w:t>
      </w:r>
      <w:r w:rsidR="00ED2582" w:rsidRPr="0069009B">
        <w:rPr>
          <w:rFonts w:ascii="Arial" w:hAnsi="Arial" w:cs="Arial"/>
          <w:sz w:val="22"/>
        </w:rPr>
        <w:t xml:space="preserve"> of and for the benefit of the c</w:t>
      </w:r>
      <w:r w:rsidRPr="0069009B">
        <w:rPr>
          <w:rFonts w:ascii="Arial" w:hAnsi="Arial" w:cs="Arial"/>
          <w:sz w:val="22"/>
        </w:rPr>
        <w:t>ompany’s customers.</w:t>
      </w:r>
      <w:r w:rsidR="00343AB4" w:rsidRPr="0069009B">
        <w:rPr>
          <w:rFonts w:ascii="Arial" w:hAnsi="Arial" w:cs="Arial"/>
          <w:sz w:val="22"/>
        </w:rPr>
        <w:t xml:space="preserve">  Hedging helps reduce price volatility for customers, and provides the benefits described above.</w:t>
      </w:r>
      <w:r w:rsidR="00627018" w:rsidRPr="0069009B">
        <w:rPr>
          <w:rFonts w:ascii="Arial" w:hAnsi="Arial" w:cs="Arial"/>
          <w:sz w:val="22"/>
        </w:rPr>
        <w:t xml:space="preserve">  The Company does not benefit from its hedging practices directly.  Hedging does reduce the volatility of natural gas supply costs, which can benefit the Company and customers through guarding against significant additio</w:t>
      </w:r>
      <w:r w:rsidR="00343AB4" w:rsidRPr="0069009B">
        <w:rPr>
          <w:rFonts w:ascii="Arial" w:hAnsi="Arial" w:cs="Arial"/>
          <w:sz w:val="22"/>
        </w:rPr>
        <w:t xml:space="preserve">nal financing costs </w:t>
      </w:r>
      <w:r w:rsidR="00F94EE4" w:rsidRPr="0069009B">
        <w:rPr>
          <w:rFonts w:ascii="Arial" w:hAnsi="Arial" w:cs="Arial"/>
          <w:sz w:val="22"/>
        </w:rPr>
        <w:t xml:space="preserve">that could be </w:t>
      </w:r>
      <w:r w:rsidR="00627018" w:rsidRPr="0069009B">
        <w:rPr>
          <w:rFonts w:ascii="Arial" w:hAnsi="Arial" w:cs="Arial"/>
          <w:sz w:val="22"/>
        </w:rPr>
        <w:t xml:space="preserve">associated with price changes that occur after rates are set.  </w:t>
      </w:r>
    </w:p>
    <w:p w14:paraId="1DE04C45" w14:textId="77777777" w:rsidR="00E12B27" w:rsidRPr="0069009B" w:rsidRDefault="00E12B27" w:rsidP="00DF68E6">
      <w:pPr>
        <w:spacing w:after="0" w:line="240" w:lineRule="auto"/>
        <w:rPr>
          <w:rFonts w:ascii="Arial" w:hAnsi="Arial" w:cs="Arial"/>
          <w:sz w:val="22"/>
        </w:rPr>
      </w:pPr>
    </w:p>
    <w:p w14:paraId="40DAA39F" w14:textId="77777777" w:rsidR="00E12B27" w:rsidRPr="0069009B" w:rsidRDefault="00E12B27" w:rsidP="00477657">
      <w:pPr>
        <w:pStyle w:val="ListParagraph"/>
        <w:numPr>
          <w:ilvl w:val="1"/>
          <w:numId w:val="4"/>
        </w:numPr>
        <w:spacing w:after="0" w:line="240" w:lineRule="auto"/>
        <w:rPr>
          <w:rFonts w:ascii="Arial" w:hAnsi="Arial" w:cs="Arial"/>
          <w:i/>
          <w:sz w:val="22"/>
        </w:rPr>
      </w:pPr>
      <w:r w:rsidRPr="0069009B">
        <w:rPr>
          <w:rFonts w:ascii="Arial" w:hAnsi="Arial" w:cs="Arial"/>
          <w:i/>
          <w:sz w:val="22"/>
        </w:rPr>
        <w:t>Hedges are commonly negotiated for a fixed period of time; the time period can span from months to years.</w:t>
      </w:r>
    </w:p>
    <w:p w14:paraId="1EC3D937" w14:textId="77777777" w:rsidR="00E12B27" w:rsidRPr="0069009B" w:rsidRDefault="00E12B27" w:rsidP="00BF6BBC">
      <w:pPr>
        <w:pStyle w:val="ListParagraph"/>
        <w:numPr>
          <w:ilvl w:val="2"/>
          <w:numId w:val="4"/>
        </w:numPr>
        <w:spacing w:after="0" w:line="240" w:lineRule="auto"/>
        <w:rPr>
          <w:rFonts w:ascii="Arial" w:hAnsi="Arial" w:cs="Arial"/>
          <w:i/>
          <w:sz w:val="22"/>
        </w:rPr>
      </w:pPr>
      <w:r w:rsidRPr="0069009B">
        <w:rPr>
          <w:rFonts w:ascii="Arial" w:hAnsi="Arial" w:cs="Arial"/>
          <w:i/>
          <w:sz w:val="22"/>
        </w:rPr>
        <w:t>Is there a sound reason to limit the time horizon that companies can contract for a hedge?</w:t>
      </w:r>
    </w:p>
    <w:p w14:paraId="5A70CD46" w14:textId="77777777" w:rsidR="00E12B27" w:rsidRPr="0069009B" w:rsidRDefault="00E12B27" w:rsidP="00BF6BBC">
      <w:pPr>
        <w:pStyle w:val="ListParagraph"/>
        <w:numPr>
          <w:ilvl w:val="2"/>
          <w:numId w:val="4"/>
        </w:numPr>
        <w:spacing w:after="0" w:line="240" w:lineRule="auto"/>
        <w:rPr>
          <w:rFonts w:ascii="Arial" w:hAnsi="Arial" w:cs="Arial"/>
          <w:i/>
          <w:sz w:val="22"/>
        </w:rPr>
      </w:pPr>
      <w:r w:rsidRPr="0069009B">
        <w:rPr>
          <w:rFonts w:ascii="Arial" w:hAnsi="Arial" w:cs="Arial"/>
          <w:i/>
          <w:sz w:val="22"/>
        </w:rPr>
        <w:t>If so, what should be the maximum time horizon?</w:t>
      </w:r>
    </w:p>
    <w:p w14:paraId="347FDC68" w14:textId="77777777" w:rsidR="00E12B27" w:rsidRPr="0069009B" w:rsidRDefault="00E12B27" w:rsidP="00BF6BBC">
      <w:pPr>
        <w:pStyle w:val="ListParagraph"/>
        <w:numPr>
          <w:ilvl w:val="2"/>
          <w:numId w:val="4"/>
        </w:numPr>
        <w:spacing w:after="0" w:line="240" w:lineRule="auto"/>
        <w:rPr>
          <w:rFonts w:ascii="Arial" w:hAnsi="Arial" w:cs="Arial"/>
          <w:i/>
          <w:sz w:val="22"/>
        </w:rPr>
      </w:pPr>
      <w:r w:rsidRPr="0069009B">
        <w:rPr>
          <w:rFonts w:ascii="Arial" w:hAnsi="Arial" w:cs="Arial"/>
          <w:i/>
          <w:sz w:val="22"/>
        </w:rPr>
        <w:t>What are the advantages, if any, of hedging over a multi-year period?</w:t>
      </w:r>
    </w:p>
    <w:p w14:paraId="283763CA" w14:textId="77777777" w:rsidR="00E12B27" w:rsidRPr="0069009B" w:rsidRDefault="00E12B27" w:rsidP="00E12B27">
      <w:pPr>
        <w:spacing w:after="0" w:line="240" w:lineRule="auto"/>
        <w:rPr>
          <w:rFonts w:ascii="Arial" w:hAnsi="Arial" w:cs="Arial"/>
          <w:sz w:val="22"/>
        </w:rPr>
      </w:pPr>
    </w:p>
    <w:p w14:paraId="6FFC0656" w14:textId="77777777" w:rsidR="00E12B27" w:rsidRPr="0069009B" w:rsidRDefault="00E12B27" w:rsidP="00E12B27">
      <w:pPr>
        <w:spacing w:after="0" w:line="240" w:lineRule="auto"/>
        <w:rPr>
          <w:rFonts w:ascii="Arial" w:hAnsi="Arial" w:cs="Arial"/>
          <w:sz w:val="22"/>
        </w:rPr>
      </w:pPr>
      <w:r w:rsidRPr="0069009B">
        <w:rPr>
          <w:rFonts w:ascii="Arial" w:hAnsi="Arial" w:cs="Arial"/>
          <w:sz w:val="22"/>
        </w:rPr>
        <w:t>Response:</w:t>
      </w:r>
    </w:p>
    <w:p w14:paraId="328BF5CC" w14:textId="77777777" w:rsidR="00BF381C" w:rsidRPr="0069009B" w:rsidRDefault="00BF381C" w:rsidP="00E12B27">
      <w:pPr>
        <w:spacing w:after="0" w:line="240" w:lineRule="auto"/>
        <w:rPr>
          <w:rFonts w:ascii="Arial" w:hAnsi="Arial" w:cs="Arial"/>
          <w:sz w:val="22"/>
        </w:rPr>
      </w:pPr>
    </w:p>
    <w:p w14:paraId="3E6163F5" w14:textId="6F6140B4" w:rsidR="00514DBB" w:rsidRPr="0069009B" w:rsidRDefault="00E12B27" w:rsidP="00DB5B6B">
      <w:pPr>
        <w:spacing w:after="0" w:line="240" w:lineRule="auto"/>
        <w:ind w:firstLine="720"/>
        <w:rPr>
          <w:rFonts w:ascii="Arial" w:hAnsi="Arial" w:cs="Arial"/>
          <w:sz w:val="22"/>
        </w:rPr>
      </w:pPr>
      <w:r w:rsidRPr="0069009B">
        <w:rPr>
          <w:rFonts w:ascii="Arial" w:hAnsi="Arial" w:cs="Arial"/>
          <w:sz w:val="22"/>
        </w:rPr>
        <w:t xml:space="preserve">There is no reason </w:t>
      </w:r>
      <w:r w:rsidR="003A3B09" w:rsidRPr="0069009B">
        <w:rPr>
          <w:rFonts w:ascii="Arial" w:hAnsi="Arial" w:cs="Arial"/>
          <w:sz w:val="22"/>
        </w:rPr>
        <w:t xml:space="preserve">for the Commission </w:t>
      </w:r>
      <w:r w:rsidRPr="0069009B">
        <w:rPr>
          <w:rFonts w:ascii="Arial" w:hAnsi="Arial" w:cs="Arial"/>
          <w:sz w:val="22"/>
        </w:rPr>
        <w:t xml:space="preserve">to </w:t>
      </w:r>
      <w:r w:rsidR="00BF381C" w:rsidRPr="0069009B">
        <w:rPr>
          <w:rFonts w:ascii="Arial" w:hAnsi="Arial" w:cs="Arial"/>
          <w:sz w:val="22"/>
        </w:rPr>
        <w:t xml:space="preserve">formally </w:t>
      </w:r>
      <w:r w:rsidRPr="0069009B">
        <w:rPr>
          <w:rFonts w:ascii="Arial" w:hAnsi="Arial" w:cs="Arial"/>
          <w:sz w:val="22"/>
        </w:rPr>
        <w:t xml:space="preserve">limit the time horizon.  As a practical matter, the credit requirements for hedging will tend to establish </w:t>
      </w:r>
      <w:r w:rsidR="003A3B09" w:rsidRPr="0069009B">
        <w:rPr>
          <w:rFonts w:ascii="Arial" w:hAnsi="Arial" w:cs="Arial"/>
          <w:sz w:val="22"/>
        </w:rPr>
        <w:t xml:space="preserve">a reasonable </w:t>
      </w:r>
      <w:r w:rsidRPr="0069009B">
        <w:rPr>
          <w:rFonts w:ascii="Arial" w:hAnsi="Arial" w:cs="Arial"/>
          <w:sz w:val="22"/>
        </w:rPr>
        <w:t>time horizon</w:t>
      </w:r>
      <w:r w:rsidR="003A3B09" w:rsidRPr="0069009B">
        <w:rPr>
          <w:rFonts w:ascii="Arial" w:hAnsi="Arial" w:cs="Arial"/>
          <w:sz w:val="22"/>
        </w:rPr>
        <w:t>.</w:t>
      </w:r>
      <w:r w:rsidRPr="0069009B">
        <w:rPr>
          <w:rFonts w:ascii="Arial" w:hAnsi="Arial" w:cs="Arial"/>
          <w:sz w:val="22"/>
        </w:rPr>
        <w:t xml:space="preserve">  For example, NW Natural’s policies allow it engage in financial derivatives up to five years into the future, but due to credit requirements, no authorized counterparties </w:t>
      </w:r>
      <w:r w:rsidR="00ED2582" w:rsidRPr="0069009B">
        <w:rPr>
          <w:rFonts w:ascii="Arial" w:hAnsi="Arial" w:cs="Arial"/>
          <w:sz w:val="22"/>
        </w:rPr>
        <w:t xml:space="preserve">currently </w:t>
      </w:r>
      <w:r w:rsidRPr="0069009B">
        <w:rPr>
          <w:rFonts w:ascii="Arial" w:hAnsi="Arial" w:cs="Arial"/>
          <w:sz w:val="22"/>
        </w:rPr>
        <w:t xml:space="preserve">exist to do anything beyond a three-year horizon.  </w:t>
      </w:r>
      <w:r w:rsidR="00AB3F51" w:rsidRPr="0069009B">
        <w:rPr>
          <w:rFonts w:ascii="Arial" w:hAnsi="Arial" w:cs="Arial"/>
          <w:sz w:val="22"/>
        </w:rPr>
        <w:t xml:space="preserve">To go beyond that period </w:t>
      </w:r>
      <w:r w:rsidR="00ED2582" w:rsidRPr="0069009B">
        <w:rPr>
          <w:rFonts w:ascii="Arial" w:hAnsi="Arial" w:cs="Arial"/>
          <w:sz w:val="22"/>
        </w:rPr>
        <w:t xml:space="preserve">would </w:t>
      </w:r>
      <w:r w:rsidR="00AB3F51" w:rsidRPr="0069009B">
        <w:rPr>
          <w:rFonts w:ascii="Arial" w:hAnsi="Arial" w:cs="Arial"/>
          <w:sz w:val="22"/>
        </w:rPr>
        <w:t>requ</w:t>
      </w:r>
      <w:r w:rsidR="00ED2582" w:rsidRPr="0069009B">
        <w:rPr>
          <w:rFonts w:ascii="Arial" w:hAnsi="Arial" w:cs="Arial"/>
          <w:sz w:val="22"/>
        </w:rPr>
        <w:t>ire an alternate method for assur</w:t>
      </w:r>
      <w:r w:rsidR="00AB3F51" w:rsidRPr="0069009B">
        <w:rPr>
          <w:rFonts w:ascii="Arial" w:hAnsi="Arial" w:cs="Arial"/>
          <w:sz w:val="22"/>
        </w:rPr>
        <w:t xml:space="preserve">ing credit, such as </w:t>
      </w:r>
      <w:r w:rsidR="000A5D76" w:rsidRPr="0069009B">
        <w:rPr>
          <w:rFonts w:ascii="Arial" w:hAnsi="Arial" w:cs="Arial"/>
          <w:sz w:val="22"/>
        </w:rPr>
        <w:t xml:space="preserve">achieved by NW Natural </w:t>
      </w:r>
      <w:r w:rsidR="00AB3F51" w:rsidRPr="0069009B">
        <w:rPr>
          <w:rFonts w:ascii="Arial" w:hAnsi="Arial" w:cs="Arial"/>
          <w:sz w:val="22"/>
        </w:rPr>
        <w:t>through the acquisition of natural gas reserves.</w:t>
      </w:r>
      <w:r w:rsidR="003A3B09" w:rsidRPr="0069009B">
        <w:rPr>
          <w:rFonts w:ascii="Arial" w:hAnsi="Arial" w:cs="Arial"/>
          <w:sz w:val="22"/>
        </w:rPr>
        <w:t xml:space="preserve">  In other words, as long as the credit requirements are clearly established, </w:t>
      </w:r>
      <w:r w:rsidR="00514DBB" w:rsidRPr="0069009B">
        <w:rPr>
          <w:rFonts w:ascii="Arial" w:hAnsi="Arial" w:cs="Arial"/>
          <w:sz w:val="22"/>
        </w:rPr>
        <w:t xml:space="preserve">an appropriate </w:t>
      </w:r>
      <w:r w:rsidR="003A3B09" w:rsidRPr="0069009B">
        <w:rPr>
          <w:rFonts w:ascii="Arial" w:hAnsi="Arial" w:cs="Arial"/>
          <w:sz w:val="22"/>
        </w:rPr>
        <w:t xml:space="preserve">time horizon will </w:t>
      </w:r>
      <w:r w:rsidR="00514DBB" w:rsidRPr="0069009B">
        <w:rPr>
          <w:rFonts w:ascii="Arial" w:hAnsi="Arial" w:cs="Arial"/>
          <w:sz w:val="22"/>
        </w:rPr>
        <w:t>be in place</w:t>
      </w:r>
      <w:r w:rsidR="003A3B09" w:rsidRPr="0069009B">
        <w:rPr>
          <w:rFonts w:ascii="Arial" w:hAnsi="Arial" w:cs="Arial"/>
          <w:sz w:val="22"/>
        </w:rPr>
        <w:t>.</w:t>
      </w:r>
      <w:r w:rsidR="00514DBB" w:rsidRPr="0069009B">
        <w:rPr>
          <w:rFonts w:ascii="Arial" w:hAnsi="Arial" w:cs="Arial"/>
          <w:sz w:val="22"/>
        </w:rPr>
        <w:t xml:space="preserve">  Additionally, as explained below, there are advantages to allowing for flexibility with respect the time horizon that may be achievable under various hedging strategies.  </w:t>
      </w:r>
    </w:p>
    <w:p w14:paraId="39448778" w14:textId="77777777" w:rsidR="00AB3F51" w:rsidRPr="0069009B" w:rsidRDefault="003A3B09" w:rsidP="00DB5B6B">
      <w:pPr>
        <w:spacing w:after="0" w:line="240" w:lineRule="auto"/>
        <w:ind w:firstLine="720"/>
        <w:rPr>
          <w:rFonts w:ascii="Arial" w:hAnsi="Arial" w:cs="Arial"/>
          <w:sz w:val="22"/>
        </w:rPr>
      </w:pPr>
      <w:r w:rsidRPr="0069009B">
        <w:rPr>
          <w:rFonts w:ascii="Arial" w:hAnsi="Arial" w:cs="Arial"/>
          <w:sz w:val="22"/>
        </w:rPr>
        <w:t xml:space="preserve"> </w:t>
      </w:r>
    </w:p>
    <w:p w14:paraId="4FB59C03" w14:textId="5899FDF5" w:rsidR="00E12B27" w:rsidRPr="0069009B" w:rsidRDefault="00514DBB" w:rsidP="00DB5B6B">
      <w:pPr>
        <w:spacing w:after="0" w:line="240" w:lineRule="auto"/>
        <w:ind w:firstLine="720"/>
        <w:rPr>
          <w:rFonts w:ascii="Arial" w:hAnsi="Arial" w:cs="Arial"/>
          <w:sz w:val="22"/>
        </w:rPr>
      </w:pPr>
      <w:r w:rsidRPr="0069009B">
        <w:rPr>
          <w:rFonts w:ascii="Arial" w:hAnsi="Arial" w:cs="Arial"/>
          <w:sz w:val="22"/>
        </w:rPr>
        <w:t xml:space="preserve">Multi-year hedging can be beneficial, even over a long-term horizon where possible.  </w:t>
      </w:r>
      <w:r w:rsidR="00F94EE4" w:rsidRPr="0069009B">
        <w:rPr>
          <w:rFonts w:ascii="Arial" w:hAnsi="Arial" w:cs="Arial"/>
          <w:sz w:val="22"/>
        </w:rPr>
        <w:t>By way of a</w:t>
      </w:r>
      <w:r w:rsidR="00AB3F51" w:rsidRPr="0069009B">
        <w:rPr>
          <w:rFonts w:ascii="Arial" w:hAnsi="Arial" w:cs="Arial"/>
          <w:sz w:val="22"/>
        </w:rPr>
        <w:t xml:space="preserve"> rough analogy</w:t>
      </w:r>
      <w:r w:rsidR="00F94EE4" w:rsidRPr="0069009B">
        <w:rPr>
          <w:rFonts w:ascii="Arial" w:hAnsi="Arial" w:cs="Arial"/>
          <w:sz w:val="22"/>
        </w:rPr>
        <w:t xml:space="preserve">, hedging is in some ways similar to financing </w:t>
      </w:r>
      <w:r w:rsidR="003A3B09" w:rsidRPr="0069009B">
        <w:rPr>
          <w:rFonts w:ascii="Arial" w:hAnsi="Arial" w:cs="Arial"/>
          <w:sz w:val="22"/>
        </w:rPr>
        <w:t>decision</w:t>
      </w:r>
      <w:r w:rsidR="00F94EE4" w:rsidRPr="0069009B">
        <w:rPr>
          <w:rFonts w:ascii="Arial" w:hAnsi="Arial" w:cs="Arial"/>
          <w:sz w:val="22"/>
        </w:rPr>
        <w:t>s</w:t>
      </w:r>
      <w:r w:rsidR="003A3B09" w:rsidRPr="0069009B">
        <w:rPr>
          <w:rFonts w:ascii="Arial" w:hAnsi="Arial" w:cs="Arial"/>
          <w:sz w:val="22"/>
        </w:rPr>
        <w:t xml:space="preserve"> regarding </w:t>
      </w:r>
      <w:r w:rsidR="00AB3F51" w:rsidRPr="0069009B">
        <w:rPr>
          <w:rFonts w:ascii="Arial" w:hAnsi="Arial" w:cs="Arial"/>
          <w:sz w:val="22"/>
        </w:rPr>
        <w:t xml:space="preserve">a home </w:t>
      </w:r>
      <w:r w:rsidR="003A3B09" w:rsidRPr="0069009B">
        <w:rPr>
          <w:rFonts w:ascii="Arial" w:hAnsi="Arial" w:cs="Arial"/>
          <w:sz w:val="22"/>
        </w:rPr>
        <w:t>purchase.  Like gas costs to an LDC, a ho</w:t>
      </w:r>
      <w:r w:rsidR="000A5D76" w:rsidRPr="0069009B">
        <w:rPr>
          <w:rFonts w:ascii="Arial" w:hAnsi="Arial" w:cs="Arial"/>
          <w:sz w:val="22"/>
        </w:rPr>
        <w:t>us</w:t>
      </w:r>
      <w:r w:rsidR="003A3B09" w:rsidRPr="0069009B">
        <w:rPr>
          <w:rFonts w:ascii="Arial" w:hAnsi="Arial" w:cs="Arial"/>
          <w:sz w:val="22"/>
        </w:rPr>
        <w:t xml:space="preserve">e represents a considerable expenditure for the typical buyer.  </w:t>
      </w:r>
      <w:r w:rsidR="00F94EE4" w:rsidRPr="0069009B">
        <w:rPr>
          <w:rFonts w:ascii="Arial" w:hAnsi="Arial" w:cs="Arial"/>
          <w:sz w:val="22"/>
        </w:rPr>
        <w:t xml:space="preserve">And, the question arises whether it is </w:t>
      </w:r>
      <w:r w:rsidR="00AB3F51" w:rsidRPr="0069009B">
        <w:rPr>
          <w:rFonts w:ascii="Arial" w:hAnsi="Arial" w:cs="Arial"/>
          <w:sz w:val="22"/>
        </w:rPr>
        <w:t>better</w:t>
      </w:r>
      <w:r w:rsidR="00F94EE4" w:rsidRPr="0069009B">
        <w:rPr>
          <w:rFonts w:ascii="Arial" w:hAnsi="Arial" w:cs="Arial"/>
          <w:sz w:val="22"/>
        </w:rPr>
        <w:t xml:space="preserve"> to lock in the costs of a mortgage over the long-term</w:t>
      </w:r>
      <w:r w:rsidR="00A5150A" w:rsidRPr="0069009B">
        <w:rPr>
          <w:rFonts w:ascii="Arial" w:hAnsi="Arial" w:cs="Arial"/>
          <w:sz w:val="22"/>
        </w:rPr>
        <w:t xml:space="preserve"> in a fixed-rate mortgage</w:t>
      </w:r>
      <w:r w:rsidR="00F94EE4" w:rsidRPr="0069009B">
        <w:rPr>
          <w:rFonts w:ascii="Arial" w:hAnsi="Arial" w:cs="Arial"/>
          <w:sz w:val="22"/>
        </w:rPr>
        <w:t>, or over a shorter term</w:t>
      </w:r>
      <w:r w:rsidR="00A5150A" w:rsidRPr="0069009B">
        <w:rPr>
          <w:rFonts w:ascii="Arial" w:hAnsi="Arial" w:cs="Arial"/>
          <w:sz w:val="22"/>
        </w:rPr>
        <w:t xml:space="preserve"> as in a floating rate mortgage</w:t>
      </w:r>
      <w:r w:rsidR="00F94EE4" w:rsidRPr="0069009B">
        <w:rPr>
          <w:rFonts w:ascii="Arial" w:hAnsi="Arial" w:cs="Arial"/>
          <w:sz w:val="22"/>
        </w:rPr>
        <w:t>.  Although t</w:t>
      </w:r>
      <w:r w:rsidR="00AB3F51" w:rsidRPr="0069009B">
        <w:rPr>
          <w:rFonts w:ascii="Arial" w:hAnsi="Arial" w:cs="Arial"/>
          <w:sz w:val="22"/>
        </w:rPr>
        <w:t xml:space="preserve">here </w:t>
      </w:r>
      <w:r w:rsidR="00F94EE4" w:rsidRPr="0069009B">
        <w:rPr>
          <w:rFonts w:ascii="Arial" w:hAnsi="Arial" w:cs="Arial"/>
          <w:sz w:val="22"/>
        </w:rPr>
        <w:t xml:space="preserve">may be </w:t>
      </w:r>
      <w:r w:rsidR="00AB3F51" w:rsidRPr="0069009B">
        <w:rPr>
          <w:rFonts w:ascii="Arial" w:hAnsi="Arial" w:cs="Arial"/>
          <w:sz w:val="22"/>
        </w:rPr>
        <w:t>no single correct answer</w:t>
      </w:r>
      <w:r w:rsidR="00ED2582" w:rsidRPr="0069009B">
        <w:rPr>
          <w:rFonts w:ascii="Arial" w:hAnsi="Arial" w:cs="Arial"/>
          <w:sz w:val="22"/>
        </w:rPr>
        <w:t>,</w:t>
      </w:r>
      <w:r w:rsidR="00AB3F51" w:rsidRPr="0069009B">
        <w:rPr>
          <w:rFonts w:ascii="Arial" w:hAnsi="Arial" w:cs="Arial"/>
          <w:sz w:val="22"/>
        </w:rPr>
        <w:t xml:space="preserve"> if mortgage rates are perceived as relatively low, then in general, locking them in for a long term is viewed as advantageous.</w:t>
      </w:r>
      <w:r w:rsidR="003A3B09" w:rsidRPr="0069009B">
        <w:rPr>
          <w:rFonts w:ascii="Arial" w:hAnsi="Arial" w:cs="Arial"/>
          <w:sz w:val="22"/>
        </w:rPr>
        <w:t xml:space="preserve">  </w:t>
      </w:r>
      <w:r w:rsidR="00F94EE4" w:rsidRPr="0069009B">
        <w:rPr>
          <w:rFonts w:ascii="Arial" w:hAnsi="Arial" w:cs="Arial"/>
          <w:sz w:val="22"/>
        </w:rPr>
        <w:t xml:space="preserve">One </w:t>
      </w:r>
      <w:r w:rsidR="003A3B09" w:rsidRPr="0069009B">
        <w:rPr>
          <w:rFonts w:ascii="Arial" w:hAnsi="Arial" w:cs="Arial"/>
          <w:sz w:val="22"/>
        </w:rPr>
        <w:t xml:space="preserve">reason for this is the natural “skew” in most financial markets.  That is, </w:t>
      </w:r>
      <w:r w:rsidR="00ED2582" w:rsidRPr="0069009B">
        <w:rPr>
          <w:rFonts w:ascii="Arial" w:hAnsi="Arial" w:cs="Arial"/>
          <w:sz w:val="22"/>
        </w:rPr>
        <w:t xml:space="preserve">mortgage </w:t>
      </w:r>
      <w:r w:rsidR="003A3B09" w:rsidRPr="0069009B">
        <w:rPr>
          <w:rFonts w:ascii="Arial" w:hAnsi="Arial" w:cs="Arial"/>
          <w:sz w:val="22"/>
        </w:rPr>
        <w:t xml:space="preserve">rates </w:t>
      </w:r>
      <w:r w:rsidR="00ED2582" w:rsidRPr="0069009B">
        <w:rPr>
          <w:rFonts w:ascii="Arial" w:hAnsi="Arial" w:cs="Arial"/>
          <w:sz w:val="22"/>
        </w:rPr>
        <w:t xml:space="preserve">(like natural gas prices) </w:t>
      </w:r>
      <w:r w:rsidR="003A3B09" w:rsidRPr="0069009B">
        <w:rPr>
          <w:rFonts w:ascii="Arial" w:hAnsi="Arial" w:cs="Arial"/>
          <w:sz w:val="22"/>
        </w:rPr>
        <w:t>can drop</w:t>
      </w:r>
      <w:r w:rsidR="00F94EE4" w:rsidRPr="0069009B">
        <w:rPr>
          <w:rFonts w:ascii="Arial" w:hAnsi="Arial" w:cs="Arial"/>
          <w:sz w:val="22"/>
        </w:rPr>
        <w:t xml:space="preserve">, but do not go below zero, while </w:t>
      </w:r>
      <w:r w:rsidR="00ED2582" w:rsidRPr="0069009B">
        <w:rPr>
          <w:rFonts w:ascii="Arial" w:hAnsi="Arial" w:cs="Arial"/>
          <w:sz w:val="22"/>
        </w:rPr>
        <w:t>their</w:t>
      </w:r>
      <w:r w:rsidR="003A3B09" w:rsidRPr="0069009B">
        <w:rPr>
          <w:rFonts w:ascii="Arial" w:hAnsi="Arial" w:cs="Arial"/>
          <w:sz w:val="22"/>
        </w:rPr>
        <w:t xml:space="preserve"> upward </w:t>
      </w:r>
      <w:r w:rsidR="00F94EE4" w:rsidRPr="0069009B">
        <w:rPr>
          <w:rFonts w:ascii="Arial" w:hAnsi="Arial" w:cs="Arial"/>
          <w:sz w:val="22"/>
        </w:rPr>
        <w:t>trend can be</w:t>
      </w:r>
      <w:r w:rsidR="00ED2582" w:rsidRPr="0069009B">
        <w:rPr>
          <w:rFonts w:ascii="Arial" w:hAnsi="Arial" w:cs="Arial"/>
          <w:sz w:val="22"/>
        </w:rPr>
        <w:t xml:space="preserve"> virtually unlimited.  So if current </w:t>
      </w:r>
      <w:r w:rsidR="00F94EE4" w:rsidRPr="0069009B">
        <w:rPr>
          <w:rFonts w:ascii="Arial" w:hAnsi="Arial" w:cs="Arial"/>
          <w:sz w:val="22"/>
        </w:rPr>
        <w:t>gas</w:t>
      </w:r>
      <w:r w:rsidR="00ED2582" w:rsidRPr="0069009B">
        <w:rPr>
          <w:rFonts w:ascii="Arial" w:hAnsi="Arial" w:cs="Arial"/>
          <w:sz w:val="22"/>
        </w:rPr>
        <w:t xml:space="preserve"> prices look relatively low, then locking </w:t>
      </w:r>
      <w:r w:rsidR="00F94EE4" w:rsidRPr="0069009B">
        <w:rPr>
          <w:rFonts w:ascii="Arial" w:hAnsi="Arial" w:cs="Arial"/>
          <w:sz w:val="22"/>
        </w:rPr>
        <w:t xml:space="preserve">them </w:t>
      </w:r>
      <w:r w:rsidR="00ED2582" w:rsidRPr="0069009B">
        <w:rPr>
          <w:rFonts w:ascii="Arial" w:hAnsi="Arial" w:cs="Arial"/>
          <w:sz w:val="22"/>
        </w:rPr>
        <w:t>in for a multi-year period</w:t>
      </w:r>
      <w:r w:rsidR="00F94EE4" w:rsidRPr="0069009B">
        <w:rPr>
          <w:rFonts w:ascii="Arial" w:hAnsi="Arial" w:cs="Arial"/>
          <w:sz w:val="22"/>
        </w:rPr>
        <w:t>, and even the long-term,</w:t>
      </w:r>
      <w:r w:rsidR="00ED2582" w:rsidRPr="0069009B">
        <w:rPr>
          <w:rFonts w:ascii="Arial" w:hAnsi="Arial" w:cs="Arial"/>
          <w:sz w:val="22"/>
        </w:rPr>
        <w:t xml:space="preserve"> could be </w:t>
      </w:r>
      <w:r w:rsidR="00F94EE4" w:rsidRPr="0069009B">
        <w:rPr>
          <w:rFonts w:ascii="Arial" w:hAnsi="Arial" w:cs="Arial"/>
          <w:sz w:val="22"/>
        </w:rPr>
        <w:t>beneficial</w:t>
      </w:r>
      <w:r w:rsidR="00ED2582" w:rsidRPr="0069009B">
        <w:rPr>
          <w:rFonts w:ascii="Arial" w:hAnsi="Arial" w:cs="Arial"/>
          <w:sz w:val="22"/>
        </w:rPr>
        <w:t>.</w:t>
      </w:r>
    </w:p>
    <w:p w14:paraId="052F11CF" w14:textId="77777777" w:rsidR="00AB3F51" w:rsidRPr="0069009B" w:rsidRDefault="00AB3F51" w:rsidP="00E12B27">
      <w:pPr>
        <w:spacing w:after="0" w:line="240" w:lineRule="auto"/>
        <w:rPr>
          <w:rFonts w:ascii="Arial" w:hAnsi="Arial" w:cs="Arial"/>
          <w:sz w:val="22"/>
        </w:rPr>
      </w:pPr>
    </w:p>
    <w:p w14:paraId="79CAE932" w14:textId="77777777" w:rsidR="00DC2BAD" w:rsidRPr="0069009B" w:rsidRDefault="00DC2BAD" w:rsidP="00477657">
      <w:pPr>
        <w:pStyle w:val="ListParagraph"/>
        <w:numPr>
          <w:ilvl w:val="1"/>
          <w:numId w:val="4"/>
        </w:numPr>
        <w:spacing w:after="0" w:line="240" w:lineRule="auto"/>
        <w:rPr>
          <w:rFonts w:ascii="Arial" w:hAnsi="Arial" w:cs="Arial"/>
          <w:i/>
          <w:sz w:val="22"/>
        </w:rPr>
      </w:pPr>
      <w:r w:rsidRPr="0069009B">
        <w:rPr>
          <w:rFonts w:ascii="Arial" w:hAnsi="Arial" w:cs="Arial"/>
          <w:i/>
          <w:sz w:val="22"/>
        </w:rPr>
        <w:t xml:space="preserve">Companies normally hedge to a set “target” percentage of their expected load allowing the remainder of the unhedged load to be acquired on the spot market. </w:t>
      </w:r>
    </w:p>
    <w:p w14:paraId="78610970" w14:textId="77777777" w:rsidR="00DF68E6" w:rsidRPr="0069009B" w:rsidRDefault="00DC2BAD" w:rsidP="00477657">
      <w:pPr>
        <w:pStyle w:val="ListParagraph"/>
        <w:numPr>
          <w:ilvl w:val="2"/>
          <w:numId w:val="4"/>
        </w:numPr>
        <w:spacing w:after="0" w:line="240" w:lineRule="auto"/>
        <w:rPr>
          <w:rFonts w:ascii="Arial" w:hAnsi="Arial" w:cs="Arial"/>
          <w:i/>
          <w:sz w:val="22"/>
        </w:rPr>
      </w:pPr>
      <w:r w:rsidRPr="0069009B">
        <w:rPr>
          <w:rFonts w:ascii="Arial" w:hAnsi="Arial" w:cs="Arial"/>
          <w:i/>
          <w:sz w:val="22"/>
        </w:rPr>
        <w:t>Is there a need for the Commission to limit the percent of load hedged and, if so, what should be the maximum percent hedged?</w:t>
      </w:r>
    </w:p>
    <w:p w14:paraId="3DB40BA4" w14:textId="77777777" w:rsidR="00DC2BAD" w:rsidRPr="0069009B" w:rsidRDefault="00DC2BAD" w:rsidP="00477657">
      <w:pPr>
        <w:pStyle w:val="ListParagraph"/>
        <w:numPr>
          <w:ilvl w:val="2"/>
          <w:numId w:val="4"/>
        </w:numPr>
        <w:spacing w:after="0" w:line="240" w:lineRule="auto"/>
        <w:rPr>
          <w:rFonts w:ascii="Arial" w:hAnsi="Arial" w:cs="Arial"/>
          <w:i/>
          <w:sz w:val="22"/>
        </w:rPr>
      </w:pPr>
      <w:r w:rsidRPr="0069009B">
        <w:rPr>
          <w:rFonts w:ascii="Arial" w:hAnsi="Arial" w:cs="Arial"/>
          <w:i/>
          <w:sz w:val="22"/>
        </w:rPr>
        <w:t>What are some of the factors affecting the amount of hedging that a utility should do?</w:t>
      </w:r>
    </w:p>
    <w:p w14:paraId="3F2F7974" w14:textId="77777777" w:rsidR="00DC2BAD" w:rsidRPr="0069009B" w:rsidRDefault="00DC2BAD" w:rsidP="00477657">
      <w:pPr>
        <w:pStyle w:val="ListParagraph"/>
        <w:numPr>
          <w:ilvl w:val="2"/>
          <w:numId w:val="4"/>
        </w:numPr>
        <w:spacing w:after="0" w:line="240" w:lineRule="auto"/>
        <w:rPr>
          <w:rFonts w:ascii="Arial" w:hAnsi="Arial" w:cs="Arial"/>
          <w:i/>
          <w:sz w:val="22"/>
        </w:rPr>
      </w:pPr>
      <w:r w:rsidRPr="0069009B">
        <w:rPr>
          <w:rFonts w:ascii="Arial" w:hAnsi="Arial" w:cs="Arial"/>
          <w:i/>
          <w:sz w:val="22"/>
        </w:rPr>
        <w:t>When discussing target percentages, should the Commission distinguish between physical and financial hedging?</w:t>
      </w:r>
    </w:p>
    <w:p w14:paraId="1B53400B" w14:textId="77777777" w:rsidR="00DC2BAD" w:rsidRPr="0069009B" w:rsidRDefault="00DC2BAD" w:rsidP="00DC2BAD">
      <w:pPr>
        <w:spacing w:after="0" w:line="240" w:lineRule="auto"/>
        <w:rPr>
          <w:rFonts w:ascii="Arial" w:hAnsi="Arial" w:cs="Arial"/>
          <w:sz w:val="22"/>
        </w:rPr>
      </w:pPr>
    </w:p>
    <w:p w14:paraId="63CCA4DC" w14:textId="77777777" w:rsidR="00DC2BAD" w:rsidRPr="0069009B" w:rsidRDefault="00DC2BAD" w:rsidP="00DC2BAD">
      <w:pPr>
        <w:spacing w:after="0" w:line="240" w:lineRule="auto"/>
        <w:rPr>
          <w:rFonts w:ascii="Arial" w:hAnsi="Arial" w:cs="Arial"/>
          <w:sz w:val="22"/>
        </w:rPr>
      </w:pPr>
      <w:r w:rsidRPr="0069009B">
        <w:rPr>
          <w:rFonts w:ascii="Arial" w:hAnsi="Arial" w:cs="Arial"/>
          <w:sz w:val="22"/>
        </w:rPr>
        <w:t>Response:</w:t>
      </w:r>
    </w:p>
    <w:p w14:paraId="3CDD74F9" w14:textId="77777777" w:rsidR="002231CE" w:rsidRPr="0069009B" w:rsidRDefault="002231CE" w:rsidP="00DC2BAD">
      <w:pPr>
        <w:spacing w:after="0" w:line="240" w:lineRule="auto"/>
        <w:rPr>
          <w:rFonts w:ascii="Arial" w:hAnsi="Arial" w:cs="Arial"/>
          <w:sz w:val="22"/>
        </w:rPr>
      </w:pPr>
    </w:p>
    <w:p w14:paraId="16DD4143" w14:textId="4B8B8452" w:rsidR="00D8101F" w:rsidRPr="0069009B" w:rsidRDefault="002231CE" w:rsidP="00DB5B6B">
      <w:pPr>
        <w:spacing w:after="0" w:line="240" w:lineRule="auto"/>
        <w:ind w:firstLine="720"/>
        <w:rPr>
          <w:rFonts w:ascii="Arial" w:hAnsi="Arial" w:cs="Arial"/>
          <w:sz w:val="22"/>
        </w:rPr>
      </w:pPr>
      <w:r w:rsidRPr="0069009B">
        <w:rPr>
          <w:rFonts w:ascii="Arial" w:hAnsi="Arial" w:cs="Arial"/>
          <w:sz w:val="22"/>
        </w:rPr>
        <w:t>As stated above, NW Natural does not believe that it is appropriate to enter into hedging transactions for purposes of speculating on the market.  Instead, hedging should be</w:t>
      </w:r>
      <w:r w:rsidR="000A5D76" w:rsidRPr="0069009B">
        <w:rPr>
          <w:rFonts w:ascii="Arial" w:hAnsi="Arial" w:cs="Arial"/>
          <w:sz w:val="22"/>
        </w:rPr>
        <w:t xml:space="preserve"> directly related to the company’s gas purchases for its utility sales customers.  </w:t>
      </w:r>
      <w:r w:rsidRPr="0069009B">
        <w:rPr>
          <w:rFonts w:ascii="Arial" w:hAnsi="Arial" w:cs="Arial"/>
          <w:sz w:val="22"/>
        </w:rPr>
        <w:t>In light of this</w:t>
      </w:r>
      <w:r w:rsidR="000A5D76" w:rsidRPr="0069009B">
        <w:rPr>
          <w:rFonts w:ascii="Arial" w:hAnsi="Arial" w:cs="Arial"/>
          <w:sz w:val="22"/>
        </w:rPr>
        <w:t xml:space="preserve">, volume limits </w:t>
      </w:r>
      <w:r w:rsidRPr="0069009B">
        <w:rPr>
          <w:rFonts w:ascii="Arial" w:hAnsi="Arial" w:cs="Arial"/>
          <w:sz w:val="22"/>
        </w:rPr>
        <w:t xml:space="preserve">on hedging </w:t>
      </w:r>
      <w:r w:rsidR="000A5D76" w:rsidRPr="0069009B">
        <w:rPr>
          <w:rFonts w:ascii="Arial" w:hAnsi="Arial" w:cs="Arial"/>
          <w:sz w:val="22"/>
        </w:rPr>
        <w:t xml:space="preserve">should </w:t>
      </w:r>
      <w:r w:rsidRPr="0069009B">
        <w:rPr>
          <w:rFonts w:ascii="Arial" w:hAnsi="Arial" w:cs="Arial"/>
          <w:sz w:val="22"/>
        </w:rPr>
        <w:t xml:space="preserve">be no greater than </w:t>
      </w:r>
      <w:r w:rsidR="000A5D76" w:rsidRPr="0069009B">
        <w:rPr>
          <w:rFonts w:ascii="Arial" w:hAnsi="Arial" w:cs="Arial"/>
          <w:sz w:val="22"/>
        </w:rPr>
        <w:t>the expected purchases by the LDC</w:t>
      </w:r>
      <w:r w:rsidR="00346331" w:rsidRPr="0069009B">
        <w:rPr>
          <w:rFonts w:ascii="Arial" w:hAnsi="Arial" w:cs="Arial"/>
          <w:sz w:val="22"/>
        </w:rPr>
        <w:t xml:space="preserve">, with </w:t>
      </w:r>
      <w:r w:rsidR="008C50DB" w:rsidRPr="0069009B">
        <w:rPr>
          <w:rFonts w:ascii="Arial" w:hAnsi="Arial" w:cs="Arial"/>
          <w:sz w:val="22"/>
        </w:rPr>
        <w:t xml:space="preserve">a proper accounting for weather </w:t>
      </w:r>
      <w:r w:rsidR="00C85216" w:rsidRPr="0069009B">
        <w:rPr>
          <w:rFonts w:ascii="Arial" w:hAnsi="Arial" w:cs="Arial"/>
          <w:sz w:val="22"/>
        </w:rPr>
        <w:t xml:space="preserve">variations </w:t>
      </w:r>
      <w:r w:rsidR="008C50DB" w:rsidRPr="0069009B">
        <w:rPr>
          <w:rFonts w:ascii="Arial" w:hAnsi="Arial" w:cs="Arial"/>
          <w:sz w:val="22"/>
        </w:rPr>
        <w:t>and the utility’s standards for what constitutes an effective hedge</w:t>
      </w:r>
      <w:r w:rsidR="000A5D76" w:rsidRPr="0069009B">
        <w:rPr>
          <w:rFonts w:ascii="Arial" w:hAnsi="Arial" w:cs="Arial"/>
          <w:sz w:val="22"/>
        </w:rPr>
        <w:t xml:space="preserve">.  </w:t>
      </w:r>
    </w:p>
    <w:p w14:paraId="411D61C9" w14:textId="7E9BDD79" w:rsidR="00D8101F" w:rsidRPr="0069009B" w:rsidRDefault="000A5D76" w:rsidP="00DB5B6B">
      <w:pPr>
        <w:spacing w:after="0" w:line="240" w:lineRule="auto"/>
        <w:ind w:firstLine="720"/>
        <w:rPr>
          <w:rFonts w:ascii="Arial" w:hAnsi="Arial" w:cs="Arial"/>
          <w:sz w:val="22"/>
        </w:rPr>
      </w:pPr>
      <w:r w:rsidRPr="0069009B">
        <w:rPr>
          <w:rFonts w:ascii="Arial" w:hAnsi="Arial" w:cs="Arial"/>
          <w:sz w:val="22"/>
        </w:rPr>
        <w:t xml:space="preserve">Other factors </w:t>
      </w:r>
      <w:r w:rsidR="002231CE" w:rsidRPr="0069009B">
        <w:rPr>
          <w:rFonts w:ascii="Arial" w:hAnsi="Arial" w:cs="Arial"/>
          <w:sz w:val="22"/>
        </w:rPr>
        <w:t xml:space="preserve">that the Commission may want to consider </w:t>
      </w:r>
      <w:r w:rsidRPr="0069009B">
        <w:rPr>
          <w:rFonts w:ascii="Arial" w:hAnsi="Arial" w:cs="Arial"/>
          <w:sz w:val="22"/>
        </w:rPr>
        <w:t xml:space="preserve">would </w:t>
      </w:r>
      <w:r w:rsidR="002231CE" w:rsidRPr="0069009B">
        <w:rPr>
          <w:rFonts w:ascii="Arial" w:hAnsi="Arial" w:cs="Arial"/>
          <w:sz w:val="22"/>
        </w:rPr>
        <w:t>include</w:t>
      </w:r>
      <w:r w:rsidR="00D8101F" w:rsidRPr="0069009B">
        <w:rPr>
          <w:rFonts w:ascii="Arial" w:hAnsi="Arial" w:cs="Arial"/>
          <w:sz w:val="22"/>
        </w:rPr>
        <w:t>:</w:t>
      </w:r>
    </w:p>
    <w:p w14:paraId="1F3D2993" w14:textId="49E2309F" w:rsidR="009845ED" w:rsidRPr="0069009B" w:rsidRDefault="000A5D76" w:rsidP="00DB5B6B">
      <w:pPr>
        <w:pStyle w:val="ListParagraph"/>
        <w:numPr>
          <w:ilvl w:val="0"/>
          <w:numId w:val="13"/>
        </w:numPr>
        <w:spacing w:after="0" w:line="240" w:lineRule="auto"/>
        <w:rPr>
          <w:rFonts w:ascii="Arial" w:hAnsi="Arial" w:cs="Arial"/>
          <w:sz w:val="22"/>
        </w:rPr>
      </w:pPr>
      <w:r w:rsidRPr="0069009B">
        <w:rPr>
          <w:rFonts w:ascii="Arial" w:hAnsi="Arial" w:cs="Arial"/>
          <w:sz w:val="22"/>
        </w:rPr>
        <w:t xml:space="preserve"> </w:t>
      </w:r>
      <w:r w:rsidR="009845ED" w:rsidRPr="0069009B">
        <w:rPr>
          <w:rFonts w:ascii="Arial" w:hAnsi="Arial" w:cs="Arial"/>
          <w:sz w:val="22"/>
        </w:rPr>
        <w:t>E</w:t>
      </w:r>
      <w:r w:rsidR="002231CE" w:rsidRPr="0069009B">
        <w:rPr>
          <w:rFonts w:ascii="Arial" w:hAnsi="Arial" w:cs="Arial"/>
          <w:sz w:val="22"/>
        </w:rPr>
        <w:t xml:space="preserve">nsuring </w:t>
      </w:r>
      <w:r w:rsidRPr="0069009B">
        <w:rPr>
          <w:rFonts w:ascii="Arial" w:hAnsi="Arial" w:cs="Arial"/>
          <w:sz w:val="22"/>
        </w:rPr>
        <w:t>that hedging reflect</w:t>
      </w:r>
      <w:r w:rsidR="002231CE" w:rsidRPr="0069009B">
        <w:rPr>
          <w:rFonts w:ascii="Arial" w:hAnsi="Arial" w:cs="Arial"/>
          <w:sz w:val="22"/>
        </w:rPr>
        <w:t>s</w:t>
      </w:r>
      <w:r w:rsidRPr="0069009B">
        <w:rPr>
          <w:rFonts w:ascii="Arial" w:hAnsi="Arial" w:cs="Arial"/>
          <w:sz w:val="22"/>
        </w:rPr>
        <w:t xml:space="preserve"> the basins in which </w:t>
      </w:r>
      <w:r w:rsidR="002231CE" w:rsidRPr="0069009B">
        <w:rPr>
          <w:rFonts w:ascii="Arial" w:hAnsi="Arial" w:cs="Arial"/>
          <w:sz w:val="22"/>
        </w:rPr>
        <w:t xml:space="preserve">an </w:t>
      </w:r>
      <w:r w:rsidRPr="0069009B">
        <w:rPr>
          <w:rFonts w:ascii="Arial" w:hAnsi="Arial" w:cs="Arial"/>
          <w:sz w:val="22"/>
        </w:rPr>
        <w:t>LDC purchases its gas supplies, and that the transactions occur where there is liquidity (</w:t>
      </w:r>
      <w:r w:rsidR="002231CE" w:rsidRPr="0069009B">
        <w:rPr>
          <w:rFonts w:ascii="Arial" w:hAnsi="Arial" w:cs="Arial"/>
          <w:sz w:val="22"/>
        </w:rPr>
        <w:t xml:space="preserve">i.e. </w:t>
      </w:r>
      <w:r w:rsidRPr="0069009B">
        <w:rPr>
          <w:rFonts w:ascii="Arial" w:hAnsi="Arial" w:cs="Arial"/>
          <w:sz w:val="22"/>
        </w:rPr>
        <w:t>workably competitive markets)</w:t>
      </w:r>
      <w:r w:rsidR="00D8101F" w:rsidRPr="0069009B">
        <w:rPr>
          <w:rFonts w:ascii="Arial" w:hAnsi="Arial" w:cs="Arial"/>
          <w:sz w:val="22"/>
        </w:rPr>
        <w:t xml:space="preserve">; </w:t>
      </w:r>
    </w:p>
    <w:p w14:paraId="08709FCF" w14:textId="77777777" w:rsidR="009845ED" w:rsidRPr="0069009B" w:rsidRDefault="009845ED" w:rsidP="00DB5B6B">
      <w:pPr>
        <w:pStyle w:val="ListParagraph"/>
        <w:numPr>
          <w:ilvl w:val="0"/>
          <w:numId w:val="13"/>
        </w:numPr>
        <w:spacing w:after="0" w:line="240" w:lineRule="auto"/>
        <w:rPr>
          <w:rFonts w:ascii="Arial" w:hAnsi="Arial" w:cs="Arial"/>
          <w:sz w:val="22"/>
        </w:rPr>
      </w:pPr>
      <w:r w:rsidRPr="0069009B">
        <w:rPr>
          <w:rFonts w:ascii="Arial" w:hAnsi="Arial" w:cs="Arial"/>
          <w:sz w:val="22"/>
        </w:rPr>
        <w:t>W</w:t>
      </w:r>
      <w:r w:rsidR="00D8101F" w:rsidRPr="0069009B">
        <w:rPr>
          <w:rFonts w:ascii="Arial" w:hAnsi="Arial" w:cs="Arial"/>
          <w:sz w:val="22"/>
        </w:rPr>
        <w:t>hat the predictability of load is</w:t>
      </w:r>
      <w:r w:rsidRPr="0069009B">
        <w:rPr>
          <w:rFonts w:ascii="Arial" w:hAnsi="Arial" w:cs="Arial"/>
          <w:sz w:val="22"/>
        </w:rPr>
        <w:t>;</w:t>
      </w:r>
    </w:p>
    <w:p w14:paraId="63AF6C8A" w14:textId="77777777" w:rsidR="009845ED" w:rsidRPr="0069009B" w:rsidRDefault="009845ED" w:rsidP="00DB5B6B">
      <w:pPr>
        <w:pStyle w:val="ListParagraph"/>
        <w:numPr>
          <w:ilvl w:val="0"/>
          <w:numId w:val="13"/>
        </w:numPr>
        <w:spacing w:after="0" w:line="240" w:lineRule="auto"/>
        <w:rPr>
          <w:rFonts w:ascii="Arial" w:hAnsi="Arial" w:cs="Arial"/>
          <w:sz w:val="22"/>
        </w:rPr>
      </w:pPr>
      <w:r w:rsidRPr="0069009B">
        <w:rPr>
          <w:rFonts w:ascii="Arial" w:hAnsi="Arial" w:cs="Arial"/>
          <w:sz w:val="22"/>
        </w:rPr>
        <w:t>T</w:t>
      </w:r>
      <w:r w:rsidR="00D8101F" w:rsidRPr="0069009B">
        <w:rPr>
          <w:rFonts w:ascii="Arial" w:hAnsi="Arial" w:cs="Arial"/>
          <w:sz w:val="22"/>
        </w:rPr>
        <w:t xml:space="preserve">he volatility of </w:t>
      </w:r>
      <w:r w:rsidRPr="0069009B">
        <w:rPr>
          <w:rFonts w:ascii="Arial" w:hAnsi="Arial" w:cs="Arial"/>
          <w:sz w:val="22"/>
        </w:rPr>
        <w:t xml:space="preserve">cash and future </w:t>
      </w:r>
      <w:r w:rsidR="00D8101F" w:rsidRPr="0069009B">
        <w:rPr>
          <w:rFonts w:ascii="Arial" w:hAnsi="Arial" w:cs="Arial"/>
          <w:sz w:val="22"/>
        </w:rPr>
        <w:t>gas prices</w:t>
      </w:r>
      <w:r w:rsidRPr="0069009B">
        <w:rPr>
          <w:rFonts w:ascii="Arial" w:hAnsi="Arial" w:cs="Arial"/>
          <w:sz w:val="22"/>
        </w:rPr>
        <w:t>;</w:t>
      </w:r>
      <w:r w:rsidR="00D8101F" w:rsidRPr="0069009B">
        <w:rPr>
          <w:rFonts w:ascii="Arial" w:hAnsi="Arial" w:cs="Arial"/>
          <w:sz w:val="22"/>
        </w:rPr>
        <w:t xml:space="preserve"> and </w:t>
      </w:r>
    </w:p>
    <w:p w14:paraId="5BE3C7A4" w14:textId="05701224" w:rsidR="000A5D76" w:rsidRPr="0069009B" w:rsidRDefault="009845ED" w:rsidP="00DB5B6B">
      <w:pPr>
        <w:pStyle w:val="ListParagraph"/>
        <w:numPr>
          <w:ilvl w:val="0"/>
          <w:numId w:val="13"/>
        </w:numPr>
        <w:spacing w:after="0" w:line="240" w:lineRule="auto"/>
        <w:rPr>
          <w:rFonts w:ascii="Arial" w:hAnsi="Arial" w:cs="Arial"/>
          <w:sz w:val="22"/>
        </w:rPr>
      </w:pPr>
      <w:r w:rsidRPr="0069009B">
        <w:rPr>
          <w:rFonts w:ascii="Arial" w:hAnsi="Arial" w:cs="Arial"/>
          <w:sz w:val="22"/>
        </w:rPr>
        <w:t>T</w:t>
      </w:r>
      <w:r w:rsidR="00D8101F" w:rsidRPr="0069009B">
        <w:rPr>
          <w:rFonts w:ascii="Arial" w:hAnsi="Arial" w:cs="Arial"/>
          <w:sz w:val="22"/>
        </w:rPr>
        <w:t>he level of gas prices</w:t>
      </w:r>
    </w:p>
    <w:p w14:paraId="4C6ED2CB" w14:textId="77777777" w:rsidR="002231CE" w:rsidRPr="0069009B" w:rsidRDefault="002231CE" w:rsidP="00DC2BAD">
      <w:pPr>
        <w:spacing w:after="0" w:line="240" w:lineRule="auto"/>
        <w:rPr>
          <w:rFonts w:ascii="Arial" w:hAnsi="Arial" w:cs="Arial"/>
          <w:sz w:val="22"/>
        </w:rPr>
      </w:pPr>
    </w:p>
    <w:p w14:paraId="52998505" w14:textId="2DD03096" w:rsidR="00DC2BAD" w:rsidRPr="0069009B" w:rsidRDefault="000A5D76" w:rsidP="00DB5B6B">
      <w:pPr>
        <w:spacing w:after="0" w:line="240" w:lineRule="auto"/>
        <w:ind w:firstLine="720"/>
        <w:rPr>
          <w:rFonts w:ascii="Arial" w:hAnsi="Arial" w:cs="Arial"/>
          <w:sz w:val="22"/>
        </w:rPr>
      </w:pPr>
      <w:r w:rsidRPr="0069009B">
        <w:rPr>
          <w:rFonts w:ascii="Arial" w:hAnsi="Arial" w:cs="Arial"/>
          <w:sz w:val="22"/>
        </w:rPr>
        <w:t xml:space="preserve">Physical hedging can have different risks than financial hedging, so </w:t>
      </w:r>
      <w:r w:rsidR="002231CE" w:rsidRPr="0069009B">
        <w:rPr>
          <w:rFonts w:ascii="Arial" w:hAnsi="Arial" w:cs="Arial"/>
          <w:sz w:val="22"/>
        </w:rPr>
        <w:t>the Commission should distinguish between the two when considering appropriate hedging strategies</w:t>
      </w:r>
      <w:r w:rsidRPr="0069009B">
        <w:rPr>
          <w:rFonts w:ascii="Arial" w:hAnsi="Arial" w:cs="Arial"/>
          <w:sz w:val="22"/>
        </w:rPr>
        <w:t xml:space="preserve">.  </w:t>
      </w:r>
      <w:r w:rsidR="002231CE" w:rsidRPr="0069009B">
        <w:rPr>
          <w:rFonts w:ascii="Arial" w:hAnsi="Arial" w:cs="Arial"/>
          <w:sz w:val="22"/>
        </w:rPr>
        <w:t>And, any t</w:t>
      </w:r>
      <w:r w:rsidRPr="0069009B">
        <w:rPr>
          <w:rFonts w:ascii="Arial" w:hAnsi="Arial" w:cs="Arial"/>
          <w:sz w:val="22"/>
        </w:rPr>
        <w:t xml:space="preserve">argets </w:t>
      </w:r>
      <w:r w:rsidR="002231CE" w:rsidRPr="0069009B">
        <w:rPr>
          <w:rFonts w:ascii="Arial" w:hAnsi="Arial" w:cs="Arial"/>
          <w:sz w:val="22"/>
        </w:rPr>
        <w:t xml:space="preserve">that are determined </w:t>
      </w:r>
      <w:r w:rsidRPr="0069009B">
        <w:rPr>
          <w:rFonts w:ascii="Arial" w:hAnsi="Arial" w:cs="Arial"/>
          <w:sz w:val="22"/>
        </w:rPr>
        <w:t xml:space="preserve">should be flexible enough to allow for </w:t>
      </w:r>
      <w:r w:rsidR="002231CE" w:rsidRPr="0069009B">
        <w:rPr>
          <w:rFonts w:ascii="Arial" w:hAnsi="Arial" w:cs="Arial"/>
          <w:sz w:val="22"/>
        </w:rPr>
        <w:t xml:space="preserve">the ability to take advantage of any benefits that may be gained through </w:t>
      </w:r>
      <w:r w:rsidRPr="0069009B">
        <w:rPr>
          <w:rFonts w:ascii="Arial" w:hAnsi="Arial" w:cs="Arial"/>
          <w:sz w:val="22"/>
        </w:rPr>
        <w:t>movement between the different forms of hedging.</w:t>
      </w:r>
    </w:p>
    <w:p w14:paraId="6690F166" w14:textId="77777777" w:rsidR="00DC2BAD" w:rsidRPr="0069009B" w:rsidRDefault="00DC2BAD" w:rsidP="00DC2BAD">
      <w:pPr>
        <w:spacing w:after="0" w:line="240" w:lineRule="auto"/>
        <w:rPr>
          <w:rFonts w:ascii="Arial" w:hAnsi="Arial" w:cs="Arial"/>
          <w:sz w:val="22"/>
        </w:rPr>
      </w:pPr>
    </w:p>
    <w:p w14:paraId="6189B510" w14:textId="77777777" w:rsidR="00DC2BAD" w:rsidRPr="0069009B" w:rsidRDefault="00DC2BAD" w:rsidP="00477657">
      <w:pPr>
        <w:pStyle w:val="ListParagraph"/>
        <w:numPr>
          <w:ilvl w:val="1"/>
          <w:numId w:val="4"/>
        </w:numPr>
        <w:spacing w:after="0" w:line="240" w:lineRule="auto"/>
        <w:rPr>
          <w:rFonts w:ascii="Arial" w:hAnsi="Arial" w:cs="Arial"/>
          <w:i/>
          <w:sz w:val="22"/>
        </w:rPr>
      </w:pPr>
      <w:r w:rsidRPr="0069009B">
        <w:rPr>
          <w:rFonts w:ascii="Arial" w:hAnsi="Arial" w:cs="Arial"/>
          <w:i/>
          <w:sz w:val="22"/>
        </w:rPr>
        <w:t>Should the Commission consider providing an incentive mechanism allowing for sharing of gains as well as losses associated with a company’s hedging practices?</w:t>
      </w:r>
    </w:p>
    <w:p w14:paraId="7AF40CF0" w14:textId="77777777" w:rsidR="00DC2BAD" w:rsidRPr="0069009B" w:rsidRDefault="00DC2BAD" w:rsidP="00477657">
      <w:pPr>
        <w:pStyle w:val="ListParagraph"/>
        <w:numPr>
          <w:ilvl w:val="2"/>
          <w:numId w:val="4"/>
        </w:numPr>
        <w:spacing w:after="0" w:line="240" w:lineRule="auto"/>
        <w:rPr>
          <w:rFonts w:ascii="Arial" w:hAnsi="Arial" w:cs="Arial"/>
          <w:i/>
          <w:sz w:val="22"/>
        </w:rPr>
      </w:pPr>
      <w:r w:rsidRPr="0069009B">
        <w:rPr>
          <w:rFonts w:ascii="Arial" w:hAnsi="Arial" w:cs="Arial"/>
          <w:i/>
          <w:sz w:val="22"/>
        </w:rPr>
        <w:t>What should be the benchmark?</w:t>
      </w:r>
    </w:p>
    <w:p w14:paraId="7FA14320" w14:textId="77777777" w:rsidR="00DC2BAD" w:rsidRPr="0069009B" w:rsidRDefault="00DC2BAD" w:rsidP="00477657">
      <w:pPr>
        <w:pStyle w:val="ListParagraph"/>
        <w:numPr>
          <w:ilvl w:val="2"/>
          <w:numId w:val="4"/>
        </w:numPr>
        <w:spacing w:after="0" w:line="240" w:lineRule="auto"/>
        <w:rPr>
          <w:rFonts w:ascii="Arial" w:hAnsi="Arial" w:cs="Arial"/>
          <w:i/>
          <w:sz w:val="22"/>
        </w:rPr>
      </w:pPr>
      <w:r w:rsidRPr="0069009B">
        <w:rPr>
          <w:rFonts w:ascii="Arial" w:hAnsi="Arial" w:cs="Arial"/>
          <w:i/>
          <w:sz w:val="22"/>
        </w:rPr>
        <w:t>What are the challenges in developing an incentive mechanism?</w:t>
      </w:r>
    </w:p>
    <w:p w14:paraId="68993136" w14:textId="77777777" w:rsidR="00DC2BAD" w:rsidRPr="0069009B" w:rsidRDefault="00DC2BAD" w:rsidP="00DC2BAD">
      <w:pPr>
        <w:spacing w:after="0" w:line="240" w:lineRule="auto"/>
        <w:rPr>
          <w:rFonts w:ascii="Arial" w:hAnsi="Arial" w:cs="Arial"/>
          <w:sz w:val="22"/>
        </w:rPr>
      </w:pPr>
    </w:p>
    <w:p w14:paraId="5801D7EE" w14:textId="77777777" w:rsidR="000000C8" w:rsidRPr="0069009B" w:rsidRDefault="00DC2BAD" w:rsidP="00DC2BAD">
      <w:pPr>
        <w:spacing w:after="0" w:line="240" w:lineRule="auto"/>
        <w:rPr>
          <w:rFonts w:ascii="Arial" w:hAnsi="Arial" w:cs="Arial"/>
          <w:sz w:val="22"/>
        </w:rPr>
      </w:pPr>
      <w:r w:rsidRPr="0069009B">
        <w:rPr>
          <w:rFonts w:ascii="Arial" w:hAnsi="Arial" w:cs="Arial"/>
          <w:sz w:val="22"/>
        </w:rPr>
        <w:t>Response:</w:t>
      </w:r>
    </w:p>
    <w:p w14:paraId="59C5B434" w14:textId="77777777" w:rsidR="002231CE" w:rsidRPr="0069009B" w:rsidRDefault="002231CE" w:rsidP="00DC2BAD">
      <w:pPr>
        <w:spacing w:after="0" w:line="240" w:lineRule="auto"/>
        <w:rPr>
          <w:rFonts w:ascii="Arial" w:hAnsi="Arial" w:cs="Arial"/>
          <w:sz w:val="22"/>
        </w:rPr>
      </w:pPr>
    </w:p>
    <w:p w14:paraId="109F1A91" w14:textId="556E34A7" w:rsidR="00DC2BAD" w:rsidRPr="0069009B" w:rsidRDefault="000000C8" w:rsidP="00DB5B6B">
      <w:pPr>
        <w:spacing w:after="0" w:line="240" w:lineRule="auto"/>
        <w:ind w:firstLine="720"/>
        <w:rPr>
          <w:rFonts w:ascii="Arial" w:hAnsi="Arial" w:cs="Arial"/>
          <w:sz w:val="22"/>
        </w:rPr>
      </w:pPr>
      <w:r w:rsidRPr="0069009B">
        <w:rPr>
          <w:rFonts w:ascii="Arial" w:hAnsi="Arial" w:cs="Arial"/>
          <w:sz w:val="22"/>
        </w:rPr>
        <w:t>No</w:t>
      </w:r>
      <w:r w:rsidR="00547011" w:rsidRPr="0069009B">
        <w:rPr>
          <w:rFonts w:ascii="Arial" w:hAnsi="Arial" w:cs="Arial"/>
          <w:sz w:val="22"/>
        </w:rPr>
        <w:t xml:space="preserve">.  NW Natural believes that </w:t>
      </w:r>
      <w:r w:rsidRPr="0069009B">
        <w:rPr>
          <w:rFonts w:ascii="Arial" w:hAnsi="Arial" w:cs="Arial"/>
          <w:sz w:val="22"/>
        </w:rPr>
        <w:t xml:space="preserve">such an incentive mechanism </w:t>
      </w:r>
      <w:r w:rsidR="00547011" w:rsidRPr="0069009B">
        <w:rPr>
          <w:rFonts w:ascii="Arial" w:hAnsi="Arial" w:cs="Arial"/>
          <w:sz w:val="22"/>
        </w:rPr>
        <w:t xml:space="preserve">related to hedging </w:t>
      </w:r>
      <w:r w:rsidRPr="0069009B">
        <w:rPr>
          <w:rFonts w:ascii="Arial" w:hAnsi="Arial" w:cs="Arial"/>
          <w:sz w:val="22"/>
        </w:rPr>
        <w:t xml:space="preserve">would </w:t>
      </w:r>
      <w:r w:rsidR="00547011" w:rsidRPr="0069009B">
        <w:rPr>
          <w:rFonts w:ascii="Arial" w:hAnsi="Arial" w:cs="Arial"/>
          <w:sz w:val="22"/>
        </w:rPr>
        <w:t xml:space="preserve">send the signal that </w:t>
      </w:r>
      <w:r w:rsidRPr="0069009B">
        <w:rPr>
          <w:rFonts w:ascii="Arial" w:hAnsi="Arial" w:cs="Arial"/>
          <w:sz w:val="22"/>
        </w:rPr>
        <w:t xml:space="preserve">the LDCs </w:t>
      </w:r>
      <w:r w:rsidR="00547011" w:rsidRPr="0069009B">
        <w:rPr>
          <w:rFonts w:ascii="Arial" w:hAnsi="Arial" w:cs="Arial"/>
          <w:sz w:val="22"/>
        </w:rPr>
        <w:t xml:space="preserve">should </w:t>
      </w:r>
      <w:r w:rsidRPr="0069009B">
        <w:rPr>
          <w:rFonts w:ascii="Arial" w:hAnsi="Arial" w:cs="Arial"/>
          <w:sz w:val="22"/>
        </w:rPr>
        <w:t xml:space="preserve">try to be “market timers” rather than prudent managers of their gas costs.  </w:t>
      </w:r>
      <w:r w:rsidR="00547011" w:rsidRPr="0069009B">
        <w:rPr>
          <w:rFonts w:ascii="Arial" w:hAnsi="Arial" w:cs="Arial"/>
          <w:sz w:val="22"/>
        </w:rPr>
        <w:t xml:space="preserve">In other words, it would introduce the element of speculation into hedging strategies, which NW Natural believes in inappropriate.  NW Natural notes that in Oregon, where there is a sharing mechanism related to WACOG gains and losses, hedges are treated differently, with the full costs of hedges </w:t>
      </w:r>
      <w:r w:rsidR="00D8101F" w:rsidRPr="0069009B">
        <w:rPr>
          <w:rFonts w:ascii="Arial" w:hAnsi="Arial" w:cs="Arial"/>
          <w:sz w:val="22"/>
        </w:rPr>
        <w:t xml:space="preserve">entered into prior to the annual PGA filing </w:t>
      </w:r>
      <w:r w:rsidR="00547011" w:rsidRPr="0069009B">
        <w:rPr>
          <w:rFonts w:ascii="Arial" w:hAnsi="Arial" w:cs="Arial"/>
          <w:sz w:val="22"/>
        </w:rPr>
        <w:t xml:space="preserve">being deferred and passed through without sharing.  </w:t>
      </w:r>
    </w:p>
    <w:p w14:paraId="42CAE0D3" w14:textId="77777777" w:rsidR="000000C8" w:rsidRPr="0069009B" w:rsidRDefault="000000C8" w:rsidP="00DC2BAD">
      <w:pPr>
        <w:spacing w:after="0" w:line="240" w:lineRule="auto"/>
        <w:rPr>
          <w:rFonts w:ascii="Arial" w:hAnsi="Arial" w:cs="Arial"/>
          <w:sz w:val="22"/>
        </w:rPr>
      </w:pPr>
    </w:p>
    <w:p w14:paraId="7C1FE8AC" w14:textId="77777777" w:rsidR="000000C8" w:rsidRPr="0069009B" w:rsidRDefault="000A7FBA" w:rsidP="00477657">
      <w:pPr>
        <w:pStyle w:val="ListParagraph"/>
        <w:numPr>
          <w:ilvl w:val="1"/>
          <w:numId w:val="4"/>
        </w:numPr>
        <w:spacing w:after="0" w:line="240" w:lineRule="auto"/>
        <w:rPr>
          <w:rFonts w:ascii="Arial" w:hAnsi="Arial" w:cs="Arial"/>
          <w:i/>
          <w:sz w:val="22"/>
        </w:rPr>
      </w:pPr>
      <w:r w:rsidRPr="0069009B">
        <w:rPr>
          <w:rFonts w:ascii="Arial" w:hAnsi="Arial" w:cs="Arial"/>
          <w:i/>
          <w:sz w:val="22"/>
        </w:rPr>
        <w:t>It is feasible to develop a financial model that would provide a benchmark the Commission could use as a “safe harbor” when evaluating a company’s hedging performance?</w:t>
      </w:r>
    </w:p>
    <w:p w14:paraId="6F2E0F82" w14:textId="77777777" w:rsidR="000A7FBA" w:rsidRPr="0069009B" w:rsidRDefault="000A7FBA" w:rsidP="00477657">
      <w:pPr>
        <w:pStyle w:val="ListParagraph"/>
        <w:numPr>
          <w:ilvl w:val="2"/>
          <w:numId w:val="4"/>
        </w:numPr>
        <w:spacing w:after="0" w:line="240" w:lineRule="auto"/>
        <w:rPr>
          <w:rFonts w:ascii="Arial" w:hAnsi="Arial" w:cs="Arial"/>
          <w:i/>
          <w:sz w:val="22"/>
        </w:rPr>
      </w:pPr>
      <w:r w:rsidRPr="0069009B">
        <w:rPr>
          <w:rFonts w:ascii="Arial" w:hAnsi="Arial" w:cs="Arial"/>
          <w:i/>
          <w:sz w:val="22"/>
        </w:rPr>
        <w:lastRenderedPageBreak/>
        <w:t>Assuming the Commission decides to establish requirements or set limitations on hedging, as discussed above, by what means should the Commission act?</w:t>
      </w:r>
    </w:p>
    <w:p w14:paraId="5515E656" w14:textId="77777777" w:rsidR="000A7FBA" w:rsidRPr="0069009B" w:rsidRDefault="000A7FBA" w:rsidP="00477657">
      <w:pPr>
        <w:pStyle w:val="ListParagraph"/>
        <w:numPr>
          <w:ilvl w:val="3"/>
          <w:numId w:val="4"/>
        </w:numPr>
        <w:spacing w:after="0" w:line="240" w:lineRule="auto"/>
        <w:rPr>
          <w:rFonts w:ascii="Arial" w:hAnsi="Arial" w:cs="Arial"/>
          <w:i/>
          <w:sz w:val="22"/>
        </w:rPr>
      </w:pPr>
      <w:r w:rsidRPr="0069009B">
        <w:rPr>
          <w:rFonts w:ascii="Arial" w:hAnsi="Arial" w:cs="Arial"/>
          <w:i/>
          <w:sz w:val="22"/>
        </w:rPr>
        <w:t>Rule,</w:t>
      </w:r>
    </w:p>
    <w:p w14:paraId="443251AD" w14:textId="77777777" w:rsidR="000A7FBA" w:rsidRPr="0069009B" w:rsidRDefault="000A7FBA" w:rsidP="00477657">
      <w:pPr>
        <w:pStyle w:val="ListParagraph"/>
        <w:numPr>
          <w:ilvl w:val="3"/>
          <w:numId w:val="4"/>
        </w:numPr>
        <w:spacing w:after="0" w:line="240" w:lineRule="auto"/>
        <w:rPr>
          <w:rFonts w:ascii="Arial" w:hAnsi="Arial" w:cs="Arial"/>
          <w:i/>
          <w:sz w:val="22"/>
        </w:rPr>
      </w:pPr>
      <w:r w:rsidRPr="0069009B">
        <w:rPr>
          <w:rFonts w:ascii="Arial" w:hAnsi="Arial" w:cs="Arial"/>
          <w:i/>
          <w:sz w:val="22"/>
        </w:rPr>
        <w:t>Order applicable to all companies following a hearing,</w:t>
      </w:r>
    </w:p>
    <w:p w14:paraId="59742AEB" w14:textId="77777777" w:rsidR="000A7FBA" w:rsidRPr="0069009B" w:rsidRDefault="000A7FBA" w:rsidP="00477657">
      <w:pPr>
        <w:pStyle w:val="ListParagraph"/>
        <w:numPr>
          <w:ilvl w:val="3"/>
          <w:numId w:val="4"/>
        </w:numPr>
        <w:spacing w:after="0" w:line="240" w:lineRule="auto"/>
        <w:rPr>
          <w:rFonts w:ascii="Arial" w:hAnsi="Arial" w:cs="Arial"/>
          <w:i/>
          <w:sz w:val="22"/>
        </w:rPr>
      </w:pPr>
      <w:r w:rsidRPr="0069009B">
        <w:rPr>
          <w:rFonts w:ascii="Arial" w:hAnsi="Arial" w:cs="Arial"/>
          <w:i/>
          <w:sz w:val="22"/>
        </w:rPr>
        <w:t>Company-specific orders after individual hearings,</w:t>
      </w:r>
    </w:p>
    <w:p w14:paraId="589F67BD" w14:textId="77777777" w:rsidR="000A7FBA" w:rsidRPr="0069009B" w:rsidRDefault="000A7FBA" w:rsidP="00477657">
      <w:pPr>
        <w:pStyle w:val="ListParagraph"/>
        <w:numPr>
          <w:ilvl w:val="3"/>
          <w:numId w:val="4"/>
        </w:numPr>
        <w:spacing w:after="0" w:line="240" w:lineRule="auto"/>
        <w:rPr>
          <w:rFonts w:ascii="Arial" w:hAnsi="Arial" w:cs="Arial"/>
          <w:i/>
          <w:sz w:val="22"/>
        </w:rPr>
      </w:pPr>
      <w:r w:rsidRPr="0069009B">
        <w:rPr>
          <w:rFonts w:ascii="Arial" w:hAnsi="Arial" w:cs="Arial"/>
          <w:i/>
          <w:sz w:val="22"/>
        </w:rPr>
        <w:t>Non-binding policy statement,</w:t>
      </w:r>
    </w:p>
    <w:p w14:paraId="765BACDA" w14:textId="77777777" w:rsidR="000A7FBA" w:rsidRPr="0069009B" w:rsidRDefault="000A7FBA" w:rsidP="00477657">
      <w:pPr>
        <w:pStyle w:val="ListParagraph"/>
        <w:numPr>
          <w:ilvl w:val="3"/>
          <w:numId w:val="4"/>
        </w:numPr>
        <w:spacing w:after="0" w:line="240" w:lineRule="auto"/>
        <w:rPr>
          <w:rFonts w:ascii="Arial" w:hAnsi="Arial" w:cs="Arial"/>
          <w:i/>
          <w:sz w:val="22"/>
        </w:rPr>
      </w:pPr>
      <w:r w:rsidRPr="0069009B">
        <w:rPr>
          <w:rFonts w:ascii="Arial" w:hAnsi="Arial" w:cs="Arial"/>
          <w:i/>
          <w:sz w:val="22"/>
        </w:rPr>
        <w:t>Other</w:t>
      </w:r>
    </w:p>
    <w:p w14:paraId="36031651" w14:textId="77777777" w:rsidR="000A7FBA" w:rsidRPr="0069009B" w:rsidRDefault="000A7FBA" w:rsidP="000A7FBA">
      <w:pPr>
        <w:spacing w:after="0" w:line="240" w:lineRule="auto"/>
        <w:rPr>
          <w:rFonts w:ascii="Arial" w:hAnsi="Arial" w:cs="Arial"/>
          <w:i/>
          <w:sz w:val="22"/>
        </w:rPr>
      </w:pPr>
    </w:p>
    <w:p w14:paraId="2F7BE34A" w14:textId="77777777" w:rsidR="000A7FBA" w:rsidRPr="0069009B" w:rsidRDefault="000A7FBA" w:rsidP="000A7FBA">
      <w:pPr>
        <w:spacing w:after="0" w:line="240" w:lineRule="auto"/>
        <w:rPr>
          <w:rFonts w:ascii="Arial" w:hAnsi="Arial" w:cs="Arial"/>
          <w:i/>
          <w:sz w:val="22"/>
        </w:rPr>
      </w:pPr>
      <w:r w:rsidRPr="0069009B">
        <w:rPr>
          <w:rFonts w:ascii="Arial" w:hAnsi="Arial" w:cs="Arial"/>
          <w:sz w:val="22"/>
        </w:rPr>
        <w:t>Response</w:t>
      </w:r>
      <w:r w:rsidRPr="0069009B">
        <w:rPr>
          <w:rFonts w:ascii="Arial" w:hAnsi="Arial" w:cs="Arial"/>
          <w:i/>
          <w:sz w:val="22"/>
        </w:rPr>
        <w:t>:</w:t>
      </w:r>
    </w:p>
    <w:p w14:paraId="3ECB5AC2" w14:textId="77777777" w:rsidR="00B839B5" w:rsidRPr="0069009B" w:rsidRDefault="00B839B5" w:rsidP="000A7FBA">
      <w:pPr>
        <w:spacing w:after="0" w:line="240" w:lineRule="auto"/>
        <w:rPr>
          <w:rFonts w:ascii="Arial" w:hAnsi="Arial" w:cs="Arial"/>
          <w:sz w:val="22"/>
        </w:rPr>
      </w:pPr>
    </w:p>
    <w:p w14:paraId="1A65AC41" w14:textId="663CE2D9" w:rsidR="000A7FBA" w:rsidRPr="0069009B" w:rsidRDefault="000A7FBA" w:rsidP="00DB5B6B">
      <w:pPr>
        <w:spacing w:after="0" w:line="240" w:lineRule="auto"/>
        <w:ind w:firstLine="720"/>
        <w:rPr>
          <w:rFonts w:ascii="Arial" w:hAnsi="Arial" w:cs="Arial"/>
          <w:sz w:val="22"/>
        </w:rPr>
      </w:pPr>
      <w:r w:rsidRPr="0069009B">
        <w:rPr>
          <w:rFonts w:ascii="Arial" w:hAnsi="Arial" w:cs="Arial"/>
          <w:sz w:val="22"/>
        </w:rPr>
        <w:t xml:space="preserve">NW Natural </w:t>
      </w:r>
      <w:r w:rsidR="00B839B5" w:rsidRPr="0069009B">
        <w:rPr>
          <w:rFonts w:ascii="Arial" w:hAnsi="Arial" w:cs="Arial"/>
          <w:sz w:val="22"/>
        </w:rPr>
        <w:t xml:space="preserve">believes that it would be difficult to develop a </w:t>
      </w:r>
      <w:r w:rsidRPr="0069009B">
        <w:rPr>
          <w:rFonts w:ascii="Arial" w:hAnsi="Arial" w:cs="Arial"/>
          <w:sz w:val="22"/>
        </w:rPr>
        <w:t xml:space="preserve">“safe harbor” that would be the same for each LDC and the same from year to year.  However, </w:t>
      </w:r>
      <w:r w:rsidR="00B839B5" w:rsidRPr="0069009B">
        <w:rPr>
          <w:rFonts w:ascii="Arial" w:hAnsi="Arial" w:cs="Arial"/>
          <w:sz w:val="22"/>
        </w:rPr>
        <w:t>NW Natural is</w:t>
      </w:r>
      <w:r w:rsidRPr="0069009B">
        <w:rPr>
          <w:rFonts w:ascii="Arial" w:hAnsi="Arial" w:cs="Arial"/>
          <w:sz w:val="22"/>
        </w:rPr>
        <w:t xml:space="preserve"> certainly willing to explore this concept further.</w:t>
      </w:r>
    </w:p>
    <w:p w14:paraId="498E030B" w14:textId="77777777" w:rsidR="00B839B5" w:rsidRPr="0069009B" w:rsidRDefault="00B839B5" w:rsidP="000A7FBA">
      <w:pPr>
        <w:spacing w:after="0" w:line="240" w:lineRule="auto"/>
        <w:rPr>
          <w:rFonts w:ascii="Arial" w:hAnsi="Arial" w:cs="Arial"/>
          <w:sz w:val="22"/>
        </w:rPr>
      </w:pPr>
    </w:p>
    <w:p w14:paraId="68179722" w14:textId="494D0998" w:rsidR="00256BDD" w:rsidRPr="0069009B" w:rsidRDefault="00256BDD" w:rsidP="00DB5B6B">
      <w:pPr>
        <w:spacing w:after="0" w:line="240" w:lineRule="auto"/>
        <w:ind w:firstLine="720"/>
        <w:rPr>
          <w:rFonts w:ascii="Arial" w:hAnsi="Arial" w:cs="Arial"/>
          <w:sz w:val="22"/>
        </w:rPr>
      </w:pPr>
      <w:r w:rsidRPr="0069009B">
        <w:rPr>
          <w:rFonts w:ascii="Arial" w:hAnsi="Arial" w:cs="Arial"/>
          <w:sz w:val="22"/>
        </w:rPr>
        <w:t>Regarding the establishment of any requirements or limitations, we believe flexibility is important in order to avoid missing any opportunities</w:t>
      </w:r>
      <w:r w:rsidR="00B839B5" w:rsidRPr="0069009B">
        <w:rPr>
          <w:rFonts w:ascii="Arial" w:hAnsi="Arial" w:cs="Arial"/>
          <w:sz w:val="22"/>
        </w:rPr>
        <w:t xml:space="preserve"> that may not be fully contemplated at this time</w:t>
      </w:r>
      <w:r w:rsidRPr="0069009B">
        <w:rPr>
          <w:rFonts w:ascii="Arial" w:hAnsi="Arial" w:cs="Arial"/>
          <w:sz w:val="22"/>
        </w:rPr>
        <w:t xml:space="preserve">.  Accordingly, </w:t>
      </w:r>
      <w:r w:rsidR="00B839B5" w:rsidRPr="0069009B">
        <w:rPr>
          <w:rFonts w:ascii="Arial" w:hAnsi="Arial" w:cs="Arial"/>
          <w:sz w:val="22"/>
        </w:rPr>
        <w:t xml:space="preserve">any direction should provide for enough flexibility to allow appropriate deviations that may provide benefits.  In this regard, </w:t>
      </w:r>
      <w:r w:rsidRPr="0069009B">
        <w:rPr>
          <w:rFonts w:ascii="Arial" w:hAnsi="Arial" w:cs="Arial"/>
          <w:sz w:val="22"/>
        </w:rPr>
        <w:t xml:space="preserve">something </w:t>
      </w:r>
      <w:r w:rsidR="00B839B5" w:rsidRPr="0069009B">
        <w:rPr>
          <w:rFonts w:ascii="Arial" w:hAnsi="Arial" w:cs="Arial"/>
          <w:sz w:val="22"/>
        </w:rPr>
        <w:t>along the lines of</w:t>
      </w:r>
      <w:r w:rsidRPr="0069009B">
        <w:rPr>
          <w:rFonts w:ascii="Arial" w:hAnsi="Arial" w:cs="Arial"/>
          <w:sz w:val="22"/>
        </w:rPr>
        <w:t xml:space="preserve"> a non-binding policy statement</w:t>
      </w:r>
      <w:r w:rsidR="00B839B5" w:rsidRPr="0069009B">
        <w:rPr>
          <w:rFonts w:ascii="Arial" w:hAnsi="Arial" w:cs="Arial"/>
          <w:sz w:val="22"/>
        </w:rPr>
        <w:t xml:space="preserve">, as referred to above, may be appropriate if the Commission were to take this approach.  </w:t>
      </w:r>
    </w:p>
    <w:p w14:paraId="6C0DE0E5" w14:textId="77777777" w:rsidR="00BF6BBC" w:rsidRPr="0069009B" w:rsidRDefault="00BF6BBC" w:rsidP="000A7FBA">
      <w:pPr>
        <w:spacing w:after="0" w:line="240" w:lineRule="auto"/>
        <w:rPr>
          <w:rFonts w:ascii="Arial" w:hAnsi="Arial" w:cs="Arial"/>
          <w:sz w:val="22"/>
        </w:rPr>
      </w:pPr>
    </w:p>
    <w:p w14:paraId="6B79A075" w14:textId="77777777" w:rsidR="00BF6BBC" w:rsidRPr="0069009B" w:rsidRDefault="00BF6BBC" w:rsidP="000A7FBA">
      <w:pPr>
        <w:spacing w:after="0" w:line="240" w:lineRule="auto"/>
        <w:rPr>
          <w:rFonts w:ascii="Arial" w:hAnsi="Arial" w:cs="Arial"/>
          <w:sz w:val="22"/>
        </w:rPr>
      </w:pPr>
    </w:p>
    <w:p w14:paraId="340D9EAB" w14:textId="77777777" w:rsidR="00BF6BBC" w:rsidRPr="0069009B" w:rsidRDefault="00B839B5" w:rsidP="00DB5B6B">
      <w:pPr>
        <w:spacing w:after="0" w:line="240" w:lineRule="auto"/>
        <w:rPr>
          <w:rFonts w:ascii="Arial" w:hAnsi="Arial" w:cs="Arial"/>
          <w:b/>
          <w:sz w:val="22"/>
        </w:rPr>
      </w:pPr>
      <w:r w:rsidRPr="0069009B">
        <w:rPr>
          <w:rFonts w:ascii="Arial" w:hAnsi="Arial" w:cs="Arial"/>
          <w:b/>
          <w:sz w:val="22"/>
        </w:rPr>
        <w:t xml:space="preserve">Question 2:  </w:t>
      </w:r>
      <w:r w:rsidR="00BF6BBC" w:rsidRPr="0069009B">
        <w:rPr>
          <w:rFonts w:ascii="Arial" w:hAnsi="Arial" w:cs="Arial"/>
          <w:b/>
          <w:sz w:val="22"/>
        </w:rPr>
        <w:t>Purchased Gas Adjustment Mechanism (PGA) – WAC 480-90-233</w:t>
      </w:r>
    </w:p>
    <w:p w14:paraId="098CCAD6" w14:textId="77777777" w:rsidR="00272252" w:rsidRPr="0069009B" w:rsidRDefault="00272252" w:rsidP="00272252">
      <w:pPr>
        <w:pStyle w:val="ListParagraph"/>
        <w:spacing w:after="0" w:line="240" w:lineRule="auto"/>
        <w:ind w:left="360"/>
        <w:rPr>
          <w:rFonts w:ascii="Arial" w:hAnsi="Arial" w:cs="Arial"/>
          <w:sz w:val="22"/>
        </w:rPr>
      </w:pPr>
    </w:p>
    <w:p w14:paraId="794E1681" w14:textId="77777777" w:rsidR="00BF6BBC" w:rsidRPr="0069009B" w:rsidRDefault="00BF6BBC" w:rsidP="00272252">
      <w:pPr>
        <w:pStyle w:val="ListParagraph"/>
        <w:spacing w:after="0" w:line="240" w:lineRule="auto"/>
        <w:ind w:left="360"/>
        <w:rPr>
          <w:rFonts w:ascii="Arial" w:hAnsi="Arial" w:cs="Arial"/>
          <w:i/>
          <w:sz w:val="22"/>
        </w:rPr>
      </w:pPr>
      <w:r w:rsidRPr="0069009B">
        <w:rPr>
          <w:rFonts w:ascii="Arial" w:hAnsi="Arial" w:cs="Arial"/>
          <w:i/>
          <w:sz w:val="22"/>
        </w:rPr>
        <w:t>Although purchased gas costs include costs beyond hedging costs, hedging gains and losses can make up a material portion of the associated rate adjustment.  The Commission believes it is important as part of this inquiry to examine certain aspects of the PGA filing requirements as they relate to hedging.</w:t>
      </w:r>
    </w:p>
    <w:p w14:paraId="43C25DDB" w14:textId="77777777" w:rsidR="00BF6BBC" w:rsidRPr="0069009B" w:rsidRDefault="00BF6BBC" w:rsidP="00BF6BBC">
      <w:pPr>
        <w:spacing w:after="0" w:line="240" w:lineRule="auto"/>
        <w:rPr>
          <w:rFonts w:ascii="Arial" w:hAnsi="Arial" w:cs="Arial"/>
          <w:i/>
          <w:sz w:val="22"/>
        </w:rPr>
      </w:pPr>
    </w:p>
    <w:p w14:paraId="1297724D" w14:textId="77777777" w:rsidR="00272252" w:rsidRPr="0069009B" w:rsidRDefault="00BF6BBC" w:rsidP="00272252">
      <w:pPr>
        <w:pStyle w:val="ListParagraph"/>
        <w:numPr>
          <w:ilvl w:val="1"/>
          <w:numId w:val="12"/>
        </w:numPr>
        <w:spacing w:after="0" w:line="240" w:lineRule="auto"/>
        <w:rPr>
          <w:rFonts w:ascii="Arial" w:hAnsi="Arial" w:cs="Arial"/>
          <w:i/>
          <w:sz w:val="22"/>
        </w:rPr>
      </w:pPr>
      <w:r w:rsidRPr="0069009B">
        <w:rPr>
          <w:rFonts w:ascii="Arial" w:hAnsi="Arial" w:cs="Arial"/>
          <w:i/>
          <w:sz w:val="22"/>
        </w:rPr>
        <w:t>Washington compa</w:t>
      </w:r>
      <w:r w:rsidR="00272252" w:rsidRPr="0069009B">
        <w:rPr>
          <w:rFonts w:ascii="Arial" w:hAnsi="Arial" w:cs="Arial"/>
          <w:i/>
          <w:sz w:val="22"/>
        </w:rPr>
        <w:t>n</w:t>
      </w:r>
      <w:r w:rsidRPr="0069009B">
        <w:rPr>
          <w:rFonts w:ascii="Arial" w:hAnsi="Arial" w:cs="Arial"/>
          <w:i/>
          <w:sz w:val="22"/>
        </w:rPr>
        <w:t>ies</w:t>
      </w:r>
      <w:r w:rsidR="00272252" w:rsidRPr="0069009B">
        <w:rPr>
          <w:rFonts w:ascii="Arial" w:hAnsi="Arial" w:cs="Arial"/>
          <w:i/>
          <w:sz w:val="22"/>
        </w:rPr>
        <w:t xml:space="preserve"> file adjustments to their PGA mechanisms annually.  However, some stakeholders have suggested that annual filings fail to provide proper economic signals to consumers and may actually contribute to large swings in rates due to the accumulation of under-recovered or over-recovered amounts.</w:t>
      </w:r>
    </w:p>
    <w:p w14:paraId="5708C259" w14:textId="77777777" w:rsidR="000000C8" w:rsidRPr="0069009B" w:rsidRDefault="00272252" w:rsidP="00272252">
      <w:pPr>
        <w:pStyle w:val="ListParagraph"/>
        <w:numPr>
          <w:ilvl w:val="2"/>
          <w:numId w:val="12"/>
        </w:numPr>
        <w:spacing w:after="0" w:line="240" w:lineRule="auto"/>
        <w:rPr>
          <w:rFonts w:ascii="Arial" w:hAnsi="Arial" w:cs="Arial"/>
          <w:i/>
          <w:sz w:val="22"/>
        </w:rPr>
      </w:pPr>
      <w:r w:rsidRPr="0069009B">
        <w:rPr>
          <w:rFonts w:ascii="Arial" w:hAnsi="Arial" w:cs="Arial"/>
          <w:i/>
          <w:sz w:val="22"/>
        </w:rPr>
        <w:t>Should the Commission require more frequent PGA filings, such as semi-annually, quarterly or even monthly?</w:t>
      </w:r>
    </w:p>
    <w:p w14:paraId="0614AA06" w14:textId="77777777" w:rsidR="00272252" w:rsidRPr="0069009B" w:rsidRDefault="00272252" w:rsidP="00272252">
      <w:pPr>
        <w:pStyle w:val="ListParagraph"/>
        <w:numPr>
          <w:ilvl w:val="2"/>
          <w:numId w:val="12"/>
        </w:numPr>
        <w:spacing w:after="0" w:line="240" w:lineRule="auto"/>
        <w:rPr>
          <w:rFonts w:ascii="Arial" w:hAnsi="Arial" w:cs="Arial"/>
          <w:i/>
          <w:sz w:val="22"/>
        </w:rPr>
      </w:pPr>
      <w:r w:rsidRPr="0069009B">
        <w:rPr>
          <w:rFonts w:ascii="Arial" w:hAnsi="Arial" w:cs="Arial"/>
          <w:i/>
          <w:sz w:val="22"/>
        </w:rPr>
        <w:t>If companies make more frequent, to what extent should the companies provide additional supporting data and narrative above those already provided in its annual filing?  (Please address the additional resources that the Commission may require to process the additional filings.)</w:t>
      </w:r>
    </w:p>
    <w:p w14:paraId="61CB6BEA" w14:textId="77777777" w:rsidR="00272252" w:rsidRPr="0069009B" w:rsidRDefault="00272252" w:rsidP="00272252">
      <w:pPr>
        <w:pStyle w:val="ListParagraph"/>
        <w:spacing w:after="0" w:line="240" w:lineRule="auto"/>
        <w:ind w:left="360"/>
        <w:rPr>
          <w:rFonts w:ascii="Arial" w:hAnsi="Arial" w:cs="Arial"/>
          <w:sz w:val="22"/>
        </w:rPr>
      </w:pPr>
    </w:p>
    <w:p w14:paraId="53F7D1A3" w14:textId="77777777" w:rsidR="00272252" w:rsidRPr="0069009B" w:rsidRDefault="00272252" w:rsidP="00272252">
      <w:pPr>
        <w:spacing w:after="0" w:line="240" w:lineRule="auto"/>
        <w:rPr>
          <w:rFonts w:ascii="Arial" w:hAnsi="Arial" w:cs="Arial"/>
          <w:sz w:val="22"/>
        </w:rPr>
      </w:pPr>
      <w:r w:rsidRPr="0069009B">
        <w:rPr>
          <w:rFonts w:ascii="Arial" w:hAnsi="Arial" w:cs="Arial"/>
          <w:sz w:val="22"/>
        </w:rPr>
        <w:t>Response:</w:t>
      </w:r>
    </w:p>
    <w:p w14:paraId="65324E0D" w14:textId="77777777" w:rsidR="00B839B5" w:rsidRPr="0069009B" w:rsidRDefault="00B839B5" w:rsidP="00272252">
      <w:pPr>
        <w:spacing w:after="0" w:line="240" w:lineRule="auto"/>
        <w:rPr>
          <w:rFonts w:ascii="Arial" w:hAnsi="Arial" w:cs="Arial"/>
          <w:sz w:val="22"/>
        </w:rPr>
      </w:pPr>
    </w:p>
    <w:p w14:paraId="55E941E1" w14:textId="732FD41C" w:rsidR="00B839B5" w:rsidRPr="0069009B" w:rsidRDefault="00B839B5" w:rsidP="00DB5B6B">
      <w:pPr>
        <w:spacing w:after="0" w:line="240" w:lineRule="auto"/>
        <w:ind w:firstLine="720"/>
        <w:rPr>
          <w:rFonts w:ascii="Arial" w:hAnsi="Arial" w:cs="Arial"/>
          <w:sz w:val="22"/>
        </w:rPr>
      </w:pPr>
      <w:r w:rsidRPr="0069009B">
        <w:rPr>
          <w:rFonts w:ascii="Arial" w:hAnsi="Arial" w:cs="Arial"/>
          <w:sz w:val="22"/>
        </w:rPr>
        <w:t xml:space="preserve">NW Natural believes that it is clear that </w:t>
      </w:r>
      <w:r w:rsidR="00272252" w:rsidRPr="0069009B">
        <w:rPr>
          <w:rFonts w:ascii="Arial" w:hAnsi="Arial" w:cs="Arial"/>
          <w:sz w:val="22"/>
        </w:rPr>
        <w:t xml:space="preserve">additional filings </w:t>
      </w:r>
      <w:r w:rsidRPr="0069009B">
        <w:rPr>
          <w:rFonts w:ascii="Arial" w:hAnsi="Arial" w:cs="Arial"/>
          <w:sz w:val="22"/>
        </w:rPr>
        <w:t xml:space="preserve">would </w:t>
      </w:r>
      <w:r w:rsidR="00272252" w:rsidRPr="0069009B">
        <w:rPr>
          <w:rFonts w:ascii="Arial" w:hAnsi="Arial" w:cs="Arial"/>
          <w:sz w:val="22"/>
        </w:rPr>
        <w:t xml:space="preserve">require additional time and resources on the part of the LDCs, the Commission, its Staff and any intervenors.  </w:t>
      </w:r>
      <w:r w:rsidR="005262B9" w:rsidRPr="0069009B">
        <w:rPr>
          <w:rFonts w:ascii="Arial" w:hAnsi="Arial" w:cs="Arial"/>
          <w:sz w:val="22"/>
        </w:rPr>
        <w:t xml:space="preserve">Accordingly, given these additional costs, there should be demonstrable benefits to customers before changing the </w:t>
      </w:r>
      <w:r w:rsidRPr="0069009B">
        <w:rPr>
          <w:rFonts w:ascii="Arial" w:hAnsi="Arial" w:cs="Arial"/>
          <w:sz w:val="22"/>
        </w:rPr>
        <w:t>current approach of an annual filing</w:t>
      </w:r>
      <w:r w:rsidR="005262B9" w:rsidRPr="0069009B">
        <w:rPr>
          <w:rFonts w:ascii="Arial" w:hAnsi="Arial" w:cs="Arial"/>
          <w:sz w:val="22"/>
        </w:rPr>
        <w:t>.</w:t>
      </w:r>
      <w:r w:rsidR="00272252" w:rsidRPr="0069009B">
        <w:rPr>
          <w:rFonts w:ascii="Arial" w:hAnsi="Arial" w:cs="Arial"/>
          <w:sz w:val="22"/>
        </w:rPr>
        <w:t xml:space="preserve"> </w:t>
      </w:r>
      <w:r w:rsidR="005262B9" w:rsidRPr="0069009B">
        <w:rPr>
          <w:rFonts w:ascii="Arial" w:hAnsi="Arial" w:cs="Arial"/>
          <w:sz w:val="22"/>
        </w:rPr>
        <w:t xml:space="preserve"> </w:t>
      </w:r>
      <w:r w:rsidRPr="0069009B">
        <w:rPr>
          <w:rFonts w:ascii="Arial" w:hAnsi="Arial" w:cs="Arial"/>
          <w:sz w:val="22"/>
        </w:rPr>
        <w:t>Some relevant questions may include:  I</w:t>
      </w:r>
      <w:r w:rsidR="005262B9" w:rsidRPr="0069009B">
        <w:rPr>
          <w:rFonts w:ascii="Arial" w:hAnsi="Arial" w:cs="Arial"/>
          <w:sz w:val="22"/>
        </w:rPr>
        <w:t xml:space="preserve">s short-term price elasticity observed in all customers groups such that monthly or quarterly rate changes would </w:t>
      </w:r>
      <w:r w:rsidRPr="0069009B">
        <w:rPr>
          <w:rFonts w:ascii="Arial" w:hAnsi="Arial" w:cs="Arial"/>
          <w:sz w:val="22"/>
        </w:rPr>
        <w:t xml:space="preserve">be expected to </w:t>
      </w:r>
      <w:r w:rsidR="005262B9" w:rsidRPr="0069009B">
        <w:rPr>
          <w:rFonts w:ascii="Arial" w:hAnsi="Arial" w:cs="Arial"/>
          <w:sz w:val="22"/>
        </w:rPr>
        <w:t xml:space="preserve">affect behaviors?  If price elasticity is really a long-run phenomenon, </w:t>
      </w:r>
      <w:r w:rsidRPr="0069009B">
        <w:rPr>
          <w:rFonts w:ascii="Arial" w:hAnsi="Arial" w:cs="Arial"/>
          <w:sz w:val="22"/>
        </w:rPr>
        <w:t xml:space="preserve">then </w:t>
      </w:r>
      <w:r w:rsidR="005262B9" w:rsidRPr="0069009B">
        <w:rPr>
          <w:rFonts w:ascii="Arial" w:hAnsi="Arial" w:cs="Arial"/>
          <w:sz w:val="22"/>
        </w:rPr>
        <w:t>would multiple rate changes have a</w:t>
      </w:r>
      <w:r w:rsidRPr="0069009B">
        <w:rPr>
          <w:rFonts w:ascii="Arial" w:hAnsi="Arial" w:cs="Arial"/>
          <w:sz w:val="22"/>
        </w:rPr>
        <w:t xml:space="preserve"> significant</w:t>
      </w:r>
      <w:r w:rsidR="005262B9" w:rsidRPr="0069009B">
        <w:rPr>
          <w:rFonts w:ascii="Arial" w:hAnsi="Arial" w:cs="Arial"/>
          <w:sz w:val="22"/>
        </w:rPr>
        <w:t xml:space="preserve"> impact on consumption?  </w:t>
      </w:r>
      <w:r w:rsidR="005262B9" w:rsidRPr="0069009B">
        <w:rPr>
          <w:rFonts w:ascii="Arial" w:hAnsi="Arial" w:cs="Arial"/>
          <w:sz w:val="22"/>
        </w:rPr>
        <w:lastRenderedPageBreak/>
        <w:t>Could these multiple rate changes have the reverse effect of creating a misperception that natural gas prices are more volatile than they actually ar</w:t>
      </w:r>
      <w:r w:rsidRPr="0069009B">
        <w:rPr>
          <w:rFonts w:ascii="Arial" w:hAnsi="Arial" w:cs="Arial"/>
          <w:sz w:val="22"/>
        </w:rPr>
        <w:t xml:space="preserve">e?  Would multiple rate changes actually have the effect of masking changes in gas prices year to year, such that the price signal to customers would be even less clear?  </w:t>
      </w:r>
    </w:p>
    <w:p w14:paraId="709149EC" w14:textId="77777777" w:rsidR="00B839B5" w:rsidRPr="0069009B" w:rsidRDefault="00B839B5" w:rsidP="00DB5B6B">
      <w:pPr>
        <w:spacing w:after="0" w:line="240" w:lineRule="auto"/>
        <w:ind w:firstLine="720"/>
        <w:rPr>
          <w:rFonts w:ascii="Arial" w:hAnsi="Arial" w:cs="Arial"/>
          <w:sz w:val="22"/>
        </w:rPr>
      </w:pPr>
    </w:p>
    <w:p w14:paraId="10CDE63D" w14:textId="7AFED8F3" w:rsidR="00272252" w:rsidRPr="0069009B" w:rsidRDefault="00B839B5" w:rsidP="00DB5B6B">
      <w:pPr>
        <w:spacing w:after="0" w:line="240" w:lineRule="auto"/>
        <w:ind w:firstLine="720"/>
        <w:rPr>
          <w:rFonts w:ascii="Arial" w:hAnsi="Arial" w:cs="Arial"/>
          <w:sz w:val="22"/>
        </w:rPr>
      </w:pPr>
      <w:r w:rsidRPr="0069009B">
        <w:rPr>
          <w:rFonts w:ascii="Arial" w:hAnsi="Arial" w:cs="Arial"/>
          <w:sz w:val="22"/>
        </w:rPr>
        <w:t xml:space="preserve">NW Natural believes that these issues should be more fully explored before any decision to move toward more frequent gas rate changes.  </w:t>
      </w:r>
      <w:r w:rsidR="00452DC3" w:rsidRPr="0069009B">
        <w:rPr>
          <w:rFonts w:ascii="Arial" w:hAnsi="Arial" w:cs="Arial"/>
          <w:sz w:val="22"/>
        </w:rPr>
        <w:t xml:space="preserve">NW Natural also notes that in instances where the deferred variances between actual gas costs and forecast gas costs become large during a PGA year, NW Natural and other utilities have been willing to make refunds to customers as appropriate to provide rate relief sooner than would have otherwise been the case under an annual PGA.  Thus, to the extent the Commission’s question relates to concerns about variances in gas costs during the PGA year, we note that this problem can be addressed on a case specific basis.  </w:t>
      </w:r>
      <w:r w:rsidR="005262B9" w:rsidRPr="0069009B">
        <w:rPr>
          <w:rFonts w:ascii="Arial" w:hAnsi="Arial" w:cs="Arial"/>
          <w:sz w:val="22"/>
        </w:rPr>
        <w:t xml:space="preserve"> </w:t>
      </w:r>
    </w:p>
    <w:p w14:paraId="46065D3E" w14:textId="77777777" w:rsidR="00272252" w:rsidRPr="0069009B" w:rsidRDefault="00272252" w:rsidP="00272252">
      <w:pPr>
        <w:pStyle w:val="ListParagraph"/>
        <w:spacing w:after="0" w:line="240" w:lineRule="auto"/>
        <w:ind w:left="360"/>
        <w:rPr>
          <w:rFonts w:ascii="Arial" w:hAnsi="Arial" w:cs="Arial"/>
          <w:sz w:val="22"/>
        </w:rPr>
      </w:pPr>
    </w:p>
    <w:p w14:paraId="7D33FE5E" w14:textId="77777777" w:rsidR="00272252" w:rsidRPr="0069009B" w:rsidRDefault="00272252" w:rsidP="00272252">
      <w:pPr>
        <w:pStyle w:val="ListParagraph"/>
        <w:numPr>
          <w:ilvl w:val="1"/>
          <w:numId w:val="12"/>
        </w:numPr>
        <w:spacing w:after="0" w:line="240" w:lineRule="auto"/>
        <w:rPr>
          <w:rFonts w:ascii="Arial" w:hAnsi="Arial" w:cs="Arial"/>
          <w:i/>
          <w:sz w:val="22"/>
        </w:rPr>
      </w:pPr>
      <w:r w:rsidRPr="0069009B">
        <w:rPr>
          <w:rFonts w:ascii="Arial" w:hAnsi="Arial" w:cs="Arial"/>
          <w:i/>
          <w:sz w:val="22"/>
        </w:rPr>
        <w:t>Should the Commission consider a uniform PGA reporting standard allowing for:</w:t>
      </w:r>
    </w:p>
    <w:p w14:paraId="4EB25D19" w14:textId="77777777" w:rsidR="00272252" w:rsidRPr="0069009B" w:rsidRDefault="00272252" w:rsidP="00272252">
      <w:pPr>
        <w:pStyle w:val="ListParagraph"/>
        <w:numPr>
          <w:ilvl w:val="2"/>
          <w:numId w:val="12"/>
        </w:numPr>
        <w:spacing w:after="0" w:line="240" w:lineRule="auto"/>
        <w:rPr>
          <w:rFonts w:ascii="Arial" w:hAnsi="Arial" w:cs="Arial"/>
          <w:i/>
          <w:sz w:val="22"/>
        </w:rPr>
      </w:pPr>
      <w:r w:rsidRPr="0069009B">
        <w:rPr>
          <w:rFonts w:ascii="Arial" w:hAnsi="Arial" w:cs="Arial"/>
          <w:i/>
          <w:sz w:val="22"/>
        </w:rPr>
        <w:t>Comparability of data?</w:t>
      </w:r>
    </w:p>
    <w:p w14:paraId="2BAA7926" w14:textId="77777777" w:rsidR="00272252" w:rsidRPr="0069009B" w:rsidRDefault="00272252" w:rsidP="00272252">
      <w:pPr>
        <w:pStyle w:val="ListParagraph"/>
        <w:numPr>
          <w:ilvl w:val="2"/>
          <w:numId w:val="12"/>
        </w:numPr>
        <w:spacing w:after="0" w:line="240" w:lineRule="auto"/>
        <w:rPr>
          <w:rFonts w:ascii="Arial" w:hAnsi="Arial" w:cs="Arial"/>
          <w:i/>
          <w:sz w:val="22"/>
        </w:rPr>
      </w:pPr>
      <w:r w:rsidRPr="0069009B">
        <w:rPr>
          <w:rFonts w:ascii="Arial" w:hAnsi="Arial" w:cs="Arial"/>
          <w:i/>
          <w:sz w:val="22"/>
        </w:rPr>
        <w:t>Staff effectiveness and efficiency?</w:t>
      </w:r>
    </w:p>
    <w:p w14:paraId="45F68451" w14:textId="77777777" w:rsidR="00272252" w:rsidRPr="0069009B" w:rsidRDefault="00272252" w:rsidP="00272252">
      <w:pPr>
        <w:spacing w:after="0" w:line="240" w:lineRule="auto"/>
        <w:rPr>
          <w:rFonts w:ascii="Arial" w:hAnsi="Arial" w:cs="Arial"/>
          <w:sz w:val="22"/>
        </w:rPr>
      </w:pPr>
    </w:p>
    <w:p w14:paraId="1D3EE547" w14:textId="77777777" w:rsidR="00272252" w:rsidRPr="0069009B" w:rsidRDefault="00272252" w:rsidP="00272252">
      <w:pPr>
        <w:spacing w:after="0" w:line="240" w:lineRule="auto"/>
        <w:rPr>
          <w:rFonts w:ascii="Arial" w:hAnsi="Arial" w:cs="Arial"/>
          <w:sz w:val="22"/>
        </w:rPr>
      </w:pPr>
      <w:r w:rsidRPr="0069009B">
        <w:rPr>
          <w:rFonts w:ascii="Arial" w:hAnsi="Arial" w:cs="Arial"/>
          <w:sz w:val="22"/>
        </w:rPr>
        <w:t>Response:</w:t>
      </w:r>
    </w:p>
    <w:p w14:paraId="10EEA412" w14:textId="77777777" w:rsidR="00B839B5" w:rsidRPr="0069009B" w:rsidRDefault="00B839B5" w:rsidP="00272252">
      <w:pPr>
        <w:spacing w:after="0" w:line="240" w:lineRule="auto"/>
        <w:rPr>
          <w:rFonts w:ascii="Arial" w:hAnsi="Arial" w:cs="Arial"/>
          <w:sz w:val="22"/>
        </w:rPr>
      </w:pPr>
    </w:p>
    <w:p w14:paraId="2E1900C3" w14:textId="20A99006" w:rsidR="005262B9" w:rsidRDefault="00B839B5" w:rsidP="00DB5B6B">
      <w:pPr>
        <w:spacing w:after="0" w:line="240" w:lineRule="auto"/>
        <w:ind w:firstLine="720"/>
        <w:rPr>
          <w:rFonts w:ascii="Arial" w:hAnsi="Arial" w:cs="Arial"/>
          <w:sz w:val="22"/>
        </w:rPr>
      </w:pPr>
      <w:r w:rsidRPr="0069009B">
        <w:rPr>
          <w:rFonts w:ascii="Arial" w:hAnsi="Arial" w:cs="Arial"/>
          <w:sz w:val="22"/>
        </w:rPr>
        <w:t>NW Natural believes it is appropriate</w:t>
      </w:r>
      <w:r w:rsidR="005262B9" w:rsidRPr="0069009B">
        <w:rPr>
          <w:rFonts w:ascii="Arial" w:hAnsi="Arial" w:cs="Arial"/>
          <w:sz w:val="22"/>
        </w:rPr>
        <w:t xml:space="preserve"> to streamline processes and improve efficiencies</w:t>
      </w:r>
      <w:r w:rsidRPr="0069009B">
        <w:rPr>
          <w:rFonts w:ascii="Arial" w:hAnsi="Arial" w:cs="Arial"/>
          <w:sz w:val="22"/>
        </w:rPr>
        <w:t xml:space="preserve">, and is willing to explore these possibilities further.  </w:t>
      </w:r>
    </w:p>
    <w:p w14:paraId="4B835272" w14:textId="77777777" w:rsidR="0069009B" w:rsidRDefault="0069009B" w:rsidP="0069009B">
      <w:pPr>
        <w:spacing w:after="0" w:line="240" w:lineRule="auto"/>
        <w:rPr>
          <w:rFonts w:ascii="Arial" w:hAnsi="Arial" w:cs="Arial"/>
          <w:sz w:val="22"/>
        </w:rPr>
      </w:pPr>
    </w:p>
    <w:p w14:paraId="4F6E76C2" w14:textId="77777777" w:rsidR="0069009B" w:rsidRDefault="0069009B" w:rsidP="0069009B">
      <w:pPr>
        <w:spacing w:after="0" w:line="240" w:lineRule="auto"/>
        <w:rPr>
          <w:rFonts w:ascii="Arial" w:hAnsi="Arial" w:cs="Arial"/>
          <w:sz w:val="22"/>
        </w:rPr>
      </w:pPr>
    </w:p>
    <w:p w14:paraId="7E327987" w14:textId="48A73C71" w:rsidR="0069009B" w:rsidRPr="0069009B" w:rsidRDefault="0069009B" w:rsidP="0069009B">
      <w:pPr>
        <w:spacing w:after="0" w:line="240" w:lineRule="auto"/>
        <w:ind w:firstLine="720"/>
        <w:rPr>
          <w:rFonts w:ascii="Arial" w:eastAsia="Times New Roman" w:hAnsi="Arial" w:cs="Arial"/>
          <w:sz w:val="22"/>
          <w:szCs w:val="24"/>
        </w:rPr>
      </w:pPr>
      <w:r w:rsidRPr="0069009B">
        <w:rPr>
          <w:rFonts w:ascii="Arial" w:eastAsia="Times New Roman" w:hAnsi="Arial" w:cs="Arial"/>
          <w:sz w:val="22"/>
          <w:szCs w:val="24"/>
        </w:rPr>
        <w:t xml:space="preserve">Thank you for the opportunity to provide comment in this proceeding.  We look forward to </w:t>
      </w:r>
      <w:r>
        <w:rPr>
          <w:rFonts w:ascii="Arial" w:eastAsia="Times New Roman" w:hAnsi="Arial" w:cs="Arial"/>
          <w:sz w:val="22"/>
          <w:szCs w:val="24"/>
        </w:rPr>
        <w:t>discussing these issues further at the January 23, 2014 workshop</w:t>
      </w:r>
      <w:r w:rsidRPr="0069009B">
        <w:rPr>
          <w:rFonts w:ascii="Arial" w:eastAsia="Times New Roman" w:hAnsi="Arial" w:cs="Arial"/>
          <w:sz w:val="22"/>
          <w:szCs w:val="24"/>
        </w:rPr>
        <w:t>.</w:t>
      </w:r>
    </w:p>
    <w:p w14:paraId="27398147" w14:textId="77777777" w:rsidR="0069009B" w:rsidRDefault="0069009B" w:rsidP="0069009B">
      <w:pPr>
        <w:spacing w:after="0" w:line="240" w:lineRule="auto"/>
        <w:rPr>
          <w:rFonts w:ascii="Arial" w:eastAsia="Times New Roman" w:hAnsi="Arial" w:cs="Arial"/>
          <w:sz w:val="22"/>
        </w:rPr>
      </w:pPr>
    </w:p>
    <w:p w14:paraId="3132E88A" w14:textId="52C69470" w:rsidR="0069009B" w:rsidRPr="0069009B" w:rsidRDefault="0069009B" w:rsidP="0069009B">
      <w:pPr>
        <w:spacing w:after="0" w:line="240" w:lineRule="auto"/>
        <w:ind w:firstLine="720"/>
        <w:rPr>
          <w:rFonts w:ascii="Arial" w:eastAsia="Times New Roman" w:hAnsi="Arial" w:cs="Arial"/>
          <w:sz w:val="22"/>
        </w:rPr>
      </w:pPr>
      <w:r w:rsidRPr="0069009B">
        <w:rPr>
          <w:rFonts w:ascii="Arial" w:eastAsia="Times New Roman" w:hAnsi="Arial" w:cs="Arial"/>
          <w:sz w:val="22"/>
        </w:rPr>
        <w:t>Please address correspondence on this matter to me with copies to the following:</w:t>
      </w:r>
    </w:p>
    <w:p w14:paraId="090FBED1" w14:textId="77777777" w:rsidR="0069009B" w:rsidRPr="0069009B" w:rsidRDefault="0069009B" w:rsidP="0069009B">
      <w:pPr>
        <w:spacing w:after="0" w:line="240" w:lineRule="auto"/>
        <w:ind w:firstLine="720"/>
        <w:rPr>
          <w:rFonts w:ascii="Arial" w:eastAsia="Times New Roman" w:hAnsi="Arial" w:cs="Arial"/>
          <w:sz w:val="22"/>
        </w:rPr>
      </w:pPr>
    </w:p>
    <w:p w14:paraId="3C1812BF"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Kelley Miller, Rates Specialist</w:t>
      </w:r>
      <w:r w:rsidRPr="0069009B">
        <w:rPr>
          <w:rFonts w:ascii="Arial" w:eastAsia="Times New Roman" w:hAnsi="Arial" w:cs="Arial"/>
          <w:sz w:val="22"/>
        </w:rPr>
        <w:tab/>
      </w:r>
    </w:p>
    <w:p w14:paraId="0293F36C"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Rates &amp; Regulatory Affairs</w:t>
      </w:r>
      <w:r w:rsidRPr="0069009B">
        <w:rPr>
          <w:rFonts w:ascii="Arial" w:eastAsia="Times New Roman" w:hAnsi="Arial" w:cs="Arial"/>
          <w:sz w:val="22"/>
        </w:rPr>
        <w:tab/>
      </w:r>
    </w:p>
    <w:p w14:paraId="00EE1509"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 xml:space="preserve">220 NW Second </w:t>
      </w:r>
      <w:proofErr w:type="gramStart"/>
      <w:r w:rsidRPr="0069009B">
        <w:rPr>
          <w:rFonts w:ascii="Arial" w:eastAsia="Times New Roman" w:hAnsi="Arial" w:cs="Arial"/>
          <w:sz w:val="22"/>
        </w:rPr>
        <w:t>Avenue</w:t>
      </w:r>
      <w:proofErr w:type="gramEnd"/>
      <w:r w:rsidRPr="0069009B">
        <w:rPr>
          <w:rFonts w:ascii="Arial" w:eastAsia="Times New Roman" w:hAnsi="Arial" w:cs="Arial"/>
          <w:sz w:val="22"/>
        </w:rPr>
        <w:tab/>
      </w:r>
    </w:p>
    <w:p w14:paraId="48A9A07C"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Portland, Oregon 97209</w:t>
      </w:r>
      <w:r w:rsidRPr="0069009B">
        <w:rPr>
          <w:rFonts w:ascii="Arial" w:eastAsia="Times New Roman" w:hAnsi="Arial" w:cs="Arial"/>
          <w:sz w:val="22"/>
        </w:rPr>
        <w:tab/>
      </w:r>
    </w:p>
    <w:p w14:paraId="2E7E97F3"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Telecopier:   (503) 721-2516</w:t>
      </w:r>
      <w:r w:rsidRPr="0069009B">
        <w:rPr>
          <w:rFonts w:ascii="Arial" w:eastAsia="Times New Roman" w:hAnsi="Arial" w:cs="Arial"/>
          <w:sz w:val="22"/>
        </w:rPr>
        <w:tab/>
      </w:r>
    </w:p>
    <w:p w14:paraId="49980305"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Telephone:   (503) 226-4211, ext. 3589</w:t>
      </w:r>
      <w:r w:rsidRPr="0069009B">
        <w:rPr>
          <w:rFonts w:ascii="Arial" w:eastAsia="Times New Roman" w:hAnsi="Arial" w:cs="Arial"/>
          <w:sz w:val="22"/>
        </w:rPr>
        <w:tab/>
      </w:r>
    </w:p>
    <w:p w14:paraId="67B8A411" w14:textId="77777777" w:rsidR="0069009B" w:rsidRPr="0069009B" w:rsidRDefault="0069009B" w:rsidP="0069009B">
      <w:pPr>
        <w:tabs>
          <w:tab w:val="left" w:pos="5760"/>
        </w:tabs>
        <w:spacing w:after="0" w:line="240" w:lineRule="auto"/>
        <w:ind w:left="1440" w:firstLine="720"/>
        <w:rPr>
          <w:rFonts w:ascii="Arial" w:eastAsia="Times New Roman" w:hAnsi="Arial" w:cs="Arial"/>
          <w:sz w:val="22"/>
        </w:rPr>
      </w:pPr>
      <w:r w:rsidRPr="0069009B">
        <w:rPr>
          <w:rFonts w:ascii="Arial" w:eastAsia="Times New Roman" w:hAnsi="Arial" w:cs="Arial"/>
          <w:sz w:val="22"/>
        </w:rPr>
        <w:t>E-mail:  eFiling@nwnatural.com</w:t>
      </w:r>
      <w:r w:rsidRPr="0069009B">
        <w:rPr>
          <w:rFonts w:ascii="Arial" w:eastAsia="Times New Roman" w:hAnsi="Arial" w:cs="Arial"/>
          <w:sz w:val="22"/>
        </w:rPr>
        <w:tab/>
      </w:r>
    </w:p>
    <w:p w14:paraId="317B046E" w14:textId="77777777" w:rsidR="0069009B" w:rsidRPr="0069009B" w:rsidRDefault="0069009B" w:rsidP="0069009B">
      <w:pPr>
        <w:spacing w:after="0" w:line="240" w:lineRule="auto"/>
        <w:ind w:left="90" w:hanging="450"/>
        <w:rPr>
          <w:rFonts w:ascii="Arial" w:eastAsia="Times New Roman" w:hAnsi="Arial" w:cs="Arial"/>
          <w:sz w:val="22"/>
        </w:rPr>
      </w:pPr>
      <w:r w:rsidRPr="0069009B">
        <w:rPr>
          <w:rFonts w:ascii="Arial" w:eastAsia="Times New Roman" w:hAnsi="Arial" w:cs="Arial"/>
          <w:sz w:val="22"/>
        </w:rPr>
        <w:t> </w:t>
      </w:r>
    </w:p>
    <w:p w14:paraId="6CA2C9DC" w14:textId="77777777" w:rsidR="0069009B" w:rsidRPr="0069009B" w:rsidRDefault="0069009B" w:rsidP="0069009B">
      <w:pPr>
        <w:tabs>
          <w:tab w:val="center" w:pos="4680"/>
          <w:tab w:val="right" w:pos="9360"/>
        </w:tabs>
        <w:spacing w:after="0" w:line="240" w:lineRule="auto"/>
        <w:rPr>
          <w:rFonts w:ascii="Arial" w:eastAsia="Times New Roman" w:hAnsi="Arial" w:cs="Arial"/>
          <w:sz w:val="22"/>
        </w:rPr>
      </w:pPr>
      <w:r w:rsidRPr="0069009B">
        <w:rPr>
          <w:rFonts w:ascii="Arial" w:eastAsia="Times New Roman" w:hAnsi="Arial" w:cs="Arial"/>
          <w:sz w:val="22"/>
        </w:rPr>
        <w:t>Sincerely,</w:t>
      </w:r>
    </w:p>
    <w:p w14:paraId="3C26F854" w14:textId="77777777" w:rsidR="0069009B" w:rsidRPr="0069009B" w:rsidRDefault="0069009B" w:rsidP="0069009B">
      <w:pPr>
        <w:spacing w:after="0" w:line="240" w:lineRule="auto"/>
        <w:rPr>
          <w:rFonts w:ascii="Arial" w:eastAsia="Times New Roman" w:hAnsi="Arial" w:cs="Arial"/>
          <w:sz w:val="22"/>
        </w:rPr>
      </w:pPr>
    </w:p>
    <w:p w14:paraId="3E118EA6" w14:textId="793E27EC" w:rsidR="0069009B" w:rsidRPr="0069009B" w:rsidRDefault="0069009B" w:rsidP="0069009B">
      <w:pPr>
        <w:spacing w:after="0" w:line="240" w:lineRule="auto"/>
        <w:rPr>
          <w:rFonts w:ascii="Arial" w:eastAsia="Times New Roman" w:hAnsi="Arial" w:cs="Arial"/>
          <w:i/>
          <w:sz w:val="22"/>
        </w:rPr>
      </w:pPr>
      <w:r w:rsidRPr="0069009B">
        <w:rPr>
          <w:rFonts w:ascii="Arial" w:eastAsia="Times New Roman" w:hAnsi="Arial" w:cs="Arial"/>
          <w:i/>
          <w:sz w:val="22"/>
        </w:rPr>
        <w:t xml:space="preserve">/s/ </w:t>
      </w:r>
      <w:r w:rsidR="00953A3C">
        <w:rPr>
          <w:rFonts w:ascii="Arial" w:eastAsia="Times New Roman" w:hAnsi="Arial" w:cs="Arial"/>
          <w:i/>
          <w:sz w:val="22"/>
        </w:rPr>
        <w:t>Mark R. Thompson</w:t>
      </w:r>
    </w:p>
    <w:p w14:paraId="429A51DE" w14:textId="77777777" w:rsidR="0069009B" w:rsidRPr="0069009B" w:rsidRDefault="0069009B" w:rsidP="0069009B">
      <w:pPr>
        <w:spacing w:after="0" w:line="240" w:lineRule="auto"/>
        <w:rPr>
          <w:rFonts w:ascii="Arial" w:eastAsia="Times New Roman" w:hAnsi="Arial" w:cs="Arial"/>
          <w:sz w:val="22"/>
        </w:rPr>
      </w:pPr>
    </w:p>
    <w:p w14:paraId="35438A24" w14:textId="734F6233" w:rsidR="0069009B" w:rsidRPr="0069009B" w:rsidRDefault="00953A3C" w:rsidP="0069009B">
      <w:pPr>
        <w:spacing w:after="0" w:line="240" w:lineRule="auto"/>
        <w:rPr>
          <w:rFonts w:ascii="Arial" w:eastAsia="Times New Roman" w:hAnsi="Arial" w:cs="Arial"/>
          <w:sz w:val="22"/>
        </w:rPr>
      </w:pPr>
      <w:r>
        <w:rPr>
          <w:rFonts w:ascii="Arial" w:eastAsia="Times New Roman" w:hAnsi="Arial" w:cs="Arial"/>
          <w:sz w:val="22"/>
        </w:rPr>
        <w:t>Mark R. Thompson</w:t>
      </w:r>
    </w:p>
    <w:p w14:paraId="7B174E68" w14:textId="47772B06" w:rsidR="0069009B" w:rsidRPr="0069009B" w:rsidRDefault="00953A3C" w:rsidP="0069009B">
      <w:pPr>
        <w:spacing w:after="0" w:line="240" w:lineRule="auto"/>
        <w:rPr>
          <w:rFonts w:ascii="Arial" w:eastAsia="Times New Roman" w:hAnsi="Arial" w:cs="Arial"/>
          <w:sz w:val="22"/>
        </w:rPr>
      </w:pPr>
      <w:r>
        <w:rPr>
          <w:rFonts w:ascii="Arial" w:eastAsia="Times New Roman" w:hAnsi="Arial" w:cs="Arial"/>
          <w:sz w:val="22"/>
        </w:rPr>
        <w:t xml:space="preserve">Manager, </w:t>
      </w:r>
      <w:r w:rsidR="0069009B" w:rsidRPr="0069009B">
        <w:rPr>
          <w:rFonts w:ascii="Arial" w:eastAsia="Times New Roman" w:hAnsi="Arial" w:cs="Arial"/>
          <w:sz w:val="22"/>
        </w:rPr>
        <w:t>Rates and Regulatory Affairs</w:t>
      </w:r>
    </w:p>
    <w:p w14:paraId="4827E8FC" w14:textId="77777777" w:rsidR="0069009B" w:rsidRPr="0069009B" w:rsidRDefault="0069009B" w:rsidP="0069009B">
      <w:pPr>
        <w:spacing w:after="0" w:line="240" w:lineRule="auto"/>
        <w:rPr>
          <w:rFonts w:ascii="Arial" w:eastAsia="Times New Roman" w:hAnsi="Arial" w:cs="Arial"/>
          <w:sz w:val="22"/>
        </w:rPr>
      </w:pPr>
    </w:p>
    <w:p w14:paraId="07FEB91B" w14:textId="77777777" w:rsidR="0069009B" w:rsidRPr="0069009B" w:rsidRDefault="0069009B" w:rsidP="0069009B">
      <w:pPr>
        <w:spacing w:after="0" w:line="240" w:lineRule="auto"/>
        <w:rPr>
          <w:rFonts w:ascii="Arial" w:hAnsi="Arial" w:cs="Arial"/>
          <w:sz w:val="20"/>
        </w:rPr>
      </w:pPr>
    </w:p>
    <w:sectPr w:rsidR="0069009B" w:rsidRPr="0069009B" w:rsidSect="00DB5B6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9DE6" w14:textId="77777777" w:rsidR="006856EC" w:rsidRDefault="006856EC" w:rsidP="00ED2582">
      <w:pPr>
        <w:spacing w:after="0" w:line="240" w:lineRule="auto"/>
      </w:pPr>
      <w:r>
        <w:separator/>
      </w:r>
    </w:p>
  </w:endnote>
  <w:endnote w:type="continuationSeparator" w:id="0">
    <w:p w14:paraId="235DE173" w14:textId="77777777" w:rsidR="006856EC" w:rsidRDefault="006856EC" w:rsidP="00ED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E3D9F" w14:textId="77777777" w:rsidR="006856EC" w:rsidRDefault="006856EC" w:rsidP="00ED2582">
      <w:pPr>
        <w:spacing w:after="0" w:line="240" w:lineRule="auto"/>
      </w:pPr>
      <w:r>
        <w:separator/>
      </w:r>
    </w:p>
  </w:footnote>
  <w:footnote w:type="continuationSeparator" w:id="0">
    <w:p w14:paraId="254939FA" w14:textId="77777777" w:rsidR="006856EC" w:rsidRDefault="006856EC" w:rsidP="00ED2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E8A8" w14:textId="71999116" w:rsidR="009D6281" w:rsidRPr="0069009B" w:rsidRDefault="009D6281">
    <w:pPr>
      <w:pStyle w:val="Header"/>
      <w:rPr>
        <w:rFonts w:ascii="Arial" w:hAnsi="Arial" w:cs="Arial"/>
        <w:sz w:val="20"/>
        <w:szCs w:val="20"/>
      </w:rPr>
    </w:pPr>
    <w:r w:rsidRPr="0069009B">
      <w:rPr>
        <w:rFonts w:ascii="Arial" w:hAnsi="Arial" w:cs="Arial"/>
        <w:sz w:val="20"/>
      </w:rPr>
      <w:t xml:space="preserve">NW </w:t>
    </w:r>
    <w:r w:rsidRPr="0069009B">
      <w:rPr>
        <w:rFonts w:ascii="Arial" w:hAnsi="Arial" w:cs="Arial"/>
        <w:sz w:val="20"/>
        <w:szCs w:val="20"/>
      </w:rPr>
      <w:t>Natural’s Comments - Docket UG-132019</w:t>
    </w:r>
  </w:p>
  <w:p w14:paraId="3D4698F3" w14:textId="77777777" w:rsidR="009D6281" w:rsidRPr="0069009B" w:rsidRDefault="009D6281">
    <w:pPr>
      <w:pStyle w:val="Header"/>
      <w:rPr>
        <w:rFonts w:ascii="Arial" w:hAnsi="Arial" w:cs="Arial"/>
        <w:sz w:val="20"/>
      </w:rPr>
    </w:pPr>
    <w:r w:rsidRPr="0069009B">
      <w:rPr>
        <w:rFonts w:ascii="Arial" w:hAnsi="Arial" w:cs="Arial"/>
        <w:sz w:val="20"/>
        <w:szCs w:val="20"/>
      </w:rPr>
      <w:t>January</w:t>
    </w:r>
    <w:r w:rsidRPr="0069009B">
      <w:rPr>
        <w:rFonts w:ascii="Arial" w:hAnsi="Arial" w:cs="Arial"/>
        <w:sz w:val="20"/>
      </w:rPr>
      <w:t xml:space="preserve"> 13, 2014</w:t>
    </w:r>
  </w:p>
  <w:p w14:paraId="1E15D338" w14:textId="68177F1C" w:rsidR="009D6281" w:rsidRPr="00DB5B6B" w:rsidRDefault="009D6281">
    <w:pPr>
      <w:pStyle w:val="Header"/>
      <w:rPr>
        <w:rFonts w:ascii="Times New Roman" w:hAnsi="Times New Roman" w:cs="Times New Roman"/>
        <w:sz w:val="20"/>
      </w:rPr>
    </w:pPr>
    <w:r w:rsidRPr="0069009B">
      <w:rPr>
        <w:rFonts w:ascii="Arial" w:hAnsi="Arial" w:cs="Arial"/>
        <w:sz w:val="20"/>
      </w:rPr>
      <w:t xml:space="preserve">Page </w:t>
    </w:r>
    <w:r w:rsidRPr="0069009B">
      <w:rPr>
        <w:rFonts w:ascii="Arial" w:hAnsi="Arial" w:cs="Arial"/>
        <w:sz w:val="20"/>
      </w:rPr>
      <w:fldChar w:fldCharType="begin"/>
    </w:r>
    <w:r w:rsidRPr="0069009B">
      <w:rPr>
        <w:rFonts w:ascii="Arial" w:hAnsi="Arial" w:cs="Arial"/>
        <w:sz w:val="20"/>
      </w:rPr>
      <w:instrText xml:space="preserve"> PAGE   \* MERGEFORMAT </w:instrText>
    </w:r>
    <w:r w:rsidRPr="0069009B">
      <w:rPr>
        <w:rFonts w:ascii="Arial" w:hAnsi="Arial" w:cs="Arial"/>
        <w:sz w:val="20"/>
      </w:rPr>
      <w:fldChar w:fldCharType="separate"/>
    </w:r>
    <w:r w:rsidR="005C00F0">
      <w:rPr>
        <w:rFonts w:ascii="Arial" w:hAnsi="Arial" w:cs="Arial"/>
        <w:noProof/>
        <w:sz w:val="20"/>
      </w:rPr>
      <w:t>5</w:t>
    </w:r>
    <w:r w:rsidRPr="0069009B">
      <w:rPr>
        <w:rFonts w:ascii="Arial" w:hAnsi="Arial" w:cs="Arial"/>
        <w:noProof/>
        <w:sz w:val="20"/>
      </w:rPr>
      <w:fldChar w:fldCharType="end"/>
    </w:r>
    <w:r w:rsidRPr="00DB5B6B">
      <w:rPr>
        <w:rFonts w:ascii="Times New Roman" w:hAnsi="Times New Roman" w:cs="Times New Roman"/>
        <w:sz w:val="20"/>
      </w:rPr>
      <w:t xml:space="preserve"> </w:t>
    </w:r>
  </w:p>
  <w:p w14:paraId="5AC509B4" w14:textId="77777777" w:rsidR="009D6281" w:rsidRDefault="009D6281">
    <w:pPr>
      <w:pStyle w:val="Header"/>
      <w:rPr>
        <w:sz w:val="20"/>
      </w:rPr>
    </w:pPr>
  </w:p>
  <w:p w14:paraId="47ADF836" w14:textId="77777777" w:rsidR="0069009B" w:rsidRPr="00DB5B6B" w:rsidRDefault="0069009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45F"/>
    <w:multiLevelType w:val="multilevel"/>
    <w:tmpl w:val="C1FA431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69C0E9A"/>
    <w:multiLevelType w:val="hybridMultilevel"/>
    <w:tmpl w:val="A1B04768"/>
    <w:lvl w:ilvl="0" w:tplc="04090011">
      <w:start w:val="1"/>
      <w:numFmt w:val="decimal"/>
      <w:lvlText w:val="%1)"/>
      <w:lvlJc w:val="left"/>
      <w:pPr>
        <w:ind w:left="720" w:hanging="360"/>
      </w:pPr>
      <w:rPr>
        <w:rFonts w:hint="default"/>
      </w:rPr>
    </w:lvl>
    <w:lvl w:ilvl="1" w:tplc="C6CE84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93DA8"/>
    <w:multiLevelType w:val="multilevel"/>
    <w:tmpl w:val="C1FA431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D3331D9"/>
    <w:multiLevelType w:val="multilevel"/>
    <w:tmpl w:val="C1FA431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BC40F11"/>
    <w:multiLevelType w:val="multilevel"/>
    <w:tmpl w:val="4B8233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4E9589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498241A7"/>
    <w:multiLevelType w:val="multilevel"/>
    <w:tmpl w:val="C1FA431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ED17E6B"/>
    <w:multiLevelType w:val="hybridMultilevel"/>
    <w:tmpl w:val="48C65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9F2163"/>
    <w:multiLevelType w:val="multilevel"/>
    <w:tmpl w:val="C1FA4310"/>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6C17204"/>
    <w:multiLevelType w:val="hybridMultilevel"/>
    <w:tmpl w:val="20BAF3FA"/>
    <w:lvl w:ilvl="0" w:tplc="5908E1D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93605A"/>
    <w:multiLevelType w:val="hybridMultilevel"/>
    <w:tmpl w:val="EAA8CBA6"/>
    <w:lvl w:ilvl="0" w:tplc="F1D03C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D44963"/>
    <w:multiLevelType w:val="multilevel"/>
    <w:tmpl w:val="2714947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50949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9"/>
  </w:num>
  <w:num w:numId="4">
    <w:abstractNumId w:val="8"/>
  </w:num>
  <w:num w:numId="5">
    <w:abstractNumId w:val="5"/>
  </w:num>
  <w:num w:numId="6">
    <w:abstractNumId w:val="12"/>
  </w:num>
  <w:num w:numId="7">
    <w:abstractNumId w:val="3"/>
  </w:num>
  <w:num w:numId="8">
    <w:abstractNumId w:val="2"/>
  </w:num>
  <w:num w:numId="9">
    <w:abstractNumId w:val="0"/>
  </w:num>
  <w:num w:numId="10">
    <w:abstractNumId w:val="6"/>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E6"/>
    <w:rsid w:val="000000C8"/>
    <w:rsid w:val="000A5D76"/>
    <w:rsid w:val="000A7FBA"/>
    <w:rsid w:val="001553E9"/>
    <w:rsid w:val="002231CE"/>
    <w:rsid w:val="00256BDD"/>
    <w:rsid w:val="002667F4"/>
    <w:rsid w:val="00272252"/>
    <w:rsid w:val="002A7E51"/>
    <w:rsid w:val="003069E4"/>
    <w:rsid w:val="00341FBE"/>
    <w:rsid w:val="00343AB4"/>
    <w:rsid w:val="00346331"/>
    <w:rsid w:val="003A3B09"/>
    <w:rsid w:val="00452DC3"/>
    <w:rsid w:val="00477657"/>
    <w:rsid w:val="00514DBB"/>
    <w:rsid w:val="005262B9"/>
    <w:rsid w:val="00547011"/>
    <w:rsid w:val="005C00F0"/>
    <w:rsid w:val="00627018"/>
    <w:rsid w:val="006856EC"/>
    <w:rsid w:val="0069009B"/>
    <w:rsid w:val="00707127"/>
    <w:rsid w:val="008723A1"/>
    <w:rsid w:val="008C50DB"/>
    <w:rsid w:val="00953A3C"/>
    <w:rsid w:val="009845ED"/>
    <w:rsid w:val="009D6281"/>
    <w:rsid w:val="00A5150A"/>
    <w:rsid w:val="00A92769"/>
    <w:rsid w:val="00AB3F51"/>
    <w:rsid w:val="00AB4D08"/>
    <w:rsid w:val="00B839B5"/>
    <w:rsid w:val="00BC46ED"/>
    <w:rsid w:val="00BF381C"/>
    <w:rsid w:val="00BF6BBC"/>
    <w:rsid w:val="00C1748F"/>
    <w:rsid w:val="00C85216"/>
    <w:rsid w:val="00D8101F"/>
    <w:rsid w:val="00DB5B6B"/>
    <w:rsid w:val="00DC2BAD"/>
    <w:rsid w:val="00DF68E6"/>
    <w:rsid w:val="00E12B27"/>
    <w:rsid w:val="00ED2582"/>
    <w:rsid w:val="00F94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69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009B"/>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Cs w:val="20"/>
    </w:rPr>
  </w:style>
  <w:style w:type="paragraph" w:styleId="Heading3">
    <w:name w:val="heading 3"/>
    <w:basedOn w:val="Normal"/>
    <w:next w:val="Normal"/>
    <w:link w:val="Heading3Char"/>
    <w:qFormat/>
    <w:rsid w:val="0069009B"/>
    <w:pPr>
      <w:keepNext/>
      <w:overflowPunct w:val="0"/>
      <w:autoSpaceDE w:val="0"/>
      <w:autoSpaceDN w:val="0"/>
      <w:adjustRightInd w:val="0"/>
      <w:spacing w:after="0" w:line="240" w:lineRule="auto"/>
      <w:textAlignment w:val="baseline"/>
      <w:outlineLvl w:val="2"/>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2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582"/>
  </w:style>
  <w:style w:type="paragraph" w:styleId="Footer">
    <w:name w:val="footer"/>
    <w:basedOn w:val="Normal"/>
    <w:link w:val="FooterChar"/>
    <w:uiPriority w:val="99"/>
    <w:unhideWhenUsed/>
    <w:rsid w:val="00ED2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582"/>
  </w:style>
  <w:style w:type="paragraph" w:styleId="ListParagraph">
    <w:name w:val="List Paragraph"/>
    <w:basedOn w:val="Normal"/>
    <w:uiPriority w:val="34"/>
    <w:qFormat/>
    <w:rsid w:val="00BF6BBC"/>
    <w:pPr>
      <w:ind w:left="720"/>
      <w:contextualSpacing/>
    </w:pPr>
  </w:style>
  <w:style w:type="paragraph" w:styleId="BalloonText">
    <w:name w:val="Balloon Text"/>
    <w:basedOn w:val="Normal"/>
    <w:link w:val="BalloonTextChar"/>
    <w:uiPriority w:val="99"/>
    <w:semiHidden/>
    <w:unhideWhenUsed/>
    <w:rsid w:val="00C1748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1748F"/>
    <w:rPr>
      <w:rFonts w:cs="Tahoma"/>
      <w:sz w:val="16"/>
      <w:szCs w:val="16"/>
    </w:rPr>
  </w:style>
  <w:style w:type="character" w:styleId="CommentReference">
    <w:name w:val="annotation reference"/>
    <w:basedOn w:val="DefaultParagraphFont"/>
    <w:uiPriority w:val="99"/>
    <w:semiHidden/>
    <w:unhideWhenUsed/>
    <w:rsid w:val="00707127"/>
    <w:rPr>
      <w:sz w:val="16"/>
      <w:szCs w:val="16"/>
    </w:rPr>
  </w:style>
  <w:style w:type="paragraph" w:styleId="CommentText">
    <w:name w:val="annotation text"/>
    <w:basedOn w:val="Normal"/>
    <w:link w:val="CommentTextChar"/>
    <w:uiPriority w:val="99"/>
    <w:semiHidden/>
    <w:unhideWhenUsed/>
    <w:rsid w:val="00707127"/>
    <w:pPr>
      <w:spacing w:line="240" w:lineRule="auto"/>
    </w:pPr>
    <w:rPr>
      <w:sz w:val="20"/>
      <w:szCs w:val="20"/>
    </w:rPr>
  </w:style>
  <w:style w:type="character" w:customStyle="1" w:styleId="CommentTextChar">
    <w:name w:val="Comment Text Char"/>
    <w:basedOn w:val="DefaultParagraphFont"/>
    <w:link w:val="CommentText"/>
    <w:uiPriority w:val="99"/>
    <w:semiHidden/>
    <w:rsid w:val="00707127"/>
    <w:rPr>
      <w:sz w:val="20"/>
      <w:szCs w:val="20"/>
    </w:rPr>
  </w:style>
  <w:style w:type="paragraph" w:styleId="CommentSubject">
    <w:name w:val="annotation subject"/>
    <w:basedOn w:val="CommentText"/>
    <w:next w:val="CommentText"/>
    <w:link w:val="CommentSubjectChar"/>
    <w:uiPriority w:val="99"/>
    <w:semiHidden/>
    <w:unhideWhenUsed/>
    <w:rsid w:val="00707127"/>
    <w:rPr>
      <w:b/>
      <w:bCs/>
    </w:rPr>
  </w:style>
  <w:style w:type="character" w:customStyle="1" w:styleId="CommentSubjectChar">
    <w:name w:val="Comment Subject Char"/>
    <w:basedOn w:val="CommentTextChar"/>
    <w:link w:val="CommentSubject"/>
    <w:uiPriority w:val="99"/>
    <w:semiHidden/>
    <w:rsid w:val="00707127"/>
    <w:rPr>
      <w:b/>
      <w:bCs/>
      <w:sz w:val="20"/>
      <w:szCs w:val="20"/>
    </w:rPr>
  </w:style>
  <w:style w:type="paragraph" w:styleId="Revision">
    <w:name w:val="Revision"/>
    <w:hidden/>
    <w:uiPriority w:val="99"/>
    <w:semiHidden/>
    <w:rsid w:val="00707127"/>
    <w:pPr>
      <w:spacing w:after="0" w:line="240" w:lineRule="auto"/>
    </w:pPr>
  </w:style>
  <w:style w:type="character" w:customStyle="1" w:styleId="Heading1Char">
    <w:name w:val="Heading 1 Char"/>
    <w:basedOn w:val="DefaultParagraphFont"/>
    <w:link w:val="Heading1"/>
    <w:rsid w:val="0069009B"/>
    <w:rPr>
      <w:rFonts w:ascii="Arial" w:eastAsia="Times New Roman" w:hAnsi="Arial" w:cs="Times New Roman"/>
      <w:b/>
      <w:i/>
      <w:szCs w:val="20"/>
    </w:rPr>
  </w:style>
  <w:style w:type="character" w:customStyle="1" w:styleId="Heading3Char">
    <w:name w:val="Heading 3 Char"/>
    <w:basedOn w:val="DefaultParagraphFont"/>
    <w:link w:val="Heading3"/>
    <w:rsid w:val="0069009B"/>
    <w:rPr>
      <w:rFonts w:ascii="Arial" w:eastAsia="Times New Roman" w:hAnsi="Arial" w:cs="Times New Roman"/>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009B"/>
    <w:pPr>
      <w:keepNext/>
      <w:overflowPunct w:val="0"/>
      <w:autoSpaceDE w:val="0"/>
      <w:autoSpaceDN w:val="0"/>
      <w:adjustRightInd w:val="0"/>
      <w:spacing w:after="0" w:line="240" w:lineRule="auto"/>
      <w:ind w:left="720" w:firstLine="720"/>
      <w:textAlignment w:val="baseline"/>
      <w:outlineLvl w:val="0"/>
    </w:pPr>
    <w:rPr>
      <w:rFonts w:ascii="Arial" w:eastAsia="Times New Roman" w:hAnsi="Arial" w:cs="Times New Roman"/>
      <w:b/>
      <w:i/>
      <w:szCs w:val="20"/>
    </w:rPr>
  </w:style>
  <w:style w:type="paragraph" w:styleId="Heading3">
    <w:name w:val="heading 3"/>
    <w:basedOn w:val="Normal"/>
    <w:next w:val="Normal"/>
    <w:link w:val="Heading3Char"/>
    <w:qFormat/>
    <w:rsid w:val="0069009B"/>
    <w:pPr>
      <w:keepNext/>
      <w:overflowPunct w:val="0"/>
      <w:autoSpaceDE w:val="0"/>
      <w:autoSpaceDN w:val="0"/>
      <w:adjustRightInd w:val="0"/>
      <w:spacing w:after="0" w:line="240" w:lineRule="auto"/>
      <w:textAlignment w:val="baseline"/>
      <w:outlineLvl w:val="2"/>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2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582"/>
  </w:style>
  <w:style w:type="paragraph" w:styleId="Footer">
    <w:name w:val="footer"/>
    <w:basedOn w:val="Normal"/>
    <w:link w:val="FooterChar"/>
    <w:uiPriority w:val="99"/>
    <w:unhideWhenUsed/>
    <w:rsid w:val="00ED2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582"/>
  </w:style>
  <w:style w:type="paragraph" w:styleId="ListParagraph">
    <w:name w:val="List Paragraph"/>
    <w:basedOn w:val="Normal"/>
    <w:uiPriority w:val="34"/>
    <w:qFormat/>
    <w:rsid w:val="00BF6BBC"/>
    <w:pPr>
      <w:ind w:left="720"/>
      <w:contextualSpacing/>
    </w:pPr>
  </w:style>
  <w:style w:type="paragraph" w:styleId="BalloonText">
    <w:name w:val="Balloon Text"/>
    <w:basedOn w:val="Normal"/>
    <w:link w:val="BalloonTextChar"/>
    <w:uiPriority w:val="99"/>
    <w:semiHidden/>
    <w:unhideWhenUsed/>
    <w:rsid w:val="00C1748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1748F"/>
    <w:rPr>
      <w:rFonts w:cs="Tahoma"/>
      <w:sz w:val="16"/>
      <w:szCs w:val="16"/>
    </w:rPr>
  </w:style>
  <w:style w:type="character" w:styleId="CommentReference">
    <w:name w:val="annotation reference"/>
    <w:basedOn w:val="DefaultParagraphFont"/>
    <w:uiPriority w:val="99"/>
    <w:semiHidden/>
    <w:unhideWhenUsed/>
    <w:rsid w:val="00707127"/>
    <w:rPr>
      <w:sz w:val="16"/>
      <w:szCs w:val="16"/>
    </w:rPr>
  </w:style>
  <w:style w:type="paragraph" w:styleId="CommentText">
    <w:name w:val="annotation text"/>
    <w:basedOn w:val="Normal"/>
    <w:link w:val="CommentTextChar"/>
    <w:uiPriority w:val="99"/>
    <w:semiHidden/>
    <w:unhideWhenUsed/>
    <w:rsid w:val="00707127"/>
    <w:pPr>
      <w:spacing w:line="240" w:lineRule="auto"/>
    </w:pPr>
    <w:rPr>
      <w:sz w:val="20"/>
      <w:szCs w:val="20"/>
    </w:rPr>
  </w:style>
  <w:style w:type="character" w:customStyle="1" w:styleId="CommentTextChar">
    <w:name w:val="Comment Text Char"/>
    <w:basedOn w:val="DefaultParagraphFont"/>
    <w:link w:val="CommentText"/>
    <w:uiPriority w:val="99"/>
    <w:semiHidden/>
    <w:rsid w:val="00707127"/>
    <w:rPr>
      <w:sz w:val="20"/>
      <w:szCs w:val="20"/>
    </w:rPr>
  </w:style>
  <w:style w:type="paragraph" w:styleId="CommentSubject">
    <w:name w:val="annotation subject"/>
    <w:basedOn w:val="CommentText"/>
    <w:next w:val="CommentText"/>
    <w:link w:val="CommentSubjectChar"/>
    <w:uiPriority w:val="99"/>
    <w:semiHidden/>
    <w:unhideWhenUsed/>
    <w:rsid w:val="00707127"/>
    <w:rPr>
      <w:b/>
      <w:bCs/>
    </w:rPr>
  </w:style>
  <w:style w:type="character" w:customStyle="1" w:styleId="CommentSubjectChar">
    <w:name w:val="Comment Subject Char"/>
    <w:basedOn w:val="CommentTextChar"/>
    <w:link w:val="CommentSubject"/>
    <w:uiPriority w:val="99"/>
    <w:semiHidden/>
    <w:rsid w:val="00707127"/>
    <w:rPr>
      <w:b/>
      <w:bCs/>
      <w:sz w:val="20"/>
      <w:szCs w:val="20"/>
    </w:rPr>
  </w:style>
  <w:style w:type="paragraph" w:styleId="Revision">
    <w:name w:val="Revision"/>
    <w:hidden/>
    <w:uiPriority w:val="99"/>
    <w:semiHidden/>
    <w:rsid w:val="00707127"/>
    <w:pPr>
      <w:spacing w:after="0" w:line="240" w:lineRule="auto"/>
    </w:pPr>
  </w:style>
  <w:style w:type="character" w:customStyle="1" w:styleId="Heading1Char">
    <w:name w:val="Heading 1 Char"/>
    <w:basedOn w:val="DefaultParagraphFont"/>
    <w:link w:val="Heading1"/>
    <w:rsid w:val="0069009B"/>
    <w:rPr>
      <w:rFonts w:ascii="Arial" w:eastAsia="Times New Roman" w:hAnsi="Arial" w:cs="Times New Roman"/>
      <w:b/>
      <w:i/>
      <w:szCs w:val="20"/>
    </w:rPr>
  </w:style>
  <w:style w:type="character" w:customStyle="1" w:styleId="Heading3Char">
    <w:name w:val="Heading 3 Char"/>
    <w:basedOn w:val="DefaultParagraphFont"/>
    <w:link w:val="Heading3"/>
    <w:rsid w:val="0069009B"/>
    <w:rPr>
      <w:rFonts w:ascii="Arial" w:eastAsia="Times New Roman" w:hAnsi="Arial"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2013-10-30T07:00:00+00:00</OpenedDate>
    <Date1 xmlns="dc463f71-b30c-4ab2-9473-d307f9d35888">2014-01-14T08:00:00+00:00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132019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571865091E4C84C967B36836C045D32" ma:contentTypeVersion="135" ma:contentTypeDescription="" ma:contentTypeScope="" ma:versionID="b4efaadc31c4967e6df4729b6386d3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88DF0-C50D-454D-94B1-409046CAA45C}"/>
</file>

<file path=customXml/itemProps2.xml><?xml version="1.0" encoding="utf-8"?>
<ds:datastoreItem xmlns:ds="http://schemas.openxmlformats.org/officeDocument/2006/customXml" ds:itemID="{F159ADA4-6866-4588-8779-6C2FE03476A5}"/>
</file>

<file path=customXml/itemProps3.xml><?xml version="1.0" encoding="utf-8"?>
<ds:datastoreItem xmlns:ds="http://schemas.openxmlformats.org/officeDocument/2006/customXml" ds:itemID="{C22BF075-3128-4E30-A4A9-83E787163738}"/>
</file>

<file path=customXml/itemProps4.xml><?xml version="1.0" encoding="utf-8"?>
<ds:datastoreItem xmlns:ds="http://schemas.openxmlformats.org/officeDocument/2006/customXml" ds:itemID="{B1F6B2FC-5416-4156-849E-FE6694851B56}"/>
</file>

<file path=docProps/app.xml><?xml version="1.0" encoding="utf-8"?>
<Properties xmlns="http://schemas.openxmlformats.org/officeDocument/2006/extended-properties" xmlns:vt="http://schemas.openxmlformats.org/officeDocument/2006/docPropsVTypes">
  <Template>Normal.dotm</Template>
  <TotalTime>4</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Randy</dc:creator>
  <cp:lastModifiedBy>k miller</cp:lastModifiedBy>
  <cp:revision>3</cp:revision>
  <dcterms:created xsi:type="dcterms:W3CDTF">2014-01-13T23:09:00Z</dcterms:created>
  <dcterms:modified xsi:type="dcterms:W3CDTF">2014-01-14T00:25:00Z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0x0101006E56B4D1795A2E4DB2F0B01679ED314A005571865091E4C84C967B36836C045D32</vt:lpwstr>
  </property>
  <property fmtid="{D5CDD505-2E9C-101B-9397-08002B2CF9AE}" pid="3" name="_docset_NoMedatataSyncRequired">
    <vt:lpwstr>False</vt:lpwstr>
  </property>
</Properties>
</file>