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718" w:rsidRPr="00EB4CE3" w:rsidRDefault="00154718" w:rsidP="00BE5610">
      <w:r w:rsidRPr="00EB4CE3">
        <w:t xml:space="preserve">Agenda Date: </w:t>
      </w:r>
      <w:r w:rsidRPr="00EB4CE3">
        <w:tab/>
      </w:r>
      <w:r w:rsidRPr="00EB4CE3">
        <w:tab/>
      </w:r>
      <w:r w:rsidR="00FB0A0C">
        <w:t>October</w:t>
      </w:r>
      <w:r w:rsidR="00DD65A6">
        <w:t xml:space="preserve"> </w:t>
      </w:r>
      <w:r w:rsidR="00FB0A0C">
        <w:t>29</w:t>
      </w:r>
      <w:r w:rsidRPr="00EB4CE3">
        <w:t>, 2009</w:t>
      </w:r>
    </w:p>
    <w:p w:rsidR="00154718" w:rsidRPr="00EB4CE3" w:rsidRDefault="00154718" w:rsidP="00BE5610">
      <w:r w:rsidRPr="00EB4CE3">
        <w:t>Item Number:</w:t>
      </w:r>
      <w:r w:rsidRPr="00EB4CE3">
        <w:tab/>
      </w:r>
      <w:r w:rsidRPr="00EB4CE3">
        <w:tab/>
      </w:r>
      <w:r w:rsidR="00F82758">
        <w:t>A4</w:t>
      </w:r>
    </w:p>
    <w:p w:rsidR="00154718" w:rsidRPr="00EB4CE3" w:rsidRDefault="00154718" w:rsidP="00BE5610"/>
    <w:p w:rsidR="00154718" w:rsidRPr="00EB4CE3" w:rsidRDefault="00154718" w:rsidP="00BE5610">
      <w:r w:rsidRPr="00EB4CE3">
        <w:t xml:space="preserve">Docket: </w:t>
      </w:r>
      <w:r w:rsidRPr="00EB4CE3">
        <w:tab/>
      </w:r>
      <w:r w:rsidRPr="00EB4CE3">
        <w:tab/>
        <w:t>U</w:t>
      </w:r>
      <w:r w:rsidR="00FB0A0C">
        <w:t>G</w:t>
      </w:r>
      <w:r w:rsidRPr="00EB4CE3">
        <w:t>-09</w:t>
      </w:r>
      <w:r w:rsidR="00FB0A0C">
        <w:t>1399</w:t>
      </w:r>
    </w:p>
    <w:p w:rsidR="00154718" w:rsidRPr="00EB4CE3" w:rsidRDefault="00A41C23" w:rsidP="00BE5610">
      <w:r w:rsidRPr="00EB4CE3">
        <w:t>Company Name:</w:t>
      </w:r>
      <w:r w:rsidRPr="00EB4CE3">
        <w:tab/>
      </w:r>
      <w:r w:rsidR="00FB0A0C">
        <w:t>Avista Corporation</w:t>
      </w:r>
    </w:p>
    <w:p w:rsidR="00154718" w:rsidRPr="00EB4CE3" w:rsidRDefault="00154718" w:rsidP="00BE5610"/>
    <w:p w:rsidR="00154718" w:rsidRPr="00EB4CE3" w:rsidRDefault="00595023" w:rsidP="00BE5610">
      <w:r w:rsidRPr="00EB4CE3">
        <w:t xml:space="preserve">Staff: </w:t>
      </w:r>
      <w:r w:rsidRPr="00EB4CE3">
        <w:tab/>
      </w:r>
      <w:r w:rsidRPr="00EB4CE3">
        <w:tab/>
      </w:r>
      <w:r w:rsidRPr="00EB4CE3">
        <w:tab/>
      </w:r>
      <w:r w:rsidR="00FB0A0C">
        <w:t>Deborah Reynolds</w:t>
      </w:r>
      <w:r w:rsidR="00154718" w:rsidRPr="00EB4CE3">
        <w:t>, Regulatory Analyst</w:t>
      </w:r>
    </w:p>
    <w:p w:rsidR="00154718" w:rsidRPr="00EB4CE3" w:rsidRDefault="00FB0A0C" w:rsidP="00FB0A0C">
      <w:pPr>
        <w:ind w:left="2160"/>
      </w:pPr>
      <w:r>
        <w:t>Ann LaRue, Regulatory Analyst</w:t>
      </w:r>
    </w:p>
    <w:p w:rsidR="00154718" w:rsidRPr="00EB4CE3" w:rsidRDefault="00154718" w:rsidP="00BE5610"/>
    <w:p w:rsidR="00154718" w:rsidRPr="00935AF2" w:rsidRDefault="00154718" w:rsidP="00BE5610">
      <w:pPr>
        <w:rPr>
          <w:b/>
          <w:u w:val="single"/>
        </w:rPr>
      </w:pPr>
      <w:r w:rsidRPr="00935AF2">
        <w:rPr>
          <w:b/>
          <w:u w:val="single"/>
        </w:rPr>
        <w:t>Recommendation</w:t>
      </w:r>
    </w:p>
    <w:p w:rsidR="00154718" w:rsidRPr="00EB4CE3" w:rsidRDefault="00154718" w:rsidP="00BE5610"/>
    <w:p w:rsidR="00241B80" w:rsidRDefault="000A4DFC" w:rsidP="007543EF">
      <w:pPr>
        <w:widowControl w:val="0"/>
        <w:autoSpaceDE w:val="0"/>
        <w:autoSpaceDN w:val="0"/>
        <w:adjustRightInd w:val="0"/>
        <w:rPr>
          <w:rFonts w:eastAsia="Times New Roman"/>
          <w:color w:val="000000"/>
          <w:lang w:bidi="ar-SA"/>
        </w:rPr>
      </w:pPr>
      <w:r>
        <w:t xml:space="preserve">Take no action, thereby allowing Avista Corporation’s proposed decoupling surcharge tariff revisions filed </w:t>
      </w:r>
      <w:r w:rsidR="00AD33F9">
        <w:rPr>
          <w:rFonts w:eastAsia="Times New Roman"/>
          <w:color w:val="000000"/>
          <w:lang w:bidi="ar-SA"/>
        </w:rPr>
        <w:t xml:space="preserve">in </w:t>
      </w:r>
      <w:r w:rsidR="00FC73D9">
        <w:rPr>
          <w:rFonts w:eastAsia="Times New Roman"/>
          <w:color w:val="000000"/>
          <w:lang w:bidi="ar-SA"/>
        </w:rPr>
        <w:t>d</w:t>
      </w:r>
      <w:r w:rsidR="00AD33F9">
        <w:rPr>
          <w:rFonts w:eastAsia="Times New Roman"/>
          <w:color w:val="000000"/>
          <w:lang w:bidi="ar-SA"/>
        </w:rPr>
        <w:t>ocket UG-091399</w:t>
      </w:r>
      <w:r w:rsidR="000B463E">
        <w:rPr>
          <w:rFonts w:eastAsia="Times New Roman"/>
          <w:color w:val="000000"/>
          <w:lang w:bidi="ar-SA"/>
        </w:rPr>
        <w:t xml:space="preserve"> </w:t>
      </w:r>
      <w:r w:rsidR="003B4530">
        <w:rPr>
          <w:rFonts w:eastAsia="Times New Roman"/>
          <w:color w:val="000000"/>
          <w:lang w:bidi="ar-SA"/>
        </w:rPr>
        <w:t xml:space="preserve">on October 22, 2009, </w:t>
      </w:r>
      <w:r w:rsidR="00D0403B" w:rsidRPr="004D7E01">
        <w:rPr>
          <w:rFonts w:eastAsia="Times New Roman"/>
          <w:color w:val="000000"/>
          <w:lang w:bidi="ar-SA"/>
        </w:rPr>
        <w:t xml:space="preserve">to become effective </w:t>
      </w:r>
      <w:r w:rsidR="00FB0A0C">
        <w:rPr>
          <w:rFonts w:eastAsia="Times New Roman"/>
          <w:color w:val="000000"/>
          <w:lang w:bidi="ar-SA"/>
        </w:rPr>
        <w:t>November</w:t>
      </w:r>
      <w:r w:rsidR="00D0403B" w:rsidRPr="004D7E01">
        <w:rPr>
          <w:rFonts w:eastAsia="Times New Roman"/>
          <w:color w:val="000000"/>
          <w:lang w:bidi="ar-SA"/>
        </w:rPr>
        <w:t xml:space="preserve"> 1, 200</w:t>
      </w:r>
      <w:r w:rsidR="00D0403B">
        <w:rPr>
          <w:rFonts w:eastAsia="Times New Roman"/>
          <w:color w:val="000000"/>
          <w:lang w:bidi="ar-SA"/>
        </w:rPr>
        <w:t>9</w:t>
      </w:r>
      <w:r w:rsidR="00D0403B" w:rsidRPr="004D7E01">
        <w:rPr>
          <w:rFonts w:eastAsia="Times New Roman"/>
          <w:color w:val="000000"/>
          <w:lang w:bidi="ar-SA"/>
        </w:rPr>
        <w:t xml:space="preserve">, </w:t>
      </w:r>
      <w:r>
        <w:t>by operation of law.</w:t>
      </w:r>
    </w:p>
    <w:p w:rsidR="004D7E01" w:rsidRPr="004D7E01" w:rsidRDefault="004D7E01" w:rsidP="004D7E01">
      <w:pPr>
        <w:ind w:left="720"/>
        <w:rPr>
          <w:color w:val="000000"/>
          <w:sz w:val="22"/>
          <w:szCs w:val="22"/>
          <w:lang w:bidi="ar-SA"/>
        </w:rPr>
      </w:pPr>
    </w:p>
    <w:p w:rsidR="00BC0F55" w:rsidRPr="00AD4D61" w:rsidRDefault="00BC0F55" w:rsidP="00BC0F55">
      <w:pPr>
        <w:outlineLvl w:val="0"/>
        <w:rPr>
          <w:b/>
          <w:u w:val="single"/>
        </w:rPr>
      </w:pPr>
      <w:r>
        <w:rPr>
          <w:b/>
          <w:u w:val="single"/>
        </w:rPr>
        <w:t>Background</w:t>
      </w:r>
    </w:p>
    <w:p w:rsidR="00154718" w:rsidRPr="00EB4CE3" w:rsidRDefault="00154718" w:rsidP="00BE5610"/>
    <w:p w:rsidR="00412830" w:rsidRDefault="00412830" w:rsidP="00412830">
      <w:pPr>
        <w:outlineLvl w:val="0"/>
      </w:pPr>
      <w:r>
        <w:t xml:space="preserve">In February of 2007, the </w:t>
      </w:r>
      <w:r w:rsidR="00FC73D9">
        <w:t>c</w:t>
      </w:r>
      <w:r>
        <w:t>ommission approved a multi-party settlement agreement establishing a three-year pilot program allow</w:t>
      </w:r>
      <w:r w:rsidR="00AD33F9">
        <w:t>ing</w:t>
      </w:r>
      <w:r>
        <w:t xml:space="preserve"> Avista </w:t>
      </w:r>
      <w:r w:rsidR="00DE2DC1">
        <w:t xml:space="preserve">Corporation (Avista or </w:t>
      </w:r>
      <w:r w:rsidR="00EF6DA8">
        <w:t>c</w:t>
      </w:r>
      <w:r w:rsidR="00DE2DC1">
        <w:t xml:space="preserve">ompany) </w:t>
      </w:r>
      <w:r>
        <w:t>to test a natural gas decoupling mechanism.</w:t>
      </w:r>
      <w:r>
        <w:rPr>
          <w:rStyle w:val="FootnoteReference"/>
        </w:rPr>
        <w:footnoteReference w:id="1"/>
      </w:r>
      <w:r w:rsidR="00550893">
        <w:t xml:space="preserve"> </w:t>
      </w:r>
      <w:r>
        <w:t xml:space="preserve">The parties to the settlement included Avista, commission staff, </w:t>
      </w:r>
      <w:r w:rsidR="00DE2DC1">
        <w:t>t</w:t>
      </w:r>
      <w:r>
        <w:t>he Northwest Energy Coalition</w:t>
      </w:r>
      <w:r w:rsidR="00DE2DC1">
        <w:t xml:space="preserve"> (NWEC)</w:t>
      </w:r>
      <w:r>
        <w:t>, and the Northwest Industrial Gas Users</w:t>
      </w:r>
      <w:r w:rsidR="00DE2DC1">
        <w:t xml:space="preserve"> (NWIGU)</w:t>
      </w:r>
      <w:r>
        <w:t xml:space="preserve">. </w:t>
      </w:r>
      <w:r w:rsidR="00F44667">
        <w:t xml:space="preserve">Not party to the settlement were </w:t>
      </w:r>
      <w:r>
        <w:t>Public Counsel and The Energy Project</w:t>
      </w:r>
      <w:r w:rsidR="00F44667">
        <w:t>.</w:t>
      </w:r>
    </w:p>
    <w:p w:rsidR="00412830" w:rsidRDefault="00412830" w:rsidP="008C168F">
      <w:pPr>
        <w:rPr>
          <w:color w:val="000000"/>
        </w:rPr>
      </w:pPr>
    </w:p>
    <w:p w:rsidR="00216922" w:rsidRDefault="00216922" w:rsidP="008C168F">
      <w:pPr>
        <w:rPr>
          <w:color w:val="000000"/>
        </w:rPr>
      </w:pPr>
      <w:r>
        <w:rPr>
          <w:color w:val="000000"/>
        </w:rPr>
        <w:t>Decoupling is a rat</w:t>
      </w:r>
      <w:r w:rsidR="007543EF">
        <w:rPr>
          <w:color w:val="000000"/>
        </w:rPr>
        <w:t>e</w:t>
      </w:r>
      <w:r>
        <w:rPr>
          <w:color w:val="000000"/>
        </w:rPr>
        <w:t xml:space="preserve">making and regulatory tool intended to break the link between a utility’s recovery of fixed costs and a </w:t>
      </w:r>
      <w:r w:rsidR="00F82758">
        <w:rPr>
          <w:color w:val="000000"/>
        </w:rPr>
        <w:t xml:space="preserve">consumer’s energy consumption. </w:t>
      </w:r>
      <w:r>
        <w:rPr>
          <w:color w:val="000000"/>
        </w:rPr>
        <w:t>Energy conservation advocates view decoupling as a tool to promote greater conservation efforts by utilities by removing financial disincentives.</w:t>
      </w:r>
    </w:p>
    <w:p w:rsidR="00216922" w:rsidRDefault="00216922" w:rsidP="008C168F">
      <w:pPr>
        <w:rPr>
          <w:color w:val="000000"/>
        </w:rPr>
      </w:pPr>
    </w:p>
    <w:p w:rsidR="00216922" w:rsidRDefault="00216922" w:rsidP="008C168F">
      <w:pPr>
        <w:rPr>
          <w:color w:val="000000"/>
        </w:rPr>
      </w:pPr>
      <w:r>
        <w:rPr>
          <w:color w:val="000000"/>
        </w:rPr>
        <w:t>Avista’s pilot decoupling program is applicable to residential and small commercial customers receiving natural gas service under schedule 101.</w:t>
      </w:r>
    </w:p>
    <w:p w:rsidR="00FB0A0C" w:rsidRDefault="00FB0A0C" w:rsidP="008C168F">
      <w:pPr>
        <w:rPr>
          <w:color w:val="000000"/>
        </w:rPr>
      </w:pPr>
    </w:p>
    <w:p w:rsidR="00216922" w:rsidRDefault="00216922" w:rsidP="00216922">
      <w:pPr>
        <w:outlineLvl w:val="0"/>
      </w:pPr>
      <w:r>
        <w:t xml:space="preserve">Under the terms of the pilot decoupling program, Avista may defer for later recovery </w:t>
      </w:r>
      <w:r w:rsidR="007543EF">
        <w:t xml:space="preserve">up to </w:t>
      </w:r>
      <w:r>
        <w:t>90 percent of fixed costs (margin) related to revenue reductions associated with conservation and price elasticity as calculated in the company’s last general rate case</w:t>
      </w:r>
      <w:r w:rsidR="00CC729F">
        <w:t>.</w:t>
      </w:r>
      <w:r w:rsidR="000A3354">
        <w:rPr>
          <w:rStyle w:val="FootnoteReference"/>
        </w:rPr>
        <w:footnoteReference w:id="2"/>
      </w:r>
      <w:r w:rsidR="00CC729F">
        <w:t xml:space="preserve"> </w:t>
      </w:r>
      <w:r w:rsidR="00F44667">
        <w:t>However, r</w:t>
      </w:r>
      <w:r>
        <w:t>ecovery is subject to several tests and limitations, including:</w:t>
      </w:r>
    </w:p>
    <w:p w:rsidR="00216922" w:rsidRDefault="00216922" w:rsidP="00216922">
      <w:pPr>
        <w:outlineLvl w:val="0"/>
      </w:pPr>
    </w:p>
    <w:p w:rsidR="00216922" w:rsidRDefault="00216922" w:rsidP="00216922">
      <w:pPr>
        <w:numPr>
          <w:ilvl w:val="0"/>
          <w:numId w:val="7"/>
        </w:numPr>
        <w:tabs>
          <w:tab w:val="clear" w:pos="1440"/>
          <w:tab w:val="num" w:pos="720"/>
        </w:tabs>
        <w:ind w:left="720" w:hanging="360"/>
        <w:outlineLvl w:val="0"/>
      </w:pPr>
      <w:r>
        <w:t xml:space="preserve">An earnings test to ensure that Avista does not earn more than its authorized rate of return through the decoupling mechanism </w:t>
      </w:r>
      <w:r w:rsidRPr="00DE2DC1">
        <w:t>(8.2</w:t>
      </w:r>
      <w:r w:rsidR="00BC0F55" w:rsidRPr="00DE2DC1">
        <w:t>2</w:t>
      </w:r>
      <w:r>
        <w:t xml:space="preserve"> percent).</w:t>
      </w:r>
      <w:r w:rsidR="00F44667">
        <w:rPr>
          <w:rStyle w:val="FootnoteReference"/>
        </w:rPr>
        <w:footnoteReference w:id="3"/>
      </w:r>
    </w:p>
    <w:p w:rsidR="00216922" w:rsidRDefault="00216922" w:rsidP="00216922">
      <w:pPr>
        <w:ind w:left="720"/>
        <w:outlineLvl w:val="0"/>
      </w:pPr>
    </w:p>
    <w:p w:rsidR="00216922" w:rsidRDefault="00216922" w:rsidP="00216922">
      <w:pPr>
        <w:numPr>
          <w:ilvl w:val="0"/>
          <w:numId w:val="7"/>
        </w:numPr>
        <w:tabs>
          <w:tab w:val="clear" w:pos="1440"/>
          <w:tab w:val="num" w:pos="720"/>
        </w:tabs>
        <w:ind w:left="720" w:hanging="360"/>
        <w:outlineLvl w:val="0"/>
      </w:pPr>
      <w:r>
        <w:t>A demand side management (DSM) test that conditions the level of recovery of any deferral on Avista achieving specific conservation targets</w:t>
      </w:r>
      <w:r w:rsidR="00EF6DA8">
        <w:t xml:space="preserve"> as verified by an independent third party</w:t>
      </w:r>
      <w:r>
        <w:t xml:space="preserve">. </w:t>
      </w:r>
    </w:p>
    <w:p w:rsidR="00BC0F55" w:rsidRDefault="00BC0F55" w:rsidP="00BC0F55">
      <w:pPr>
        <w:pStyle w:val="ListParagraph"/>
      </w:pPr>
    </w:p>
    <w:p w:rsidR="00216922" w:rsidRDefault="00216922" w:rsidP="00216922">
      <w:pPr>
        <w:numPr>
          <w:ilvl w:val="0"/>
          <w:numId w:val="7"/>
        </w:numPr>
        <w:tabs>
          <w:tab w:val="clear" w:pos="1440"/>
          <w:tab w:val="num" w:pos="720"/>
        </w:tabs>
        <w:ind w:left="720" w:hanging="360"/>
        <w:outlineLvl w:val="0"/>
      </w:pPr>
      <w:r>
        <w:lastRenderedPageBreak/>
        <w:t xml:space="preserve">Annual rate changes are limited to a maximum of two percent. </w:t>
      </w:r>
    </w:p>
    <w:p w:rsidR="00216922" w:rsidRDefault="00216922" w:rsidP="008C168F">
      <w:pPr>
        <w:rPr>
          <w:color w:val="000000"/>
        </w:rPr>
      </w:pPr>
    </w:p>
    <w:p w:rsidR="00F44667" w:rsidRDefault="00F44667" w:rsidP="008C168F">
      <w:pPr>
        <w:rPr>
          <w:color w:val="000000"/>
        </w:rPr>
      </w:pPr>
      <w:r>
        <w:t xml:space="preserve">Once the tests and limitations are applied, recovery of the deferred margin occurs through a surcharge applied to </w:t>
      </w:r>
      <w:r>
        <w:rPr>
          <w:color w:val="000000"/>
        </w:rPr>
        <w:t xml:space="preserve">residential and small commercial customers </w:t>
      </w:r>
      <w:r>
        <w:t>under Schedule 159.</w:t>
      </w:r>
    </w:p>
    <w:p w:rsidR="00F44667" w:rsidRDefault="00F44667" w:rsidP="008C168F">
      <w:pPr>
        <w:rPr>
          <w:color w:val="000000"/>
        </w:rPr>
      </w:pPr>
    </w:p>
    <w:p w:rsidR="00BC0F55" w:rsidRDefault="00BC0F55" w:rsidP="00BC0F55">
      <w:pPr>
        <w:outlineLvl w:val="0"/>
        <w:rPr>
          <w:b/>
          <w:u w:val="single"/>
        </w:rPr>
      </w:pPr>
      <w:r>
        <w:rPr>
          <w:b/>
          <w:u w:val="single"/>
        </w:rPr>
        <w:t>Discussion</w:t>
      </w:r>
    </w:p>
    <w:p w:rsidR="00BC0F55" w:rsidRPr="006A1259" w:rsidRDefault="00BC0F55" w:rsidP="00BC0F55">
      <w:pPr>
        <w:outlineLvl w:val="0"/>
        <w:rPr>
          <w:u w:val="single"/>
        </w:rPr>
      </w:pPr>
    </w:p>
    <w:p w:rsidR="00BC0F55" w:rsidRDefault="00BC0F55" w:rsidP="00BC0F55">
      <w:pPr>
        <w:outlineLvl w:val="0"/>
      </w:pPr>
      <w:r>
        <w:t>On August 31, 2009, Avista filed tariff sheets that would adjust the surcharge recovery rate for its natural gas decoupling mechan</w:t>
      </w:r>
      <w:r w:rsidR="00F82758">
        <w:t>ism effective November 1, 2009.</w:t>
      </w:r>
      <w:r w:rsidR="000A3354">
        <w:t xml:space="preserve"> </w:t>
      </w:r>
      <w:r>
        <w:t xml:space="preserve">The filing </w:t>
      </w:r>
      <w:r w:rsidR="000B463E">
        <w:t xml:space="preserve">proposed </w:t>
      </w:r>
      <w:r>
        <w:t xml:space="preserve">a decrease in the surcharge rate from </w:t>
      </w:r>
      <w:r w:rsidR="000A3354">
        <w:t>$</w:t>
      </w:r>
      <w:r>
        <w:t>0.</w:t>
      </w:r>
      <w:r w:rsidR="000A3354">
        <w:t>00</w:t>
      </w:r>
      <w:r>
        <w:t xml:space="preserve">593 to </w:t>
      </w:r>
      <w:r w:rsidR="000A3354">
        <w:t>$</w:t>
      </w:r>
      <w:r>
        <w:t>0.</w:t>
      </w:r>
      <w:r w:rsidR="000A3354">
        <w:t>00</w:t>
      </w:r>
      <w:r>
        <w:t>563</w:t>
      </w:r>
      <w:r w:rsidR="00CC729F">
        <w:t xml:space="preserve"> </w:t>
      </w:r>
      <w:r>
        <w:t>per therm. This would</w:t>
      </w:r>
      <w:r w:rsidR="000B463E">
        <w:t xml:space="preserve"> have</w:t>
      </w:r>
      <w:r>
        <w:t xml:space="preserve"> result</w:t>
      </w:r>
      <w:r w:rsidR="000B463E">
        <w:t>ed</w:t>
      </w:r>
      <w:r>
        <w:t xml:space="preserve"> in a decrease of $0.0</w:t>
      </w:r>
      <w:r w:rsidR="00412830">
        <w:t>2</w:t>
      </w:r>
      <w:r>
        <w:t xml:space="preserve"> (</w:t>
      </w:r>
      <w:r w:rsidRPr="000709C4">
        <w:t>0.</w:t>
      </w:r>
      <w:r w:rsidR="000709C4" w:rsidRPr="000709C4">
        <w:t>02</w:t>
      </w:r>
      <w:r>
        <w:t xml:space="preserve"> percent) in the </w:t>
      </w:r>
      <w:r w:rsidR="000A3354">
        <w:t xml:space="preserve">average </w:t>
      </w:r>
      <w:r>
        <w:t xml:space="preserve">bill of </w:t>
      </w:r>
      <w:r w:rsidR="000A3354">
        <w:t>a</w:t>
      </w:r>
      <w:r>
        <w:t xml:space="preserve"> residential customer taking natural gas service under Schedule 101. </w:t>
      </w:r>
      <w:r w:rsidR="000B463E">
        <w:t>The company revised its filing on October 22, 2009</w:t>
      </w:r>
      <w:r w:rsidR="002D5B66">
        <w:t>,</w:t>
      </w:r>
      <w:r w:rsidR="00AD1CC7">
        <w:t xml:space="preserve"> to reduce the portion of deferral recovered from 90 percent down to 80 percent</w:t>
      </w:r>
      <w:r w:rsidR="00F82758">
        <w:t xml:space="preserve">. </w:t>
      </w:r>
      <w:r w:rsidR="000B463E">
        <w:t>The revised filing proposes a decrease in the surcharge rate from $0.00593 to $0.00</w:t>
      </w:r>
      <w:r w:rsidR="0041597E">
        <w:t>499</w:t>
      </w:r>
      <w:r w:rsidR="00F82758">
        <w:t xml:space="preserve"> per therm.</w:t>
      </w:r>
      <w:r w:rsidR="000B463E">
        <w:t xml:space="preserve"> This result</w:t>
      </w:r>
      <w:r w:rsidR="007E25CB">
        <w:t>s</w:t>
      </w:r>
      <w:r w:rsidR="000B463E">
        <w:t xml:space="preserve"> in a decrease of $0.</w:t>
      </w:r>
      <w:r w:rsidR="0041597E">
        <w:t>07</w:t>
      </w:r>
      <w:r w:rsidR="000B463E">
        <w:t xml:space="preserve"> (</w:t>
      </w:r>
      <w:r w:rsidR="000B463E" w:rsidRPr="000709C4">
        <w:t>0.</w:t>
      </w:r>
      <w:r w:rsidR="0041597E">
        <w:t>0</w:t>
      </w:r>
      <w:r w:rsidR="00257930">
        <w:t>8</w:t>
      </w:r>
      <w:r w:rsidR="000B463E">
        <w:t xml:space="preserve"> percent) in the average bill of a residential customer taking natural gas service under Schedule 101.</w:t>
      </w:r>
      <w:r w:rsidR="0041597E">
        <w:t xml:space="preserve">  </w:t>
      </w:r>
    </w:p>
    <w:p w:rsidR="00216922" w:rsidRDefault="00216922" w:rsidP="008C168F">
      <w:pPr>
        <w:rPr>
          <w:color w:val="000000"/>
        </w:rPr>
      </w:pPr>
    </w:p>
    <w:p w:rsidR="007543EF" w:rsidRDefault="00412830" w:rsidP="007543EF">
      <w:pPr>
        <w:outlineLvl w:val="0"/>
      </w:pPr>
      <w:r>
        <w:t xml:space="preserve">The </w:t>
      </w:r>
      <w:r w:rsidR="000B463E">
        <w:t xml:space="preserve">revised </w:t>
      </w:r>
      <w:r>
        <w:t>surcharge recover</w:t>
      </w:r>
      <w:r w:rsidR="007E25CB">
        <w:t>s</w:t>
      </w:r>
      <w:r>
        <w:t xml:space="preserve"> </w:t>
      </w:r>
      <w:r w:rsidR="0041597E">
        <w:t xml:space="preserve">$605,105 </w:t>
      </w:r>
      <w:r>
        <w:t xml:space="preserve">of deferred margin </w:t>
      </w:r>
      <w:r w:rsidR="00F44667">
        <w:t>plus</w:t>
      </w:r>
      <w:r>
        <w:t xml:space="preserve"> interest and revenue</w:t>
      </w:r>
      <w:r w:rsidR="002D5B66">
        <w:t xml:space="preserve"> sensitive</w:t>
      </w:r>
      <w:r>
        <w:t xml:space="preserve"> expenses, </w:t>
      </w:r>
      <w:r w:rsidR="004F2FDE">
        <w:t>or approximately</w:t>
      </w:r>
      <w:r>
        <w:t xml:space="preserve"> </w:t>
      </w:r>
      <w:r w:rsidR="0041597E">
        <w:t>$</w:t>
      </w:r>
      <w:r w:rsidR="00257930">
        <w:t>640</w:t>
      </w:r>
      <w:r w:rsidR="0041597E">
        <w:t xml:space="preserve">,000 </w:t>
      </w:r>
      <w:r w:rsidR="00F44667">
        <w:t xml:space="preserve">in </w:t>
      </w:r>
      <w:r>
        <w:t xml:space="preserve">additional </w:t>
      </w:r>
      <w:r w:rsidR="00F44667">
        <w:t xml:space="preserve">annual </w:t>
      </w:r>
      <w:r>
        <w:t>revenue</w:t>
      </w:r>
      <w:r w:rsidR="00F44667">
        <w:t xml:space="preserve"> (</w:t>
      </w:r>
      <w:r w:rsidR="00AD1CC7">
        <w:t>0.</w:t>
      </w:r>
      <w:r w:rsidR="00D744D3">
        <w:t>33</w:t>
      </w:r>
      <w:r w:rsidR="00AD1CC7">
        <w:t xml:space="preserve"> </w:t>
      </w:r>
      <w:r w:rsidR="00F44667">
        <w:t>percent)</w:t>
      </w:r>
      <w:r>
        <w:t>.</w:t>
      </w:r>
      <w:r w:rsidR="00F82758">
        <w:t xml:space="preserve"> </w:t>
      </w:r>
      <w:r w:rsidR="004F2FDE">
        <w:t>Staff review</w:t>
      </w:r>
      <w:r w:rsidR="00D30DD6">
        <w:t>ed</w:t>
      </w:r>
      <w:r w:rsidR="00CC729F">
        <w:t xml:space="preserve"> the </w:t>
      </w:r>
      <w:r w:rsidR="007543EF">
        <w:t>work papers supporting the above-mentioned tests and limitations</w:t>
      </w:r>
      <w:r w:rsidR="00D30DD6">
        <w:t>.</w:t>
      </w:r>
      <w:r w:rsidR="007543EF">
        <w:t xml:space="preserve"> </w:t>
      </w:r>
      <w:r w:rsidR="00D30DD6">
        <w:t>Staff believes the company met two</w:t>
      </w:r>
      <w:r w:rsidR="005B7312">
        <w:rPr>
          <w:rStyle w:val="FootnoteReference"/>
        </w:rPr>
        <w:footnoteReference w:id="4"/>
      </w:r>
      <w:r w:rsidR="00D30DD6">
        <w:t xml:space="preserve"> of the requirements for recovery of the deferral amount, but the t</w:t>
      </w:r>
      <w:r w:rsidR="005B7312">
        <w:t>hird requirement, the DSM test, required revision of the company’s filing.</w:t>
      </w:r>
    </w:p>
    <w:p w:rsidR="007543EF" w:rsidRDefault="007543EF" w:rsidP="007543EF">
      <w:pPr>
        <w:outlineLvl w:val="0"/>
      </w:pPr>
    </w:p>
    <w:p w:rsidR="007543EF" w:rsidRDefault="007543EF" w:rsidP="00412830">
      <w:pPr>
        <w:outlineLvl w:val="0"/>
      </w:pPr>
      <w:r>
        <w:t>Staff review</w:t>
      </w:r>
      <w:r w:rsidR="005B7312">
        <w:t xml:space="preserve"> of the </w:t>
      </w:r>
      <w:r w:rsidR="00D21E41">
        <w:t xml:space="preserve">revised </w:t>
      </w:r>
      <w:r w:rsidR="005B7312">
        <w:t>work papers supporting the DSM test</w:t>
      </w:r>
      <w:r>
        <w:t xml:space="preserve"> found a number of inconsistencies betw</w:t>
      </w:r>
      <w:r w:rsidR="00EF6DA8">
        <w:t>een the report prepared by the c</w:t>
      </w:r>
      <w:r>
        <w:t xml:space="preserve">ompany’s independent evaluation contractor, Research into Action, Inc., and the table prepared by Avista showing that the </w:t>
      </w:r>
      <w:r w:rsidR="007E25CB">
        <w:t>c</w:t>
      </w:r>
      <w:r>
        <w:t xml:space="preserve">ompany acquired </w:t>
      </w:r>
      <w:r w:rsidR="00257930">
        <w:t xml:space="preserve">1,568,856 </w:t>
      </w:r>
      <w:r>
        <w:t>therms of conservation through DSM programs in 2008 versus a target level of 1,425,070 therms (</w:t>
      </w:r>
      <w:r w:rsidR="00685939">
        <w:t>110</w:t>
      </w:r>
      <w:r w:rsidR="00F82758">
        <w:t xml:space="preserve"> percent of target).</w:t>
      </w:r>
      <w:r>
        <w:t xml:space="preserve"> </w:t>
      </w:r>
      <w:r w:rsidR="000A4DFC">
        <w:t xml:space="preserve">Staff </w:t>
      </w:r>
      <w:r>
        <w:t>calculations indicate</w:t>
      </w:r>
      <w:r w:rsidR="000A4DFC">
        <w:t>d</w:t>
      </w:r>
      <w:r>
        <w:t xml:space="preserve"> Avista’s acquisition of DSM conservation </w:t>
      </w:r>
      <w:r w:rsidR="000A4DFC">
        <w:t>was</w:t>
      </w:r>
      <w:r w:rsidR="00F82758">
        <w:t xml:space="preserve"> below the target.</w:t>
      </w:r>
      <w:r>
        <w:t xml:space="preserve"> </w:t>
      </w:r>
      <w:r w:rsidR="007C60AA">
        <w:t xml:space="preserve">The </w:t>
      </w:r>
      <w:r w:rsidR="007E25CB">
        <w:t>c</w:t>
      </w:r>
      <w:r w:rsidR="007C60AA">
        <w:t xml:space="preserve">ompany did not agree with </w:t>
      </w:r>
      <w:r w:rsidR="006A1259">
        <w:t>s</w:t>
      </w:r>
      <w:r w:rsidR="00F82758">
        <w:t xml:space="preserve">taff. </w:t>
      </w:r>
      <w:r w:rsidR="007C60AA">
        <w:t>However, t</w:t>
      </w:r>
      <w:r w:rsidR="000A4DFC">
        <w:t xml:space="preserve">he </w:t>
      </w:r>
      <w:r w:rsidR="007E25CB">
        <w:t>c</w:t>
      </w:r>
      <w:r w:rsidR="000A4DFC">
        <w:t>ompany agreed to reduce its recovery to 80</w:t>
      </w:r>
      <w:r w:rsidR="006A1259">
        <w:t xml:space="preserve"> percent</w:t>
      </w:r>
      <w:r w:rsidR="000A4DFC">
        <w:t xml:space="preserve"> in light of </w:t>
      </w:r>
      <w:r w:rsidR="006A1259">
        <w:t>s</w:t>
      </w:r>
      <w:r w:rsidR="000A4DFC">
        <w:t>taff and Public Counsel concerns, and revised its filing</w:t>
      </w:r>
      <w:r w:rsidR="007C60AA">
        <w:t>.</w:t>
      </w:r>
    </w:p>
    <w:p w:rsidR="009B792E" w:rsidRDefault="009B792E" w:rsidP="00412830">
      <w:pPr>
        <w:outlineLvl w:val="0"/>
      </w:pPr>
    </w:p>
    <w:p w:rsidR="000B0C16" w:rsidRDefault="005B7312" w:rsidP="00BE5610">
      <w:r>
        <w:rPr>
          <w:bCs/>
        </w:rPr>
        <w:t xml:space="preserve">Staff believes the </w:t>
      </w:r>
      <w:r w:rsidR="007E25CB">
        <w:rPr>
          <w:bCs/>
        </w:rPr>
        <w:t>c</w:t>
      </w:r>
      <w:r>
        <w:rPr>
          <w:bCs/>
        </w:rPr>
        <w:t>ompany’s revised</w:t>
      </w:r>
      <w:r w:rsidR="00D0403B">
        <w:t xml:space="preserve"> rates </w:t>
      </w:r>
      <w:bookmarkStart w:id="0" w:name="OLE_LINK1"/>
      <w:bookmarkStart w:id="1" w:name="OLE_LINK2"/>
      <w:r w:rsidR="003B4530">
        <w:t xml:space="preserve">filed </w:t>
      </w:r>
      <w:r w:rsidR="003B4530">
        <w:rPr>
          <w:rFonts w:eastAsia="Times New Roman"/>
          <w:color w:val="000000"/>
          <w:lang w:bidi="ar-SA"/>
        </w:rPr>
        <w:t xml:space="preserve">on October 22, 2009, </w:t>
      </w:r>
      <w:r>
        <w:t xml:space="preserve">recover the portion </w:t>
      </w:r>
      <w:r w:rsidR="006A1259">
        <w:t>of the deferral allowed by the c</w:t>
      </w:r>
      <w:r>
        <w:t xml:space="preserve">ommission’s </w:t>
      </w:r>
      <w:r w:rsidR="006A1259">
        <w:t>o</w:t>
      </w:r>
      <w:r>
        <w:t xml:space="preserve">rder 04, </w:t>
      </w:r>
      <w:r w:rsidR="006A1259">
        <w:t>d</w:t>
      </w:r>
      <w:r>
        <w:t xml:space="preserve">ocket UG-060518 </w:t>
      </w:r>
      <w:bookmarkEnd w:id="0"/>
      <w:bookmarkEnd w:id="1"/>
      <w:r>
        <w:t>and should be allowed to go into effect.</w:t>
      </w:r>
    </w:p>
    <w:p w:rsidR="00CD5D11" w:rsidRPr="00EB4CE3" w:rsidRDefault="00CD5D11" w:rsidP="00BE5610"/>
    <w:p w:rsidR="003B700C" w:rsidRDefault="003B700C" w:rsidP="00BE5610">
      <w:pPr>
        <w:rPr>
          <w:b/>
          <w:u w:val="single"/>
        </w:rPr>
      </w:pPr>
      <w:r w:rsidRPr="00935AF2">
        <w:rPr>
          <w:b/>
          <w:u w:val="single"/>
        </w:rPr>
        <w:t xml:space="preserve">Conclusion </w:t>
      </w:r>
    </w:p>
    <w:p w:rsidR="004D7E01" w:rsidRPr="00EF6DA8" w:rsidRDefault="004D7E01" w:rsidP="00BE5610">
      <w:pPr>
        <w:rPr>
          <w:u w:val="single"/>
        </w:rPr>
      </w:pPr>
    </w:p>
    <w:p w:rsidR="007543EF" w:rsidRPr="00EF6DA8" w:rsidRDefault="00CD5D11" w:rsidP="00EF6DA8">
      <w:pPr>
        <w:widowControl w:val="0"/>
        <w:autoSpaceDE w:val="0"/>
        <w:autoSpaceDN w:val="0"/>
        <w:adjustRightInd w:val="0"/>
        <w:rPr>
          <w:rFonts w:eastAsia="Times New Roman"/>
          <w:color w:val="000000"/>
          <w:lang w:bidi="ar-SA"/>
        </w:rPr>
      </w:pPr>
      <w:r>
        <w:t>St</w:t>
      </w:r>
      <w:r w:rsidR="007543EF">
        <w:t xml:space="preserve">aff recommends the </w:t>
      </w:r>
      <w:r w:rsidR="006A1259">
        <w:t>c</w:t>
      </w:r>
      <w:r w:rsidR="007543EF">
        <w:t xml:space="preserve">ommission </w:t>
      </w:r>
      <w:r w:rsidR="000A4DFC">
        <w:t xml:space="preserve">take no action, thereby allowing Avista Corporation’s proposed decoupling surcharge tariff revisions filed </w:t>
      </w:r>
      <w:r w:rsidR="000A4DFC">
        <w:rPr>
          <w:rFonts w:eastAsia="Times New Roman"/>
          <w:color w:val="000000"/>
          <w:lang w:bidi="ar-SA"/>
        </w:rPr>
        <w:t xml:space="preserve">in </w:t>
      </w:r>
      <w:r w:rsidR="006A1259">
        <w:rPr>
          <w:rFonts w:eastAsia="Times New Roman"/>
          <w:color w:val="000000"/>
          <w:lang w:bidi="ar-SA"/>
        </w:rPr>
        <w:t>d</w:t>
      </w:r>
      <w:r w:rsidR="000A4DFC">
        <w:rPr>
          <w:rFonts w:eastAsia="Times New Roman"/>
          <w:color w:val="000000"/>
          <w:lang w:bidi="ar-SA"/>
        </w:rPr>
        <w:t>ocket UG-091399</w:t>
      </w:r>
      <w:r w:rsidR="003B4530" w:rsidRPr="003B4530">
        <w:rPr>
          <w:rFonts w:eastAsia="Times New Roman"/>
          <w:color w:val="000000"/>
          <w:lang w:bidi="ar-SA"/>
        </w:rPr>
        <w:t xml:space="preserve"> </w:t>
      </w:r>
      <w:r w:rsidR="003B4530">
        <w:rPr>
          <w:rFonts w:eastAsia="Times New Roman"/>
          <w:color w:val="000000"/>
          <w:lang w:bidi="ar-SA"/>
        </w:rPr>
        <w:t>on October 22, 2009</w:t>
      </w:r>
      <w:r>
        <w:rPr>
          <w:rFonts w:eastAsia="Times New Roman"/>
          <w:color w:val="000000"/>
          <w:lang w:bidi="ar-SA"/>
        </w:rPr>
        <w:t>,</w:t>
      </w:r>
      <w:r w:rsidR="000A4DFC" w:rsidRPr="004D7E01">
        <w:rPr>
          <w:rFonts w:eastAsia="Times New Roman"/>
          <w:color w:val="000000"/>
          <w:lang w:bidi="ar-SA"/>
        </w:rPr>
        <w:t xml:space="preserve"> to become effective </w:t>
      </w:r>
      <w:r w:rsidR="000A4DFC">
        <w:rPr>
          <w:rFonts w:eastAsia="Times New Roman"/>
          <w:color w:val="000000"/>
          <w:lang w:bidi="ar-SA"/>
        </w:rPr>
        <w:t>November</w:t>
      </w:r>
      <w:r w:rsidR="000A4DFC" w:rsidRPr="004D7E01">
        <w:rPr>
          <w:rFonts w:eastAsia="Times New Roman"/>
          <w:color w:val="000000"/>
          <w:lang w:bidi="ar-SA"/>
        </w:rPr>
        <w:t xml:space="preserve"> 1, 200</w:t>
      </w:r>
      <w:r w:rsidR="000A4DFC">
        <w:rPr>
          <w:rFonts w:eastAsia="Times New Roman"/>
          <w:color w:val="000000"/>
          <w:lang w:bidi="ar-SA"/>
        </w:rPr>
        <w:t>9</w:t>
      </w:r>
      <w:r w:rsidR="000A4DFC" w:rsidRPr="004D7E01">
        <w:rPr>
          <w:rFonts w:eastAsia="Times New Roman"/>
          <w:color w:val="000000"/>
          <w:lang w:bidi="ar-SA"/>
        </w:rPr>
        <w:t xml:space="preserve">, </w:t>
      </w:r>
      <w:r w:rsidR="000A4DFC">
        <w:t>by operation of law.</w:t>
      </w:r>
    </w:p>
    <w:sectPr w:rsidR="007543EF" w:rsidRPr="00EF6DA8" w:rsidSect="006A1259">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667" w:rsidRDefault="00F44667" w:rsidP="00BE5610">
      <w:r>
        <w:separator/>
      </w:r>
    </w:p>
  </w:endnote>
  <w:endnote w:type="continuationSeparator" w:id="0">
    <w:p w:rsidR="00F44667" w:rsidRDefault="00F44667" w:rsidP="00BE5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667" w:rsidRDefault="00F44667" w:rsidP="00BE5610">
      <w:r>
        <w:separator/>
      </w:r>
    </w:p>
  </w:footnote>
  <w:footnote w:type="continuationSeparator" w:id="0">
    <w:p w:rsidR="00F44667" w:rsidRDefault="00F44667" w:rsidP="00BE5610">
      <w:r>
        <w:continuationSeparator/>
      </w:r>
    </w:p>
  </w:footnote>
  <w:footnote w:id="1">
    <w:p w:rsidR="00F44667" w:rsidRPr="000A3354" w:rsidRDefault="00F44667" w:rsidP="00412830">
      <w:pPr>
        <w:pStyle w:val="FootnoteText"/>
        <w:rPr>
          <w:rFonts w:ascii="Times New Roman" w:hAnsi="Times New Roman"/>
        </w:rPr>
      </w:pPr>
      <w:r w:rsidRPr="000A3354">
        <w:rPr>
          <w:rStyle w:val="FootnoteReference"/>
          <w:rFonts w:ascii="Times New Roman" w:hAnsi="Times New Roman"/>
        </w:rPr>
        <w:footnoteRef/>
      </w:r>
      <w:r w:rsidRPr="000A3354">
        <w:rPr>
          <w:rFonts w:ascii="Times New Roman" w:hAnsi="Times New Roman"/>
        </w:rPr>
        <w:t xml:space="preserve"> Docket UG-060518, Order 04.</w:t>
      </w:r>
    </w:p>
  </w:footnote>
  <w:footnote w:id="2">
    <w:p w:rsidR="00F44667" w:rsidRPr="000A3354" w:rsidRDefault="00F44667">
      <w:pPr>
        <w:pStyle w:val="FootnoteText"/>
        <w:rPr>
          <w:rFonts w:ascii="Times New Roman" w:hAnsi="Times New Roman"/>
        </w:rPr>
      </w:pPr>
      <w:r w:rsidRPr="000A3354">
        <w:rPr>
          <w:rStyle w:val="FootnoteReference"/>
          <w:rFonts w:ascii="Times New Roman" w:hAnsi="Times New Roman"/>
        </w:rPr>
        <w:footnoteRef/>
      </w:r>
      <w:r w:rsidRPr="000A3354">
        <w:rPr>
          <w:rFonts w:ascii="Times New Roman" w:hAnsi="Times New Roman"/>
        </w:rPr>
        <w:t xml:space="preserve"> Docket UG-080417</w:t>
      </w:r>
      <w:r>
        <w:rPr>
          <w:rFonts w:ascii="Times New Roman" w:hAnsi="Times New Roman"/>
        </w:rPr>
        <w:t>.</w:t>
      </w:r>
    </w:p>
  </w:footnote>
  <w:footnote w:id="3">
    <w:p w:rsidR="00F44667" w:rsidRPr="005E0CAD" w:rsidRDefault="00F44667" w:rsidP="00F44667">
      <w:pPr>
        <w:pStyle w:val="FootnoteText"/>
        <w:rPr>
          <w:rFonts w:ascii="Times New Roman" w:hAnsi="Times New Roman"/>
        </w:rPr>
      </w:pPr>
      <w:r w:rsidRPr="000A3354">
        <w:rPr>
          <w:rStyle w:val="FootnoteReference"/>
          <w:rFonts w:ascii="Times New Roman" w:hAnsi="Times New Roman"/>
        </w:rPr>
        <w:footnoteRef/>
      </w:r>
      <w:r w:rsidRPr="000A3354">
        <w:rPr>
          <w:rFonts w:ascii="Times New Roman" w:hAnsi="Times New Roman"/>
        </w:rPr>
        <w:t xml:space="preserve"> Docket UG-080417, Order 08.</w:t>
      </w:r>
    </w:p>
  </w:footnote>
  <w:footnote w:id="4">
    <w:p w:rsidR="005B7312" w:rsidRPr="006A1259" w:rsidRDefault="005B7312">
      <w:pPr>
        <w:pStyle w:val="FootnoteText"/>
        <w:rPr>
          <w:rFonts w:ascii="Times New Roman" w:hAnsi="Times New Roman"/>
        </w:rPr>
      </w:pPr>
      <w:r w:rsidRPr="006A1259">
        <w:rPr>
          <w:rStyle w:val="FootnoteReference"/>
          <w:rFonts w:ascii="Times New Roman" w:hAnsi="Times New Roman"/>
        </w:rPr>
        <w:footnoteRef/>
      </w:r>
      <w:r w:rsidRPr="006A1259">
        <w:rPr>
          <w:rFonts w:ascii="Times New Roman" w:hAnsi="Times New Roman"/>
        </w:rPr>
        <w:t xml:space="preserve"> The two percent limitation test was </w:t>
      </w:r>
      <w:r w:rsidR="00CD5D11" w:rsidRPr="006A1259">
        <w:rPr>
          <w:rFonts w:ascii="Times New Roman" w:hAnsi="Times New Roman"/>
        </w:rPr>
        <w:t xml:space="preserve">also </w:t>
      </w:r>
      <w:r w:rsidRPr="006A1259">
        <w:rPr>
          <w:rFonts w:ascii="Times New Roman" w:hAnsi="Times New Roman"/>
        </w:rPr>
        <w:t xml:space="preserve">met, resulting in a decrease in the surcharge amount. </w:t>
      </w:r>
      <w:r w:rsidR="00EF6DA8" w:rsidRPr="006A1259">
        <w:rPr>
          <w:rFonts w:ascii="Times New Roman" w:hAnsi="Times New Roman"/>
        </w:rPr>
        <w:t>The rate-of-return test was met because the c</w:t>
      </w:r>
      <w:r w:rsidRPr="006A1259">
        <w:rPr>
          <w:rFonts w:ascii="Times New Roman" w:hAnsi="Times New Roman"/>
        </w:rPr>
        <w:t>ompany’s Commission Basis Report filed April 29, 2009, indicates that its rate of return for 2008 (including restating adjustments) was 7.03 percent as compared to the present authorized level of 8.22 percent.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67" w:rsidRPr="003B700C" w:rsidRDefault="00F44667" w:rsidP="00BE5610">
    <w:pPr>
      <w:pStyle w:val="Header"/>
    </w:pPr>
    <w:r w:rsidRPr="003B700C">
      <w:t>Docket U</w:t>
    </w:r>
    <w:r>
      <w:t>G</w:t>
    </w:r>
    <w:r w:rsidRPr="003B700C">
      <w:t>-09</w:t>
    </w:r>
    <w:r>
      <w:t>1399</w:t>
    </w:r>
  </w:p>
  <w:p w:rsidR="00F44667" w:rsidRPr="003B700C" w:rsidRDefault="00F44667" w:rsidP="00CD4209">
    <w:pPr>
      <w:pStyle w:val="Header"/>
      <w:tabs>
        <w:tab w:val="clear" w:pos="4680"/>
        <w:tab w:val="clear" w:pos="9360"/>
        <w:tab w:val="left" w:pos="2984"/>
      </w:tabs>
    </w:pPr>
    <w:r>
      <w:t>October 29, 2009</w:t>
    </w:r>
  </w:p>
  <w:p w:rsidR="00F44667" w:rsidRPr="003B700C" w:rsidRDefault="00F44667" w:rsidP="00BE5610">
    <w:pPr>
      <w:pStyle w:val="Header"/>
    </w:pPr>
    <w:r w:rsidRPr="003B700C">
      <w:t xml:space="preserve">Page </w:t>
    </w:r>
    <w:fldSimple w:instr=" PAGE   \* MERGEFORMAT ">
      <w:r w:rsidR="00921D86">
        <w:rPr>
          <w:noProof/>
        </w:rPr>
        <w:t>2</w:t>
      </w:r>
    </w:fldSimple>
  </w:p>
  <w:p w:rsidR="00F44667" w:rsidRDefault="00F44667" w:rsidP="00BE56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B77E06"/>
    <w:multiLevelType w:val="hybridMultilevel"/>
    <w:tmpl w:val="EA6E4136"/>
    <w:lvl w:ilvl="0" w:tplc="067C1A5C">
      <w:start w:val="1"/>
      <w:numFmt w:val="bullet"/>
      <w:lvlText w:val=""/>
      <w:lvlJc w:val="left"/>
      <w:pPr>
        <w:tabs>
          <w:tab w:val="num" w:pos="1440"/>
        </w:tabs>
        <w:ind w:left="144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5886F50"/>
    <w:multiLevelType w:val="hybridMultilevel"/>
    <w:tmpl w:val="F3A0CEB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6D36EC"/>
    <w:multiLevelType w:val="hybridMultilevel"/>
    <w:tmpl w:val="7A58E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0"/>
  </w:num>
  <w:num w:numId="6">
    <w:abstractNumId w:val="1"/>
  </w:num>
  <w:num w:numId="7">
    <w:abstractNumId w:val="3"/>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hideSpellingErrors/>
  <w:hideGrammaticalErrors/>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154718"/>
    <w:rsid w:val="00005828"/>
    <w:rsid w:val="0001504F"/>
    <w:rsid w:val="000335AE"/>
    <w:rsid w:val="00043469"/>
    <w:rsid w:val="000534D4"/>
    <w:rsid w:val="00053628"/>
    <w:rsid w:val="00054A21"/>
    <w:rsid w:val="00055945"/>
    <w:rsid w:val="0006481C"/>
    <w:rsid w:val="000709C4"/>
    <w:rsid w:val="0008268C"/>
    <w:rsid w:val="00082892"/>
    <w:rsid w:val="000908F4"/>
    <w:rsid w:val="000909CD"/>
    <w:rsid w:val="000A3354"/>
    <w:rsid w:val="000A4DFC"/>
    <w:rsid w:val="000B0C16"/>
    <w:rsid w:val="000B463E"/>
    <w:rsid w:val="000C3D4F"/>
    <w:rsid w:val="000D6DAF"/>
    <w:rsid w:val="000E640C"/>
    <w:rsid w:val="00107A1F"/>
    <w:rsid w:val="00111EF9"/>
    <w:rsid w:val="0013089B"/>
    <w:rsid w:val="00130B3D"/>
    <w:rsid w:val="00141434"/>
    <w:rsid w:val="001423FE"/>
    <w:rsid w:val="00142B36"/>
    <w:rsid w:val="0014659D"/>
    <w:rsid w:val="00154718"/>
    <w:rsid w:val="001603B0"/>
    <w:rsid w:val="0016055D"/>
    <w:rsid w:val="0016348F"/>
    <w:rsid w:val="0016545B"/>
    <w:rsid w:val="00177491"/>
    <w:rsid w:val="00190825"/>
    <w:rsid w:val="001C5AB1"/>
    <w:rsid w:val="001D2A48"/>
    <w:rsid w:val="001E0047"/>
    <w:rsid w:val="001E0702"/>
    <w:rsid w:val="001E1BE5"/>
    <w:rsid w:val="001F30F9"/>
    <w:rsid w:val="001F465E"/>
    <w:rsid w:val="002027E0"/>
    <w:rsid w:val="0021363E"/>
    <w:rsid w:val="00216922"/>
    <w:rsid w:val="00227DC0"/>
    <w:rsid w:val="00241B80"/>
    <w:rsid w:val="00244A84"/>
    <w:rsid w:val="00257930"/>
    <w:rsid w:val="00260D57"/>
    <w:rsid w:val="002622A8"/>
    <w:rsid w:val="00283AD9"/>
    <w:rsid w:val="002863C0"/>
    <w:rsid w:val="0029459A"/>
    <w:rsid w:val="00294AE3"/>
    <w:rsid w:val="00295745"/>
    <w:rsid w:val="002A70D7"/>
    <w:rsid w:val="002C039A"/>
    <w:rsid w:val="002C6110"/>
    <w:rsid w:val="002D5B66"/>
    <w:rsid w:val="002E50C7"/>
    <w:rsid w:val="002F70BE"/>
    <w:rsid w:val="00300D92"/>
    <w:rsid w:val="00324289"/>
    <w:rsid w:val="00330C32"/>
    <w:rsid w:val="00334A7C"/>
    <w:rsid w:val="00337C05"/>
    <w:rsid w:val="00340C02"/>
    <w:rsid w:val="00367ED5"/>
    <w:rsid w:val="00385F54"/>
    <w:rsid w:val="00392579"/>
    <w:rsid w:val="003B4530"/>
    <w:rsid w:val="003B700C"/>
    <w:rsid w:val="003C166B"/>
    <w:rsid w:val="003C16E8"/>
    <w:rsid w:val="003C4B94"/>
    <w:rsid w:val="003D2276"/>
    <w:rsid w:val="003D25A3"/>
    <w:rsid w:val="003D3A4A"/>
    <w:rsid w:val="003D717F"/>
    <w:rsid w:val="00405F3D"/>
    <w:rsid w:val="004122CC"/>
    <w:rsid w:val="00412830"/>
    <w:rsid w:val="0041597E"/>
    <w:rsid w:val="004456FB"/>
    <w:rsid w:val="00450175"/>
    <w:rsid w:val="00450267"/>
    <w:rsid w:val="00455301"/>
    <w:rsid w:val="004714F6"/>
    <w:rsid w:val="00472DF2"/>
    <w:rsid w:val="004874D9"/>
    <w:rsid w:val="00496744"/>
    <w:rsid w:val="00497530"/>
    <w:rsid w:val="004A691E"/>
    <w:rsid w:val="004C50C7"/>
    <w:rsid w:val="004D4EF6"/>
    <w:rsid w:val="004D5E19"/>
    <w:rsid w:val="004D7E01"/>
    <w:rsid w:val="004E0141"/>
    <w:rsid w:val="004F2FDE"/>
    <w:rsid w:val="00504DB9"/>
    <w:rsid w:val="005131DE"/>
    <w:rsid w:val="005216BE"/>
    <w:rsid w:val="00533DBE"/>
    <w:rsid w:val="00550893"/>
    <w:rsid w:val="00552600"/>
    <w:rsid w:val="0056751B"/>
    <w:rsid w:val="005762AF"/>
    <w:rsid w:val="00595023"/>
    <w:rsid w:val="005A6C74"/>
    <w:rsid w:val="005B4C72"/>
    <w:rsid w:val="005B7312"/>
    <w:rsid w:val="005C78CD"/>
    <w:rsid w:val="005D4CA4"/>
    <w:rsid w:val="005D7925"/>
    <w:rsid w:val="005F51F2"/>
    <w:rsid w:val="0062191D"/>
    <w:rsid w:val="0062474A"/>
    <w:rsid w:val="00626264"/>
    <w:rsid w:val="006308C7"/>
    <w:rsid w:val="00631C8E"/>
    <w:rsid w:val="00641A44"/>
    <w:rsid w:val="00645A0C"/>
    <w:rsid w:val="00654D5A"/>
    <w:rsid w:val="00661F4F"/>
    <w:rsid w:val="006700B0"/>
    <w:rsid w:val="00672F7B"/>
    <w:rsid w:val="00683780"/>
    <w:rsid w:val="0068432F"/>
    <w:rsid w:val="00685939"/>
    <w:rsid w:val="00695625"/>
    <w:rsid w:val="006A1259"/>
    <w:rsid w:val="006A41EE"/>
    <w:rsid w:val="006A4895"/>
    <w:rsid w:val="006A7496"/>
    <w:rsid w:val="006B495A"/>
    <w:rsid w:val="006B51B8"/>
    <w:rsid w:val="006B6D42"/>
    <w:rsid w:val="006C013C"/>
    <w:rsid w:val="006C443F"/>
    <w:rsid w:val="006D52E1"/>
    <w:rsid w:val="006F60B1"/>
    <w:rsid w:val="0071402F"/>
    <w:rsid w:val="007335C6"/>
    <w:rsid w:val="00751B5E"/>
    <w:rsid w:val="007543EF"/>
    <w:rsid w:val="00754ED6"/>
    <w:rsid w:val="0076679B"/>
    <w:rsid w:val="00774275"/>
    <w:rsid w:val="00790302"/>
    <w:rsid w:val="007913E9"/>
    <w:rsid w:val="00792FB0"/>
    <w:rsid w:val="007C60AA"/>
    <w:rsid w:val="007E25CB"/>
    <w:rsid w:val="007E5B2C"/>
    <w:rsid w:val="007F4816"/>
    <w:rsid w:val="008020A5"/>
    <w:rsid w:val="0080669D"/>
    <w:rsid w:val="008111DE"/>
    <w:rsid w:val="008165AD"/>
    <w:rsid w:val="00816612"/>
    <w:rsid w:val="00825773"/>
    <w:rsid w:val="00826F11"/>
    <w:rsid w:val="00827BE3"/>
    <w:rsid w:val="00832CE0"/>
    <w:rsid w:val="0085598E"/>
    <w:rsid w:val="008630EA"/>
    <w:rsid w:val="00877282"/>
    <w:rsid w:val="008A350E"/>
    <w:rsid w:val="008A6E88"/>
    <w:rsid w:val="008B4AA0"/>
    <w:rsid w:val="008C168F"/>
    <w:rsid w:val="008C26CE"/>
    <w:rsid w:val="00901675"/>
    <w:rsid w:val="00901E60"/>
    <w:rsid w:val="00921D86"/>
    <w:rsid w:val="00935AF2"/>
    <w:rsid w:val="00983416"/>
    <w:rsid w:val="00990823"/>
    <w:rsid w:val="009B5DCE"/>
    <w:rsid w:val="009B696D"/>
    <w:rsid w:val="009B792E"/>
    <w:rsid w:val="00A06EA1"/>
    <w:rsid w:val="00A201C0"/>
    <w:rsid w:val="00A26FD3"/>
    <w:rsid w:val="00A36037"/>
    <w:rsid w:val="00A41C23"/>
    <w:rsid w:val="00A5145E"/>
    <w:rsid w:val="00A67402"/>
    <w:rsid w:val="00A7048A"/>
    <w:rsid w:val="00A726C4"/>
    <w:rsid w:val="00A822CA"/>
    <w:rsid w:val="00A84C2A"/>
    <w:rsid w:val="00A902E8"/>
    <w:rsid w:val="00AD1CC7"/>
    <w:rsid w:val="00AD3312"/>
    <w:rsid w:val="00AD33F9"/>
    <w:rsid w:val="00AE0900"/>
    <w:rsid w:val="00AF1D42"/>
    <w:rsid w:val="00AF5800"/>
    <w:rsid w:val="00B00171"/>
    <w:rsid w:val="00B03361"/>
    <w:rsid w:val="00B13041"/>
    <w:rsid w:val="00B34845"/>
    <w:rsid w:val="00B35380"/>
    <w:rsid w:val="00B451F0"/>
    <w:rsid w:val="00B45CF2"/>
    <w:rsid w:val="00B5241C"/>
    <w:rsid w:val="00B55CD3"/>
    <w:rsid w:val="00B630B0"/>
    <w:rsid w:val="00B71DC1"/>
    <w:rsid w:val="00B84E56"/>
    <w:rsid w:val="00B97113"/>
    <w:rsid w:val="00BB2331"/>
    <w:rsid w:val="00BB4949"/>
    <w:rsid w:val="00BC0F55"/>
    <w:rsid w:val="00BE5610"/>
    <w:rsid w:val="00BF2510"/>
    <w:rsid w:val="00C011D5"/>
    <w:rsid w:val="00C0624C"/>
    <w:rsid w:val="00C062C0"/>
    <w:rsid w:val="00C07C24"/>
    <w:rsid w:val="00C110AA"/>
    <w:rsid w:val="00C36001"/>
    <w:rsid w:val="00C36D30"/>
    <w:rsid w:val="00C41B31"/>
    <w:rsid w:val="00C42A41"/>
    <w:rsid w:val="00C71EF8"/>
    <w:rsid w:val="00CA22AF"/>
    <w:rsid w:val="00CA6007"/>
    <w:rsid w:val="00CC4FE2"/>
    <w:rsid w:val="00CC729F"/>
    <w:rsid w:val="00CD4209"/>
    <w:rsid w:val="00CD43F1"/>
    <w:rsid w:val="00CD5D11"/>
    <w:rsid w:val="00CD758B"/>
    <w:rsid w:val="00CF1AA4"/>
    <w:rsid w:val="00CF66D8"/>
    <w:rsid w:val="00D00B3A"/>
    <w:rsid w:val="00D00EA2"/>
    <w:rsid w:val="00D02F5B"/>
    <w:rsid w:val="00D0403B"/>
    <w:rsid w:val="00D108C7"/>
    <w:rsid w:val="00D12988"/>
    <w:rsid w:val="00D21E41"/>
    <w:rsid w:val="00D30DD6"/>
    <w:rsid w:val="00D33FD2"/>
    <w:rsid w:val="00D44D58"/>
    <w:rsid w:val="00D47789"/>
    <w:rsid w:val="00D53F2F"/>
    <w:rsid w:val="00D662D4"/>
    <w:rsid w:val="00D70105"/>
    <w:rsid w:val="00D744D3"/>
    <w:rsid w:val="00D7596F"/>
    <w:rsid w:val="00D7659F"/>
    <w:rsid w:val="00D77A03"/>
    <w:rsid w:val="00D96F9A"/>
    <w:rsid w:val="00DA1B86"/>
    <w:rsid w:val="00DB145D"/>
    <w:rsid w:val="00DD2A47"/>
    <w:rsid w:val="00DD65A6"/>
    <w:rsid w:val="00DE2DC1"/>
    <w:rsid w:val="00E21E65"/>
    <w:rsid w:val="00E256DF"/>
    <w:rsid w:val="00E35D9D"/>
    <w:rsid w:val="00E37996"/>
    <w:rsid w:val="00E467B9"/>
    <w:rsid w:val="00E50A27"/>
    <w:rsid w:val="00E8562C"/>
    <w:rsid w:val="00E941B2"/>
    <w:rsid w:val="00EA52A5"/>
    <w:rsid w:val="00EB3A93"/>
    <w:rsid w:val="00EB41E4"/>
    <w:rsid w:val="00EB4CE3"/>
    <w:rsid w:val="00ED3FED"/>
    <w:rsid w:val="00EE6798"/>
    <w:rsid w:val="00EF6DA8"/>
    <w:rsid w:val="00F00561"/>
    <w:rsid w:val="00F167E4"/>
    <w:rsid w:val="00F21B68"/>
    <w:rsid w:val="00F27C98"/>
    <w:rsid w:val="00F330AF"/>
    <w:rsid w:val="00F44667"/>
    <w:rsid w:val="00F469E5"/>
    <w:rsid w:val="00F541D0"/>
    <w:rsid w:val="00F700D9"/>
    <w:rsid w:val="00F82758"/>
    <w:rsid w:val="00F90612"/>
    <w:rsid w:val="00F93D9C"/>
    <w:rsid w:val="00F96ED4"/>
    <w:rsid w:val="00FA79C0"/>
    <w:rsid w:val="00FB0A0C"/>
    <w:rsid w:val="00FC239F"/>
    <w:rsid w:val="00FC73D9"/>
    <w:rsid w:val="00FC776C"/>
    <w:rsid w:val="00FD2566"/>
    <w:rsid w:val="00FE5608"/>
    <w:rsid w:val="00FF6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semiHidden/>
    <w:unhideWhenUsed/>
    <w:rsid w:val="003B700C"/>
    <w:pPr>
      <w:tabs>
        <w:tab w:val="center" w:pos="4680"/>
        <w:tab w:val="right" w:pos="9360"/>
      </w:tabs>
    </w:pPr>
  </w:style>
  <w:style w:type="character" w:customStyle="1" w:styleId="FooterChar">
    <w:name w:val="Footer Char"/>
    <w:basedOn w:val="DefaultParagraphFont"/>
    <w:link w:val="Footer"/>
    <w:uiPriority w:val="99"/>
    <w:semiHidden/>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b/>
      <w:bCs/>
    </w:rPr>
  </w:style>
  <w:style w:type="paragraph" w:styleId="Revision">
    <w:name w:val="Revision"/>
    <w:hidden/>
    <w:uiPriority w:val="99"/>
    <w:semiHidden/>
    <w:rsid w:val="003D25A3"/>
    <w:rPr>
      <w:rFonts w:ascii="Times New Roman" w:hAnsi="Times New Roman"/>
      <w:sz w:val="24"/>
      <w:szCs w:val="24"/>
      <w:lang w:bidi="en-US"/>
    </w:rPr>
  </w:style>
  <w:style w:type="paragraph" w:styleId="FootnoteText">
    <w:name w:val="footnote text"/>
    <w:basedOn w:val="Normal"/>
    <w:link w:val="FootnoteTextChar"/>
    <w:rsid w:val="00216922"/>
    <w:rPr>
      <w:rFonts w:ascii="Palatino Linotype" w:eastAsia="Times New Roman" w:hAnsi="Palatino Linotype"/>
      <w:sz w:val="20"/>
      <w:szCs w:val="20"/>
      <w:lang w:bidi="ar-SA"/>
    </w:rPr>
  </w:style>
  <w:style w:type="character" w:customStyle="1" w:styleId="FootnoteTextChar">
    <w:name w:val="Footnote Text Char"/>
    <w:basedOn w:val="DefaultParagraphFont"/>
    <w:link w:val="FootnoteText"/>
    <w:rsid w:val="00216922"/>
    <w:rPr>
      <w:rFonts w:ascii="Palatino Linotype" w:eastAsia="Times New Roman" w:hAnsi="Palatino Linotype"/>
    </w:rPr>
  </w:style>
  <w:style w:type="character" w:styleId="FootnoteReference">
    <w:name w:val="footnote reference"/>
    <w:basedOn w:val="DefaultParagraphFont"/>
    <w:rsid w:val="00216922"/>
    <w:rPr>
      <w:vertAlign w:val="superscript"/>
    </w:rPr>
  </w:style>
</w:styles>
</file>

<file path=word/webSettings.xml><?xml version="1.0" encoding="utf-8"?>
<w:webSettings xmlns:r="http://schemas.openxmlformats.org/officeDocument/2006/relationships" xmlns:w="http://schemas.openxmlformats.org/wordprocessingml/2006/main">
  <w:divs>
    <w:div w:id="96346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2009-08-31T07:00:00+00:00</OpenedDate>
    <Date1 xmlns="dc463f71-b30c-4ab2-9473-d307f9d35888">2009-10-29T07:00:00+00:00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091399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7B6C9CE4C47742B454DD1B1D8E99DE" ma:contentTypeVersion="131" ma:contentTypeDescription="" ma:contentTypeScope="" ma:versionID="609d19240014b2595a4be492f30d87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89C35-4DB2-4B11-863A-E32F1BC314F6}"/>
</file>

<file path=customXml/itemProps2.xml><?xml version="1.0" encoding="utf-8"?>
<ds:datastoreItem xmlns:ds="http://schemas.openxmlformats.org/officeDocument/2006/customXml" ds:itemID="{69A2B954-FF01-4AC3-A890-9CD4ADD13D9B}"/>
</file>

<file path=customXml/itemProps3.xml><?xml version="1.0" encoding="utf-8"?>
<ds:datastoreItem xmlns:ds="http://schemas.openxmlformats.org/officeDocument/2006/customXml" ds:itemID="{45227816-F000-4174-9D2D-0767F5EBBD00}"/>
</file>

<file path=customXml/itemProps4.xml><?xml version="1.0" encoding="utf-8"?>
<ds:datastoreItem xmlns:ds="http://schemas.openxmlformats.org/officeDocument/2006/customXml" ds:itemID="{5011391D-45F4-4AF1-AA39-9FFAC030377F}"/>
</file>

<file path=customXml/itemProps5.xml><?xml version="1.0" encoding="utf-8"?>
<ds:datastoreItem xmlns:ds="http://schemas.openxmlformats.org/officeDocument/2006/customXml" ds:itemID="{F3209F51-B233-407F-8748-2DF151F54B5B}"/>
</file>

<file path=customXml/itemProps6.xml><?xml version="1.0" encoding="utf-8"?>
<ds:datastoreItem xmlns:ds="http://schemas.openxmlformats.org/officeDocument/2006/customXml" ds:itemID="{6F1E5051-4887-442F-9F9D-80F646A56E3F}"/>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Avista Corporation decoupling srucharge reduction</vt:lpstr>
    </vt:vector>
  </TitlesOfParts>
  <Company/>
  <LinksUpToDate>false</LinksUpToDate>
  <CharactersWithSpaces>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Corporation decoupling surcharge reduction</dc:title>
  <dc:subject/>
  <dc:creator>AMCLaRue</dc:creator>
  <cp:keywords/>
  <dc:description/>
  <cp:lastModifiedBy>Lisa Wyse, Records Manager</cp:lastModifiedBy>
  <cp:revision>2</cp:revision>
  <cp:lastPrinted>2009-10-26T17:52:00Z</cp:lastPrinted>
  <dcterms:created xsi:type="dcterms:W3CDTF">2009-10-26T21:42:00Z</dcterms:created>
  <dcterms:modified xsi:type="dcterms:W3CDTF">2009-10-26T21:42:00Z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0x0101006E56B4D1795A2E4DB2F0B01679ED314A008C7B6C9CE4C47742B454DD1B1D8E99DE</vt:lpwstr>
  </property>
  <property fmtid="{D5CDD505-2E9C-101B-9397-08002B2CF9AE}" pid="3" name="Item ID">
    <vt:lpwstr>9</vt:lpwstr>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8" name="_docset_NoMedatataSyncRequired">
    <vt:lpwstr>False</vt:lpwstr>
  </property>
</Properties>
</file>