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9E" w:rsidRPr="00D813D7" w:rsidRDefault="00336F9E" w:rsidP="00336F9E">
      <w:pPr>
        <w:spacing w:line="480" w:lineRule="auto"/>
        <w:jc w:val="center"/>
        <w:rPr>
          <w:rFonts w:ascii="Times New Roman" w:hAnsi="Times New Roman"/>
          <w:b/>
          <w:sz w:val="24"/>
          <w:szCs w:val="24"/>
        </w:rPr>
      </w:pPr>
    </w:p>
    <w:p w:rsidR="00336F9E" w:rsidRPr="00D813D7" w:rsidRDefault="00336F9E" w:rsidP="00336F9E">
      <w:pPr>
        <w:spacing w:after="120" w:line="360" w:lineRule="auto"/>
        <w:jc w:val="center"/>
        <w:rPr>
          <w:rFonts w:ascii="Times New Roman" w:hAnsi="Times New Roman"/>
          <w:b/>
          <w:sz w:val="24"/>
          <w:szCs w:val="24"/>
        </w:rPr>
      </w:pPr>
      <w:r w:rsidRPr="00D813D7">
        <w:rPr>
          <w:rFonts w:ascii="Times New Roman" w:hAnsi="Times New Roman"/>
          <w:b/>
          <w:sz w:val="24"/>
          <w:szCs w:val="24"/>
        </w:rPr>
        <w:t xml:space="preserve">BEFORE THE WASHINGTON </w:t>
      </w:r>
    </w:p>
    <w:p w:rsidR="00336F9E" w:rsidRPr="00D813D7" w:rsidRDefault="00336F9E" w:rsidP="00336F9E">
      <w:pPr>
        <w:spacing w:after="120" w:line="360" w:lineRule="auto"/>
        <w:jc w:val="center"/>
        <w:rPr>
          <w:rFonts w:ascii="Times New Roman" w:hAnsi="Times New Roman"/>
          <w:b/>
          <w:sz w:val="24"/>
          <w:szCs w:val="24"/>
        </w:rPr>
      </w:pPr>
      <w:r w:rsidRPr="00D813D7">
        <w:rPr>
          <w:rFonts w:ascii="Times New Roman" w:hAnsi="Times New Roman"/>
          <w:b/>
          <w:sz w:val="24"/>
          <w:szCs w:val="24"/>
        </w:rPr>
        <w:t>UTILITIES &amp; TRANSPORTATION COMMISSION</w:t>
      </w:r>
    </w:p>
    <w:p w:rsidR="00336F9E" w:rsidRPr="00D813D7" w:rsidRDefault="00336F9E" w:rsidP="00336F9E">
      <w:pPr>
        <w:jc w:val="center"/>
        <w:rPr>
          <w:rFonts w:ascii="Times New Roman" w:hAnsi="Times New Roman"/>
          <w:sz w:val="24"/>
          <w:szCs w:val="24"/>
        </w:rPr>
      </w:pPr>
    </w:p>
    <w:p w:rsidR="00336F9E" w:rsidRPr="00D813D7" w:rsidRDefault="00336F9E" w:rsidP="00336F9E">
      <w:pPr>
        <w:jc w:val="center"/>
        <w:rPr>
          <w:rFonts w:ascii="Times New Roman" w:hAnsi="Times New Roman"/>
          <w:sz w:val="24"/>
          <w:szCs w:val="24"/>
        </w:rPr>
      </w:pPr>
    </w:p>
    <w:p w:rsidR="00336F9E" w:rsidRPr="00D813D7" w:rsidRDefault="00336F9E" w:rsidP="00336F9E">
      <w:pPr>
        <w:spacing w:line="480" w:lineRule="auto"/>
        <w:jc w:val="center"/>
        <w:rPr>
          <w:rFonts w:ascii="Times New Roman" w:hAnsi="Times New Roman"/>
          <w:sz w:val="24"/>
          <w:szCs w:val="24"/>
        </w:rPr>
      </w:pPr>
      <w:bookmarkStart w:id="0" w:name="OLE_LINK1"/>
      <w:r w:rsidRPr="00D813D7">
        <w:rPr>
          <w:rFonts w:ascii="Times New Roman" w:hAnsi="Times New Roman"/>
          <w:sz w:val="24"/>
          <w:szCs w:val="24"/>
        </w:rPr>
        <w:t xml:space="preserve">WASHINGTON UTILITES AND TRANPORTATION COMMISSION </w:t>
      </w:r>
    </w:p>
    <w:p w:rsidR="00336F9E" w:rsidRPr="00D813D7" w:rsidRDefault="00336F9E" w:rsidP="00336F9E">
      <w:pPr>
        <w:spacing w:line="480" w:lineRule="auto"/>
        <w:jc w:val="center"/>
        <w:rPr>
          <w:rFonts w:ascii="Times New Roman" w:hAnsi="Times New Roman"/>
          <w:sz w:val="24"/>
          <w:szCs w:val="24"/>
        </w:rPr>
      </w:pPr>
      <w:r w:rsidRPr="00D813D7">
        <w:rPr>
          <w:rFonts w:ascii="Times New Roman" w:hAnsi="Times New Roman"/>
          <w:sz w:val="24"/>
          <w:szCs w:val="24"/>
        </w:rPr>
        <w:t xml:space="preserve">v. </w:t>
      </w:r>
    </w:p>
    <w:p w:rsidR="00336F9E" w:rsidRPr="00D813D7" w:rsidRDefault="00FD24B0" w:rsidP="00336F9E">
      <w:pPr>
        <w:spacing w:after="120" w:line="480" w:lineRule="auto"/>
        <w:jc w:val="center"/>
        <w:rPr>
          <w:rFonts w:ascii="Times New Roman" w:hAnsi="Times New Roman"/>
          <w:sz w:val="24"/>
          <w:szCs w:val="24"/>
        </w:rPr>
      </w:pPr>
      <w:r w:rsidRPr="00D813D7">
        <w:rPr>
          <w:rFonts w:ascii="Times New Roman" w:hAnsi="Times New Roman"/>
          <w:sz w:val="24"/>
          <w:szCs w:val="24"/>
        </w:rPr>
        <w:t>PACIFIC POWER &amp; LIGHT COMPANY</w:t>
      </w:r>
    </w:p>
    <w:p w:rsidR="00336F9E" w:rsidRPr="00D813D7" w:rsidRDefault="00FD24B0" w:rsidP="00336F9E">
      <w:pPr>
        <w:spacing w:after="240" w:line="480" w:lineRule="auto"/>
        <w:jc w:val="center"/>
        <w:rPr>
          <w:rFonts w:ascii="Times New Roman" w:hAnsi="Times New Roman"/>
          <w:sz w:val="24"/>
          <w:szCs w:val="24"/>
        </w:rPr>
      </w:pPr>
      <w:r w:rsidRPr="00D813D7">
        <w:rPr>
          <w:rFonts w:ascii="Times New Roman" w:hAnsi="Times New Roman"/>
          <w:sz w:val="24"/>
          <w:szCs w:val="24"/>
        </w:rPr>
        <w:t>DOCKET UE-161204</w:t>
      </w:r>
    </w:p>
    <w:bookmarkEnd w:id="0"/>
    <w:p w:rsidR="00336F9E" w:rsidRPr="00D813D7" w:rsidRDefault="00785500" w:rsidP="00336F9E">
      <w:pPr>
        <w:spacing w:after="120" w:line="360" w:lineRule="auto"/>
        <w:jc w:val="center"/>
        <w:rPr>
          <w:rFonts w:ascii="Times New Roman" w:hAnsi="Times New Roman"/>
          <w:sz w:val="24"/>
          <w:szCs w:val="24"/>
        </w:rPr>
      </w:pPr>
      <w:r>
        <w:rPr>
          <w:rFonts w:ascii="Times New Roman" w:hAnsi="Times New Roman"/>
          <w:sz w:val="24"/>
          <w:szCs w:val="24"/>
        </w:rPr>
        <w:t>RESPONSIVE</w:t>
      </w:r>
      <w:r w:rsidR="00C446D3">
        <w:rPr>
          <w:rFonts w:ascii="Times New Roman" w:hAnsi="Times New Roman"/>
          <w:sz w:val="24"/>
          <w:szCs w:val="24"/>
        </w:rPr>
        <w:t xml:space="preserve"> </w:t>
      </w:r>
      <w:r w:rsidR="00336F9E" w:rsidRPr="00D813D7">
        <w:rPr>
          <w:rFonts w:ascii="Times New Roman" w:hAnsi="Times New Roman"/>
          <w:sz w:val="24"/>
          <w:szCs w:val="24"/>
        </w:rPr>
        <w:t>TESTIMONY OF KATHLEEN A. KELLY (KAK-1T)</w:t>
      </w:r>
    </w:p>
    <w:p w:rsidR="00336F9E" w:rsidRPr="00D813D7" w:rsidRDefault="00336F9E" w:rsidP="00336F9E">
      <w:pPr>
        <w:spacing w:after="120" w:line="360" w:lineRule="auto"/>
        <w:jc w:val="center"/>
        <w:rPr>
          <w:rFonts w:ascii="Times New Roman" w:hAnsi="Times New Roman"/>
          <w:sz w:val="24"/>
          <w:szCs w:val="24"/>
        </w:rPr>
      </w:pPr>
      <w:r w:rsidRPr="00D813D7">
        <w:rPr>
          <w:rFonts w:ascii="Times New Roman" w:hAnsi="Times New Roman"/>
          <w:sz w:val="24"/>
          <w:szCs w:val="24"/>
        </w:rPr>
        <w:t xml:space="preserve">ON BEHALF OF </w:t>
      </w:r>
    </w:p>
    <w:p w:rsidR="00230C63" w:rsidRPr="00D813D7" w:rsidRDefault="00230C63" w:rsidP="00336F9E">
      <w:pPr>
        <w:spacing w:after="120" w:line="360" w:lineRule="auto"/>
        <w:jc w:val="center"/>
        <w:rPr>
          <w:rFonts w:ascii="Times New Roman" w:hAnsi="Times New Roman"/>
          <w:sz w:val="24"/>
          <w:szCs w:val="24"/>
        </w:rPr>
      </w:pPr>
      <w:r w:rsidRPr="00D813D7">
        <w:rPr>
          <w:rFonts w:ascii="Times New Roman" w:hAnsi="Times New Roman"/>
          <w:sz w:val="24"/>
          <w:szCs w:val="24"/>
        </w:rPr>
        <w:t xml:space="preserve">WASHINGTON STATE </w:t>
      </w:r>
      <w:r w:rsidR="00EB3A5A" w:rsidRPr="00D813D7">
        <w:rPr>
          <w:rFonts w:ascii="Times New Roman" w:hAnsi="Times New Roman"/>
          <w:sz w:val="24"/>
          <w:szCs w:val="24"/>
        </w:rPr>
        <w:t xml:space="preserve">OFFICE OF THE </w:t>
      </w:r>
      <w:r w:rsidRPr="00D813D7">
        <w:rPr>
          <w:rFonts w:ascii="Times New Roman" w:hAnsi="Times New Roman"/>
          <w:sz w:val="24"/>
          <w:szCs w:val="24"/>
        </w:rPr>
        <w:t xml:space="preserve">ATTORNEY GENERAL, </w:t>
      </w:r>
    </w:p>
    <w:p w:rsidR="00336F9E" w:rsidRPr="00D813D7" w:rsidRDefault="00336F9E" w:rsidP="00336F9E">
      <w:pPr>
        <w:spacing w:after="120" w:line="360" w:lineRule="auto"/>
        <w:jc w:val="center"/>
        <w:rPr>
          <w:rFonts w:ascii="Times New Roman" w:hAnsi="Times New Roman"/>
          <w:sz w:val="24"/>
          <w:szCs w:val="24"/>
        </w:rPr>
      </w:pPr>
      <w:r w:rsidRPr="00D813D7">
        <w:rPr>
          <w:rFonts w:ascii="Times New Roman" w:hAnsi="Times New Roman"/>
          <w:sz w:val="24"/>
          <w:szCs w:val="24"/>
        </w:rPr>
        <w:t>PUBLIC COUNSEL</w:t>
      </w:r>
      <w:r w:rsidR="00230C63" w:rsidRPr="00D813D7">
        <w:rPr>
          <w:rFonts w:ascii="Times New Roman" w:hAnsi="Times New Roman"/>
          <w:sz w:val="24"/>
          <w:szCs w:val="24"/>
        </w:rPr>
        <w:t xml:space="preserve"> UNIT</w:t>
      </w:r>
      <w:r w:rsidRPr="00D813D7">
        <w:rPr>
          <w:rFonts w:ascii="Times New Roman" w:hAnsi="Times New Roman"/>
          <w:sz w:val="24"/>
          <w:szCs w:val="24"/>
        </w:rPr>
        <w:t xml:space="preserve"> </w:t>
      </w:r>
    </w:p>
    <w:p w:rsidR="00336F9E" w:rsidRPr="00D813D7" w:rsidRDefault="00336F9E" w:rsidP="00336F9E">
      <w:pPr>
        <w:spacing w:line="360" w:lineRule="auto"/>
        <w:jc w:val="center"/>
        <w:rPr>
          <w:rFonts w:ascii="Times New Roman" w:hAnsi="Times New Roman"/>
          <w:sz w:val="24"/>
          <w:szCs w:val="24"/>
        </w:rPr>
      </w:pPr>
    </w:p>
    <w:p w:rsidR="00336F9E" w:rsidRPr="00900ADA" w:rsidRDefault="00230C63" w:rsidP="00336F9E">
      <w:pPr>
        <w:spacing w:line="360" w:lineRule="auto"/>
        <w:jc w:val="center"/>
        <w:rPr>
          <w:rFonts w:ascii="Times New Roman" w:hAnsi="Times New Roman"/>
          <w:b/>
          <w:sz w:val="24"/>
          <w:szCs w:val="24"/>
        </w:rPr>
      </w:pPr>
      <w:r w:rsidRPr="00900ADA">
        <w:rPr>
          <w:rFonts w:ascii="Times New Roman" w:hAnsi="Times New Roman"/>
          <w:b/>
          <w:sz w:val="24"/>
          <w:szCs w:val="24"/>
        </w:rPr>
        <w:t xml:space="preserve">APRIL </w:t>
      </w:r>
      <w:r w:rsidR="00275383" w:rsidRPr="00900ADA">
        <w:rPr>
          <w:rFonts w:ascii="Times New Roman" w:hAnsi="Times New Roman"/>
          <w:b/>
          <w:sz w:val="24"/>
          <w:szCs w:val="24"/>
        </w:rPr>
        <w:t>21</w:t>
      </w:r>
      <w:r w:rsidR="00336F9E" w:rsidRPr="00900ADA">
        <w:rPr>
          <w:rFonts w:ascii="Times New Roman" w:hAnsi="Times New Roman"/>
          <w:b/>
          <w:sz w:val="24"/>
          <w:szCs w:val="24"/>
        </w:rPr>
        <w:t>, 2017</w:t>
      </w:r>
    </w:p>
    <w:p w:rsidR="00336F9E" w:rsidRPr="00D813D7" w:rsidRDefault="00336F9E" w:rsidP="00336F9E">
      <w:pPr>
        <w:spacing w:line="360" w:lineRule="auto"/>
        <w:jc w:val="center"/>
        <w:rPr>
          <w:rFonts w:ascii="Times New Roman" w:hAnsi="Times New Roman"/>
          <w:b/>
          <w:bCs/>
          <w:sz w:val="24"/>
          <w:szCs w:val="24"/>
        </w:rPr>
      </w:pPr>
    </w:p>
    <w:p w:rsidR="00336F9E" w:rsidRPr="00D813D7" w:rsidRDefault="00336F9E" w:rsidP="00336F9E">
      <w:pPr>
        <w:spacing w:line="360" w:lineRule="auto"/>
        <w:jc w:val="center"/>
        <w:rPr>
          <w:rFonts w:ascii="Times New Roman" w:hAnsi="Times New Roman"/>
          <w:b/>
          <w:bCs/>
          <w:sz w:val="24"/>
          <w:szCs w:val="24"/>
        </w:rPr>
      </w:pPr>
    </w:p>
    <w:p w:rsidR="00AE4237" w:rsidRPr="00D813D7" w:rsidRDefault="00AE4237" w:rsidP="00336F9E">
      <w:pPr>
        <w:spacing w:line="360" w:lineRule="auto"/>
        <w:jc w:val="center"/>
        <w:rPr>
          <w:rFonts w:ascii="Times New Roman" w:hAnsi="Times New Roman"/>
          <w:b/>
          <w:bCs/>
          <w:sz w:val="24"/>
          <w:szCs w:val="24"/>
        </w:rPr>
      </w:pPr>
    </w:p>
    <w:p w:rsidR="00AE4237" w:rsidRPr="00D813D7" w:rsidRDefault="00AE4237" w:rsidP="00336F9E">
      <w:pPr>
        <w:spacing w:line="360" w:lineRule="auto"/>
        <w:jc w:val="center"/>
        <w:rPr>
          <w:rFonts w:ascii="Times New Roman" w:hAnsi="Times New Roman"/>
          <w:b/>
          <w:bCs/>
          <w:sz w:val="24"/>
          <w:szCs w:val="24"/>
        </w:rPr>
      </w:pPr>
    </w:p>
    <w:p w:rsidR="00AE4237" w:rsidRPr="00D813D7" w:rsidRDefault="00AE4237" w:rsidP="00336F9E">
      <w:pPr>
        <w:spacing w:line="360" w:lineRule="auto"/>
        <w:jc w:val="center"/>
        <w:rPr>
          <w:rFonts w:ascii="Times New Roman" w:hAnsi="Times New Roman"/>
          <w:b/>
          <w:bCs/>
          <w:sz w:val="24"/>
          <w:szCs w:val="24"/>
        </w:rPr>
      </w:pPr>
    </w:p>
    <w:p w:rsidR="001F5BC6" w:rsidRPr="00D813D7" w:rsidRDefault="001F5BC6" w:rsidP="002E54E8">
      <w:pPr>
        <w:spacing w:line="360" w:lineRule="auto"/>
        <w:rPr>
          <w:rFonts w:ascii="Times New Roman" w:hAnsi="Times New Roman"/>
          <w:b/>
          <w:bCs/>
          <w:sz w:val="24"/>
          <w:szCs w:val="24"/>
          <w:highlight w:val="yellow"/>
        </w:rPr>
      </w:pPr>
    </w:p>
    <w:sdt>
      <w:sdtPr>
        <w:rPr>
          <w:rFonts w:ascii="Calibri" w:eastAsia="Times New Roman" w:hAnsi="Calibri"/>
          <w:b w:val="0"/>
          <w:bCs w:val="0"/>
          <w:color w:val="auto"/>
          <w:sz w:val="22"/>
          <w:szCs w:val="22"/>
        </w:rPr>
        <w:id w:val="1756010228"/>
        <w:docPartObj>
          <w:docPartGallery w:val="Table of Contents"/>
          <w:docPartUnique/>
        </w:docPartObj>
      </w:sdtPr>
      <w:sdtEndPr>
        <w:rPr>
          <w:noProof/>
        </w:rPr>
      </w:sdtEndPr>
      <w:sdtContent>
        <w:p w:rsidR="00A60D7C" w:rsidRDefault="001F5BC6">
          <w:pPr>
            <w:pStyle w:val="TOCHeading"/>
            <w:rPr>
              <w:rFonts w:ascii="Times New Roman" w:hAnsi="Times New Roman"/>
              <w:color w:val="000000" w:themeColor="text1"/>
              <w:sz w:val="24"/>
              <w:szCs w:val="24"/>
              <w:u w:val="single"/>
            </w:rPr>
          </w:pPr>
          <w:r w:rsidRPr="001F5BC6">
            <w:rPr>
              <w:rFonts w:ascii="Times New Roman" w:hAnsi="Times New Roman"/>
              <w:color w:val="000000" w:themeColor="text1"/>
              <w:sz w:val="24"/>
              <w:szCs w:val="24"/>
              <w:u w:val="single"/>
            </w:rPr>
            <w:t>TABLE OF CONTENTS</w:t>
          </w:r>
        </w:p>
        <w:p w:rsidR="001F5BC6" w:rsidRPr="001F5BC6" w:rsidRDefault="001F5BC6" w:rsidP="001F5BC6"/>
        <w:p w:rsidR="00E41A9A" w:rsidRPr="006B6744" w:rsidRDefault="00A60D7C" w:rsidP="006B6744">
          <w:pPr>
            <w:pStyle w:val="TOC1"/>
            <w:rPr>
              <w:rFonts w:eastAsiaTheme="minorEastAsia"/>
              <w:noProof/>
              <w:sz w:val="24"/>
              <w:szCs w:val="24"/>
            </w:rPr>
          </w:pPr>
          <w:r>
            <w:fldChar w:fldCharType="begin"/>
          </w:r>
          <w:r>
            <w:instrText xml:space="preserve"> TOC \o "1-3" \h \z \u </w:instrText>
          </w:r>
          <w:r>
            <w:fldChar w:fldCharType="separate"/>
          </w:r>
          <w:hyperlink w:anchor="_Toc480530017" w:history="1">
            <w:r w:rsidR="00E41A9A" w:rsidRPr="006B6744">
              <w:rPr>
                <w:rStyle w:val="Hyperlink"/>
                <w:noProof/>
                <w:sz w:val="24"/>
                <w:szCs w:val="24"/>
              </w:rPr>
              <w:t>I.</w:t>
            </w:r>
            <w:r w:rsidR="00E41A9A" w:rsidRPr="006B6744">
              <w:rPr>
                <w:rFonts w:eastAsiaTheme="minorEastAsia"/>
                <w:noProof/>
                <w:sz w:val="24"/>
                <w:szCs w:val="24"/>
              </w:rPr>
              <w:tab/>
            </w:r>
            <w:r w:rsidR="00E41A9A" w:rsidRPr="006B6744">
              <w:rPr>
                <w:rStyle w:val="Hyperlink"/>
                <w:noProof/>
                <w:sz w:val="24"/>
                <w:szCs w:val="24"/>
              </w:rPr>
              <w:t>INTRODUCTION</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_Toc480530017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1</w:t>
            </w:r>
            <w:r w:rsidR="00E41A9A" w:rsidRPr="006B6744">
              <w:rPr>
                <w:noProof/>
                <w:webHidden/>
                <w:sz w:val="24"/>
                <w:szCs w:val="24"/>
              </w:rPr>
              <w:fldChar w:fldCharType="end"/>
            </w:r>
          </w:hyperlink>
        </w:p>
        <w:p w:rsidR="00E41A9A" w:rsidRPr="006B6744" w:rsidRDefault="00AC7CA6" w:rsidP="006B6744">
          <w:pPr>
            <w:pStyle w:val="TOC1"/>
            <w:rPr>
              <w:rFonts w:eastAsiaTheme="minorEastAsia"/>
              <w:noProof/>
              <w:sz w:val="24"/>
              <w:szCs w:val="24"/>
            </w:rPr>
          </w:pPr>
          <w:hyperlink w:anchor="_Toc480530018" w:history="1">
            <w:r w:rsidR="00E41A9A" w:rsidRPr="006B6744">
              <w:rPr>
                <w:rStyle w:val="Hyperlink"/>
                <w:caps/>
                <w:noProof/>
                <w:sz w:val="24"/>
                <w:szCs w:val="24"/>
              </w:rPr>
              <w:t>II.</w:t>
            </w:r>
            <w:r w:rsidR="00E41A9A" w:rsidRPr="006B6744">
              <w:rPr>
                <w:rFonts w:eastAsiaTheme="minorEastAsia"/>
                <w:noProof/>
                <w:sz w:val="24"/>
                <w:szCs w:val="24"/>
              </w:rPr>
              <w:tab/>
            </w:r>
            <w:r w:rsidR="00E41A9A" w:rsidRPr="006B6744">
              <w:rPr>
                <w:rStyle w:val="Hyperlink"/>
                <w:caps/>
                <w:noProof/>
                <w:sz w:val="24"/>
                <w:szCs w:val="24"/>
              </w:rPr>
              <w:t>Purpose of Testimony and Scope of Review</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_Toc480530018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3</w:t>
            </w:r>
            <w:r w:rsidR="00E41A9A" w:rsidRPr="006B6744">
              <w:rPr>
                <w:noProof/>
                <w:webHidden/>
                <w:sz w:val="24"/>
                <w:szCs w:val="24"/>
              </w:rPr>
              <w:fldChar w:fldCharType="end"/>
            </w:r>
          </w:hyperlink>
        </w:p>
        <w:p w:rsidR="00E41A9A" w:rsidRPr="006B6744" w:rsidRDefault="00AC7CA6" w:rsidP="006B6744">
          <w:pPr>
            <w:pStyle w:val="TOC1"/>
            <w:rPr>
              <w:rFonts w:eastAsiaTheme="minorEastAsia"/>
              <w:noProof/>
              <w:sz w:val="24"/>
              <w:szCs w:val="24"/>
            </w:rPr>
          </w:pPr>
          <w:hyperlink w:anchor="_Toc480530019" w:history="1">
            <w:r w:rsidR="00E41A9A" w:rsidRPr="006B6744">
              <w:rPr>
                <w:rStyle w:val="Hyperlink"/>
                <w:caps/>
                <w:noProof/>
                <w:sz w:val="24"/>
                <w:szCs w:val="24"/>
              </w:rPr>
              <w:t>III.</w:t>
            </w:r>
            <w:r w:rsidR="00E41A9A" w:rsidRPr="006B6744">
              <w:rPr>
                <w:rFonts w:eastAsiaTheme="minorEastAsia"/>
                <w:noProof/>
                <w:sz w:val="24"/>
                <w:szCs w:val="24"/>
              </w:rPr>
              <w:tab/>
            </w:r>
            <w:r w:rsidR="00E41A9A" w:rsidRPr="006B6744">
              <w:rPr>
                <w:rStyle w:val="Hyperlink"/>
                <w:caps/>
                <w:noProof/>
                <w:sz w:val="24"/>
                <w:szCs w:val="24"/>
              </w:rPr>
              <w:t>Background</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_Toc480530019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4</w:t>
            </w:r>
            <w:r w:rsidR="00E41A9A" w:rsidRPr="006B6744">
              <w:rPr>
                <w:noProof/>
                <w:webHidden/>
                <w:sz w:val="24"/>
                <w:szCs w:val="24"/>
              </w:rPr>
              <w:fldChar w:fldCharType="end"/>
            </w:r>
          </w:hyperlink>
        </w:p>
        <w:p w:rsidR="00E41A9A" w:rsidRPr="006B6744" w:rsidRDefault="00AC7CA6" w:rsidP="006B6744">
          <w:pPr>
            <w:pStyle w:val="TOC1"/>
            <w:rPr>
              <w:rFonts w:eastAsiaTheme="minorEastAsia"/>
              <w:noProof/>
              <w:sz w:val="24"/>
              <w:szCs w:val="24"/>
            </w:rPr>
          </w:pPr>
          <w:hyperlink w:anchor="_Toc480530020" w:history="1">
            <w:r w:rsidR="00E41A9A" w:rsidRPr="006B6744">
              <w:rPr>
                <w:rStyle w:val="Hyperlink"/>
                <w:caps/>
                <w:noProof/>
                <w:sz w:val="24"/>
                <w:szCs w:val="24"/>
              </w:rPr>
              <w:t>IV.</w:t>
            </w:r>
            <w:r w:rsidR="00E41A9A" w:rsidRPr="006B6744">
              <w:rPr>
                <w:rFonts w:eastAsiaTheme="minorEastAsia"/>
                <w:noProof/>
                <w:sz w:val="24"/>
                <w:szCs w:val="24"/>
              </w:rPr>
              <w:tab/>
            </w:r>
            <w:r w:rsidR="00E41A9A" w:rsidRPr="006B6744">
              <w:rPr>
                <w:rStyle w:val="Hyperlink"/>
                <w:caps/>
                <w:noProof/>
                <w:sz w:val="24"/>
                <w:szCs w:val="24"/>
              </w:rPr>
              <w:t>Proposed Tariff Revision</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_Toc480530020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5</w:t>
            </w:r>
            <w:r w:rsidR="00E41A9A" w:rsidRPr="006B6744">
              <w:rPr>
                <w:noProof/>
                <w:webHidden/>
                <w:sz w:val="24"/>
                <w:szCs w:val="24"/>
              </w:rPr>
              <w:fldChar w:fldCharType="end"/>
            </w:r>
          </w:hyperlink>
        </w:p>
        <w:p w:rsidR="00E41A9A" w:rsidRPr="006B6744" w:rsidRDefault="00AC7CA6" w:rsidP="006B6744">
          <w:pPr>
            <w:pStyle w:val="TOC1"/>
            <w:rPr>
              <w:rFonts w:eastAsiaTheme="minorEastAsia"/>
              <w:noProof/>
              <w:sz w:val="24"/>
              <w:szCs w:val="24"/>
            </w:rPr>
          </w:pPr>
          <w:hyperlink w:anchor="_Toc480530021" w:history="1">
            <w:r w:rsidR="00E41A9A" w:rsidRPr="006B6744">
              <w:rPr>
                <w:rStyle w:val="Hyperlink"/>
                <w:caps/>
                <w:noProof/>
                <w:sz w:val="24"/>
                <w:szCs w:val="24"/>
              </w:rPr>
              <w:t>V.</w:t>
            </w:r>
            <w:r w:rsidR="00E41A9A" w:rsidRPr="006B6744">
              <w:rPr>
                <w:rFonts w:eastAsiaTheme="minorEastAsia"/>
                <w:noProof/>
                <w:sz w:val="24"/>
                <w:szCs w:val="24"/>
              </w:rPr>
              <w:tab/>
            </w:r>
            <w:r w:rsidR="00E41A9A" w:rsidRPr="006B6744">
              <w:rPr>
                <w:rStyle w:val="Hyperlink"/>
                <w:caps/>
                <w:noProof/>
                <w:sz w:val="24"/>
                <w:szCs w:val="24"/>
              </w:rPr>
              <w:t>Stranded Cost:  Definition and Examples</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_Toc480530021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12</w:t>
            </w:r>
            <w:r w:rsidR="00E41A9A" w:rsidRPr="006B6744">
              <w:rPr>
                <w:noProof/>
                <w:webHidden/>
                <w:sz w:val="24"/>
                <w:szCs w:val="24"/>
              </w:rPr>
              <w:fldChar w:fldCharType="end"/>
            </w:r>
          </w:hyperlink>
        </w:p>
        <w:p w:rsidR="00E41A9A" w:rsidRPr="006B6744" w:rsidRDefault="00AC7CA6">
          <w:pPr>
            <w:pStyle w:val="TOC2"/>
            <w:tabs>
              <w:tab w:val="left" w:pos="720"/>
              <w:tab w:val="right" w:leader="dot" w:pos="9350"/>
            </w:tabs>
            <w:rPr>
              <w:rFonts w:ascii="Times New Roman" w:eastAsiaTheme="minorEastAsia" w:hAnsi="Times New Roman"/>
              <w:noProof/>
              <w:sz w:val="24"/>
              <w:szCs w:val="24"/>
            </w:rPr>
          </w:pPr>
          <w:hyperlink w:anchor="_Toc480530022" w:history="1">
            <w:r w:rsidR="00E41A9A" w:rsidRPr="006B6744">
              <w:rPr>
                <w:rStyle w:val="Hyperlink"/>
                <w:rFonts w:ascii="Times New Roman" w:hAnsi="Times New Roman"/>
                <w:noProof/>
                <w:sz w:val="24"/>
                <w:szCs w:val="24"/>
              </w:rPr>
              <w:t>A.</w:t>
            </w:r>
            <w:r w:rsidR="00E41A9A" w:rsidRPr="006B6744">
              <w:rPr>
                <w:rFonts w:ascii="Times New Roman" w:eastAsiaTheme="minorEastAsia" w:hAnsi="Times New Roman"/>
                <w:noProof/>
                <w:sz w:val="24"/>
                <w:szCs w:val="24"/>
              </w:rPr>
              <w:tab/>
            </w:r>
            <w:r w:rsidR="00E41A9A" w:rsidRPr="006B6744">
              <w:rPr>
                <w:rStyle w:val="Hyperlink"/>
                <w:rFonts w:ascii="Times New Roman" w:hAnsi="Times New Roman"/>
                <w:noProof/>
                <w:sz w:val="24"/>
                <w:szCs w:val="24"/>
              </w:rPr>
              <w:t>Determining Fixed Costs.</w:t>
            </w:r>
            <w:r w:rsidR="00E41A9A" w:rsidRPr="006B6744">
              <w:rPr>
                <w:rFonts w:ascii="Times New Roman" w:hAnsi="Times New Roman"/>
                <w:noProof/>
                <w:webHidden/>
                <w:sz w:val="24"/>
                <w:szCs w:val="24"/>
              </w:rPr>
              <w:tab/>
            </w:r>
            <w:r w:rsidR="00E41A9A" w:rsidRPr="006B6744">
              <w:rPr>
                <w:rFonts w:ascii="Times New Roman" w:hAnsi="Times New Roman"/>
                <w:noProof/>
                <w:webHidden/>
                <w:sz w:val="24"/>
                <w:szCs w:val="24"/>
              </w:rPr>
              <w:fldChar w:fldCharType="begin"/>
            </w:r>
            <w:r w:rsidR="00E41A9A" w:rsidRPr="006B6744">
              <w:rPr>
                <w:rFonts w:ascii="Times New Roman" w:hAnsi="Times New Roman"/>
                <w:noProof/>
                <w:webHidden/>
                <w:sz w:val="24"/>
                <w:szCs w:val="24"/>
              </w:rPr>
              <w:instrText xml:space="preserve"> PAGEREF _Toc480530022 \h </w:instrText>
            </w:r>
            <w:r w:rsidR="00E41A9A" w:rsidRPr="006B6744">
              <w:rPr>
                <w:rFonts w:ascii="Times New Roman" w:hAnsi="Times New Roman"/>
                <w:noProof/>
                <w:webHidden/>
                <w:sz w:val="24"/>
                <w:szCs w:val="24"/>
              </w:rPr>
            </w:r>
            <w:r w:rsidR="00E41A9A" w:rsidRPr="006B6744">
              <w:rPr>
                <w:rFonts w:ascii="Times New Roman" w:hAnsi="Times New Roman"/>
                <w:noProof/>
                <w:webHidden/>
                <w:sz w:val="24"/>
                <w:szCs w:val="24"/>
              </w:rPr>
              <w:fldChar w:fldCharType="separate"/>
            </w:r>
            <w:r w:rsidR="00E41A9A" w:rsidRPr="006B6744">
              <w:rPr>
                <w:rFonts w:ascii="Times New Roman" w:hAnsi="Times New Roman"/>
                <w:noProof/>
                <w:webHidden/>
                <w:sz w:val="24"/>
                <w:szCs w:val="24"/>
              </w:rPr>
              <w:t>18</w:t>
            </w:r>
            <w:r w:rsidR="00E41A9A" w:rsidRPr="006B6744">
              <w:rPr>
                <w:rFonts w:ascii="Times New Roman" w:hAnsi="Times New Roman"/>
                <w:noProof/>
                <w:webHidden/>
                <w:sz w:val="24"/>
                <w:szCs w:val="24"/>
              </w:rPr>
              <w:fldChar w:fldCharType="end"/>
            </w:r>
          </w:hyperlink>
        </w:p>
        <w:p w:rsidR="00E41A9A" w:rsidRPr="006B6744" w:rsidRDefault="00AC7CA6" w:rsidP="006B6744">
          <w:pPr>
            <w:pStyle w:val="TOC1"/>
            <w:rPr>
              <w:rFonts w:eastAsiaTheme="minorEastAsia"/>
              <w:noProof/>
              <w:sz w:val="24"/>
              <w:szCs w:val="24"/>
            </w:rPr>
          </w:pPr>
          <w:hyperlink w:anchor="_Toc480530023" w:history="1">
            <w:r w:rsidR="00E41A9A" w:rsidRPr="006B6744">
              <w:rPr>
                <w:rStyle w:val="Hyperlink"/>
                <w:caps/>
                <w:noProof/>
                <w:sz w:val="24"/>
                <w:szCs w:val="24"/>
              </w:rPr>
              <w:t>VI.</w:t>
            </w:r>
            <w:r w:rsidR="00E41A9A" w:rsidRPr="006B6744">
              <w:rPr>
                <w:rFonts w:eastAsiaTheme="minorEastAsia"/>
                <w:noProof/>
                <w:sz w:val="24"/>
                <w:szCs w:val="24"/>
              </w:rPr>
              <w:tab/>
            </w:r>
            <w:r w:rsidR="00E41A9A" w:rsidRPr="006B6744">
              <w:rPr>
                <w:rStyle w:val="Hyperlink"/>
                <w:caps/>
                <w:noProof/>
                <w:sz w:val="24"/>
                <w:szCs w:val="24"/>
              </w:rPr>
              <w:t>Pacific Power’s Proposed Stranded Cost Recovery Fee</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_Toc480530023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23</w:t>
            </w:r>
            <w:r w:rsidR="00E41A9A" w:rsidRPr="006B6744">
              <w:rPr>
                <w:noProof/>
                <w:webHidden/>
                <w:sz w:val="24"/>
                <w:szCs w:val="24"/>
              </w:rPr>
              <w:fldChar w:fldCharType="end"/>
            </w:r>
          </w:hyperlink>
        </w:p>
        <w:p w:rsidR="00E41A9A" w:rsidRPr="006B6744" w:rsidRDefault="00AC7CA6">
          <w:pPr>
            <w:pStyle w:val="TOC2"/>
            <w:tabs>
              <w:tab w:val="left" w:pos="720"/>
              <w:tab w:val="right" w:leader="dot" w:pos="9350"/>
            </w:tabs>
            <w:rPr>
              <w:rFonts w:ascii="Times New Roman" w:eastAsiaTheme="minorEastAsia" w:hAnsi="Times New Roman"/>
              <w:noProof/>
              <w:sz w:val="24"/>
              <w:szCs w:val="24"/>
            </w:rPr>
          </w:pPr>
          <w:hyperlink w:anchor="_Toc480530024" w:history="1">
            <w:r w:rsidR="00E41A9A" w:rsidRPr="006B6744">
              <w:rPr>
                <w:rStyle w:val="Hyperlink"/>
                <w:rFonts w:ascii="Times New Roman" w:hAnsi="Times New Roman"/>
                <w:noProof/>
                <w:sz w:val="24"/>
                <w:szCs w:val="24"/>
              </w:rPr>
              <w:t>A.</w:t>
            </w:r>
            <w:r w:rsidR="00E41A9A" w:rsidRPr="006B6744">
              <w:rPr>
                <w:rFonts w:ascii="Times New Roman" w:eastAsiaTheme="minorEastAsia" w:hAnsi="Times New Roman"/>
                <w:noProof/>
                <w:sz w:val="24"/>
                <w:szCs w:val="24"/>
              </w:rPr>
              <w:tab/>
            </w:r>
            <w:r w:rsidR="00E41A9A" w:rsidRPr="006B6744">
              <w:rPr>
                <w:rStyle w:val="Hyperlink"/>
                <w:rFonts w:ascii="Times New Roman" w:hAnsi="Times New Roman"/>
                <w:noProof/>
                <w:sz w:val="24"/>
                <w:szCs w:val="24"/>
              </w:rPr>
              <w:t>Determining Additional Market Revenues.</w:t>
            </w:r>
            <w:r w:rsidR="00E41A9A" w:rsidRPr="006B6744">
              <w:rPr>
                <w:rFonts w:ascii="Times New Roman" w:hAnsi="Times New Roman"/>
                <w:noProof/>
                <w:webHidden/>
                <w:sz w:val="24"/>
                <w:szCs w:val="24"/>
              </w:rPr>
              <w:tab/>
            </w:r>
            <w:r w:rsidR="00E41A9A" w:rsidRPr="006B6744">
              <w:rPr>
                <w:rFonts w:ascii="Times New Roman" w:hAnsi="Times New Roman"/>
                <w:noProof/>
                <w:webHidden/>
                <w:sz w:val="24"/>
                <w:szCs w:val="24"/>
              </w:rPr>
              <w:fldChar w:fldCharType="begin"/>
            </w:r>
            <w:r w:rsidR="00E41A9A" w:rsidRPr="006B6744">
              <w:rPr>
                <w:rFonts w:ascii="Times New Roman" w:hAnsi="Times New Roman"/>
                <w:noProof/>
                <w:webHidden/>
                <w:sz w:val="24"/>
                <w:szCs w:val="24"/>
              </w:rPr>
              <w:instrText xml:space="preserve"> PAGEREF _Toc480530024 \h </w:instrText>
            </w:r>
            <w:r w:rsidR="00E41A9A" w:rsidRPr="006B6744">
              <w:rPr>
                <w:rFonts w:ascii="Times New Roman" w:hAnsi="Times New Roman"/>
                <w:noProof/>
                <w:webHidden/>
                <w:sz w:val="24"/>
                <w:szCs w:val="24"/>
              </w:rPr>
            </w:r>
            <w:r w:rsidR="00E41A9A" w:rsidRPr="006B6744">
              <w:rPr>
                <w:rFonts w:ascii="Times New Roman" w:hAnsi="Times New Roman"/>
                <w:noProof/>
                <w:webHidden/>
                <w:sz w:val="24"/>
                <w:szCs w:val="24"/>
              </w:rPr>
              <w:fldChar w:fldCharType="separate"/>
            </w:r>
            <w:r w:rsidR="00E41A9A" w:rsidRPr="006B6744">
              <w:rPr>
                <w:rFonts w:ascii="Times New Roman" w:hAnsi="Times New Roman"/>
                <w:noProof/>
                <w:webHidden/>
                <w:sz w:val="24"/>
                <w:szCs w:val="24"/>
              </w:rPr>
              <w:t>34</w:t>
            </w:r>
            <w:r w:rsidR="00E41A9A" w:rsidRPr="006B6744">
              <w:rPr>
                <w:rFonts w:ascii="Times New Roman" w:hAnsi="Times New Roman"/>
                <w:noProof/>
                <w:webHidden/>
                <w:sz w:val="24"/>
                <w:szCs w:val="24"/>
              </w:rPr>
              <w:fldChar w:fldCharType="end"/>
            </w:r>
          </w:hyperlink>
        </w:p>
        <w:p w:rsidR="00E41A9A" w:rsidRPr="006B6744" w:rsidRDefault="00AC7CA6">
          <w:pPr>
            <w:pStyle w:val="TOC2"/>
            <w:tabs>
              <w:tab w:val="left" w:pos="720"/>
              <w:tab w:val="right" w:leader="dot" w:pos="9350"/>
            </w:tabs>
            <w:rPr>
              <w:rFonts w:ascii="Times New Roman" w:eastAsiaTheme="minorEastAsia" w:hAnsi="Times New Roman"/>
              <w:noProof/>
              <w:sz w:val="24"/>
              <w:szCs w:val="24"/>
            </w:rPr>
          </w:pPr>
          <w:hyperlink w:anchor="_Toc480530025" w:history="1">
            <w:r w:rsidR="00E41A9A" w:rsidRPr="006B6744">
              <w:rPr>
                <w:rStyle w:val="Hyperlink"/>
                <w:rFonts w:ascii="Times New Roman" w:hAnsi="Times New Roman"/>
                <w:noProof/>
                <w:sz w:val="24"/>
                <w:szCs w:val="24"/>
              </w:rPr>
              <w:t>B.</w:t>
            </w:r>
            <w:r w:rsidR="00E41A9A" w:rsidRPr="006B6744">
              <w:rPr>
                <w:rFonts w:ascii="Times New Roman" w:eastAsiaTheme="minorEastAsia" w:hAnsi="Times New Roman"/>
                <w:noProof/>
                <w:sz w:val="24"/>
                <w:szCs w:val="24"/>
              </w:rPr>
              <w:tab/>
            </w:r>
            <w:r w:rsidR="00E41A9A" w:rsidRPr="006B6744">
              <w:rPr>
                <w:rStyle w:val="Hyperlink"/>
                <w:rFonts w:ascii="Times New Roman" w:hAnsi="Times New Roman"/>
                <w:noProof/>
                <w:sz w:val="24"/>
                <w:szCs w:val="24"/>
              </w:rPr>
              <w:t>Issues Related to Stranded Cost Recovery Fee Sensitivity Analysis.</w:t>
            </w:r>
            <w:r w:rsidR="00E41A9A" w:rsidRPr="006B6744">
              <w:rPr>
                <w:rFonts w:ascii="Times New Roman" w:hAnsi="Times New Roman"/>
                <w:noProof/>
                <w:webHidden/>
                <w:sz w:val="24"/>
                <w:szCs w:val="24"/>
              </w:rPr>
              <w:tab/>
            </w:r>
            <w:r w:rsidR="00E41A9A" w:rsidRPr="006B6744">
              <w:rPr>
                <w:rFonts w:ascii="Times New Roman" w:hAnsi="Times New Roman"/>
                <w:noProof/>
                <w:webHidden/>
                <w:sz w:val="24"/>
                <w:szCs w:val="24"/>
              </w:rPr>
              <w:fldChar w:fldCharType="begin"/>
            </w:r>
            <w:r w:rsidR="00E41A9A" w:rsidRPr="006B6744">
              <w:rPr>
                <w:rFonts w:ascii="Times New Roman" w:hAnsi="Times New Roman"/>
                <w:noProof/>
                <w:webHidden/>
                <w:sz w:val="24"/>
                <w:szCs w:val="24"/>
              </w:rPr>
              <w:instrText xml:space="preserve"> PAGEREF _Toc480530025 \h </w:instrText>
            </w:r>
            <w:r w:rsidR="00E41A9A" w:rsidRPr="006B6744">
              <w:rPr>
                <w:rFonts w:ascii="Times New Roman" w:hAnsi="Times New Roman"/>
                <w:noProof/>
                <w:webHidden/>
                <w:sz w:val="24"/>
                <w:szCs w:val="24"/>
              </w:rPr>
            </w:r>
            <w:r w:rsidR="00E41A9A" w:rsidRPr="006B6744">
              <w:rPr>
                <w:rFonts w:ascii="Times New Roman" w:hAnsi="Times New Roman"/>
                <w:noProof/>
                <w:webHidden/>
                <w:sz w:val="24"/>
                <w:szCs w:val="24"/>
              </w:rPr>
              <w:fldChar w:fldCharType="separate"/>
            </w:r>
            <w:r w:rsidR="00E41A9A" w:rsidRPr="006B6744">
              <w:rPr>
                <w:rFonts w:ascii="Times New Roman" w:hAnsi="Times New Roman"/>
                <w:noProof/>
                <w:webHidden/>
                <w:sz w:val="24"/>
                <w:szCs w:val="24"/>
              </w:rPr>
              <w:t>39</w:t>
            </w:r>
            <w:r w:rsidR="00E41A9A" w:rsidRPr="006B6744">
              <w:rPr>
                <w:rFonts w:ascii="Times New Roman" w:hAnsi="Times New Roman"/>
                <w:noProof/>
                <w:webHidden/>
                <w:sz w:val="24"/>
                <w:szCs w:val="24"/>
              </w:rPr>
              <w:fldChar w:fldCharType="end"/>
            </w:r>
          </w:hyperlink>
        </w:p>
        <w:p w:rsidR="00E41A9A" w:rsidRPr="006B6744" w:rsidRDefault="00AC7CA6">
          <w:pPr>
            <w:pStyle w:val="TOC2"/>
            <w:tabs>
              <w:tab w:val="left" w:pos="720"/>
              <w:tab w:val="right" w:leader="dot" w:pos="9350"/>
            </w:tabs>
            <w:rPr>
              <w:rFonts w:ascii="Times New Roman" w:eastAsiaTheme="minorEastAsia" w:hAnsi="Times New Roman"/>
              <w:noProof/>
              <w:sz w:val="24"/>
              <w:szCs w:val="24"/>
            </w:rPr>
          </w:pPr>
          <w:hyperlink w:anchor="_Toc480530026" w:history="1">
            <w:r w:rsidR="00E41A9A" w:rsidRPr="006B6744">
              <w:rPr>
                <w:rStyle w:val="Hyperlink"/>
                <w:rFonts w:ascii="Times New Roman" w:hAnsi="Times New Roman"/>
                <w:noProof/>
                <w:sz w:val="24"/>
                <w:szCs w:val="24"/>
              </w:rPr>
              <w:t>C.</w:t>
            </w:r>
            <w:r w:rsidR="00E41A9A" w:rsidRPr="006B6744">
              <w:rPr>
                <w:rFonts w:ascii="Times New Roman" w:eastAsiaTheme="minorEastAsia" w:hAnsi="Times New Roman"/>
                <w:noProof/>
                <w:sz w:val="24"/>
                <w:szCs w:val="24"/>
              </w:rPr>
              <w:tab/>
            </w:r>
            <w:r w:rsidR="00E41A9A" w:rsidRPr="006B6744">
              <w:rPr>
                <w:rStyle w:val="Hyperlink"/>
                <w:rFonts w:ascii="Times New Roman" w:hAnsi="Times New Roman"/>
                <w:noProof/>
                <w:sz w:val="24"/>
                <w:szCs w:val="24"/>
              </w:rPr>
              <w:t>Policy Issues Raised by the Proposed Stranded Cost Recovery Fee.</w:t>
            </w:r>
            <w:r w:rsidR="00E41A9A" w:rsidRPr="006B6744">
              <w:rPr>
                <w:rFonts w:ascii="Times New Roman" w:hAnsi="Times New Roman"/>
                <w:noProof/>
                <w:webHidden/>
                <w:sz w:val="24"/>
                <w:szCs w:val="24"/>
              </w:rPr>
              <w:tab/>
            </w:r>
            <w:r w:rsidR="00E41A9A" w:rsidRPr="006B6744">
              <w:rPr>
                <w:rFonts w:ascii="Times New Roman" w:hAnsi="Times New Roman"/>
                <w:noProof/>
                <w:webHidden/>
                <w:sz w:val="24"/>
                <w:szCs w:val="24"/>
              </w:rPr>
              <w:fldChar w:fldCharType="begin"/>
            </w:r>
            <w:r w:rsidR="00E41A9A" w:rsidRPr="006B6744">
              <w:rPr>
                <w:rFonts w:ascii="Times New Roman" w:hAnsi="Times New Roman"/>
                <w:noProof/>
                <w:webHidden/>
                <w:sz w:val="24"/>
                <w:szCs w:val="24"/>
              </w:rPr>
              <w:instrText xml:space="preserve"> PAGEREF _Toc480530026 \h </w:instrText>
            </w:r>
            <w:r w:rsidR="00E41A9A" w:rsidRPr="006B6744">
              <w:rPr>
                <w:rFonts w:ascii="Times New Roman" w:hAnsi="Times New Roman"/>
                <w:noProof/>
                <w:webHidden/>
                <w:sz w:val="24"/>
                <w:szCs w:val="24"/>
              </w:rPr>
            </w:r>
            <w:r w:rsidR="00E41A9A" w:rsidRPr="006B6744">
              <w:rPr>
                <w:rFonts w:ascii="Times New Roman" w:hAnsi="Times New Roman"/>
                <w:noProof/>
                <w:webHidden/>
                <w:sz w:val="24"/>
                <w:szCs w:val="24"/>
              </w:rPr>
              <w:fldChar w:fldCharType="separate"/>
            </w:r>
            <w:r w:rsidR="00E41A9A" w:rsidRPr="006B6744">
              <w:rPr>
                <w:rFonts w:ascii="Times New Roman" w:hAnsi="Times New Roman"/>
                <w:noProof/>
                <w:webHidden/>
                <w:sz w:val="24"/>
                <w:szCs w:val="24"/>
              </w:rPr>
              <w:t>44</w:t>
            </w:r>
            <w:r w:rsidR="00E41A9A" w:rsidRPr="006B6744">
              <w:rPr>
                <w:rFonts w:ascii="Times New Roman" w:hAnsi="Times New Roman"/>
                <w:noProof/>
                <w:webHidden/>
                <w:sz w:val="24"/>
                <w:szCs w:val="24"/>
              </w:rPr>
              <w:fldChar w:fldCharType="end"/>
            </w:r>
          </w:hyperlink>
        </w:p>
        <w:p w:rsidR="00E41A9A" w:rsidRPr="006B6744" w:rsidRDefault="00AC7CA6">
          <w:pPr>
            <w:pStyle w:val="TOC2"/>
            <w:tabs>
              <w:tab w:val="left" w:pos="720"/>
              <w:tab w:val="right" w:leader="dot" w:pos="9350"/>
            </w:tabs>
            <w:rPr>
              <w:rFonts w:ascii="Times New Roman" w:eastAsiaTheme="minorEastAsia" w:hAnsi="Times New Roman"/>
              <w:noProof/>
              <w:sz w:val="24"/>
              <w:szCs w:val="24"/>
            </w:rPr>
          </w:pPr>
          <w:hyperlink w:anchor="_Toc480530027" w:history="1">
            <w:r w:rsidR="00E41A9A" w:rsidRPr="006B6744">
              <w:rPr>
                <w:rStyle w:val="Hyperlink"/>
                <w:rFonts w:ascii="Times New Roman" w:hAnsi="Times New Roman"/>
                <w:noProof/>
                <w:sz w:val="24"/>
                <w:szCs w:val="24"/>
              </w:rPr>
              <w:t>D.</w:t>
            </w:r>
            <w:r w:rsidR="00E41A9A" w:rsidRPr="006B6744">
              <w:rPr>
                <w:rFonts w:ascii="Times New Roman" w:eastAsiaTheme="minorEastAsia" w:hAnsi="Times New Roman"/>
                <w:noProof/>
                <w:sz w:val="24"/>
                <w:szCs w:val="24"/>
              </w:rPr>
              <w:tab/>
            </w:r>
            <w:r w:rsidR="00E41A9A" w:rsidRPr="006B6744">
              <w:rPr>
                <w:rStyle w:val="Hyperlink"/>
                <w:rFonts w:ascii="Times New Roman" w:hAnsi="Times New Roman"/>
                <w:noProof/>
                <w:sz w:val="24"/>
                <w:szCs w:val="24"/>
              </w:rPr>
              <w:t>Safety Issues Raised by the Proposed Stranded Cost Recovery Fee.</w:t>
            </w:r>
            <w:r w:rsidR="00E41A9A" w:rsidRPr="006B6744">
              <w:rPr>
                <w:rFonts w:ascii="Times New Roman" w:hAnsi="Times New Roman"/>
                <w:noProof/>
                <w:webHidden/>
                <w:sz w:val="24"/>
                <w:szCs w:val="24"/>
              </w:rPr>
              <w:tab/>
            </w:r>
            <w:r w:rsidR="00E41A9A" w:rsidRPr="006B6744">
              <w:rPr>
                <w:rFonts w:ascii="Times New Roman" w:hAnsi="Times New Roman"/>
                <w:noProof/>
                <w:webHidden/>
                <w:sz w:val="24"/>
                <w:szCs w:val="24"/>
              </w:rPr>
              <w:fldChar w:fldCharType="begin"/>
            </w:r>
            <w:r w:rsidR="00E41A9A" w:rsidRPr="006B6744">
              <w:rPr>
                <w:rFonts w:ascii="Times New Roman" w:hAnsi="Times New Roman"/>
                <w:noProof/>
                <w:webHidden/>
                <w:sz w:val="24"/>
                <w:szCs w:val="24"/>
              </w:rPr>
              <w:instrText xml:space="preserve"> PAGEREF _Toc480530027 \h </w:instrText>
            </w:r>
            <w:r w:rsidR="00E41A9A" w:rsidRPr="006B6744">
              <w:rPr>
                <w:rFonts w:ascii="Times New Roman" w:hAnsi="Times New Roman"/>
                <w:noProof/>
                <w:webHidden/>
                <w:sz w:val="24"/>
                <w:szCs w:val="24"/>
              </w:rPr>
            </w:r>
            <w:r w:rsidR="00E41A9A" w:rsidRPr="006B6744">
              <w:rPr>
                <w:rFonts w:ascii="Times New Roman" w:hAnsi="Times New Roman"/>
                <w:noProof/>
                <w:webHidden/>
                <w:sz w:val="24"/>
                <w:szCs w:val="24"/>
              </w:rPr>
              <w:fldChar w:fldCharType="separate"/>
            </w:r>
            <w:r w:rsidR="00E41A9A" w:rsidRPr="006B6744">
              <w:rPr>
                <w:rFonts w:ascii="Times New Roman" w:hAnsi="Times New Roman"/>
                <w:noProof/>
                <w:webHidden/>
                <w:sz w:val="24"/>
                <w:szCs w:val="24"/>
              </w:rPr>
              <w:t>60</w:t>
            </w:r>
            <w:r w:rsidR="00E41A9A" w:rsidRPr="006B6744">
              <w:rPr>
                <w:rFonts w:ascii="Times New Roman" w:hAnsi="Times New Roman"/>
                <w:noProof/>
                <w:webHidden/>
                <w:sz w:val="24"/>
                <w:szCs w:val="24"/>
              </w:rPr>
              <w:fldChar w:fldCharType="end"/>
            </w:r>
          </w:hyperlink>
        </w:p>
        <w:p w:rsidR="00E41A9A" w:rsidRPr="006B6744" w:rsidRDefault="00AC7CA6" w:rsidP="006B6744">
          <w:pPr>
            <w:pStyle w:val="TOC1"/>
            <w:rPr>
              <w:rFonts w:eastAsiaTheme="minorEastAsia"/>
              <w:noProof/>
              <w:sz w:val="24"/>
              <w:szCs w:val="24"/>
            </w:rPr>
          </w:pPr>
          <w:hyperlink w:anchor="_Toc480530028" w:history="1">
            <w:r w:rsidR="00E41A9A" w:rsidRPr="006B6744">
              <w:rPr>
                <w:rStyle w:val="Hyperlink"/>
                <w:noProof/>
                <w:sz w:val="24"/>
                <w:szCs w:val="24"/>
              </w:rPr>
              <w:t>VII.</w:t>
            </w:r>
            <w:r w:rsidR="00E41A9A" w:rsidRPr="006B6744">
              <w:rPr>
                <w:rFonts w:eastAsiaTheme="minorEastAsia"/>
                <w:noProof/>
                <w:sz w:val="24"/>
                <w:szCs w:val="24"/>
              </w:rPr>
              <w:tab/>
            </w:r>
            <w:r w:rsidR="00E41A9A" w:rsidRPr="006B6744">
              <w:rPr>
                <w:rStyle w:val="Hyperlink"/>
                <w:noProof/>
                <w:sz w:val="24"/>
                <w:szCs w:val="24"/>
              </w:rPr>
              <w:t>SUMMARY OF FINDINGS</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_Toc480530028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62</w:t>
            </w:r>
            <w:r w:rsidR="00E41A9A" w:rsidRPr="006B6744">
              <w:rPr>
                <w:noProof/>
                <w:webHidden/>
                <w:sz w:val="24"/>
                <w:szCs w:val="24"/>
              </w:rPr>
              <w:fldChar w:fldCharType="end"/>
            </w:r>
          </w:hyperlink>
        </w:p>
        <w:p w:rsidR="00E41A9A" w:rsidRDefault="00AC7CA6" w:rsidP="006B6744">
          <w:pPr>
            <w:pStyle w:val="TOC1"/>
            <w:rPr>
              <w:rFonts w:asciiTheme="minorHAnsi" w:eastAsiaTheme="minorEastAsia" w:hAnsiTheme="minorHAnsi" w:cstheme="minorBidi"/>
              <w:noProof/>
            </w:rPr>
          </w:pPr>
          <w:hyperlink w:anchor="_Toc480530029" w:history="1">
            <w:r w:rsidR="00E41A9A" w:rsidRPr="006B6744">
              <w:rPr>
                <w:rStyle w:val="Hyperlink"/>
                <w:noProof/>
                <w:sz w:val="24"/>
                <w:szCs w:val="24"/>
              </w:rPr>
              <w:t>VIII.</w:t>
            </w:r>
            <w:r w:rsidR="00E41A9A" w:rsidRPr="006B6744">
              <w:rPr>
                <w:rFonts w:eastAsiaTheme="minorEastAsia"/>
                <w:noProof/>
                <w:sz w:val="24"/>
                <w:szCs w:val="24"/>
              </w:rPr>
              <w:tab/>
            </w:r>
            <w:r w:rsidR="00E41A9A" w:rsidRPr="006B6744">
              <w:rPr>
                <w:rStyle w:val="Hyperlink"/>
                <w:noProof/>
                <w:sz w:val="24"/>
                <w:szCs w:val="24"/>
              </w:rPr>
              <w:t>SUMMARY OF RECOMMENDATIONS</w:t>
            </w:r>
            <w:r w:rsidR="00E41A9A" w:rsidRPr="006B6744">
              <w:rPr>
                <w:noProof/>
                <w:webHidden/>
                <w:sz w:val="24"/>
                <w:szCs w:val="24"/>
              </w:rPr>
              <w:tab/>
            </w:r>
            <w:r w:rsidR="00E41A9A" w:rsidRPr="006B6744">
              <w:rPr>
                <w:noProof/>
                <w:webHidden/>
                <w:sz w:val="24"/>
                <w:szCs w:val="24"/>
              </w:rPr>
              <w:fldChar w:fldCharType="begin"/>
            </w:r>
            <w:r w:rsidR="00E41A9A" w:rsidRPr="006B6744">
              <w:rPr>
                <w:noProof/>
                <w:webHidden/>
                <w:sz w:val="24"/>
                <w:szCs w:val="24"/>
              </w:rPr>
              <w:instrText xml:space="preserve"> PAGEREF _Toc480530029 \h </w:instrText>
            </w:r>
            <w:r w:rsidR="00E41A9A" w:rsidRPr="006B6744">
              <w:rPr>
                <w:noProof/>
                <w:webHidden/>
                <w:sz w:val="24"/>
                <w:szCs w:val="24"/>
              </w:rPr>
            </w:r>
            <w:r w:rsidR="00E41A9A" w:rsidRPr="006B6744">
              <w:rPr>
                <w:noProof/>
                <w:webHidden/>
                <w:sz w:val="24"/>
                <w:szCs w:val="24"/>
              </w:rPr>
              <w:fldChar w:fldCharType="separate"/>
            </w:r>
            <w:r w:rsidR="00E41A9A" w:rsidRPr="006B6744">
              <w:rPr>
                <w:noProof/>
                <w:webHidden/>
                <w:sz w:val="24"/>
                <w:szCs w:val="24"/>
              </w:rPr>
              <w:t>63</w:t>
            </w:r>
            <w:r w:rsidR="00E41A9A" w:rsidRPr="006B6744">
              <w:rPr>
                <w:noProof/>
                <w:webHidden/>
                <w:sz w:val="24"/>
                <w:szCs w:val="24"/>
              </w:rPr>
              <w:fldChar w:fldCharType="end"/>
            </w:r>
          </w:hyperlink>
        </w:p>
        <w:p w:rsidR="00454AA4" w:rsidRPr="00622C4A" w:rsidRDefault="00A60D7C" w:rsidP="00622C4A">
          <w:r>
            <w:rPr>
              <w:b/>
              <w:bCs/>
              <w:noProof/>
            </w:rPr>
            <w:fldChar w:fldCharType="end"/>
          </w:r>
        </w:p>
      </w:sdtContent>
    </w:sdt>
    <w:p w:rsidR="00743C24" w:rsidRPr="00743C24" w:rsidRDefault="00743C24" w:rsidP="00A60D7C">
      <w:pPr>
        <w:spacing w:line="360" w:lineRule="auto"/>
        <w:jc w:val="center"/>
        <w:rPr>
          <w:rFonts w:ascii="Times New Roman" w:hAnsi="Times New Roman"/>
          <w:b/>
          <w:bCs/>
          <w:sz w:val="24"/>
          <w:szCs w:val="24"/>
          <w:u w:val="single"/>
        </w:rPr>
      </w:pPr>
      <w:r w:rsidRPr="00743C24">
        <w:rPr>
          <w:rFonts w:ascii="Times New Roman" w:hAnsi="Times New Roman"/>
          <w:b/>
          <w:bCs/>
          <w:sz w:val="24"/>
          <w:szCs w:val="24"/>
          <w:u w:val="single"/>
        </w:rPr>
        <w:t xml:space="preserve">TABLES </w:t>
      </w:r>
    </w:p>
    <w:p w:rsidR="00476603" w:rsidRDefault="00DC6928" w:rsidP="00A60D7C">
      <w:pPr>
        <w:spacing w:line="360" w:lineRule="auto"/>
        <w:jc w:val="center"/>
        <w:rPr>
          <w:rFonts w:ascii="Times New Roman" w:hAnsi="Times New Roman"/>
          <w:b/>
          <w:bCs/>
          <w:noProof/>
          <w:sz w:val="24"/>
          <w:szCs w:val="24"/>
        </w:rPr>
        <w:sectPr w:rsidR="00476603" w:rsidSect="00476603">
          <w:footerReference w:type="default" r:id="rId9"/>
          <w:pgSz w:w="12240" w:h="15840"/>
          <w:pgMar w:top="1440" w:right="1440" w:bottom="1440" w:left="1440" w:header="720" w:footer="720" w:gutter="0"/>
          <w:cols w:space="720"/>
          <w:titlePg/>
          <w:docGrid w:linePitch="360"/>
        </w:sectPr>
      </w:pPr>
      <w:r>
        <w:rPr>
          <w:rFonts w:ascii="Times New Roman" w:hAnsi="Times New Roman"/>
          <w:b/>
          <w:bCs/>
          <w:sz w:val="24"/>
          <w:szCs w:val="24"/>
        </w:rPr>
        <w:fldChar w:fldCharType="begin"/>
      </w:r>
      <w:r>
        <w:rPr>
          <w:rFonts w:ascii="Times New Roman" w:hAnsi="Times New Roman"/>
          <w:b/>
          <w:bCs/>
          <w:sz w:val="24"/>
          <w:szCs w:val="24"/>
        </w:rPr>
        <w:instrText xml:space="preserve"> INDEX \e "</w:instrText>
      </w:r>
      <w:r>
        <w:rPr>
          <w:rFonts w:ascii="Times New Roman" w:hAnsi="Times New Roman"/>
          <w:b/>
          <w:bCs/>
          <w:sz w:val="24"/>
          <w:szCs w:val="24"/>
        </w:rPr>
        <w:tab/>
        <w:instrText xml:space="preserve">" \c "1" \z "1033" </w:instrText>
      </w:r>
      <w:r>
        <w:rPr>
          <w:rFonts w:ascii="Times New Roman" w:hAnsi="Times New Roman"/>
          <w:b/>
          <w:bCs/>
          <w:sz w:val="24"/>
          <w:szCs w:val="24"/>
        </w:rPr>
        <w:fldChar w:fldCharType="separate"/>
      </w:r>
    </w:p>
    <w:p w:rsidR="00476603" w:rsidRPr="00476603" w:rsidRDefault="00476603" w:rsidP="00476603">
      <w:pPr>
        <w:pStyle w:val="Index1"/>
      </w:pPr>
      <w:r w:rsidRPr="00476603">
        <w:lastRenderedPageBreak/>
        <w:t>Table 1:  Summary of pros and cons of various methods of estimating fixed costs of serving a particular customer.</w:t>
      </w:r>
      <w:r w:rsidRPr="00476603">
        <w:tab/>
        <w:t>19</w:t>
      </w:r>
    </w:p>
    <w:p w:rsidR="00476603" w:rsidRPr="00476603" w:rsidRDefault="00476603" w:rsidP="00476603">
      <w:pPr>
        <w:pStyle w:val="Index1"/>
      </w:pPr>
      <w:r w:rsidRPr="00476603">
        <w:t>Table 2:  Lost revenue per customer of departed customers compared to Pacific Power’s total Washington State revenues.</w:t>
      </w:r>
      <w:r w:rsidRPr="00476603">
        <w:tab/>
        <w:t>26</w:t>
      </w:r>
    </w:p>
    <w:p w:rsidR="00476603" w:rsidRPr="00476603" w:rsidRDefault="00476603" w:rsidP="00476603">
      <w:pPr>
        <w:pStyle w:val="Index1"/>
      </w:pPr>
      <w:r w:rsidRPr="00476603">
        <w:t>Table 3:  Impact of timeframe on proposed Stranded Cost Recovery Fee.</w:t>
      </w:r>
      <w:r w:rsidRPr="00476603">
        <w:tab/>
        <w:t>29</w:t>
      </w:r>
    </w:p>
    <w:p w:rsidR="00476603" w:rsidRPr="00476603" w:rsidRDefault="00476603" w:rsidP="00476603">
      <w:pPr>
        <w:pStyle w:val="Index1"/>
      </w:pPr>
      <w:r w:rsidRPr="00476603">
        <w:t>Table 4:  Revenue multiplier (“Investment to Revenue Ratio”) for stranded cost recovery for each non-residential rate class per Pacific Power’s proposed methodology.</w:t>
      </w:r>
      <w:r w:rsidRPr="00476603">
        <w:tab/>
        <w:t>32</w:t>
      </w:r>
    </w:p>
    <w:p w:rsidR="00476603" w:rsidRPr="00476603" w:rsidRDefault="00476603" w:rsidP="00476603">
      <w:pPr>
        <w:spacing w:line="360" w:lineRule="auto"/>
        <w:ind w:left="220"/>
        <w:jc w:val="center"/>
        <w:rPr>
          <w:rFonts w:ascii="Times New Roman" w:hAnsi="Times New Roman"/>
          <w:bCs/>
          <w:noProof/>
          <w:sz w:val="24"/>
          <w:szCs w:val="24"/>
        </w:rPr>
        <w:sectPr w:rsidR="00476603" w:rsidRPr="00476603" w:rsidSect="00476603">
          <w:type w:val="continuous"/>
          <w:pgSz w:w="12240" w:h="15840"/>
          <w:pgMar w:top="1440" w:right="1440" w:bottom="1440" w:left="1440" w:header="720" w:footer="720" w:gutter="0"/>
          <w:cols w:space="720"/>
          <w:titlePg/>
          <w:docGrid w:linePitch="360"/>
        </w:sectPr>
      </w:pPr>
    </w:p>
    <w:p w:rsidR="00622C4A" w:rsidRDefault="00DC6928" w:rsidP="002E54E8">
      <w:pPr>
        <w:spacing w:line="360" w:lineRule="auto"/>
        <w:jc w:val="center"/>
        <w:rPr>
          <w:rFonts w:ascii="Times New Roman" w:hAnsi="Times New Roman"/>
          <w:b/>
          <w:bCs/>
          <w:sz w:val="24"/>
          <w:szCs w:val="24"/>
        </w:rPr>
      </w:pPr>
      <w:r>
        <w:rPr>
          <w:rFonts w:ascii="Times New Roman" w:hAnsi="Times New Roman"/>
          <w:b/>
          <w:bCs/>
          <w:sz w:val="24"/>
          <w:szCs w:val="24"/>
        </w:rPr>
        <w:lastRenderedPageBreak/>
        <w:fldChar w:fldCharType="end"/>
      </w:r>
    </w:p>
    <w:p w:rsidR="002E54E8" w:rsidRDefault="002E54E8" w:rsidP="002E54E8">
      <w:pPr>
        <w:spacing w:line="360" w:lineRule="auto"/>
        <w:jc w:val="center"/>
        <w:rPr>
          <w:rFonts w:ascii="Times New Roman" w:hAnsi="Times New Roman"/>
          <w:b/>
          <w:bCs/>
          <w:sz w:val="24"/>
          <w:szCs w:val="24"/>
        </w:rPr>
      </w:pPr>
    </w:p>
    <w:p w:rsidR="002E54E8" w:rsidRPr="002E54E8" w:rsidRDefault="002E54E8" w:rsidP="002E54E8">
      <w:pPr>
        <w:spacing w:line="360" w:lineRule="auto"/>
        <w:jc w:val="center"/>
        <w:rPr>
          <w:rFonts w:ascii="Times New Roman" w:hAnsi="Times New Roman"/>
          <w:b/>
          <w:bCs/>
          <w:sz w:val="24"/>
          <w:szCs w:val="24"/>
        </w:rPr>
      </w:pPr>
    </w:p>
    <w:p w:rsidR="00AE4237" w:rsidRPr="00D813D7" w:rsidRDefault="00AE4237" w:rsidP="00AE4237">
      <w:pPr>
        <w:jc w:val="center"/>
        <w:rPr>
          <w:rFonts w:ascii="Times New Roman" w:hAnsi="Times New Roman"/>
          <w:b/>
          <w:sz w:val="24"/>
          <w:szCs w:val="24"/>
          <w:u w:val="single"/>
        </w:rPr>
      </w:pPr>
      <w:r w:rsidRPr="00D813D7">
        <w:rPr>
          <w:rFonts w:ascii="Times New Roman" w:hAnsi="Times New Roman"/>
          <w:b/>
          <w:sz w:val="24"/>
          <w:szCs w:val="24"/>
          <w:u w:val="single"/>
        </w:rPr>
        <w:lastRenderedPageBreak/>
        <w:t>EXHIBITS LIST</w:t>
      </w:r>
    </w:p>
    <w:p w:rsidR="00AE4237" w:rsidRPr="00C446D3" w:rsidRDefault="00AE4237" w:rsidP="00622C4A">
      <w:pPr>
        <w:ind w:left="2160" w:hanging="2160"/>
        <w:rPr>
          <w:rFonts w:ascii="Times New Roman" w:hAnsi="Times New Roman"/>
          <w:sz w:val="24"/>
          <w:szCs w:val="24"/>
        </w:rPr>
      </w:pPr>
      <w:r w:rsidRPr="00C446D3">
        <w:rPr>
          <w:rFonts w:ascii="Times New Roman" w:hAnsi="Times New Roman"/>
          <w:sz w:val="24"/>
          <w:szCs w:val="24"/>
        </w:rPr>
        <w:t>Exhib</w:t>
      </w:r>
      <w:r w:rsidR="00D504AC">
        <w:rPr>
          <w:rFonts w:ascii="Times New Roman" w:hAnsi="Times New Roman"/>
          <w:sz w:val="24"/>
          <w:szCs w:val="24"/>
        </w:rPr>
        <w:t>it KAK-2</w:t>
      </w:r>
      <w:r w:rsidR="00622C4A">
        <w:rPr>
          <w:rFonts w:ascii="Times New Roman" w:hAnsi="Times New Roman"/>
          <w:sz w:val="24"/>
          <w:szCs w:val="24"/>
        </w:rPr>
        <w:tab/>
      </w:r>
      <w:r w:rsidRPr="00C446D3">
        <w:rPr>
          <w:rFonts w:ascii="Times New Roman" w:hAnsi="Times New Roman"/>
          <w:sz w:val="24"/>
          <w:szCs w:val="24"/>
        </w:rPr>
        <w:t>Resume of Kathleen A. Kelly, Daymark Energy Advisors, Inc.</w:t>
      </w:r>
    </w:p>
    <w:p w:rsidR="00AE4237" w:rsidRPr="00C446D3" w:rsidRDefault="00D504AC" w:rsidP="00622C4A">
      <w:pPr>
        <w:ind w:left="2160" w:hanging="2160"/>
        <w:rPr>
          <w:rFonts w:ascii="Times New Roman" w:hAnsi="Times New Roman"/>
          <w:sz w:val="24"/>
          <w:szCs w:val="24"/>
        </w:rPr>
      </w:pPr>
      <w:r>
        <w:rPr>
          <w:rFonts w:ascii="Times New Roman" w:hAnsi="Times New Roman"/>
          <w:sz w:val="24"/>
          <w:szCs w:val="24"/>
        </w:rPr>
        <w:t>Exhibit KAK-3</w:t>
      </w:r>
      <w:r w:rsidR="00622C4A">
        <w:rPr>
          <w:rFonts w:ascii="Times New Roman" w:hAnsi="Times New Roman"/>
          <w:sz w:val="24"/>
          <w:szCs w:val="24"/>
        </w:rPr>
        <w:tab/>
      </w:r>
      <w:r w:rsidR="00AE4237" w:rsidRPr="00C446D3">
        <w:rPr>
          <w:rFonts w:ascii="Times New Roman" w:hAnsi="Times New Roman"/>
          <w:sz w:val="24"/>
          <w:szCs w:val="24"/>
        </w:rPr>
        <w:t>Summary of Expert Witness Testimony</w:t>
      </w:r>
    </w:p>
    <w:p w:rsidR="00D504AC" w:rsidRDefault="00D504AC" w:rsidP="00622C4A">
      <w:pPr>
        <w:ind w:left="2160" w:hanging="2160"/>
        <w:rPr>
          <w:rFonts w:ascii="Times New Roman" w:hAnsi="Times New Roman"/>
          <w:sz w:val="24"/>
          <w:szCs w:val="24"/>
        </w:rPr>
      </w:pPr>
      <w:r>
        <w:rPr>
          <w:rFonts w:ascii="Times New Roman" w:hAnsi="Times New Roman"/>
          <w:sz w:val="24"/>
          <w:szCs w:val="24"/>
        </w:rPr>
        <w:t>Exhibit KAK-4</w:t>
      </w:r>
      <w:r w:rsidR="00AE4237" w:rsidRPr="00C446D3">
        <w:rPr>
          <w:rFonts w:ascii="Times New Roman" w:hAnsi="Times New Roman"/>
          <w:sz w:val="24"/>
          <w:szCs w:val="24"/>
        </w:rPr>
        <w:t xml:space="preserve"> </w:t>
      </w:r>
      <w:r w:rsidR="00622C4A">
        <w:rPr>
          <w:rFonts w:ascii="Times New Roman" w:hAnsi="Times New Roman"/>
          <w:sz w:val="24"/>
          <w:szCs w:val="24"/>
        </w:rPr>
        <w:tab/>
      </w:r>
      <w:r>
        <w:rPr>
          <w:rFonts w:ascii="Times New Roman" w:hAnsi="Times New Roman"/>
          <w:sz w:val="24"/>
          <w:szCs w:val="24"/>
        </w:rPr>
        <w:t>Direct Testimony of Jon A. Piliaris, Do</w:t>
      </w:r>
      <w:r w:rsidR="006B6400">
        <w:rPr>
          <w:rFonts w:ascii="Times New Roman" w:hAnsi="Times New Roman"/>
          <w:sz w:val="24"/>
          <w:szCs w:val="24"/>
        </w:rPr>
        <w:t>cket UE-161123, Exhibit No. JAP</w:t>
      </w:r>
      <w:r w:rsidR="006B6400">
        <w:rPr>
          <w:rFonts w:ascii="Times New Roman" w:hAnsi="Times New Roman"/>
          <w:sz w:val="24"/>
          <w:szCs w:val="24"/>
        </w:rPr>
        <w:noBreakHyphen/>
      </w:r>
      <w:r>
        <w:rPr>
          <w:rFonts w:ascii="Times New Roman" w:hAnsi="Times New Roman"/>
          <w:sz w:val="24"/>
          <w:szCs w:val="24"/>
        </w:rPr>
        <w:t>1CT (Redacted)</w:t>
      </w:r>
      <w:r w:rsidR="00AE4237" w:rsidRPr="00C446D3">
        <w:rPr>
          <w:rFonts w:ascii="Times New Roman" w:hAnsi="Times New Roman"/>
          <w:sz w:val="24"/>
          <w:szCs w:val="24"/>
        </w:rPr>
        <w:tab/>
      </w:r>
      <w:r w:rsidR="00AE4237" w:rsidRPr="00C446D3">
        <w:rPr>
          <w:rFonts w:ascii="Times New Roman" w:hAnsi="Times New Roman"/>
          <w:sz w:val="24"/>
          <w:szCs w:val="24"/>
        </w:rPr>
        <w:tab/>
      </w:r>
    </w:p>
    <w:p w:rsidR="00AE4237" w:rsidRPr="00C446D3" w:rsidRDefault="00D504AC" w:rsidP="00622C4A">
      <w:pPr>
        <w:ind w:left="2160" w:hanging="2160"/>
        <w:rPr>
          <w:rFonts w:ascii="Times New Roman" w:hAnsi="Times New Roman"/>
          <w:sz w:val="24"/>
          <w:szCs w:val="24"/>
        </w:rPr>
      </w:pPr>
      <w:r>
        <w:rPr>
          <w:rFonts w:ascii="Times New Roman" w:hAnsi="Times New Roman"/>
          <w:sz w:val="24"/>
          <w:szCs w:val="24"/>
        </w:rPr>
        <w:t>Exhibit KAK-5</w:t>
      </w:r>
      <w:r w:rsidR="00622C4A">
        <w:rPr>
          <w:rFonts w:ascii="Times New Roman" w:hAnsi="Times New Roman"/>
          <w:sz w:val="24"/>
          <w:szCs w:val="24"/>
        </w:rPr>
        <w:t xml:space="preserve"> </w:t>
      </w:r>
      <w:r w:rsidR="00622C4A">
        <w:rPr>
          <w:rFonts w:ascii="Times New Roman" w:hAnsi="Times New Roman"/>
          <w:sz w:val="24"/>
          <w:szCs w:val="24"/>
        </w:rPr>
        <w:tab/>
      </w:r>
      <w:r>
        <w:rPr>
          <w:rFonts w:ascii="Times New Roman" w:hAnsi="Times New Roman"/>
          <w:sz w:val="24"/>
          <w:szCs w:val="24"/>
        </w:rPr>
        <w:t>Pacific Power Response to Public Counsel Data Request No. 9</w:t>
      </w:r>
    </w:p>
    <w:p w:rsidR="00AE4237" w:rsidRPr="00C446D3" w:rsidRDefault="00D504AC" w:rsidP="00622C4A">
      <w:pPr>
        <w:ind w:left="2160" w:hanging="2160"/>
        <w:rPr>
          <w:rFonts w:ascii="Times New Roman" w:hAnsi="Times New Roman"/>
          <w:sz w:val="24"/>
          <w:szCs w:val="24"/>
        </w:rPr>
      </w:pPr>
      <w:r>
        <w:rPr>
          <w:rFonts w:ascii="Times New Roman" w:hAnsi="Times New Roman"/>
          <w:sz w:val="24"/>
          <w:szCs w:val="24"/>
        </w:rPr>
        <w:t>Exhibit KAK-6</w:t>
      </w:r>
      <w:r w:rsidR="00622C4A">
        <w:rPr>
          <w:rFonts w:ascii="Times New Roman" w:hAnsi="Times New Roman"/>
          <w:sz w:val="24"/>
          <w:szCs w:val="24"/>
        </w:rPr>
        <w:t xml:space="preserve"> </w:t>
      </w:r>
      <w:r w:rsidR="00622C4A">
        <w:rPr>
          <w:rFonts w:ascii="Times New Roman" w:hAnsi="Times New Roman"/>
          <w:sz w:val="24"/>
          <w:szCs w:val="24"/>
        </w:rPr>
        <w:tab/>
      </w:r>
      <w:r>
        <w:rPr>
          <w:rFonts w:ascii="Times New Roman" w:hAnsi="Times New Roman"/>
          <w:sz w:val="24"/>
          <w:szCs w:val="24"/>
        </w:rPr>
        <w:t>Pacific Power Response to CREA Data Request No. 39</w:t>
      </w:r>
    </w:p>
    <w:p w:rsidR="00AE4237" w:rsidRDefault="00D504AC" w:rsidP="00622C4A">
      <w:pPr>
        <w:ind w:left="2160" w:hanging="2160"/>
        <w:rPr>
          <w:rFonts w:ascii="Times New Roman" w:hAnsi="Times New Roman"/>
          <w:sz w:val="24"/>
          <w:szCs w:val="24"/>
        </w:rPr>
      </w:pPr>
      <w:r>
        <w:rPr>
          <w:rFonts w:ascii="Times New Roman" w:hAnsi="Times New Roman"/>
          <w:sz w:val="24"/>
          <w:szCs w:val="24"/>
        </w:rPr>
        <w:t>Exhibit KAK-7</w:t>
      </w:r>
      <w:r w:rsidR="00622C4A">
        <w:rPr>
          <w:rFonts w:ascii="Times New Roman" w:hAnsi="Times New Roman"/>
          <w:sz w:val="24"/>
          <w:szCs w:val="24"/>
        </w:rPr>
        <w:t xml:space="preserve"> </w:t>
      </w:r>
      <w:r w:rsidR="00622C4A">
        <w:rPr>
          <w:rFonts w:ascii="Times New Roman" w:hAnsi="Times New Roman"/>
          <w:sz w:val="24"/>
          <w:szCs w:val="24"/>
        </w:rPr>
        <w:tab/>
      </w:r>
      <w:r>
        <w:rPr>
          <w:rFonts w:ascii="Times New Roman" w:hAnsi="Times New Roman"/>
          <w:sz w:val="24"/>
          <w:szCs w:val="24"/>
        </w:rPr>
        <w:t xml:space="preserve">Pacific Power Response to Boise White Paper Data Request No. 34 </w:t>
      </w:r>
      <w:r w:rsidR="00AC7CA6">
        <w:rPr>
          <w:rFonts w:ascii="Times New Roman" w:hAnsi="Times New Roman"/>
          <w:sz w:val="24"/>
          <w:szCs w:val="24"/>
        </w:rPr>
        <w:t>(Attachments</w:t>
      </w:r>
      <w:r w:rsidRPr="00AC7CA6">
        <w:rPr>
          <w:rFonts w:ascii="Times New Roman" w:hAnsi="Times New Roman"/>
          <w:sz w:val="24"/>
          <w:szCs w:val="24"/>
        </w:rPr>
        <w:t xml:space="preserve"> consists of six workbooks, which are provided electronically only and as prov</w:t>
      </w:r>
      <w:bookmarkStart w:id="1" w:name="_GoBack"/>
      <w:bookmarkEnd w:id="1"/>
      <w:r w:rsidRPr="00AC7CA6">
        <w:rPr>
          <w:rFonts w:ascii="Times New Roman" w:hAnsi="Times New Roman"/>
          <w:sz w:val="24"/>
          <w:szCs w:val="24"/>
        </w:rPr>
        <w:t>ided by Pacific Power)</w:t>
      </w:r>
    </w:p>
    <w:p w:rsidR="00D504AC" w:rsidRDefault="00622C4A" w:rsidP="00622C4A">
      <w:pPr>
        <w:ind w:left="2160" w:hanging="2160"/>
        <w:rPr>
          <w:rFonts w:ascii="Times New Roman" w:hAnsi="Times New Roman"/>
          <w:sz w:val="24"/>
          <w:szCs w:val="24"/>
        </w:rPr>
      </w:pPr>
      <w:r>
        <w:rPr>
          <w:rFonts w:ascii="Times New Roman" w:hAnsi="Times New Roman"/>
          <w:sz w:val="24"/>
          <w:szCs w:val="24"/>
        </w:rPr>
        <w:t>Exhibit KAK-8</w:t>
      </w:r>
      <w:r>
        <w:rPr>
          <w:rFonts w:ascii="Times New Roman" w:hAnsi="Times New Roman"/>
          <w:sz w:val="24"/>
          <w:szCs w:val="24"/>
        </w:rPr>
        <w:tab/>
      </w:r>
      <w:r w:rsidR="00D504AC">
        <w:rPr>
          <w:rFonts w:ascii="Times New Roman" w:hAnsi="Times New Roman"/>
          <w:sz w:val="24"/>
          <w:szCs w:val="24"/>
        </w:rPr>
        <w:t>Pacific Power Response to Boise White Paper Data Request No. 56</w:t>
      </w:r>
    </w:p>
    <w:p w:rsidR="00D504AC" w:rsidRDefault="00622C4A" w:rsidP="00622C4A">
      <w:pPr>
        <w:ind w:left="2160" w:hanging="2160"/>
        <w:rPr>
          <w:rFonts w:ascii="Times New Roman" w:hAnsi="Times New Roman"/>
          <w:sz w:val="24"/>
          <w:szCs w:val="24"/>
        </w:rPr>
      </w:pPr>
      <w:r>
        <w:rPr>
          <w:rFonts w:ascii="Times New Roman" w:hAnsi="Times New Roman"/>
          <w:sz w:val="24"/>
          <w:szCs w:val="24"/>
        </w:rPr>
        <w:t>Exhibit KAK-9</w:t>
      </w:r>
      <w:r>
        <w:rPr>
          <w:rFonts w:ascii="Times New Roman" w:hAnsi="Times New Roman"/>
          <w:sz w:val="24"/>
          <w:szCs w:val="24"/>
        </w:rPr>
        <w:tab/>
      </w:r>
      <w:r w:rsidR="00D504AC">
        <w:rPr>
          <w:rFonts w:ascii="Times New Roman" w:hAnsi="Times New Roman"/>
          <w:sz w:val="24"/>
          <w:szCs w:val="24"/>
        </w:rPr>
        <w:t>Functional Breakdown of Non-Net Power Cost Revenue Requirement by Customer Class based on Cost of Service Study</w:t>
      </w:r>
    </w:p>
    <w:p w:rsidR="00D504AC" w:rsidRPr="00D813D7" w:rsidRDefault="00622C4A" w:rsidP="00622C4A">
      <w:pPr>
        <w:ind w:left="2160" w:hanging="2160"/>
        <w:rPr>
          <w:rFonts w:ascii="Times New Roman" w:hAnsi="Times New Roman"/>
          <w:sz w:val="24"/>
          <w:szCs w:val="24"/>
        </w:rPr>
      </w:pPr>
      <w:r>
        <w:rPr>
          <w:rFonts w:ascii="Times New Roman" w:hAnsi="Times New Roman"/>
          <w:sz w:val="24"/>
          <w:szCs w:val="24"/>
        </w:rPr>
        <w:t>Exhibit KAK-10</w:t>
      </w:r>
      <w:r>
        <w:rPr>
          <w:rFonts w:ascii="Times New Roman" w:hAnsi="Times New Roman"/>
          <w:sz w:val="24"/>
          <w:szCs w:val="24"/>
        </w:rPr>
        <w:tab/>
      </w:r>
      <w:r w:rsidR="00D504AC">
        <w:rPr>
          <w:rFonts w:ascii="Times New Roman" w:hAnsi="Times New Roman"/>
          <w:sz w:val="24"/>
          <w:szCs w:val="24"/>
        </w:rPr>
        <w:t>Pacific Power Response to Boise White Paper Data Request No.</w:t>
      </w:r>
      <w:r>
        <w:rPr>
          <w:rFonts w:ascii="Times New Roman" w:hAnsi="Times New Roman"/>
          <w:sz w:val="24"/>
          <w:szCs w:val="24"/>
        </w:rPr>
        <w:t xml:space="preserve"> 54</w:t>
      </w:r>
    </w:p>
    <w:p w:rsidR="00336F9E" w:rsidRDefault="00622C4A" w:rsidP="00622C4A">
      <w:pPr>
        <w:ind w:left="2160" w:hanging="2160"/>
        <w:rPr>
          <w:rFonts w:ascii="Times New Roman" w:hAnsi="Times New Roman"/>
          <w:sz w:val="24"/>
          <w:szCs w:val="24"/>
        </w:rPr>
      </w:pPr>
      <w:r>
        <w:rPr>
          <w:rFonts w:ascii="Times New Roman" w:hAnsi="Times New Roman"/>
          <w:sz w:val="24"/>
          <w:szCs w:val="24"/>
        </w:rPr>
        <w:t>Exhibit KAK-11</w:t>
      </w:r>
      <w:r>
        <w:rPr>
          <w:rFonts w:ascii="Times New Roman" w:hAnsi="Times New Roman"/>
          <w:sz w:val="24"/>
          <w:szCs w:val="24"/>
        </w:rPr>
        <w:tab/>
      </w:r>
      <w:r w:rsidRPr="00622C4A">
        <w:rPr>
          <w:rFonts w:ascii="Times New Roman" w:hAnsi="Times New Roman"/>
          <w:sz w:val="24"/>
          <w:szCs w:val="24"/>
        </w:rPr>
        <w:t>P</w:t>
      </w:r>
      <w:r>
        <w:rPr>
          <w:rFonts w:ascii="Times New Roman" w:hAnsi="Times New Roman"/>
          <w:sz w:val="24"/>
          <w:szCs w:val="24"/>
        </w:rPr>
        <w:t>acific Power Response to Boise White Paper Data Request No. 55</w:t>
      </w:r>
    </w:p>
    <w:p w:rsidR="00622C4A" w:rsidRDefault="00622C4A" w:rsidP="00622C4A">
      <w:pPr>
        <w:ind w:left="2160" w:hanging="2160"/>
        <w:rPr>
          <w:rFonts w:ascii="Times New Roman" w:hAnsi="Times New Roman"/>
          <w:sz w:val="24"/>
          <w:szCs w:val="24"/>
        </w:rPr>
      </w:pPr>
      <w:r>
        <w:rPr>
          <w:rFonts w:ascii="Times New Roman" w:hAnsi="Times New Roman"/>
          <w:sz w:val="24"/>
          <w:szCs w:val="24"/>
        </w:rPr>
        <w:t>Exhibit KAK-12</w:t>
      </w:r>
      <w:r>
        <w:rPr>
          <w:rFonts w:ascii="Times New Roman" w:hAnsi="Times New Roman"/>
          <w:sz w:val="24"/>
          <w:szCs w:val="24"/>
        </w:rPr>
        <w:tab/>
        <w:t>Pacific Power Response to Boise White Paper Data Request No. 1</w:t>
      </w:r>
    </w:p>
    <w:p w:rsidR="00622C4A" w:rsidRDefault="00622C4A" w:rsidP="00622C4A">
      <w:pPr>
        <w:ind w:left="2160" w:hanging="2160"/>
        <w:rPr>
          <w:rFonts w:ascii="Times New Roman" w:hAnsi="Times New Roman"/>
          <w:sz w:val="24"/>
          <w:szCs w:val="24"/>
        </w:rPr>
      </w:pPr>
      <w:r>
        <w:rPr>
          <w:rFonts w:ascii="Times New Roman" w:hAnsi="Times New Roman"/>
          <w:sz w:val="24"/>
          <w:szCs w:val="24"/>
        </w:rPr>
        <w:t>Exhibit KAK-13</w:t>
      </w:r>
      <w:r>
        <w:rPr>
          <w:rFonts w:ascii="Times New Roman" w:hAnsi="Times New Roman"/>
          <w:sz w:val="24"/>
          <w:szCs w:val="24"/>
        </w:rPr>
        <w:tab/>
        <w:t>Pacific Power Response to Public Counsel Data Request No. 16</w:t>
      </w:r>
    </w:p>
    <w:p w:rsidR="00622C4A" w:rsidRDefault="00622C4A" w:rsidP="00622C4A">
      <w:pPr>
        <w:ind w:left="2160" w:hanging="2160"/>
        <w:rPr>
          <w:rFonts w:ascii="Times New Roman" w:hAnsi="Times New Roman"/>
          <w:sz w:val="24"/>
          <w:szCs w:val="24"/>
        </w:rPr>
      </w:pPr>
      <w:r>
        <w:rPr>
          <w:rFonts w:ascii="Times New Roman" w:hAnsi="Times New Roman"/>
          <w:sz w:val="24"/>
          <w:szCs w:val="24"/>
        </w:rPr>
        <w:t>Exhibit KAK-14</w:t>
      </w:r>
      <w:r>
        <w:rPr>
          <w:rFonts w:ascii="Times New Roman" w:hAnsi="Times New Roman"/>
          <w:sz w:val="24"/>
          <w:szCs w:val="24"/>
        </w:rPr>
        <w:tab/>
        <w:t>CREA Response to Public Counsel Data Request No. 3 (including Attachment A)</w:t>
      </w:r>
    </w:p>
    <w:p w:rsidR="00622C4A" w:rsidRDefault="00622C4A" w:rsidP="00622C4A">
      <w:pPr>
        <w:ind w:left="2160" w:hanging="2160"/>
        <w:rPr>
          <w:rFonts w:ascii="Times New Roman" w:hAnsi="Times New Roman"/>
          <w:sz w:val="24"/>
          <w:szCs w:val="24"/>
        </w:rPr>
      </w:pPr>
      <w:r>
        <w:rPr>
          <w:rFonts w:ascii="Times New Roman" w:hAnsi="Times New Roman"/>
          <w:sz w:val="24"/>
          <w:szCs w:val="24"/>
        </w:rPr>
        <w:t>Exhibit KAK-15</w:t>
      </w:r>
      <w:r>
        <w:rPr>
          <w:rFonts w:ascii="Times New Roman" w:hAnsi="Times New Roman"/>
          <w:sz w:val="24"/>
          <w:szCs w:val="24"/>
        </w:rPr>
        <w:tab/>
        <w:t>CREA Response to Public Counsel Data Request No. 1; CREA Response to Pacific Power Data Request No. 18</w:t>
      </w:r>
    </w:p>
    <w:p w:rsidR="00622C4A" w:rsidRDefault="00622C4A" w:rsidP="00622C4A">
      <w:pPr>
        <w:ind w:left="2160" w:hanging="2160"/>
        <w:rPr>
          <w:rFonts w:ascii="Times New Roman" w:hAnsi="Times New Roman"/>
          <w:sz w:val="24"/>
          <w:szCs w:val="24"/>
        </w:rPr>
      </w:pPr>
      <w:r>
        <w:rPr>
          <w:rFonts w:ascii="Times New Roman" w:hAnsi="Times New Roman"/>
          <w:sz w:val="24"/>
          <w:szCs w:val="24"/>
        </w:rPr>
        <w:t>Exhibit KAK-16</w:t>
      </w:r>
      <w:r>
        <w:rPr>
          <w:rFonts w:ascii="Times New Roman" w:hAnsi="Times New Roman"/>
          <w:sz w:val="24"/>
          <w:szCs w:val="24"/>
        </w:rPr>
        <w:tab/>
        <w:t>Pacific Power Response to WUTC Staff Data Request No. 4 (with Attachment to WUTC-4)</w:t>
      </w:r>
    </w:p>
    <w:p w:rsidR="00622C4A" w:rsidRDefault="00622C4A" w:rsidP="00622C4A">
      <w:pPr>
        <w:ind w:left="2160" w:hanging="2160"/>
        <w:rPr>
          <w:rFonts w:ascii="Times New Roman" w:hAnsi="Times New Roman"/>
          <w:sz w:val="24"/>
          <w:szCs w:val="24"/>
        </w:rPr>
      </w:pPr>
      <w:r>
        <w:rPr>
          <w:rFonts w:ascii="Times New Roman" w:hAnsi="Times New Roman"/>
          <w:sz w:val="24"/>
          <w:szCs w:val="24"/>
        </w:rPr>
        <w:t>Exhibit KAK-17</w:t>
      </w:r>
      <w:r>
        <w:rPr>
          <w:rFonts w:ascii="Times New Roman" w:hAnsi="Times New Roman"/>
          <w:sz w:val="24"/>
          <w:szCs w:val="24"/>
        </w:rPr>
        <w:tab/>
        <w:t>Yakama Power Response to Public Counsel Data Request No. 1</w:t>
      </w:r>
    </w:p>
    <w:p w:rsidR="00622C4A" w:rsidRPr="00D813D7" w:rsidRDefault="00622C4A" w:rsidP="00622C4A">
      <w:pPr>
        <w:ind w:left="2160" w:hanging="2160"/>
        <w:rPr>
          <w:rFonts w:ascii="Times New Roman" w:hAnsi="Times New Roman"/>
          <w:sz w:val="24"/>
          <w:szCs w:val="24"/>
          <w:highlight w:val="yellow"/>
        </w:rPr>
      </w:pPr>
      <w:r>
        <w:rPr>
          <w:rFonts w:ascii="Times New Roman" w:hAnsi="Times New Roman"/>
          <w:sz w:val="24"/>
          <w:szCs w:val="24"/>
        </w:rPr>
        <w:t>Exhibit KAK-18</w:t>
      </w:r>
      <w:r>
        <w:rPr>
          <w:rFonts w:ascii="Times New Roman" w:hAnsi="Times New Roman"/>
          <w:sz w:val="24"/>
          <w:szCs w:val="24"/>
        </w:rPr>
        <w:tab/>
        <w:t xml:space="preserve">CREA Response to Pacific Power Data Request No. 12 </w:t>
      </w:r>
    </w:p>
    <w:p w:rsidR="00AE4237" w:rsidRPr="00D813D7" w:rsidRDefault="00AE4237" w:rsidP="00336F9E">
      <w:pPr>
        <w:rPr>
          <w:rFonts w:ascii="Times New Roman" w:hAnsi="Times New Roman"/>
          <w:sz w:val="24"/>
          <w:szCs w:val="24"/>
          <w:highlight w:val="yellow"/>
        </w:rPr>
        <w:sectPr w:rsidR="00AE4237" w:rsidRPr="00D813D7" w:rsidSect="00476603">
          <w:type w:val="continuous"/>
          <w:pgSz w:w="12240" w:h="15840"/>
          <w:pgMar w:top="1440" w:right="1440" w:bottom="1440" w:left="1440" w:header="720" w:footer="720" w:gutter="0"/>
          <w:cols w:space="720"/>
          <w:titlePg/>
          <w:docGrid w:linePitch="360"/>
        </w:sectPr>
      </w:pPr>
    </w:p>
    <w:p w:rsidR="00336F9E" w:rsidRPr="00D813D7" w:rsidRDefault="00336F9E" w:rsidP="00AE4237">
      <w:pPr>
        <w:pStyle w:val="Heading1"/>
      </w:pPr>
      <w:bookmarkStart w:id="2" w:name="_Toc313964971"/>
      <w:bookmarkStart w:id="3" w:name="_Toc479329361"/>
      <w:bookmarkStart w:id="4" w:name="_Toc480530017"/>
      <w:r w:rsidRPr="00D813D7">
        <w:lastRenderedPageBreak/>
        <w:t>INTRODUCTION</w:t>
      </w:r>
      <w:bookmarkEnd w:id="2"/>
      <w:bookmarkEnd w:id="3"/>
      <w:bookmarkEnd w:id="4"/>
    </w:p>
    <w:p w:rsidR="00336F9E" w:rsidRPr="00D813D7" w:rsidRDefault="00454AA4" w:rsidP="00336F9E">
      <w:pPr>
        <w:tabs>
          <w:tab w:val="left" w:pos="-1440"/>
          <w:tab w:val="left" w:pos="-720"/>
          <w:tab w:val="left" w:pos="9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ascii="Times New Roman" w:hAnsi="Times New Roman"/>
          <w:b/>
          <w:caps/>
          <w:sz w:val="24"/>
          <w:szCs w:val="24"/>
        </w:rPr>
      </w:pPr>
      <w:r w:rsidRPr="00D813D7">
        <w:rPr>
          <w:rFonts w:ascii="Times New Roman" w:hAnsi="Times New Roman"/>
          <w:b/>
          <w:sz w:val="24"/>
          <w:szCs w:val="24"/>
        </w:rPr>
        <w:t>Q:</w:t>
      </w:r>
      <w:r w:rsidR="00336F9E" w:rsidRPr="00D813D7">
        <w:rPr>
          <w:rFonts w:ascii="Times New Roman" w:hAnsi="Times New Roman"/>
          <w:b/>
          <w:sz w:val="24"/>
          <w:szCs w:val="24"/>
        </w:rPr>
        <w:tab/>
        <w:t>Please state your name and business address.</w:t>
      </w:r>
    </w:p>
    <w:p w:rsidR="00336F9E" w:rsidRPr="00D813D7" w:rsidRDefault="00454AA4" w:rsidP="00454AA4">
      <w:pPr>
        <w:tabs>
          <w:tab w:val="left" w:pos="90"/>
        </w:tabs>
        <w:spacing w:after="0" w:line="480" w:lineRule="auto"/>
        <w:ind w:left="720" w:hanging="720"/>
        <w:jc w:val="both"/>
        <w:rPr>
          <w:rFonts w:ascii="Times New Roman" w:hAnsi="Times New Roman"/>
          <w:sz w:val="24"/>
          <w:szCs w:val="24"/>
        </w:rPr>
      </w:pPr>
      <w:r w:rsidRPr="00D813D7">
        <w:rPr>
          <w:rFonts w:ascii="Times New Roman" w:hAnsi="Times New Roman"/>
          <w:sz w:val="24"/>
          <w:szCs w:val="24"/>
        </w:rPr>
        <w:t>A:</w:t>
      </w:r>
      <w:r w:rsidR="00336F9E" w:rsidRPr="00D813D7">
        <w:rPr>
          <w:rFonts w:ascii="Times New Roman" w:hAnsi="Times New Roman"/>
          <w:sz w:val="24"/>
          <w:szCs w:val="24"/>
        </w:rPr>
        <w:tab/>
        <w:t>My name is Kathleen A. Kelly, and my business address is One Washington Mall</w:t>
      </w:r>
      <w:r w:rsidRPr="00D813D7">
        <w:rPr>
          <w:rFonts w:ascii="Times New Roman" w:hAnsi="Times New Roman"/>
          <w:sz w:val="24"/>
          <w:szCs w:val="24"/>
        </w:rPr>
        <w:t>, Boston, Massachusetts, 02108.</w:t>
      </w:r>
    </w:p>
    <w:p w:rsidR="00336F9E" w:rsidRPr="00D813D7" w:rsidRDefault="00454AA4" w:rsidP="00336F9E">
      <w:pPr>
        <w:tabs>
          <w:tab w:val="left" w:pos="-1440"/>
          <w:tab w:val="left" w:pos="-720"/>
          <w:tab w:val="left" w:pos="9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ascii="Times New Roman" w:hAnsi="Times New Roman"/>
          <w:b/>
          <w:caps/>
          <w:sz w:val="24"/>
          <w:szCs w:val="24"/>
        </w:rPr>
      </w:pPr>
      <w:r w:rsidRPr="00D813D7">
        <w:rPr>
          <w:rFonts w:ascii="Times New Roman" w:hAnsi="Times New Roman"/>
          <w:b/>
          <w:sz w:val="24"/>
          <w:szCs w:val="24"/>
        </w:rPr>
        <w:t>Q:</w:t>
      </w:r>
      <w:r w:rsidR="00336F9E" w:rsidRPr="00D813D7">
        <w:rPr>
          <w:rFonts w:ascii="Times New Roman" w:hAnsi="Times New Roman"/>
          <w:b/>
          <w:sz w:val="24"/>
          <w:szCs w:val="24"/>
        </w:rPr>
        <w:tab/>
        <w:t>By whom are you employed and in what capacity</w:t>
      </w:r>
    </w:p>
    <w:p w:rsidR="00336F9E" w:rsidRPr="00D813D7" w:rsidRDefault="00454AA4" w:rsidP="00454AA4">
      <w:pPr>
        <w:tabs>
          <w:tab w:val="left" w:pos="90"/>
        </w:tabs>
        <w:spacing w:after="0" w:line="480" w:lineRule="auto"/>
        <w:ind w:left="720" w:right="-540" w:hanging="720"/>
        <w:jc w:val="both"/>
        <w:rPr>
          <w:rFonts w:ascii="Times New Roman" w:hAnsi="Times New Roman"/>
          <w:sz w:val="24"/>
          <w:szCs w:val="24"/>
        </w:rPr>
      </w:pPr>
      <w:r w:rsidRPr="00D813D7">
        <w:rPr>
          <w:rFonts w:ascii="Times New Roman" w:hAnsi="Times New Roman"/>
          <w:sz w:val="24"/>
          <w:szCs w:val="24"/>
        </w:rPr>
        <w:t>A:</w:t>
      </w:r>
      <w:r w:rsidR="00336F9E" w:rsidRPr="00D813D7">
        <w:rPr>
          <w:rFonts w:ascii="Times New Roman" w:hAnsi="Times New Roman"/>
          <w:sz w:val="24"/>
          <w:szCs w:val="24"/>
        </w:rPr>
        <w:tab/>
        <w:t>I am employed as Vice President and Principal Consultant for Daymark Ener</w:t>
      </w:r>
      <w:r w:rsidRPr="00D813D7">
        <w:rPr>
          <w:rFonts w:ascii="Times New Roman" w:hAnsi="Times New Roman"/>
          <w:sz w:val="24"/>
          <w:szCs w:val="24"/>
        </w:rPr>
        <w:t>gy Advisors, Inc.</w:t>
      </w:r>
      <w:r w:rsidR="00C749F1" w:rsidRPr="00D813D7">
        <w:rPr>
          <w:rFonts w:ascii="Times New Roman" w:hAnsi="Times New Roman"/>
          <w:sz w:val="24"/>
          <w:szCs w:val="24"/>
        </w:rPr>
        <w:t xml:space="preserve"> (Daymark).  </w:t>
      </w:r>
    </w:p>
    <w:p w:rsidR="00336F9E" w:rsidRPr="00D813D7" w:rsidRDefault="00454AA4" w:rsidP="00336F9E">
      <w:pPr>
        <w:tabs>
          <w:tab w:val="left" w:pos="90"/>
          <w:tab w:val="left" w:pos="720"/>
        </w:tabs>
        <w:spacing w:after="0" w:line="480" w:lineRule="auto"/>
        <w:jc w:val="both"/>
        <w:rPr>
          <w:rFonts w:ascii="Times New Roman" w:hAnsi="Times New Roman"/>
          <w:b/>
          <w:sz w:val="24"/>
          <w:szCs w:val="24"/>
        </w:rPr>
      </w:pPr>
      <w:r w:rsidRPr="00D813D7">
        <w:rPr>
          <w:rFonts w:ascii="Times New Roman" w:hAnsi="Times New Roman"/>
          <w:b/>
          <w:sz w:val="24"/>
          <w:szCs w:val="24"/>
        </w:rPr>
        <w:t>Q:</w:t>
      </w:r>
      <w:r w:rsidR="00336F9E" w:rsidRPr="00D813D7">
        <w:rPr>
          <w:rFonts w:ascii="Times New Roman" w:hAnsi="Times New Roman"/>
          <w:b/>
          <w:sz w:val="24"/>
          <w:szCs w:val="24"/>
        </w:rPr>
        <w:tab/>
        <w:t>Please describe your professional qualifications.</w:t>
      </w:r>
    </w:p>
    <w:p w:rsidR="00336F9E" w:rsidRPr="00D813D7" w:rsidRDefault="00454AA4" w:rsidP="00600A2A">
      <w:pPr>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336F9E" w:rsidRPr="00D813D7">
        <w:rPr>
          <w:rFonts w:ascii="Times New Roman" w:hAnsi="Times New Roman"/>
          <w:sz w:val="24"/>
          <w:szCs w:val="24"/>
        </w:rPr>
        <w:tab/>
        <w:t>I am a utility industry specialist with 40 years of experience in areas that include retail industry restructuring issues such as customer equity and risks of recovery</w:t>
      </w:r>
      <w:r w:rsidR="00345178" w:rsidRPr="00D813D7">
        <w:rPr>
          <w:rFonts w:ascii="Times New Roman" w:hAnsi="Times New Roman"/>
          <w:sz w:val="24"/>
          <w:szCs w:val="24"/>
        </w:rPr>
        <w:t>, utility rate design,</w:t>
      </w:r>
      <w:r w:rsidR="00336F9E" w:rsidRPr="00D813D7">
        <w:rPr>
          <w:rFonts w:ascii="Times New Roman" w:hAnsi="Times New Roman"/>
          <w:sz w:val="24"/>
          <w:szCs w:val="24"/>
        </w:rPr>
        <w:t xml:space="preserve"> </w:t>
      </w:r>
      <w:r w:rsidR="00345178" w:rsidRPr="00D813D7">
        <w:rPr>
          <w:rFonts w:ascii="Times New Roman" w:hAnsi="Times New Roman"/>
          <w:sz w:val="24"/>
          <w:szCs w:val="24"/>
        </w:rPr>
        <w:t>and I have advised utilities with regard to efficiency in operations and business practices.</w:t>
      </w:r>
      <w:r w:rsidR="00790224" w:rsidRPr="00D813D7">
        <w:rPr>
          <w:rFonts w:ascii="Times New Roman" w:hAnsi="Times New Roman"/>
          <w:sz w:val="24"/>
          <w:szCs w:val="24"/>
        </w:rPr>
        <w:t xml:space="preserve"> </w:t>
      </w:r>
      <w:r w:rsidR="00336F9E" w:rsidRPr="00D813D7">
        <w:rPr>
          <w:rFonts w:ascii="Times New Roman" w:hAnsi="Times New Roman"/>
          <w:sz w:val="24"/>
          <w:szCs w:val="24"/>
        </w:rPr>
        <w:t xml:space="preserve"> </w:t>
      </w:r>
      <w:r w:rsidR="00336F9E" w:rsidRPr="00D813D7">
        <w:rPr>
          <w:rFonts w:ascii="Times New Roman" w:hAnsi="Times New Roman"/>
          <w:color w:val="000000"/>
          <w:sz w:val="24"/>
          <w:szCs w:val="24"/>
        </w:rPr>
        <w:t>I received my M</w:t>
      </w:r>
      <w:r w:rsidR="00C749F1" w:rsidRPr="00D813D7">
        <w:rPr>
          <w:rFonts w:ascii="Times New Roman" w:hAnsi="Times New Roman"/>
          <w:color w:val="000000"/>
          <w:sz w:val="24"/>
          <w:szCs w:val="24"/>
        </w:rPr>
        <w:t xml:space="preserve">aster of </w:t>
      </w:r>
      <w:r w:rsidR="00336F9E" w:rsidRPr="00D813D7">
        <w:rPr>
          <w:rFonts w:ascii="Times New Roman" w:hAnsi="Times New Roman"/>
          <w:color w:val="000000"/>
          <w:sz w:val="24"/>
          <w:szCs w:val="24"/>
        </w:rPr>
        <w:t>B</w:t>
      </w:r>
      <w:r w:rsidR="00C749F1" w:rsidRPr="00D813D7">
        <w:rPr>
          <w:rFonts w:ascii="Times New Roman" w:hAnsi="Times New Roman"/>
          <w:color w:val="000000"/>
          <w:sz w:val="24"/>
          <w:szCs w:val="24"/>
        </w:rPr>
        <w:t xml:space="preserve">usiness </w:t>
      </w:r>
      <w:r w:rsidR="00336F9E" w:rsidRPr="00D813D7">
        <w:rPr>
          <w:rFonts w:ascii="Times New Roman" w:hAnsi="Times New Roman"/>
          <w:color w:val="000000"/>
          <w:sz w:val="24"/>
          <w:szCs w:val="24"/>
        </w:rPr>
        <w:t>A</w:t>
      </w:r>
      <w:r w:rsidR="00C749F1" w:rsidRPr="00D813D7">
        <w:rPr>
          <w:rFonts w:ascii="Times New Roman" w:hAnsi="Times New Roman"/>
          <w:color w:val="000000"/>
          <w:sz w:val="24"/>
          <w:szCs w:val="24"/>
        </w:rPr>
        <w:t>dministration (MBA)</w:t>
      </w:r>
      <w:r w:rsidR="00336F9E" w:rsidRPr="00D813D7">
        <w:rPr>
          <w:rFonts w:ascii="Times New Roman" w:hAnsi="Times New Roman"/>
          <w:color w:val="000000"/>
          <w:sz w:val="24"/>
          <w:szCs w:val="24"/>
        </w:rPr>
        <w:t xml:space="preserve"> from Northeastern University and a </w:t>
      </w:r>
      <w:r w:rsidR="00C749F1" w:rsidRPr="00D813D7">
        <w:rPr>
          <w:rFonts w:ascii="Times New Roman" w:hAnsi="Times New Roman"/>
          <w:color w:val="000000"/>
          <w:sz w:val="24"/>
          <w:szCs w:val="24"/>
        </w:rPr>
        <w:t>Bachelor of Science (</w:t>
      </w:r>
      <w:r w:rsidR="00336F9E" w:rsidRPr="00D813D7">
        <w:rPr>
          <w:rFonts w:ascii="Times New Roman" w:hAnsi="Times New Roman"/>
          <w:color w:val="000000"/>
          <w:sz w:val="24"/>
          <w:szCs w:val="24"/>
        </w:rPr>
        <w:t>BS</w:t>
      </w:r>
      <w:r w:rsidR="00C749F1" w:rsidRPr="00D813D7">
        <w:rPr>
          <w:rFonts w:ascii="Times New Roman" w:hAnsi="Times New Roman"/>
          <w:color w:val="000000"/>
          <w:sz w:val="24"/>
          <w:szCs w:val="24"/>
        </w:rPr>
        <w:t>)</w:t>
      </w:r>
      <w:r w:rsidR="00336F9E" w:rsidRPr="00D813D7">
        <w:rPr>
          <w:rFonts w:ascii="Times New Roman" w:hAnsi="Times New Roman"/>
          <w:color w:val="000000"/>
          <w:sz w:val="24"/>
          <w:szCs w:val="24"/>
        </w:rPr>
        <w:t xml:space="preserve"> degree in Mathematics from the University of Massachusetts.</w:t>
      </w:r>
      <w:r w:rsidR="00790224" w:rsidRPr="00D813D7">
        <w:rPr>
          <w:rFonts w:ascii="Times New Roman" w:hAnsi="Times New Roman"/>
          <w:color w:val="000000"/>
          <w:sz w:val="24"/>
          <w:szCs w:val="24"/>
        </w:rPr>
        <w:t xml:space="preserve"> </w:t>
      </w:r>
      <w:r w:rsidR="00C749F1" w:rsidRPr="00D813D7">
        <w:rPr>
          <w:rFonts w:ascii="Times New Roman" w:hAnsi="Times New Roman"/>
          <w:color w:val="000000"/>
          <w:sz w:val="24"/>
          <w:szCs w:val="24"/>
        </w:rPr>
        <w:t xml:space="preserve"> </w:t>
      </w:r>
      <w:r w:rsidR="00336F9E" w:rsidRPr="00D813D7">
        <w:rPr>
          <w:rFonts w:ascii="Times New Roman" w:hAnsi="Times New Roman"/>
          <w:color w:val="000000"/>
          <w:sz w:val="24"/>
          <w:szCs w:val="24"/>
        </w:rPr>
        <w:t>Since joining Daymark in February of 2016, I have worked on projects related to mergers and acquisitions, investments in energy infrastructure, energy markets, regulatory policy</w:t>
      </w:r>
      <w:r w:rsidR="0087061D">
        <w:rPr>
          <w:rFonts w:ascii="Times New Roman" w:hAnsi="Times New Roman"/>
          <w:color w:val="000000"/>
          <w:sz w:val="24"/>
          <w:szCs w:val="24"/>
        </w:rPr>
        <w:t>,</w:t>
      </w:r>
      <w:r w:rsidR="00336F9E" w:rsidRPr="00D813D7">
        <w:rPr>
          <w:rFonts w:ascii="Times New Roman" w:hAnsi="Times New Roman"/>
          <w:color w:val="000000"/>
          <w:sz w:val="24"/>
          <w:szCs w:val="24"/>
        </w:rPr>
        <w:t xml:space="preserve"> and rate cases.</w:t>
      </w:r>
      <w:r w:rsidR="00790224" w:rsidRPr="00D813D7">
        <w:rPr>
          <w:rFonts w:ascii="Times New Roman" w:hAnsi="Times New Roman"/>
          <w:color w:val="000000"/>
          <w:sz w:val="24"/>
          <w:szCs w:val="24"/>
        </w:rPr>
        <w:t xml:space="preserve"> </w:t>
      </w:r>
      <w:r w:rsidR="00C749F1" w:rsidRPr="00D813D7">
        <w:rPr>
          <w:rFonts w:ascii="Times New Roman" w:hAnsi="Times New Roman"/>
          <w:color w:val="000000"/>
          <w:sz w:val="24"/>
          <w:szCs w:val="24"/>
        </w:rPr>
        <w:t xml:space="preserve"> </w:t>
      </w:r>
      <w:r w:rsidR="00336F9E" w:rsidRPr="00D813D7">
        <w:rPr>
          <w:rFonts w:ascii="Times New Roman" w:hAnsi="Times New Roman"/>
          <w:color w:val="000000"/>
          <w:sz w:val="24"/>
          <w:szCs w:val="24"/>
        </w:rPr>
        <w:t>Prior to joining Daymark, I worked at Lummus Consultants International, Inc. which was formerly known as Stone &amp; Webster Management Consultants, leading a practice in utility management and planning.</w:t>
      </w:r>
      <w:r w:rsidR="00790224" w:rsidRPr="00D813D7">
        <w:rPr>
          <w:rFonts w:ascii="Times New Roman" w:hAnsi="Times New Roman"/>
          <w:color w:val="000000"/>
          <w:sz w:val="24"/>
          <w:szCs w:val="24"/>
        </w:rPr>
        <w:t xml:space="preserve"> </w:t>
      </w:r>
      <w:r w:rsidR="00336F9E" w:rsidRPr="00D813D7">
        <w:rPr>
          <w:rFonts w:ascii="Times New Roman" w:hAnsi="Times New Roman"/>
          <w:color w:val="000000"/>
          <w:sz w:val="24"/>
          <w:szCs w:val="24"/>
        </w:rPr>
        <w:t xml:space="preserve">In this role I advised utilities, developers, large customer groups, and regulators with regard to utility business and resource planning, management and operations, </w:t>
      </w:r>
      <w:r w:rsidR="00FB4557" w:rsidRPr="00D813D7">
        <w:rPr>
          <w:rFonts w:ascii="Times New Roman" w:hAnsi="Times New Roman"/>
          <w:color w:val="000000"/>
          <w:sz w:val="24"/>
          <w:szCs w:val="24"/>
        </w:rPr>
        <w:t>with particular regard</w:t>
      </w:r>
      <w:r w:rsidR="00336F9E" w:rsidRPr="00D813D7">
        <w:rPr>
          <w:rFonts w:ascii="Times New Roman" w:hAnsi="Times New Roman"/>
          <w:color w:val="000000"/>
          <w:sz w:val="24"/>
          <w:szCs w:val="24"/>
        </w:rPr>
        <w:t xml:space="preserve"> to evaluating</w:t>
      </w:r>
      <w:r w:rsidR="00FB4557" w:rsidRPr="00D813D7">
        <w:rPr>
          <w:rFonts w:ascii="Times New Roman" w:hAnsi="Times New Roman"/>
          <w:color w:val="000000"/>
          <w:sz w:val="24"/>
          <w:szCs w:val="24"/>
        </w:rPr>
        <w:t xml:space="preserve"> regulatory strategy,</w:t>
      </w:r>
      <w:r w:rsidR="00336F9E" w:rsidRPr="00D813D7">
        <w:rPr>
          <w:rFonts w:ascii="Times New Roman" w:hAnsi="Times New Roman"/>
          <w:color w:val="000000"/>
          <w:sz w:val="24"/>
          <w:szCs w:val="24"/>
        </w:rPr>
        <w:t xml:space="preserve"> acquisitions, </w:t>
      </w:r>
      <w:r w:rsidR="00FB4557" w:rsidRPr="00D813D7">
        <w:rPr>
          <w:rFonts w:ascii="Times New Roman" w:hAnsi="Times New Roman"/>
          <w:color w:val="000000"/>
          <w:sz w:val="24"/>
          <w:szCs w:val="24"/>
        </w:rPr>
        <w:t xml:space="preserve">and </w:t>
      </w:r>
      <w:r w:rsidR="00336F9E" w:rsidRPr="00D813D7">
        <w:rPr>
          <w:rFonts w:ascii="Times New Roman" w:hAnsi="Times New Roman"/>
          <w:color w:val="000000"/>
          <w:sz w:val="24"/>
          <w:szCs w:val="24"/>
        </w:rPr>
        <w:t>business operational efficiencies.</w:t>
      </w:r>
      <w:r w:rsidR="00790224" w:rsidRPr="00D813D7">
        <w:rPr>
          <w:rFonts w:ascii="Times New Roman" w:hAnsi="Times New Roman"/>
          <w:color w:val="000000"/>
          <w:sz w:val="24"/>
          <w:szCs w:val="24"/>
        </w:rPr>
        <w:t xml:space="preserve"> </w:t>
      </w:r>
      <w:r w:rsidR="00C749F1" w:rsidRPr="00D813D7">
        <w:rPr>
          <w:rFonts w:ascii="Times New Roman" w:hAnsi="Times New Roman"/>
          <w:color w:val="000000"/>
          <w:sz w:val="24"/>
          <w:szCs w:val="24"/>
        </w:rPr>
        <w:t xml:space="preserve"> </w:t>
      </w:r>
      <w:r w:rsidR="00336F9E" w:rsidRPr="00D813D7">
        <w:rPr>
          <w:rFonts w:ascii="Times New Roman" w:hAnsi="Times New Roman"/>
          <w:color w:val="000000"/>
          <w:sz w:val="24"/>
          <w:szCs w:val="24"/>
        </w:rPr>
        <w:t xml:space="preserve">Throughout my career, I have gained and demonstrated considerable experience and expertise in many </w:t>
      </w:r>
      <w:r w:rsidR="00336F9E" w:rsidRPr="00D813D7">
        <w:rPr>
          <w:rFonts w:ascii="Times New Roman" w:hAnsi="Times New Roman"/>
          <w:color w:val="000000"/>
          <w:sz w:val="24"/>
          <w:szCs w:val="24"/>
        </w:rPr>
        <w:lastRenderedPageBreak/>
        <w:t xml:space="preserve">utility-related matters. </w:t>
      </w:r>
      <w:r w:rsidR="00C749F1" w:rsidRPr="00D813D7">
        <w:rPr>
          <w:rFonts w:ascii="Times New Roman" w:hAnsi="Times New Roman"/>
          <w:color w:val="000000"/>
          <w:sz w:val="24"/>
          <w:szCs w:val="24"/>
        </w:rPr>
        <w:t xml:space="preserve"> </w:t>
      </w:r>
      <w:r w:rsidR="00336F9E" w:rsidRPr="00D813D7">
        <w:rPr>
          <w:rFonts w:ascii="Times New Roman" w:hAnsi="Times New Roman"/>
          <w:color w:val="000000"/>
          <w:sz w:val="24"/>
          <w:szCs w:val="24"/>
        </w:rPr>
        <w:t xml:space="preserve">My resume is provided as Exhibit </w:t>
      </w:r>
      <w:r w:rsidR="008F5F6F" w:rsidRPr="00D813D7">
        <w:rPr>
          <w:rFonts w:ascii="Times New Roman" w:hAnsi="Times New Roman"/>
          <w:color w:val="000000"/>
          <w:sz w:val="24"/>
          <w:szCs w:val="24"/>
        </w:rPr>
        <w:t xml:space="preserve">No. </w:t>
      </w:r>
      <w:r w:rsidR="00B550A4">
        <w:rPr>
          <w:rFonts w:ascii="Times New Roman" w:hAnsi="Times New Roman"/>
          <w:color w:val="000000"/>
          <w:sz w:val="24"/>
          <w:szCs w:val="24"/>
        </w:rPr>
        <w:t>KAK-2</w:t>
      </w:r>
      <w:r w:rsidR="00B550A4" w:rsidRPr="00D813D7">
        <w:rPr>
          <w:rFonts w:ascii="Times New Roman" w:hAnsi="Times New Roman"/>
          <w:color w:val="000000"/>
          <w:sz w:val="24"/>
          <w:szCs w:val="24"/>
        </w:rPr>
        <w:t xml:space="preserve">, and a summary of my testimony experience is contained in Exhibit No. </w:t>
      </w:r>
      <w:r w:rsidR="00B550A4">
        <w:rPr>
          <w:rFonts w:ascii="Times New Roman" w:hAnsi="Times New Roman"/>
          <w:color w:val="000000"/>
          <w:sz w:val="24"/>
          <w:szCs w:val="24"/>
        </w:rPr>
        <w:t>KAK-3</w:t>
      </w:r>
      <w:r w:rsidR="00336F9E" w:rsidRPr="00D813D7">
        <w:rPr>
          <w:rFonts w:ascii="Times New Roman" w:hAnsi="Times New Roman"/>
          <w:color w:val="000000"/>
          <w:sz w:val="24"/>
          <w:szCs w:val="24"/>
        </w:rPr>
        <w:t>.</w:t>
      </w:r>
    </w:p>
    <w:p w:rsidR="00336F9E" w:rsidRPr="00D813D7" w:rsidRDefault="00454AA4" w:rsidP="00454AA4">
      <w:pPr>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336F9E" w:rsidRPr="00D813D7">
        <w:rPr>
          <w:rFonts w:ascii="Times New Roman" w:hAnsi="Times New Roman"/>
          <w:b/>
          <w:sz w:val="24"/>
          <w:szCs w:val="24"/>
        </w:rPr>
        <w:tab/>
        <w:t xml:space="preserve">Please </w:t>
      </w:r>
      <w:r w:rsidR="00A546E2" w:rsidRPr="00D813D7">
        <w:rPr>
          <w:rFonts w:ascii="Times New Roman" w:hAnsi="Times New Roman"/>
          <w:b/>
          <w:sz w:val="24"/>
          <w:szCs w:val="24"/>
        </w:rPr>
        <w:t xml:space="preserve">describe </w:t>
      </w:r>
      <w:r w:rsidR="00336F9E" w:rsidRPr="00D813D7">
        <w:rPr>
          <w:rFonts w:ascii="Times New Roman" w:hAnsi="Times New Roman"/>
          <w:b/>
          <w:sz w:val="24"/>
          <w:szCs w:val="24"/>
        </w:rPr>
        <w:t>Daymark Energy Advisors, Inc. and its business.</w:t>
      </w:r>
    </w:p>
    <w:p w:rsidR="00336F9E" w:rsidRPr="00D813D7" w:rsidRDefault="00454AA4" w:rsidP="00454AA4">
      <w:pPr>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336F9E" w:rsidRPr="00D813D7">
        <w:rPr>
          <w:rFonts w:ascii="Times New Roman" w:hAnsi="Times New Roman"/>
          <w:sz w:val="24"/>
          <w:szCs w:val="24"/>
        </w:rPr>
        <w:tab/>
        <w:t>Daymark Energy Advisors is the new name of the firm formerly known as La Capra Associates.</w:t>
      </w:r>
      <w:r w:rsidR="009011D3" w:rsidRPr="00D813D7">
        <w:rPr>
          <w:rFonts w:ascii="Times New Roman" w:hAnsi="Times New Roman"/>
          <w:sz w:val="24"/>
          <w:szCs w:val="24"/>
        </w:rPr>
        <w:t xml:space="preserve"> </w:t>
      </w:r>
      <w:r w:rsidR="00C749F1" w:rsidRPr="00D813D7">
        <w:rPr>
          <w:rFonts w:ascii="Times New Roman" w:hAnsi="Times New Roman"/>
          <w:sz w:val="24"/>
          <w:szCs w:val="24"/>
        </w:rPr>
        <w:t xml:space="preserve"> </w:t>
      </w:r>
      <w:r w:rsidR="00336F9E" w:rsidRPr="00D813D7">
        <w:rPr>
          <w:rFonts w:ascii="Times New Roman" w:hAnsi="Times New Roman"/>
          <w:sz w:val="24"/>
          <w:szCs w:val="24"/>
        </w:rPr>
        <w:t>The n</w:t>
      </w:r>
      <w:r w:rsidR="00C749F1" w:rsidRPr="00D813D7">
        <w:rPr>
          <w:rFonts w:ascii="Times New Roman" w:hAnsi="Times New Roman"/>
          <w:sz w:val="24"/>
          <w:szCs w:val="24"/>
        </w:rPr>
        <w:t>ame change occurred on November </w:t>
      </w:r>
      <w:r w:rsidR="00336F9E" w:rsidRPr="00D813D7">
        <w:rPr>
          <w:rFonts w:ascii="Times New Roman" w:hAnsi="Times New Roman"/>
          <w:sz w:val="24"/>
          <w:szCs w:val="24"/>
        </w:rPr>
        <w:t>9, 2015.</w:t>
      </w:r>
      <w:r w:rsidR="00790224" w:rsidRPr="00D813D7">
        <w:rPr>
          <w:rFonts w:ascii="Times New Roman" w:hAnsi="Times New Roman"/>
          <w:sz w:val="24"/>
          <w:szCs w:val="24"/>
        </w:rPr>
        <w:t xml:space="preserve"> </w:t>
      </w:r>
      <w:r w:rsidR="00C749F1" w:rsidRPr="00D813D7">
        <w:rPr>
          <w:rFonts w:ascii="Times New Roman" w:hAnsi="Times New Roman"/>
          <w:sz w:val="24"/>
          <w:szCs w:val="24"/>
        </w:rPr>
        <w:t xml:space="preserve"> </w:t>
      </w:r>
      <w:r w:rsidR="00336F9E" w:rsidRPr="00D813D7">
        <w:rPr>
          <w:rFonts w:ascii="Times New Roman" w:hAnsi="Times New Roman"/>
          <w:sz w:val="24"/>
          <w:szCs w:val="24"/>
        </w:rPr>
        <w:t>Daymark provides consulting services in energy planning, market analysis, and regulatory policy in the electricity and natural gas industries.</w:t>
      </w:r>
      <w:r w:rsidR="00790224" w:rsidRPr="00D813D7">
        <w:rPr>
          <w:rFonts w:ascii="Times New Roman" w:hAnsi="Times New Roman"/>
          <w:sz w:val="24"/>
          <w:szCs w:val="24"/>
        </w:rPr>
        <w:t xml:space="preserve"> </w:t>
      </w:r>
      <w:r w:rsidR="00C749F1" w:rsidRPr="00D813D7">
        <w:rPr>
          <w:rFonts w:ascii="Times New Roman" w:hAnsi="Times New Roman"/>
          <w:sz w:val="24"/>
          <w:szCs w:val="24"/>
        </w:rPr>
        <w:t xml:space="preserve"> </w:t>
      </w:r>
      <w:r w:rsidR="00336F9E" w:rsidRPr="00D813D7">
        <w:rPr>
          <w:rFonts w:ascii="Times New Roman" w:hAnsi="Times New Roman"/>
          <w:sz w:val="24"/>
          <w:szCs w:val="24"/>
        </w:rPr>
        <w:t>We serve a national and international clientele from our offices in Boston, Massachusetts</w:t>
      </w:r>
      <w:r w:rsidR="0087061D">
        <w:rPr>
          <w:rFonts w:ascii="Times New Roman" w:hAnsi="Times New Roman"/>
          <w:sz w:val="24"/>
          <w:szCs w:val="24"/>
        </w:rPr>
        <w:t>,</w:t>
      </w:r>
      <w:r w:rsidR="00336F9E" w:rsidRPr="00D813D7">
        <w:rPr>
          <w:rFonts w:ascii="Times New Roman" w:hAnsi="Times New Roman"/>
          <w:sz w:val="24"/>
          <w:szCs w:val="24"/>
        </w:rPr>
        <w:t xml:space="preserve"> and Portland, Maine</w:t>
      </w:r>
      <w:r w:rsidR="0087061D">
        <w:rPr>
          <w:rFonts w:ascii="Times New Roman" w:hAnsi="Times New Roman"/>
          <w:sz w:val="24"/>
          <w:szCs w:val="24"/>
        </w:rPr>
        <w:t>,</w:t>
      </w:r>
      <w:r w:rsidR="00336F9E" w:rsidRPr="00D813D7">
        <w:rPr>
          <w:rFonts w:ascii="Times New Roman" w:hAnsi="Times New Roman"/>
          <w:sz w:val="24"/>
          <w:szCs w:val="24"/>
        </w:rPr>
        <w:t xml:space="preserve"> providing consulting services to a broad range of organizations involved with energy markets, including renewable energy producers, private and public utilities, transmission owners, energy producers and traders, energy consumers and consumer advocates, regulatory agencies, and public policy and energy research organizations.</w:t>
      </w:r>
      <w:r w:rsidR="00790224" w:rsidRPr="00D813D7">
        <w:rPr>
          <w:rFonts w:ascii="Times New Roman" w:hAnsi="Times New Roman"/>
          <w:sz w:val="24"/>
          <w:szCs w:val="24"/>
        </w:rPr>
        <w:t xml:space="preserve"> </w:t>
      </w:r>
      <w:r w:rsidR="00C749F1" w:rsidRPr="00D813D7">
        <w:rPr>
          <w:rFonts w:ascii="Times New Roman" w:hAnsi="Times New Roman"/>
          <w:sz w:val="24"/>
          <w:szCs w:val="24"/>
        </w:rPr>
        <w:t xml:space="preserve"> </w:t>
      </w:r>
      <w:r w:rsidR="00336F9E" w:rsidRPr="00D813D7">
        <w:rPr>
          <w:rFonts w:ascii="Times New Roman" w:hAnsi="Times New Roman"/>
          <w:sz w:val="24"/>
          <w:szCs w:val="24"/>
        </w:rPr>
        <w:t>Our technical skills include power market forecasting models and methods, economics, management, planning, rates and pricing, energy procurement and contracting, and reliability assessments.</w:t>
      </w:r>
      <w:r w:rsidR="00790224" w:rsidRPr="00D813D7">
        <w:rPr>
          <w:rFonts w:ascii="Times New Roman" w:hAnsi="Times New Roman"/>
          <w:sz w:val="24"/>
          <w:szCs w:val="24"/>
        </w:rPr>
        <w:t xml:space="preserve"> </w:t>
      </w:r>
      <w:r w:rsidR="00C749F1" w:rsidRPr="00D813D7">
        <w:rPr>
          <w:rFonts w:ascii="Times New Roman" w:hAnsi="Times New Roman"/>
          <w:sz w:val="24"/>
          <w:szCs w:val="24"/>
        </w:rPr>
        <w:t xml:space="preserve"> </w:t>
      </w:r>
      <w:r w:rsidR="00336F9E" w:rsidRPr="00D813D7">
        <w:rPr>
          <w:rFonts w:ascii="Times New Roman" w:hAnsi="Times New Roman"/>
          <w:sz w:val="24"/>
          <w:szCs w:val="24"/>
        </w:rPr>
        <w:t>Our experience includes detailed analyses of energy and environmental performance of the electric systems, economic planning for transmission and distribution, and market analytics.</w:t>
      </w:r>
    </w:p>
    <w:p w:rsidR="00336F9E" w:rsidRPr="00D813D7" w:rsidRDefault="00790224" w:rsidP="00454AA4">
      <w:pPr>
        <w:spacing w:after="0" w:line="480" w:lineRule="auto"/>
        <w:ind w:left="720" w:hanging="720"/>
        <w:jc w:val="both"/>
        <w:rPr>
          <w:rStyle w:val="LineNumber"/>
          <w:b/>
          <w:color w:val="000000"/>
          <w:szCs w:val="24"/>
        </w:rPr>
      </w:pPr>
      <w:r w:rsidRPr="00D813D7">
        <w:rPr>
          <w:rFonts w:ascii="Times New Roman" w:hAnsi="Times New Roman"/>
          <w:sz w:val="24"/>
          <w:szCs w:val="24"/>
        </w:rPr>
        <w:t xml:space="preserve"> </w:t>
      </w:r>
      <w:r w:rsidR="00454AA4" w:rsidRPr="00D813D7">
        <w:rPr>
          <w:rStyle w:val="LineNumber"/>
          <w:b/>
          <w:color w:val="000000"/>
          <w:szCs w:val="24"/>
        </w:rPr>
        <w:t>Q:</w:t>
      </w:r>
      <w:r w:rsidR="00336F9E" w:rsidRPr="00D813D7">
        <w:rPr>
          <w:rStyle w:val="LineNumber"/>
          <w:b/>
          <w:color w:val="000000"/>
          <w:szCs w:val="24"/>
        </w:rPr>
        <w:tab/>
        <w:t>Have you previously testified before the Washington Utilities and Transportation Commission (“Commission”)?</w:t>
      </w:r>
    </w:p>
    <w:p w:rsidR="00336F9E" w:rsidRPr="00D813D7" w:rsidRDefault="00454AA4" w:rsidP="00454AA4">
      <w:pPr>
        <w:spacing w:after="0" w:line="480" w:lineRule="auto"/>
        <w:ind w:left="720" w:hanging="720"/>
        <w:jc w:val="both"/>
        <w:rPr>
          <w:rFonts w:ascii="Times New Roman" w:hAnsi="Times New Roman"/>
          <w:sz w:val="24"/>
          <w:szCs w:val="24"/>
        </w:rPr>
      </w:pPr>
      <w:r w:rsidRPr="00D813D7">
        <w:rPr>
          <w:rStyle w:val="LineNumber"/>
          <w:color w:val="000000"/>
          <w:szCs w:val="24"/>
        </w:rPr>
        <w:t>A:</w:t>
      </w:r>
      <w:r w:rsidR="00336F9E" w:rsidRPr="00D813D7">
        <w:rPr>
          <w:rStyle w:val="LineNumber"/>
          <w:color w:val="000000"/>
          <w:szCs w:val="24"/>
        </w:rPr>
        <w:tab/>
        <w:t>No</w:t>
      </w:r>
      <w:r w:rsidR="00336F9E" w:rsidRPr="00D813D7">
        <w:rPr>
          <w:rFonts w:ascii="Times New Roman" w:hAnsi="Times New Roman"/>
          <w:sz w:val="24"/>
          <w:szCs w:val="24"/>
        </w:rPr>
        <w:t>.</w:t>
      </w:r>
      <w:r w:rsidR="00790224" w:rsidRPr="00D813D7">
        <w:rPr>
          <w:rFonts w:ascii="Times New Roman" w:hAnsi="Times New Roman"/>
          <w:sz w:val="24"/>
          <w:szCs w:val="24"/>
        </w:rPr>
        <w:t xml:space="preserve"> </w:t>
      </w:r>
      <w:r w:rsidR="00336F9E" w:rsidRPr="00D813D7">
        <w:rPr>
          <w:rFonts w:ascii="Times New Roman" w:hAnsi="Times New Roman"/>
          <w:sz w:val="24"/>
          <w:szCs w:val="24"/>
        </w:rPr>
        <w:t xml:space="preserve"> </w:t>
      </w:r>
    </w:p>
    <w:p w:rsidR="00336F9E" w:rsidRPr="00D813D7" w:rsidRDefault="00454AA4" w:rsidP="00336F9E">
      <w:pPr>
        <w:tabs>
          <w:tab w:val="left" w:pos="90"/>
          <w:tab w:val="left" w:pos="720"/>
        </w:tabs>
        <w:spacing w:after="0" w:line="480" w:lineRule="auto"/>
        <w:jc w:val="both"/>
        <w:rPr>
          <w:rFonts w:ascii="Times New Roman" w:hAnsi="Times New Roman"/>
          <w:b/>
          <w:sz w:val="24"/>
          <w:szCs w:val="24"/>
        </w:rPr>
      </w:pPr>
      <w:r w:rsidRPr="00D813D7">
        <w:rPr>
          <w:rFonts w:ascii="Times New Roman" w:hAnsi="Times New Roman"/>
          <w:b/>
          <w:sz w:val="24"/>
          <w:szCs w:val="24"/>
        </w:rPr>
        <w:t>Q:</w:t>
      </w:r>
      <w:r w:rsidR="00336F9E" w:rsidRPr="00D813D7">
        <w:rPr>
          <w:rFonts w:ascii="Times New Roman" w:hAnsi="Times New Roman"/>
          <w:b/>
          <w:sz w:val="24"/>
          <w:szCs w:val="24"/>
        </w:rPr>
        <w:tab/>
        <w:t>On whose behalf are you testifying in this proceeding?</w:t>
      </w:r>
    </w:p>
    <w:p w:rsidR="00EC23C8" w:rsidRPr="00D813D7" w:rsidRDefault="00454AA4" w:rsidP="00EC23C8">
      <w:pPr>
        <w:pStyle w:val="a"/>
        <w:widowControl/>
        <w:tabs>
          <w:tab w:val="left" w:pos="90"/>
          <w:tab w:val="left" w:pos="720"/>
          <w:tab w:val="left" w:pos="1440"/>
        </w:tabs>
        <w:spacing w:line="480" w:lineRule="auto"/>
        <w:jc w:val="both"/>
        <w:rPr>
          <w:rFonts w:ascii="Times New Roman" w:hAnsi="Times New Roman"/>
          <w:szCs w:val="24"/>
        </w:rPr>
      </w:pPr>
      <w:r w:rsidRPr="00D813D7">
        <w:rPr>
          <w:rFonts w:ascii="Times New Roman" w:hAnsi="Times New Roman"/>
          <w:szCs w:val="24"/>
        </w:rPr>
        <w:t>A:</w:t>
      </w:r>
      <w:r w:rsidR="00336F9E" w:rsidRPr="00D813D7">
        <w:rPr>
          <w:rFonts w:ascii="Times New Roman" w:hAnsi="Times New Roman"/>
          <w:szCs w:val="24"/>
        </w:rPr>
        <w:tab/>
        <w:t>I am testifying on behalf of the Washington State Office of the Attorney General, Public Counsel Unit (“Public Counsel”).</w:t>
      </w:r>
      <w:r w:rsidR="00EC23C8" w:rsidRPr="00D813D7">
        <w:rPr>
          <w:rFonts w:ascii="Times New Roman" w:hAnsi="Times New Roman"/>
          <w:szCs w:val="24"/>
        </w:rPr>
        <w:br w:type="page"/>
      </w:r>
    </w:p>
    <w:p w:rsidR="002D1646" w:rsidRPr="00D813D7" w:rsidRDefault="00EC23C8" w:rsidP="00EC23C8">
      <w:pPr>
        <w:pStyle w:val="Heading1"/>
        <w:rPr>
          <w:rStyle w:val="LineNumber"/>
          <w:caps/>
        </w:rPr>
      </w:pPr>
      <w:bookmarkStart w:id="5" w:name="_Toc479329362"/>
      <w:r w:rsidRPr="00D813D7">
        <w:rPr>
          <w:caps/>
        </w:rPr>
        <w:lastRenderedPageBreak/>
        <w:tab/>
      </w:r>
      <w:bookmarkStart w:id="6" w:name="_Toc480530018"/>
      <w:r w:rsidR="002D1646" w:rsidRPr="00D813D7">
        <w:rPr>
          <w:caps/>
        </w:rPr>
        <w:t xml:space="preserve">Purpose </w:t>
      </w:r>
      <w:r w:rsidR="00005272" w:rsidRPr="00D813D7">
        <w:rPr>
          <w:caps/>
        </w:rPr>
        <w:t xml:space="preserve">of Testimony </w:t>
      </w:r>
      <w:r w:rsidR="002D1646" w:rsidRPr="00D813D7">
        <w:rPr>
          <w:caps/>
        </w:rPr>
        <w:t xml:space="preserve">and Scope of </w:t>
      </w:r>
      <w:r w:rsidR="00005272" w:rsidRPr="00D813D7">
        <w:rPr>
          <w:caps/>
        </w:rPr>
        <w:t>Review</w:t>
      </w:r>
      <w:bookmarkEnd w:id="5"/>
      <w:bookmarkEnd w:id="6"/>
    </w:p>
    <w:p w:rsidR="00336F9E" w:rsidRPr="00D813D7" w:rsidRDefault="00EC23C8" w:rsidP="00454AA4">
      <w:pPr>
        <w:pStyle w:val="a"/>
        <w:keepNext/>
        <w:widowControl/>
        <w:tabs>
          <w:tab w:val="left" w:pos="90"/>
          <w:tab w:val="left" w:pos="720"/>
          <w:tab w:val="left" w:pos="1440"/>
        </w:tabs>
        <w:spacing w:line="480" w:lineRule="auto"/>
        <w:jc w:val="both"/>
        <w:rPr>
          <w:rFonts w:ascii="Times New Roman" w:hAnsi="Times New Roman"/>
          <w:b/>
          <w:szCs w:val="24"/>
        </w:rPr>
      </w:pPr>
      <w:r w:rsidRPr="00D813D7">
        <w:rPr>
          <w:rFonts w:ascii="Times New Roman" w:hAnsi="Times New Roman"/>
          <w:b/>
          <w:szCs w:val="24"/>
        </w:rPr>
        <w:t>Q:</w:t>
      </w:r>
      <w:r w:rsidR="00336F9E" w:rsidRPr="00D813D7">
        <w:rPr>
          <w:rFonts w:ascii="Times New Roman" w:hAnsi="Times New Roman"/>
          <w:b/>
          <w:szCs w:val="24"/>
        </w:rPr>
        <w:tab/>
        <w:t>What is the purpose of your testimony?</w:t>
      </w:r>
    </w:p>
    <w:p w:rsidR="005040B1" w:rsidRPr="00D813D7" w:rsidRDefault="00EC23C8" w:rsidP="000E2473">
      <w:pPr>
        <w:widowControl w:val="0"/>
        <w:spacing w:after="0" w:line="480" w:lineRule="auto"/>
        <w:ind w:left="806" w:hanging="806"/>
        <w:rPr>
          <w:rFonts w:ascii="Times New Roman" w:hAnsi="Times New Roman"/>
          <w:sz w:val="24"/>
          <w:szCs w:val="24"/>
        </w:rPr>
      </w:pPr>
      <w:r w:rsidRPr="00D813D7">
        <w:rPr>
          <w:rFonts w:ascii="Times New Roman" w:hAnsi="Times New Roman"/>
          <w:sz w:val="24"/>
          <w:szCs w:val="24"/>
        </w:rPr>
        <w:t>A:</w:t>
      </w:r>
      <w:r w:rsidR="00336F9E" w:rsidRPr="00D813D7">
        <w:rPr>
          <w:rFonts w:ascii="Times New Roman" w:hAnsi="Times New Roman"/>
          <w:sz w:val="24"/>
          <w:szCs w:val="24"/>
        </w:rPr>
        <w:tab/>
        <w:t xml:space="preserve">Daymark Energy Advisors has been retained to review </w:t>
      </w:r>
      <w:r w:rsidR="00275383" w:rsidRPr="00D813D7">
        <w:rPr>
          <w:rFonts w:ascii="Times New Roman" w:hAnsi="Times New Roman"/>
          <w:sz w:val="24"/>
          <w:szCs w:val="24"/>
        </w:rPr>
        <w:t xml:space="preserve">Pacific Power &amp; Light Company’s (“Pacific Power” or “Company”) </w:t>
      </w:r>
      <w:r w:rsidR="00336F9E" w:rsidRPr="00D813D7">
        <w:rPr>
          <w:rFonts w:ascii="Times New Roman" w:hAnsi="Times New Roman"/>
          <w:sz w:val="24"/>
          <w:szCs w:val="24"/>
        </w:rPr>
        <w:t>proposed revisions to</w:t>
      </w:r>
      <w:r w:rsidR="004565B9" w:rsidRPr="00D813D7">
        <w:rPr>
          <w:rFonts w:ascii="Times New Roman" w:hAnsi="Times New Roman"/>
          <w:sz w:val="24"/>
          <w:szCs w:val="24"/>
        </w:rPr>
        <w:t xml:space="preserve"> the </w:t>
      </w:r>
      <w:r w:rsidR="00E51976" w:rsidRPr="00D813D7">
        <w:rPr>
          <w:rFonts w:ascii="Times New Roman" w:hAnsi="Times New Roman"/>
          <w:sz w:val="24"/>
          <w:szCs w:val="24"/>
        </w:rPr>
        <w:t>permanent disconnection</w:t>
      </w:r>
      <w:r w:rsidR="004565B9" w:rsidRPr="00D813D7">
        <w:rPr>
          <w:rFonts w:ascii="Times New Roman" w:hAnsi="Times New Roman"/>
          <w:sz w:val="24"/>
          <w:szCs w:val="24"/>
        </w:rPr>
        <w:t xml:space="preserve"> and removal tariffs</w:t>
      </w:r>
      <w:r w:rsidR="005040B1" w:rsidRPr="00D813D7">
        <w:rPr>
          <w:rFonts w:ascii="Times New Roman" w:hAnsi="Times New Roman"/>
          <w:sz w:val="24"/>
          <w:szCs w:val="24"/>
        </w:rPr>
        <w:t xml:space="preserve"> </w:t>
      </w:r>
      <w:r w:rsidR="004565B9" w:rsidRPr="00D813D7">
        <w:rPr>
          <w:rFonts w:ascii="Times New Roman" w:hAnsi="Times New Roman"/>
          <w:sz w:val="24"/>
          <w:szCs w:val="24"/>
        </w:rPr>
        <w:t>for electric service</w:t>
      </w:r>
      <w:r w:rsidR="005040B1" w:rsidRPr="00D813D7">
        <w:rPr>
          <w:rFonts w:ascii="Times New Roman" w:hAnsi="Times New Roman"/>
          <w:sz w:val="24"/>
          <w:szCs w:val="24"/>
        </w:rPr>
        <w:t>.</w:t>
      </w:r>
      <w:r w:rsidR="003C016D" w:rsidRPr="00D813D7">
        <w:rPr>
          <w:rFonts w:ascii="Times New Roman" w:hAnsi="Times New Roman"/>
          <w:sz w:val="24"/>
          <w:szCs w:val="24"/>
        </w:rPr>
        <w:t xml:space="preserve"> </w:t>
      </w:r>
      <w:r w:rsidR="00150952">
        <w:rPr>
          <w:rFonts w:ascii="Times New Roman" w:hAnsi="Times New Roman"/>
          <w:sz w:val="24"/>
          <w:szCs w:val="24"/>
        </w:rPr>
        <w:t xml:space="preserve"> </w:t>
      </w:r>
      <w:r w:rsidR="00E74650" w:rsidRPr="00D813D7">
        <w:rPr>
          <w:rFonts w:ascii="Times New Roman" w:hAnsi="Times New Roman"/>
          <w:sz w:val="24"/>
          <w:szCs w:val="24"/>
        </w:rPr>
        <w:t xml:space="preserve">The purpose of these revisions is to modify </w:t>
      </w:r>
      <w:r w:rsidR="005040B1" w:rsidRPr="00D813D7">
        <w:rPr>
          <w:rFonts w:ascii="Times New Roman" w:hAnsi="Times New Roman"/>
          <w:sz w:val="24"/>
          <w:szCs w:val="24"/>
        </w:rPr>
        <w:t xml:space="preserve">Rule 6 </w:t>
      </w:r>
      <w:r w:rsidR="004565B9" w:rsidRPr="00D813D7">
        <w:rPr>
          <w:rFonts w:ascii="Times New Roman" w:hAnsi="Times New Roman"/>
          <w:sz w:val="24"/>
          <w:szCs w:val="24"/>
        </w:rPr>
        <w:t>to provide two options for customers who decide to obtain service from a different provider and permanently disconnect from Pacific Power’</w:t>
      </w:r>
      <w:r w:rsidR="006B3BF7" w:rsidRPr="00D813D7">
        <w:rPr>
          <w:rFonts w:ascii="Times New Roman" w:hAnsi="Times New Roman"/>
          <w:sz w:val="24"/>
          <w:szCs w:val="24"/>
        </w:rPr>
        <w:t>s system and</w:t>
      </w:r>
      <w:r w:rsidR="004565B9" w:rsidRPr="00D813D7">
        <w:rPr>
          <w:rFonts w:ascii="Times New Roman" w:hAnsi="Times New Roman"/>
          <w:sz w:val="24"/>
          <w:szCs w:val="24"/>
        </w:rPr>
        <w:t xml:space="preserve"> to establish a Stranded Cost Recovery Fee in Schedule 300. </w:t>
      </w:r>
      <w:r w:rsidR="00150952">
        <w:rPr>
          <w:rFonts w:ascii="Times New Roman" w:hAnsi="Times New Roman"/>
          <w:sz w:val="24"/>
          <w:szCs w:val="24"/>
        </w:rPr>
        <w:t xml:space="preserve"> </w:t>
      </w:r>
      <w:r w:rsidR="00414FFD" w:rsidRPr="00D813D7">
        <w:rPr>
          <w:rFonts w:ascii="Times New Roman" w:hAnsi="Times New Roman"/>
          <w:sz w:val="24"/>
          <w:szCs w:val="24"/>
        </w:rPr>
        <w:t xml:space="preserve">The Company contends that </w:t>
      </w:r>
      <w:r w:rsidR="001C2464" w:rsidRPr="00D813D7">
        <w:rPr>
          <w:rFonts w:ascii="Times New Roman" w:hAnsi="Times New Roman"/>
          <w:sz w:val="24"/>
          <w:szCs w:val="24"/>
        </w:rPr>
        <w:t xml:space="preserve">its </w:t>
      </w:r>
      <w:r w:rsidR="00414FFD" w:rsidRPr="00D813D7">
        <w:rPr>
          <w:rFonts w:ascii="Times New Roman" w:hAnsi="Times New Roman"/>
          <w:sz w:val="24"/>
          <w:szCs w:val="24"/>
        </w:rPr>
        <w:t xml:space="preserve">current </w:t>
      </w:r>
      <w:r w:rsidR="001C2464" w:rsidRPr="00D813D7">
        <w:rPr>
          <w:rFonts w:ascii="Times New Roman" w:hAnsi="Times New Roman"/>
          <w:sz w:val="24"/>
          <w:szCs w:val="24"/>
        </w:rPr>
        <w:t xml:space="preserve">effective </w:t>
      </w:r>
      <w:r w:rsidR="00414FFD" w:rsidRPr="00D813D7">
        <w:rPr>
          <w:rFonts w:ascii="Times New Roman" w:hAnsi="Times New Roman"/>
          <w:sz w:val="24"/>
          <w:szCs w:val="24"/>
        </w:rPr>
        <w:t>tariffs do not adequately address the sale of electric facilities and the associated transfer of liability</w:t>
      </w:r>
      <w:r w:rsidR="004F78F9" w:rsidRPr="00D813D7">
        <w:rPr>
          <w:rFonts w:ascii="Times New Roman" w:hAnsi="Times New Roman"/>
          <w:sz w:val="24"/>
          <w:szCs w:val="24"/>
        </w:rPr>
        <w:t xml:space="preserve">, nor do they allow for cost shifting mitigation and the </w:t>
      </w:r>
      <w:r w:rsidR="00024C2F" w:rsidRPr="00D813D7">
        <w:rPr>
          <w:rFonts w:ascii="Times New Roman" w:hAnsi="Times New Roman"/>
          <w:sz w:val="24"/>
          <w:szCs w:val="24"/>
        </w:rPr>
        <w:t>proper recovery of stranded costs.</w:t>
      </w:r>
      <w:r w:rsidR="00150952">
        <w:rPr>
          <w:rFonts w:ascii="Times New Roman" w:hAnsi="Times New Roman"/>
          <w:sz w:val="24"/>
          <w:szCs w:val="24"/>
        </w:rPr>
        <w:t xml:space="preserve"> </w:t>
      </w:r>
      <w:r w:rsidR="00414FFD" w:rsidRPr="00D813D7">
        <w:rPr>
          <w:rFonts w:ascii="Times New Roman" w:hAnsi="Times New Roman"/>
          <w:sz w:val="24"/>
          <w:szCs w:val="24"/>
        </w:rPr>
        <w:t xml:space="preserve"> Therefore, the </w:t>
      </w:r>
      <w:r w:rsidR="00DA4DA1" w:rsidRPr="00D813D7">
        <w:rPr>
          <w:rFonts w:ascii="Times New Roman" w:hAnsi="Times New Roman"/>
          <w:sz w:val="24"/>
          <w:szCs w:val="24"/>
        </w:rPr>
        <w:t xml:space="preserve">Company has recommended </w:t>
      </w:r>
      <w:r w:rsidR="007A5F92" w:rsidRPr="00D813D7">
        <w:rPr>
          <w:rFonts w:ascii="Times New Roman" w:hAnsi="Times New Roman"/>
          <w:sz w:val="24"/>
          <w:szCs w:val="24"/>
        </w:rPr>
        <w:t>that departing customers hav</w:t>
      </w:r>
      <w:r w:rsidR="00414FFD" w:rsidRPr="00D813D7">
        <w:rPr>
          <w:rFonts w:ascii="Times New Roman" w:hAnsi="Times New Roman"/>
          <w:sz w:val="24"/>
          <w:szCs w:val="24"/>
        </w:rPr>
        <w:t>e the option to either purchase</w:t>
      </w:r>
      <w:r w:rsidR="007A5F92" w:rsidRPr="00D813D7">
        <w:rPr>
          <w:rFonts w:ascii="Times New Roman" w:hAnsi="Times New Roman"/>
          <w:sz w:val="24"/>
          <w:szCs w:val="24"/>
        </w:rPr>
        <w:t xml:space="preserve"> </w:t>
      </w:r>
      <w:r w:rsidR="007B3F9A" w:rsidRPr="00D813D7">
        <w:rPr>
          <w:rFonts w:ascii="Times New Roman" w:hAnsi="Times New Roman"/>
          <w:sz w:val="24"/>
          <w:szCs w:val="24"/>
        </w:rPr>
        <w:t xml:space="preserve">certain </w:t>
      </w:r>
      <w:r w:rsidR="007A5F92" w:rsidRPr="00D813D7">
        <w:rPr>
          <w:rFonts w:ascii="Times New Roman" w:hAnsi="Times New Roman"/>
          <w:sz w:val="24"/>
          <w:szCs w:val="24"/>
        </w:rPr>
        <w:t>electric facilities</w:t>
      </w:r>
      <w:r w:rsidR="00414FFD" w:rsidRPr="00D813D7">
        <w:rPr>
          <w:rFonts w:ascii="Times New Roman" w:hAnsi="Times New Roman"/>
          <w:sz w:val="24"/>
          <w:szCs w:val="24"/>
        </w:rPr>
        <w:t xml:space="preserve"> </w:t>
      </w:r>
      <w:r w:rsidR="00E745B5" w:rsidRPr="00D813D7">
        <w:rPr>
          <w:rFonts w:ascii="Times New Roman" w:hAnsi="Times New Roman"/>
          <w:sz w:val="24"/>
          <w:szCs w:val="24"/>
        </w:rPr>
        <w:t xml:space="preserve">(“Option One”) </w:t>
      </w:r>
      <w:r w:rsidR="004F78F9" w:rsidRPr="00D813D7">
        <w:rPr>
          <w:rFonts w:ascii="Times New Roman" w:hAnsi="Times New Roman"/>
          <w:sz w:val="24"/>
          <w:szCs w:val="24"/>
        </w:rPr>
        <w:t xml:space="preserve">or </w:t>
      </w:r>
      <w:r w:rsidR="00E745B5" w:rsidRPr="00D813D7">
        <w:rPr>
          <w:rFonts w:ascii="Times New Roman" w:hAnsi="Times New Roman"/>
          <w:sz w:val="24"/>
          <w:szCs w:val="24"/>
        </w:rPr>
        <w:t xml:space="preserve">pay to </w:t>
      </w:r>
      <w:r w:rsidR="004F78F9" w:rsidRPr="00D813D7">
        <w:rPr>
          <w:rFonts w:ascii="Times New Roman" w:hAnsi="Times New Roman"/>
          <w:sz w:val="24"/>
          <w:szCs w:val="24"/>
        </w:rPr>
        <w:t xml:space="preserve">have </w:t>
      </w:r>
      <w:r w:rsidR="00B26E6C" w:rsidRPr="00D813D7">
        <w:rPr>
          <w:rFonts w:ascii="Times New Roman" w:hAnsi="Times New Roman"/>
          <w:sz w:val="24"/>
          <w:szCs w:val="24"/>
        </w:rPr>
        <w:t>those</w:t>
      </w:r>
      <w:r w:rsidR="004F78F9" w:rsidRPr="00D813D7">
        <w:rPr>
          <w:rFonts w:ascii="Times New Roman" w:hAnsi="Times New Roman"/>
          <w:sz w:val="24"/>
          <w:szCs w:val="24"/>
        </w:rPr>
        <w:t xml:space="preserve"> removed</w:t>
      </w:r>
      <w:r w:rsidR="00E745B5" w:rsidRPr="00D813D7">
        <w:rPr>
          <w:rFonts w:ascii="Times New Roman" w:hAnsi="Times New Roman"/>
          <w:sz w:val="24"/>
          <w:szCs w:val="24"/>
        </w:rPr>
        <w:t xml:space="preserve"> (“Option Two”)</w:t>
      </w:r>
      <w:r w:rsidR="004F78F9" w:rsidRPr="00D813D7">
        <w:rPr>
          <w:rFonts w:ascii="Times New Roman" w:hAnsi="Times New Roman"/>
          <w:sz w:val="24"/>
          <w:szCs w:val="24"/>
        </w:rPr>
        <w:t xml:space="preserve">, as well as requiring these customers to pay a </w:t>
      </w:r>
      <w:r w:rsidR="007A5F92" w:rsidRPr="00D813D7">
        <w:rPr>
          <w:rFonts w:ascii="Times New Roman" w:hAnsi="Times New Roman"/>
          <w:sz w:val="24"/>
          <w:szCs w:val="24"/>
        </w:rPr>
        <w:t xml:space="preserve">Stranded Cost Recovery </w:t>
      </w:r>
      <w:r w:rsidR="004F78F9" w:rsidRPr="00D813D7">
        <w:rPr>
          <w:rFonts w:ascii="Times New Roman" w:hAnsi="Times New Roman"/>
          <w:sz w:val="24"/>
          <w:szCs w:val="24"/>
        </w:rPr>
        <w:t>Fee</w:t>
      </w:r>
      <w:r w:rsidR="00414FFD" w:rsidRPr="00D813D7">
        <w:rPr>
          <w:rFonts w:ascii="Times New Roman" w:hAnsi="Times New Roman"/>
          <w:sz w:val="24"/>
          <w:szCs w:val="24"/>
        </w:rPr>
        <w:t xml:space="preserve">. </w:t>
      </w:r>
    </w:p>
    <w:p w:rsidR="00336F9E" w:rsidRPr="00D813D7" w:rsidRDefault="00EC23C8" w:rsidP="00B26E6C">
      <w:pPr>
        <w:spacing w:after="0" w:line="480" w:lineRule="auto"/>
        <w:ind w:left="720" w:hanging="720"/>
        <w:jc w:val="both"/>
        <w:rPr>
          <w:rFonts w:ascii="Times New Roman" w:hAnsi="Times New Roman"/>
          <w:b/>
          <w:sz w:val="24"/>
          <w:szCs w:val="24"/>
        </w:rPr>
      </w:pPr>
      <w:r w:rsidRPr="00D813D7">
        <w:rPr>
          <w:rFonts w:ascii="Times New Roman" w:hAnsi="Times New Roman"/>
          <w:b/>
          <w:sz w:val="24"/>
          <w:szCs w:val="24"/>
        </w:rPr>
        <w:t>Q:</w:t>
      </w:r>
      <w:r w:rsidR="00336F9E" w:rsidRPr="00D813D7">
        <w:rPr>
          <w:rFonts w:ascii="Times New Roman" w:hAnsi="Times New Roman"/>
          <w:b/>
          <w:sz w:val="24"/>
          <w:szCs w:val="24"/>
        </w:rPr>
        <w:tab/>
        <w:t xml:space="preserve">Please describe the scope of your review of the Company’s </w:t>
      </w:r>
      <w:r w:rsidR="00411CF1" w:rsidRPr="00D813D7">
        <w:rPr>
          <w:rFonts w:ascii="Times New Roman" w:hAnsi="Times New Roman"/>
          <w:b/>
          <w:sz w:val="24"/>
          <w:szCs w:val="24"/>
        </w:rPr>
        <w:t>proposed revisions to Rule 6 and Schedule 300.</w:t>
      </w:r>
    </w:p>
    <w:p w:rsidR="00336F9E" w:rsidRPr="00D813D7" w:rsidRDefault="00EC23C8" w:rsidP="00ED425C">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336F9E" w:rsidRPr="00D813D7">
        <w:rPr>
          <w:rFonts w:ascii="Times New Roman" w:hAnsi="Times New Roman"/>
          <w:sz w:val="24"/>
          <w:szCs w:val="24"/>
        </w:rPr>
        <w:tab/>
        <w:t>My revi</w:t>
      </w:r>
      <w:r w:rsidR="00411CF1" w:rsidRPr="00D813D7">
        <w:rPr>
          <w:rFonts w:ascii="Times New Roman" w:hAnsi="Times New Roman"/>
          <w:sz w:val="24"/>
          <w:szCs w:val="24"/>
        </w:rPr>
        <w:t xml:space="preserve">ew of the proposed changes to Rule 6 and Schedule 300 </w:t>
      </w:r>
      <w:r w:rsidR="00336F9E" w:rsidRPr="00D813D7">
        <w:rPr>
          <w:rFonts w:ascii="Times New Roman" w:hAnsi="Times New Roman"/>
          <w:sz w:val="24"/>
          <w:szCs w:val="24"/>
        </w:rPr>
        <w:t xml:space="preserve">in this testimony is focused on </w:t>
      </w:r>
      <w:r w:rsidR="00AF67BD" w:rsidRPr="00D813D7">
        <w:rPr>
          <w:rFonts w:ascii="Times New Roman" w:hAnsi="Times New Roman"/>
          <w:sz w:val="24"/>
          <w:szCs w:val="24"/>
        </w:rPr>
        <w:t>five</w:t>
      </w:r>
      <w:r w:rsidR="00BD37F8" w:rsidRPr="00D813D7">
        <w:rPr>
          <w:rFonts w:ascii="Times New Roman" w:hAnsi="Times New Roman"/>
          <w:sz w:val="24"/>
          <w:szCs w:val="24"/>
        </w:rPr>
        <w:t xml:space="preserve"> </w:t>
      </w:r>
      <w:r w:rsidR="00336F9E" w:rsidRPr="00D813D7">
        <w:rPr>
          <w:rFonts w:ascii="Times New Roman" w:hAnsi="Times New Roman"/>
          <w:sz w:val="24"/>
          <w:szCs w:val="24"/>
        </w:rPr>
        <w:t>issues:</w:t>
      </w:r>
    </w:p>
    <w:p w:rsidR="00B909B0" w:rsidRPr="00D813D7" w:rsidRDefault="00F06A6D" w:rsidP="00ED425C">
      <w:pPr>
        <w:pStyle w:val="ListParagraph"/>
        <w:widowControl w:val="0"/>
        <w:numPr>
          <w:ilvl w:val="0"/>
          <w:numId w:val="4"/>
        </w:numPr>
        <w:spacing w:after="0" w:line="480" w:lineRule="auto"/>
        <w:rPr>
          <w:rFonts w:ascii="Times New Roman" w:hAnsi="Times New Roman"/>
          <w:b/>
          <w:sz w:val="24"/>
          <w:szCs w:val="24"/>
        </w:rPr>
      </w:pPr>
      <w:r w:rsidRPr="00D813D7">
        <w:rPr>
          <w:rFonts w:ascii="Times New Roman" w:hAnsi="Times New Roman"/>
          <w:sz w:val="24"/>
          <w:szCs w:val="24"/>
        </w:rPr>
        <w:t>Whether the proposed Stran</w:t>
      </w:r>
      <w:r w:rsidR="00B909B0" w:rsidRPr="00D813D7">
        <w:rPr>
          <w:rFonts w:ascii="Times New Roman" w:hAnsi="Times New Roman"/>
          <w:sz w:val="24"/>
          <w:szCs w:val="24"/>
        </w:rPr>
        <w:t xml:space="preserve">ded Cost Recovery Fee </w:t>
      </w:r>
      <w:r w:rsidR="00B90B37" w:rsidRPr="00D813D7">
        <w:rPr>
          <w:rFonts w:ascii="Times New Roman" w:hAnsi="Times New Roman"/>
          <w:sz w:val="24"/>
          <w:szCs w:val="24"/>
        </w:rPr>
        <w:t xml:space="preserve">is fair and equitable to </w:t>
      </w:r>
      <w:r w:rsidR="00C050C4" w:rsidRPr="00D813D7">
        <w:rPr>
          <w:rFonts w:ascii="Times New Roman" w:hAnsi="Times New Roman"/>
          <w:sz w:val="24"/>
          <w:szCs w:val="24"/>
        </w:rPr>
        <w:t xml:space="preserve">both </w:t>
      </w:r>
      <w:r w:rsidR="00B90B37" w:rsidRPr="00D813D7">
        <w:rPr>
          <w:rFonts w:ascii="Times New Roman" w:hAnsi="Times New Roman"/>
          <w:sz w:val="24"/>
          <w:szCs w:val="24"/>
        </w:rPr>
        <w:t>customers who choose to disconnect and take service from another provider</w:t>
      </w:r>
      <w:r w:rsidR="00F83A7F" w:rsidRPr="00D813D7">
        <w:rPr>
          <w:rFonts w:ascii="Times New Roman" w:hAnsi="Times New Roman"/>
          <w:sz w:val="24"/>
          <w:szCs w:val="24"/>
        </w:rPr>
        <w:t xml:space="preserve"> and </w:t>
      </w:r>
      <w:r w:rsidR="00C050C4" w:rsidRPr="00D813D7">
        <w:rPr>
          <w:rFonts w:ascii="Times New Roman" w:hAnsi="Times New Roman"/>
          <w:sz w:val="24"/>
          <w:szCs w:val="24"/>
        </w:rPr>
        <w:t xml:space="preserve">the Company’s </w:t>
      </w:r>
      <w:r w:rsidR="00F83A7F" w:rsidRPr="00D813D7">
        <w:rPr>
          <w:rFonts w:ascii="Times New Roman" w:hAnsi="Times New Roman"/>
          <w:sz w:val="24"/>
          <w:szCs w:val="24"/>
        </w:rPr>
        <w:t>remaining customers</w:t>
      </w:r>
      <w:r w:rsidR="00BD37F8" w:rsidRPr="00D813D7">
        <w:rPr>
          <w:rFonts w:ascii="Times New Roman" w:hAnsi="Times New Roman"/>
          <w:sz w:val="24"/>
          <w:szCs w:val="24"/>
        </w:rPr>
        <w:t xml:space="preserve">; </w:t>
      </w:r>
    </w:p>
    <w:p w:rsidR="00340081" w:rsidRPr="00D813D7" w:rsidRDefault="00340081" w:rsidP="00ED425C">
      <w:pPr>
        <w:pStyle w:val="ListParagraph"/>
        <w:widowControl w:val="0"/>
        <w:numPr>
          <w:ilvl w:val="0"/>
          <w:numId w:val="4"/>
        </w:numPr>
        <w:spacing w:after="0" w:line="480" w:lineRule="auto"/>
        <w:rPr>
          <w:rFonts w:ascii="Times New Roman" w:hAnsi="Times New Roman"/>
          <w:b/>
          <w:sz w:val="24"/>
          <w:szCs w:val="24"/>
        </w:rPr>
      </w:pPr>
      <w:r w:rsidRPr="00D813D7">
        <w:rPr>
          <w:rFonts w:ascii="Times New Roman" w:hAnsi="Times New Roman"/>
          <w:sz w:val="24"/>
          <w:szCs w:val="24"/>
        </w:rPr>
        <w:t>Whether the proposed additions of Option One and Option Two under Rule 6 are fair and equitable to both Pacific Power and departing customers;</w:t>
      </w:r>
    </w:p>
    <w:p w:rsidR="00340081" w:rsidRPr="00D813D7" w:rsidRDefault="00340081" w:rsidP="00ED425C">
      <w:pPr>
        <w:pStyle w:val="ListParagraph"/>
        <w:widowControl w:val="0"/>
        <w:numPr>
          <w:ilvl w:val="0"/>
          <w:numId w:val="4"/>
        </w:numPr>
        <w:spacing w:after="0" w:line="480" w:lineRule="auto"/>
        <w:rPr>
          <w:rFonts w:ascii="Times New Roman" w:hAnsi="Times New Roman"/>
          <w:b/>
          <w:sz w:val="24"/>
          <w:szCs w:val="24"/>
        </w:rPr>
      </w:pPr>
      <w:r w:rsidRPr="00D813D7">
        <w:rPr>
          <w:rFonts w:ascii="Times New Roman" w:hAnsi="Times New Roman"/>
          <w:sz w:val="24"/>
          <w:szCs w:val="24"/>
        </w:rPr>
        <w:t xml:space="preserve">Whether the proposed tariff change should apply to all customer classes at this time, </w:t>
      </w:r>
      <w:r w:rsidRPr="00D813D7">
        <w:rPr>
          <w:rFonts w:ascii="Times New Roman" w:hAnsi="Times New Roman"/>
          <w:sz w:val="24"/>
          <w:szCs w:val="24"/>
        </w:rPr>
        <w:lastRenderedPageBreak/>
        <w:t>including residential customers;</w:t>
      </w:r>
    </w:p>
    <w:p w:rsidR="0028485E" w:rsidRPr="00D813D7" w:rsidRDefault="00BD37F8" w:rsidP="00340081">
      <w:pPr>
        <w:pStyle w:val="ListParagraph"/>
        <w:widowControl w:val="0"/>
        <w:numPr>
          <w:ilvl w:val="0"/>
          <w:numId w:val="4"/>
        </w:numPr>
        <w:spacing w:after="0" w:line="480" w:lineRule="auto"/>
        <w:rPr>
          <w:rFonts w:ascii="Times New Roman" w:hAnsi="Times New Roman"/>
          <w:b/>
          <w:sz w:val="24"/>
          <w:szCs w:val="24"/>
        </w:rPr>
      </w:pPr>
      <w:r w:rsidRPr="00D813D7">
        <w:rPr>
          <w:rFonts w:ascii="Times New Roman" w:hAnsi="Times New Roman"/>
          <w:sz w:val="24"/>
          <w:szCs w:val="24"/>
        </w:rPr>
        <w:t>Whether the departure of existing customers who choose to take service from another provider creates a safety concern</w:t>
      </w:r>
      <w:r w:rsidR="00AF67BD" w:rsidRPr="00D813D7">
        <w:rPr>
          <w:rFonts w:ascii="Times New Roman" w:hAnsi="Times New Roman"/>
          <w:sz w:val="24"/>
          <w:szCs w:val="24"/>
        </w:rPr>
        <w:t xml:space="preserve">; </w:t>
      </w:r>
      <w:r w:rsidR="00340081" w:rsidRPr="00D813D7">
        <w:rPr>
          <w:rFonts w:ascii="Times New Roman" w:hAnsi="Times New Roman"/>
          <w:sz w:val="24"/>
          <w:szCs w:val="24"/>
        </w:rPr>
        <w:t>and</w:t>
      </w:r>
    </w:p>
    <w:p w:rsidR="002D1646" w:rsidRPr="00D813D7" w:rsidRDefault="00BD37F8" w:rsidP="00EC23C8">
      <w:pPr>
        <w:pStyle w:val="ListParagraph"/>
        <w:widowControl w:val="0"/>
        <w:numPr>
          <w:ilvl w:val="0"/>
          <w:numId w:val="4"/>
        </w:numPr>
        <w:spacing w:after="0" w:line="480" w:lineRule="auto"/>
        <w:rPr>
          <w:rStyle w:val="LineNumber"/>
          <w:b/>
          <w:szCs w:val="24"/>
        </w:rPr>
      </w:pPr>
      <w:r w:rsidRPr="00D813D7">
        <w:rPr>
          <w:rFonts w:ascii="Times New Roman" w:hAnsi="Times New Roman"/>
          <w:sz w:val="24"/>
          <w:szCs w:val="24"/>
        </w:rPr>
        <w:t>Whether the</w:t>
      </w:r>
      <w:r w:rsidR="004A3D40" w:rsidRPr="00D813D7">
        <w:rPr>
          <w:rFonts w:ascii="Times New Roman" w:hAnsi="Times New Roman"/>
          <w:sz w:val="24"/>
          <w:szCs w:val="24"/>
        </w:rPr>
        <w:t xml:space="preserve"> Company’s continued operation as the </w:t>
      </w:r>
      <w:r w:rsidR="00D62C6E" w:rsidRPr="00D813D7">
        <w:rPr>
          <w:rFonts w:ascii="Times New Roman" w:hAnsi="Times New Roman"/>
          <w:sz w:val="24"/>
          <w:szCs w:val="24"/>
        </w:rPr>
        <w:t>service provider to existing customers located in</w:t>
      </w:r>
      <w:r w:rsidR="004A3D40" w:rsidRPr="00D813D7">
        <w:rPr>
          <w:rFonts w:ascii="Times New Roman" w:hAnsi="Times New Roman"/>
          <w:sz w:val="24"/>
          <w:szCs w:val="24"/>
        </w:rPr>
        <w:t xml:space="preserve"> the counties of Columbia and Walla Walla</w:t>
      </w:r>
      <w:r w:rsidR="00D62C6E" w:rsidRPr="00D813D7">
        <w:rPr>
          <w:rFonts w:ascii="Times New Roman" w:hAnsi="Times New Roman"/>
          <w:sz w:val="24"/>
          <w:szCs w:val="24"/>
        </w:rPr>
        <w:t xml:space="preserve"> while remaining</w:t>
      </w:r>
      <w:r w:rsidR="004A3D40" w:rsidRPr="00D813D7">
        <w:rPr>
          <w:rFonts w:ascii="Times New Roman" w:hAnsi="Times New Roman"/>
          <w:sz w:val="24"/>
          <w:szCs w:val="24"/>
        </w:rPr>
        <w:t xml:space="preserve"> subject to loss of load to competitive providers erodes the generally accepted notion of a regulatory compact</w:t>
      </w:r>
      <w:r w:rsidR="00D62C6E" w:rsidRPr="00D813D7">
        <w:rPr>
          <w:rFonts w:ascii="Times New Roman" w:hAnsi="Times New Roman"/>
          <w:sz w:val="24"/>
          <w:szCs w:val="24"/>
        </w:rPr>
        <w:t xml:space="preserve"> between the state and the utility</w:t>
      </w:r>
      <w:r w:rsidR="00340081" w:rsidRPr="00D813D7">
        <w:rPr>
          <w:rFonts w:ascii="Times New Roman" w:hAnsi="Times New Roman"/>
          <w:sz w:val="24"/>
          <w:szCs w:val="24"/>
        </w:rPr>
        <w:t>.</w:t>
      </w:r>
    </w:p>
    <w:p w:rsidR="002D1646" w:rsidRPr="00D813D7" w:rsidRDefault="00EC23C8" w:rsidP="00663AFE">
      <w:pPr>
        <w:pStyle w:val="Heading1"/>
        <w:rPr>
          <w:caps/>
        </w:rPr>
      </w:pPr>
      <w:bookmarkStart w:id="7" w:name="_Toc479329363"/>
      <w:r w:rsidRPr="00D813D7">
        <w:rPr>
          <w:caps/>
        </w:rPr>
        <w:tab/>
      </w:r>
      <w:bookmarkStart w:id="8" w:name="_Toc480530019"/>
      <w:r w:rsidR="002D1646" w:rsidRPr="00D813D7">
        <w:rPr>
          <w:caps/>
        </w:rPr>
        <w:t>Background</w:t>
      </w:r>
      <w:bookmarkEnd w:id="7"/>
      <w:bookmarkEnd w:id="8"/>
    </w:p>
    <w:p w:rsidR="002D1646" w:rsidRPr="00D813D7" w:rsidRDefault="00EC23C8" w:rsidP="00663AFE">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2D1646" w:rsidRPr="00D813D7">
        <w:rPr>
          <w:rFonts w:ascii="Times New Roman" w:hAnsi="Times New Roman"/>
          <w:b/>
          <w:sz w:val="24"/>
          <w:szCs w:val="24"/>
        </w:rPr>
        <w:tab/>
        <w:t xml:space="preserve">Please briefly describe the circumstances </w:t>
      </w:r>
      <w:r w:rsidR="00A14D9A" w:rsidRPr="00D813D7">
        <w:rPr>
          <w:rFonts w:ascii="Times New Roman" w:hAnsi="Times New Roman"/>
          <w:b/>
          <w:sz w:val="24"/>
          <w:szCs w:val="24"/>
        </w:rPr>
        <w:t>that have motivated</w:t>
      </w:r>
      <w:r w:rsidR="002D1646" w:rsidRPr="00D813D7">
        <w:rPr>
          <w:rFonts w:ascii="Times New Roman" w:hAnsi="Times New Roman"/>
          <w:b/>
          <w:sz w:val="24"/>
          <w:szCs w:val="24"/>
        </w:rPr>
        <w:t xml:space="preserve"> the Company to propose changes to its tariff</w:t>
      </w:r>
      <w:r w:rsidR="00A14D9A" w:rsidRPr="00D813D7">
        <w:rPr>
          <w:rFonts w:ascii="Times New Roman" w:hAnsi="Times New Roman"/>
          <w:b/>
          <w:sz w:val="24"/>
          <w:szCs w:val="24"/>
        </w:rPr>
        <w:t xml:space="preserve"> in this proceeding</w:t>
      </w:r>
      <w:r w:rsidR="002D1646" w:rsidRPr="00D813D7">
        <w:rPr>
          <w:rFonts w:ascii="Times New Roman" w:hAnsi="Times New Roman"/>
          <w:b/>
          <w:sz w:val="24"/>
          <w:szCs w:val="24"/>
        </w:rPr>
        <w:t>.</w:t>
      </w:r>
    </w:p>
    <w:p w:rsidR="008F1B6B" w:rsidRPr="00D813D7" w:rsidRDefault="002D1646" w:rsidP="00663AFE">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EC23C8" w:rsidRPr="00D813D7">
        <w:rPr>
          <w:rFonts w:ascii="Times New Roman" w:hAnsi="Times New Roman"/>
          <w:sz w:val="24"/>
          <w:szCs w:val="24"/>
        </w:rPr>
        <w:t>:</w:t>
      </w:r>
      <w:r w:rsidRPr="00D813D7">
        <w:rPr>
          <w:rFonts w:ascii="Times New Roman" w:hAnsi="Times New Roman"/>
          <w:sz w:val="24"/>
          <w:szCs w:val="24"/>
        </w:rPr>
        <w:tab/>
      </w:r>
      <w:r w:rsidR="008F1B6B" w:rsidRPr="00D813D7">
        <w:rPr>
          <w:rFonts w:ascii="Times New Roman" w:hAnsi="Times New Roman"/>
          <w:sz w:val="24"/>
          <w:szCs w:val="24"/>
        </w:rPr>
        <w:t xml:space="preserve">Prior to 1999, the </w:t>
      </w:r>
      <w:r w:rsidR="004D5298">
        <w:rPr>
          <w:rFonts w:ascii="Times New Roman" w:hAnsi="Times New Roman"/>
          <w:sz w:val="24"/>
          <w:szCs w:val="24"/>
        </w:rPr>
        <w:t xml:space="preserve">Company had an </w:t>
      </w:r>
      <w:r w:rsidR="00C418C8" w:rsidRPr="00D813D7">
        <w:rPr>
          <w:rFonts w:ascii="Times New Roman" w:hAnsi="Times New Roman"/>
          <w:sz w:val="24"/>
          <w:szCs w:val="24"/>
        </w:rPr>
        <w:t xml:space="preserve">informal agreement with the Columbia Rural Electric Association (“CREA”) </w:t>
      </w:r>
      <w:r w:rsidR="008F1B6B" w:rsidRPr="00D813D7">
        <w:rPr>
          <w:rFonts w:ascii="Times New Roman" w:hAnsi="Times New Roman"/>
          <w:sz w:val="24"/>
          <w:szCs w:val="24"/>
        </w:rPr>
        <w:t>under which</w:t>
      </w:r>
      <w:r w:rsidR="00C418C8" w:rsidRPr="00D813D7">
        <w:rPr>
          <w:rFonts w:ascii="Times New Roman" w:hAnsi="Times New Roman"/>
          <w:sz w:val="24"/>
          <w:szCs w:val="24"/>
        </w:rPr>
        <w:t xml:space="preserve"> the utility whose facilities were located closest to a customer would serve that customer.</w:t>
      </w:r>
      <w:r w:rsidR="00B97F1A" w:rsidRPr="00D813D7">
        <w:rPr>
          <w:rStyle w:val="FootnoteReference"/>
          <w:rFonts w:ascii="Times New Roman" w:hAnsi="Times New Roman"/>
          <w:sz w:val="24"/>
          <w:szCs w:val="24"/>
        </w:rPr>
        <w:footnoteReference w:id="1"/>
      </w:r>
      <w:r w:rsidR="008F1B6B" w:rsidRPr="00D813D7">
        <w:rPr>
          <w:rFonts w:ascii="Times New Roman" w:hAnsi="Times New Roman"/>
          <w:sz w:val="24"/>
          <w:szCs w:val="24"/>
        </w:rPr>
        <w:t xml:space="preserve">  In 1999, the Company received approval of its original net removal tariff, and s</w:t>
      </w:r>
      <w:r w:rsidR="00C418C8" w:rsidRPr="00D813D7">
        <w:rPr>
          <w:rFonts w:ascii="Times New Roman" w:hAnsi="Times New Roman"/>
          <w:sz w:val="24"/>
          <w:szCs w:val="24"/>
        </w:rPr>
        <w:t>ince the original net removal tariff went into effect, additional customers have requested permanent disconnection</w:t>
      </w:r>
      <w:r w:rsidR="008F1B6B" w:rsidRPr="00D813D7">
        <w:rPr>
          <w:rFonts w:ascii="Times New Roman" w:hAnsi="Times New Roman"/>
          <w:sz w:val="24"/>
          <w:szCs w:val="24"/>
        </w:rPr>
        <w:t xml:space="preserve">.  </w:t>
      </w:r>
      <w:r w:rsidR="002128E2">
        <w:rPr>
          <w:rFonts w:ascii="Times New Roman" w:hAnsi="Times New Roman"/>
          <w:sz w:val="24"/>
          <w:szCs w:val="24"/>
        </w:rPr>
        <w:t>According to Pacific Power</w:t>
      </w:r>
      <w:r w:rsidR="00787374" w:rsidRPr="00D813D7">
        <w:rPr>
          <w:rFonts w:ascii="Times New Roman" w:hAnsi="Times New Roman"/>
          <w:sz w:val="24"/>
          <w:szCs w:val="24"/>
        </w:rPr>
        <w:t xml:space="preserve">, </w:t>
      </w:r>
      <w:r w:rsidR="00AB5D36" w:rsidRPr="00D813D7">
        <w:rPr>
          <w:rFonts w:ascii="Times New Roman" w:hAnsi="Times New Roman"/>
          <w:sz w:val="24"/>
          <w:szCs w:val="24"/>
        </w:rPr>
        <w:t>the</w:t>
      </w:r>
      <w:r w:rsidR="008F1B6B" w:rsidRPr="00D813D7">
        <w:rPr>
          <w:rFonts w:ascii="Times New Roman" w:hAnsi="Times New Roman"/>
          <w:sz w:val="24"/>
          <w:szCs w:val="24"/>
        </w:rPr>
        <w:t xml:space="preserve"> continued demand for disconnection has created</w:t>
      </w:r>
      <w:r w:rsidR="00160577" w:rsidRPr="00D813D7">
        <w:rPr>
          <w:rFonts w:ascii="Times New Roman" w:hAnsi="Times New Roman"/>
          <w:sz w:val="24"/>
          <w:szCs w:val="24"/>
        </w:rPr>
        <w:t xml:space="preserve"> the potential for duplicative</w:t>
      </w:r>
      <w:r w:rsidR="00CC46A8" w:rsidRPr="00D813D7">
        <w:rPr>
          <w:rFonts w:ascii="Times New Roman" w:hAnsi="Times New Roman"/>
          <w:sz w:val="24"/>
          <w:szCs w:val="24"/>
        </w:rPr>
        <w:t xml:space="preserve"> </w:t>
      </w:r>
      <w:r w:rsidR="00C418C8" w:rsidRPr="00D813D7">
        <w:rPr>
          <w:rFonts w:ascii="Times New Roman" w:hAnsi="Times New Roman"/>
          <w:sz w:val="24"/>
          <w:szCs w:val="24"/>
        </w:rPr>
        <w:t xml:space="preserve">facilities at the same customer location and </w:t>
      </w:r>
      <w:r w:rsidR="00AB5D36" w:rsidRPr="00D813D7">
        <w:rPr>
          <w:rFonts w:ascii="Times New Roman" w:hAnsi="Times New Roman"/>
          <w:sz w:val="24"/>
          <w:szCs w:val="24"/>
        </w:rPr>
        <w:t xml:space="preserve">may </w:t>
      </w:r>
      <w:r w:rsidR="00CC46A8" w:rsidRPr="00D813D7">
        <w:rPr>
          <w:rFonts w:ascii="Times New Roman" w:hAnsi="Times New Roman"/>
          <w:sz w:val="24"/>
          <w:szCs w:val="24"/>
        </w:rPr>
        <w:t>lead to</w:t>
      </w:r>
      <w:r w:rsidR="00D25B64" w:rsidRPr="00D813D7">
        <w:rPr>
          <w:rFonts w:ascii="Times New Roman" w:hAnsi="Times New Roman"/>
          <w:sz w:val="24"/>
          <w:szCs w:val="24"/>
        </w:rPr>
        <w:t xml:space="preserve"> </w:t>
      </w:r>
      <w:r w:rsidR="00C418C8" w:rsidRPr="00D813D7">
        <w:rPr>
          <w:rFonts w:ascii="Times New Roman" w:hAnsi="Times New Roman"/>
          <w:sz w:val="24"/>
          <w:szCs w:val="24"/>
        </w:rPr>
        <w:t xml:space="preserve">stranded costs </w:t>
      </w:r>
      <w:r w:rsidR="00CC46A8" w:rsidRPr="00D813D7">
        <w:rPr>
          <w:rFonts w:ascii="Times New Roman" w:hAnsi="Times New Roman"/>
          <w:sz w:val="24"/>
          <w:szCs w:val="24"/>
        </w:rPr>
        <w:t xml:space="preserve">for which recovery is either at risk or </w:t>
      </w:r>
      <w:r w:rsidR="00C418C8" w:rsidRPr="00D813D7">
        <w:rPr>
          <w:rFonts w:ascii="Times New Roman" w:hAnsi="Times New Roman"/>
          <w:sz w:val="24"/>
          <w:szCs w:val="24"/>
        </w:rPr>
        <w:t xml:space="preserve">must be recovered from </w:t>
      </w:r>
      <w:r w:rsidR="00CC46A8" w:rsidRPr="00D813D7">
        <w:rPr>
          <w:rFonts w:ascii="Times New Roman" w:hAnsi="Times New Roman"/>
          <w:sz w:val="24"/>
          <w:szCs w:val="24"/>
        </w:rPr>
        <w:t xml:space="preserve">the Company’s </w:t>
      </w:r>
      <w:r w:rsidR="00C418C8" w:rsidRPr="00D813D7">
        <w:rPr>
          <w:rFonts w:ascii="Times New Roman" w:hAnsi="Times New Roman"/>
          <w:sz w:val="24"/>
          <w:szCs w:val="24"/>
        </w:rPr>
        <w:t>remaining customers.</w:t>
      </w:r>
      <w:r w:rsidR="00790224" w:rsidRPr="00D813D7">
        <w:rPr>
          <w:rFonts w:ascii="Times New Roman" w:hAnsi="Times New Roman"/>
          <w:sz w:val="24"/>
          <w:szCs w:val="24"/>
        </w:rPr>
        <w:t xml:space="preserve"> </w:t>
      </w:r>
    </w:p>
    <w:p w:rsidR="002D1646" w:rsidRPr="00D813D7" w:rsidRDefault="008F1B6B" w:rsidP="00EC23C8">
      <w:pPr>
        <w:widowControl w:val="0"/>
        <w:spacing w:after="0" w:line="480" w:lineRule="auto"/>
        <w:ind w:left="720" w:hanging="720"/>
        <w:rPr>
          <w:rStyle w:val="LineNumber"/>
          <w:szCs w:val="24"/>
        </w:rPr>
      </w:pPr>
      <w:r w:rsidRPr="00D813D7">
        <w:rPr>
          <w:rFonts w:ascii="Times New Roman" w:hAnsi="Times New Roman"/>
          <w:sz w:val="24"/>
          <w:szCs w:val="24"/>
        </w:rPr>
        <w:tab/>
      </w:r>
      <w:r w:rsidRPr="00D813D7">
        <w:rPr>
          <w:rFonts w:ascii="Times New Roman" w:hAnsi="Times New Roman"/>
          <w:sz w:val="24"/>
          <w:szCs w:val="24"/>
        </w:rPr>
        <w:tab/>
      </w:r>
      <w:r w:rsidR="00C418C8" w:rsidRPr="00D813D7">
        <w:rPr>
          <w:rFonts w:ascii="Times New Roman" w:hAnsi="Times New Roman"/>
          <w:sz w:val="24"/>
          <w:szCs w:val="24"/>
        </w:rPr>
        <w:t>The most recent instance</w:t>
      </w:r>
      <w:r w:rsidRPr="00D813D7">
        <w:rPr>
          <w:rFonts w:ascii="Times New Roman" w:hAnsi="Times New Roman"/>
          <w:sz w:val="24"/>
          <w:szCs w:val="24"/>
        </w:rPr>
        <w:t xml:space="preserve"> of permanent disconnection</w:t>
      </w:r>
      <w:r w:rsidR="00C418C8" w:rsidRPr="00D813D7">
        <w:rPr>
          <w:rFonts w:ascii="Times New Roman" w:hAnsi="Times New Roman"/>
          <w:sz w:val="24"/>
          <w:szCs w:val="24"/>
        </w:rPr>
        <w:t xml:space="preserve"> was reviewed</w:t>
      </w:r>
      <w:r w:rsidR="00D25B64" w:rsidRPr="00D813D7">
        <w:rPr>
          <w:rFonts w:ascii="Times New Roman" w:hAnsi="Times New Roman"/>
          <w:sz w:val="24"/>
          <w:szCs w:val="24"/>
        </w:rPr>
        <w:t xml:space="preserve"> by the Commission</w:t>
      </w:r>
      <w:r w:rsidR="0041792A">
        <w:rPr>
          <w:rFonts w:ascii="Times New Roman" w:hAnsi="Times New Roman"/>
          <w:sz w:val="24"/>
          <w:szCs w:val="24"/>
        </w:rPr>
        <w:t xml:space="preserve"> in Docket</w:t>
      </w:r>
      <w:r w:rsidR="00790224" w:rsidRPr="00D813D7">
        <w:rPr>
          <w:rFonts w:ascii="Times New Roman" w:hAnsi="Times New Roman"/>
          <w:sz w:val="24"/>
          <w:szCs w:val="24"/>
        </w:rPr>
        <w:t xml:space="preserve"> </w:t>
      </w:r>
      <w:r w:rsidR="00C418C8" w:rsidRPr="00D813D7">
        <w:rPr>
          <w:rFonts w:ascii="Times New Roman" w:hAnsi="Times New Roman"/>
          <w:sz w:val="24"/>
          <w:szCs w:val="24"/>
        </w:rPr>
        <w:t>UE-143932</w:t>
      </w:r>
      <w:r w:rsidR="00B97F1A" w:rsidRPr="00D813D7">
        <w:rPr>
          <w:rFonts w:ascii="Times New Roman" w:hAnsi="Times New Roman"/>
          <w:sz w:val="24"/>
          <w:szCs w:val="24"/>
        </w:rPr>
        <w:t xml:space="preserve">, </w:t>
      </w:r>
      <w:r w:rsidR="00B97F1A" w:rsidRPr="002128E2">
        <w:rPr>
          <w:rFonts w:ascii="Times New Roman" w:hAnsi="Times New Roman"/>
          <w:i/>
          <w:sz w:val="24"/>
          <w:szCs w:val="24"/>
        </w:rPr>
        <w:t>Walla Walla Country Club v. Pacific Power</w:t>
      </w:r>
      <w:r w:rsidR="00C418C8" w:rsidRPr="00D813D7">
        <w:rPr>
          <w:rFonts w:ascii="Times New Roman" w:hAnsi="Times New Roman"/>
          <w:sz w:val="24"/>
          <w:szCs w:val="24"/>
        </w:rPr>
        <w:t>.</w:t>
      </w:r>
      <w:r w:rsidR="00790224" w:rsidRPr="00D813D7">
        <w:rPr>
          <w:rFonts w:ascii="Times New Roman" w:hAnsi="Times New Roman"/>
          <w:sz w:val="24"/>
          <w:szCs w:val="24"/>
        </w:rPr>
        <w:t xml:space="preserve"> </w:t>
      </w:r>
      <w:r w:rsidR="00150952">
        <w:rPr>
          <w:rFonts w:ascii="Times New Roman" w:hAnsi="Times New Roman"/>
          <w:sz w:val="24"/>
          <w:szCs w:val="24"/>
        </w:rPr>
        <w:t xml:space="preserve"> </w:t>
      </w:r>
      <w:r w:rsidR="00B97F1A" w:rsidRPr="00D813D7">
        <w:rPr>
          <w:rFonts w:ascii="Times New Roman" w:hAnsi="Times New Roman"/>
          <w:sz w:val="24"/>
          <w:szCs w:val="24"/>
        </w:rPr>
        <w:t xml:space="preserve">In </w:t>
      </w:r>
      <w:r w:rsidRPr="00D813D7">
        <w:rPr>
          <w:rFonts w:ascii="Times New Roman" w:hAnsi="Times New Roman"/>
          <w:sz w:val="24"/>
          <w:szCs w:val="24"/>
        </w:rPr>
        <w:t xml:space="preserve">that </w:t>
      </w:r>
      <w:r w:rsidR="00B97F1A" w:rsidRPr="00D813D7">
        <w:rPr>
          <w:rFonts w:ascii="Times New Roman" w:hAnsi="Times New Roman"/>
          <w:sz w:val="24"/>
          <w:szCs w:val="24"/>
        </w:rPr>
        <w:t xml:space="preserve">docket, Walla Walla Country Club </w:t>
      </w:r>
      <w:r w:rsidR="00CE5AF4" w:rsidRPr="00D813D7">
        <w:rPr>
          <w:rFonts w:ascii="Times New Roman" w:hAnsi="Times New Roman"/>
          <w:sz w:val="24"/>
          <w:szCs w:val="24"/>
        </w:rPr>
        <w:t>requested the Commis</w:t>
      </w:r>
      <w:r w:rsidR="0020248C" w:rsidRPr="00D813D7">
        <w:rPr>
          <w:rFonts w:ascii="Times New Roman" w:hAnsi="Times New Roman"/>
          <w:sz w:val="24"/>
          <w:szCs w:val="24"/>
        </w:rPr>
        <w:t>s</w:t>
      </w:r>
      <w:r w:rsidR="00CE5AF4" w:rsidRPr="00D813D7">
        <w:rPr>
          <w:rFonts w:ascii="Times New Roman" w:hAnsi="Times New Roman"/>
          <w:sz w:val="24"/>
          <w:szCs w:val="24"/>
        </w:rPr>
        <w:t xml:space="preserve">ion to require Pacific Power to disconnect its facilities from the Club’s property under the terms of the Company’s Net </w:t>
      </w:r>
      <w:r w:rsidR="00CE5AF4" w:rsidRPr="00D813D7">
        <w:rPr>
          <w:rFonts w:ascii="Times New Roman" w:hAnsi="Times New Roman"/>
          <w:sz w:val="24"/>
          <w:szCs w:val="24"/>
        </w:rPr>
        <w:lastRenderedPageBreak/>
        <w:t>Removal Tariff, Rule 6.</w:t>
      </w:r>
      <w:r w:rsidR="00790224" w:rsidRPr="00D813D7">
        <w:rPr>
          <w:rFonts w:ascii="Times New Roman" w:hAnsi="Times New Roman"/>
          <w:sz w:val="24"/>
          <w:szCs w:val="24"/>
        </w:rPr>
        <w:t xml:space="preserve"> </w:t>
      </w:r>
      <w:r w:rsidR="0049177E">
        <w:rPr>
          <w:rFonts w:ascii="Times New Roman" w:hAnsi="Times New Roman"/>
          <w:sz w:val="24"/>
          <w:szCs w:val="24"/>
        </w:rPr>
        <w:t xml:space="preserve"> </w:t>
      </w:r>
      <w:r w:rsidR="00CE5AF4" w:rsidRPr="00D813D7">
        <w:rPr>
          <w:rFonts w:ascii="Times New Roman" w:hAnsi="Times New Roman"/>
          <w:sz w:val="24"/>
          <w:szCs w:val="24"/>
        </w:rPr>
        <w:t>The Club disputed the Company’s requirement that certain facilities be included in the cost of removal under Rule 6.</w:t>
      </w:r>
      <w:r w:rsidR="00790224" w:rsidRPr="00D813D7">
        <w:rPr>
          <w:rStyle w:val="FootnoteReference"/>
          <w:rFonts w:ascii="Times New Roman" w:hAnsi="Times New Roman"/>
          <w:sz w:val="24"/>
          <w:szCs w:val="24"/>
        </w:rPr>
        <w:t xml:space="preserve"> </w:t>
      </w:r>
      <w:r w:rsidR="0049177E">
        <w:rPr>
          <w:rStyle w:val="FootnoteReference"/>
          <w:rFonts w:ascii="Times New Roman" w:hAnsi="Times New Roman"/>
          <w:sz w:val="24"/>
          <w:szCs w:val="24"/>
        </w:rPr>
        <w:t xml:space="preserve"> </w:t>
      </w:r>
      <w:r w:rsidR="0049177E">
        <w:rPr>
          <w:rFonts w:ascii="Times New Roman" w:hAnsi="Times New Roman"/>
          <w:sz w:val="24"/>
          <w:szCs w:val="24"/>
        </w:rPr>
        <w:t>The Commission’s final o</w:t>
      </w:r>
      <w:r w:rsidR="00CE5AF4" w:rsidRPr="00D813D7">
        <w:rPr>
          <w:rFonts w:ascii="Times New Roman" w:hAnsi="Times New Roman"/>
          <w:sz w:val="24"/>
          <w:szCs w:val="24"/>
        </w:rPr>
        <w:t>rder in UE-143932 clarified that the Company may charge the Club for the disputed facilities only if a safety or operational reason exists to justify their removal.</w:t>
      </w:r>
      <w:r w:rsidR="00D25B64" w:rsidRPr="00D813D7">
        <w:rPr>
          <w:rStyle w:val="FootnoteReference"/>
          <w:rFonts w:ascii="Times New Roman" w:hAnsi="Times New Roman"/>
          <w:sz w:val="24"/>
          <w:szCs w:val="24"/>
        </w:rPr>
        <w:footnoteReference w:id="2"/>
      </w:r>
      <w:r w:rsidR="00A546E2" w:rsidRPr="00D813D7">
        <w:rPr>
          <w:rFonts w:ascii="Times New Roman" w:hAnsi="Times New Roman"/>
          <w:sz w:val="24"/>
          <w:szCs w:val="24"/>
        </w:rPr>
        <w:t xml:space="preserve">  </w:t>
      </w:r>
      <w:r w:rsidR="00DF32D9" w:rsidRPr="00D813D7">
        <w:rPr>
          <w:rFonts w:ascii="Times New Roman" w:hAnsi="Times New Roman"/>
          <w:sz w:val="24"/>
          <w:szCs w:val="24"/>
        </w:rPr>
        <w:t>Pacific Power’s propos</w:t>
      </w:r>
      <w:r w:rsidR="002128E2">
        <w:rPr>
          <w:rFonts w:ascii="Times New Roman" w:hAnsi="Times New Roman"/>
          <w:sz w:val="24"/>
          <w:szCs w:val="24"/>
        </w:rPr>
        <w:t>al</w:t>
      </w:r>
      <w:r w:rsidR="00DF32D9" w:rsidRPr="00D813D7">
        <w:rPr>
          <w:rFonts w:ascii="Times New Roman" w:hAnsi="Times New Roman"/>
          <w:sz w:val="24"/>
          <w:szCs w:val="24"/>
        </w:rPr>
        <w:t xml:space="preserve"> in the current docket address</w:t>
      </w:r>
      <w:r w:rsidR="002128E2">
        <w:rPr>
          <w:rFonts w:ascii="Times New Roman" w:hAnsi="Times New Roman"/>
          <w:sz w:val="24"/>
          <w:szCs w:val="24"/>
        </w:rPr>
        <w:t>es</w:t>
      </w:r>
      <w:r w:rsidR="00DF32D9" w:rsidRPr="00D813D7">
        <w:rPr>
          <w:rFonts w:ascii="Times New Roman" w:hAnsi="Times New Roman"/>
          <w:sz w:val="24"/>
          <w:szCs w:val="24"/>
        </w:rPr>
        <w:t xml:space="preserve"> changes to the tariff needed in response to the Commission’s clarification in Docket UE-143932.</w:t>
      </w:r>
      <w:r w:rsidR="00790224" w:rsidRPr="00D813D7">
        <w:rPr>
          <w:rFonts w:ascii="Times New Roman" w:hAnsi="Times New Roman"/>
          <w:sz w:val="24"/>
          <w:szCs w:val="24"/>
        </w:rPr>
        <w:t xml:space="preserve"> </w:t>
      </w:r>
      <w:r w:rsidR="00CE5AF4" w:rsidRPr="00D813D7">
        <w:rPr>
          <w:rFonts w:ascii="Times New Roman" w:hAnsi="Times New Roman"/>
          <w:sz w:val="24"/>
          <w:szCs w:val="24"/>
        </w:rPr>
        <w:t xml:space="preserve"> </w:t>
      </w:r>
    </w:p>
    <w:p w:rsidR="002D1646" w:rsidRPr="00D813D7" w:rsidRDefault="00EC23C8" w:rsidP="000E2473">
      <w:pPr>
        <w:pStyle w:val="Heading1"/>
        <w:rPr>
          <w:caps/>
        </w:rPr>
      </w:pPr>
      <w:bookmarkStart w:id="9" w:name="_Toc479329364"/>
      <w:r w:rsidRPr="00D813D7">
        <w:rPr>
          <w:caps/>
        </w:rPr>
        <w:tab/>
      </w:r>
      <w:bookmarkStart w:id="10" w:name="_Toc480530020"/>
      <w:r w:rsidR="002D1646" w:rsidRPr="00D813D7">
        <w:rPr>
          <w:caps/>
        </w:rPr>
        <w:t>Proposed Tariff Revision</w:t>
      </w:r>
      <w:bookmarkEnd w:id="9"/>
      <w:bookmarkEnd w:id="10"/>
    </w:p>
    <w:p w:rsidR="00A14D9A" w:rsidRPr="00D813D7" w:rsidRDefault="00EC23C8" w:rsidP="00A14D9A">
      <w:pPr>
        <w:widowControl w:val="0"/>
        <w:spacing w:after="0" w:line="480" w:lineRule="auto"/>
        <w:rPr>
          <w:rFonts w:ascii="Times New Roman" w:hAnsi="Times New Roman"/>
          <w:b/>
          <w:sz w:val="24"/>
          <w:szCs w:val="24"/>
        </w:rPr>
      </w:pPr>
      <w:r w:rsidRPr="00D813D7">
        <w:rPr>
          <w:rFonts w:ascii="Times New Roman" w:hAnsi="Times New Roman"/>
          <w:b/>
          <w:sz w:val="24"/>
          <w:szCs w:val="24"/>
        </w:rPr>
        <w:t>Q:</w:t>
      </w:r>
      <w:r w:rsidR="00A14D9A" w:rsidRPr="00D813D7">
        <w:rPr>
          <w:rFonts w:ascii="Times New Roman" w:hAnsi="Times New Roman"/>
          <w:b/>
          <w:sz w:val="24"/>
          <w:szCs w:val="24"/>
        </w:rPr>
        <w:tab/>
      </w:r>
      <w:r w:rsidR="00DF32D9" w:rsidRPr="00D813D7">
        <w:rPr>
          <w:rFonts w:ascii="Times New Roman" w:hAnsi="Times New Roman"/>
          <w:b/>
          <w:sz w:val="24"/>
          <w:szCs w:val="24"/>
        </w:rPr>
        <w:t>Please briefly describe the</w:t>
      </w:r>
      <w:r w:rsidR="00A14D9A" w:rsidRPr="00D813D7">
        <w:rPr>
          <w:rFonts w:ascii="Times New Roman" w:hAnsi="Times New Roman"/>
          <w:b/>
          <w:sz w:val="24"/>
          <w:szCs w:val="24"/>
        </w:rPr>
        <w:t xml:space="preserve"> proposed revisions to its current tariff?</w:t>
      </w:r>
    </w:p>
    <w:p w:rsidR="002057AC" w:rsidRPr="00D813D7" w:rsidRDefault="00A14D9A" w:rsidP="0020248C">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EC23C8" w:rsidRPr="00D813D7">
        <w:rPr>
          <w:rFonts w:ascii="Times New Roman" w:hAnsi="Times New Roman"/>
          <w:sz w:val="24"/>
          <w:szCs w:val="24"/>
        </w:rPr>
        <w:t>:</w:t>
      </w:r>
      <w:r w:rsidRPr="00D813D7">
        <w:rPr>
          <w:rFonts w:ascii="Times New Roman" w:hAnsi="Times New Roman"/>
          <w:sz w:val="24"/>
          <w:szCs w:val="24"/>
        </w:rPr>
        <w:tab/>
      </w:r>
      <w:r w:rsidR="002B2A23" w:rsidRPr="00D813D7">
        <w:rPr>
          <w:rFonts w:ascii="Times New Roman" w:hAnsi="Times New Roman"/>
          <w:sz w:val="24"/>
          <w:szCs w:val="24"/>
        </w:rPr>
        <w:t>T</w:t>
      </w:r>
      <w:r w:rsidR="0020248C" w:rsidRPr="00D813D7">
        <w:rPr>
          <w:rFonts w:ascii="Times New Roman" w:hAnsi="Times New Roman"/>
          <w:sz w:val="24"/>
          <w:szCs w:val="24"/>
        </w:rPr>
        <w:t>he Company has proposed revisions to its tarif</w:t>
      </w:r>
      <w:r w:rsidR="00DD2340" w:rsidRPr="00D813D7">
        <w:rPr>
          <w:rFonts w:ascii="Times New Roman" w:hAnsi="Times New Roman"/>
          <w:sz w:val="24"/>
          <w:szCs w:val="24"/>
        </w:rPr>
        <w:t xml:space="preserve">f to be applicable to future requests by any customer </w:t>
      </w:r>
      <w:r w:rsidR="002B2A23" w:rsidRPr="00D813D7">
        <w:rPr>
          <w:rFonts w:ascii="Times New Roman" w:hAnsi="Times New Roman"/>
          <w:sz w:val="24"/>
          <w:szCs w:val="24"/>
        </w:rPr>
        <w:t>requesting</w:t>
      </w:r>
      <w:r w:rsidR="00DD2340" w:rsidRPr="00D813D7">
        <w:rPr>
          <w:rFonts w:ascii="Times New Roman" w:hAnsi="Times New Roman"/>
          <w:sz w:val="24"/>
          <w:szCs w:val="24"/>
        </w:rPr>
        <w:t xml:space="preserve"> permanent disconnection</w:t>
      </w:r>
      <w:r w:rsidR="002B2A23" w:rsidRPr="00D813D7">
        <w:rPr>
          <w:rFonts w:ascii="Times New Roman" w:hAnsi="Times New Roman"/>
          <w:sz w:val="24"/>
          <w:szCs w:val="24"/>
        </w:rPr>
        <w:t>.</w:t>
      </w:r>
      <w:r w:rsidR="00790224" w:rsidRPr="00D813D7">
        <w:rPr>
          <w:rFonts w:ascii="Times New Roman" w:hAnsi="Times New Roman"/>
          <w:sz w:val="24"/>
          <w:szCs w:val="24"/>
        </w:rPr>
        <w:t xml:space="preserve"> </w:t>
      </w:r>
      <w:r w:rsidR="00215046">
        <w:rPr>
          <w:rFonts w:ascii="Times New Roman" w:hAnsi="Times New Roman"/>
          <w:sz w:val="24"/>
          <w:szCs w:val="24"/>
        </w:rPr>
        <w:t xml:space="preserve"> </w:t>
      </w:r>
      <w:r w:rsidR="002B2A23" w:rsidRPr="00D813D7">
        <w:rPr>
          <w:rFonts w:ascii="Times New Roman" w:hAnsi="Times New Roman"/>
          <w:sz w:val="24"/>
          <w:szCs w:val="24"/>
        </w:rPr>
        <w:t>These revisions</w:t>
      </w:r>
      <w:r w:rsidR="00DD2340" w:rsidRPr="00D813D7">
        <w:rPr>
          <w:rFonts w:ascii="Times New Roman" w:hAnsi="Times New Roman"/>
          <w:sz w:val="24"/>
          <w:szCs w:val="24"/>
        </w:rPr>
        <w:t xml:space="preserve"> </w:t>
      </w:r>
      <w:r w:rsidR="0020248C" w:rsidRPr="00D813D7">
        <w:rPr>
          <w:rFonts w:ascii="Times New Roman" w:hAnsi="Times New Roman"/>
          <w:sz w:val="24"/>
          <w:szCs w:val="24"/>
        </w:rPr>
        <w:t>amend Rule 6, General Rules and Regulations – Facilities on Customers’ Premises, and add definitions for related key terms used in Rule 6 to Rule 1, General Rules and Regulations - Definitions.</w:t>
      </w:r>
      <w:r w:rsidR="00663AFE" w:rsidRPr="00D813D7">
        <w:rPr>
          <w:rStyle w:val="FootnoteReference"/>
          <w:rFonts w:ascii="Times New Roman" w:hAnsi="Times New Roman"/>
          <w:sz w:val="24"/>
          <w:szCs w:val="24"/>
        </w:rPr>
        <w:footnoteReference w:id="3"/>
      </w:r>
      <w:r w:rsidR="00790224" w:rsidRPr="00D813D7">
        <w:rPr>
          <w:rFonts w:ascii="Times New Roman" w:hAnsi="Times New Roman"/>
          <w:sz w:val="24"/>
          <w:szCs w:val="24"/>
        </w:rPr>
        <w:t xml:space="preserve"> </w:t>
      </w:r>
    </w:p>
    <w:p w:rsidR="00EC23C8" w:rsidRPr="00D813D7" w:rsidRDefault="009D787B" w:rsidP="00EC23C8">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The proposed revisions to R</w:t>
      </w:r>
      <w:r w:rsidR="00663AFE" w:rsidRPr="00D813D7">
        <w:rPr>
          <w:rFonts w:ascii="Times New Roman" w:hAnsi="Times New Roman"/>
          <w:sz w:val="24"/>
          <w:szCs w:val="24"/>
        </w:rPr>
        <w:t>ule 6</w:t>
      </w:r>
      <w:r w:rsidR="00A842F1" w:rsidRPr="00D813D7">
        <w:rPr>
          <w:rFonts w:ascii="Times New Roman" w:hAnsi="Times New Roman"/>
          <w:sz w:val="24"/>
          <w:szCs w:val="24"/>
        </w:rPr>
        <w:t xml:space="preserve"> </w:t>
      </w:r>
      <w:r w:rsidR="00663AFE" w:rsidRPr="00D813D7">
        <w:rPr>
          <w:rFonts w:ascii="Times New Roman" w:hAnsi="Times New Roman"/>
          <w:sz w:val="24"/>
          <w:szCs w:val="24"/>
        </w:rPr>
        <w:t xml:space="preserve">expand </w:t>
      </w:r>
      <w:r w:rsidR="00A842F1" w:rsidRPr="00D813D7">
        <w:rPr>
          <w:rFonts w:ascii="Times New Roman" w:hAnsi="Times New Roman"/>
          <w:sz w:val="24"/>
          <w:szCs w:val="24"/>
        </w:rPr>
        <w:t xml:space="preserve">the </w:t>
      </w:r>
      <w:r w:rsidR="00663AFE" w:rsidRPr="00D813D7">
        <w:rPr>
          <w:rFonts w:ascii="Times New Roman" w:hAnsi="Times New Roman"/>
          <w:sz w:val="24"/>
          <w:szCs w:val="24"/>
        </w:rPr>
        <w:t>procedure for requesting permanent disconnection</w:t>
      </w:r>
      <w:r w:rsidR="002057AC" w:rsidRPr="00D813D7">
        <w:rPr>
          <w:rFonts w:ascii="Times New Roman" w:hAnsi="Times New Roman"/>
          <w:sz w:val="24"/>
          <w:szCs w:val="24"/>
        </w:rPr>
        <w:t>.</w:t>
      </w:r>
      <w:r w:rsidR="00790224" w:rsidRPr="00D813D7">
        <w:rPr>
          <w:rFonts w:ascii="Times New Roman" w:hAnsi="Times New Roman"/>
          <w:sz w:val="24"/>
          <w:szCs w:val="24"/>
        </w:rPr>
        <w:t xml:space="preserve"> </w:t>
      </w:r>
      <w:r w:rsidR="00215046">
        <w:rPr>
          <w:rFonts w:ascii="Times New Roman" w:hAnsi="Times New Roman"/>
          <w:sz w:val="24"/>
          <w:szCs w:val="24"/>
        </w:rPr>
        <w:t xml:space="preserve"> </w:t>
      </w:r>
      <w:r w:rsidR="00A842F1" w:rsidRPr="00D813D7">
        <w:rPr>
          <w:rFonts w:ascii="Times New Roman" w:hAnsi="Times New Roman"/>
          <w:sz w:val="24"/>
          <w:szCs w:val="24"/>
        </w:rPr>
        <w:t xml:space="preserve">Rule 6, Section I, </w:t>
      </w:r>
      <w:r w:rsidR="002057AC" w:rsidRPr="00D813D7">
        <w:rPr>
          <w:rFonts w:ascii="Times New Roman" w:hAnsi="Times New Roman"/>
          <w:sz w:val="24"/>
          <w:szCs w:val="24"/>
        </w:rPr>
        <w:t>Permanent Disconnection and Removal of Company Facilities</w:t>
      </w:r>
      <w:r w:rsidR="00A842F1" w:rsidRPr="00D813D7">
        <w:rPr>
          <w:rFonts w:ascii="Times New Roman" w:hAnsi="Times New Roman"/>
          <w:sz w:val="24"/>
          <w:szCs w:val="24"/>
        </w:rPr>
        <w:t>,</w:t>
      </w:r>
      <w:r w:rsidR="002057AC" w:rsidRPr="00D813D7">
        <w:rPr>
          <w:rFonts w:ascii="Times New Roman" w:hAnsi="Times New Roman"/>
          <w:sz w:val="24"/>
          <w:szCs w:val="24"/>
        </w:rPr>
        <w:t xml:space="preserve"> now includes </w:t>
      </w:r>
      <w:r w:rsidR="00663AFE" w:rsidRPr="00D813D7">
        <w:rPr>
          <w:rFonts w:ascii="Times New Roman" w:hAnsi="Times New Roman"/>
          <w:sz w:val="24"/>
          <w:szCs w:val="24"/>
        </w:rPr>
        <w:t>two options</w:t>
      </w:r>
      <w:r w:rsidR="002057AC" w:rsidRPr="00D813D7">
        <w:rPr>
          <w:rFonts w:ascii="Times New Roman" w:hAnsi="Times New Roman"/>
          <w:sz w:val="24"/>
          <w:szCs w:val="24"/>
        </w:rPr>
        <w:t xml:space="preserve"> to purchase and transfer liability for facilities or to pay for removal of facilities, and establishes the Company’s right to assess a Fair Market Value for facilities abandoned in lieu of removal or purchase, as well as to assess a Stranded Cost Recovery Fee.</w:t>
      </w:r>
      <w:r w:rsidR="002057AC" w:rsidRPr="00D813D7">
        <w:rPr>
          <w:rStyle w:val="FootnoteReference"/>
          <w:rFonts w:ascii="Times New Roman" w:hAnsi="Times New Roman"/>
          <w:sz w:val="24"/>
          <w:szCs w:val="24"/>
        </w:rPr>
        <w:footnoteReference w:id="4"/>
      </w:r>
      <w:r w:rsidR="00663AFE" w:rsidRPr="00D813D7">
        <w:rPr>
          <w:rFonts w:ascii="Times New Roman" w:hAnsi="Times New Roman"/>
          <w:sz w:val="24"/>
          <w:szCs w:val="24"/>
        </w:rPr>
        <w:t xml:space="preserve"> </w:t>
      </w:r>
    </w:p>
    <w:p w:rsidR="0020248C" w:rsidRPr="00D813D7" w:rsidRDefault="0020248C" w:rsidP="00EC23C8">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 xml:space="preserve">The Company also amends </w:t>
      </w:r>
      <w:r w:rsidR="00DD2340" w:rsidRPr="00D813D7">
        <w:rPr>
          <w:rFonts w:ascii="Times New Roman" w:hAnsi="Times New Roman"/>
          <w:sz w:val="24"/>
          <w:szCs w:val="24"/>
        </w:rPr>
        <w:t xml:space="preserve">Schedule 300, </w:t>
      </w:r>
      <w:r w:rsidR="00A842F1" w:rsidRPr="00D813D7">
        <w:rPr>
          <w:rFonts w:ascii="Times New Roman" w:hAnsi="Times New Roman"/>
          <w:sz w:val="24"/>
          <w:szCs w:val="24"/>
        </w:rPr>
        <w:t xml:space="preserve">whose purpose is to </w:t>
      </w:r>
      <w:r w:rsidR="00DD2340" w:rsidRPr="00D813D7">
        <w:rPr>
          <w:rFonts w:ascii="Times New Roman" w:hAnsi="Times New Roman"/>
          <w:sz w:val="24"/>
          <w:szCs w:val="24"/>
        </w:rPr>
        <w:t xml:space="preserve">list </w:t>
      </w:r>
      <w:r w:rsidR="00A842F1" w:rsidRPr="00D813D7">
        <w:rPr>
          <w:rFonts w:ascii="Times New Roman" w:hAnsi="Times New Roman"/>
          <w:sz w:val="24"/>
          <w:szCs w:val="24"/>
        </w:rPr>
        <w:t xml:space="preserve">all </w:t>
      </w:r>
      <w:r w:rsidR="00DD2340" w:rsidRPr="00D813D7">
        <w:rPr>
          <w:rFonts w:ascii="Times New Roman" w:hAnsi="Times New Roman"/>
          <w:sz w:val="24"/>
          <w:szCs w:val="24"/>
        </w:rPr>
        <w:t>the</w:t>
      </w:r>
      <w:r w:rsidRPr="00D813D7">
        <w:rPr>
          <w:rFonts w:ascii="Times New Roman" w:hAnsi="Times New Roman"/>
          <w:sz w:val="24"/>
          <w:szCs w:val="24"/>
        </w:rPr>
        <w:t xml:space="preserve"> service charges defined in the General Rules and Regulations</w:t>
      </w:r>
      <w:r w:rsidR="00A842F1" w:rsidRPr="00D813D7">
        <w:rPr>
          <w:rFonts w:ascii="Times New Roman" w:hAnsi="Times New Roman"/>
          <w:sz w:val="24"/>
          <w:szCs w:val="24"/>
        </w:rPr>
        <w:t>,</w:t>
      </w:r>
      <w:r w:rsidRPr="00D813D7">
        <w:rPr>
          <w:rFonts w:ascii="Times New Roman" w:hAnsi="Times New Roman"/>
          <w:sz w:val="24"/>
          <w:szCs w:val="24"/>
        </w:rPr>
        <w:t xml:space="preserve"> to reflect the newly defined Stranded </w:t>
      </w:r>
      <w:r w:rsidRPr="00D813D7">
        <w:rPr>
          <w:rFonts w:ascii="Times New Roman" w:hAnsi="Times New Roman"/>
          <w:sz w:val="24"/>
          <w:szCs w:val="24"/>
        </w:rPr>
        <w:lastRenderedPageBreak/>
        <w:t>Cost Recovery Fee for Residential and Non-Residential Customers proposed in Rule 6.</w:t>
      </w:r>
      <w:r w:rsidR="00663AFE" w:rsidRPr="00D813D7">
        <w:rPr>
          <w:rStyle w:val="FootnoteReference"/>
          <w:rFonts w:ascii="Times New Roman" w:hAnsi="Times New Roman"/>
          <w:sz w:val="24"/>
          <w:szCs w:val="24"/>
        </w:rPr>
        <w:footnoteReference w:id="5"/>
      </w:r>
      <w:r w:rsidR="007204DF" w:rsidRPr="00D813D7">
        <w:rPr>
          <w:rFonts w:ascii="Times New Roman" w:hAnsi="Times New Roman"/>
          <w:sz w:val="24"/>
          <w:szCs w:val="24"/>
        </w:rPr>
        <w:t xml:space="preserve"> </w:t>
      </w:r>
      <w:r w:rsidR="00DF6D4D">
        <w:rPr>
          <w:rFonts w:ascii="Times New Roman" w:hAnsi="Times New Roman"/>
          <w:sz w:val="24"/>
          <w:szCs w:val="24"/>
        </w:rPr>
        <w:t xml:space="preserve"> </w:t>
      </w:r>
      <w:r w:rsidR="007204DF" w:rsidRPr="00D813D7">
        <w:rPr>
          <w:rFonts w:ascii="Times New Roman" w:hAnsi="Times New Roman"/>
          <w:sz w:val="24"/>
          <w:szCs w:val="24"/>
        </w:rPr>
        <w:t>The revised Schedule 300 also replaces a low flat fee ($200 - $400) as the rate for the removal of facilities with the formula actual cost less salvage.</w:t>
      </w:r>
      <w:r w:rsidR="007204DF" w:rsidRPr="00D813D7">
        <w:rPr>
          <w:rStyle w:val="FootnoteReference"/>
          <w:rFonts w:ascii="Times New Roman" w:hAnsi="Times New Roman"/>
          <w:sz w:val="24"/>
          <w:szCs w:val="24"/>
        </w:rPr>
        <w:footnoteReference w:id="6"/>
      </w:r>
    </w:p>
    <w:p w:rsidR="00A72F28" w:rsidRPr="00D813D7" w:rsidRDefault="00B57F56" w:rsidP="004106F6">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A72F28" w:rsidRPr="00D813D7">
        <w:rPr>
          <w:rFonts w:ascii="Times New Roman" w:hAnsi="Times New Roman"/>
          <w:b/>
          <w:sz w:val="24"/>
          <w:szCs w:val="24"/>
        </w:rPr>
        <w:tab/>
        <w:t>Do you agree that the Company is required to propose a revision to their existing tariff?</w:t>
      </w:r>
    </w:p>
    <w:p w:rsidR="00A72F28" w:rsidRPr="00D813D7" w:rsidRDefault="00A72F28" w:rsidP="00911D0D">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B57F56" w:rsidRPr="00D813D7">
        <w:rPr>
          <w:rFonts w:ascii="Times New Roman" w:hAnsi="Times New Roman"/>
          <w:sz w:val="24"/>
          <w:szCs w:val="24"/>
        </w:rPr>
        <w:t>:</w:t>
      </w:r>
      <w:r w:rsidRPr="00D813D7">
        <w:rPr>
          <w:rFonts w:ascii="Times New Roman" w:hAnsi="Times New Roman"/>
          <w:sz w:val="24"/>
          <w:szCs w:val="24"/>
        </w:rPr>
        <w:tab/>
        <w:t>The Company has proposed revisions to its</w:t>
      </w:r>
      <w:r w:rsidR="00EA6657" w:rsidRPr="00D813D7">
        <w:rPr>
          <w:rFonts w:ascii="Times New Roman" w:hAnsi="Times New Roman"/>
          <w:sz w:val="24"/>
          <w:szCs w:val="24"/>
        </w:rPr>
        <w:t xml:space="preserve"> existing tariff in response to the Commission order it received in </w:t>
      </w:r>
      <w:r w:rsidR="0041792A">
        <w:rPr>
          <w:rFonts w:ascii="Times New Roman" w:hAnsi="Times New Roman"/>
          <w:sz w:val="24"/>
          <w:szCs w:val="24"/>
        </w:rPr>
        <w:t>Docket</w:t>
      </w:r>
      <w:r w:rsidR="00EA6657" w:rsidRPr="00D813D7">
        <w:rPr>
          <w:rFonts w:ascii="Times New Roman" w:hAnsi="Times New Roman"/>
          <w:sz w:val="24"/>
          <w:szCs w:val="24"/>
        </w:rPr>
        <w:t xml:space="preserve"> UE-143932 and to address the missing elements of a Stranded Cost Recovery Fee summarized above.  I conclude, for reasons discussed in more detail below, that the Company’s proposal </w:t>
      </w:r>
      <w:r w:rsidR="00E838E5" w:rsidRPr="00D813D7">
        <w:rPr>
          <w:rFonts w:ascii="Times New Roman" w:hAnsi="Times New Roman"/>
          <w:sz w:val="24"/>
          <w:szCs w:val="24"/>
        </w:rPr>
        <w:t>may allow it to recover costs for more facilities than necessary</w:t>
      </w:r>
      <w:r w:rsidR="00B6142D">
        <w:rPr>
          <w:rFonts w:ascii="Times New Roman" w:hAnsi="Times New Roman"/>
          <w:sz w:val="24"/>
          <w:szCs w:val="24"/>
        </w:rPr>
        <w:t>,</w:t>
      </w:r>
      <w:r w:rsidR="00E838E5" w:rsidRPr="00D813D7">
        <w:rPr>
          <w:rFonts w:ascii="Times New Roman" w:hAnsi="Times New Roman"/>
          <w:sz w:val="24"/>
          <w:szCs w:val="24"/>
        </w:rPr>
        <w:t xml:space="preserve"> and</w:t>
      </w:r>
      <w:r w:rsidR="00B6142D">
        <w:rPr>
          <w:rFonts w:ascii="Times New Roman" w:hAnsi="Times New Roman"/>
          <w:sz w:val="24"/>
          <w:szCs w:val="24"/>
        </w:rPr>
        <w:t xml:space="preserve"> the Company does</w:t>
      </w:r>
      <w:r w:rsidR="00E838E5" w:rsidRPr="00D813D7">
        <w:rPr>
          <w:rFonts w:ascii="Times New Roman" w:hAnsi="Times New Roman"/>
          <w:sz w:val="24"/>
          <w:szCs w:val="24"/>
        </w:rPr>
        <w:t xml:space="preserve"> not provide sufficient rationale for all the facilities </w:t>
      </w:r>
      <w:r w:rsidR="00B6142D">
        <w:rPr>
          <w:rFonts w:ascii="Times New Roman" w:hAnsi="Times New Roman"/>
          <w:sz w:val="24"/>
          <w:szCs w:val="24"/>
        </w:rPr>
        <w:t>it</w:t>
      </w:r>
      <w:r w:rsidR="00B6142D" w:rsidRPr="00D813D7">
        <w:rPr>
          <w:rFonts w:ascii="Times New Roman" w:hAnsi="Times New Roman"/>
          <w:sz w:val="24"/>
          <w:szCs w:val="24"/>
        </w:rPr>
        <w:t xml:space="preserve"> </w:t>
      </w:r>
      <w:r w:rsidR="00E838E5" w:rsidRPr="00D813D7">
        <w:rPr>
          <w:rFonts w:ascii="Times New Roman" w:hAnsi="Times New Roman"/>
          <w:sz w:val="24"/>
          <w:szCs w:val="24"/>
        </w:rPr>
        <w:t>propose</w:t>
      </w:r>
      <w:r w:rsidR="00B6142D">
        <w:rPr>
          <w:rFonts w:ascii="Times New Roman" w:hAnsi="Times New Roman"/>
          <w:sz w:val="24"/>
          <w:szCs w:val="24"/>
        </w:rPr>
        <w:t>s</w:t>
      </w:r>
      <w:r w:rsidR="00E838E5" w:rsidRPr="00D813D7">
        <w:rPr>
          <w:rFonts w:ascii="Times New Roman" w:hAnsi="Times New Roman"/>
          <w:sz w:val="24"/>
          <w:szCs w:val="24"/>
        </w:rPr>
        <w:t xml:space="preserve"> to include in </w:t>
      </w:r>
      <w:r w:rsidR="00B6142D">
        <w:rPr>
          <w:rFonts w:ascii="Times New Roman" w:hAnsi="Times New Roman"/>
          <w:sz w:val="24"/>
          <w:szCs w:val="24"/>
        </w:rPr>
        <w:t>its</w:t>
      </w:r>
      <w:r w:rsidR="00B6142D" w:rsidRPr="00D813D7">
        <w:rPr>
          <w:rFonts w:ascii="Times New Roman" w:hAnsi="Times New Roman"/>
          <w:sz w:val="24"/>
          <w:szCs w:val="24"/>
        </w:rPr>
        <w:t xml:space="preserve"> </w:t>
      </w:r>
      <w:r w:rsidR="00E838E5" w:rsidRPr="00D813D7">
        <w:rPr>
          <w:rFonts w:ascii="Times New Roman" w:hAnsi="Times New Roman"/>
          <w:sz w:val="24"/>
          <w:szCs w:val="24"/>
        </w:rPr>
        <w:t>definition of costs that would be impacted by a departing customer.  Furthermore, the Company excluded consideration of lost contribution to l</w:t>
      </w:r>
      <w:r w:rsidR="004106F6">
        <w:rPr>
          <w:rFonts w:ascii="Times New Roman" w:hAnsi="Times New Roman"/>
          <w:sz w:val="24"/>
          <w:szCs w:val="24"/>
        </w:rPr>
        <w:t xml:space="preserve">ow-income </w:t>
      </w:r>
      <w:r w:rsidR="00B6142D">
        <w:rPr>
          <w:rFonts w:ascii="Times New Roman" w:hAnsi="Times New Roman"/>
          <w:sz w:val="24"/>
          <w:szCs w:val="24"/>
        </w:rPr>
        <w:t xml:space="preserve">rate </w:t>
      </w:r>
      <w:r w:rsidR="004106F6">
        <w:rPr>
          <w:rFonts w:ascii="Times New Roman" w:hAnsi="Times New Roman"/>
          <w:sz w:val="24"/>
          <w:szCs w:val="24"/>
        </w:rPr>
        <w:t>assistance and energy-</w:t>
      </w:r>
      <w:r w:rsidR="00E838E5" w:rsidRPr="00D813D7">
        <w:rPr>
          <w:rFonts w:ascii="Times New Roman" w:hAnsi="Times New Roman"/>
          <w:sz w:val="24"/>
          <w:szCs w:val="24"/>
        </w:rPr>
        <w:t>efficiency programs.  As a result, the Company has not presented sufficient evidence to support its proposed tariff revision and should be required to do so before receiving Commission approval.</w:t>
      </w:r>
    </w:p>
    <w:p w:rsidR="00336F9E" w:rsidRPr="00D813D7" w:rsidRDefault="00911D0D" w:rsidP="009D787B">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B909B0" w:rsidRPr="00D813D7">
        <w:rPr>
          <w:rFonts w:ascii="Times New Roman" w:hAnsi="Times New Roman"/>
          <w:b/>
          <w:sz w:val="24"/>
          <w:szCs w:val="24"/>
        </w:rPr>
        <w:tab/>
        <w:t xml:space="preserve">Please </w:t>
      </w:r>
      <w:r w:rsidR="009D787B" w:rsidRPr="00D813D7">
        <w:rPr>
          <w:rFonts w:ascii="Times New Roman" w:hAnsi="Times New Roman"/>
          <w:b/>
          <w:sz w:val="24"/>
          <w:szCs w:val="24"/>
        </w:rPr>
        <w:t xml:space="preserve">describe how </w:t>
      </w:r>
      <w:r w:rsidR="00396C3E" w:rsidRPr="00D813D7">
        <w:rPr>
          <w:rFonts w:ascii="Times New Roman" w:hAnsi="Times New Roman"/>
          <w:b/>
          <w:sz w:val="24"/>
          <w:szCs w:val="24"/>
        </w:rPr>
        <w:t>Rule 6</w:t>
      </w:r>
      <w:r w:rsidR="009D787B" w:rsidRPr="00D813D7">
        <w:rPr>
          <w:rFonts w:ascii="Times New Roman" w:hAnsi="Times New Roman"/>
          <w:b/>
          <w:sz w:val="24"/>
          <w:szCs w:val="24"/>
        </w:rPr>
        <w:t xml:space="preserve"> works in the current tariff</w:t>
      </w:r>
      <w:r w:rsidR="00275874" w:rsidRPr="00D813D7">
        <w:rPr>
          <w:rFonts w:ascii="Times New Roman" w:hAnsi="Times New Roman"/>
          <w:b/>
          <w:sz w:val="24"/>
          <w:szCs w:val="24"/>
        </w:rPr>
        <w:t>.</w:t>
      </w:r>
    </w:p>
    <w:p w:rsidR="009D787B" w:rsidRPr="00D813D7" w:rsidRDefault="00336F9E" w:rsidP="00911D0D">
      <w:pPr>
        <w:widowControl w:val="0"/>
        <w:spacing w:after="0" w:line="480" w:lineRule="auto"/>
        <w:ind w:left="806" w:hanging="806"/>
        <w:rPr>
          <w:rFonts w:ascii="Times New Roman" w:hAnsi="Times New Roman"/>
          <w:sz w:val="24"/>
          <w:szCs w:val="24"/>
        </w:rPr>
      </w:pPr>
      <w:r w:rsidRPr="00D813D7">
        <w:rPr>
          <w:rFonts w:ascii="Times New Roman" w:hAnsi="Times New Roman"/>
          <w:sz w:val="24"/>
          <w:szCs w:val="24"/>
        </w:rPr>
        <w:t>A</w:t>
      </w:r>
      <w:r w:rsidR="00911D0D" w:rsidRPr="00D813D7">
        <w:rPr>
          <w:rFonts w:ascii="Times New Roman" w:hAnsi="Times New Roman"/>
          <w:sz w:val="24"/>
          <w:szCs w:val="24"/>
        </w:rPr>
        <w:t>:</w:t>
      </w:r>
      <w:r w:rsidR="002212A8" w:rsidRPr="00D813D7">
        <w:rPr>
          <w:rFonts w:ascii="Times New Roman" w:hAnsi="Times New Roman"/>
          <w:sz w:val="24"/>
          <w:szCs w:val="24"/>
        </w:rPr>
        <w:tab/>
        <w:t xml:space="preserve">Currently, Rule 6 stipulates that a customer who requests permanent disconnection from Pacific Power’s </w:t>
      </w:r>
      <w:r w:rsidR="00D1221A">
        <w:rPr>
          <w:rFonts w:ascii="Times New Roman" w:hAnsi="Times New Roman"/>
          <w:sz w:val="24"/>
          <w:szCs w:val="24"/>
        </w:rPr>
        <w:t>system</w:t>
      </w:r>
      <w:r w:rsidR="00D1221A" w:rsidRPr="00D813D7">
        <w:rPr>
          <w:rFonts w:ascii="Times New Roman" w:hAnsi="Times New Roman"/>
          <w:sz w:val="24"/>
          <w:szCs w:val="24"/>
        </w:rPr>
        <w:t xml:space="preserve"> </w:t>
      </w:r>
      <w:r w:rsidR="002212A8" w:rsidRPr="00D813D7">
        <w:rPr>
          <w:rFonts w:ascii="Times New Roman" w:hAnsi="Times New Roman"/>
          <w:sz w:val="24"/>
          <w:szCs w:val="24"/>
        </w:rPr>
        <w:t xml:space="preserve">must pay the Company the actual cost for removal less salvage of those </w:t>
      </w:r>
      <w:r w:rsidR="00DF12B4" w:rsidRPr="00D813D7">
        <w:rPr>
          <w:rFonts w:ascii="Times New Roman" w:hAnsi="Times New Roman"/>
          <w:sz w:val="24"/>
          <w:szCs w:val="24"/>
        </w:rPr>
        <w:t>facilities</w:t>
      </w:r>
      <w:r w:rsidR="002212A8" w:rsidRPr="00D813D7">
        <w:rPr>
          <w:rFonts w:ascii="Times New Roman" w:hAnsi="Times New Roman"/>
          <w:sz w:val="24"/>
          <w:szCs w:val="24"/>
        </w:rPr>
        <w:t xml:space="preserve"> that require removal for safety or operational reasons. </w:t>
      </w:r>
      <w:r w:rsidR="004106F6">
        <w:rPr>
          <w:rFonts w:ascii="Times New Roman" w:hAnsi="Times New Roman"/>
          <w:sz w:val="24"/>
          <w:szCs w:val="24"/>
        </w:rPr>
        <w:t xml:space="preserve"> </w:t>
      </w:r>
      <w:r w:rsidR="00A30337" w:rsidRPr="00D813D7">
        <w:rPr>
          <w:rFonts w:ascii="Times New Roman" w:hAnsi="Times New Roman"/>
          <w:sz w:val="24"/>
          <w:szCs w:val="24"/>
        </w:rPr>
        <w:t>In the Company’s view, th</w:t>
      </w:r>
      <w:r w:rsidR="00647F7D" w:rsidRPr="00D813D7">
        <w:rPr>
          <w:rFonts w:ascii="Times New Roman" w:hAnsi="Times New Roman"/>
          <w:sz w:val="24"/>
          <w:szCs w:val="24"/>
        </w:rPr>
        <w:t>e term “facilities” is defined as</w:t>
      </w:r>
      <w:r w:rsidR="00D1221A">
        <w:rPr>
          <w:rFonts w:ascii="Times New Roman" w:hAnsi="Times New Roman"/>
          <w:sz w:val="24"/>
          <w:szCs w:val="24"/>
        </w:rPr>
        <w:t xml:space="preserve"> “e</w:t>
      </w:r>
      <w:r w:rsidR="00647F7D" w:rsidRPr="00D813D7">
        <w:rPr>
          <w:rFonts w:ascii="Times New Roman" w:hAnsi="Times New Roman"/>
          <w:sz w:val="24"/>
          <w:szCs w:val="24"/>
        </w:rPr>
        <w:t xml:space="preserve">lectric infrastructure designed, built, and installed to provide service, including but not limited to transmission and distribution lines, service drops, transformers, poles, risers, conduit, vaults, and any other equipment used to supply </w:t>
      </w:r>
      <w:r w:rsidR="00647F7D" w:rsidRPr="00D813D7">
        <w:rPr>
          <w:rFonts w:ascii="Times New Roman" w:hAnsi="Times New Roman"/>
          <w:sz w:val="24"/>
          <w:szCs w:val="24"/>
        </w:rPr>
        <w:lastRenderedPageBreak/>
        <w:t>electricity.”</w:t>
      </w:r>
      <w:r w:rsidR="00A842F1" w:rsidRPr="00D813D7">
        <w:rPr>
          <w:rStyle w:val="FootnoteReference"/>
          <w:rFonts w:ascii="Times New Roman" w:hAnsi="Times New Roman"/>
          <w:sz w:val="24"/>
          <w:szCs w:val="24"/>
        </w:rPr>
        <w:footnoteReference w:id="7"/>
      </w:r>
      <w:r w:rsidR="00647F7D" w:rsidRPr="00D813D7">
        <w:rPr>
          <w:rFonts w:ascii="Times New Roman" w:hAnsi="Times New Roman"/>
          <w:sz w:val="24"/>
          <w:szCs w:val="24"/>
        </w:rPr>
        <w:t xml:space="preserve"> </w:t>
      </w:r>
      <w:r w:rsidR="007D1554">
        <w:rPr>
          <w:rFonts w:ascii="Times New Roman" w:hAnsi="Times New Roman"/>
          <w:sz w:val="24"/>
          <w:szCs w:val="24"/>
        </w:rPr>
        <w:t xml:space="preserve"> </w:t>
      </w:r>
      <w:r w:rsidR="000A4C8E" w:rsidRPr="00D813D7">
        <w:rPr>
          <w:rFonts w:ascii="Times New Roman" w:hAnsi="Times New Roman"/>
          <w:sz w:val="24"/>
          <w:szCs w:val="24"/>
        </w:rPr>
        <w:t>Pacific Power</w:t>
      </w:r>
      <w:r w:rsidR="002212A8" w:rsidRPr="00D813D7">
        <w:rPr>
          <w:rFonts w:ascii="Times New Roman" w:hAnsi="Times New Roman"/>
          <w:sz w:val="24"/>
          <w:szCs w:val="24"/>
        </w:rPr>
        <w:t xml:space="preserve"> is responsible for </w:t>
      </w:r>
      <w:r w:rsidR="00EF05A4" w:rsidRPr="00D813D7">
        <w:rPr>
          <w:rFonts w:ascii="Times New Roman" w:hAnsi="Times New Roman"/>
          <w:sz w:val="24"/>
          <w:szCs w:val="24"/>
        </w:rPr>
        <w:t xml:space="preserve">providing an </w:t>
      </w:r>
      <w:r w:rsidR="00DF12B4" w:rsidRPr="00D813D7">
        <w:rPr>
          <w:rFonts w:ascii="Times New Roman" w:hAnsi="Times New Roman"/>
          <w:sz w:val="24"/>
          <w:szCs w:val="24"/>
        </w:rPr>
        <w:t>estimate</w:t>
      </w:r>
      <w:r w:rsidR="00EF05A4" w:rsidRPr="00D813D7">
        <w:rPr>
          <w:rFonts w:ascii="Times New Roman" w:hAnsi="Times New Roman"/>
          <w:sz w:val="24"/>
          <w:szCs w:val="24"/>
        </w:rPr>
        <w:t xml:space="preserve"> of the cost of facility </w:t>
      </w:r>
      <w:r w:rsidR="00DF12B4" w:rsidRPr="00D813D7">
        <w:rPr>
          <w:rFonts w:ascii="Times New Roman" w:hAnsi="Times New Roman"/>
          <w:sz w:val="24"/>
          <w:szCs w:val="24"/>
        </w:rPr>
        <w:t>removal</w:t>
      </w:r>
      <w:r w:rsidR="00EF05A4" w:rsidRPr="00D813D7">
        <w:rPr>
          <w:rFonts w:ascii="Times New Roman" w:hAnsi="Times New Roman"/>
          <w:sz w:val="24"/>
          <w:szCs w:val="24"/>
        </w:rPr>
        <w:t xml:space="preserve"> before </w:t>
      </w:r>
      <w:r w:rsidR="00D1221A">
        <w:rPr>
          <w:rFonts w:ascii="Times New Roman" w:hAnsi="Times New Roman"/>
          <w:sz w:val="24"/>
          <w:szCs w:val="24"/>
        </w:rPr>
        <w:t>work</w:t>
      </w:r>
      <w:r w:rsidR="00EF05A4" w:rsidRPr="00D813D7">
        <w:rPr>
          <w:rFonts w:ascii="Times New Roman" w:hAnsi="Times New Roman"/>
          <w:sz w:val="24"/>
          <w:szCs w:val="24"/>
        </w:rPr>
        <w:t xml:space="preserve"> commence</w:t>
      </w:r>
      <w:r w:rsidR="00D1221A">
        <w:rPr>
          <w:rFonts w:ascii="Times New Roman" w:hAnsi="Times New Roman"/>
          <w:sz w:val="24"/>
          <w:szCs w:val="24"/>
        </w:rPr>
        <w:t>s</w:t>
      </w:r>
      <w:r w:rsidR="00EF05A4" w:rsidRPr="00D813D7">
        <w:rPr>
          <w:rFonts w:ascii="Times New Roman" w:hAnsi="Times New Roman"/>
          <w:sz w:val="24"/>
          <w:szCs w:val="24"/>
        </w:rPr>
        <w:t>.</w:t>
      </w:r>
      <w:r w:rsidR="00790224" w:rsidRPr="00D813D7">
        <w:rPr>
          <w:rFonts w:ascii="Times New Roman" w:hAnsi="Times New Roman"/>
          <w:sz w:val="24"/>
          <w:szCs w:val="24"/>
        </w:rPr>
        <w:t xml:space="preserve"> </w:t>
      </w:r>
      <w:r w:rsidR="007D1554">
        <w:rPr>
          <w:rFonts w:ascii="Times New Roman" w:hAnsi="Times New Roman"/>
          <w:sz w:val="24"/>
          <w:szCs w:val="24"/>
        </w:rPr>
        <w:t xml:space="preserve"> </w:t>
      </w:r>
      <w:r w:rsidR="00EF05A4" w:rsidRPr="00D813D7">
        <w:rPr>
          <w:rFonts w:ascii="Times New Roman" w:hAnsi="Times New Roman"/>
          <w:sz w:val="24"/>
          <w:szCs w:val="24"/>
        </w:rPr>
        <w:t xml:space="preserve">The </w:t>
      </w:r>
      <w:r w:rsidR="00DD2340" w:rsidRPr="00D813D7">
        <w:rPr>
          <w:rFonts w:ascii="Times New Roman" w:hAnsi="Times New Roman"/>
          <w:sz w:val="24"/>
          <w:szCs w:val="24"/>
        </w:rPr>
        <w:t>de</w:t>
      </w:r>
      <w:r w:rsidR="00EF05A4" w:rsidRPr="00D813D7">
        <w:rPr>
          <w:rFonts w:ascii="Times New Roman" w:hAnsi="Times New Roman"/>
          <w:sz w:val="24"/>
          <w:szCs w:val="24"/>
        </w:rPr>
        <w:t xml:space="preserve">parting customer is required to pay the estimated amount before they are disconnected and facilities are removed. </w:t>
      </w:r>
      <w:r w:rsidR="007D1554">
        <w:rPr>
          <w:rFonts w:ascii="Times New Roman" w:hAnsi="Times New Roman"/>
          <w:sz w:val="24"/>
          <w:szCs w:val="24"/>
        </w:rPr>
        <w:t xml:space="preserve"> </w:t>
      </w:r>
      <w:r w:rsidR="00EF05A4" w:rsidRPr="00D813D7">
        <w:rPr>
          <w:rFonts w:ascii="Times New Roman" w:hAnsi="Times New Roman"/>
          <w:sz w:val="24"/>
          <w:szCs w:val="24"/>
        </w:rPr>
        <w:t xml:space="preserve">The Company </w:t>
      </w:r>
      <w:r w:rsidR="00287726" w:rsidRPr="00D813D7">
        <w:rPr>
          <w:rFonts w:ascii="Times New Roman" w:hAnsi="Times New Roman"/>
          <w:sz w:val="24"/>
          <w:szCs w:val="24"/>
        </w:rPr>
        <w:t xml:space="preserve">is </w:t>
      </w:r>
      <w:r w:rsidR="00A842F1" w:rsidRPr="00D813D7">
        <w:rPr>
          <w:rFonts w:ascii="Times New Roman" w:hAnsi="Times New Roman"/>
          <w:sz w:val="24"/>
          <w:szCs w:val="24"/>
        </w:rPr>
        <w:t>also</w:t>
      </w:r>
      <w:r w:rsidR="00EF05A4" w:rsidRPr="00D813D7">
        <w:rPr>
          <w:rFonts w:ascii="Times New Roman" w:hAnsi="Times New Roman"/>
          <w:sz w:val="24"/>
          <w:szCs w:val="24"/>
        </w:rPr>
        <w:t xml:space="preserve"> required to determine the actual cost of removal</w:t>
      </w:r>
      <w:r w:rsidR="00225635" w:rsidRPr="00D813D7">
        <w:rPr>
          <w:rFonts w:ascii="Times New Roman" w:hAnsi="Times New Roman"/>
          <w:sz w:val="24"/>
          <w:szCs w:val="24"/>
        </w:rPr>
        <w:t>,</w:t>
      </w:r>
      <w:r w:rsidR="00EF05A4" w:rsidRPr="00D813D7">
        <w:rPr>
          <w:rFonts w:ascii="Times New Roman" w:hAnsi="Times New Roman"/>
          <w:sz w:val="24"/>
          <w:szCs w:val="24"/>
        </w:rPr>
        <w:t xml:space="preserve"> less salvage</w:t>
      </w:r>
      <w:r w:rsidR="00225635" w:rsidRPr="00D813D7">
        <w:rPr>
          <w:rFonts w:ascii="Times New Roman" w:hAnsi="Times New Roman"/>
          <w:sz w:val="24"/>
          <w:szCs w:val="24"/>
        </w:rPr>
        <w:t>,</w:t>
      </w:r>
      <w:r w:rsidR="00EF05A4" w:rsidRPr="00D813D7">
        <w:rPr>
          <w:rFonts w:ascii="Times New Roman" w:hAnsi="Times New Roman"/>
          <w:sz w:val="24"/>
          <w:szCs w:val="24"/>
        </w:rPr>
        <w:t xml:space="preserve"> and provide either an invoice for extra costs or a refund for overpayment. </w:t>
      </w:r>
    </w:p>
    <w:p w:rsidR="009D787B" w:rsidRPr="00D813D7" w:rsidRDefault="00911D0D" w:rsidP="009D787B">
      <w:pPr>
        <w:widowControl w:val="0"/>
        <w:spacing w:after="0" w:line="480" w:lineRule="auto"/>
        <w:ind w:left="720" w:hanging="720"/>
        <w:rPr>
          <w:rFonts w:ascii="Times New Roman" w:hAnsi="Times New Roman"/>
          <w:b/>
          <w:sz w:val="24"/>
          <w:szCs w:val="24"/>
        </w:rPr>
      </w:pPr>
      <w:r w:rsidRPr="001334BF">
        <w:rPr>
          <w:rFonts w:ascii="Times New Roman" w:hAnsi="Times New Roman"/>
          <w:b/>
          <w:sz w:val="24"/>
          <w:szCs w:val="24"/>
        </w:rPr>
        <w:t>Q:</w:t>
      </w:r>
      <w:r w:rsidR="009D787B" w:rsidRPr="001334BF">
        <w:rPr>
          <w:rFonts w:ascii="Times New Roman" w:hAnsi="Times New Roman"/>
          <w:b/>
          <w:sz w:val="24"/>
          <w:szCs w:val="24"/>
        </w:rPr>
        <w:tab/>
        <w:t>Please explain how the proposed revisions to Rule 6 expand the procedure to</w:t>
      </w:r>
      <w:r w:rsidR="009D787B" w:rsidRPr="00D813D7">
        <w:rPr>
          <w:rFonts w:ascii="Times New Roman" w:hAnsi="Times New Roman"/>
          <w:b/>
          <w:sz w:val="24"/>
          <w:szCs w:val="24"/>
        </w:rPr>
        <w:t xml:space="preserve"> request permanent disconnection and removal of facilities.</w:t>
      </w:r>
    </w:p>
    <w:p w:rsidR="00911D0D" w:rsidRPr="00D813D7" w:rsidRDefault="009D787B" w:rsidP="00911D0D">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911D0D" w:rsidRPr="00D813D7">
        <w:rPr>
          <w:rFonts w:ascii="Times New Roman" w:hAnsi="Times New Roman"/>
          <w:sz w:val="24"/>
          <w:szCs w:val="24"/>
        </w:rPr>
        <w:t>:</w:t>
      </w:r>
      <w:r w:rsidRPr="00D813D7">
        <w:rPr>
          <w:rFonts w:ascii="Times New Roman" w:hAnsi="Times New Roman"/>
          <w:sz w:val="24"/>
          <w:szCs w:val="24"/>
        </w:rPr>
        <w:tab/>
      </w:r>
      <w:r w:rsidR="00EF05A4" w:rsidRPr="00D813D7">
        <w:rPr>
          <w:rFonts w:ascii="Times New Roman" w:hAnsi="Times New Roman"/>
          <w:sz w:val="24"/>
          <w:szCs w:val="24"/>
        </w:rPr>
        <w:t xml:space="preserve">The Company argues that </w:t>
      </w:r>
      <w:r w:rsidR="00AA6F9E" w:rsidRPr="00D813D7">
        <w:rPr>
          <w:rFonts w:ascii="Times New Roman" w:hAnsi="Times New Roman"/>
          <w:sz w:val="24"/>
          <w:szCs w:val="24"/>
        </w:rPr>
        <w:t xml:space="preserve">Rule 6 in its current form does not </w:t>
      </w:r>
      <w:r w:rsidR="00624DA6" w:rsidRPr="00D813D7">
        <w:rPr>
          <w:rFonts w:ascii="Times New Roman" w:hAnsi="Times New Roman"/>
          <w:sz w:val="24"/>
          <w:szCs w:val="24"/>
        </w:rPr>
        <w:t xml:space="preserve">correctly characterize </w:t>
      </w:r>
      <w:r w:rsidR="006C4699" w:rsidRPr="00D813D7">
        <w:rPr>
          <w:rFonts w:ascii="Times New Roman" w:hAnsi="Times New Roman"/>
          <w:sz w:val="24"/>
          <w:szCs w:val="24"/>
        </w:rPr>
        <w:t>recent</w:t>
      </w:r>
      <w:r w:rsidR="00624DA6" w:rsidRPr="00D813D7">
        <w:rPr>
          <w:rFonts w:ascii="Times New Roman" w:hAnsi="Times New Roman"/>
          <w:sz w:val="24"/>
          <w:szCs w:val="24"/>
        </w:rPr>
        <w:t xml:space="preserve"> disconnection and removal conditions</w:t>
      </w:r>
      <w:r w:rsidR="001334BF">
        <w:rPr>
          <w:rFonts w:ascii="Times New Roman" w:hAnsi="Times New Roman"/>
          <w:sz w:val="24"/>
          <w:szCs w:val="24"/>
        </w:rPr>
        <w:t>,</w:t>
      </w:r>
      <w:r w:rsidR="00624DA6" w:rsidRPr="00D813D7">
        <w:rPr>
          <w:rFonts w:ascii="Times New Roman" w:hAnsi="Times New Roman"/>
          <w:sz w:val="24"/>
          <w:szCs w:val="24"/>
        </w:rPr>
        <w:t xml:space="preserve"> nor does it </w:t>
      </w:r>
      <w:r w:rsidR="00AA6F9E" w:rsidRPr="00D813D7">
        <w:rPr>
          <w:rFonts w:ascii="Times New Roman" w:hAnsi="Times New Roman"/>
          <w:sz w:val="24"/>
          <w:szCs w:val="24"/>
        </w:rPr>
        <w:t xml:space="preserve">explicitly consider the sale of </w:t>
      </w:r>
      <w:r w:rsidR="00DF12B4" w:rsidRPr="00D813D7">
        <w:rPr>
          <w:rFonts w:ascii="Times New Roman" w:hAnsi="Times New Roman"/>
          <w:sz w:val="24"/>
          <w:szCs w:val="24"/>
        </w:rPr>
        <w:t>facilities</w:t>
      </w:r>
      <w:r w:rsidR="00624DA6" w:rsidRPr="00D813D7">
        <w:rPr>
          <w:rFonts w:ascii="Times New Roman" w:hAnsi="Times New Roman"/>
          <w:sz w:val="24"/>
          <w:szCs w:val="24"/>
        </w:rPr>
        <w:t xml:space="preserve">. </w:t>
      </w:r>
      <w:r w:rsidR="001B4A50">
        <w:rPr>
          <w:rFonts w:ascii="Times New Roman" w:hAnsi="Times New Roman"/>
          <w:sz w:val="24"/>
          <w:szCs w:val="24"/>
        </w:rPr>
        <w:t xml:space="preserve"> </w:t>
      </w:r>
      <w:r w:rsidR="000A4C8E" w:rsidRPr="00D813D7">
        <w:rPr>
          <w:rFonts w:ascii="Times New Roman" w:hAnsi="Times New Roman"/>
          <w:sz w:val="24"/>
          <w:szCs w:val="24"/>
        </w:rPr>
        <w:t>The Company</w:t>
      </w:r>
      <w:r w:rsidR="00D401D2" w:rsidRPr="00D813D7">
        <w:rPr>
          <w:rFonts w:ascii="Times New Roman" w:hAnsi="Times New Roman"/>
          <w:sz w:val="24"/>
          <w:szCs w:val="24"/>
        </w:rPr>
        <w:t xml:space="preserve"> </w:t>
      </w:r>
      <w:r w:rsidR="00DF0696" w:rsidRPr="00D813D7">
        <w:rPr>
          <w:rFonts w:ascii="Times New Roman" w:hAnsi="Times New Roman"/>
          <w:sz w:val="24"/>
          <w:szCs w:val="24"/>
        </w:rPr>
        <w:t>proposes to expand the definition of</w:t>
      </w:r>
      <w:r w:rsidR="00D401D2" w:rsidRPr="00D813D7">
        <w:rPr>
          <w:rFonts w:ascii="Times New Roman" w:hAnsi="Times New Roman"/>
          <w:sz w:val="24"/>
          <w:szCs w:val="24"/>
        </w:rPr>
        <w:t xml:space="preserve"> the basis for disconnection and removal to include instances when the customer chooses to be served by another utility or obtains redundant service from </w:t>
      </w:r>
      <w:r w:rsidR="000A4C8E" w:rsidRPr="00D813D7">
        <w:rPr>
          <w:rFonts w:ascii="Times New Roman" w:hAnsi="Times New Roman"/>
          <w:sz w:val="24"/>
          <w:szCs w:val="24"/>
        </w:rPr>
        <w:t xml:space="preserve">another provider. </w:t>
      </w:r>
      <w:r w:rsidR="001B4A50">
        <w:rPr>
          <w:rFonts w:ascii="Times New Roman" w:hAnsi="Times New Roman"/>
          <w:sz w:val="24"/>
          <w:szCs w:val="24"/>
        </w:rPr>
        <w:t xml:space="preserve"> </w:t>
      </w:r>
      <w:r w:rsidR="000A4C8E" w:rsidRPr="00D813D7">
        <w:rPr>
          <w:rFonts w:ascii="Times New Roman" w:hAnsi="Times New Roman"/>
          <w:sz w:val="24"/>
          <w:szCs w:val="24"/>
        </w:rPr>
        <w:t xml:space="preserve">The </w:t>
      </w:r>
      <w:r w:rsidR="00D401D2" w:rsidRPr="00D813D7">
        <w:rPr>
          <w:rFonts w:ascii="Times New Roman" w:hAnsi="Times New Roman"/>
          <w:sz w:val="24"/>
          <w:szCs w:val="24"/>
        </w:rPr>
        <w:t xml:space="preserve">Company </w:t>
      </w:r>
      <w:r w:rsidR="00287726" w:rsidRPr="00D813D7">
        <w:rPr>
          <w:rFonts w:ascii="Times New Roman" w:hAnsi="Times New Roman"/>
          <w:sz w:val="24"/>
          <w:szCs w:val="24"/>
        </w:rPr>
        <w:t xml:space="preserve">is </w:t>
      </w:r>
      <w:r w:rsidR="000A4C8E" w:rsidRPr="00D813D7">
        <w:rPr>
          <w:rFonts w:ascii="Times New Roman" w:hAnsi="Times New Roman"/>
          <w:sz w:val="24"/>
          <w:szCs w:val="24"/>
        </w:rPr>
        <w:t xml:space="preserve">also </w:t>
      </w:r>
      <w:r w:rsidR="00512F12" w:rsidRPr="00D813D7">
        <w:rPr>
          <w:rFonts w:ascii="Times New Roman" w:hAnsi="Times New Roman"/>
          <w:sz w:val="24"/>
          <w:szCs w:val="24"/>
        </w:rPr>
        <w:t xml:space="preserve">seeking approval to require </w:t>
      </w:r>
      <w:r w:rsidR="00D401D2" w:rsidRPr="00D813D7">
        <w:rPr>
          <w:rFonts w:ascii="Times New Roman" w:hAnsi="Times New Roman"/>
          <w:sz w:val="24"/>
          <w:szCs w:val="24"/>
        </w:rPr>
        <w:t xml:space="preserve">customers interested in the removal of facilities </w:t>
      </w:r>
      <w:r w:rsidR="00512F12" w:rsidRPr="00D813D7">
        <w:rPr>
          <w:rFonts w:ascii="Times New Roman" w:hAnsi="Times New Roman"/>
          <w:sz w:val="24"/>
          <w:szCs w:val="24"/>
        </w:rPr>
        <w:t xml:space="preserve">to </w:t>
      </w:r>
      <w:r w:rsidR="00D401D2" w:rsidRPr="00D813D7">
        <w:rPr>
          <w:rFonts w:ascii="Times New Roman" w:hAnsi="Times New Roman"/>
          <w:sz w:val="24"/>
          <w:szCs w:val="24"/>
        </w:rPr>
        <w:t>pay the actual cost of removal</w:t>
      </w:r>
      <w:r w:rsidR="00DF0696" w:rsidRPr="00D813D7">
        <w:rPr>
          <w:rFonts w:ascii="Times New Roman" w:hAnsi="Times New Roman"/>
          <w:sz w:val="24"/>
          <w:szCs w:val="24"/>
        </w:rPr>
        <w:t>,</w:t>
      </w:r>
      <w:r w:rsidR="00D401D2" w:rsidRPr="00D813D7">
        <w:rPr>
          <w:rFonts w:ascii="Times New Roman" w:hAnsi="Times New Roman"/>
          <w:sz w:val="24"/>
          <w:szCs w:val="24"/>
        </w:rPr>
        <w:t xml:space="preserve"> which are</w:t>
      </w:r>
      <w:r w:rsidR="00DF0696" w:rsidRPr="00D813D7">
        <w:rPr>
          <w:rFonts w:ascii="Times New Roman" w:hAnsi="Times New Roman"/>
          <w:sz w:val="24"/>
          <w:szCs w:val="24"/>
        </w:rPr>
        <w:t xml:space="preserve"> defined as</w:t>
      </w:r>
      <w:r w:rsidR="00D401D2" w:rsidRPr="00D813D7">
        <w:rPr>
          <w:rFonts w:ascii="Times New Roman" w:hAnsi="Times New Roman"/>
          <w:sz w:val="24"/>
          <w:szCs w:val="24"/>
        </w:rPr>
        <w:t xml:space="preserve"> </w:t>
      </w:r>
      <w:r w:rsidR="003A5D94" w:rsidRPr="00D813D7">
        <w:rPr>
          <w:rFonts w:ascii="Times New Roman" w:hAnsi="Times New Roman"/>
          <w:sz w:val="24"/>
          <w:szCs w:val="24"/>
        </w:rPr>
        <w:t>“</w:t>
      </w:r>
      <w:r w:rsidR="00D401D2" w:rsidRPr="00D813D7">
        <w:rPr>
          <w:rFonts w:ascii="Times New Roman" w:hAnsi="Times New Roman"/>
          <w:sz w:val="24"/>
          <w:szCs w:val="24"/>
        </w:rPr>
        <w:t>all removal costs</w:t>
      </w:r>
      <w:r w:rsidR="003A5D94" w:rsidRPr="00D813D7">
        <w:rPr>
          <w:rFonts w:ascii="Times New Roman" w:hAnsi="Times New Roman"/>
          <w:sz w:val="24"/>
          <w:szCs w:val="24"/>
        </w:rPr>
        <w:t>,</w:t>
      </w:r>
      <w:r w:rsidR="00D401D2" w:rsidRPr="00D813D7">
        <w:rPr>
          <w:rFonts w:ascii="Times New Roman" w:hAnsi="Times New Roman"/>
          <w:sz w:val="24"/>
          <w:szCs w:val="24"/>
        </w:rPr>
        <w:t xml:space="preserve"> including</w:t>
      </w:r>
      <w:r w:rsidR="003A5D94" w:rsidRPr="00D813D7">
        <w:rPr>
          <w:rFonts w:ascii="Times New Roman" w:hAnsi="Times New Roman"/>
          <w:sz w:val="24"/>
          <w:szCs w:val="24"/>
        </w:rPr>
        <w:t>,</w:t>
      </w:r>
      <w:r w:rsidR="00D401D2" w:rsidRPr="00D813D7">
        <w:rPr>
          <w:rFonts w:ascii="Times New Roman" w:hAnsi="Times New Roman"/>
          <w:sz w:val="24"/>
          <w:szCs w:val="24"/>
        </w:rPr>
        <w:t xml:space="preserve"> but not lim</w:t>
      </w:r>
      <w:r w:rsidR="006C4699" w:rsidRPr="00D813D7">
        <w:rPr>
          <w:rFonts w:ascii="Times New Roman" w:hAnsi="Times New Roman"/>
          <w:sz w:val="24"/>
          <w:szCs w:val="24"/>
        </w:rPr>
        <w:t>i</w:t>
      </w:r>
      <w:r w:rsidR="00D401D2" w:rsidRPr="00D813D7">
        <w:rPr>
          <w:rFonts w:ascii="Times New Roman" w:hAnsi="Times New Roman"/>
          <w:sz w:val="24"/>
          <w:szCs w:val="24"/>
        </w:rPr>
        <w:t>ted to labor costs, contractor costs, costs to investigate redundant services, and Net Book Value of Facilities less Sa</w:t>
      </w:r>
      <w:r w:rsidR="003A5D94" w:rsidRPr="00D813D7">
        <w:rPr>
          <w:rFonts w:ascii="Times New Roman" w:hAnsi="Times New Roman"/>
          <w:sz w:val="24"/>
          <w:szCs w:val="24"/>
        </w:rPr>
        <w:t>l</w:t>
      </w:r>
      <w:r w:rsidR="00D401D2" w:rsidRPr="00D813D7">
        <w:rPr>
          <w:rFonts w:ascii="Times New Roman" w:hAnsi="Times New Roman"/>
          <w:sz w:val="24"/>
          <w:szCs w:val="24"/>
        </w:rPr>
        <w:t>vage.”</w:t>
      </w:r>
      <w:r w:rsidR="00512F12" w:rsidRPr="00D813D7">
        <w:rPr>
          <w:rStyle w:val="FootnoteReference"/>
          <w:rFonts w:ascii="Times New Roman" w:hAnsi="Times New Roman"/>
          <w:sz w:val="24"/>
          <w:szCs w:val="24"/>
        </w:rPr>
        <w:footnoteReference w:id="8"/>
      </w:r>
      <w:r w:rsidR="003A5D94" w:rsidRPr="00D813D7">
        <w:rPr>
          <w:rFonts w:ascii="Times New Roman" w:hAnsi="Times New Roman"/>
          <w:sz w:val="24"/>
          <w:szCs w:val="24"/>
        </w:rPr>
        <w:t xml:space="preserve"> </w:t>
      </w:r>
      <w:r w:rsidR="001B4A50">
        <w:rPr>
          <w:rFonts w:ascii="Times New Roman" w:hAnsi="Times New Roman"/>
          <w:sz w:val="24"/>
          <w:szCs w:val="24"/>
        </w:rPr>
        <w:t xml:space="preserve"> </w:t>
      </w:r>
      <w:r w:rsidR="00DF0696" w:rsidRPr="00D813D7">
        <w:rPr>
          <w:rFonts w:ascii="Times New Roman" w:hAnsi="Times New Roman"/>
          <w:sz w:val="24"/>
          <w:szCs w:val="24"/>
        </w:rPr>
        <w:t xml:space="preserve">This </w:t>
      </w:r>
      <w:r w:rsidR="003A5D94" w:rsidRPr="00D813D7">
        <w:rPr>
          <w:rFonts w:ascii="Times New Roman" w:hAnsi="Times New Roman"/>
          <w:sz w:val="24"/>
          <w:szCs w:val="24"/>
        </w:rPr>
        <w:t>option (</w:t>
      </w:r>
      <w:r w:rsidR="00531DC1" w:rsidRPr="00D813D7">
        <w:rPr>
          <w:rFonts w:ascii="Times New Roman" w:hAnsi="Times New Roman"/>
          <w:sz w:val="24"/>
          <w:szCs w:val="24"/>
        </w:rPr>
        <w:t>“</w:t>
      </w:r>
      <w:r w:rsidR="003A5D94" w:rsidRPr="00D813D7">
        <w:rPr>
          <w:rFonts w:ascii="Times New Roman" w:hAnsi="Times New Roman"/>
          <w:sz w:val="24"/>
          <w:szCs w:val="24"/>
        </w:rPr>
        <w:t>Option One</w:t>
      </w:r>
      <w:r w:rsidR="00531DC1" w:rsidRPr="00D813D7">
        <w:rPr>
          <w:rFonts w:ascii="Times New Roman" w:hAnsi="Times New Roman"/>
          <w:sz w:val="24"/>
          <w:szCs w:val="24"/>
        </w:rPr>
        <w:t>”)</w:t>
      </w:r>
      <w:r w:rsidR="003A5D94" w:rsidRPr="00D813D7">
        <w:rPr>
          <w:rFonts w:ascii="Times New Roman" w:hAnsi="Times New Roman"/>
          <w:sz w:val="24"/>
          <w:szCs w:val="24"/>
        </w:rPr>
        <w:t xml:space="preserve"> requires the departing customer to pay an estimate of </w:t>
      </w:r>
      <w:r w:rsidR="00512F12" w:rsidRPr="00D813D7">
        <w:rPr>
          <w:rFonts w:ascii="Times New Roman" w:hAnsi="Times New Roman"/>
          <w:sz w:val="24"/>
          <w:szCs w:val="24"/>
        </w:rPr>
        <w:t xml:space="preserve">the actual </w:t>
      </w:r>
      <w:r w:rsidR="003A5D94" w:rsidRPr="00D813D7">
        <w:rPr>
          <w:rFonts w:ascii="Times New Roman" w:hAnsi="Times New Roman"/>
          <w:sz w:val="24"/>
          <w:szCs w:val="24"/>
        </w:rPr>
        <w:t xml:space="preserve">cost </w:t>
      </w:r>
      <w:r w:rsidR="00512F12" w:rsidRPr="00D813D7">
        <w:rPr>
          <w:rFonts w:ascii="Times New Roman" w:hAnsi="Times New Roman"/>
          <w:sz w:val="24"/>
          <w:szCs w:val="24"/>
        </w:rPr>
        <w:t xml:space="preserve">of removal </w:t>
      </w:r>
      <w:r w:rsidR="003A5D94" w:rsidRPr="00D813D7">
        <w:rPr>
          <w:rFonts w:ascii="Times New Roman" w:hAnsi="Times New Roman"/>
          <w:sz w:val="24"/>
          <w:szCs w:val="24"/>
        </w:rPr>
        <w:t>before perma</w:t>
      </w:r>
      <w:r w:rsidR="00597C04" w:rsidRPr="00D813D7">
        <w:rPr>
          <w:rFonts w:ascii="Times New Roman" w:hAnsi="Times New Roman"/>
          <w:sz w:val="24"/>
          <w:szCs w:val="24"/>
        </w:rPr>
        <w:t xml:space="preserve">nent disconnection and </w:t>
      </w:r>
      <w:r w:rsidR="008E5234" w:rsidRPr="00D813D7">
        <w:rPr>
          <w:rFonts w:ascii="Times New Roman" w:hAnsi="Times New Roman"/>
          <w:sz w:val="24"/>
          <w:szCs w:val="24"/>
        </w:rPr>
        <w:t xml:space="preserve">facility </w:t>
      </w:r>
      <w:r w:rsidR="00597C04" w:rsidRPr="00D813D7">
        <w:rPr>
          <w:rFonts w:ascii="Times New Roman" w:hAnsi="Times New Roman"/>
          <w:sz w:val="24"/>
          <w:szCs w:val="24"/>
        </w:rPr>
        <w:t xml:space="preserve">removal. </w:t>
      </w:r>
    </w:p>
    <w:p w:rsidR="008E5EE7" w:rsidRPr="00D813D7" w:rsidRDefault="00531DC1" w:rsidP="00911D0D">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 xml:space="preserve">The Company proposes a second option (“Option Two”) </w:t>
      </w:r>
      <w:r w:rsidR="007B3F9A" w:rsidRPr="00D813D7">
        <w:rPr>
          <w:rFonts w:ascii="Times New Roman" w:hAnsi="Times New Roman"/>
          <w:sz w:val="24"/>
          <w:szCs w:val="24"/>
        </w:rPr>
        <w:t xml:space="preserve">that </w:t>
      </w:r>
      <w:r w:rsidR="008F298B" w:rsidRPr="00D813D7">
        <w:rPr>
          <w:rFonts w:ascii="Times New Roman" w:hAnsi="Times New Roman"/>
          <w:sz w:val="24"/>
          <w:szCs w:val="24"/>
        </w:rPr>
        <w:t xml:space="preserve">specifically </w:t>
      </w:r>
      <w:r w:rsidR="007B3F9A" w:rsidRPr="00D813D7">
        <w:rPr>
          <w:rFonts w:ascii="Times New Roman" w:hAnsi="Times New Roman"/>
          <w:sz w:val="24"/>
          <w:szCs w:val="24"/>
        </w:rPr>
        <w:t xml:space="preserve">allows for the purchase of underground </w:t>
      </w:r>
      <w:r w:rsidR="00DF12B4" w:rsidRPr="00D813D7">
        <w:rPr>
          <w:rFonts w:ascii="Times New Roman" w:hAnsi="Times New Roman"/>
          <w:sz w:val="24"/>
          <w:szCs w:val="24"/>
        </w:rPr>
        <w:t>conduit</w:t>
      </w:r>
      <w:r w:rsidR="007B3F9A" w:rsidRPr="00D813D7">
        <w:rPr>
          <w:rFonts w:ascii="Times New Roman" w:hAnsi="Times New Roman"/>
          <w:sz w:val="24"/>
          <w:szCs w:val="24"/>
        </w:rPr>
        <w:t xml:space="preserve"> and vaults at “Fair </w:t>
      </w:r>
      <w:r w:rsidR="00D9612F" w:rsidRPr="00D813D7">
        <w:rPr>
          <w:rFonts w:ascii="Times New Roman" w:hAnsi="Times New Roman"/>
          <w:sz w:val="24"/>
          <w:szCs w:val="24"/>
        </w:rPr>
        <w:t xml:space="preserve">Market Value in lieu of removal” </w:t>
      </w:r>
      <w:r w:rsidR="00D9612F" w:rsidRPr="00D813D7">
        <w:rPr>
          <w:rFonts w:ascii="Times New Roman" w:hAnsi="Times New Roman"/>
          <w:i/>
          <w:sz w:val="24"/>
          <w:szCs w:val="24"/>
        </w:rPr>
        <w:t>and</w:t>
      </w:r>
      <w:r w:rsidR="00D9612F" w:rsidRPr="00D813D7">
        <w:rPr>
          <w:rFonts w:ascii="Times New Roman" w:hAnsi="Times New Roman"/>
          <w:sz w:val="24"/>
          <w:szCs w:val="24"/>
        </w:rPr>
        <w:t xml:space="preserve"> for customers to “</w:t>
      </w:r>
      <w:r w:rsidR="007B3F9A" w:rsidRPr="00D813D7">
        <w:rPr>
          <w:rFonts w:ascii="Times New Roman" w:hAnsi="Times New Roman"/>
          <w:sz w:val="24"/>
          <w:szCs w:val="24"/>
        </w:rPr>
        <w:t xml:space="preserve">pay Actual Cost of </w:t>
      </w:r>
      <w:r w:rsidR="00DF12B4" w:rsidRPr="00D813D7">
        <w:rPr>
          <w:rFonts w:ascii="Times New Roman" w:hAnsi="Times New Roman"/>
          <w:sz w:val="24"/>
          <w:szCs w:val="24"/>
        </w:rPr>
        <w:t>Removal</w:t>
      </w:r>
      <w:r w:rsidR="007B3F9A" w:rsidRPr="00D813D7">
        <w:rPr>
          <w:rFonts w:ascii="Times New Roman" w:hAnsi="Times New Roman"/>
          <w:sz w:val="24"/>
          <w:szCs w:val="24"/>
        </w:rPr>
        <w:t xml:space="preserve"> of all Facilities not sold.”</w:t>
      </w:r>
      <w:r w:rsidR="00A72F28" w:rsidRPr="00D813D7">
        <w:rPr>
          <w:rStyle w:val="FootnoteReference"/>
          <w:rFonts w:ascii="Times New Roman" w:hAnsi="Times New Roman"/>
          <w:sz w:val="24"/>
          <w:szCs w:val="24"/>
        </w:rPr>
        <w:footnoteReference w:id="9"/>
      </w:r>
      <w:r w:rsidR="00790224" w:rsidRPr="00D813D7">
        <w:rPr>
          <w:rFonts w:ascii="Times New Roman" w:hAnsi="Times New Roman"/>
          <w:sz w:val="24"/>
          <w:szCs w:val="24"/>
        </w:rPr>
        <w:t xml:space="preserve"> </w:t>
      </w:r>
      <w:r w:rsidR="001B4A50">
        <w:rPr>
          <w:rFonts w:ascii="Times New Roman" w:hAnsi="Times New Roman"/>
          <w:sz w:val="24"/>
          <w:szCs w:val="24"/>
        </w:rPr>
        <w:t xml:space="preserve"> </w:t>
      </w:r>
      <w:r w:rsidR="008E5EE7" w:rsidRPr="00D813D7" w:rsidDel="00DF0696">
        <w:rPr>
          <w:rFonts w:ascii="Times New Roman" w:hAnsi="Times New Roman"/>
          <w:sz w:val="24"/>
          <w:szCs w:val="24"/>
        </w:rPr>
        <w:t xml:space="preserve">As with Option One, the Company will provide an estimate of the appropriate charges for payment </w:t>
      </w:r>
      <w:r w:rsidR="008E5EE7" w:rsidRPr="00D813D7" w:rsidDel="00DF0696">
        <w:rPr>
          <w:rFonts w:ascii="Times New Roman" w:hAnsi="Times New Roman"/>
          <w:sz w:val="24"/>
          <w:szCs w:val="24"/>
        </w:rPr>
        <w:lastRenderedPageBreak/>
        <w:t>by the customer before the permanent disconnection and removal of any facility.</w:t>
      </w:r>
      <w:r w:rsidR="00A72F28" w:rsidRPr="00D813D7">
        <w:rPr>
          <w:rStyle w:val="FootnoteReference"/>
          <w:rFonts w:ascii="Times New Roman" w:hAnsi="Times New Roman"/>
          <w:sz w:val="24"/>
          <w:szCs w:val="24"/>
        </w:rPr>
        <w:footnoteReference w:id="10"/>
      </w:r>
      <w:r w:rsidR="008E5EE7" w:rsidRPr="00D813D7" w:rsidDel="00DF0696">
        <w:rPr>
          <w:rFonts w:ascii="Times New Roman" w:hAnsi="Times New Roman"/>
          <w:sz w:val="24"/>
          <w:szCs w:val="24"/>
        </w:rPr>
        <w:t xml:space="preserve"> </w:t>
      </w:r>
    </w:p>
    <w:p w:rsidR="007C399A" w:rsidRPr="00D813D7" w:rsidRDefault="00911D0D" w:rsidP="007C399A">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7C399A" w:rsidRPr="00D813D7">
        <w:rPr>
          <w:rFonts w:ascii="Times New Roman" w:hAnsi="Times New Roman"/>
          <w:b/>
          <w:sz w:val="24"/>
          <w:szCs w:val="24"/>
        </w:rPr>
        <w:tab/>
        <w:t>Does the proposed expansion of Rule 6 afford the Company additional discretion not present in the current Rule 6?</w:t>
      </w:r>
    </w:p>
    <w:p w:rsidR="0074627E" w:rsidRPr="00D813D7" w:rsidRDefault="007C399A" w:rsidP="00911D0D">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911D0D" w:rsidRPr="00D813D7">
        <w:rPr>
          <w:rFonts w:ascii="Times New Roman" w:hAnsi="Times New Roman"/>
          <w:sz w:val="24"/>
          <w:szCs w:val="24"/>
        </w:rPr>
        <w:t>:</w:t>
      </w:r>
      <w:r w:rsidRPr="00D813D7">
        <w:rPr>
          <w:rFonts w:ascii="Times New Roman" w:hAnsi="Times New Roman"/>
          <w:sz w:val="24"/>
          <w:szCs w:val="24"/>
        </w:rPr>
        <w:tab/>
        <w:t xml:space="preserve">Yes, the proposed revision to Rule 6 procedures allows the Company </w:t>
      </w:r>
      <w:r w:rsidR="00225635" w:rsidRPr="00D813D7">
        <w:rPr>
          <w:rFonts w:ascii="Times New Roman" w:hAnsi="Times New Roman"/>
          <w:sz w:val="24"/>
          <w:szCs w:val="24"/>
        </w:rPr>
        <w:t>additiona</w:t>
      </w:r>
      <w:r w:rsidR="008E56CB" w:rsidRPr="00D813D7">
        <w:rPr>
          <w:rFonts w:ascii="Times New Roman" w:hAnsi="Times New Roman"/>
          <w:sz w:val="24"/>
          <w:szCs w:val="24"/>
        </w:rPr>
        <w:t>l</w:t>
      </w:r>
      <w:r w:rsidR="00225635" w:rsidRPr="00D813D7">
        <w:rPr>
          <w:rFonts w:ascii="Times New Roman" w:hAnsi="Times New Roman"/>
          <w:sz w:val="24"/>
          <w:szCs w:val="24"/>
        </w:rPr>
        <w:t xml:space="preserve"> </w:t>
      </w:r>
      <w:r w:rsidRPr="00D813D7">
        <w:rPr>
          <w:rFonts w:ascii="Times New Roman" w:hAnsi="Times New Roman"/>
          <w:sz w:val="24"/>
          <w:szCs w:val="24"/>
        </w:rPr>
        <w:t>discretion in t</w:t>
      </w:r>
      <w:r w:rsidR="0074627E" w:rsidRPr="00D813D7">
        <w:rPr>
          <w:rFonts w:ascii="Times New Roman" w:hAnsi="Times New Roman"/>
          <w:sz w:val="24"/>
          <w:szCs w:val="24"/>
        </w:rPr>
        <w:t>hree</w:t>
      </w:r>
      <w:r w:rsidRPr="00D813D7">
        <w:rPr>
          <w:rFonts w:ascii="Times New Roman" w:hAnsi="Times New Roman"/>
          <w:sz w:val="24"/>
          <w:szCs w:val="24"/>
        </w:rPr>
        <w:t xml:space="preserve"> ways.</w:t>
      </w:r>
      <w:r w:rsidR="00790224" w:rsidRPr="00D813D7">
        <w:rPr>
          <w:rFonts w:ascii="Times New Roman" w:hAnsi="Times New Roman"/>
          <w:sz w:val="24"/>
          <w:szCs w:val="24"/>
        </w:rPr>
        <w:t xml:space="preserve"> </w:t>
      </w:r>
    </w:p>
    <w:p w:rsidR="00911D0D" w:rsidRPr="00D813D7" w:rsidRDefault="007C399A" w:rsidP="00911D0D">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 xml:space="preserve">First, the Company requests that in lieu of removal or purchase by the departing </w:t>
      </w:r>
      <w:r w:rsidR="00225635" w:rsidRPr="00D813D7">
        <w:rPr>
          <w:rFonts w:ascii="Times New Roman" w:hAnsi="Times New Roman"/>
          <w:sz w:val="24"/>
          <w:szCs w:val="24"/>
        </w:rPr>
        <w:t>c</w:t>
      </w:r>
      <w:r w:rsidRPr="00D813D7">
        <w:rPr>
          <w:rFonts w:ascii="Times New Roman" w:hAnsi="Times New Roman"/>
          <w:sz w:val="24"/>
          <w:szCs w:val="24"/>
        </w:rPr>
        <w:t>ustomer</w:t>
      </w:r>
      <w:r w:rsidR="00225635" w:rsidRPr="00D813D7">
        <w:rPr>
          <w:rFonts w:ascii="Times New Roman" w:hAnsi="Times New Roman"/>
          <w:sz w:val="24"/>
          <w:szCs w:val="24"/>
        </w:rPr>
        <w:t>,</w:t>
      </w:r>
      <w:r w:rsidRPr="00D813D7">
        <w:rPr>
          <w:rFonts w:ascii="Times New Roman" w:hAnsi="Times New Roman"/>
          <w:sz w:val="24"/>
          <w:szCs w:val="24"/>
        </w:rPr>
        <w:t xml:space="preserve"> it be allowed to abandon in place some or all facilities if, </w:t>
      </w:r>
      <w:r w:rsidR="008F15E4" w:rsidRPr="00D813D7">
        <w:rPr>
          <w:rFonts w:ascii="Times New Roman" w:hAnsi="Times New Roman"/>
          <w:sz w:val="24"/>
          <w:szCs w:val="24"/>
        </w:rPr>
        <w:t>“</w:t>
      </w:r>
      <w:r w:rsidRPr="00D813D7">
        <w:rPr>
          <w:rFonts w:ascii="Times New Roman" w:hAnsi="Times New Roman"/>
          <w:sz w:val="24"/>
          <w:szCs w:val="24"/>
        </w:rPr>
        <w:t>in the Company</w:t>
      </w:r>
      <w:r w:rsidR="00345178" w:rsidRPr="00D813D7">
        <w:rPr>
          <w:rFonts w:ascii="Times New Roman" w:hAnsi="Times New Roman"/>
          <w:sz w:val="24"/>
          <w:szCs w:val="24"/>
        </w:rPr>
        <w:t>’s</w:t>
      </w:r>
      <w:r w:rsidRPr="00D813D7">
        <w:rPr>
          <w:rFonts w:ascii="Times New Roman" w:hAnsi="Times New Roman"/>
          <w:sz w:val="24"/>
          <w:szCs w:val="24"/>
        </w:rPr>
        <w:t xml:space="preserve"> sole discretion</w:t>
      </w:r>
      <w:r w:rsidR="008F15E4" w:rsidRPr="00D813D7">
        <w:rPr>
          <w:rFonts w:ascii="Times New Roman" w:hAnsi="Times New Roman"/>
          <w:sz w:val="24"/>
          <w:szCs w:val="24"/>
        </w:rPr>
        <w:t>,</w:t>
      </w:r>
      <w:r w:rsidRPr="00D813D7">
        <w:rPr>
          <w:rFonts w:ascii="Times New Roman" w:hAnsi="Times New Roman"/>
          <w:sz w:val="24"/>
          <w:szCs w:val="24"/>
        </w:rPr>
        <w:t xml:space="preserve"> service may be negatively impacted or safety issues may arise as a result of removal or purchase by the departing customer.”</w:t>
      </w:r>
      <w:r w:rsidR="008F15E4" w:rsidRPr="00D813D7">
        <w:rPr>
          <w:rStyle w:val="FootnoteReference"/>
          <w:rFonts w:ascii="Times New Roman" w:hAnsi="Times New Roman"/>
          <w:sz w:val="24"/>
          <w:szCs w:val="24"/>
        </w:rPr>
        <w:footnoteReference w:id="11"/>
      </w:r>
      <w:r w:rsidR="00790224" w:rsidRPr="00D813D7">
        <w:rPr>
          <w:rFonts w:ascii="Times New Roman" w:hAnsi="Times New Roman"/>
          <w:sz w:val="24"/>
          <w:szCs w:val="24"/>
        </w:rPr>
        <w:t xml:space="preserve"> </w:t>
      </w:r>
      <w:r w:rsidR="00DB231C">
        <w:rPr>
          <w:rFonts w:ascii="Times New Roman" w:hAnsi="Times New Roman"/>
          <w:sz w:val="24"/>
          <w:szCs w:val="24"/>
        </w:rPr>
        <w:t xml:space="preserve"> </w:t>
      </w:r>
      <w:r w:rsidRPr="00D813D7">
        <w:rPr>
          <w:rFonts w:ascii="Times New Roman" w:hAnsi="Times New Roman"/>
          <w:sz w:val="24"/>
          <w:szCs w:val="24"/>
        </w:rPr>
        <w:t xml:space="preserve">The Company </w:t>
      </w:r>
      <w:r w:rsidR="0074627E" w:rsidRPr="00D813D7">
        <w:rPr>
          <w:rFonts w:ascii="Times New Roman" w:hAnsi="Times New Roman"/>
          <w:sz w:val="24"/>
          <w:szCs w:val="24"/>
        </w:rPr>
        <w:t xml:space="preserve">states that it </w:t>
      </w:r>
      <w:r w:rsidRPr="00D813D7">
        <w:rPr>
          <w:rFonts w:ascii="Times New Roman" w:hAnsi="Times New Roman"/>
          <w:sz w:val="24"/>
          <w:szCs w:val="24"/>
        </w:rPr>
        <w:t xml:space="preserve">will be responsible for decommissioning and leaving </w:t>
      </w:r>
      <w:r w:rsidR="00DB231C">
        <w:rPr>
          <w:rFonts w:ascii="Times New Roman" w:hAnsi="Times New Roman"/>
          <w:sz w:val="24"/>
          <w:szCs w:val="24"/>
        </w:rPr>
        <w:t>in place these facilities in “a</w:t>
      </w:r>
      <w:r w:rsidRPr="00D813D7">
        <w:rPr>
          <w:rFonts w:ascii="Times New Roman" w:hAnsi="Times New Roman"/>
          <w:sz w:val="24"/>
          <w:szCs w:val="24"/>
        </w:rPr>
        <w:t xml:space="preserve"> safe manner consistent with best industry practices.</w:t>
      </w:r>
      <w:r w:rsidR="008F15E4" w:rsidRPr="00D813D7">
        <w:rPr>
          <w:rStyle w:val="FootnoteReference"/>
          <w:rFonts w:ascii="Times New Roman" w:hAnsi="Times New Roman"/>
          <w:sz w:val="24"/>
          <w:szCs w:val="24"/>
        </w:rPr>
        <w:footnoteReference w:id="12"/>
      </w:r>
      <w:r w:rsidRPr="00D813D7">
        <w:rPr>
          <w:rFonts w:ascii="Times New Roman" w:hAnsi="Times New Roman"/>
          <w:sz w:val="24"/>
          <w:szCs w:val="24"/>
        </w:rPr>
        <w:t xml:space="preserve">” </w:t>
      </w:r>
    </w:p>
    <w:p w:rsidR="0074627E" w:rsidRPr="00D813D7" w:rsidRDefault="0074627E" w:rsidP="00911D0D">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Second, the facilities open to removal may now be those located in “right of ways, private property, or any other property used to provide the departing customer electric service.”</w:t>
      </w:r>
      <w:r w:rsidR="007E5EE4" w:rsidRPr="00D813D7">
        <w:rPr>
          <w:rStyle w:val="FootnoteReference"/>
          <w:rFonts w:ascii="Times New Roman" w:hAnsi="Times New Roman"/>
          <w:sz w:val="24"/>
          <w:szCs w:val="24"/>
        </w:rPr>
        <w:footnoteReference w:id="13"/>
      </w:r>
      <w:r w:rsidR="00790224" w:rsidRPr="00D813D7">
        <w:rPr>
          <w:rFonts w:ascii="Times New Roman" w:hAnsi="Times New Roman"/>
          <w:sz w:val="24"/>
          <w:szCs w:val="24"/>
        </w:rPr>
        <w:t xml:space="preserve"> </w:t>
      </w:r>
      <w:r w:rsidR="00A26AC2">
        <w:rPr>
          <w:rFonts w:ascii="Times New Roman" w:hAnsi="Times New Roman"/>
          <w:sz w:val="24"/>
          <w:szCs w:val="24"/>
        </w:rPr>
        <w:t xml:space="preserve"> </w:t>
      </w:r>
      <w:r w:rsidRPr="00D813D7">
        <w:rPr>
          <w:rFonts w:ascii="Times New Roman" w:hAnsi="Times New Roman"/>
          <w:sz w:val="24"/>
          <w:szCs w:val="24"/>
        </w:rPr>
        <w:t>This provision applies to the Company’s discretion to mark facilities for removal for safety reasons, not just for those facilities that departing customers pay to have removed</w:t>
      </w:r>
      <w:r w:rsidR="007F0F6E" w:rsidRPr="00D813D7">
        <w:rPr>
          <w:rFonts w:ascii="Times New Roman" w:hAnsi="Times New Roman"/>
          <w:sz w:val="24"/>
          <w:szCs w:val="24"/>
        </w:rPr>
        <w:t xml:space="preserve"> at their place of residence or business</w:t>
      </w:r>
      <w:r w:rsidR="00E02FC8" w:rsidRPr="00D813D7">
        <w:rPr>
          <w:rFonts w:ascii="Times New Roman" w:hAnsi="Times New Roman"/>
          <w:sz w:val="24"/>
          <w:szCs w:val="24"/>
        </w:rPr>
        <w:t>.</w:t>
      </w:r>
      <w:r w:rsidR="007F0F6E" w:rsidRPr="00D813D7">
        <w:rPr>
          <w:rStyle w:val="FootnoteReference"/>
          <w:rFonts w:ascii="Times New Roman" w:hAnsi="Times New Roman"/>
          <w:sz w:val="24"/>
          <w:szCs w:val="24"/>
        </w:rPr>
        <w:footnoteReference w:id="14"/>
      </w:r>
    </w:p>
    <w:p w:rsidR="007C399A" w:rsidRPr="00D813D7" w:rsidRDefault="00911D0D" w:rsidP="00911D0D">
      <w:pPr>
        <w:widowControl w:val="0"/>
        <w:spacing w:after="0" w:line="480" w:lineRule="auto"/>
        <w:ind w:left="720"/>
        <w:rPr>
          <w:rFonts w:ascii="Times New Roman" w:hAnsi="Times New Roman"/>
          <w:sz w:val="24"/>
          <w:szCs w:val="24"/>
        </w:rPr>
      </w:pPr>
      <w:r w:rsidRPr="00D813D7">
        <w:rPr>
          <w:rFonts w:ascii="Times New Roman" w:hAnsi="Times New Roman"/>
          <w:sz w:val="24"/>
          <w:szCs w:val="24"/>
        </w:rPr>
        <w:tab/>
      </w:r>
      <w:r w:rsidR="0074627E" w:rsidRPr="00D813D7">
        <w:rPr>
          <w:rFonts w:ascii="Times New Roman" w:hAnsi="Times New Roman"/>
          <w:sz w:val="24"/>
          <w:szCs w:val="24"/>
        </w:rPr>
        <w:t xml:space="preserve">The third discretionary assessment, and potentially the one with the greatest financial </w:t>
      </w:r>
      <w:r w:rsidR="0074627E" w:rsidRPr="00D813D7">
        <w:rPr>
          <w:rFonts w:ascii="Times New Roman" w:hAnsi="Times New Roman"/>
          <w:sz w:val="24"/>
          <w:szCs w:val="24"/>
        </w:rPr>
        <w:lastRenderedPageBreak/>
        <w:t>impact, is the Company’s requirement that departing customers pay a Stranded Cost Recovery Fee before facilities are disconnected.</w:t>
      </w:r>
      <w:r w:rsidR="008F15E4" w:rsidRPr="00D813D7">
        <w:rPr>
          <w:rStyle w:val="FootnoteReference"/>
          <w:rFonts w:ascii="Times New Roman" w:hAnsi="Times New Roman"/>
          <w:sz w:val="24"/>
          <w:szCs w:val="24"/>
        </w:rPr>
        <w:footnoteReference w:id="15"/>
      </w:r>
      <w:r w:rsidR="00790224" w:rsidRPr="00D813D7">
        <w:rPr>
          <w:rFonts w:ascii="Times New Roman" w:hAnsi="Times New Roman"/>
          <w:sz w:val="24"/>
          <w:szCs w:val="24"/>
        </w:rPr>
        <w:t xml:space="preserve"> </w:t>
      </w:r>
      <w:r w:rsidR="00A26AC2">
        <w:rPr>
          <w:rFonts w:ascii="Times New Roman" w:hAnsi="Times New Roman"/>
          <w:sz w:val="24"/>
          <w:szCs w:val="24"/>
        </w:rPr>
        <w:t xml:space="preserve"> </w:t>
      </w:r>
      <w:r w:rsidR="007F0F6E" w:rsidRPr="00D813D7">
        <w:rPr>
          <w:rFonts w:ascii="Times New Roman" w:hAnsi="Times New Roman"/>
          <w:sz w:val="24"/>
          <w:szCs w:val="24"/>
        </w:rPr>
        <w:t xml:space="preserve">Pacific Power’s proposed change to </w:t>
      </w:r>
      <w:r w:rsidR="00A26AC2">
        <w:rPr>
          <w:rFonts w:ascii="Times New Roman" w:hAnsi="Times New Roman"/>
          <w:sz w:val="24"/>
          <w:szCs w:val="24"/>
        </w:rPr>
        <w:t>Schedule 300</w:t>
      </w:r>
      <w:r w:rsidR="0074627E" w:rsidRPr="00D813D7">
        <w:rPr>
          <w:rFonts w:ascii="Times New Roman" w:hAnsi="Times New Roman"/>
          <w:sz w:val="24"/>
          <w:szCs w:val="24"/>
        </w:rPr>
        <w:t xml:space="preserve"> explicitly list</w:t>
      </w:r>
      <w:r w:rsidR="007F0F6E" w:rsidRPr="00D813D7">
        <w:rPr>
          <w:rFonts w:ascii="Times New Roman" w:hAnsi="Times New Roman"/>
          <w:sz w:val="24"/>
          <w:szCs w:val="24"/>
        </w:rPr>
        <w:t>s</w:t>
      </w:r>
      <w:r w:rsidR="0074627E" w:rsidRPr="00D813D7">
        <w:rPr>
          <w:rFonts w:ascii="Times New Roman" w:hAnsi="Times New Roman"/>
          <w:sz w:val="24"/>
          <w:szCs w:val="24"/>
        </w:rPr>
        <w:t xml:space="preserve"> the proposed Stranded Cost Recovery</w:t>
      </w:r>
      <w:r w:rsidR="001E750D" w:rsidRPr="00D813D7">
        <w:rPr>
          <w:rFonts w:ascii="Times New Roman" w:hAnsi="Times New Roman"/>
          <w:sz w:val="24"/>
          <w:szCs w:val="24"/>
        </w:rPr>
        <w:t xml:space="preserve"> Fees</w:t>
      </w:r>
      <w:r w:rsidR="0074627E" w:rsidRPr="00D813D7">
        <w:rPr>
          <w:rFonts w:ascii="Times New Roman" w:hAnsi="Times New Roman"/>
          <w:sz w:val="24"/>
          <w:szCs w:val="24"/>
        </w:rPr>
        <w:t xml:space="preserve"> for Residential and Non-residential customers (including irrigation customers).</w:t>
      </w:r>
      <w:r w:rsidR="007F0F6E" w:rsidRPr="00D813D7">
        <w:rPr>
          <w:rStyle w:val="FootnoteReference"/>
          <w:rFonts w:ascii="Times New Roman" w:hAnsi="Times New Roman"/>
          <w:sz w:val="24"/>
          <w:szCs w:val="24"/>
        </w:rPr>
        <w:footnoteReference w:id="16"/>
      </w:r>
      <w:r w:rsidR="00707026" w:rsidRPr="00D813D7">
        <w:rPr>
          <w:rFonts w:ascii="Times New Roman" w:hAnsi="Times New Roman"/>
          <w:sz w:val="24"/>
          <w:szCs w:val="24"/>
        </w:rPr>
        <w:t xml:space="preserve"> </w:t>
      </w:r>
      <w:r w:rsidR="00A26AC2">
        <w:rPr>
          <w:rFonts w:ascii="Times New Roman" w:hAnsi="Times New Roman"/>
          <w:sz w:val="24"/>
          <w:szCs w:val="24"/>
        </w:rPr>
        <w:t xml:space="preserve"> </w:t>
      </w:r>
      <w:r w:rsidR="00707026" w:rsidRPr="00D813D7">
        <w:rPr>
          <w:rFonts w:ascii="Times New Roman" w:hAnsi="Times New Roman"/>
          <w:sz w:val="24"/>
          <w:szCs w:val="24"/>
        </w:rPr>
        <w:t>This fee is in addition to the cost of each customer’s selection of either Option 1 or Option 2 to compensate the Company for direct infrastructure removal, abandonment, or sale.</w:t>
      </w:r>
    </w:p>
    <w:p w:rsidR="008E5EE7" w:rsidRPr="00D813D7" w:rsidRDefault="00911D0D" w:rsidP="008E5EE7">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8E5EE7" w:rsidRPr="00D813D7">
        <w:rPr>
          <w:rFonts w:ascii="Times New Roman" w:hAnsi="Times New Roman"/>
          <w:b/>
          <w:sz w:val="24"/>
          <w:szCs w:val="24"/>
        </w:rPr>
        <w:tab/>
      </w:r>
      <w:r w:rsidR="001F0D75" w:rsidRPr="00D813D7">
        <w:rPr>
          <w:rFonts w:ascii="Times New Roman" w:hAnsi="Times New Roman"/>
          <w:b/>
          <w:sz w:val="24"/>
          <w:szCs w:val="24"/>
        </w:rPr>
        <w:t>D</w:t>
      </w:r>
      <w:r w:rsidR="008E5EE7" w:rsidRPr="00D813D7">
        <w:rPr>
          <w:rFonts w:ascii="Times New Roman" w:hAnsi="Times New Roman"/>
          <w:b/>
          <w:sz w:val="24"/>
          <w:szCs w:val="24"/>
        </w:rPr>
        <w:t xml:space="preserve">oes the proposed revision to Rule 6 </w:t>
      </w:r>
      <w:r w:rsidR="001F0D75" w:rsidRPr="00D813D7">
        <w:rPr>
          <w:rFonts w:ascii="Times New Roman" w:hAnsi="Times New Roman"/>
          <w:b/>
          <w:sz w:val="24"/>
          <w:szCs w:val="24"/>
        </w:rPr>
        <w:t>account for the transfer of liability for the facilities that have been abandoned in place</w:t>
      </w:r>
      <w:r w:rsidR="008E5EE7" w:rsidRPr="00D813D7">
        <w:rPr>
          <w:rFonts w:ascii="Times New Roman" w:hAnsi="Times New Roman"/>
          <w:b/>
          <w:sz w:val="24"/>
          <w:szCs w:val="24"/>
        </w:rPr>
        <w:t>?</w:t>
      </w:r>
    </w:p>
    <w:p w:rsidR="00E44143" w:rsidRPr="00D813D7" w:rsidRDefault="008E5EE7" w:rsidP="00911D0D">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911D0D" w:rsidRPr="00D813D7">
        <w:rPr>
          <w:rFonts w:ascii="Times New Roman" w:hAnsi="Times New Roman"/>
          <w:sz w:val="24"/>
          <w:szCs w:val="24"/>
        </w:rPr>
        <w:t>:</w:t>
      </w:r>
      <w:r w:rsidRPr="00D813D7">
        <w:rPr>
          <w:rFonts w:ascii="Times New Roman" w:hAnsi="Times New Roman"/>
          <w:sz w:val="24"/>
          <w:szCs w:val="24"/>
        </w:rPr>
        <w:tab/>
      </w:r>
      <w:r w:rsidR="007B3F9A" w:rsidRPr="00D813D7">
        <w:rPr>
          <w:rFonts w:ascii="Times New Roman" w:hAnsi="Times New Roman"/>
          <w:sz w:val="24"/>
          <w:szCs w:val="24"/>
        </w:rPr>
        <w:t>The</w:t>
      </w:r>
      <w:r w:rsidR="001F0D75" w:rsidRPr="00D813D7">
        <w:rPr>
          <w:rFonts w:ascii="Times New Roman" w:hAnsi="Times New Roman"/>
          <w:sz w:val="24"/>
          <w:szCs w:val="24"/>
        </w:rPr>
        <w:t xml:space="preserve"> revision to Rule 6 specifically states that</w:t>
      </w:r>
      <w:r w:rsidR="007B3F9A" w:rsidRPr="00D813D7">
        <w:rPr>
          <w:rFonts w:ascii="Times New Roman" w:hAnsi="Times New Roman"/>
          <w:sz w:val="24"/>
          <w:szCs w:val="24"/>
        </w:rPr>
        <w:t xml:space="preserve"> </w:t>
      </w:r>
      <w:r w:rsidR="00707026" w:rsidRPr="00D813D7">
        <w:rPr>
          <w:rFonts w:ascii="Times New Roman" w:hAnsi="Times New Roman"/>
          <w:sz w:val="24"/>
          <w:szCs w:val="24"/>
        </w:rPr>
        <w:t xml:space="preserve">the </w:t>
      </w:r>
      <w:r w:rsidR="00DF0696" w:rsidRPr="00D813D7">
        <w:rPr>
          <w:rFonts w:ascii="Times New Roman" w:hAnsi="Times New Roman"/>
          <w:sz w:val="24"/>
          <w:szCs w:val="24"/>
        </w:rPr>
        <w:t>de</w:t>
      </w:r>
      <w:r w:rsidR="007B3F9A" w:rsidRPr="00D813D7">
        <w:rPr>
          <w:rFonts w:ascii="Times New Roman" w:hAnsi="Times New Roman"/>
          <w:sz w:val="24"/>
          <w:szCs w:val="24"/>
        </w:rPr>
        <w:t>parting customer will “assume all responsibility and liability associated with purchased underground conduit and vaults at the time of disconnection</w:t>
      </w:r>
      <w:r w:rsidR="001F0D75" w:rsidRPr="00D813D7">
        <w:rPr>
          <w:rFonts w:ascii="Times New Roman" w:hAnsi="Times New Roman"/>
          <w:sz w:val="24"/>
          <w:szCs w:val="24"/>
        </w:rPr>
        <w:t xml:space="preserve"> (and with) abandoned and decommissioned Facilities at the time of disconnection</w:t>
      </w:r>
      <w:r w:rsidR="007B3F9A" w:rsidRPr="00D813D7">
        <w:rPr>
          <w:rFonts w:ascii="Times New Roman" w:hAnsi="Times New Roman"/>
          <w:sz w:val="24"/>
          <w:szCs w:val="24"/>
        </w:rPr>
        <w:t>.”</w:t>
      </w:r>
      <w:r w:rsidR="001F0D75" w:rsidRPr="00D813D7">
        <w:rPr>
          <w:rStyle w:val="FootnoteReference"/>
          <w:rFonts w:ascii="Times New Roman" w:hAnsi="Times New Roman"/>
          <w:sz w:val="24"/>
          <w:szCs w:val="24"/>
        </w:rPr>
        <w:footnoteReference w:id="17"/>
      </w:r>
      <w:r w:rsidR="00707026" w:rsidRPr="00D813D7">
        <w:rPr>
          <w:rFonts w:ascii="Times New Roman" w:hAnsi="Times New Roman"/>
          <w:sz w:val="24"/>
          <w:szCs w:val="24"/>
        </w:rPr>
        <w:t xml:space="preserve"> </w:t>
      </w:r>
      <w:r w:rsidR="00A26AC2">
        <w:rPr>
          <w:rFonts w:ascii="Times New Roman" w:hAnsi="Times New Roman"/>
          <w:sz w:val="24"/>
          <w:szCs w:val="24"/>
        </w:rPr>
        <w:t xml:space="preserve"> </w:t>
      </w:r>
      <w:r w:rsidR="00E02FC8" w:rsidRPr="00D813D7">
        <w:rPr>
          <w:rFonts w:ascii="Times New Roman" w:hAnsi="Times New Roman"/>
          <w:sz w:val="24"/>
          <w:szCs w:val="24"/>
        </w:rPr>
        <w:t>This effectively transfers the liability for the facilities abandoned in place to the departing customer.</w:t>
      </w:r>
    </w:p>
    <w:p w:rsidR="001F0D75" w:rsidRPr="00D813D7" w:rsidRDefault="00911D0D" w:rsidP="001F0D75">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1F0D75" w:rsidRPr="00D813D7">
        <w:rPr>
          <w:rFonts w:ascii="Times New Roman" w:hAnsi="Times New Roman"/>
          <w:b/>
          <w:sz w:val="24"/>
          <w:szCs w:val="24"/>
        </w:rPr>
        <w:tab/>
        <w:t>How does the proposed revision to Rule 6 adjust the estimated amount collected from departing customers to reflect actual costs and allocate that revenue to remaining customers?</w:t>
      </w:r>
    </w:p>
    <w:p w:rsidR="00E2122B" w:rsidRPr="00D813D7" w:rsidRDefault="001F0D75" w:rsidP="007C399A">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911D0D" w:rsidRPr="00D813D7">
        <w:rPr>
          <w:rFonts w:ascii="Times New Roman" w:hAnsi="Times New Roman"/>
          <w:sz w:val="24"/>
          <w:szCs w:val="24"/>
        </w:rPr>
        <w:t>:</w:t>
      </w:r>
      <w:r w:rsidRPr="00D813D7">
        <w:rPr>
          <w:rFonts w:ascii="Times New Roman" w:hAnsi="Times New Roman"/>
          <w:sz w:val="24"/>
          <w:szCs w:val="24"/>
        </w:rPr>
        <w:tab/>
      </w:r>
      <w:r w:rsidR="00E2122B" w:rsidRPr="00D813D7">
        <w:rPr>
          <w:rFonts w:ascii="Times New Roman" w:hAnsi="Times New Roman"/>
          <w:sz w:val="24"/>
          <w:szCs w:val="24"/>
        </w:rPr>
        <w:t xml:space="preserve">Under both Option One and Option Two, customers must pay an estimated amount provided by the Company before the permanent disconnection and removal of any facility.  </w:t>
      </w:r>
      <w:r w:rsidR="008E56CB" w:rsidRPr="00D813D7">
        <w:rPr>
          <w:rFonts w:ascii="Times New Roman" w:hAnsi="Times New Roman"/>
          <w:sz w:val="24"/>
          <w:szCs w:val="24"/>
        </w:rPr>
        <w:t>C</w:t>
      </w:r>
      <w:r w:rsidR="00E2122B" w:rsidRPr="00D813D7">
        <w:rPr>
          <w:rFonts w:ascii="Times New Roman" w:hAnsi="Times New Roman"/>
          <w:sz w:val="24"/>
          <w:szCs w:val="24"/>
        </w:rPr>
        <w:t>ustomers who are tenants</w:t>
      </w:r>
      <w:r w:rsidRPr="00D813D7">
        <w:rPr>
          <w:rFonts w:ascii="Times New Roman" w:hAnsi="Times New Roman"/>
          <w:sz w:val="24"/>
          <w:szCs w:val="24"/>
        </w:rPr>
        <w:t xml:space="preserve"> must obtain a notarized affidavit of the owner’s permission for permanently disconnection and removal of facilities.</w:t>
      </w:r>
      <w:r w:rsidR="007C399A" w:rsidRPr="00D813D7">
        <w:rPr>
          <w:rFonts w:ascii="Times New Roman" w:hAnsi="Times New Roman"/>
          <w:sz w:val="24"/>
          <w:szCs w:val="24"/>
        </w:rPr>
        <w:t xml:space="preserve"> </w:t>
      </w:r>
      <w:r w:rsidR="0013543B">
        <w:rPr>
          <w:rFonts w:ascii="Times New Roman" w:hAnsi="Times New Roman"/>
          <w:sz w:val="24"/>
          <w:szCs w:val="24"/>
        </w:rPr>
        <w:t xml:space="preserve"> </w:t>
      </w:r>
      <w:r w:rsidR="00E2122B" w:rsidRPr="00D813D7">
        <w:rPr>
          <w:rFonts w:ascii="Times New Roman" w:hAnsi="Times New Roman"/>
          <w:sz w:val="24"/>
          <w:szCs w:val="24"/>
        </w:rPr>
        <w:t xml:space="preserve">PacifiCorp proposes to increase the time in which PacifiCorp must notify customers of adjustments to the estimated bill to </w:t>
      </w:r>
      <w:r w:rsidR="00E2122B" w:rsidRPr="00D813D7">
        <w:rPr>
          <w:rFonts w:ascii="Times New Roman" w:hAnsi="Times New Roman"/>
          <w:sz w:val="24"/>
          <w:szCs w:val="24"/>
        </w:rPr>
        <w:lastRenderedPageBreak/>
        <w:t>reflect the actual cost of removal from 60 days to 90 days.</w:t>
      </w:r>
      <w:r w:rsidR="00714B56" w:rsidRPr="00D813D7">
        <w:rPr>
          <w:rStyle w:val="FootnoteReference"/>
          <w:rFonts w:ascii="Times New Roman" w:hAnsi="Times New Roman"/>
          <w:sz w:val="24"/>
          <w:szCs w:val="24"/>
        </w:rPr>
        <w:footnoteReference w:id="18"/>
      </w:r>
      <w:r w:rsidR="00E44143" w:rsidRPr="00D813D7">
        <w:rPr>
          <w:rFonts w:ascii="Times New Roman" w:hAnsi="Times New Roman"/>
          <w:sz w:val="24"/>
          <w:szCs w:val="24"/>
        </w:rPr>
        <w:t xml:space="preserve"> </w:t>
      </w:r>
    </w:p>
    <w:p w:rsidR="0091657C" w:rsidRPr="00D813D7" w:rsidRDefault="00C749F1" w:rsidP="007C399A">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CC23EC" w:rsidRPr="00D813D7">
        <w:rPr>
          <w:rFonts w:ascii="Times New Roman" w:hAnsi="Times New Roman"/>
          <w:b/>
          <w:sz w:val="24"/>
          <w:szCs w:val="24"/>
        </w:rPr>
        <w:tab/>
        <w:t>What is the Company proposing to do with the proceeds of payments from departing customers resulting from Options One and Two?</w:t>
      </w:r>
    </w:p>
    <w:p w:rsidR="009A2AA5" w:rsidRPr="00D813D7" w:rsidRDefault="0013543B" w:rsidP="00C749F1">
      <w:pPr>
        <w:widowControl w:val="0"/>
        <w:spacing w:after="0" w:line="480" w:lineRule="auto"/>
        <w:ind w:left="720" w:hanging="720"/>
        <w:rPr>
          <w:rFonts w:ascii="Times New Roman" w:hAnsi="Times New Roman"/>
          <w:sz w:val="24"/>
          <w:szCs w:val="24"/>
        </w:rPr>
      </w:pPr>
      <w:r>
        <w:rPr>
          <w:rFonts w:ascii="Times New Roman" w:hAnsi="Times New Roman"/>
          <w:sz w:val="24"/>
          <w:szCs w:val="24"/>
        </w:rPr>
        <w:tab/>
      </w:r>
      <w:r w:rsidR="00E2122B" w:rsidRPr="00D813D7">
        <w:rPr>
          <w:rFonts w:ascii="Times New Roman" w:hAnsi="Times New Roman"/>
          <w:sz w:val="24"/>
          <w:szCs w:val="24"/>
        </w:rPr>
        <w:t xml:space="preserve">With respect to </w:t>
      </w:r>
      <w:r w:rsidR="00714B56" w:rsidRPr="00D813D7">
        <w:rPr>
          <w:rFonts w:ascii="Times New Roman" w:hAnsi="Times New Roman"/>
          <w:sz w:val="24"/>
          <w:szCs w:val="24"/>
        </w:rPr>
        <w:t xml:space="preserve">both Option One and </w:t>
      </w:r>
      <w:r w:rsidR="00E2122B" w:rsidRPr="00D813D7">
        <w:rPr>
          <w:rFonts w:ascii="Times New Roman" w:hAnsi="Times New Roman"/>
          <w:sz w:val="24"/>
          <w:szCs w:val="24"/>
        </w:rPr>
        <w:t>Option Two, the net proceeds are treated as proceeds of utility property and are allocated to remaining ratepayers</w:t>
      </w:r>
      <w:r w:rsidR="00F4684D" w:rsidRPr="00D813D7">
        <w:rPr>
          <w:rFonts w:ascii="Times New Roman" w:hAnsi="Times New Roman"/>
          <w:sz w:val="24"/>
          <w:szCs w:val="24"/>
        </w:rPr>
        <w:t xml:space="preserve"> to reflect the risk of ownership that ratepayers bear</w:t>
      </w:r>
      <w:r w:rsidR="00E2122B" w:rsidRPr="00D813D7">
        <w:rPr>
          <w:rFonts w:ascii="Times New Roman" w:hAnsi="Times New Roman"/>
          <w:sz w:val="24"/>
          <w:szCs w:val="24"/>
        </w:rPr>
        <w:t>.</w:t>
      </w:r>
      <w:r w:rsidR="002F7C2A" w:rsidRPr="00D813D7">
        <w:rPr>
          <w:rStyle w:val="FootnoteReference"/>
          <w:rFonts w:ascii="Times New Roman" w:hAnsi="Times New Roman"/>
          <w:sz w:val="24"/>
          <w:szCs w:val="24"/>
        </w:rPr>
        <w:footnoteReference w:id="19"/>
      </w:r>
      <w:r w:rsidR="00E2122B" w:rsidRPr="00D813D7">
        <w:rPr>
          <w:rFonts w:ascii="Times New Roman" w:hAnsi="Times New Roman"/>
          <w:sz w:val="24"/>
          <w:szCs w:val="24"/>
        </w:rPr>
        <w:t xml:space="preserve">  </w:t>
      </w:r>
      <w:r w:rsidR="00714B56" w:rsidRPr="00D813D7">
        <w:rPr>
          <w:rFonts w:ascii="Times New Roman" w:hAnsi="Times New Roman"/>
          <w:sz w:val="24"/>
          <w:szCs w:val="24"/>
        </w:rPr>
        <w:t>The Company has proposed to track the fees collected by rate schedule and deposit them in the deferral account set up under their decoupling mechanism.</w:t>
      </w:r>
      <w:r w:rsidR="00714B56" w:rsidRPr="00D813D7">
        <w:rPr>
          <w:rStyle w:val="FootnoteReference"/>
          <w:rFonts w:ascii="Times New Roman" w:hAnsi="Times New Roman"/>
          <w:sz w:val="24"/>
          <w:szCs w:val="24"/>
        </w:rPr>
        <w:footnoteReference w:id="20"/>
      </w:r>
      <w:r w:rsidR="009A2AA5" w:rsidRPr="00D813D7">
        <w:rPr>
          <w:rFonts w:ascii="Times New Roman" w:hAnsi="Times New Roman"/>
          <w:sz w:val="24"/>
          <w:szCs w:val="24"/>
        </w:rPr>
        <w:t xml:space="preserve">  This proposal suggests some </w:t>
      </w:r>
      <w:r w:rsidR="00D2736C">
        <w:rPr>
          <w:rFonts w:ascii="Times New Roman" w:hAnsi="Times New Roman"/>
          <w:sz w:val="24"/>
          <w:szCs w:val="24"/>
        </w:rPr>
        <w:t xml:space="preserve">type of </w:t>
      </w:r>
      <w:r w:rsidR="009A2AA5" w:rsidRPr="00D813D7">
        <w:rPr>
          <w:rFonts w:ascii="Times New Roman" w:hAnsi="Times New Roman"/>
          <w:sz w:val="24"/>
          <w:szCs w:val="24"/>
        </w:rPr>
        <w:t>true-up mechanism will be required in a compliance filing to show that the estimated fees collected and later changed due to adjustment to actuals are flowing through accurately using the decoupling mechanism.</w:t>
      </w:r>
      <w:r w:rsidR="009C76EF">
        <w:rPr>
          <w:rFonts w:ascii="Times New Roman" w:hAnsi="Times New Roman"/>
          <w:sz w:val="24"/>
          <w:szCs w:val="24"/>
        </w:rPr>
        <w:t xml:space="preserve"> </w:t>
      </w:r>
      <w:r w:rsidR="009A2AA5" w:rsidRPr="00D813D7">
        <w:rPr>
          <w:rFonts w:ascii="Times New Roman" w:hAnsi="Times New Roman"/>
          <w:sz w:val="24"/>
          <w:szCs w:val="24"/>
        </w:rPr>
        <w:t xml:space="preserve"> </w:t>
      </w:r>
      <w:r w:rsidR="00D2736C">
        <w:rPr>
          <w:rFonts w:ascii="Times New Roman" w:hAnsi="Times New Roman"/>
          <w:sz w:val="24"/>
          <w:szCs w:val="24"/>
        </w:rPr>
        <w:t>In this filing</w:t>
      </w:r>
      <w:r w:rsidR="009A2AA5" w:rsidRPr="00D813D7">
        <w:rPr>
          <w:rFonts w:ascii="Times New Roman" w:hAnsi="Times New Roman"/>
          <w:sz w:val="24"/>
          <w:szCs w:val="24"/>
        </w:rPr>
        <w:t>, the Company does not address whether it will accrue interest on the outstanding balance of fees collected between the time of collection and the time these fees are credited back to customers.</w:t>
      </w:r>
    </w:p>
    <w:p w:rsidR="007204DF" w:rsidRPr="00D813D7" w:rsidRDefault="00C749F1" w:rsidP="007C399A">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7204DF" w:rsidRPr="00D813D7">
        <w:rPr>
          <w:rFonts w:ascii="Times New Roman" w:hAnsi="Times New Roman"/>
          <w:b/>
          <w:sz w:val="24"/>
          <w:szCs w:val="24"/>
        </w:rPr>
        <w:tab/>
        <w:t xml:space="preserve">Are the proposed options </w:t>
      </w:r>
      <w:r w:rsidR="00063042" w:rsidRPr="00D813D7">
        <w:rPr>
          <w:rFonts w:ascii="Times New Roman" w:hAnsi="Times New Roman"/>
          <w:b/>
          <w:sz w:val="24"/>
          <w:szCs w:val="24"/>
        </w:rPr>
        <w:t xml:space="preserve">for permanent disconnection and removal </w:t>
      </w:r>
      <w:r w:rsidR="007204DF" w:rsidRPr="00D813D7">
        <w:rPr>
          <w:rFonts w:ascii="Times New Roman" w:hAnsi="Times New Roman"/>
          <w:b/>
          <w:sz w:val="24"/>
          <w:szCs w:val="24"/>
        </w:rPr>
        <w:t xml:space="preserve">fair and equitable to </w:t>
      </w:r>
      <w:r w:rsidR="00F45613" w:rsidRPr="00D813D7">
        <w:rPr>
          <w:rFonts w:ascii="Times New Roman" w:hAnsi="Times New Roman"/>
          <w:b/>
          <w:sz w:val="24"/>
          <w:szCs w:val="24"/>
        </w:rPr>
        <w:t xml:space="preserve">both </w:t>
      </w:r>
      <w:r w:rsidR="007204DF" w:rsidRPr="00D813D7">
        <w:rPr>
          <w:rFonts w:ascii="Times New Roman" w:hAnsi="Times New Roman"/>
          <w:b/>
          <w:sz w:val="24"/>
          <w:szCs w:val="24"/>
        </w:rPr>
        <w:t>departing and remaining customers?</w:t>
      </w:r>
    </w:p>
    <w:p w:rsidR="00540626" w:rsidRPr="00D813D7" w:rsidRDefault="00C749F1" w:rsidP="00C749F1">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7204DF" w:rsidRPr="00D813D7">
        <w:rPr>
          <w:rFonts w:ascii="Times New Roman" w:hAnsi="Times New Roman"/>
          <w:sz w:val="24"/>
          <w:szCs w:val="24"/>
        </w:rPr>
        <w:tab/>
      </w:r>
      <w:r w:rsidR="00A17CC4" w:rsidRPr="00D813D7">
        <w:rPr>
          <w:rFonts w:ascii="Times New Roman" w:hAnsi="Times New Roman"/>
          <w:sz w:val="24"/>
          <w:szCs w:val="24"/>
        </w:rPr>
        <w:t>I</w:t>
      </w:r>
      <w:r w:rsidR="001B0CC8" w:rsidRPr="00D813D7">
        <w:rPr>
          <w:rFonts w:ascii="Times New Roman" w:hAnsi="Times New Roman"/>
          <w:sz w:val="24"/>
          <w:szCs w:val="24"/>
        </w:rPr>
        <w:t xml:space="preserve">n the absence of a franchise agreement, </w:t>
      </w:r>
      <w:r w:rsidR="00063042" w:rsidRPr="00D813D7">
        <w:rPr>
          <w:rFonts w:ascii="Times New Roman" w:hAnsi="Times New Roman"/>
          <w:sz w:val="24"/>
          <w:szCs w:val="24"/>
        </w:rPr>
        <w:t xml:space="preserve">Pacific Power should have a means by which their existing customers are protected from the rate impacts of competitive customer departures to a new provider. </w:t>
      </w:r>
      <w:r w:rsidR="009C76EF">
        <w:rPr>
          <w:rFonts w:ascii="Times New Roman" w:hAnsi="Times New Roman"/>
          <w:sz w:val="24"/>
          <w:szCs w:val="24"/>
        </w:rPr>
        <w:t xml:space="preserve"> </w:t>
      </w:r>
      <w:r w:rsidR="00063042" w:rsidRPr="00D813D7">
        <w:rPr>
          <w:rFonts w:ascii="Times New Roman" w:hAnsi="Times New Roman"/>
          <w:sz w:val="24"/>
          <w:szCs w:val="24"/>
        </w:rPr>
        <w:t>This propose</w:t>
      </w:r>
      <w:r w:rsidR="005002C4">
        <w:rPr>
          <w:rFonts w:ascii="Times New Roman" w:hAnsi="Times New Roman"/>
          <w:sz w:val="24"/>
          <w:szCs w:val="24"/>
        </w:rPr>
        <w:t>d</w:t>
      </w:r>
      <w:r w:rsidR="00063042" w:rsidRPr="00D813D7">
        <w:rPr>
          <w:rFonts w:ascii="Times New Roman" w:hAnsi="Times New Roman"/>
          <w:sz w:val="24"/>
          <w:szCs w:val="24"/>
        </w:rPr>
        <w:t xml:space="preserve"> tariff change expands the recovery from departing customers and offers two ways of establishin</w:t>
      </w:r>
      <w:r w:rsidR="005002C4">
        <w:rPr>
          <w:rFonts w:ascii="Times New Roman" w:hAnsi="Times New Roman"/>
          <w:sz w:val="24"/>
          <w:szCs w:val="24"/>
        </w:rPr>
        <w:t xml:space="preserve">g the amount to be recovered.  </w:t>
      </w:r>
      <w:r w:rsidR="001B0CC8" w:rsidRPr="00D813D7">
        <w:rPr>
          <w:rFonts w:ascii="Times New Roman" w:hAnsi="Times New Roman"/>
          <w:sz w:val="24"/>
          <w:szCs w:val="24"/>
        </w:rPr>
        <w:t>O</w:t>
      </w:r>
      <w:r w:rsidR="00F45613" w:rsidRPr="00D813D7">
        <w:rPr>
          <w:rFonts w:ascii="Times New Roman" w:hAnsi="Times New Roman"/>
          <w:sz w:val="24"/>
          <w:szCs w:val="24"/>
        </w:rPr>
        <w:t>ptions 1 and 2 provide</w:t>
      </w:r>
      <w:r w:rsidR="00063042" w:rsidRPr="00D813D7">
        <w:rPr>
          <w:rFonts w:ascii="Times New Roman" w:hAnsi="Times New Roman"/>
          <w:sz w:val="24"/>
          <w:szCs w:val="24"/>
        </w:rPr>
        <w:t xml:space="preserve"> definition and</w:t>
      </w:r>
      <w:r w:rsidR="00F45613" w:rsidRPr="00D813D7">
        <w:rPr>
          <w:rFonts w:ascii="Times New Roman" w:hAnsi="Times New Roman"/>
          <w:sz w:val="24"/>
          <w:szCs w:val="24"/>
        </w:rPr>
        <w:t xml:space="preserve"> recovery of </w:t>
      </w:r>
      <w:r w:rsidR="00063042" w:rsidRPr="00D813D7">
        <w:rPr>
          <w:rFonts w:ascii="Times New Roman" w:hAnsi="Times New Roman"/>
          <w:sz w:val="24"/>
          <w:szCs w:val="24"/>
        </w:rPr>
        <w:t xml:space="preserve">stranded </w:t>
      </w:r>
      <w:r w:rsidR="00F45613" w:rsidRPr="00D813D7">
        <w:rPr>
          <w:rFonts w:ascii="Times New Roman" w:hAnsi="Times New Roman"/>
          <w:sz w:val="24"/>
          <w:szCs w:val="24"/>
        </w:rPr>
        <w:t xml:space="preserve">infrastructure investment and each option provides a valid approach </w:t>
      </w:r>
      <w:r w:rsidR="0081364E" w:rsidRPr="00D813D7">
        <w:rPr>
          <w:rFonts w:ascii="Times New Roman" w:hAnsi="Times New Roman"/>
          <w:sz w:val="24"/>
          <w:szCs w:val="24"/>
        </w:rPr>
        <w:t>for</w:t>
      </w:r>
      <w:r w:rsidR="00F45613" w:rsidRPr="00D813D7">
        <w:rPr>
          <w:rFonts w:ascii="Times New Roman" w:hAnsi="Times New Roman"/>
          <w:sz w:val="24"/>
          <w:szCs w:val="24"/>
        </w:rPr>
        <w:t xml:space="preserve"> establishing the cost </w:t>
      </w:r>
      <w:r w:rsidR="0081364E" w:rsidRPr="00D813D7">
        <w:rPr>
          <w:rFonts w:ascii="Times New Roman" w:hAnsi="Times New Roman"/>
          <w:sz w:val="24"/>
          <w:szCs w:val="24"/>
        </w:rPr>
        <w:t>of</w:t>
      </w:r>
      <w:r w:rsidR="00F45613" w:rsidRPr="00D813D7">
        <w:rPr>
          <w:rFonts w:ascii="Times New Roman" w:hAnsi="Times New Roman"/>
          <w:sz w:val="24"/>
          <w:szCs w:val="24"/>
        </w:rPr>
        <w:t xml:space="preserve"> a permanent customer departure</w:t>
      </w:r>
      <w:r w:rsidR="00063042" w:rsidRPr="00D813D7">
        <w:rPr>
          <w:rFonts w:ascii="Times New Roman" w:hAnsi="Times New Roman"/>
          <w:sz w:val="24"/>
          <w:szCs w:val="24"/>
        </w:rPr>
        <w:t xml:space="preserve"> rather than </w:t>
      </w:r>
      <w:r w:rsidR="00063042" w:rsidRPr="00D813D7">
        <w:rPr>
          <w:rFonts w:ascii="Times New Roman" w:hAnsi="Times New Roman"/>
          <w:sz w:val="24"/>
          <w:szCs w:val="24"/>
        </w:rPr>
        <w:lastRenderedPageBreak/>
        <w:t>recovering that cost from its remaining customers</w:t>
      </w:r>
      <w:r w:rsidR="00F45613" w:rsidRPr="00D813D7">
        <w:rPr>
          <w:rFonts w:ascii="Times New Roman" w:hAnsi="Times New Roman"/>
          <w:sz w:val="24"/>
          <w:szCs w:val="24"/>
        </w:rPr>
        <w:t xml:space="preserve">.  </w:t>
      </w:r>
      <w:r w:rsidR="005002C4">
        <w:rPr>
          <w:rFonts w:ascii="Times New Roman" w:hAnsi="Times New Roman"/>
          <w:sz w:val="24"/>
          <w:szCs w:val="24"/>
        </w:rPr>
        <w:t>Option </w:t>
      </w:r>
      <w:r w:rsidR="00063042" w:rsidRPr="00D813D7">
        <w:rPr>
          <w:rFonts w:ascii="Times New Roman" w:hAnsi="Times New Roman"/>
          <w:sz w:val="24"/>
          <w:szCs w:val="24"/>
        </w:rPr>
        <w:t xml:space="preserve">1 is a standard engineering and accounting definition of the costs.  </w:t>
      </w:r>
      <w:r w:rsidR="00F45613" w:rsidRPr="00D813D7">
        <w:rPr>
          <w:rFonts w:ascii="Times New Roman" w:hAnsi="Times New Roman"/>
          <w:sz w:val="24"/>
          <w:szCs w:val="24"/>
        </w:rPr>
        <w:t>With Option 2</w:t>
      </w:r>
      <w:r w:rsidR="0081364E" w:rsidRPr="00D813D7">
        <w:rPr>
          <w:rFonts w:ascii="Times New Roman" w:hAnsi="Times New Roman"/>
          <w:sz w:val="24"/>
          <w:szCs w:val="24"/>
        </w:rPr>
        <w:t>, however,</w:t>
      </w:r>
      <w:r w:rsidR="005002C4">
        <w:rPr>
          <w:rFonts w:ascii="Times New Roman" w:hAnsi="Times New Roman"/>
          <w:sz w:val="24"/>
          <w:szCs w:val="24"/>
        </w:rPr>
        <w:t xml:space="preserve"> a Fair Market V</w:t>
      </w:r>
      <w:r w:rsidR="00F45613" w:rsidRPr="00D813D7">
        <w:rPr>
          <w:rFonts w:ascii="Times New Roman" w:hAnsi="Times New Roman"/>
          <w:sz w:val="24"/>
          <w:szCs w:val="24"/>
        </w:rPr>
        <w:t>alue should be set by an independent party</w:t>
      </w:r>
      <w:r w:rsidR="0081364E" w:rsidRPr="00D813D7">
        <w:rPr>
          <w:rFonts w:ascii="Times New Roman" w:hAnsi="Times New Roman"/>
          <w:sz w:val="24"/>
          <w:szCs w:val="24"/>
        </w:rPr>
        <w:t xml:space="preserve">, rather than by the Company.  </w:t>
      </w:r>
    </w:p>
    <w:p w:rsidR="00540626" w:rsidRPr="00D813D7" w:rsidRDefault="00C749F1" w:rsidP="00540626">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540626" w:rsidRPr="00D813D7">
        <w:rPr>
          <w:rFonts w:ascii="Times New Roman" w:hAnsi="Times New Roman"/>
          <w:b/>
          <w:sz w:val="24"/>
          <w:szCs w:val="24"/>
        </w:rPr>
        <w:tab/>
        <w:t>Why do you disagree with allowing the Company sole discretion to establish Fair Market Value as the basis for the value of facilities under Options 1 and 2?</w:t>
      </w:r>
    </w:p>
    <w:p w:rsidR="007204DF" w:rsidRPr="00D813D7" w:rsidRDefault="00C749F1" w:rsidP="005002C4">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540626" w:rsidRPr="00D813D7">
        <w:rPr>
          <w:rFonts w:ascii="Times New Roman" w:hAnsi="Times New Roman"/>
          <w:sz w:val="24"/>
          <w:szCs w:val="24"/>
        </w:rPr>
        <w:tab/>
      </w:r>
      <w:r w:rsidR="002953B0" w:rsidRPr="00D813D7">
        <w:rPr>
          <w:rFonts w:ascii="Times New Roman" w:hAnsi="Times New Roman"/>
          <w:sz w:val="24"/>
          <w:szCs w:val="24"/>
        </w:rPr>
        <w:t>Establishing Fair Market Value requires knowledge of the numerous approaches involved</w:t>
      </w:r>
      <w:r w:rsidR="00D2736C">
        <w:rPr>
          <w:rFonts w:ascii="Times New Roman" w:hAnsi="Times New Roman"/>
          <w:sz w:val="24"/>
          <w:szCs w:val="24"/>
        </w:rPr>
        <w:t>,</w:t>
      </w:r>
      <w:r w:rsidR="002953B0" w:rsidRPr="00D813D7">
        <w:rPr>
          <w:rFonts w:ascii="Times New Roman" w:hAnsi="Times New Roman"/>
          <w:sz w:val="24"/>
          <w:szCs w:val="24"/>
        </w:rPr>
        <w:t xml:space="preserve"> such as </w:t>
      </w:r>
      <w:r w:rsidR="009E4D89" w:rsidRPr="00D813D7">
        <w:rPr>
          <w:rFonts w:ascii="Times New Roman" w:hAnsi="Times New Roman"/>
          <w:sz w:val="24"/>
          <w:szCs w:val="24"/>
        </w:rPr>
        <w:t xml:space="preserve">the discounted cash flow income method, comparable sales, and </w:t>
      </w:r>
      <w:r w:rsidR="008A0EE7" w:rsidRPr="00D813D7">
        <w:rPr>
          <w:rFonts w:ascii="Times New Roman" w:hAnsi="Times New Roman"/>
          <w:sz w:val="24"/>
          <w:szCs w:val="24"/>
        </w:rPr>
        <w:t xml:space="preserve">net book, and </w:t>
      </w:r>
      <w:r w:rsidR="00D2736C">
        <w:rPr>
          <w:rFonts w:ascii="Times New Roman" w:hAnsi="Times New Roman"/>
          <w:sz w:val="24"/>
          <w:szCs w:val="24"/>
        </w:rPr>
        <w:t xml:space="preserve">using </w:t>
      </w:r>
      <w:r w:rsidR="008A0EE7" w:rsidRPr="00D813D7">
        <w:rPr>
          <w:rFonts w:ascii="Times New Roman" w:hAnsi="Times New Roman"/>
          <w:sz w:val="24"/>
          <w:szCs w:val="24"/>
        </w:rPr>
        <w:t>an independent</w:t>
      </w:r>
      <w:r w:rsidR="00D2736C">
        <w:rPr>
          <w:rFonts w:ascii="Times New Roman" w:hAnsi="Times New Roman"/>
          <w:sz w:val="24"/>
          <w:szCs w:val="24"/>
        </w:rPr>
        <w:t xml:space="preserve"> third-party</w:t>
      </w:r>
      <w:r w:rsidR="008A0EE7" w:rsidRPr="00D813D7">
        <w:rPr>
          <w:rFonts w:ascii="Times New Roman" w:hAnsi="Times New Roman"/>
          <w:sz w:val="24"/>
          <w:szCs w:val="24"/>
        </w:rPr>
        <w:t xml:space="preserve"> appraiser is the preferred approach.  </w:t>
      </w:r>
      <w:r w:rsidR="0081364E" w:rsidRPr="00D813D7">
        <w:rPr>
          <w:rFonts w:ascii="Times New Roman" w:hAnsi="Times New Roman"/>
          <w:sz w:val="24"/>
          <w:szCs w:val="24"/>
        </w:rPr>
        <w:t xml:space="preserve">With </w:t>
      </w:r>
      <w:r w:rsidR="00CD125A" w:rsidRPr="00D813D7">
        <w:rPr>
          <w:rFonts w:ascii="Times New Roman" w:hAnsi="Times New Roman"/>
          <w:sz w:val="24"/>
          <w:szCs w:val="24"/>
        </w:rPr>
        <w:t xml:space="preserve">a broader </w:t>
      </w:r>
      <w:r w:rsidR="0081364E" w:rsidRPr="00D813D7">
        <w:rPr>
          <w:rFonts w:ascii="Times New Roman" w:hAnsi="Times New Roman"/>
          <w:sz w:val="24"/>
          <w:szCs w:val="24"/>
        </w:rPr>
        <w:t xml:space="preserve">definition of </w:t>
      </w:r>
      <w:r w:rsidR="00C520FA" w:rsidRPr="00D813D7">
        <w:rPr>
          <w:rFonts w:ascii="Times New Roman" w:hAnsi="Times New Roman"/>
          <w:sz w:val="24"/>
          <w:szCs w:val="24"/>
        </w:rPr>
        <w:t xml:space="preserve">the </w:t>
      </w:r>
      <w:r w:rsidR="00CD125A" w:rsidRPr="00D813D7">
        <w:rPr>
          <w:rFonts w:ascii="Times New Roman" w:hAnsi="Times New Roman"/>
          <w:sz w:val="24"/>
          <w:szCs w:val="24"/>
        </w:rPr>
        <w:t>infrastructure impacted</w:t>
      </w:r>
      <w:r w:rsidR="00C520FA" w:rsidRPr="00D813D7">
        <w:rPr>
          <w:rFonts w:ascii="Times New Roman" w:hAnsi="Times New Roman"/>
          <w:sz w:val="24"/>
          <w:szCs w:val="24"/>
        </w:rPr>
        <w:t xml:space="preserve"> by a customer departure</w:t>
      </w:r>
      <w:r w:rsidR="004277E2" w:rsidRPr="00D813D7">
        <w:rPr>
          <w:rFonts w:ascii="Times New Roman" w:hAnsi="Times New Roman"/>
          <w:sz w:val="24"/>
          <w:szCs w:val="24"/>
        </w:rPr>
        <w:t>,</w:t>
      </w:r>
      <w:r w:rsidR="00CD125A" w:rsidRPr="00D813D7">
        <w:rPr>
          <w:rFonts w:ascii="Times New Roman" w:hAnsi="Times New Roman"/>
          <w:sz w:val="24"/>
          <w:szCs w:val="24"/>
        </w:rPr>
        <w:t xml:space="preserve"> </w:t>
      </w:r>
      <w:r w:rsidR="0081364E" w:rsidRPr="00D813D7">
        <w:rPr>
          <w:rFonts w:ascii="Times New Roman" w:hAnsi="Times New Roman"/>
          <w:sz w:val="24"/>
          <w:szCs w:val="24"/>
        </w:rPr>
        <w:t xml:space="preserve">the Company has established </w:t>
      </w:r>
      <w:r w:rsidR="00063042" w:rsidRPr="00D813D7">
        <w:rPr>
          <w:rFonts w:ascii="Times New Roman" w:hAnsi="Times New Roman"/>
          <w:sz w:val="24"/>
          <w:szCs w:val="24"/>
        </w:rPr>
        <w:t>appropriate</w:t>
      </w:r>
      <w:r w:rsidR="0081364E" w:rsidRPr="00D813D7">
        <w:rPr>
          <w:rFonts w:ascii="Times New Roman" w:hAnsi="Times New Roman"/>
          <w:sz w:val="24"/>
          <w:szCs w:val="24"/>
        </w:rPr>
        <w:t xml:space="preserve"> recovery of their </w:t>
      </w:r>
      <w:r w:rsidR="00063042" w:rsidRPr="00D813D7">
        <w:rPr>
          <w:rFonts w:ascii="Times New Roman" w:hAnsi="Times New Roman"/>
          <w:sz w:val="24"/>
          <w:szCs w:val="24"/>
        </w:rPr>
        <w:t>now</w:t>
      </w:r>
      <w:r w:rsidR="00D2736C">
        <w:rPr>
          <w:rFonts w:ascii="Times New Roman" w:hAnsi="Times New Roman"/>
          <w:sz w:val="24"/>
          <w:szCs w:val="24"/>
        </w:rPr>
        <w:t>-</w:t>
      </w:r>
      <w:r w:rsidR="00063042" w:rsidRPr="00D813D7">
        <w:rPr>
          <w:rFonts w:ascii="Times New Roman" w:hAnsi="Times New Roman"/>
          <w:sz w:val="24"/>
          <w:szCs w:val="24"/>
        </w:rPr>
        <w:t xml:space="preserve">stranded direct </w:t>
      </w:r>
      <w:r w:rsidR="0081364E" w:rsidRPr="00D813D7">
        <w:rPr>
          <w:rFonts w:ascii="Times New Roman" w:hAnsi="Times New Roman"/>
          <w:sz w:val="24"/>
          <w:szCs w:val="24"/>
        </w:rPr>
        <w:t>infrastructure investment</w:t>
      </w:r>
      <w:r w:rsidR="00540626" w:rsidRPr="00D813D7">
        <w:rPr>
          <w:rFonts w:ascii="Times New Roman" w:hAnsi="Times New Roman"/>
          <w:sz w:val="24"/>
          <w:szCs w:val="24"/>
        </w:rPr>
        <w:t>, but it raises the possibility that the Company will recover costs for the same facilities twice</w:t>
      </w:r>
      <w:r w:rsidR="00D2736C">
        <w:rPr>
          <w:rFonts w:ascii="Times New Roman" w:hAnsi="Times New Roman"/>
          <w:sz w:val="24"/>
          <w:szCs w:val="24"/>
        </w:rPr>
        <w:t>,</w:t>
      </w:r>
      <w:r w:rsidR="00540626" w:rsidRPr="00D813D7">
        <w:rPr>
          <w:rFonts w:ascii="Times New Roman" w:hAnsi="Times New Roman"/>
          <w:sz w:val="24"/>
          <w:szCs w:val="24"/>
        </w:rPr>
        <w:t xml:space="preserve"> and it may be incompatible with Commission determination in other orders</w:t>
      </w:r>
      <w:r w:rsidR="00063042" w:rsidRPr="00D813D7">
        <w:rPr>
          <w:rFonts w:ascii="Times New Roman" w:hAnsi="Times New Roman"/>
          <w:sz w:val="24"/>
          <w:szCs w:val="24"/>
        </w:rPr>
        <w:t>.</w:t>
      </w:r>
      <w:r w:rsidR="00540626" w:rsidRPr="00D813D7">
        <w:rPr>
          <w:rStyle w:val="FootnoteReference"/>
          <w:rFonts w:ascii="Times New Roman" w:hAnsi="Times New Roman"/>
          <w:sz w:val="24"/>
          <w:szCs w:val="24"/>
        </w:rPr>
        <w:footnoteReference w:id="21"/>
      </w:r>
      <w:r w:rsidR="00063042" w:rsidRPr="00D813D7">
        <w:rPr>
          <w:rFonts w:ascii="Times New Roman" w:hAnsi="Times New Roman"/>
          <w:sz w:val="24"/>
          <w:szCs w:val="24"/>
        </w:rPr>
        <w:t xml:space="preserve">  </w:t>
      </w:r>
      <w:r w:rsidR="00540626" w:rsidRPr="00D813D7">
        <w:rPr>
          <w:rFonts w:ascii="Times New Roman" w:hAnsi="Times New Roman"/>
          <w:sz w:val="24"/>
          <w:szCs w:val="24"/>
        </w:rPr>
        <w:t>In any event, if an independent appraiser is not required, it is important to make sure that i</w:t>
      </w:r>
      <w:r w:rsidR="00063042" w:rsidRPr="00D813D7">
        <w:rPr>
          <w:rFonts w:ascii="Times New Roman" w:hAnsi="Times New Roman"/>
          <w:sz w:val="24"/>
          <w:szCs w:val="24"/>
        </w:rPr>
        <w:t xml:space="preserve">ndividual customers </w:t>
      </w:r>
      <w:r w:rsidR="00A17CC4" w:rsidRPr="00D813D7">
        <w:rPr>
          <w:rFonts w:ascii="Times New Roman" w:hAnsi="Times New Roman"/>
          <w:sz w:val="24"/>
          <w:szCs w:val="24"/>
        </w:rPr>
        <w:t>have the option to</w:t>
      </w:r>
      <w:r w:rsidR="00063042" w:rsidRPr="00D813D7">
        <w:rPr>
          <w:rFonts w:ascii="Times New Roman" w:hAnsi="Times New Roman"/>
          <w:sz w:val="24"/>
          <w:szCs w:val="24"/>
        </w:rPr>
        <w:t xml:space="preserve"> submit complaints to the </w:t>
      </w:r>
      <w:r w:rsidR="00C520FA" w:rsidRPr="00D813D7">
        <w:rPr>
          <w:rFonts w:ascii="Times New Roman" w:hAnsi="Times New Roman"/>
          <w:sz w:val="24"/>
          <w:szCs w:val="24"/>
        </w:rPr>
        <w:t>Commission</w:t>
      </w:r>
      <w:r w:rsidR="00A17CC4" w:rsidRPr="00D813D7">
        <w:rPr>
          <w:rFonts w:ascii="Times New Roman" w:hAnsi="Times New Roman"/>
          <w:sz w:val="24"/>
          <w:szCs w:val="24"/>
        </w:rPr>
        <w:t>,</w:t>
      </w:r>
      <w:r w:rsidR="00C520FA" w:rsidRPr="00D813D7">
        <w:rPr>
          <w:rFonts w:ascii="Times New Roman" w:hAnsi="Times New Roman"/>
          <w:sz w:val="24"/>
          <w:szCs w:val="24"/>
        </w:rPr>
        <w:t xml:space="preserve"> should the</w:t>
      </w:r>
      <w:r w:rsidR="002953B0" w:rsidRPr="00D813D7">
        <w:rPr>
          <w:rFonts w:ascii="Times New Roman" w:hAnsi="Times New Roman"/>
          <w:sz w:val="24"/>
          <w:szCs w:val="24"/>
        </w:rPr>
        <w:t>y</w:t>
      </w:r>
      <w:r w:rsidR="00C520FA" w:rsidRPr="00D813D7">
        <w:rPr>
          <w:rFonts w:ascii="Times New Roman" w:hAnsi="Times New Roman"/>
          <w:sz w:val="24"/>
          <w:szCs w:val="24"/>
        </w:rPr>
        <w:t xml:space="preserve"> disagree with Pacific Power’s application of the tariff for resolution on an individual basis. </w:t>
      </w:r>
    </w:p>
    <w:p w:rsidR="002953B0" w:rsidRPr="00D813D7" w:rsidRDefault="002953B0" w:rsidP="007C399A">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b/>
      </w:r>
      <w:r w:rsidR="00C749F1" w:rsidRPr="00D813D7">
        <w:rPr>
          <w:rFonts w:ascii="Times New Roman" w:hAnsi="Times New Roman"/>
          <w:sz w:val="24"/>
          <w:szCs w:val="24"/>
        </w:rPr>
        <w:tab/>
      </w:r>
      <w:r w:rsidRPr="00D813D7">
        <w:rPr>
          <w:rFonts w:ascii="Times New Roman" w:hAnsi="Times New Roman"/>
          <w:sz w:val="24"/>
          <w:szCs w:val="24"/>
        </w:rPr>
        <w:t>Pacific Power has also incorporated a second revenue recovery fee that is additive to eithe</w:t>
      </w:r>
      <w:r w:rsidR="00B56413">
        <w:rPr>
          <w:rFonts w:ascii="Times New Roman" w:hAnsi="Times New Roman"/>
          <w:sz w:val="24"/>
          <w:szCs w:val="24"/>
        </w:rPr>
        <w:t>r Option 1 or 2</w:t>
      </w:r>
      <w:r w:rsidR="00B539FF">
        <w:rPr>
          <w:rFonts w:ascii="Times New Roman" w:hAnsi="Times New Roman"/>
          <w:sz w:val="24"/>
          <w:szCs w:val="24"/>
        </w:rPr>
        <w:t xml:space="preserve"> in the</w:t>
      </w:r>
      <w:r w:rsidR="00B56413">
        <w:rPr>
          <w:rFonts w:ascii="Times New Roman" w:hAnsi="Times New Roman"/>
          <w:sz w:val="24"/>
          <w:szCs w:val="24"/>
        </w:rPr>
        <w:t xml:space="preserve"> Stranded Cost Recovery F</w:t>
      </w:r>
      <w:r w:rsidRPr="00D813D7">
        <w:rPr>
          <w:rFonts w:ascii="Times New Roman" w:hAnsi="Times New Roman"/>
          <w:sz w:val="24"/>
          <w:szCs w:val="24"/>
        </w:rPr>
        <w:t xml:space="preserve">ee. </w:t>
      </w:r>
      <w:r w:rsidR="00B56413">
        <w:rPr>
          <w:rFonts w:ascii="Times New Roman" w:hAnsi="Times New Roman"/>
          <w:sz w:val="24"/>
          <w:szCs w:val="24"/>
        </w:rPr>
        <w:t xml:space="preserve"> </w:t>
      </w:r>
      <w:r w:rsidRPr="00D813D7">
        <w:rPr>
          <w:rFonts w:ascii="Times New Roman" w:hAnsi="Times New Roman"/>
          <w:sz w:val="24"/>
          <w:szCs w:val="24"/>
        </w:rPr>
        <w:t>I discuss that in the next section</w:t>
      </w:r>
      <w:r w:rsidR="00CC23EC" w:rsidRPr="00D813D7">
        <w:rPr>
          <w:rFonts w:ascii="Times New Roman" w:hAnsi="Times New Roman"/>
          <w:sz w:val="24"/>
          <w:szCs w:val="24"/>
        </w:rPr>
        <w:t xml:space="preserve"> of my testimony</w:t>
      </w:r>
      <w:r w:rsidRPr="00D813D7">
        <w:rPr>
          <w:rFonts w:ascii="Times New Roman" w:hAnsi="Times New Roman"/>
          <w:sz w:val="24"/>
          <w:szCs w:val="24"/>
        </w:rPr>
        <w:t xml:space="preserve">. </w:t>
      </w:r>
    </w:p>
    <w:p w:rsidR="0093283F" w:rsidRPr="00D813D7" w:rsidRDefault="00C749F1" w:rsidP="00C749F1">
      <w:pPr>
        <w:pStyle w:val="Heading1"/>
        <w:rPr>
          <w:caps/>
        </w:rPr>
      </w:pPr>
      <w:bookmarkStart w:id="11" w:name="_Toc479329365"/>
      <w:r w:rsidRPr="00D813D7">
        <w:rPr>
          <w:caps/>
        </w:rPr>
        <w:lastRenderedPageBreak/>
        <w:tab/>
      </w:r>
      <w:bookmarkStart w:id="12" w:name="_Toc480530021"/>
      <w:r w:rsidR="002D1646" w:rsidRPr="00D813D7">
        <w:rPr>
          <w:caps/>
        </w:rPr>
        <w:t>Stranded Cost</w:t>
      </w:r>
      <w:r w:rsidR="00C52618" w:rsidRPr="00D813D7">
        <w:rPr>
          <w:caps/>
        </w:rPr>
        <w:t xml:space="preserve">: </w:t>
      </w:r>
      <w:r w:rsidR="00AF1D52">
        <w:rPr>
          <w:caps/>
        </w:rPr>
        <w:t xml:space="preserve"> </w:t>
      </w:r>
      <w:r w:rsidR="00C52618" w:rsidRPr="00D813D7">
        <w:rPr>
          <w:caps/>
        </w:rPr>
        <w:t>Definition and Examples</w:t>
      </w:r>
      <w:bookmarkEnd w:id="11"/>
      <w:bookmarkEnd w:id="12"/>
    </w:p>
    <w:p w:rsidR="00CC23EC" w:rsidRPr="00D813D7" w:rsidRDefault="00AF1D52" w:rsidP="00336F9E">
      <w:pPr>
        <w:pStyle w:val="a"/>
        <w:keepNext/>
        <w:tabs>
          <w:tab w:val="left" w:pos="90"/>
          <w:tab w:val="left" w:pos="720"/>
          <w:tab w:val="left" w:pos="1440"/>
        </w:tabs>
        <w:spacing w:line="480" w:lineRule="auto"/>
        <w:jc w:val="both"/>
        <w:rPr>
          <w:rFonts w:ascii="Times New Roman" w:hAnsi="Times New Roman"/>
          <w:b/>
          <w:szCs w:val="24"/>
        </w:rPr>
      </w:pPr>
      <w:r>
        <w:rPr>
          <w:rFonts w:ascii="Times New Roman" w:hAnsi="Times New Roman"/>
          <w:b/>
          <w:szCs w:val="24"/>
        </w:rPr>
        <w:t>Q:</w:t>
      </w:r>
      <w:r w:rsidR="00CC23EC" w:rsidRPr="00D813D7">
        <w:rPr>
          <w:rFonts w:ascii="Times New Roman" w:hAnsi="Times New Roman"/>
          <w:b/>
          <w:szCs w:val="24"/>
        </w:rPr>
        <w:tab/>
        <w:t>What is Pacific Power’s proposal relative to its stranded cost recovery fee?</w:t>
      </w:r>
    </w:p>
    <w:p w:rsidR="00AF1D52" w:rsidRDefault="00AF1D52" w:rsidP="00AF1D52">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CC23EC" w:rsidRPr="00D813D7">
        <w:rPr>
          <w:rFonts w:ascii="Times New Roman" w:hAnsi="Times New Roman"/>
          <w:sz w:val="24"/>
          <w:szCs w:val="24"/>
        </w:rPr>
        <w:tab/>
        <w:t>Pacific Power’s stated purpose for proposing a Stranded Cost Recovery Fee is to lessen the financial impact to remaining customers after a customer decides to permanently disconnect and switch to a new service provider.</w:t>
      </w:r>
      <w:r w:rsidR="006331E3" w:rsidRPr="00D813D7">
        <w:rPr>
          <w:rStyle w:val="FootnoteReference"/>
          <w:rFonts w:ascii="Times New Roman" w:hAnsi="Times New Roman"/>
          <w:sz w:val="24"/>
          <w:szCs w:val="24"/>
        </w:rPr>
        <w:footnoteReference w:id="22"/>
      </w:r>
      <w:r w:rsidR="00743C24">
        <w:rPr>
          <w:rFonts w:ascii="Times New Roman" w:hAnsi="Times New Roman"/>
          <w:sz w:val="24"/>
          <w:szCs w:val="24"/>
        </w:rPr>
        <w:t xml:space="preserve">  </w:t>
      </w:r>
      <w:r w:rsidR="00CC23EC" w:rsidRPr="00D813D7">
        <w:rPr>
          <w:rFonts w:ascii="Times New Roman" w:hAnsi="Times New Roman"/>
          <w:sz w:val="24"/>
          <w:szCs w:val="24"/>
        </w:rPr>
        <w:t xml:space="preserve">The </w:t>
      </w:r>
      <w:r w:rsidR="00B510D9" w:rsidRPr="00D813D7">
        <w:rPr>
          <w:rFonts w:ascii="Times New Roman" w:hAnsi="Times New Roman"/>
          <w:sz w:val="24"/>
          <w:szCs w:val="24"/>
        </w:rPr>
        <w:t xml:space="preserve">Company indicates that the </w:t>
      </w:r>
      <w:r w:rsidR="00CC23EC" w:rsidRPr="00D813D7">
        <w:rPr>
          <w:rFonts w:ascii="Times New Roman" w:hAnsi="Times New Roman"/>
          <w:sz w:val="24"/>
          <w:szCs w:val="24"/>
        </w:rPr>
        <w:t xml:space="preserve">Stranded Cost Recovery Fee is intended to mitigate cost shifting and enable the Company to recover stranded costs associated with the departure of customers seeking service </w:t>
      </w:r>
      <w:r w:rsidR="003A6CBC" w:rsidRPr="00D813D7">
        <w:rPr>
          <w:rFonts w:ascii="Times New Roman" w:hAnsi="Times New Roman"/>
          <w:sz w:val="24"/>
          <w:szCs w:val="24"/>
        </w:rPr>
        <w:t>from another provider</w:t>
      </w:r>
      <w:r w:rsidR="00CC23EC" w:rsidRPr="00D813D7">
        <w:rPr>
          <w:rFonts w:ascii="Times New Roman" w:hAnsi="Times New Roman"/>
          <w:sz w:val="24"/>
          <w:szCs w:val="24"/>
        </w:rPr>
        <w:t>.  The Company</w:t>
      </w:r>
      <w:r w:rsidR="003A6CBC" w:rsidRPr="00D813D7">
        <w:rPr>
          <w:rFonts w:ascii="Times New Roman" w:hAnsi="Times New Roman"/>
          <w:sz w:val="24"/>
          <w:szCs w:val="24"/>
        </w:rPr>
        <w:t xml:space="preserve"> </w:t>
      </w:r>
      <w:r w:rsidR="00B510D9" w:rsidRPr="00D813D7">
        <w:rPr>
          <w:rFonts w:ascii="Times New Roman" w:hAnsi="Times New Roman"/>
          <w:sz w:val="24"/>
          <w:szCs w:val="24"/>
        </w:rPr>
        <w:t>stated</w:t>
      </w:r>
      <w:r w:rsidR="003A6CBC" w:rsidRPr="00D813D7">
        <w:rPr>
          <w:rFonts w:ascii="Times New Roman" w:hAnsi="Times New Roman"/>
          <w:sz w:val="24"/>
          <w:szCs w:val="24"/>
        </w:rPr>
        <w:t xml:space="preserve"> that it </w:t>
      </w:r>
      <w:r w:rsidR="00CC23EC" w:rsidRPr="00D813D7">
        <w:rPr>
          <w:rFonts w:ascii="Times New Roman" w:hAnsi="Times New Roman"/>
          <w:sz w:val="24"/>
          <w:szCs w:val="24"/>
        </w:rPr>
        <w:t xml:space="preserve">designs its system and resource investments to ensure reliable service based on the entire community of customers.  To capture the costs associated with resource investments made to serve the customers leaving the system, Pacific Power proposes to charge departing customers a Stranded Cost Recovery Fee before they </w:t>
      </w:r>
      <w:r>
        <w:rPr>
          <w:rFonts w:ascii="Times New Roman" w:hAnsi="Times New Roman"/>
          <w:sz w:val="24"/>
          <w:szCs w:val="24"/>
        </w:rPr>
        <w:t>permanently disconnect service.</w:t>
      </w:r>
    </w:p>
    <w:p w:rsidR="00CC23EC" w:rsidRPr="00AF1D52" w:rsidRDefault="00B510D9" w:rsidP="00AF1D52">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In this section</w:t>
      </w:r>
      <w:r w:rsidR="00AF1D52">
        <w:rPr>
          <w:rFonts w:ascii="Times New Roman" w:hAnsi="Times New Roman"/>
          <w:sz w:val="24"/>
          <w:szCs w:val="24"/>
        </w:rPr>
        <w:t>,</w:t>
      </w:r>
      <w:r w:rsidRPr="00D813D7">
        <w:rPr>
          <w:rFonts w:ascii="Times New Roman" w:hAnsi="Times New Roman"/>
          <w:sz w:val="24"/>
          <w:szCs w:val="24"/>
        </w:rPr>
        <w:t xml:space="preserve"> I define stranded costs in the utility industry and provide examples of how to establish</w:t>
      </w:r>
      <w:r w:rsidR="00AF1D52">
        <w:rPr>
          <w:rFonts w:ascii="Times New Roman" w:hAnsi="Times New Roman"/>
          <w:sz w:val="24"/>
          <w:szCs w:val="24"/>
        </w:rPr>
        <w:t xml:space="preserve"> an estimate of stranded costs.</w:t>
      </w:r>
      <w:r w:rsidRPr="00D813D7">
        <w:rPr>
          <w:rFonts w:ascii="Times New Roman" w:hAnsi="Times New Roman"/>
          <w:sz w:val="24"/>
          <w:szCs w:val="24"/>
        </w:rPr>
        <w:t xml:space="preserve"> </w:t>
      </w:r>
      <w:r w:rsidR="00AF1D52">
        <w:rPr>
          <w:rFonts w:ascii="Times New Roman" w:hAnsi="Times New Roman"/>
          <w:sz w:val="24"/>
          <w:szCs w:val="24"/>
        </w:rPr>
        <w:t xml:space="preserve"> </w:t>
      </w:r>
      <w:r w:rsidRPr="00D813D7">
        <w:rPr>
          <w:rFonts w:ascii="Times New Roman" w:hAnsi="Times New Roman"/>
          <w:sz w:val="24"/>
          <w:szCs w:val="24"/>
        </w:rPr>
        <w:t>In the next section</w:t>
      </w:r>
      <w:r w:rsidR="00AF1D52">
        <w:rPr>
          <w:rFonts w:ascii="Times New Roman" w:hAnsi="Times New Roman"/>
          <w:sz w:val="24"/>
          <w:szCs w:val="24"/>
        </w:rPr>
        <w:t>,</w:t>
      </w:r>
      <w:r w:rsidRPr="00D813D7">
        <w:rPr>
          <w:rFonts w:ascii="Times New Roman" w:hAnsi="Times New Roman"/>
          <w:sz w:val="24"/>
          <w:szCs w:val="24"/>
        </w:rPr>
        <w:t xml:space="preserve"> I detail the Company’s proposal and then summarize what that proposal’s impact is on customers and whether it is appropriate as proposed.</w:t>
      </w:r>
    </w:p>
    <w:p w:rsidR="00336F9E" w:rsidRPr="00D813D7" w:rsidRDefault="00AF1D52" w:rsidP="00336F9E">
      <w:pPr>
        <w:pStyle w:val="a"/>
        <w:keepNext/>
        <w:tabs>
          <w:tab w:val="left" w:pos="90"/>
          <w:tab w:val="left" w:pos="720"/>
          <w:tab w:val="left" w:pos="1440"/>
        </w:tabs>
        <w:spacing w:line="480" w:lineRule="auto"/>
        <w:jc w:val="both"/>
        <w:rPr>
          <w:rFonts w:ascii="Times New Roman" w:hAnsi="Times New Roman"/>
          <w:b/>
          <w:szCs w:val="24"/>
        </w:rPr>
      </w:pPr>
      <w:r>
        <w:rPr>
          <w:rFonts w:ascii="Times New Roman" w:hAnsi="Times New Roman"/>
          <w:b/>
          <w:szCs w:val="24"/>
        </w:rPr>
        <w:t>Q:</w:t>
      </w:r>
      <w:r w:rsidR="00336F9E" w:rsidRPr="00D813D7">
        <w:rPr>
          <w:rFonts w:ascii="Times New Roman" w:hAnsi="Times New Roman"/>
          <w:b/>
          <w:szCs w:val="24"/>
        </w:rPr>
        <w:tab/>
        <w:t>What is a “stranded cost?”</w:t>
      </w:r>
    </w:p>
    <w:p w:rsidR="00AA2B0F" w:rsidRPr="00D813D7" w:rsidRDefault="00AF1D52" w:rsidP="00A4004A">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336F9E" w:rsidRPr="00D813D7">
        <w:rPr>
          <w:rFonts w:ascii="Times New Roman" w:hAnsi="Times New Roman"/>
          <w:sz w:val="24"/>
          <w:szCs w:val="24"/>
        </w:rPr>
        <w:tab/>
      </w:r>
      <w:r w:rsidR="0093283F" w:rsidRPr="00D813D7">
        <w:rPr>
          <w:rFonts w:ascii="Times New Roman" w:hAnsi="Times New Roman"/>
          <w:sz w:val="24"/>
          <w:szCs w:val="24"/>
        </w:rPr>
        <w:t xml:space="preserve">There are many potential definitions of the term “stranded cost.” </w:t>
      </w:r>
      <w:r w:rsidR="00AF1966">
        <w:rPr>
          <w:rFonts w:ascii="Times New Roman" w:hAnsi="Times New Roman"/>
          <w:sz w:val="24"/>
          <w:szCs w:val="24"/>
        </w:rPr>
        <w:t xml:space="preserve"> </w:t>
      </w:r>
      <w:r w:rsidR="00390C10" w:rsidRPr="00D813D7">
        <w:rPr>
          <w:rFonts w:ascii="Times New Roman" w:hAnsi="Times New Roman"/>
          <w:sz w:val="24"/>
          <w:szCs w:val="24"/>
        </w:rPr>
        <w:t>In essence,</w:t>
      </w:r>
      <w:r w:rsidR="00790224" w:rsidRPr="00D813D7">
        <w:rPr>
          <w:rFonts w:ascii="Times New Roman" w:hAnsi="Times New Roman"/>
          <w:sz w:val="24"/>
          <w:szCs w:val="24"/>
        </w:rPr>
        <w:t xml:space="preserve"> </w:t>
      </w:r>
      <w:r w:rsidR="00390C10" w:rsidRPr="00D813D7">
        <w:rPr>
          <w:rFonts w:ascii="Times New Roman" w:hAnsi="Times New Roman"/>
          <w:sz w:val="24"/>
          <w:szCs w:val="24"/>
        </w:rPr>
        <w:t xml:space="preserve">a </w:t>
      </w:r>
      <w:r w:rsidR="00336F9E" w:rsidRPr="00D813D7">
        <w:rPr>
          <w:rFonts w:ascii="Times New Roman" w:hAnsi="Times New Roman"/>
          <w:sz w:val="24"/>
          <w:szCs w:val="24"/>
        </w:rPr>
        <w:t>utility asset is said to be “stranded” if it is no longer used and useful</w:t>
      </w:r>
      <w:r w:rsidR="00230E20" w:rsidRPr="00D813D7">
        <w:rPr>
          <w:rFonts w:ascii="Times New Roman" w:hAnsi="Times New Roman"/>
          <w:sz w:val="24"/>
          <w:szCs w:val="24"/>
        </w:rPr>
        <w:t xml:space="preserve"> prior to the end of its typical useful life</w:t>
      </w:r>
      <w:r w:rsidR="00336F9E" w:rsidRPr="00D813D7">
        <w:rPr>
          <w:rFonts w:ascii="Times New Roman" w:hAnsi="Times New Roman"/>
          <w:sz w:val="24"/>
          <w:szCs w:val="24"/>
        </w:rPr>
        <w:t>.</w:t>
      </w:r>
      <w:r w:rsidR="00093BDB" w:rsidRPr="00D813D7">
        <w:rPr>
          <w:rFonts w:ascii="Times New Roman" w:hAnsi="Times New Roman"/>
          <w:sz w:val="24"/>
          <w:szCs w:val="24"/>
        </w:rPr>
        <w:t xml:space="preserve"> </w:t>
      </w:r>
      <w:r w:rsidR="00AF1966">
        <w:rPr>
          <w:rFonts w:ascii="Times New Roman" w:hAnsi="Times New Roman"/>
          <w:sz w:val="24"/>
          <w:szCs w:val="24"/>
        </w:rPr>
        <w:t xml:space="preserve"> </w:t>
      </w:r>
      <w:r w:rsidR="00093BDB" w:rsidRPr="00D813D7">
        <w:rPr>
          <w:rFonts w:ascii="Times New Roman" w:hAnsi="Times New Roman"/>
          <w:sz w:val="24"/>
          <w:szCs w:val="24"/>
        </w:rPr>
        <w:t>As a simple</w:t>
      </w:r>
      <w:r w:rsidR="00230E20" w:rsidRPr="00D813D7">
        <w:rPr>
          <w:rFonts w:ascii="Times New Roman" w:hAnsi="Times New Roman"/>
          <w:sz w:val="24"/>
          <w:szCs w:val="24"/>
        </w:rPr>
        <w:t xml:space="preserve"> example, if a utility invests significant capital in emissions control systems in an old coal facility, but five years later finds it must retire the plant </w:t>
      </w:r>
      <w:r w:rsidR="00B90117" w:rsidRPr="00D813D7">
        <w:rPr>
          <w:rFonts w:ascii="Times New Roman" w:hAnsi="Times New Roman"/>
          <w:sz w:val="24"/>
          <w:szCs w:val="24"/>
        </w:rPr>
        <w:t xml:space="preserve">based on economics </w:t>
      </w:r>
      <w:r w:rsidR="00230E20" w:rsidRPr="00D813D7">
        <w:rPr>
          <w:rFonts w:ascii="Times New Roman" w:hAnsi="Times New Roman"/>
          <w:sz w:val="24"/>
          <w:szCs w:val="24"/>
        </w:rPr>
        <w:t xml:space="preserve">due to changing market conditions—such as reductions in renewable technology costs—the </w:t>
      </w:r>
      <w:r w:rsidR="00230E20" w:rsidRPr="00D813D7">
        <w:rPr>
          <w:rFonts w:ascii="Times New Roman" w:hAnsi="Times New Roman"/>
          <w:sz w:val="24"/>
          <w:szCs w:val="24"/>
        </w:rPr>
        <w:lastRenderedPageBreak/>
        <w:t xml:space="preserve">emissions control system becomes a significant stranded asset. </w:t>
      </w:r>
      <w:r w:rsidR="00AF1966">
        <w:rPr>
          <w:rFonts w:ascii="Times New Roman" w:hAnsi="Times New Roman"/>
          <w:sz w:val="24"/>
          <w:szCs w:val="24"/>
        </w:rPr>
        <w:t xml:space="preserve"> </w:t>
      </w:r>
      <w:r w:rsidR="004211F7" w:rsidRPr="00D813D7">
        <w:rPr>
          <w:rFonts w:ascii="Times New Roman" w:hAnsi="Times New Roman"/>
          <w:sz w:val="24"/>
          <w:szCs w:val="24"/>
        </w:rPr>
        <w:t>Utility planners expected the system to</w:t>
      </w:r>
      <w:r w:rsidR="00230E20" w:rsidRPr="00D813D7">
        <w:rPr>
          <w:rFonts w:ascii="Times New Roman" w:hAnsi="Times New Roman"/>
          <w:sz w:val="24"/>
          <w:szCs w:val="24"/>
        </w:rPr>
        <w:t xml:space="preserve"> last much longer than five years and be depreciated and financed over that time. </w:t>
      </w:r>
      <w:r w:rsidR="00AF1966">
        <w:rPr>
          <w:rFonts w:ascii="Times New Roman" w:hAnsi="Times New Roman"/>
          <w:sz w:val="24"/>
          <w:szCs w:val="24"/>
        </w:rPr>
        <w:t xml:space="preserve"> </w:t>
      </w:r>
      <w:r w:rsidR="00230E20" w:rsidRPr="00D813D7">
        <w:rPr>
          <w:rFonts w:ascii="Times New Roman" w:hAnsi="Times New Roman"/>
          <w:sz w:val="24"/>
          <w:szCs w:val="24"/>
        </w:rPr>
        <w:t xml:space="preserve">Instead, it is retired after only five years, leaving a significant undepreciated plant balance on the utility’s books. </w:t>
      </w:r>
      <w:r w:rsidR="00AF1966">
        <w:rPr>
          <w:rFonts w:ascii="Times New Roman" w:hAnsi="Times New Roman"/>
          <w:sz w:val="24"/>
          <w:szCs w:val="24"/>
        </w:rPr>
        <w:t xml:space="preserve"> </w:t>
      </w:r>
      <w:r w:rsidR="00230E20" w:rsidRPr="00D813D7">
        <w:rPr>
          <w:rFonts w:ascii="Times New Roman" w:hAnsi="Times New Roman"/>
          <w:sz w:val="24"/>
          <w:szCs w:val="24"/>
        </w:rPr>
        <w:t xml:space="preserve">The term “stranded cost” often refers to such undepreciated plant balance </w:t>
      </w:r>
      <w:r w:rsidR="00093BDB" w:rsidRPr="00D813D7">
        <w:rPr>
          <w:rFonts w:ascii="Times New Roman" w:hAnsi="Times New Roman"/>
          <w:sz w:val="24"/>
          <w:szCs w:val="24"/>
        </w:rPr>
        <w:t xml:space="preserve">and debt obligations </w:t>
      </w:r>
      <w:r w:rsidR="00230E20" w:rsidRPr="00D813D7">
        <w:rPr>
          <w:rFonts w:ascii="Times New Roman" w:hAnsi="Times New Roman"/>
          <w:sz w:val="24"/>
          <w:szCs w:val="24"/>
        </w:rPr>
        <w:t xml:space="preserve">left on a utility’s books for stranded assets. </w:t>
      </w:r>
      <w:r w:rsidR="00AF1966">
        <w:rPr>
          <w:rFonts w:ascii="Times New Roman" w:hAnsi="Times New Roman"/>
          <w:sz w:val="24"/>
          <w:szCs w:val="24"/>
        </w:rPr>
        <w:t xml:space="preserve"> </w:t>
      </w:r>
      <w:r w:rsidR="00230E20" w:rsidRPr="00D813D7">
        <w:rPr>
          <w:rFonts w:ascii="Times New Roman" w:hAnsi="Times New Roman"/>
          <w:sz w:val="24"/>
          <w:szCs w:val="24"/>
        </w:rPr>
        <w:t xml:space="preserve">Regulators may still approve recovery of such stranded costs from ratepayers even though </w:t>
      </w:r>
      <w:r w:rsidR="00093BDB" w:rsidRPr="00D813D7">
        <w:rPr>
          <w:rFonts w:ascii="Times New Roman" w:hAnsi="Times New Roman"/>
          <w:sz w:val="24"/>
          <w:szCs w:val="24"/>
        </w:rPr>
        <w:t>stranded</w:t>
      </w:r>
      <w:r w:rsidR="00230E20" w:rsidRPr="00D813D7">
        <w:rPr>
          <w:rFonts w:ascii="Times New Roman" w:hAnsi="Times New Roman"/>
          <w:sz w:val="24"/>
          <w:szCs w:val="24"/>
        </w:rPr>
        <w:t xml:space="preserve"> </w:t>
      </w:r>
      <w:r w:rsidR="00093BDB" w:rsidRPr="00D813D7">
        <w:rPr>
          <w:rFonts w:ascii="Times New Roman" w:hAnsi="Times New Roman"/>
          <w:sz w:val="24"/>
          <w:szCs w:val="24"/>
        </w:rPr>
        <w:t>assets are no longer used and useful as long as the regulator finds the utility did not act imprudently in its investments.</w:t>
      </w:r>
    </w:p>
    <w:p w:rsidR="00390C10" w:rsidRPr="00D813D7" w:rsidRDefault="00A4004A" w:rsidP="00390C10">
      <w:pPr>
        <w:pStyle w:val="a"/>
        <w:keepNext/>
        <w:tabs>
          <w:tab w:val="left" w:pos="90"/>
          <w:tab w:val="left" w:pos="720"/>
          <w:tab w:val="left" w:pos="1440"/>
        </w:tabs>
        <w:spacing w:line="480" w:lineRule="auto"/>
        <w:jc w:val="both"/>
        <w:rPr>
          <w:rFonts w:ascii="Times New Roman" w:hAnsi="Times New Roman"/>
          <w:b/>
          <w:szCs w:val="24"/>
        </w:rPr>
      </w:pPr>
      <w:r>
        <w:rPr>
          <w:rFonts w:ascii="Times New Roman" w:hAnsi="Times New Roman"/>
          <w:b/>
          <w:szCs w:val="24"/>
        </w:rPr>
        <w:t>Q:</w:t>
      </w:r>
      <w:r w:rsidR="00390C10" w:rsidRPr="00D813D7">
        <w:rPr>
          <w:rFonts w:ascii="Times New Roman" w:hAnsi="Times New Roman"/>
          <w:b/>
          <w:szCs w:val="24"/>
        </w:rPr>
        <w:tab/>
        <w:t>Are there other circumstances that can create stranded costs for utilities?</w:t>
      </w:r>
    </w:p>
    <w:p w:rsidR="00840C6D" w:rsidRPr="00D813D7" w:rsidRDefault="00A4004A" w:rsidP="00A4004A">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390C10" w:rsidRPr="00D813D7">
        <w:rPr>
          <w:rFonts w:ascii="Times New Roman" w:hAnsi="Times New Roman"/>
          <w:sz w:val="24"/>
          <w:szCs w:val="24"/>
        </w:rPr>
        <w:tab/>
        <w:t xml:space="preserve">Yes, </w:t>
      </w:r>
      <w:r w:rsidR="0077168C" w:rsidRPr="00D813D7">
        <w:rPr>
          <w:rFonts w:ascii="Times New Roman" w:hAnsi="Times New Roman"/>
          <w:sz w:val="24"/>
          <w:szCs w:val="24"/>
        </w:rPr>
        <w:t>there are four major categories of circumstances that can give rise to stranded assets</w:t>
      </w:r>
      <w:r w:rsidR="00840C6D" w:rsidRPr="00D813D7">
        <w:rPr>
          <w:rFonts w:ascii="Times New Roman" w:hAnsi="Times New Roman"/>
          <w:sz w:val="24"/>
          <w:szCs w:val="24"/>
        </w:rPr>
        <w:t>.</w:t>
      </w:r>
      <w:r w:rsidR="00790224" w:rsidRPr="00D813D7">
        <w:rPr>
          <w:rFonts w:ascii="Times New Roman" w:hAnsi="Times New Roman"/>
          <w:sz w:val="24"/>
          <w:szCs w:val="24"/>
        </w:rPr>
        <w:t xml:space="preserve"> </w:t>
      </w:r>
      <w:r w:rsidR="00840C6D" w:rsidRPr="00D813D7">
        <w:rPr>
          <w:rFonts w:ascii="Times New Roman" w:hAnsi="Times New Roman"/>
          <w:sz w:val="24"/>
          <w:szCs w:val="24"/>
        </w:rPr>
        <w:t>Stranded costs arise when:</w:t>
      </w:r>
      <w:r w:rsidR="00790224" w:rsidRPr="00D813D7">
        <w:rPr>
          <w:rFonts w:ascii="Times New Roman" w:hAnsi="Times New Roman"/>
          <w:sz w:val="24"/>
          <w:szCs w:val="24"/>
        </w:rPr>
        <w:t xml:space="preserve"> </w:t>
      </w:r>
    </w:p>
    <w:p w:rsidR="0077168C" w:rsidRPr="00E63E38" w:rsidRDefault="00790224" w:rsidP="00E63E38">
      <w:pPr>
        <w:pStyle w:val="ListParagraph"/>
        <w:widowControl w:val="0"/>
        <w:numPr>
          <w:ilvl w:val="0"/>
          <w:numId w:val="37"/>
        </w:numPr>
        <w:spacing w:after="120" w:line="480" w:lineRule="auto"/>
        <w:rPr>
          <w:rFonts w:ascii="Times New Roman" w:hAnsi="Times New Roman"/>
          <w:sz w:val="24"/>
          <w:szCs w:val="24"/>
        </w:rPr>
      </w:pPr>
      <w:r w:rsidRPr="00D813D7">
        <w:rPr>
          <w:rFonts w:ascii="Times New Roman" w:hAnsi="Times New Roman"/>
          <w:sz w:val="24"/>
          <w:szCs w:val="24"/>
        </w:rPr>
        <w:t>C</w:t>
      </w:r>
      <w:r w:rsidR="00B90117" w:rsidRPr="00D813D7">
        <w:rPr>
          <w:rFonts w:ascii="Times New Roman" w:hAnsi="Times New Roman"/>
          <w:sz w:val="24"/>
          <w:szCs w:val="24"/>
        </w:rPr>
        <w:t>onsumers are given access to competitive markets</w:t>
      </w:r>
      <w:r w:rsidR="0077168C" w:rsidRPr="00D813D7">
        <w:rPr>
          <w:rFonts w:ascii="Times New Roman" w:hAnsi="Times New Roman"/>
          <w:sz w:val="24"/>
          <w:szCs w:val="24"/>
        </w:rPr>
        <w:t xml:space="preserve"> and utilities are no longer allowed to be vertically integrated and must divest their ownership positions in jurisdictional power plants</w:t>
      </w:r>
      <w:r w:rsidR="00336F9E" w:rsidRPr="00D813D7">
        <w:rPr>
          <w:rFonts w:ascii="Times New Roman" w:hAnsi="Times New Roman"/>
          <w:sz w:val="24"/>
          <w:szCs w:val="24"/>
        </w:rPr>
        <w:t>.</w:t>
      </w:r>
      <w:r w:rsidRPr="00D813D7">
        <w:rPr>
          <w:rFonts w:ascii="Times New Roman" w:hAnsi="Times New Roman"/>
          <w:sz w:val="24"/>
          <w:szCs w:val="24"/>
        </w:rPr>
        <w:t xml:space="preserve"> </w:t>
      </w:r>
      <w:r w:rsidR="00E63E38">
        <w:rPr>
          <w:rFonts w:ascii="Times New Roman" w:hAnsi="Times New Roman"/>
          <w:sz w:val="24"/>
          <w:szCs w:val="24"/>
        </w:rPr>
        <w:t xml:space="preserve"> </w:t>
      </w:r>
      <w:r w:rsidR="00F178B3" w:rsidRPr="00D813D7">
        <w:rPr>
          <w:rFonts w:ascii="Times New Roman" w:hAnsi="Times New Roman"/>
          <w:sz w:val="24"/>
          <w:szCs w:val="24"/>
        </w:rPr>
        <w:t xml:space="preserve">Restructuring requires utilities to sell </w:t>
      </w:r>
      <w:r w:rsidR="00390C10" w:rsidRPr="00D813D7">
        <w:rPr>
          <w:rFonts w:ascii="Times New Roman" w:hAnsi="Times New Roman"/>
          <w:sz w:val="24"/>
          <w:szCs w:val="24"/>
        </w:rPr>
        <w:t>generation a</w:t>
      </w:r>
      <w:r w:rsidR="0077168C" w:rsidRPr="00D813D7">
        <w:rPr>
          <w:rFonts w:ascii="Times New Roman" w:hAnsi="Times New Roman"/>
          <w:sz w:val="24"/>
          <w:szCs w:val="24"/>
        </w:rPr>
        <w:t>ssets to third parties who then operate the facilities and sell the output either directly to consumers or indirectly through marketers who ultimately have the customer relationship.</w:t>
      </w:r>
      <w:r w:rsidRPr="00D813D7">
        <w:rPr>
          <w:rFonts w:ascii="Times New Roman" w:hAnsi="Times New Roman"/>
          <w:sz w:val="24"/>
          <w:szCs w:val="24"/>
        </w:rPr>
        <w:t xml:space="preserve"> </w:t>
      </w:r>
      <w:r w:rsidR="00E63E38">
        <w:rPr>
          <w:rFonts w:ascii="Times New Roman" w:hAnsi="Times New Roman"/>
          <w:sz w:val="24"/>
          <w:szCs w:val="24"/>
        </w:rPr>
        <w:t xml:space="preserve"> </w:t>
      </w:r>
      <w:r w:rsidR="00F178B3" w:rsidRPr="00D813D7">
        <w:rPr>
          <w:rFonts w:ascii="Times New Roman" w:hAnsi="Times New Roman"/>
          <w:sz w:val="24"/>
          <w:szCs w:val="24"/>
        </w:rPr>
        <w:t xml:space="preserve">In many states, when restructuring went into effect, the market price for generation assets was often less than the undepreciated plant balance—also called the net book value—that a utility would have been entitled to recover under traditional Cost of Service (“COS”) ratemaking. </w:t>
      </w:r>
      <w:r w:rsidR="00E63E38">
        <w:rPr>
          <w:rFonts w:ascii="Times New Roman" w:hAnsi="Times New Roman"/>
          <w:sz w:val="24"/>
          <w:szCs w:val="24"/>
        </w:rPr>
        <w:t xml:space="preserve"> </w:t>
      </w:r>
      <w:r w:rsidR="00F178B3" w:rsidRPr="00D813D7">
        <w:rPr>
          <w:rFonts w:ascii="Times New Roman" w:hAnsi="Times New Roman"/>
          <w:sz w:val="24"/>
          <w:szCs w:val="24"/>
        </w:rPr>
        <w:t>The difference between the two—that is between the market price and the net book value of the asset—is often termed a “stranded cost</w:t>
      </w:r>
      <w:r w:rsidRPr="00D813D7">
        <w:rPr>
          <w:rFonts w:ascii="Times New Roman" w:hAnsi="Times New Roman"/>
          <w:sz w:val="24"/>
          <w:szCs w:val="24"/>
        </w:rPr>
        <w:t>,</w:t>
      </w:r>
      <w:r w:rsidR="00F178B3" w:rsidRPr="00D813D7">
        <w:rPr>
          <w:rFonts w:ascii="Times New Roman" w:hAnsi="Times New Roman"/>
          <w:sz w:val="24"/>
          <w:szCs w:val="24"/>
        </w:rPr>
        <w:t>” although it is not associated with a stranded asset.</w:t>
      </w:r>
    </w:p>
    <w:p w:rsidR="004C640C" w:rsidRPr="00E63E38" w:rsidRDefault="00096873" w:rsidP="00E63E38">
      <w:pPr>
        <w:pStyle w:val="ListParagraph"/>
        <w:widowControl w:val="0"/>
        <w:numPr>
          <w:ilvl w:val="0"/>
          <w:numId w:val="37"/>
        </w:numPr>
        <w:spacing w:after="120" w:line="480" w:lineRule="auto"/>
        <w:rPr>
          <w:rFonts w:ascii="Times New Roman" w:hAnsi="Times New Roman"/>
          <w:sz w:val="24"/>
          <w:szCs w:val="24"/>
        </w:rPr>
      </w:pPr>
      <w:r w:rsidRPr="00D813D7">
        <w:rPr>
          <w:rFonts w:ascii="Times New Roman" w:hAnsi="Times New Roman"/>
          <w:sz w:val="24"/>
          <w:szCs w:val="24"/>
        </w:rPr>
        <w:t>C</w:t>
      </w:r>
      <w:r w:rsidR="0077168C" w:rsidRPr="00D813D7">
        <w:rPr>
          <w:rFonts w:ascii="Times New Roman" w:hAnsi="Times New Roman"/>
          <w:sz w:val="24"/>
          <w:szCs w:val="24"/>
        </w:rPr>
        <w:t>ities, towns or counties decide to establish municipal utilities</w:t>
      </w:r>
      <w:r w:rsidR="009011D3" w:rsidRPr="00D813D7">
        <w:rPr>
          <w:rFonts w:ascii="Times New Roman" w:hAnsi="Times New Roman"/>
          <w:sz w:val="24"/>
          <w:szCs w:val="24"/>
        </w:rPr>
        <w:t xml:space="preserve"> that</w:t>
      </w:r>
      <w:r w:rsidR="0077168C" w:rsidRPr="00D813D7">
        <w:rPr>
          <w:rFonts w:ascii="Times New Roman" w:hAnsi="Times New Roman"/>
          <w:sz w:val="24"/>
          <w:szCs w:val="24"/>
        </w:rPr>
        <w:t xml:space="preserve"> are owned by </w:t>
      </w:r>
      <w:r w:rsidR="0077168C" w:rsidRPr="00D813D7">
        <w:rPr>
          <w:rFonts w:ascii="Times New Roman" w:hAnsi="Times New Roman"/>
          <w:sz w:val="24"/>
          <w:szCs w:val="24"/>
        </w:rPr>
        <w:lastRenderedPageBreak/>
        <w:t>customers.</w:t>
      </w:r>
      <w:r w:rsidR="00790224" w:rsidRPr="00D813D7">
        <w:rPr>
          <w:rFonts w:ascii="Times New Roman" w:hAnsi="Times New Roman"/>
          <w:sz w:val="24"/>
          <w:szCs w:val="24"/>
        </w:rPr>
        <w:t xml:space="preserve"> </w:t>
      </w:r>
      <w:r w:rsidR="00E63E38">
        <w:rPr>
          <w:rFonts w:ascii="Times New Roman" w:hAnsi="Times New Roman"/>
          <w:sz w:val="24"/>
          <w:szCs w:val="24"/>
        </w:rPr>
        <w:t xml:space="preserve"> </w:t>
      </w:r>
      <w:r w:rsidR="0077168C" w:rsidRPr="00D813D7">
        <w:rPr>
          <w:rFonts w:ascii="Times New Roman" w:hAnsi="Times New Roman"/>
          <w:sz w:val="24"/>
          <w:szCs w:val="24"/>
        </w:rPr>
        <w:t>These municipal utilities may purchase the assets of existing utilities at a price that gives rise to stranded costs for the seller.</w:t>
      </w:r>
      <w:r w:rsidR="00790224" w:rsidRPr="00D813D7">
        <w:rPr>
          <w:rFonts w:ascii="Times New Roman" w:hAnsi="Times New Roman"/>
          <w:sz w:val="24"/>
          <w:szCs w:val="24"/>
        </w:rPr>
        <w:t xml:space="preserve"> </w:t>
      </w:r>
      <w:r w:rsidR="00E63E38">
        <w:rPr>
          <w:rFonts w:ascii="Times New Roman" w:hAnsi="Times New Roman"/>
          <w:sz w:val="24"/>
          <w:szCs w:val="24"/>
        </w:rPr>
        <w:t xml:space="preserve"> </w:t>
      </w:r>
      <w:r w:rsidR="00B67115" w:rsidRPr="00D813D7">
        <w:rPr>
          <w:rFonts w:ascii="Times New Roman" w:hAnsi="Times New Roman"/>
          <w:sz w:val="24"/>
          <w:szCs w:val="24"/>
        </w:rPr>
        <w:t>For example, Pacific Power is involved in a case in Oregon where the city of Millersburg initiated studies in 2014 to assess the feasibility of forming a municipal utility district.</w:t>
      </w:r>
      <w:r w:rsidR="00790224" w:rsidRPr="00D813D7">
        <w:rPr>
          <w:rFonts w:ascii="Times New Roman" w:hAnsi="Times New Roman"/>
          <w:sz w:val="24"/>
          <w:szCs w:val="24"/>
        </w:rPr>
        <w:t xml:space="preserve"> </w:t>
      </w:r>
      <w:r w:rsidR="00E63E38">
        <w:rPr>
          <w:rFonts w:ascii="Times New Roman" w:hAnsi="Times New Roman"/>
          <w:sz w:val="24"/>
          <w:szCs w:val="24"/>
        </w:rPr>
        <w:t xml:space="preserve"> </w:t>
      </w:r>
      <w:r w:rsidR="00642ACB" w:rsidRPr="00D813D7">
        <w:rPr>
          <w:rFonts w:ascii="Times New Roman" w:hAnsi="Times New Roman"/>
          <w:sz w:val="24"/>
          <w:szCs w:val="24"/>
        </w:rPr>
        <w:t xml:space="preserve">In that case, </w:t>
      </w:r>
      <w:r w:rsidR="00B67115" w:rsidRPr="00D813D7">
        <w:rPr>
          <w:rFonts w:ascii="Times New Roman" w:hAnsi="Times New Roman"/>
          <w:sz w:val="24"/>
          <w:szCs w:val="24"/>
        </w:rPr>
        <w:t>Pacific Power noted that the city of Las Cruces, New Mexico abandoned its efforts in 2000 to create a municipal electric utility due to the burden of having to pay stranded costs to El Paso Electric.</w:t>
      </w:r>
      <w:r w:rsidR="00C52618" w:rsidRPr="00D813D7">
        <w:rPr>
          <w:rStyle w:val="FootnoteReference"/>
          <w:rFonts w:ascii="Times New Roman" w:hAnsi="Times New Roman"/>
          <w:sz w:val="24"/>
          <w:szCs w:val="24"/>
        </w:rPr>
        <w:footnoteReference w:id="23"/>
      </w:r>
    </w:p>
    <w:p w:rsidR="00F178B3" w:rsidRPr="00F04C9F" w:rsidRDefault="00790224" w:rsidP="00F04C9F">
      <w:pPr>
        <w:pStyle w:val="ListParagraph"/>
        <w:widowControl w:val="0"/>
        <w:numPr>
          <w:ilvl w:val="0"/>
          <w:numId w:val="37"/>
        </w:numPr>
        <w:spacing w:line="480" w:lineRule="auto"/>
        <w:rPr>
          <w:rFonts w:ascii="Times New Roman" w:hAnsi="Times New Roman"/>
          <w:sz w:val="24"/>
          <w:szCs w:val="24"/>
        </w:rPr>
      </w:pPr>
      <w:r w:rsidRPr="00D813D7">
        <w:rPr>
          <w:rFonts w:ascii="Times New Roman" w:hAnsi="Times New Roman"/>
          <w:sz w:val="24"/>
          <w:szCs w:val="24"/>
        </w:rPr>
        <w:t>C</w:t>
      </w:r>
      <w:r w:rsidR="004C640C" w:rsidRPr="00D813D7">
        <w:rPr>
          <w:rFonts w:ascii="Times New Roman" w:hAnsi="Times New Roman"/>
          <w:sz w:val="24"/>
          <w:szCs w:val="24"/>
        </w:rPr>
        <w:t>ustomers decide to build and operate an on-system generating unit</w:t>
      </w:r>
      <w:r w:rsidR="00BE6DB3" w:rsidRPr="00D813D7">
        <w:rPr>
          <w:rFonts w:ascii="Times New Roman" w:hAnsi="Times New Roman"/>
          <w:sz w:val="24"/>
          <w:szCs w:val="24"/>
        </w:rPr>
        <w:t xml:space="preserve"> or enter into a direct purchase agreement with another generator and use the local utility’s transmission and distribution facilities to wheel the power to their own campus,</w:t>
      </w:r>
      <w:r w:rsidR="004C640C" w:rsidRPr="00D813D7">
        <w:rPr>
          <w:rFonts w:ascii="Times New Roman" w:hAnsi="Times New Roman"/>
          <w:sz w:val="24"/>
          <w:szCs w:val="24"/>
        </w:rPr>
        <w:t xml:space="preserve"> thereby reducing but not eliminating the customer’s requirement from the </w:t>
      </w:r>
      <w:r w:rsidR="00B26E6C" w:rsidRPr="00D813D7">
        <w:rPr>
          <w:rFonts w:ascii="Times New Roman" w:hAnsi="Times New Roman"/>
          <w:sz w:val="24"/>
          <w:szCs w:val="24"/>
        </w:rPr>
        <w:t>utility</w:t>
      </w:r>
      <w:r w:rsidR="004C640C" w:rsidRPr="00D813D7">
        <w:rPr>
          <w:rFonts w:ascii="Times New Roman" w:hAnsi="Times New Roman"/>
          <w:sz w:val="24"/>
          <w:szCs w:val="24"/>
        </w:rPr>
        <w:t xml:space="preserve"> </w:t>
      </w:r>
      <w:r w:rsidR="00BE6DB3" w:rsidRPr="00D813D7">
        <w:rPr>
          <w:rFonts w:ascii="Times New Roman" w:hAnsi="Times New Roman"/>
          <w:sz w:val="24"/>
          <w:szCs w:val="24"/>
        </w:rPr>
        <w:t xml:space="preserve">and </w:t>
      </w:r>
      <w:r w:rsidR="004C640C" w:rsidRPr="00D813D7">
        <w:rPr>
          <w:rFonts w:ascii="Times New Roman" w:hAnsi="Times New Roman"/>
          <w:sz w:val="24"/>
          <w:szCs w:val="24"/>
        </w:rPr>
        <w:t>remain</w:t>
      </w:r>
      <w:r w:rsidR="00BE6DB3" w:rsidRPr="00D813D7">
        <w:rPr>
          <w:rFonts w:ascii="Times New Roman" w:hAnsi="Times New Roman"/>
          <w:sz w:val="24"/>
          <w:szCs w:val="24"/>
        </w:rPr>
        <w:t xml:space="preserve">ing </w:t>
      </w:r>
      <w:r w:rsidR="004C640C" w:rsidRPr="00D813D7">
        <w:rPr>
          <w:rFonts w:ascii="Times New Roman" w:hAnsi="Times New Roman"/>
          <w:sz w:val="24"/>
          <w:szCs w:val="24"/>
        </w:rPr>
        <w:t>distribution customers.</w:t>
      </w:r>
      <w:r w:rsidRPr="00D813D7">
        <w:rPr>
          <w:rFonts w:ascii="Times New Roman" w:hAnsi="Times New Roman"/>
          <w:sz w:val="24"/>
          <w:szCs w:val="24"/>
        </w:rPr>
        <w:t xml:space="preserve"> </w:t>
      </w:r>
      <w:r w:rsidR="00A13A4D">
        <w:rPr>
          <w:rFonts w:ascii="Times New Roman" w:hAnsi="Times New Roman"/>
          <w:sz w:val="24"/>
          <w:szCs w:val="24"/>
        </w:rPr>
        <w:t xml:space="preserve"> </w:t>
      </w:r>
      <w:r w:rsidR="004C640C" w:rsidRPr="00D813D7">
        <w:rPr>
          <w:rFonts w:ascii="Times New Roman" w:hAnsi="Times New Roman"/>
          <w:sz w:val="24"/>
          <w:szCs w:val="24"/>
        </w:rPr>
        <w:t>This category includes customers who build cogeneration units to meet process load requirements (e.g.</w:t>
      </w:r>
      <w:r w:rsidR="00BE6DB3" w:rsidRPr="00D813D7">
        <w:rPr>
          <w:rFonts w:ascii="Times New Roman" w:hAnsi="Times New Roman"/>
          <w:sz w:val="24"/>
          <w:szCs w:val="24"/>
        </w:rPr>
        <w:t xml:space="preserve"> central heating p</w:t>
      </w:r>
      <w:r w:rsidR="004C640C" w:rsidRPr="00D813D7">
        <w:rPr>
          <w:rFonts w:ascii="Times New Roman" w:hAnsi="Times New Roman"/>
          <w:sz w:val="24"/>
          <w:szCs w:val="24"/>
        </w:rPr>
        <w:t>lants at airports, universities, wastewater treatment plants, and other manufacturing plants.)</w:t>
      </w:r>
      <w:r w:rsidRPr="00D813D7">
        <w:rPr>
          <w:rFonts w:ascii="Times New Roman" w:hAnsi="Times New Roman"/>
          <w:sz w:val="24"/>
          <w:szCs w:val="24"/>
        </w:rPr>
        <w:t xml:space="preserve"> </w:t>
      </w:r>
      <w:r w:rsidR="00F04C9F">
        <w:rPr>
          <w:rFonts w:ascii="Times New Roman" w:hAnsi="Times New Roman"/>
          <w:sz w:val="24"/>
          <w:szCs w:val="24"/>
        </w:rPr>
        <w:t xml:space="preserve"> </w:t>
      </w:r>
      <w:r w:rsidR="004C640C" w:rsidRPr="00D813D7">
        <w:rPr>
          <w:rFonts w:ascii="Times New Roman" w:hAnsi="Times New Roman"/>
          <w:sz w:val="24"/>
          <w:szCs w:val="24"/>
        </w:rPr>
        <w:t>These customers may be able to operate as an island but still remain connected to the utility’s distribution system</w:t>
      </w:r>
      <w:r w:rsidR="00BE6DB3" w:rsidRPr="00D813D7">
        <w:rPr>
          <w:rFonts w:ascii="Times New Roman" w:hAnsi="Times New Roman"/>
          <w:sz w:val="24"/>
          <w:szCs w:val="24"/>
        </w:rPr>
        <w:t xml:space="preserve"> for reliability</w:t>
      </w:r>
      <w:r w:rsidR="004C640C" w:rsidRPr="00D813D7">
        <w:rPr>
          <w:rFonts w:ascii="Times New Roman" w:hAnsi="Times New Roman"/>
          <w:sz w:val="24"/>
          <w:szCs w:val="24"/>
        </w:rPr>
        <w:t>.</w:t>
      </w:r>
      <w:r w:rsidRPr="00D813D7">
        <w:rPr>
          <w:rFonts w:ascii="Times New Roman" w:hAnsi="Times New Roman"/>
          <w:sz w:val="24"/>
          <w:szCs w:val="24"/>
        </w:rPr>
        <w:t xml:space="preserve"> </w:t>
      </w:r>
      <w:r w:rsidR="004C640C" w:rsidRPr="00601484">
        <w:rPr>
          <w:rFonts w:ascii="Times New Roman" w:hAnsi="Times New Roman"/>
          <w:sz w:val="24"/>
          <w:szCs w:val="24"/>
        </w:rPr>
        <w:t>Adoption by commissions in various jurisdictions of programs to incent development of renewables and distributed generation through feed-in tariffs can have a similar impact on existing utilities</w:t>
      </w:r>
      <w:r w:rsidR="004C640C" w:rsidRPr="00D813D7">
        <w:rPr>
          <w:rFonts w:ascii="Times New Roman" w:hAnsi="Times New Roman"/>
          <w:sz w:val="24"/>
          <w:szCs w:val="24"/>
        </w:rPr>
        <w:t>.</w:t>
      </w:r>
      <w:r w:rsidRPr="00D813D7">
        <w:rPr>
          <w:rFonts w:ascii="Times New Roman" w:hAnsi="Times New Roman"/>
          <w:sz w:val="24"/>
          <w:szCs w:val="24"/>
        </w:rPr>
        <w:t xml:space="preserve"> </w:t>
      </w:r>
      <w:r w:rsidR="00A13A4D">
        <w:rPr>
          <w:rFonts w:ascii="Times New Roman" w:hAnsi="Times New Roman"/>
          <w:sz w:val="24"/>
          <w:szCs w:val="24"/>
        </w:rPr>
        <w:t xml:space="preserve"> </w:t>
      </w:r>
      <w:r w:rsidR="004C640C" w:rsidRPr="00D813D7">
        <w:rPr>
          <w:rFonts w:ascii="Times New Roman" w:hAnsi="Times New Roman"/>
          <w:sz w:val="24"/>
          <w:szCs w:val="24"/>
        </w:rPr>
        <w:t>For example, Hawaii</w:t>
      </w:r>
      <w:r w:rsidR="001244F7" w:rsidRPr="00D813D7">
        <w:rPr>
          <w:rStyle w:val="FootnoteReference"/>
          <w:rFonts w:ascii="Times New Roman" w:hAnsi="Times New Roman"/>
          <w:sz w:val="24"/>
          <w:szCs w:val="24"/>
        </w:rPr>
        <w:footnoteReference w:id="24"/>
      </w:r>
      <w:r w:rsidR="004C640C" w:rsidRPr="00D813D7">
        <w:rPr>
          <w:rFonts w:ascii="Times New Roman" w:hAnsi="Times New Roman"/>
          <w:sz w:val="24"/>
          <w:szCs w:val="24"/>
        </w:rPr>
        <w:t xml:space="preserve"> and New Hampshire</w:t>
      </w:r>
      <w:r w:rsidR="00F54A34" w:rsidRPr="00D813D7">
        <w:rPr>
          <w:rStyle w:val="FootnoteReference"/>
          <w:rFonts w:ascii="Times New Roman" w:hAnsi="Times New Roman"/>
          <w:sz w:val="24"/>
          <w:szCs w:val="24"/>
        </w:rPr>
        <w:footnoteReference w:id="25"/>
      </w:r>
      <w:r w:rsidR="004C640C" w:rsidRPr="00D813D7">
        <w:rPr>
          <w:rFonts w:ascii="Times New Roman" w:hAnsi="Times New Roman"/>
          <w:sz w:val="24"/>
          <w:szCs w:val="24"/>
        </w:rPr>
        <w:t xml:space="preserve"> are both jurisdictions where net metering is </w:t>
      </w:r>
      <w:r w:rsidR="004C640C" w:rsidRPr="00D813D7">
        <w:rPr>
          <w:rFonts w:ascii="Times New Roman" w:hAnsi="Times New Roman"/>
          <w:sz w:val="24"/>
          <w:szCs w:val="24"/>
        </w:rPr>
        <w:lastRenderedPageBreak/>
        <w:t xml:space="preserve">being evaluated in order to </w:t>
      </w:r>
      <w:r w:rsidR="00345178" w:rsidRPr="00D813D7">
        <w:rPr>
          <w:rFonts w:ascii="Times New Roman" w:hAnsi="Times New Roman"/>
          <w:sz w:val="24"/>
          <w:szCs w:val="24"/>
        </w:rPr>
        <w:t xml:space="preserve">ensure </w:t>
      </w:r>
      <w:r w:rsidR="00CE64EF" w:rsidRPr="00D813D7">
        <w:rPr>
          <w:rFonts w:ascii="Times New Roman" w:hAnsi="Times New Roman"/>
          <w:sz w:val="24"/>
          <w:szCs w:val="24"/>
        </w:rPr>
        <w:t>appropriate</w:t>
      </w:r>
      <w:r w:rsidR="00345178" w:rsidRPr="00D813D7">
        <w:rPr>
          <w:rFonts w:ascii="Times New Roman" w:hAnsi="Times New Roman"/>
          <w:sz w:val="24"/>
          <w:szCs w:val="24"/>
        </w:rPr>
        <w:t xml:space="preserve"> treatment of </w:t>
      </w:r>
      <w:r w:rsidR="004C640C" w:rsidRPr="00D813D7">
        <w:rPr>
          <w:rFonts w:ascii="Times New Roman" w:hAnsi="Times New Roman"/>
          <w:sz w:val="24"/>
          <w:szCs w:val="24"/>
        </w:rPr>
        <w:t>renewables and distributed generation.</w:t>
      </w:r>
    </w:p>
    <w:p w:rsidR="00C52618" w:rsidRPr="00AE1DB5" w:rsidRDefault="00B5204C" w:rsidP="00C446D3">
      <w:pPr>
        <w:pStyle w:val="ListParagraph"/>
        <w:widowControl w:val="0"/>
        <w:numPr>
          <w:ilvl w:val="0"/>
          <w:numId w:val="37"/>
        </w:numPr>
        <w:spacing w:after="0" w:line="480" w:lineRule="auto"/>
        <w:rPr>
          <w:rFonts w:ascii="Times New Roman" w:hAnsi="Times New Roman"/>
          <w:sz w:val="24"/>
          <w:szCs w:val="24"/>
        </w:rPr>
      </w:pPr>
      <w:r w:rsidRPr="00D813D7">
        <w:rPr>
          <w:rFonts w:ascii="Times New Roman" w:hAnsi="Times New Roman"/>
          <w:sz w:val="24"/>
          <w:szCs w:val="24"/>
        </w:rPr>
        <w:t>E</w:t>
      </w:r>
      <w:r w:rsidR="00BE6DB3" w:rsidRPr="00D813D7">
        <w:rPr>
          <w:rFonts w:ascii="Times New Roman" w:hAnsi="Times New Roman"/>
          <w:sz w:val="24"/>
          <w:szCs w:val="24"/>
        </w:rPr>
        <w:t xml:space="preserve">xisting </w:t>
      </w:r>
      <w:r w:rsidR="00205AF1" w:rsidRPr="00D813D7">
        <w:rPr>
          <w:rFonts w:ascii="Times New Roman" w:hAnsi="Times New Roman"/>
          <w:sz w:val="24"/>
          <w:szCs w:val="24"/>
        </w:rPr>
        <w:t xml:space="preserve">franchise agreements expire </w:t>
      </w:r>
      <w:r w:rsidR="00766DD2" w:rsidRPr="00D813D7">
        <w:rPr>
          <w:rFonts w:ascii="Times New Roman" w:hAnsi="Times New Roman"/>
          <w:sz w:val="24"/>
          <w:szCs w:val="24"/>
        </w:rPr>
        <w:t>without</w:t>
      </w:r>
      <w:r w:rsidR="00205AF1" w:rsidRPr="00D813D7">
        <w:rPr>
          <w:rFonts w:ascii="Times New Roman" w:hAnsi="Times New Roman"/>
          <w:sz w:val="24"/>
          <w:szCs w:val="24"/>
        </w:rPr>
        <w:t xml:space="preserve"> be</w:t>
      </w:r>
      <w:r w:rsidR="00766DD2" w:rsidRPr="00D813D7">
        <w:rPr>
          <w:rFonts w:ascii="Times New Roman" w:hAnsi="Times New Roman"/>
          <w:sz w:val="24"/>
          <w:szCs w:val="24"/>
        </w:rPr>
        <w:t>ing</w:t>
      </w:r>
      <w:r w:rsidR="00205AF1" w:rsidRPr="00D813D7">
        <w:rPr>
          <w:rFonts w:ascii="Times New Roman" w:hAnsi="Times New Roman"/>
          <w:sz w:val="24"/>
          <w:szCs w:val="24"/>
        </w:rPr>
        <w:t xml:space="preserve"> successfully renegotiated, or do not exist, resulting in multiple providers building distribution facilities to compete for customers at the street level.</w:t>
      </w:r>
      <w:r w:rsidR="00790224" w:rsidRPr="00D813D7">
        <w:rPr>
          <w:rFonts w:ascii="Times New Roman" w:hAnsi="Times New Roman"/>
          <w:sz w:val="24"/>
          <w:szCs w:val="24"/>
        </w:rPr>
        <w:t xml:space="preserve"> </w:t>
      </w:r>
      <w:r w:rsidR="00A15BE3">
        <w:rPr>
          <w:rFonts w:ascii="Times New Roman" w:hAnsi="Times New Roman"/>
          <w:sz w:val="24"/>
          <w:szCs w:val="24"/>
        </w:rPr>
        <w:t xml:space="preserve"> </w:t>
      </w:r>
      <w:r w:rsidR="00BE6DB3" w:rsidRPr="00D813D7">
        <w:rPr>
          <w:rFonts w:ascii="Times New Roman" w:hAnsi="Times New Roman"/>
          <w:sz w:val="24"/>
          <w:szCs w:val="24"/>
        </w:rPr>
        <w:t xml:space="preserve">As customers switch to the successful bidder, the distribution facilities </w:t>
      </w:r>
      <w:r w:rsidR="00B47168" w:rsidRPr="00D813D7">
        <w:rPr>
          <w:rFonts w:ascii="Times New Roman" w:hAnsi="Times New Roman"/>
          <w:sz w:val="24"/>
          <w:szCs w:val="24"/>
        </w:rPr>
        <w:t xml:space="preserve">installed by </w:t>
      </w:r>
      <w:r w:rsidR="00BE6DB3" w:rsidRPr="00D813D7">
        <w:rPr>
          <w:rFonts w:ascii="Times New Roman" w:hAnsi="Times New Roman"/>
          <w:sz w:val="24"/>
          <w:szCs w:val="24"/>
        </w:rPr>
        <w:t>the former supplier become redundant.</w:t>
      </w:r>
      <w:r w:rsidR="005B21C2" w:rsidRPr="00D813D7">
        <w:rPr>
          <w:rFonts w:ascii="Times New Roman" w:hAnsi="Times New Roman"/>
          <w:sz w:val="24"/>
          <w:szCs w:val="24"/>
        </w:rPr>
        <w:t xml:space="preserve"> </w:t>
      </w:r>
      <w:r w:rsidR="00A15BE3">
        <w:rPr>
          <w:rFonts w:ascii="Times New Roman" w:hAnsi="Times New Roman"/>
          <w:sz w:val="24"/>
          <w:szCs w:val="24"/>
        </w:rPr>
        <w:t xml:space="preserve"> </w:t>
      </w:r>
      <w:r w:rsidR="005B21C2" w:rsidRPr="00D813D7">
        <w:rPr>
          <w:rFonts w:ascii="Times New Roman" w:hAnsi="Times New Roman"/>
          <w:sz w:val="24"/>
          <w:szCs w:val="24"/>
        </w:rPr>
        <w:t>(</w:t>
      </w:r>
      <w:r w:rsidR="005111DA" w:rsidRPr="00D813D7">
        <w:rPr>
          <w:rFonts w:ascii="Times New Roman" w:hAnsi="Times New Roman"/>
          <w:sz w:val="24"/>
          <w:szCs w:val="24"/>
        </w:rPr>
        <w:t>For example,</w:t>
      </w:r>
      <w:r w:rsidR="005B21C2" w:rsidRPr="00D813D7">
        <w:rPr>
          <w:rFonts w:ascii="Times New Roman" w:hAnsi="Times New Roman"/>
          <w:sz w:val="24"/>
          <w:szCs w:val="24"/>
        </w:rPr>
        <w:t xml:space="preserve"> </w:t>
      </w:r>
      <w:r w:rsidR="00524657" w:rsidRPr="00D813D7">
        <w:rPr>
          <w:rFonts w:ascii="Times New Roman" w:hAnsi="Times New Roman"/>
          <w:sz w:val="24"/>
          <w:szCs w:val="24"/>
        </w:rPr>
        <w:t>as recently as 1986</w:t>
      </w:r>
      <w:r w:rsidR="00BE6DB3" w:rsidRPr="00D813D7">
        <w:rPr>
          <w:rFonts w:ascii="Times New Roman" w:hAnsi="Times New Roman"/>
          <w:sz w:val="24"/>
          <w:szCs w:val="24"/>
        </w:rPr>
        <w:t xml:space="preserve">, </w:t>
      </w:r>
      <w:r w:rsidR="00524657" w:rsidRPr="00D813D7">
        <w:rPr>
          <w:rFonts w:ascii="Times New Roman" w:hAnsi="Times New Roman"/>
          <w:sz w:val="24"/>
          <w:szCs w:val="24"/>
        </w:rPr>
        <w:t xml:space="preserve">more than one </w:t>
      </w:r>
      <w:r w:rsidR="005111DA" w:rsidRPr="00D813D7">
        <w:rPr>
          <w:rFonts w:ascii="Times New Roman" w:hAnsi="Times New Roman"/>
          <w:sz w:val="24"/>
          <w:szCs w:val="24"/>
        </w:rPr>
        <w:t xml:space="preserve">Pennsylvania </w:t>
      </w:r>
      <w:r w:rsidR="005B21C2" w:rsidRPr="00D813D7">
        <w:rPr>
          <w:rFonts w:ascii="Times New Roman" w:hAnsi="Times New Roman"/>
          <w:sz w:val="24"/>
          <w:szCs w:val="24"/>
        </w:rPr>
        <w:t>na</w:t>
      </w:r>
      <w:r w:rsidR="00BE6DB3" w:rsidRPr="00D813D7">
        <w:rPr>
          <w:rFonts w:ascii="Times New Roman" w:hAnsi="Times New Roman"/>
          <w:sz w:val="24"/>
          <w:szCs w:val="24"/>
        </w:rPr>
        <w:t xml:space="preserve">tural gas </w:t>
      </w:r>
      <w:r w:rsidR="00524657" w:rsidRPr="00D813D7">
        <w:rPr>
          <w:rFonts w:ascii="Times New Roman" w:hAnsi="Times New Roman"/>
          <w:sz w:val="24"/>
          <w:szCs w:val="24"/>
        </w:rPr>
        <w:t xml:space="preserve">utility was allowed to provide </w:t>
      </w:r>
      <w:r w:rsidR="00BE6DB3" w:rsidRPr="00D813D7">
        <w:rPr>
          <w:rFonts w:ascii="Times New Roman" w:hAnsi="Times New Roman"/>
          <w:sz w:val="24"/>
          <w:szCs w:val="24"/>
        </w:rPr>
        <w:t>service in certain townships</w:t>
      </w:r>
      <w:r w:rsidR="00524657" w:rsidRPr="00D813D7">
        <w:rPr>
          <w:rStyle w:val="FootnoteReference"/>
          <w:rFonts w:ascii="Times New Roman" w:hAnsi="Times New Roman"/>
          <w:sz w:val="24"/>
          <w:szCs w:val="24"/>
        </w:rPr>
        <w:footnoteReference w:id="26"/>
      </w:r>
      <w:r w:rsidR="00BE6DB3" w:rsidRPr="00D813D7">
        <w:rPr>
          <w:rFonts w:ascii="Times New Roman" w:hAnsi="Times New Roman"/>
          <w:sz w:val="24"/>
          <w:szCs w:val="24"/>
        </w:rPr>
        <w:t xml:space="preserve"> and </w:t>
      </w:r>
      <w:r w:rsidR="00D84C14" w:rsidRPr="00D813D7">
        <w:rPr>
          <w:rFonts w:ascii="Times New Roman" w:hAnsi="Times New Roman"/>
          <w:sz w:val="24"/>
          <w:szCs w:val="24"/>
        </w:rPr>
        <w:t xml:space="preserve">separately </w:t>
      </w:r>
      <w:r w:rsidR="00BE6DB3" w:rsidRPr="00D813D7">
        <w:rPr>
          <w:rFonts w:ascii="Times New Roman" w:hAnsi="Times New Roman"/>
          <w:sz w:val="24"/>
          <w:szCs w:val="24"/>
        </w:rPr>
        <w:t>certain utilities were required to replace farm taps</w:t>
      </w:r>
      <w:r w:rsidR="00D650B3" w:rsidRPr="00D813D7">
        <w:rPr>
          <w:rStyle w:val="FootnoteReference"/>
          <w:rFonts w:ascii="Times New Roman" w:hAnsi="Times New Roman"/>
          <w:sz w:val="24"/>
          <w:szCs w:val="24"/>
        </w:rPr>
        <w:footnoteReference w:id="27"/>
      </w:r>
      <w:r w:rsidR="00BE6DB3" w:rsidRPr="00D813D7">
        <w:rPr>
          <w:rFonts w:ascii="Times New Roman" w:hAnsi="Times New Roman"/>
          <w:sz w:val="24"/>
          <w:szCs w:val="24"/>
        </w:rPr>
        <w:t xml:space="preserve"> served by intrastate pipelines with their own distribution systems</w:t>
      </w:r>
      <w:r w:rsidR="005B21C2" w:rsidRPr="00D813D7">
        <w:rPr>
          <w:rFonts w:ascii="Times New Roman" w:hAnsi="Times New Roman"/>
          <w:sz w:val="24"/>
          <w:szCs w:val="24"/>
        </w:rPr>
        <w:t>.</w:t>
      </w:r>
      <w:r w:rsidR="00D84C14" w:rsidRPr="00D813D7">
        <w:rPr>
          <w:rStyle w:val="FootnoteReference"/>
          <w:rFonts w:ascii="Times New Roman" w:hAnsi="Times New Roman"/>
          <w:sz w:val="24"/>
          <w:szCs w:val="24"/>
        </w:rPr>
        <w:footnoteReference w:id="28"/>
      </w:r>
      <w:r w:rsidR="005B21C2" w:rsidRPr="00D813D7">
        <w:rPr>
          <w:rFonts w:ascii="Times New Roman" w:hAnsi="Times New Roman"/>
          <w:sz w:val="24"/>
          <w:szCs w:val="24"/>
        </w:rPr>
        <w:t>)</w:t>
      </w:r>
      <w:r w:rsidR="00790224" w:rsidRPr="00D813D7">
        <w:rPr>
          <w:rFonts w:ascii="Times New Roman" w:hAnsi="Times New Roman"/>
          <w:sz w:val="24"/>
          <w:szCs w:val="24"/>
        </w:rPr>
        <w:t xml:space="preserve"> </w:t>
      </w:r>
      <w:r w:rsidR="00A15BE3">
        <w:rPr>
          <w:rFonts w:ascii="Times New Roman" w:hAnsi="Times New Roman"/>
          <w:sz w:val="24"/>
          <w:szCs w:val="24"/>
        </w:rPr>
        <w:t xml:space="preserve"> </w:t>
      </w:r>
      <w:r w:rsidR="005B21C2" w:rsidRPr="00D813D7">
        <w:rPr>
          <w:rFonts w:ascii="Times New Roman" w:hAnsi="Times New Roman"/>
          <w:sz w:val="24"/>
          <w:szCs w:val="24"/>
        </w:rPr>
        <w:t>Franchise agreements provide, in return for a fee, an</w:t>
      </w:r>
      <w:r w:rsidR="00205AF1" w:rsidRPr="00D813D7">
        <w:rPr>
          <w:rFonts w:ascii="Times New Roman" w:hAnsi="Times New Roman"/>
          <w:sz w:val="24"/>
          <w:szCs w:val="24"/>
        </w:rPr>
        <w:t xml:space="preserve"> exclusive right to distribute energy to customers located w</w:t>
      </w:r>
      <w:r w:rsidR="005B21C2" w:rsidRPr="00D813D7">
        <w:rPr>
          <w:rFonts w:ascii="Times New Roman" w:hAnsi="Times New Roman"/>
          <w:sz w:val="24"/>
          <w:szCs w:val="24"/>
        </w:rPr>
        <w:t xml:space="preserve">ithin municipal </w:t>
      </w:r>
      <w:r w:rsidR="00205AF1" w:rsidRPr="00D813D7">
        <w:rPr>
          <w:rFonts w:ascii="Times New Roman" w:hAnsi="Times New Roman"/>
          <w:sz w:val="24"/>
          <w:szCs w:val="24"/>
        </w:rPr>
        <w:t xml:space="preserve">geographic boundaries </w:t>
      </w:r>
      <w:r w:rsidR="005B21C2" w:rsidRPr="00D813D7">
        <w:rPr>
          <w:rFonts w:ascii="Times New Roman" w:hAnsi="Times New Roman"/>
          <w:sz w:val="24"/>
          <w:szCs w:val="24"/>
        </w:rPr>
        <w:t>by allowing only one utility to build and operate distribution facilities within municipal rights of way.</w:t>
      </w:r>
      <w:r w:rsidR="00790224" w:rsidRPr="00D813D7">
        <w:rPr>
          <w:rFonts w:ascii="Times New Roman" w:hAnsi="Times New Roman"/>
          <w:sz w:val="24"/>
          <w:szCs w:val="24"/>
        </w:rPr>
        <w:t xml:space="preserve"> </w:t>
      </w:r>
    </w:p>
    <w:p w:rsidR="003272DB" w:rsidRPr="00D813D7" w:rsidRDefault="00AE1DB5" w:rsidP="003272DB">
      <w:pPr>
        <w:pStyle w:val="a"/>
        <w:keepNext/>
        <w:tabs>
          <w:tab w:val="left" w:pos="90"/>
          <w:tab w:val="left" w:pos="720"/>
          <w:tab w:val="left" w:pos="1440"/>
        </w:tabs>
        <w:spacing w:line="480" w:lineRule="auto"/>
        <w:jc w:val="both"/>
        <w:rPr>
          <w:rFonts w:ascii="Times New Roman" w:hAnsi="Times New Roman"/>
          <w:b/>
          <w:szCs w:val="24"/>
        </w:rPr>
      </w:pPr>
      <w:r>
        <w:rPr>
          <w:rFonts w:ascii="Times New Roman" w:hAnsi="Times New Roman"/>
          <w:b/>
          <w:szCs w:val="24"/>
        </w:rPr>
        <w:t>Q:</w:t>
      </w:r>
      <w:r w:rsidR="003272DB" w:rsidRPr="00D813D7">
        <w:rPr>
          <w:rFonts w:ascii="Times New Roman" w:hAnsi="Times New Roman"/>
          <w:b/>
          <w:szCs w:val="24"/>
        </w:rPr>
        <w:tab/>
        <w:t>What are the minimum conditions that give rise to stranded costs for utilities?</w:t>
      </w:r>
    </w:p>
    <w:p w:rsidR="003272DB" w:rsidRPr="00D813D7" w:rsidRDefault="00AE1DB5" w:rsidP="00AC03F4">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3272DB" w:rsidRPr="00D813D7">
        <w:rPr>
          <w:rFonts w:ascii="Times New Roman" w:hAnsi="Times New Roman"/>
          <w:sz w:val="24"/>
          <w:szCs w:val="24"/>
        </w:rPr>
        <w:tab/>
        <w:t>For there to be stranded costs in these cases, the following must be true:</w:t>
      </w:r>
    </w:p>
    <w:p w:rsidR="003272DB" w:rsidRPr="00D813D7" w:rsidRDefault="003272DB" w:rsidP="003272DB">
      <w:pPr>
        <w:pStyle w:val="ListParagraph"/>
        <w:widowControl w:val="0"/>
        <w:numPr>
          <w:ilvl w:val="0"/>
          <w:numId w:val="7"/>
        </w:numPr>
        <w:spacing w:after="0" w:line="480" w:lineRule="auto"/>
        <w:rPr>
          <w:rFonts w:ascii="Times New Roman" w:hAnsi="Times New Roman"/>
          <w:sz w:val="24"/>
          <w:szCs w:val="24"/>
        </w:rPr>
      </w:pPr>
      <w:r w:rsidRPr="00D813D7">
        <w:rPr>
          <w:rFonts w:ascii="Times New Roman" w:hAnsi="Times New Roman"/>
          <w:sz w:val="24"/>
          <w:szCs w:val="24"/>
        </w:rPr>
        <w:t xml:space="preserve">The costs will not be avoided once the departing customer leaves the system. </w:t>
      </w:r>
      <w:r w:rsidR="00D3524C">
        <w:rPr>
          <w:rFonts w:ascii="Times New Roman" w:hAnsi="Times New Roman"/>
          <w:sz w:val="24"/>
          <w:szCs w:val="24"/>
        </w:rPr>
        <w:t xml:space="preserve"> </w:t>
      </w:r>
      <w:r w:rsidRPr="00D813D7">
        <w:rPr>
          <w:rFonts w:ascii="Times New Roman" w:hAnsi="Times New Roman"/>
          <w:sz w:val="24"/>
          <w:szCs w:val="24"/>
        </w:rPr>
        <w:t xml:space="preserve">This implies the cost is a “fixed cost”—such as the depreciation and financing cost of utility plant already in the ground. </w:t>
      </w:r>
      <w:r w:rsidR="00D3524C">
        <w:rPr>
          <w:rFonts w:ascii="Times New Roman" w:hAnsi="Times New Roman"/>
          <w:sz w:val="24"/>
          <w:szCs w:val="24"/>
        </w:rPr>
        <w:t xml:space="preserve"> </w:t>
      </w:r>
      <w:r w:rsidRPr="00D813D7">
        <w:rPr>
          <w:rFonts w:ascii="Times New Roman" w:hAnsi="Times New Roman"/>
          <w:sz w:val="24"/>
          <w:szCs w:val="24"/>
        </w:rPr>
        <w:t xml:space="preserve">Such costs do not vary with the amount of load served by the utility. </w:t>
      </w:r>
      <w:r w:rsidR="00D3524C">
        <w:rPr>
          <w:rFonts w:ascii="Times New Roman" w:hAnsi="Times New Roman"/>
          <w:sz w:val="24"/>
          <w:szCs w:val="24"/>
        </w:rPr>
        <w:t xml:space="preserve"> </w:t>
      </w:r>
      <w:r w:rsidRPr="00D813D7">
        <w:rPr>
          <w:rFonts w:ascii="Times New Roman" w:hAnsi="Times New Roman"/>
          <w:sz w:val="24"/>
          <w:szCs w:val="24"/>
        </w:rPr>
        <w:t>“Variable costs” that do vary with load—such as fuel costs—are typically avoidable and therefore not stranded with a customer’s departure.</w:t>
      </w:r>
    </w:p>
    <w:p w:rsidR="003272DB" w:rsidRPr="00AE1DB5" w:rsidRDefault="003272DB" w:rsidP="00AE1DB5">
      <w:pPr>
        <w:pStyle w:val="ListParagraph"/>
        <w:widowControl w:val="0"/>
        <w:numPr>
          <w:ilvl w:val="0"/>
          <w:numId w:val="7"/>
        </w:numPr>
        <w:spacing w:after="0" w:line="480" w:lineRule="auto"/>
        <w:rPr>
          <w:rFonts w:ascii="Times New Roman" w:hAnsi="Times New Roman"/>
          <w:sz w:val="24"/>
          <w:szCs w:val="24"/>
        </w:rPr>
      </w:pPr>
      <w:r w:rsidRPr="00D813D7">
        <w:rPr>
          <w:rFonts w:ascii="Times New Roman" w:hAnsi="Times New Roman"/>
          <w:sz w:val="24"/>
          <w:szCs w:val="24"/>
        </w:rPr>
        <w:lastRenderedPageBreak/>
        <w:t>Additional market revenues</w:t>
      </w:r>
      <w:r w:rsidR="007E5EE4" w:rsidRPr="00D813D7">
        <w:rPr>
          <w:rFonts w:ascii="Times New Roman" w:hAnsi="Times New Roman"/>
          <w:sz w:val="24"/>
          <w:szCs w:val="24"/>
        </w:rPr>
        <w:t xml:space="preserve"> obtained</w:t>
      </w:r>
      <w:r w:rsidRPr="00D813D7">
        <w:rPr>
          <w:rFonts w:ascii="Times New Roman" w:hAnsi="Times New Roman"/>
          <w:sz w:val="24"/>
          <w:szCs w:val="24"/>
        </w:rPr>
        <w:t xml:space="preserve"> in the wholesale market caused by the customer’s departure</w:t>
      </w:r>
      <w:r w:rsidR="006E3B35">
        <w:rPr>
          <w:rFonts w:ascii="Times New Roman" w:hAnsi="Times New Roman"/>
          <w:sz w:val="24"/>
          <w:szCs w:val="24"/>
        </w:rPr>
        <w:t>,</w:t>
      </w:r>
      <w:r w:rsidRPr="00D813D7">
        <w:rPr>
          <w:rFonts w:ascii="Times New Roman" w:hAnsi="Times New Roman"/>
          <w:sz w:val="24"/>
          <w:szCs w:val="24"/>
        </w:rPr>
        <w:t xml:space="preserve"> </w:t>
      </w:r>
      <w:r w:rsidR="007E5EE4" w:rsidRPr="00D813D7">
        <w:rPr>
          <w:rFonts w:ascii="Times New Roman" w:hAnsi="Times New Roman"/>
          <w:sz w:val="24"/>
          <w:szCs w:val="24"/>
        </w:rPr>
        <w:t xml:space="preserve">that </w:t>
      </w:r>
      <w:r w:rsidRPr="00D813D7">
        <w:rPr>
          <w:rFonts w:ascii="Times New Roman" w:hAnsi="Times New Roman"/>
          <w:sz w:val="24"/>
          <w:szCs w:val="24"/>
        </w:rPr>
        <w:t xml:space="preserve">do not fully compensate the utility for revenue the departing customer </w:t>
      </w:r>
      <w:r w:rsidRPr="00601484">
        <w:rPr>
          <w:rFonts w:ascii="Times New Roman" w:hAnsi="Times New Roman"/>
          <w:sz w:val="24"/>
          <w:szCs w:val="24"/>
        </w:rPr>
        <w:t>would have paid for fixed costs</w:t>
      </w:r>
      <w:r w:rsidRPr="00D813D7">
        <w:rPr>
          <w:rFonts w:ascii="Times New Roman" w:hAnsi="Times New Roman"/>
          <w:sz w:val="24"/>
          <w:szCs w:val="24"/>
        </w:rPr>
        <w:t xml:space="preserve"> if it had remained on the system</w:t>
      </w:r>
      <w:r w:rsidR="006E3B35">
        <w:rPr>
          <w:rFonts w:ascii="Times New Roman" w:hAnsi="Times New Roman"/>
          <w:sz w:val="24"/>
          <w:szCs w:val="24"/>
        </w:rPr>
        <w:t>,</w:t>
      </w:r>
      <w:r w:rsidR="007E5EE4" w:rsidRPr="00D813D7">
        <w:rPr>
          <w:rFonts w:ascii="Times New Roman" w:hAnsi="Times New Roman"/>
          <w:sz w:val="24"/>
          <w:szCs w:val="24"/>
        </w:rPr>
        <w:t xml:space="preserve"> may be identified as stranded costs for some </w:t>
      </w:r>
      <w:r w:rsidR="00CE64EF" w:rsidRPr="00D813D7">
        <w:rPr>
          <w:rFonts w:ascii="Times New Roman" w:hAnsi="Times New Roman"/>
          <w:sz w:val="24"/>
          <w:szCs w:val="24"/>
        </w:rPr>
        <w:t xml:space="preserve">defined </w:t>
      </w:r>
      <w:r w:rsidR="007E5EE4" w:rsidRPr="00D813D7">
        <w:rPr>
          <w:rFonts w:ascii="Times New Roman" w:hAnsi="Times New Roman"/>
          <w:sz w:val="24"/>
          <w:szCs w:val="24"/>
        </w:rPr>
        <w:t>period of time</w:t>
      </w:r>
      <w:r w:rsidRPr="00D813D7">
        <w:rPr>
          <w:rFonts w:ascii="Times New Roman" w:hAnsi="Times New Roman"/>
          <w:sz w:val="24"/>
          <w:szCs w:val="24"/>
        </w:rPr>
        <w:t>.</w:t>
      </w:r>
    </w:p>
    <w:p w:rsidR="00BE6DB3" w:rsidRPr="00D813D7" w:rsidRDefault="00AE1DB5" w:rsidP="00BE6DB3">
      <w:pPr>
        <w:pStyle w:val="a"/>
        <w:keepNext/>
        <w:tabs>
          <w:tab w:val="left" w:pos="90"/>
          <w:tab w:val="left" w:pos="720"/>
          <w:tab w:val="left" w:pos="1440"/>
        </w:tabs>
        <w:spacing w:line="480" w:lineRule="auto"/>
        <w:jc w:val="both"/>
        <w:rPr>
          <w:rFonts w:ascii="Times New Roman" w:hAnsi="Times New Roman"/>
          <w:b/>
          <w:szCs w:val="24"/>
        </w:rPr>
      </w:pPr>
      <w:r>
        <w:rPr>
          <w:rFonts w:ascii="Times New Roman" w:hAnsi="Times New Roman"/>
          <w:b/>
          <w:szCs w:val="24"/>
        </w:rPr>
        <w:t>Q:</w:t>
      </w:r>
      <w:r w:rsidR="00BE6DB3" w:rsidRPr="00D813D7">
        <w:rPr>
          <w:rFonts w:ascii="Times New Roman" w:hAnsi="Times New Roman"/>
          <w:b/>
          <w:szCs w:val="24"/>
        </w:rPr>
        <w:tab/>
      </w:r>
      <w:r w:rsidR="00F178B3" w:rsidRPr="00D813D7">
        <w:rPr>
          <w:rFonts w:ascii="Times New Roman" w:hAnsi="Times New Roman"/>
          <w:b/>
          <w:szCs w:val="24"/>
        </w:rPr>
        <w:t>Have utility stranded costs been recognized as an issue for utilities within Washington State</w:t>
      </w:r>
      <w:r w:rsidR="00BE6DB3" w:rsidRPr="00D813D7">
        <w:rPr>
          <w:rFonts w:ascii="Times New Roman" w:hAnsi="Times New Roman"/>
          <w:b/>
          <w:szCs w:val="24"/>
        </w:rPr>
        <w:t>?</w:t>
      </w:r>
    </w:p>
    <w:p w:rsidR="006E3B35" w:rsidRDefault="00AE1DB5" w:rsidP="00DB49B3">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BE6DB3" w:rsidRPr="00D813D7">
        <w:rPr>
          <w:rFonts w:ascii="Times New Roman" w:hAnsi="Times New Roman"/>
          <w:sz w:val="24"/>
          <w:szCs w:val="24"/>
        </w:rPr>
        <w:tab/>
      </w:r>
      <w:r w:rsidR="003272DB" w:rsidRPr="00D813D7">
        <w:rPr>
          <w:rFonts w:ascii="Times New Roman" w:hAnsi="Times New Roman"/>
          <w:sz w:val="24"/>
          <w:szCs w:val="24"/>
        </w:rPr>
        <w:t>T</w:t>
      </w:r>
      <w:r w:rsidR="00F178B3" w:rsidRPr="00D813D7">
        <w:rPr>
          <w:rFonts w:ascii="Times New Roman" w:hAnsi="Times New Roman"/>
          <w:sz w:val="24"/>
          <w:szCs w:val="24"/>
        </w:rPr>
        <w:t xml:space="preserve">he </w:t>
      </w:r>
      <w:r w:rsidR="00B90117" w:rsidRPr="00D813D7">
        <w:rPr>
          <w:rFonts w:ascii="Times New Roman" w:hAnsi="Times New Roman"/>
          <w:sz w:val="24"/>
          <w:szCs w:val="24"/>
        </w:rPr>
        <w:t xml:space="preserve">Commission recognized </w:t>
      </w:r>
      <w:r w:rsidR="003272DB" w:rsidRPr="00D813D7">
        <w:rPr>
          <w:rFonts w:ascii="Times New Roman" w:hAnsi="Times New Roman"/>
          <w:sz w:val="24"/>
          <w:szCs w:val="24"/>
        </w:rPr>
        <w:t>the existence of stranded costs generally</w:t>
      </w:r>
      <w:r w:rsidR="00F178B3" w:rsidRPr="00D813D7">
        <w:rPr>
          <w:rFonts w:ascii="Times New Roman" w:hAnsi="Times New Roman"/>
          <w:sz w:val="24"/>
          <w:szCs w:val="24"/>
        </w:rPr>
        <w:t xml:space="preserve"> </w:t>
      </w:r>
      <w:r w:rsidR="009F4B60">
        <w:rPr>
          <w:rFonts w:ascii="Times New Roman" w:hAnsi="Times New Roman"/>
          <w:sz w:val="24"/>
          <w:szCs w:val="24"/>
        </w:rPr>
        <w:t>in Dockets UE</w:t>
      </w:r>
      <w:r w:rsidR="009F4B60">
        <w:rPr>
          <w:rFonts w:ascii="Times New Roman" w:hAnsi="Times New Roman"/>
          <w:sz w:val="24"/>
          <w:szCs w:val="24"/>
        </w:rPr>
        <w:noBreakHyphen/>
      </w:r>
      <w:r w:rsidR="00B90117" w:rsidRPr="00D813D7">
        <w:rPr>
          <w:rFonts w:ascii="Times New Roman" w:hAnsi="Times New Roman"/>
          <w:sz w:val="24"/>
          <w:szCs w:val="24"/>
        </w:rPr>
        <w:t>001952 and UE-00195</w:t>
      </w:r>
      <w:r w:rsidR="006E3B35">
        <w:rPr>
          <w:rFonts w:ascii="Times New Roman" w:hAnsi="Times New Roman"/>
          <w:sz w:val="24"/>
          <w:szCs w:val="24"/>
        </w:rPr>
        <w:t xml:space="preserve">9 (consolidated) when it stated: </w:t>
      </w:r>
    </w:p>
    <w:p w:rsidR="00F178B3" w:rsidRPr="00D813D7" w:rsidRDefault="00B90117" w:rsidP="006E3B35">
      <w:pPr>
        <w:widowControl w:val="0"/>
        <w:spacing w:line="240" w:lineRule="auto"/>
        <w:ind w:left="1440" w:right="720"/>
        <w:jc w:val="both"/>
        <w:rPr>
          <w:rFonts w:ascii="Times New Roman" w:hAnsi="Times New Roman"/>
          <w:sz w:val="24"/>
          <w:szCs w:val="24"/>
        </w:rPr>
      </w:pPr>
      <w:r w:rsidRPr="00D813D7">
        <w:rPr>
          <w:rFonts w:ascii="Times New Roman" w:hAnsi="Times New Roman"/>
          <w:sz w:val="24"/>
          <w:szCs w:val="24"/>
        </w:rPr>
        <w:t xml:space="preserve">[i]n general, the term refers to costs a company with a </w:t>
      </w:r>
      <w:r w:rsidRPr="00D813D7">
        <w:rPr>
          <w:rFonts w:ascii="Times New Roman" w:hAnsi="Times New Roman"/>
          <w:i/>
          <w:sz w:val="24"/>
          <w:szCs w:val="24"/>
        </w:rPr>
        <w:t>de jure</w:t>
      </w:r>
      <w:r w:rsidRPr="00D813D7">
        <w:rPr>
          <w:rFonts w:ascii="Times New Roman" w:hAnsi="Times New Roman"/>
          <w:sz w:val="24"/>
          <w:szCs w:val="24"/>
        </w:rPr>
        <w:t xml:space="preserve"> or </w:t>
      </w:r>
      <w:r w:rsidRPr="00D813D7">
        <w:rPr>
          <w:rFonts w:ascii="Times New Roman" w:hAnsi="Times New Roman"/>
          <w:i/>
          <w:sz w:val="24"/>
          <w:szCs w:val="24"/>
        </w:rPr>
        <w:t>de facto</w:t>
      </w:r>
      <w:r w:rsidRPr="00D813D7">
        <w:rPr>
          <w:rFonts w:ascii="Times New Roman" w:hAnsi="Times New Roman"/>
          <w:sz w:val="24"/>
          <w:szCs w:val="24"/>
        </w:rPr>
        <w:t xml:space="preserve"> monopoly in a particular service territory prudently incurs and is ordinarily allowed to recover under traditional forms of utility regulation, but that may become unrecoverable if the industry is deregulated so that the utility’s historic customers are given access to competitive markets.</w:t>
      </w:r>
      <w:r w:rsidRPr="00D813D7">
        <w:rPr>
          <w:rStyle w:val="FootnoteReference"/>
          <w:rFonts w:ascii="Times New Roman" w:hAnsi="Times New Roman"/>
          <w:sz w:val="24"/>
          <w:szCs w:val="24"/>
        </w:rPr>
        <w:footnoteReference w:id="29"/>
      </w:r>
      <w:r w:rsidR="00790224" w:rsidRPr="00D813D7">
        <w:rPr>
          <w:rFonts w:ascii="Times New Roman" w:hAnsi="Times New Roman"/>
          <w:sz w:val="24"/>
          <w:szCs w:val="24"/>
        </w:rPr>
        <w:t xml:space="preserve"> </w:t>
      </w:r>
      <w:r w:rsidR="003272DB" w:rsidRPr="00D813D7">
        <w:rPr>
          <w:rFonts w:ascii="Times New Roman" w:hAnsi="Times New Roman"/>
          <w:sz w:val="24"/>
          <w:szCs w:val="24"/>
        </w:rPr>
        <w:t xml:space="preserve"> </w:t>
      </w:r>
    </w:p>
    <w:p w:rsidR="00DD1775" w:rsidRPr="00027D57" w:rsidRDefault="003272DB" w:rsidP="00027D57">
      <w:pPr>
        <w:widowControl w:val="0"/>
        <w:spacing w:after="0" w:line="480" w:lineRule="auto"/>
        <w:ind w:left="720"/>
        <w:rPr>
          <w:rFonts w:ascii="Times New Roman" w:hAnsi="Times New Roman"/>
          <w:sz w:val="24"/>
          <w:szCs w:val="24"/>
        </w:rPr>
      </w:pPr>
      <w:r w:rsidRPr="00D813D7">
        <w:rPr>
          <w:rFonts w:ascii="Times New Roman" w:hAnsi="Times New Roman"/>
          <w:sz w:val="24"/>
          <w:szCs w:val="24"/>
        </w:rPr>
        <w:t xml:space="preserve">The </w:t>
      </w:r>
      <w:r w:rsidR="0035107F" w:rsidRPr="00D813D7">
        <w:rPr>
          <w:rFonts w:ascii="Times New Roman" w:hAnsi="Times New Roman"/>
          <w:sz w:val="24"/>
          <w:szCs w:val="24"/>
        </w:rPr>
        <w:t xml:space="preserve">current </w:t>
      </w:r>
      <w:r w:rsidRPr="00D813D7">
        <w:rPr>
          <w:rFonts w:ascii="Times New Roman" w:hAnsi="Times New Roman"/>
          <w:sz w:val="24"/>
          <w:szCs w:val="24"/>
        </w:rPr>
        <w:t>filing is an example of stranded costs arising in the absence of a franchise agreement between Pacific Power and the counties of Columbia and Walla Walla</w:t>
      </w:r>
      <w:r w:rsidRPr="009A60CC">
        <w:rPr>
          <w:rFonts w:ascii="Times New Roman" w:hAnsi="Times New Roman"/>
          <w:sz w:val="24"/>
          <w:szCs w:val="24"/>
        </w:rPr>
        <w:t>.</w:t>
      </w:r>
      <w:r w:rsidR="00790224" w:rsidRPr="009A60CC">
        <w:rPr>
          <w:rFonts w:ascii="Times New Roman" w:hAnsi="Times New Roman"/>
          <w:sz w:val="24"/>
          <w:szCs w:val="24"/>
        </w:rPr>
        <w:t xml:space="preserve"> </w:t>
      </w:r>
      <w:r w:rsidR="00027D57" w:rsidRPr="00C822C8">
        <w:rPr>
          <w:rFonts w:ascii="Times New Roman" w:hAnsi="Times New Roman"/>
          <w:sz w:val="24"/>
          <w:szCs w:val="24"/>
        </w:rPr>
        <w:t xml:space="preserve"> </w:t>
      </w:r>
      <w:r w:rsidR="0035107F" w:rsidRPr="009A60CC">
        <w:rPr>
          <w:rFonts w:ascii="Times New Roman" w:hAnsi="Times New Roman"/>
          <w:sz w:val="24"/>
          <w:szCs w:val="24"/>
        </w:rPr>
        <w:t xml:space="preserve">However, </w:t>
      </w:r>
      <w:r w:rsidRPr="009A60CC">
        <w:rPr>
          <w:rFonts w:ascii="Times New Roman" w:hAnsi="Times New Roman"/>
          <w:sz w:val="24"/>
          <w:szCs w:val="24"/>
        </w:rPr>
        <w:t>i</w:t>
      </w:r>
      <w:r w:rsidR="0035107F" w:rsidRPr="009A60CC">
        <w:rPr>
          <w:rFonts w:ascii="Times New Roman" w:hAnsi="Times New Roman"/>
          <w:sz w:val="24"/>
          <w:szCs w:val="24"/>
        </w:rPr>
        <w:t>t</w:t>
      </w:r>
      <w:r w:rsidRPr="00D813D7">
        <w:rPr>
          <w:rFonts w:ascii="Times New Roman" w:hAnsi="Times New Roman"/>
          <w:sz w:val="24"/>
          <w:szCs w:val="24"/>
        </w:rPr>
        <w:t xml:space="preserve"> also arises from </w:t>
      </w:r>
      <w:r w:rsidR="00653230" w:rsidRPr="00D813D7">
        <w:rPr>
          <w:rFonts w:ascii="Times New Roman" w:hAnsi="Times New Roman"/>
          <w:sz w:val="24"/>
          <w:szCs w:val="24"/>
        </w:rPr>
        <w:t xml:space="preserve">a different kind of </w:t>
      </w:r>
      <w:r w:rsidR="002B5DA0" w:rsidRPr="00D813D7">
        <w:rPr>
          <w:rFonts w:ascii="Times New Roman" w:hAnsi="Times New Roman"/>
          <w:sz w:val="24"/>
          <w:szCs w:val="24"/>
        </w:rPr>
        <w:t>“</w:t>
      </w:r>
      <w:r w:rsidR="00653230" w:rsidRPr="00D813D7">
        <w:rPr>
          <w:rFonts w:ascii="Times New Roman" w:hAnsi="Times New Roman"/>
          <w:sz w:val="24"/>
          <w:szCs w:val="24"/>
        </w:rPr>
        <w:t>stranded cost,</w:t>
      </w:r>
      <w:r w:rsidR="002B5DA0" w:rsidRPr="00D813D7">
        <w:rPr>
          <w:rFonts w:ascii="Times New Roman" w:hAnsi="Times New Roman"/>
          <w:sz w:val="24"/>
          <w:szCs w:val="24"/>
        </w:rPr>
        <w:t>”</w:t>
      </w:r>
      <w:r w:rsidR="00653230" w:rsidRPr="00D813D7">
        <w:rPr>
          <w:rFonts w:ascii="Times New Roman" w:hAnsi="Times New Roman"/>
          <w:sz w:val="24"/>
          <w:szCs w:val="24"/>
        </w:rPr>
        <w:t xml:space="preserve"> namely costs incurred to serve a</w:t>
      </w:r>
      <w:r w:rsidRPr="00D813D7">
        <w:rPr>
          <w:rFonts w:ascii="Times New Roman" w:hAnsi="Times New Roman"/>
          <w:sz w:val="24"/>
          <w:szCs w:val="24"/>
        </w:rPr>
        <w:t>n</w:t>
      </w:r>
      <w:r w:rsidR="00653230" w:rsidRPr="00D813D7">
        <w:rPr>
          <w:rFonts w:ascii="Times New Roman" w:hAnsi="Times New Roman"/>
          <w:sz w:val="24"/>
          <w:szCs w:val="24"/>
        </w:rPr>
        <w:t xml:space="preserve"> </w:t>
      </w:r>
      <w:r w:rsidRPr="00D813D7">
        <w:rPr>
          <w:rFonts w:ascii="Times New Roman" w:hAnsi="Times New Roman"/>
          <w:sz w:val="24"/>
          <w:szCs w:val="24"/>
        </w:rPr>
        <w:t xml:space="preserve">individual </w:t>
      </w:r>
      <w:r w:rsidR="00653230" w:rsidRPr="00D813D7">
        <w:rPr>
          <w:rFonts w:ascii="Times New Roman" w:hAnsi="Times New Roman"/>
          <w:sz w:val="24"/>
          <w:szCs w:val="24"/>
        </w:rPr>
        <w:t xml:space="preserve">customer that has left the system to take service from a </w:t>
      </w:r>
      <w:r w:rsidRPr="00D813D7">
        <w:rPr>
          <w:rFonts w:ascii="Times New Roman" w:hAnsi="Times New Roman"/>
          <w:sz w:val="24"/>
          <w:szCs w:val="24"/>
        </w:rPr>
        <w:t xml:space="preserve">neighboring </w:t>
      </w:r>
      <w:r w:rsidR="00653230" w:rsidRPr="00D813D7">
        <w:rPr>
          <w:rFonts w:ascii="Times New Roman" w:hAnsi="Times New Roman"/>
          <w:sz w:val="24"/>
          <w:szCs w:val="24"/>
        </w:rPr>
        <w:t xml:space="preserve">utility. </w:t>
      </w:r>
      <w:r w:rsidR="00027D57">
        <w:rPr>
          <w:rFonts w:ascii="Times New Roman" w:hAnsi="Times New Roman"/>
          <w:sz w:val="24"/>
          <w:szCs w:val="24"/>
        </w:rPr>
        <w:t xml:space="preserve"> </w:t>
      </w:r>
      <w:r w:rsidR="002B5DA0" w:rsidRPr="00D813D7">
        <w:rPr>
          <w:rFonts w:ascii="Times New Roman" w:hAnsi="Times New Roman"/>
          <w:sz w:val="24"/>
          <w:szCs w:val="24"/>
        </w:rPr>
        <w:t xml:space="preserve">This situation is </w:t>
      </w:r>
      <w:r w:rsidRPr="00D813D7">
        <w:rPr>
          <w:rFonts w:ascii="Times New Roman" w:hAnsi="Times New Roman"/>
          <w:sz w:val="24"/>
          <w:szCs w:val="24"/>
        </w:rPr>
        <w:t xml:space="preserve">relatively </w:t>
      </w:r>
      <w:r w:rsidR="002B5DA0" w:rsidRPr="00D813D7">
        <w:rPr>
          <w:rFonts w:ascii="Times New Roman" w:hAnsi="Times New Roman"/>
          <w:sz w:val="24"/>
          <w:szCs w:val="24"/>
        </w:rPr>
        <w:t>unusual in U</w:t>
      </w:r>
      <w:r w:rsidR="00027D57">
        <w:rPr>
          <w:rFonts w:ascii="Times New Roman" w:hAnsi="Times New Roman"/>
          <w:sz w:val="24"/>
          <w:szCs w:val="24"/>
        </w:rPr>
        <w:t>.</w:t>
      </w:r>
      <w:r w:rsidR="002B5DA0" w:rsidRPr="00D813D7">
        <w:rPr>
          <w:rFonts w:ascii="Times New Roman" w:hAnsi="Times New Roman"/>
          <w:sz w:val="24"/>
          <w:szCs w:val="24"/>
        </w:rPr>
        <w:t>S</w:t>
      </w:r>
      <w:r w:rsidR="00027D57">
        <w:rPr>
          <w:rFonts w:ascii="Times New Roman" w:hAnsi="Times New Roman"/>
          <w:sz w:val="24"/>
          <w:szCs w:val="24"/>
        </w:rPr>
        <w:t>.</w:t>
      </w:r>
      <w:r w:rsidR="002B5DA0" w:rsidRPr="00D813D7">
        <w:rPr>
          <w:rFonts w:ascii="Times New Roman" w:hAnsi="Times New Roman"/>
          <w:sz w:val="24"/>
          <w:szCs w:val="24"/>
        </w:rPr>
        <w:t xml:space="preserve"> electric markets because utilities typically have exclusive service territories by law</w:t>
      </w:r>
      <w:r w:rsidR="0035107F" w:rsidRPr="00D813D7">
        <w:rPr>
          <w:rFonts w:ascii="Times New Roman" w:hAnsi="Times New Roman"/>
          <w:sz w:val="24"/>
          <w:szCs w:val="24"/>
        </w:rPr>
        <w:t xml:space="preserve">.  </w:t>
      </w:r>
      <w:r w:rsidR="002B5DA0" w:rsidRPr="00D813D7">
        <w:rPr>
          <w:rFonts w:ascii="Times New Roman" w:hAnsi="Times New Roman"/>
          <w:sz w:val="24"/>
          <w:szCs w:val="24"/>
        </w:rPr>
        <w:t xml:space="preserve">Washington </w:t>
      </w:r>
      <w:r w:rsidR="008F2225" w:rsidRPr="00D813D7">
        <w:rPr>
          <w:rFonts w:ascii="Times New Roman" w:hAnsi="Times New Roman"/>
          <w:sz w:val="24"/>
          <w:szCs w:val="24"/>
        </w:rPr>
        <w:t>S</w:t>
      </w:r>
      <w:r w:rsidR="002B5DA0" w:rsidRPr="00D813D7">
        <w:rPr>
          <w:rFonts w:ascii="Times New Roman" w:hAnsi="Times New Roman"/>
          <w:sz w:val="24"/>
          <w:szCs w:val="24"/>
        </w:rPr>
        <w:t>tate does not.</w:t>
      </w:r>
      <w:r w:rsidR="00C50E45" w:rsidRPr="00D813D7">
        <w:rPr>
          <w:rFonts w:ascii="Times New Roman" w:hAnsi="Times New Roman"/>
          <w:sz w:val="24"/>
          <w:szCs w:val="24"/>
        </w:rPr>
        <w:t xml:space="preserve"> </w:t>
      </w:r>
    </w:p>
    <w:p w:rsidR="00C96C3F" w:rsidRPr="00D813D7" w:rsidRDefault="00027D57" w:rsidP="002B5DA0">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2B5DA0" w:rsidRPr="00D813D7">
        <w:rPr>
          <w:rFonts w:ascii="Times New Roman" w:hAnsi="Times New Roman"/>
          <w:b/>
          <w:sz w:val="24"/>
          <w:szCs w:val="24"/>
        </w:rPr>
        <w:tab/>
      </w:r>
      <w:r w:rsidR="00970DAF" w:rsidRPr="00D813D7">
        <w:rPr>
          <w:rFonts w:ascii="Times New Roman" w:hAnsi="Times New Roman"/>
          <w:b/>
          <w:sz w:val="24"/>
          <w:szCs w:val="24"/>
        </w:rPr>
        <w:t>As a general matter, h</w:t>
      </w:r>
      <w:r w:rsidR="002B5DA0" w:rsidRPr="00D813D7">
        <w:rPr>
          <w:rFonts w:ascii="Times New Roman" w:hAnsi="Times New Roman"/>
          <w:b/>
          <w:sz w:val="24"/>
          <w:szCs w:val="24"/>
        </w:rPr>
        <w:t>ow are stranded costs quantified?</w:t>
      </w:r>
    </w:p>
    <w:p w:rsidR="002B5DA0" w:rsidRPr="00D813D7" w:rsidRDefault="00027D57" w:rsidP="000E2473">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B5DA0" w:rsidRPr="00D813D7">
        <w:rPr>
          <w:rFonts w:ascii="Times New Roman" w:hAnsi="Times New Roman"/>
          <w:sz w:val="24"/>
          <w:szCs w:val="24"/>
        </w:rPr>
        <w:tab/>
        <w:t>Quantifying the cost of a stranded asset is usually straightforward</w:t>
      </w:r>
      <w:r w:rsidR="00A15CE1" w:rsidRPr="00D813D7">
        <w:rPr>
          <w:rFonts w:ascii="Times New Roman" w:hAnsi="Times New Roman"/>
          <w:sz w:val="24"/>
          <w:szCs w:val="24"/>
        </w:rPr>
        <w:t>,</w:t>
      </w:r>
      <w:r w:rsidR="002B5DA0" w:rsidRPr="00D813D7">
        <w:rPr>
          <w:rFonts w:ascii="Times New Roman" w:hAnsi="Times New Roman"/>
          <w:sz w:val="24"/>
          <w:szCs w:val="24"/>
        </w:rPr>
        <w:t xml:space="preserve"> as a utility will have records of the </w:t>
      </w:r>
      <w:r w:rsidR="00546B4D" w:rsidRPr="00D813D7">
        <w:rPr>
          <w:rFonts w:ascii="Times New Roman" w:hAnsi="Times New Roman"/>
          <w:sz w:val="24"/>
          <w:szCs w:val="24"/>
        </w:rPr>
        <w:t xml:space="preserve">asset’s </w:t>
      </w:r>
      <w:r w:rsidR="002B5DA0" w:rsidRPr="00D813D7">
        <w:rPr>
          <w:rFonts w:ascii="Times New Roman" w:hAnsi="Times New Roman"/>
          <w:sz w:val="24"/>
          <w:szCs w:val="24"/>
        </w:rPr>
        <w:t xml:space="preserve">cost and </w:t>
      </w:r>
      <w:r w:rsidR="00A15CE1" w:rsidRPr="00D813D7">
        <w:rPr>
          <w:rFonts w:ascii="Times New Roman" w:hAnsi="Times New Roman"/>
          <w:sz w:val="24"/>
          <w:szCs w:val="24"/>
        </w:rPr>
        <w:t xml:space="preserve">resulting </w:t>
      </w:r>
      <w:r w:rsidR="00535905" w:rsidRPr="00D813D7">
        <w:rPr>
          <w:rFonts w:ascii="Times New Roman" w:hAnsi="Times New Roman"/>
          <w:sz w:val="24"/>
          <w:szCs w:val="24"/>
        </w:rPr>
        <w:t xml:space="preserve">net </w:t>
      </w:r>
      <w:r w:rsidR="00E73DF0" w:rsidRPr="00D813D7">
        <w:rPr>
          <w:rFonts w:ascii="Times New Roman" w:hAnsi="Times New Roman"/>
          <w:sz w:val="24"/>
          <w:szCs w:val="24"/>
        </w:rPr>
        <w:t>book value</w:t>
      </w:r>
      <w:r w:rsidR="002B5DA0" w:rsidRPr="00D813D7">
        <w:rPr>
          <w:rFonts w:ascii="Times New Roman" w:hAnsi="Times New Roman"/>
          <w:sz w:val="24"/>
          <w:szCs w:val="24"/>
        </w:rPr>
        <w:t xml:space="preserve"> to </w:t>
      </w:r>
      <w:r w:rsidR="0020248C" w:rsidRPr="00D813D7">
        <w:rPr>
          <w:rFonts w:ascii="Times New Roman" w:hAnsi="Times New Roman"/>
          <w:sz w:val="24"/>
          <w:szCs w:val="24"/>
        </w:rPr>
        <w:t xml:space="preserve">be </w:t>
      </w:r>
      <w:r w:rsidR="002B5DA0" w:rsidRPr="00D813D7">
        <w:rPr>
          <w:rFonts w:ascii="Times New Roman" w:hAnsi="Times New Roman"/>
          <w:sz w:val="24"/>
          <w:szCs w:val="24"/>
        </w:rPr>
        <w:t>recover</w:t>
      </w:r>
      <w:r w:rsidR="00546B4D" w:rsidRPr="00D813D7">
        <w:rPr>
          <w:rFonts w:ascii="Times New Roman" w:hAnsi="Times New Roman"/>
          <w:sz w:val="24"/>
          <w:szCs w:val="24"/>
        </w:rPr>
        <w:t>ed</w:t>
      </w:r>
      <w:r w:rsidR="002B5DA0" w:rsidRPr="00D813D7">
        <w:rPr>
          <w:rFonts w:ascii="Times New Roman" w:hAnsi="Times New Roman"/>
          <w:sz w:val="24"/>
          <w:szCs w:val="24"/>
        </w:rPr>
        <w:t>.</w:t>
      </w:r>
      <w:r w:rsidR="00A2471F" w:rsidRPr="00D813D7">
        <w:rPr>
          <w:rFonts w:ascii="Times New Roman" w:hAnsi="Times New Roman"/>
          <w:sz w:val="24"/>
          <w:szCs w:val="24"/>
        </w:rPr>
        <w:t xml:space="preserve"> </w:t>
      </w:r>
      <w:r w:rsidR="001C4C11">
        <w:rPr>
          <w:rFonts w:ascii="Times New Roman" w:hAnsi="Times New Roman"/>
          <w:sz w:val="24"/>
          <w:szCs w:val="24"/>
        </w:rPr>
        <w:t xml:space="preserve"> </w:t>
      </w:r>
      <w:r w:rsidR="00A2471F" w:rsidRPr="00D813D7">
        <w:rPr>
          <w:rFonts w:ascii="Times New Roman" w:hAnsi="Times New Roman"/>
          <w:sz w:val="24"/>
          <w:szCs w:val="24"/>
        </w:rPr>
        <w:t xml:space="preserve">However, quantifying </w:t>
      </w:r>
      <w:r w:rsidR="00546B4D" w:rsidRPr="00D813D7">
        <w:rPr>
          <w:rFonts w:ascii="Times New Roman" w:hAnsi="Times New Roman"/>
          <w:sz w:val="24"/>
          <w:szCs w:val="24"/>
        </w:rPr>
        <w:t xml:space="preserve">an asset’s </w:t>
      </w:r>
      <w:r w:rsidR="002B5DA0" w:rsidRPr="00D813D7">
        <w:rPr>
          <w:rFonts w:ascii="Times New Roman" w:hAnsi="Times New Roman"/>
          <w:sz w:val="24"/>
          <w:szCs w:val="24"/>
        </w:rPr>
        <w:t xml:space="preserve">stranded costs </w:t>
      </w:r>
      <w:r w:rsidR="00546B4D" w:rsidRPr="00D813D7">
        <w:rPr>
          <w:rFonts w:ascii="Times New Roman" w:hAnsi="Times New Roman"/>
          <w:sz w:val="24"/>
          <w:szCs w:val="24"/>
        </w:rPr>
        <w:t xml:space="preserve">which are </w:t>
      </w:r>
      <w:r w:rsidR="002B5DA0" w:rsidRPr="00D813D7">
        <w:rPr>
          <w:rFonts w:ascii="Times New Roman" w:hAnsi="Times New Roman"/>
          <w:sz w:val="24"/>
          <w:szCs w:val="24"/>
        </w:rPr>
        <w:t xml:space="preserve">impacted by restructuring is more </w:t>
      </w:r>
      <w:r w:rsidR="002B5DA0" w:rsidRPr="00D813D7">
        <w:rPr>
          <w:rFonts w:ascii="Times New Roman" w:hAnsi="Times New Roman"/>
          <w:sz w:val="24"/>
          <w:szCs w:val="24"/>
        </w:rPr>
        <w:lastRenderedPageBreak/>
        <w:t xml:space="preserve">complicated. </w:t>
      </w:r>
      <w:r w:rsidR="001C4C11">
        <w:rPr>
          <w:rFonts w:ascii="Times New Roman" w:hAnsi="Times New Roman"/>
          <w:sz w:val="24"/>
          <w:szCs w:val="24"/>
        </w:rPr>
        <w:t xml:space="preserve"> </w:t>
      </w:r>
      <w:r w:rsidR="00A2471F" w:rsidRPr="00D813D7">
        <w:rPr>
          <w:rFonts w:ascii="Times New Roman" w:hAnsi="Times New Roman"/>
          <w:sz w:val="24"/>
          <w:szCs w:val="24"/>
        </w:rPr>
        <w:t xml:space="preserve">Under restructuring, </w:t>
      </w:r>
      <w:r w:rsidR="002B5DA0" w:rsidRPr="00D813D7">
        <w:rPr>
          <w:rFonts w:ascii="Times New Roman" w:hAnsi="Times New Roman"/>
          <w:sz w:val="24"/>
          <w:szCs w:val="24"/>
        </w:rPr>
        <w:t xml:space="preserve">assets are still in use, </w:t>
      </w:r>
      <w:r w:rsidR="00A2471F" w:rsidRPr="00D813D7">
        <w:rPr>
          <w:rFonts w:ascii="Times New Roman" w:hAnsi="Times New Roman"/>
          <w:sz w:val="24"/>
          <w:szCs w:val="24"/>
        </w:rPr>
        <w:t xml:space="preserve">so </w:t>
      </w:r>
      <w:r w:rsidR="002B5DA0" w:rsidRPr="00D813D7">
        <w:rPr>
          <w:rFonts w:ascii="Times New Roman" w:hAnsi="Times New Roman"/>
          <w:sz w:val="24"/>
          <w:szCs w:val="24"/>
        </w:rPr>
        <w:t xml:space="preserve">the stranded cost is not the entire </w:t>
      </w:r>
      <w:r w:rsidR="00535905" w:rsidRPr="00D813D7">
        <w:rPr>
          <w:rFonts w:ascii="Times New Roman" w:hAnsi="Times New Roman"/>
          <w:sz w:val="24"/>
          <w:szCs w:val="24"/>
        </w:rPr>
        <w:t xml:space="preserve">net </w:t>
      </w:r>
      <w:r w:rsidR="004211F7" w:rsidRPr="00D813D7">
        <w:rPr>
          <w:rFonts w:ascii="Times New Roman" w:hAnsi="Times New Roman"/>
          <w:sz w:val="24"/>
          <w:szCs w:val="24"/>
        </w:rPr>
        <w:t>book value of any asset</w:t>
      </w:r>
      <w:r w:rsidR="002B5DA0" w:rsidRPr="00D813D7">
        <w:rPr>
          <w:rFonts w:ascii="Times New Roman" w:hAnsi="Times New Roman"/>
          <w:sz w:val="24"/>
          <w:szCs w:val="24"/>
        </w:rPr>
        <w:t xml:space="preserve">. </w:t>
      </w:r>
      <w:r w:rsidR="001C4C11">
        <w:rPr>
          <w:rFonts w:ascii="Times New Roman" w:hAnsi="Times New Roman"/>
          <w:sz w:val="24"/>
          <w:szCs w:val="24"/>
        </w:rPr>
        <w:t xml:space="preserve"> </w:t>
      </w:r>
      <w:r w:rsidR="004211F7" w:rsidRPr="00D813D7">
        <w:rPr>
          <w:rFonts w:ascii="Times New Roman" w:hAnsi="Times New Roman"/>
          <w:sz w:val="24"/>
          <w:szCs w:val="24"/>
        </w:rPr>
        <w:t xml:space="preserve">Instead, the stranded cost is equal to the </w:t>
      </w:r>
      <w:r w:rsidR="00535905" w:rsidRPr="00D813D7">
        <w:rPr>
          <w:rFonts w:ascii="Times New Roman" w:hAnsi="Times New Roman"/>
          <w:sz w:val="24"/>
          <w:szCs w:val="24"/>
        </w:rPr>
        <w:t xml:space="preserve">net </w:t>
      </w:r>
      <w:r w:rsidR="004211F7" w:rsidRPr="00D813D7">
        <w:rPr>
          <w:rFonts w:ascii="Times New Roman" w:hAnsi="Times New Roman"/>
          <w:sz w:val="24"/>
          <w:szCs w:val="24"/>
        </w:rPr>
        <w:t xml:space="preserve">book value minus the market value. </w:t>
      </w:r>
      <w:r w:rsidR="001C4C11">
        <w:rPr>
          <w:rFonts w:ascii="Times New Roman" w:hAnsi="Times New Roman"/>
          <w:sz w:val="24"/>
          <w:szCs w:val="24"/>
        </w:rPr>
        <w:t xml:space="preserve"> </w:t>
      </w:r>
      <w:r w:rsidR="004211F7" w:rsidRPr="00D813D7">
        <w:rPr>
          <w:rFonts w:ascii="Times New Roman" w:hAnsi="Times New Roman"/>
          <w:sz w:val="24"/>
          <w:szCs w:val="24"/>
        </w:rPr>
        <w:t xml:space="preserve">Quantifying an asset’s market value can be difficult. </w:t>
      </w:r>
      <w:r w:rsidR="001C4C11">
        <w:rPr>
          <w:rFonts w:ascii="Times New Roman" w:hAnsi="Times New Roman"/>
          <w:sz w:val="24"/>
          <w:szCs w:val="24"/>
        </w:rPr>
        <w:t xml:space="preserve"> </w:t>
      </w:r>
      <w:r w:rsidR="004211F7" w:rsidRPr="00D813D7">
        <w:rPr>
          <w:rFonts w:ascii="Times New Roman" w:hAnsi="Times New Roman"/>
          <w:sz w:val="24"/>
          <w:szCs w:val="24"/>
        </w:rPr>
        <w:t xml:space="preserve">Such a value depends on the market rules and competition from other </w:t>
      </w:r>
      <w:r w:rsidR="00C50E45" w:rsidRPr="00D813D7">
        <w:rPr>
          <w:rFonts w:ascii="Times New Roman" w:hAnsi="Times New Roman"/>
          <w:sz w:val="24"/>
          <w:szCs w:val="24"/>
        </w:rPr>
        <w:t>market participant</w:t>
      </w:r>
      <w:r w:rsidR="004211F7" w:rsidRPr="00D813D7">
        <w:rPr>
          <w:rFonts w:ascii="Times New Roman" w:hAnsi="Times New Roman"/>
          <w:sz w:val="24"/>
          <w:szCs w:val="24"/>
        </w:rPr>
        <w:t xml:space="preserve">s. </w:t>
      </w:r>
      <w:r w:rsidR="001C4C11">
        <w:rPr>
          <w:rFonts w:ascii="Times New Roman" w:hAnsi="Times New Roman"/>
          <w:sz w:val="24"/>
          <w:szCs w:val="24"/>
        </w:rPr>
        <w:t xml:space="preserve"> </w:t>
      </w:r>
      <w:r w:rsidR="004211F7" w:rsidRPr="00D813D7">
        <w:rPr>
          <w:rFonts w:ascii="Times New Roman" w:hAnsi="Times New Roman"/>
          <w:sz w:val="24"/>
          <w:szCs w:val="24"/>
        </w:rPr>
        <w:t>In some jurisdictions, utilities divested assets to help quantify stranded costs for purposes of cost recovery</w:t>
      </w:r>
      <w:r w:rsidR="00C50E45" w:rsidRPr="00D813D7">
        <w:rPr>
          <w:rFonts w:ascii="Times New Roman" w:hAnsi="Times New Roman"/>
          <w:sz w:val="24"/>
          <w:szCs w:val="24"/>
        </w:rPr>
        <w:t xml:space="preserve"> after restructuring</w:t>
      </w:r>
      <w:r w:rsidR="004211F7" w:rsidRPr="00D813D7">
        <w:rPr>
          <w:rFonts w:ascii="Times New Roman" w:hAnsi="Times New Roman"/>
          <w:sz w:val="24"/>
          <w:szCs w:val="24"/>
        </w:rPr>
        <w:t>.</w:t>
      </w:r>
      <w:r w:rsidR="00C50E45" w:rsidRPr="00D813D7">
        <w:rPr>
          <w:rStyle w:val="FootnoteReference"/>
          <w:rFonts w:ascii="Times New Roman" w:hAnsi="Times New Roman"/>
          <w:sz w:val="24"/>
          <w:szCs w:val="24"/>
        </w:rPr>
        <w:footnoteReference w:id="30"/>
      </w:r>
      <w:r w:rsidR="004211F7" w:rsidRPr="00D813D7">
        <w:rPr>
          <w:rFonts w:ascii="Times New Roman" w:hAnsi="Times New Roman"/>
          <w:sz w:val="24"/>
          <w:szCs w:val="24"/>
        </w:rPr>
        <w:t xml:space="preserve"> </w:t>
      </w:r>
      <w:r w:rsidR="001C4C11">
        <w:rPr>
          <w:rFonts w:ascii="Times New Roman" w:hAnsi="Times New Roman"/>
          <w:sz w:val="24"/>
          <w:szCs w:val="24"/>
        </w:rPr>
        <w:t xml:space="preserve"> </w:t>
      </w:r>
      <w:r w:rsidR="004211F7" w:rsidRPr="00D813D7">
        <w:rPr>
          <w:rFonts w:ascii="Times New Roman" w:hAnsi="Times New Roman"/>
          <w:sz w:val="24"/>
          <w:szCs w:val="24"/>
        </w:rPr>
        <w:t>The divestiture would result in a sale price to serve as the market value of the asset.</w:t>
      </w:r>
    </w:p>
    <w:p w:rsidR="009E19B4" w:rsidRPr="00CA0293" w:rsidRDefault="001C4C11" w:rsidP="00CA0293">
      <w:pPr>
        <w:widowControl w:val="0"/>
        <w:spacing w:after="0" w:line="480" w:lineRule="auto"/>
        <w:ind w:left="720"/>
        <w:rPr>
          <w:rFonts w:ascii="Times New Roman" w:hAnsi="Times New Roman"/>
          <w:sz w:val="24"/>
          <w:szCs w:val="24"/>
        </w:rPr>
      </w:pPr>
      <w:r>
        <w:rPr>
          <w:rFonts w:ascii="Times New Roman" w:hAnsi="Times New Roman"/>
          <w:sz w:val="24"/>
          <w:szCs w:val="24"/>
        </w:rPr>
        <w:tab/>
      </w:r>
      <w:r w:rsidR="004211F7" w:rsidRPr="00D813D7">
        <w:rPr>
          <w:rFonts w:ascii="Times New Roman" w:hAnsi="Times New Roman"/>
          <w:sz w:val="24"/>
          <w:szCs w:val="24"/>
        </w:rPr>
        <w:t>For stranded costs in cases such as this, when there are no specific stranded assets being retired or assets being sold,</w:t>
      </w:r>
      <w:r w:rsidR="00C50E45" w:rsidRPr="00D813D7">
        <w:rPr>
          <w:rStyle w:val="FootnoteReference"/>
          <w:rFonts w:ascii="Times New Roman" w:hAnsi="Times New Roman"/>
          <w:sz w:val="24"/>
          <w:szCs w:val="24"/>
        </w:rPr>
        <w:footnoteReference w:id="31"/>
      </w:r>
      <w:r w:rsidR="004211F7" w:rsidRPr="00D813D7">
        <w:rPr>
          <w:rFonts w:ascii="Times New Roman" w:hAnsi="Times New Roman"/>
          <w:sz w:val="24"/>
          <w:szCs w:val="24"/>
        </w:rPr>
        <w:t xml:space="preserve"> quantifying stranded costs is very difficult.</w:t>
      </w:r>
      <w:r w:rsidR="00E73DF0" w:rsidRPr="00D813D7">
        <w:rPr>
          <w:rFonts w:ascii="Times New Roman" w:hAnsi="Times New Roman"/>
          <w:sz w:val="24"/>
          <w:szCs w:val="24"/>
        </w:rPr>
        <w:t xml:space="preserve"> </w:t>
      </w:r>
      <w:r>
        <w:rPr>
          <w:rFonts w:ascii="Times New Roman" w:hAnsi="Times New Roman"/>
          <w:sz w:val="24"/>
          <w:szCs w:val="24"/>
        </w:rPr>
        <w:t xml:space="preserve"> </w:t>
      </w:r>
      <w:r w:rsidR="00E73DF0" w:rsidRPr="00D813D7">
        <w:rPr>
          <w:rFonts w:ascii="Times New Roman" w:hAnsi="Times New Roman"/>
          <w:sz w:val="24"/>
          <w:szCs w:val="24"/>
        </w:rPr>
        <w:t>The utility must quantify the fixed costs of serving the departing customer and net out any additional market revenues that may contribute to recovering such fixed costs.</w:t>
      </w:r>
      <w:r w:rsidR="00C50E45" w:rsidRPr="00D813D7">
        <w:rPr>
          <w:rFonts w:ascii="Times New Roman" w:hAnsi="Times New Roman"/>
          <w:sz w:val="24"/>
          <w:szCs w:val="24"/>
        </w:rPr>
        <w:t xml:space="preserve"> </w:t>
      </w:r>
      <w:r>
        <w:rPr>
          <w:rFonts w:ascii="Times New Roman" w:hAnsi="Times New Roman"/>
          <w:sz w:val="24"/>
          <w:szCs w:val="24"/>
        </w:rPr>
        <w:t xml:space="preserve"> </w:t>
      </w:r>
      <w:r w:rsidR="000E6A1C" w:rsidRPr="00D813D7">
        <w:rPr>
          <w:rFonts w:ascii="Times New Roman" w:hAnsi="Times New Roman"/>
          <w:sz w:val="24"/>
          <w:szCs w:val="24"/>
        </w:rPr>
        <w:t xml:space="preserve">Identifying fixed costs attributable to any one customer </w:t>
      </w:r>
      <w:r>
        <w:rPr>
          <w:rFonts w:ascii="Times New Roman" w:hAnsi="Times New Roman"/>
          <w:sz w:val="24"/>
          <w:szCs w:val="24"/>
        </w:rPr>
        <w:t>is complicated given the highly</w:t>
      </w:r>
      <w:r>
        <w:rPr>
          <w:rFonts w:ascii="Times New Roman" w:hAnsi="Times New Roman"/>
          <w:sz w:val="24"/>
          <w:szCs w:val="24"/>
        </w:rPr>
        <w:noBreakHyphen/>
      </w:r>
      <w:r w:rsidR="000E6A1C" w:rsidRPr="00D813D7">
        <w:rPr>
          <w:rFonts w:ascii="Times New Roman" w:hAnsi="Times New Roman"/>
          <w:sz w:val="24"/>
          <w:szCs w:val="24"/>
        </w:rPr>
        <w:t xml:space="preserve">networked nature of utility electric service. </w:t>
      </w:r>
      <w:r>
        <w:rPr>
          <w:rFonts w:ascii="Times New Roman" w:hAnsi="Times New Roman"/>
          <w:sz w:val="24"/>
          <w:szCs w:val="24"/>
        </w:rPr>
        <w:t xml:space="preserve"> </w:t>
      </w:r>
      <w:r w:rsidR="00A15CE1" w:rsidRPr="00D813D7">
        <w:rPr>
          <w:rFonts w:ascii="Times New Roman" w:hAnsi="Times New Roman"/>
          <w:sz w:val="24"/>
          <w:szCs w:val="24"/>
        </w:rPr>
        <w:t>The p</w:t>
      </w:r>
      <w:r w:rsidR="000E6A1C" w:rsidRPr="00D813D7">
        <w:rPr>
          <w:rFonts w:ascii="Times New Roman" w:hAnsi="Times New Roman"/>
          <w:sz w:val="24"/>
          <w:szCs w:val="24"/>
        </w:rPr>
        <w:t>otential</w:t>
      </w:r>
      <w:r w:rsidR="00A15CE1" w:rsidRPr="00D813D7">
        <w:rPr>
          <w:rFonts w:ascii="Times New Roman" w:hAnsi="Times New Roman"/>
          <w:sz w:val="24"/>
          <w:szCs w:val="24"/>
        </w:rPr>
        <w:t xml:space="preserve"> for additional</w:t>
      </w:r>
      <w:r w:rsidR="000E6A1C" w:rsidRPr="00D813D7">
        <w:rPr>
          <w:rFonts w:ascii="Times New Roman" w:hAnsi="Times New Roman"/>
          <w:sz w:val="24"/>
          <w:szCs w:val="24"/>
        </w:rPr>
        <w:t xml:space="preserve"> market revenues also varies depending on market conditions</w:t>
      </w:r>
      <w:r w:rsidR="00A15CE1" w:rsidRPr="00D813D7">
        <w:rPr>
          <w:rFonts w:ascii="Times New Roman" w:hAnsi="Times New Roman"/>
          <w:sz w:val="24"/>
          <w:szCs w:val="24"/>
        </w:rPr>
        <w:t>,</w:t>
      </w:r>
      <w:r w:rsidR="000E6A1C" w:rsidRPr="00D813D7">
        <w:rPr>
          <w:rFonts w:ascii="Times New Roman" w:hAnsi="Times New Roman"/>
          <w:sz w:val="24"/>
          <w:szCs w:val="24"/>
        </w:rPr>
        <w:t xml:space="preserve"> which are uncertain. </w:t>
      </w:r>
      <w:r>
        <w:rPr>
          <w:rFonts w:ascii="Times New Roman" w:hAnsi="Times New Roman"/>
          <w:sz w:val="24"/>
          <w:szCs w:val="24"/>
        </w:rPr>
        <w:t xml:space="preserve"> </w:t>
      </w:r>
      <w:r w:rsidR="000E6A1C" w:rsidRPr="00D813D7">
        <w:rPr>
          <w:rFonts w:ascii="Times New Roman" w:hAnsi="Times New Roman"/>
          <w:sz w:val="24"/>
          <w:szCs w:val="24"/>
        </w:rPr>
        <w:t>I discuss</w:t>
      </w:r>
      <w:r w:rsidR="00970DAF" w:rsidRPr="00D813D7">
        <w:rPr>
          <w:rFonts w:ascii="Times New Roman" w:hAnsi="Times New Roman"/>
          <w:sz w:val="24"/>
          <w:szCs w:val="24"/>
        </w:rPr>
        <w:t xml:space="preserve"> these issues in</w:t>
      </w:r>
      <w:r w:rsidR="000E6A1C" w:rsidRPr="00D813D7">
        <w:rPr>
          <w:rFonts w:ascii="Times New Roman" w:hAnsi="Times New Roman"/>
          <w:sz w:val="24"/>
          <w:szCs w:val="24"/>
        </w:rPr>
        <w:t xml:space="preserve"> more detail below.</w:t>
      </w:r>
    </w:p>
    <w:p w:rsidR="000E6A1C" w:rsidRPr="00D813D7" w:rsidRDefault="000E6A1C" w:rsidP="00C211DA">
      <w:pPr>
        <w:pStyle w:val="Heading2"/>
      </w:pPr>
      <w:bookmarkStart w:id="13" w:name="_Toc479329366"/>
      <w:bookmarkStart w:id="14" w:name="_Toc480530022"/>
      <w:r w:rsidRPr="00D813D7">
        <w:t>Determining Fixed Costs</w:t>
      </w:r>
      <w:bookmarkEnd w:id="13"/>
      <w:r w:rsidR="00C211DA">
        <w:t>.</w:t>
      </w:r>
      <w:bookmarkEnd w:id="14"/>
      <w:r w:rsidR="00C211DA">
        <w:t xml:space="preserve"> </w:t>
      </w:r>
    </w:p>
    <w:p w:rsidR="000E6A1C" w:rsidRPr="00D813D7" w:rsidRDefault="00C211DA" w:rsidP="000E6A1C">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A15CE1" w:rsidRPr="00D813D7">
        <w:rPr>
          <w:rFonts w:ascii="Times New Roman" w:hAnsi="Times New Roman"/>
          <w:b/>
          <w:sz w:val="24"/>
          <w:szCs w:val="24"/>
        </w:rPr>
        <w:tab/>
        <w:t>How does a utility determine the fixed costs of serving a particular customer?</w:t>
      </w:r>
    </w:p>
    <w:p w:rsidR="00A15CE1" w:rsidRPr="00D813D7" w:rsidRDefault="00C211DA" w:rsidP="000E6A1C">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A15CE1" w:rsidRPr="00D813D7">
        <w:rPr>
          <w:rFonts w:ascii="Times New Roman" w:hAnsi="Times New Roman"/>
          <w:sz w:val="24"/>
          <w:szCs w:val="24"/>
        </w:rPr>
        <w:tab/>
        <w:t xml:space="preserve">There is no one generally accepted way to estimate fixed costs of serving a </w:t>
      </w:r>
      <w:r w:rsidR="002E258B" w:rsidRPr="00D813D7">
        <w:rPr>
          <w:rFonts w:ascii="Times New Roman" w:hAnsi="Times New Roman"/>
          <w:sz w:val="24"/>
          <w:szCs w:val="24"/>
        </w:rPr>
        <w:t xml:space="preserve">specific </w:t>
      </w:r>
      <w:r w:rsidR="00A15CE1" w:rsidRPr="00D813D7">
        <w:rPr>
          <w:rFonts w:ascii="Times New Roman" w:hAnsi="Times New Roman"/>
          <w:sz w:val="24"/>
          <w:szCs w:val="24"/>
        </w:rPr>
        <w:t xml:space="preserve">customer. </w:t>
      </w:r>
      <w:r w:rsidR="00A9763D">
        <w:rPr>
          <w:rFonts w:ascii="Times New Roman" w:hAnsi="Times New Roman"/>
          <w:sz w:val="24"/>
          <w:szCs w:val="24"/>
        </w:rPr>
        <w:t xml:space="preserve"> </w:t>
      </w:r>
      <w:r w:rsidR="00A15CE1" w:rsidRPr="00D813D7">
        <w:rPr>
          <w:rFonts w:ascii="Times New Roman" w:hAnsi="Times New Roman"/>
          <w:sz w:val="24"/>
          <w:szCs w:val="24"/>
        </w:rPr>
        <w:t xml:space="preserve">Nonetheless, here are some </w:t>
      </w:r>
      <w:r w:rsidR="005D6FD2" w:rsidRPr="00D813D7">
        <w:rPr>
          <w:rFonts w:ascii="Times New Roman" w:hAnsi="Times New Roman"/>
          <w:sz w:val="24"/>
          <w:szCs w:val="24"/>
        </w:rPr>
        <w:t xml:space="preserve">generally accepted </w:t>
      </w:r>
      <w:r w:rsidR="00A15CE1" w:rsidRPr="00D813D7">
        <w:rPr>
          <w:rFonts w:ascii="Times New Roman" w:hAnsi="Times New Roman"/>
          <w:sz w:val="24"/>
          <w:szCs w:val="24"/>
        </w:rPr>
        <w:t>approaches:</w:t>
      </w:r>
    </w:p>
    <w:p w:rsidR="00A15CE1" w:rsidRPr="00D813D7" w:rsidRDefault="00A94D58" w:rsidP="00A15CE1">
      <w:pPr>
        <w:pStyle w:val="ListParagraph"/>
        <w:widowControl w:val="0"/>
        <w:numPr>
          <w:ilvl w:val="0"/>
          <w:numId w:val="8"/>
        </w:numPr>
        <w:spacing w:after="0" w:line="480" w:lineRule="auto"/>
        <w:ind w:left="1440"/>
        <w:rPr>
          <w:rFonts w:ascii="Times New Roman" w:hAnsi="Times New Roman"/>
          <w:sz w:val="24"/>
          <w:szCs w:val="24"/>
        </w:rPr>
      </w:pPr>
      <w:r w:rsidRPr="00D813D7">
        <w:rPr>
          <w:rFonts w:ascii="Times New Roman" w:hAnsi="Times New Roman"/>
          <w:b/>
          <w:sz w:val="24"/>
          <w:szCs w:val="24"/>
        </w:rPr>
        <w:t>Engineering a</w:t>
      </w:r>
      <w:r w:rsidR="00A15CE1" w:rsidRPr="00D813D7">
        <w:rPr>
          <w:rFonts w:ascii="Times New Roman" w:hAnsi="Times New Roman"/>
          <w:b/>
          <w:sz w:val="24"/>
          <w:szCs w:val="24"/>
        </w:rPr>
        <w:t>nalysis</w:t>
      </w:r>
      <w:r w:rsidR="00375F11" w:rsidRPr="00D813D7">
        <w:rPr>
          <w:rFonts w:ascii="Times New Roman" w:hAnsi="Times New Roman"/>
          <w:b/>
          <w:sz w:val="24"/>
          <w:szCs w:val="24"/>
        </w:rPr>
        <w:t xml:space="preserve">: </w:t>
      </w:r>
      <w:r w:rsidR="00A9763D">
        <w:rPr>
          <w:rFonts w:ascii="Times New Roman" w:hAnsi="Times New Roman"/>
          <w:b/>
          <w:sz w:val="24"/>
          <w:szCs w:val="24"/>
        </w:rPr>
        <w:t xml:space="preserve"> </w:t>
      </w:r>
      <w:r w:rsidR="007F17B8" w:rsidRPr="00D813D7">
        <w:rPr>
          <w:rFonts w:ascii="Times New Roman" w:hAnsi="Times New Roman"/>
          <w:sz w:val="24"/>
          <w:szCs w:val="24"/>
        </w:rPr>
        <w:t xml:space="preserve">A utility could perform an engineering analysis to assess what </w:t>
      </w:r>
      <w:r w:rsidR="00910F2B" w:rsidRPr="00D813D7">
        <w:rPr>
          <w:rFonts w:ascii="Times New Roman" w:hAnsi="Times New Roman"/>
          <w:sz w:val="24"/>
          <w:szCs w:val="24"/>
        </w:rPr>
        <w:t>specific assets are</w:t>
      </w:r>
      <w:r w:rsidR="007F17B8" w:rsidRPr="00D813D7">
        <w:rPr>
          <w:rFonts w:ascii="Times New Roman" w:hAnsi="Times New Roman"/>
          <w:sz w:val="24"/>
          <w:szCs w:val="24"/>
        </w:rPr>
        <w:t xml:space="preserve"> used to serve a customer</w:t>
      </w:r>
      <w:r w:rsidR="00C91BC8" w:rsidRPr="00D813D7">
        <w:rPr>
          <w:rFonts w:ascii="Times New Roman" w:hAnsi="Times New Roman"/>
          <w:sz w:val="24"/>
          <w:szCs w:val="24"/>
        </w:rPr>
        <w:t xml:space="preserve">. </w:t>
      </w:r>
      <w:r w:rsidR="00A9763D">
        <w:rPr>
          <w:rFonts w:ascii="Times New Roman" w:hAnsi="Times New Roman"/>
          <w:sz w:val="24"/>
          <w:szCs w:val="24"/>
        </w:rPr>
        <w:t xml:space="preserve"> </w:t>
      </w:r>
      <w:r w:rsidR="00C91BC8" w:rsidRPr="00D813D7">
        <w:rPr>
          <w:rFonts w:ascii="Times New Roman" w:hAnsi="Times New Roman"/>
          <w:sz w:val="24"/>
          <w:szCs w:val="24"/>
        </w:rPr>
        <w:t xml:space="preserve">This could involve utility planners </w:t>
      </w:r>
      <w:r w:rsidR="00C91BC8" w:rsidRPr="00D813D7">
        <w:rPr>
          <w:rFonts w:ascii="Times New Roman" w:hAnsi="Times New Roman"/>
          <w:sz w:val="24"/>
          <w:szCs w:val="24"/>
        </w:rPr>
        <w:lastRenderedPageBreak/>
        <w:t xml:space="preserve">assessing how they would change system design—such as the size of a substation—if a customer were no longer being served by the utility. </w:t>
      </w:r>
      <w:r w:rsidR="00A9763D">
        <w:rPr>
          <w:rFonts w:ascii="Times New Roman" w:hAnsi="Times New Roman"/>
          <w:sz w:val="24"/>
          <w:szCs w:val="24"/>
        </w:rPr>
        <w:t xml:space="preserve"> </w:t>
      </w:r>
      <w:r w:rsidR="007E0B27" w:rsidRPr="00D813D7">
        <w:rPr>
          <w:rFonts w:ascii="Times New Roman" w:hAnsi="Times New Roman"/>
          <w:sz w:val="24"/>
          <w:szCs w:val="24"/>
        </w:rPr>
        <w:t xml:space="preserve">Planners could run models to see how generation dispatch and system power flows through the transmission and distribution system would change as a result of a customer taking service from another utility. </w:t>
      </w:r>
      <w:r w:rsidR="00A9763D">
        <w:rPr>
          <w:rFonts w:ascii="Times New Roman" w:hAnsi="Times New Roman"/>
          <w:sz w:val="24"/>
          <w:szCs w:val="24"/>
        </w:rPr>
        <w:t xml:space="preserve"> </w:t>
      </w:r>
      <w:r w:rsidR="007E0B27" w:rsidRPr="00D813D7">
        <w:rPr>
          <w:rFonts w:ascii="Times New Roman" w:hAnsi="Times New Roman"/>
          <w:sz w:val="24"/>
          <w:szCs w:val="24"/>
        </w:rPr>
        <w:t xml:space="preserve">The </w:t>
      </w:r>
      <w:r w:rsidR="00535905" w:rsidRPr="00D813D7">
        <w:rPr>
          <w:rFonts w:ascii="Times New Roman" w:hAnsi="Times New Roman"/>
          <w:sz w:val="24"/>
          <w:szCs w:val="24"/>
        </w:rPr>
        <w:t xml:space="preserve">net </w:t>
      </w:r>
      <w:r w:rsidR="007E0B27" w:rsidRPr="00D813D7">
        <w:rPr>
          <w:rFonts w:ascii="Times New Roman" w:hAnsi="Times New Roman"/>
          <w:sz w:val="24"/>
          <w:szCs w:val="24"/>
        </w:rPr>
        <w:t xml:space="preserve">book value of the assets that changed </w:t>
      </w:r>
      <w:r w:rsidR="007E5EE4" w:rsidRPr="00D813D7">
        <w:rPr>
          <w:rFonts w:ascii="Times New Roman" w:hAnsi="Times New Roman"/>
          <w:sz w:val="24"/>
          <w:szCs w:val="24"/>
        </w:rPr>
        <w:t xml:space="preserve">in </w:t>
      </w:r>
      <w:r w:rsidR="007E0B27" w:rsidRPr="00D813D7">
        <w:rPr>
          <w:rFonts w:ascii="Times New Roman" w:hAnsi="Times New Roman"/>
          <w:sz w:val="24"/>
          <w:szCs w:val="24"/>
        </w:rPr>
        <w:t xml:space="preserve">their utilization could </w:t>
      </w:r>
      <w:r w:rsidR="007E5EE4" w:rsidRPr="00D813D7">
        <w:rPr>
          <w:rFonts w:ascii="Times New Roman" w:hAnsi="Times New Roman"/>
          <w:sz w:val="24"/>
          <w:szCs w:val="24"/>
        </w:rPr>
        <w:t xml:space="preserve">then theoretically </w:t>
      </w:r>
      <w:r w:rsidR="007E0B27" w:rsidRPr="00D813D7">
        <w:rPr>
          <w:rFonts w:ascii="Times New Roman" w:hAnsi="Times New Roman"/>
          <w:sz w:val="24"/>
          <w:szCs w:val="24"/>
        </w:rPr>
        <w:t>be allocated to the customer on a load ratio share basis as an estimate of fixed costs.</w:t>
      </w:r>
    </w:p>
    <w:p w:rsidR="00A15CE1" w:rsidRPr="00D813D7" w:rsidRDefault="00A94D58" w:rsidP="00A15CE1">
      <w:pPr>
        <w:pStyle w:val="ListParagraph"/>
        <w:widowControl w:val="0"/>
        <w:numPr>
          <w:ilvl w:val="0"/>
          <w:numId w:val="8"/>
        </w:numPr>
        <w:spacing w:after="0" w:line="480" w:lineRule="auto"/>
        <w:ind w:left="1440"/>
        <w:rPr>
          <w:rFonts w:ascii="Times New Roman" w:hAnsi="Times New Roman"/>
          <w:b/>
          <w:sz w:val="24"/>
          <w:szCs w:val="24"/>
        </w:rPr>
      </w:pPr>
      <w:r w:rsidRPr="00D813D7">
        <w:rPr>
          <w:rFonts w:ascii="Times New Roman" w:hAnsi="Times New Roman"/>
          <w:b/>
          <w:sz w:val="24"/>
          <w:szCs w:val="24"/>
        </w:rPr>
        <w:t>Direct categorization</w:t>
      </w:r>
      <w:r w:rsidR="00C91BC8" w:rsidRPr="00D813D7">
        <w:rPr>
          <w:rFonts w:ascii="Times New Roman" w:hAnsi="Times New Roman"/>
          <w:b/>
          <w:sz w:val="24"/>
          <w:szCs w:val="24"/>
        </w:rPr>
        <w:t xml:space="preserve">: </w:t>
      </w:r>
      <w:r w:rsidR="00A9763D">
        <w:rPr>
          <w:rFonts w:ascii="Times New Roman" w:hAnsi="Times New Roman"/>
          <w:b/>
          <w:sz w:val="24"/>
          <w:szCs w:val="24"/>
        </w:rPr>
        <w:t xml:space="preserve"> </w:t>
      </w:r>
      <w:r w:rsidR="00C91BC8" w:rsidRPr="00D813D7">
        <w:rPr>
          <w:rFonts w:ascii="Times New Roman" w:hAnsi="Times New Roman"/>
          <w:sz w:val="24"/>
          <w:szCs w:val="24"/>
        </w:rPr>
        <w:t xml:space="preserve">Under this method, a utility would analyze the COS for a particular customer or customer class and categorize all the costs </w:t>
      </w:r>
      <w:r w:rsidR="00910F2B" w:rsidRPr="00D813D7">
        <w:rPr>
          <w:rFonts w:ascii="Times New Roman" w:hAnsi="Times New Roman"/>
          <w:sz w:val="24"/>
          <w:szCs w:val="24"/>
        </w:rPr>
        <w:t xml:space="preserve">assigned or allocated to that customer or class </w:t>
      </w:r>
      <w:r w:rsidR="00C91BC8" w:rsidRPr="00D813D7">
        <w:rPr>
          <w:rFonts w:ascii="Times New Roman" w:hAnsi="Times New Roman"/>
          <w:sz w:val="24"/>
          <w:szCs w:val="24"/>
        </w:rPr>
        <w:t xml:space="preserve">as fixed or variable based on the type of cost incurred and expert judgement. </w:t>
      </w:r>
      <w:r w:rsidR="00A9763D">
        <w:rPr>
          <w:rFonts w:ascii="Times New Roman" w:hAnsi="Times New Roman"/>
          <w:sz w:val="24"/>
          <w:szCs w:val="24"/>
        </w:rPr>
        <w:t xml:space="preserve"> </w:t>
      </w:r>
      <w:r w:rsidR="00C91BC8" w:rsidRPr="00D813D7">
        <w:rPr>
          <w:rFonts w:ascii="Times New Roman" w:hAnsi="Times New Roman"/>
          <w:sz w:val="24"/>
          <w:szCs w:val="24"/>
        </w:rPr>
        <w:t>For instance, a fuel cost would be a variable cost, but depreciation would be a fixed cost.</w:t>
      </w:r>
    </w:p>
    <w:p w:rsidR="00A94D58" w:rsidRPr="00D813D7" w:rsidRDefault="00CD6FDC" w:rsidP="00A15CE1">
      <w:pPr>
        <w:pStyle w:val="ListParagraph"/>
        <w:widowControl w:val="0"/>
        <w:numPr>
          <w:ilvl w:val="0"/>
          <w:numId w:val="8"/>
        </w:numPr>
        <w:spacing w:after="0" w:line="480" w:lineRule="auto"/>
        <w:ind w:left="1440"/>
        <w:rPr>
          <w:rFonts w:ascii="Times New Roman" w:hAnsi="Times New Roman"/>
          <w:b/>
          <w:sz w:val="24"/>
          <w:szCs w:val="24"/>
        </w:rPr>
      </w:pPr>
      <w:r w:rsidRPr="00D813D7">
        <w:rPr>
          <w:rFonts w:ascii="Times New Roman" w:hAnsi="Times New Roman"/>
          <w:b/>
          <w:sz w:val="24"/>
          <w:szCs w:val="24"/>
        </w:rPr>
        <w:t xml:space="preserve">Planning &amp; </w:t>
      </w:r>
      <w:r w:rsidR="00A94D58" w:rsidRPr="00D813D7">
        <w:rPr>
          <w:rFonts w:ascii="Times New Roman" w:hAnsi="Times New Roman"/>
          <w:b/>
          <w:sz w:val="24"/>
          <w:szCs w:val="24"/>
        </w:rPr>
        <w:t>Financial models</w:t>
      </w:r>
      <w:r w:rsidRPr="00D813D7">
        <w:rPr>
          <w:rFonts w:ascii="Times New Roman" w:hAnsi="Times New Roman"/>
          <w:b/>
          <w:sz w:val="24"/>
          <w:szCs w:val="24"/>
        </w:rPr>
        <w:t xml:space="preserve">: </w:t>
      </w:r>
      <w:r w:rsidR="00A9763D">
        <w:rPr>
          <w:rFonts w:ascii="Times New Roman" w:hAnsi="Times New Roman"/>
          <w:b/>
          <w:sz w:val="24"/>
          <w:szCs w:val="24"/>
        </w:rPr>
        <w:t xml:space="preserve"> </w:t>
      </w:r>
      <w:r w:rsidRPr="00D813D7">
        <w:rPr>
          <w:rFonts w:ascii="Times New Roman" w:hAnsi="Times New Roman"/>
          <w:sz w:val="24"/>
          <w:szCs w:val="24"/>
        </w:rPr>
        <w:t xml:space="preserve">Planners could run models to </w:t>
      </w:r>
      <w:r w:rsidR="007E0B27" w:rsidRPr="00D813D7">
        <w:rPr>
          <w:rFonts w:ascii="Times New Roman" w:hAnsi="Times New Roman"/>
          <w:sz w:val="24"/>
          <w:szCs w:val="24"/>
        </w:rPr>
        <w:t>estimate total revenue requirements with and without the customer as part of the utility’s system.</w:t>
      </w:r>
      <w:r w:rsidR="000E5811" w:rsidRPr="00D813D7">
        <w:rPr>
          <w:rFonts w:ascii="Times New Roman" w:hAnsi="Times New Roman"/>
          <w:sz w:val="24"/>
          <w:szCs w:val="24"/>
        </w:rPr>
        <w:t xml:space="preserve"> </w:t>
      </w:r>
      <w:r w:rsidR="00A9763D">
        <w:rPr>
          <w:rFonts w:ascii="Times New Roman" w:hAnsi="Times New Roman"/>
          <w:sz w:val="24"/>
          <w:szCs w:val="24"/>
        </w:rPr>
        <w:t xml:space="preserve"> </w:t>
      </w:r>
      <w:r w:rsidR="000E5811" w:rsidRPr="00D813D7">
        <w:rPr>
          <w:rFonts w:ascii="Times New Roman" w:hAnsi="Times New Roman"/>
          <w:sz w:val="24"/>
          <w:szCs w:val="24"/>
        </w:rPr>
        <w:t>All costs not avoided by the customer’s departure would be considered fixed costs.</w:t>
      </w:r>
    </w:p>
    <w:p w:rsidR="008F2225" w:rsidRPr="00A9763D" w:rsidRDefault="00A94D58" w:rsidP="00A9763D">
      <w:pPr>
        <w:pStyle w:val="ListParagraph"/>
        <w:widowControl w:val="0"/>
        <w:numPr>
          <w:ilvl w:val="0"/>
          <w:numId w:val="8"/>
        </w:numPr>
        <w:spacing w:after="0" w:line="480" w:lineRule="auto"/>
        <w:ind w:left="1440"/>
        <w:rPr>
          <w:rFonts w:ascii="Times New Roman" w:hAnsi="Times New Roman"/>
          <w:sz w:val="24"/>
          <w:szCs w:val="24"/>
        </w:rPr>
      </w:pPr>
      <w:r w:rsidRPr="00D813D7">
        <w:rPr>
          <w:rFonts w:ascii="Times New Roman" w:hAnsi="Times New Roman"/>
          <w:b/>
          <w:sz w:val="24"/>
          <w:szCs w:val="24"/>
        </w:rPr>
        <w:t>Cost a</w:t>
      </w:r>
      <w:r w:rsidR="00A15CE1" w:rsidRPr="00D813D7">
        <w:rPr>
          <w:rFonts w:ascii="Times New Roman" w:hAnsi="Times New Roman"/>
          <w:b/>
          <w:sz w:val="24"/>
          <w:szCs w:val="24"/>
        </w:rPr>
        <w:t>llocation methods</w:t>
      </w:r>
      <w:r w:rsidR="00C91BC8" w:rsidRPr="00D813D7">
        <w:rPr>
          <w:rFonts w:ascii="Times New Roman" w:hAnsi="Times New Roman"/>
          <w:b/>
          <w:sz w:val="24"/>
          <w:szCs w:val="24"/>
        </w:rPr>
        <w:t>:</w:t>
      </w:r>
      <w:r w:rsidR="00C91BC8" w:rsidRPr="00D813D7">
        <w:rPr>
          <w:rFonts w:ascii="Times New Roman" w:hAnsi="Times New Roman"/>
          <w:sz w:val="24"/>
          <w:szCs w:val="24"/>
        </w:rPr>
        <w:t xml:space="preserve"> </w:t>
      </w:r>
      <w:r w:rsidR="00A9763D">
        <w:rPr>
          <w:rFonts w:ascii="Times New Roman" w:hAnsi="Times New Roman"/>
          <w:sz w:val="24"/>
          <w:szCs w:val="24"/>
        </w:rPr>
        <w:t xml:space="preserve"> </w:t>
      </w:r>
      <w:r w:rsidR="00CD6FDC" w:rsidRPr="00D813D7">
        <w:rPr>
          <w:rFonts w:ascii="Times New Roman" w:hAnsi="Times New Roman"/>
          <w:sz w:val="24"/>
          <w:szCs w:val="24"/>
        </w:rPr>
        <w:t>Utilities could categorize costs as fixed or variable based on how such costs are allocated to rate classes within its C</w:t>
      </w:r>
      <w:r w:rsidR="00A9763D">
        <w:rPr>
          <w:rFonts w:ascii="Times New Roman" w:hAnsi="Times New Roman"/>
          <w:sz w:val="24"/>
          <w:szCs w:val="24"/>
        </w:rPr>
        <w:t>OS</w:t>
      </w:r>
      <w:r w:rsidR="00BB76E8" w:rsidRPr="00D813D7">
        <w:rPr>
          <w:rFonts w:ascii="Times New Roman" w:hAnsi="Times New Roman"/>
          <w:sz w:val="24"/>
          <w:szCs w:val="24"/>
        </w:rPr>
        <w:t xml:space="preserve"> </w:t>
      </w:r>
      <w:r w:rsidR="00CD6FDC" w:rsidRPr="00D813D7">
        <w:rPr>
          <w:rFonts w:ascii="Times New Roman" w:hAnsi="Times New Roman"/>
          <w:sz w:val="24"/>
          <w:szCs w:val="24"/>
        </w:rPr>
        <w:t>model.</w:t>
      </w:r>
      <w:r w:rsidR="00C91BC8" w:rsidRPr="00D813D7">
        <w:rPr>
          <w:rFonts w:ascii="Times New Roman" w:hAnsi="Times New Roman"/>
          <w:sz w:val="24"/>
          <w:szCs w:val="24"/>
        </w:rPr>
        <w:t xml:space="preserve"> </w:t>
      </w:r>
      <w:r w:rsidR="00A9763D">
        <w:rPr>
          <w:rFonts w:ascii="Times New Roman" w:hAnsi="Times New Roman"/>
          <w:sz w:val="24"/>
          <w:szCs w:val="24"/>
        </w:rPr>
        <w:t xml:space="preserve"> </w:t>
      </w:r>
      <w:r w:rsidR="00CD6FDC" w:rsidRPr="00D813D7">
        <w:rPr>
          <w:rFonts w:ascii="Times New Roman" w:hAnsi="Times New Roman"/>
          <w:sz w:val="24"/>
          <w:szCs w:val="24"/>
        </w:rPr>
        <w:t>For instance, only costs allocated by demand or customer allocators could be considered fixed costs.</w:t>
      </w:r>
      <w:r w:rsidR="00BB76E8" w:rsidRPr="00D813D7">
        <w:rPr>
          <w:rFonts w:ascii="Times New Roman" w:hAnsi="Times New Roman"/>
          <w:sz w:val="24"/>
          <w:szCs w:val="24"/>
        </w:rPr>
        <w:t xml:space="preserve">  (Allocation by demand is consistent with the Peak Credit method discussed below.)</w:t>
      </w:r>
    </w:p>
    <w:p w:rsidR="00C91BC8" w:rsidRPr="00D813D7" w:rsidRDefault="00A9763D" w:rsidP="00A94D58">
      <w:pPr>
        <w:widowControl w:val="0"/>
        <w:spacing w:after="0" w:line="480" w:lineRule="auto"/>
        <w:rPr>
          <w:rFonts w:ascii="Times New Roman" w:hAnsi="Times New Roman"/>
          <w:b/>
          <w:sz w:val="24"/>
          <w:szCs w:val="24"/>
        </w:rPr>
      </w:pPr>
      <w:r>
        <w:rPr>
          <w:rFonts w:ascii="Times New Roman" w:hAnsi="Times New Roman"/>
          <w:b/>
          <w:sz w:val="24"/>
          <w:szCs w:val="24"/>
        </w:rPr>
        <w:t>Q:</w:t>
      </w:r>
      <w:r w:rsidR="00C91BC8" w:rsidRPr="00D813D7">
        <w:rPr>
          <w:rFonts w:ascii="Times New Roman" w:hAnsi="Times New Roman"/>
          <w:b/>
          <w:sz w:val="24"/>
          <w:szCs w:val="24"/>
        </w:rPr>
        <w:tab/>
        <w:t>Please summarize pros and cons of each approach.</w:t>
      </w:r>
    </w:p>
    <w:p w:rsidR="00974327" w:rsidRDefault="00A9763D" w:rsidP="00974327">
      <w:pPr>
        <w:widowControl w:val="0"/>
        <w:spacing w:after="0" w:line="480" w:lineRule="auto"/>
        <w:rPr>
          <w:rFonts w:ascii="Times New Roman" w:hAnsi="Times New Roman"/>
          <w:sz w:val="24"/>
          <w:szCs w:val="24"/>
        </w:rPr>
      </w:pPr>
      <w:r>
        <w:rPr>
          <w:rFonts w:ascii="Times New Roman" w:hAnsi="Times New Roman"/>
          <w:sz w:val="24"/>
          <w:szCs w:val="24"/>
        </w:rPr>
        <w:t>A:</w:t>
      </w:r>
      <w:r w:rsidR="00C91BC8" w:rsidRPr="00D813D7">
        <w:rPr>
          <w:rFonts w:ascii="Times New Roman" w:hAnsi="Times New Roman"/>
          <w:sz w:val="24"/>
          <w:szCs w:val="24"/>
        </w:rPr>
        <w:tab/>
      </w:r>
      <w:r w:rsidR="000E5811" w:rsidRPr="00D813D7">
        <w:rPr>
          <w:rFonts w:ascii="Times New Roman" w:hAnsi="Times New Roman"/>
          <w:sz w:val="24"/>
          <w:szCs w:val="24"/>
        </w:rPr>
        <w:t>The table below summarizes general pros and cons of these approaches.</w:t>
      </w:r>
      <w:r w:rsidR="00C91BC8" w:rsidRPr="00D813D7">
        <w:rPr>
          <w:rFonts w:ascii="Times New Roman" w:hAnsi="Times New Roman"/>
          <w:sz w:val="24"/>
          <w:szCs w:val="24"/>
        </w:rPr>
        <w:t xml:space="preserve"> </w:t>
      </w:r>
      <w:r w:rsidR="008C4A5B">
        <w:rPr>
          <w:rFonts w:ascii="Times New Roman" w:hAnsi="Times New Roman"/>
          <w:sz w:val="24"/>
          <w:szCs w:val="24"/>
        </w:rPr>
        <w:br w:type="page"/>
      </w:r>
    </w:p>
    <w:p w:rsidR="00A9763D" w:rsidRPr="00974327" w:rsidRDefault="000E5811" w:rsidP="00974327">
      <w:pPr>
        <w:widowControl w:val="0"/>
        <w:spacing w:after="0" w:line="240" w:lineRule="auto"/>
        <w:jc w:val="center"/>
        <w:rPr>
          <w:rFonts w:ascii="Times New Roman" w:hAnsi="Times New Roman"/>
          <w:sz w:val="24"/>
          <w:szCs w:val="24"/>
        </w:rPr>
      </w:pPr>
      <w:r w:rsidRPr="00974327">
        <w:rPr>
          <w:rFonts w:ascii="Times New Roman" w:hAnsi="Times New Roman"/>
          <w:b/>
          <w:sz w:val="24"/>
          <w:szCs w:val="24"/>
        </w:rPr>
        <w:lastRenderedPageBreak/>
        <w:t xml:space="preserve">Table </w:t>
      </w:r>
      <w:r w:rsidR="0078784A" w:rsidRPr="00974327">
        <w:rPr>
          <w:rFonts w:ascii="Times New Roman" w:hAnsi="Times New Roman"/>
          <w:b/>
          <w:sz w:val="24"/>
          <w:szCs w:val="24"/>
        </w:rPr>
        <w:fldChar w:fldCharType="begin"/>
      </w:r>
      <w:r w:rsidR="0078784A" w:rsidRPr="00974327">
        <w:rPr>
          <w:rFonts w:ascii="Times New Roman" w:hAnsi="Times New Roman"/>
          <w:b/>
          <w:sz w:val="24"/>
          <w:szCs w:val="24"/>
        </w:rPr>
        <w:instrText xml:space="preserve"> SEQ Table \* ARABIC </w:instrText>
      </w:r>
      <w:r w:rsidR="0078784A" w:rsidRPr="00974327">
        <w:rPr>
          <w:rFonts w:ascii="Times New Roman" w:hAnsi="Times New Roman"/>
          <w:b/>
          <w:sz w:val="24"/>
          <w:szCs w:val="24"/>
        </w:rPr>
        <w:fldChar w:fldCharType="separate"/>
      </w:r>
      <w:r w:rsidR="00997194" w:rsidRPr="00974327">
        <w:rPr>
          <w:rFonts w:ascii="Times New Roman" w:hAnsi="Times New Roman"/>
          <w:b/>
          <w:noProof/>
          <w:sz w:val="24"/>
          <w:szCs w:val="24"/>
        </w:rPr>
        <w:t>1</w:t>
      </w:r>
      <w:r w:rsidR="0078784A" w:rsidRPr="00974327">
        <w:rPr>
          <w:rFonts w:ascii="Times New Roman" w:hAnsi="Times New Roman"/>
          <w:b/>
          <w:noProof/>
          <w:sz w:val="24"/>
          <w:szCs w:val="24"/>
        </w:rPr>
        <w:fldChar w:fldCharType="end"/>
      </w:r>
      <w:r w:rsidR="00A9763D" w:rsidRPr="00974327">
        <w:rPr>
          <w:rFonts w:ascii="Times New Roman" w:hAnsi="Times New Roman"/>
          <w:b/>
          <w:sz w:val="24"/>
          <w:szCs w:val="24"/>
        </w:rPr>
        <w:t>:</w:t>
      </w:r>
      <w:r w:rsidRPr="00974327">
        <w:rPr>
          <w:rFonts w:ascii="Times New Roman" w:hAnsi="Times New Roman"/>
          <w:b/>
          <w:sz w:val="24"/>
          <w:szCs w:val="24"/>
        </w:rPr>
        <w:t xml:space="preserve"> </w:t>
      </w:r>
      <w:r w:rsidR="00A9763D" w:rsidRPr="00974327">
        <w:rPr>
          <w:rFonts w:ascii="Times New Roman" w:hAnsi="Times New Roman"/>
          <w:b/>
          <w:sz w:val="24"/>
          <w:szCs w:val="24"/>
        </w:rPr>
        <w:t xml:space="preserve"> </w:t>
      </w:r>
      <w:r w:rsidRPr="00974327">
        <w:rPr>
          <w:rFonts w:ascii="Times New Roman" w:hAnsi="Times New Roman"/>
          <w:b/>
          <w:sz w:val="24"/>
          <w:szCs w:val="24"/>
        </w:rPr>
        <w:t>Summary of pros and cons of various methods of estimating</w:t>
      </w:r>
    </w:p>
    <w:p w:rsidR="00A9763D" w:rsidRPr="00974327" w:rsidRDefault="000E5811" w:rsidP="00974327">
      <w:pPr>
        <w:pStyle w:val="Caption"/>
        <w:keepNext/>
        <w:spacing w:after="240"/>
        <w:ind w:left="720"/>
        <w:jc w:val="center"/>
        <w:rPr>
          <w:rFonts w:ascii="Times New Roman" w:hAnsi="Times New Roman"/>
          <w:b/>
          <w:i w:val="0"/>
          <w:color w:val="auto"/>
          <w:sz w:val="24"/>
          <w:szCs w:val="24"/>
        </w:rPr>
      </w:pPr>
      <w:r w:rsidRPr="00974327">
        <w:rPr>
          <w:rFonts w:ascii="Times New Roman" w:hAnsi="Times New Roman"/>
          <w:b/>
          <w:i w:val="0"/>
          <w:color w:val="auto"/>
          <w:sz w:val="24"/>
          <w:szCs w:val="24"/>
        </w:rPr>
        <w:t>fixed costs of serving a particular customer.</w:t>
      </w:r>
      <w:r w:rsidR="00974327">
        <w:rPr>
          <w:rFonts w:ascii="Times New Roman" w:hAnsi="Times New Roman"/>
          <w:b/>
          <w:i w:val="0"/>
          <w:color w:val="auto"/>
          <w:sz w:val="24"/>
          <w:szCs w:val="24"/>
        </w:rPr>
        <w:fldChar w:fldCharType="begin"/>
      </w:r>
      <w:r w:rsidR="00974327">
        <w:instrText xml:space="preserve"> XE "</w:instrText>
      </w:r>
      <w:r w:rsidR="00974327" w:rsidRPr="00B32F65">
        <w:rPr>
          <w:rFonts w:ascii="Times New Roman" w:hAnsi="Times New Roman"/>
          <w:b/>
          <w:i w:val="0"/>
          <w:color w:val="auto"/>
          <w:sz w:val="24"/>
          <w:szCs w:val="24"/>
        </w:rPr>
        <w:instrText xml:space="preserve">Table </w:instrText>
      </w:r>
      <w:r w:rsidR="00974327" w:rsidRPr="00B32F65">
        <w:rPr>
          <w:rFonts w:ascii="Times New Roman" w:hAnsi="Times New Roman"/>
          <w:b/>
          <w:i w:val="0"/>
          <w:noProof/>
          <w:color w:val="auto"/>
          <w:sz w:val="24"/>
          <w:szCs w:val="24"/>
        </w:rPr>
        <w:instrText>1</w:instrText>
      </w:r>
      <w:r w:rsidR="00974327" w:rsidRPr="00B32F65">
        <w:instrText>\</w:instrText>
      </w:r>
      <w:r w:rsidR="00974327" w:rsidRPr="00B32F65">
        <w:rPr>
          <w:rFonts w:ascii="Times New Roman" w:hAnsi="Times New Roman"/>
          <w:b/>
          <w:i w:val="0"/>
          <w:color w:val="auto"/>
          <w:sz w:val="24"/>
          <w:szCs w:val="24"/>
        </w:rPr>
        <w:instrText>:  Summary of pros and cons of various methods of estimating</w:instrText>
      </w:r>
      <w:r w:rsidR="008A671E">
        <w:rPr>
          <w:rFonts w:ascii="Times New Roman" w:hAnsi="Times New Roman"/>
          <w:b/>
          <w:i w:val="0"/>
          <w:color w:val="auto"/>
          <w:sz w:val="24"/>
          <w:szCs w:val="24"/>
        </w:rPr>
        <w:instrText xml:space="preserve"> fixed costs of serving a particular customer.</w:instrText>
      </w:r>
      <w:r w:rsidR="00974327">
        <w:instrText xml:space="preserve">" </w:instrText>
      </w:r>
      <w:r w:rsidR="00974327">
        <w:rPr>
          <w:rFonts w:ascii="Times New Roman" w:hAnsi="Times New Roman"/>
          <w:b/>
          <w:i w:val="0"/>
          <w:color w:val="auto"/>
          <w:sz w:val="24"/>
          <w:szCs w:val="24"/>
        </w:rPr>
        <w:fldChar w:fldCharType="end"/>
      </w:r>
    </w:p>
    <w:tbl>
      <w:tblPr>
        <w:tblStyle w:val="TableGrid"/>
        <w:tblW w:w="9985" w:type="dxa"/>
        <w:tblLook w:val="04A0" w:firstRow="1" w:lastRow="0" w:firstColumn="1" w:lastColumn="0" w:noHBand="0" w:noVBand="1"/>
      </w:tblPr>
      <w:tblGrid>
        <w:gridCol w:w="3020"/>
        <w:gridCol w:w="923"/>
        <w:gridCol w:w="6042"/>
      </w:tblGrid>
      <w:tr w:rsidR="000E5811" w:rsidRPr="00D813D7" w:rsidTr="00974327">
        <w:trPr>
          <w:cantSplit/>
        </w:trPr>
        <w:tc>
          <w:tcPr>
            <w:tcW w:w="3055" w:type="dxa"/>
            <w:vMerge w:val="restart"/>
            <w:vAlign w:val="center"/>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Engineering Analysis</w:t>
            </w: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PROS:</w:t>
            </w:r>
          </w:p>
        </w:tc>
        <w:tc>
          <w:tcPr>
            <w:tcW w:w="6120" w:type="dxa"/>
          </w:tcPr>
          <w:p w:rsidR="000E5811" w:rsidRPr="00D813D7" w:rsidRDefault="00EC0D8E" w:rsidP="00A9763D">
            <w:pPr>
              <w:pStyle w:val="ListParagraph"/>
              <w:widowControl w:val="0"/>
              <w:numPr>
                <w:ilvl w:val="0"/>
                <w:numId w:val="13"/>
              </w:numPr>
              <w:spacing w:after="0" w:line="240" w:lineRule="auto"/>
              <w:rPr>
                <w:rFonts w:ascii="Times New Roman" w:hAnsi="Times New Roman"/>
                <w:sz w:val="24"/>
                <w:szCs w:val="24"/>
              </w:rPr>
            </w:pPr>
            <w:r w:rsidRPr="00D813D7">
              <w:rPr>
                <w:rFonts w:ascii="Times New Roman" w:hAnsi="Times New Roman"/>
                <w:sz w:val="24"/>
                <w:szCs w:val="24"/>
              </w:rPr>
              <w:t xml:space="preserve">Identifies specific assets with </w:t>
            </w:r>
            <w:r w:rsidR="00535905" w:rsidRPr="00D813D7">
              <w:rPr>
                <w:rFonts w:ascii="Times New Roman" w:hAnsi="Times New Roman"/>
                <w:sz w:val="24"/>
                <w:szCs w:val="24"/>
              </w:rPr>
              <w:t xml:space="preserve">net </w:t>
            </w:r>
            <w:r w:rsidRPr="00D813D7">
              <w:rPr>
                <w:rFonts w:ascii="Times New Roman" w:hAnsi="Times New Roman"/>
                <w:sz w:val="24"/>
                <w:szCs w:val="24"/>
              </w:rPr>
              <w:t>book values that can be quantified</w:t>
            </w:r>
          </w:p>
        </w:tc>
      </w:tr>
      <w:tr w:rsidR="000E5811" w:rsidRPr="00D813D7" w:rsidTr="00974327">
        <w:trPr>
          <w:cantSplit/>
        </w:trPr>
        <w:tc>
          <w:tcPr>
            <w:tcW w:w="3055" w:type="dxa"/>
            <w:vMerge/>
            <w:vAlign w:val="center"/>
          </w:tcPr>
          <w:p w:rsidR="000E5811" w:rsidRPr="00D813D7" w:rsidRDefault="000E5811" w:rsidP="000E5811">
            <w:pPr>
              <w:widowControl w:val="0"/>
              <w:spacing w:after="0"/>
              <w:rPr>
                <w:rFonts w:ascii="Times New Roman" w:hAnsi="Times New Roman"/>
                <w:sz w:val="24"/>
                <w:szCs w:val="24"/>
              </w:rPr>
            </w:pP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CONS:</w:t>
            </w:r>
          </w:p>
        </w:tc>
        <w:tc>
          <w:tcPr>
            <w:tcW w:w="6120" w:type="dxa"/>
          </w:tcPr>
          <w:p w:rsidR="000E5811" w:rsidRPr="00D813D7" w:rsidRDefault="0045735C" w:rsidP="00A9763D">
            <w:pPr>
              <w:pStyle w:val="ListParagraph"/>
              <w:widowControl w:val="0"/>
              <w:numPr>
                <w:ilvl w:val="0"/>
                <w:numId w:val="13"/>
              </w:numPr>
              <w:spacing w:after="0" w:line="240" w:lineRule="auto"/>
              <w:rPr>
                <w:rFonts w:ascii="Times New Roman" w:hAnsi="Times New Roman"/>
                <w:sz w:val="24"/>
                <w:szCs w:val="24"/>
              </w:rPr>
            </w:pPr>
            <w:r w:rsidRPr="00D813D7">
              <w:rPr>
                <w:rFonts w:ascii="Times New Roman" w:hAnsi="Times New Roman"/>
                <w:sz w:val="24"/>
                <w:szCs w:val="24"/>
              </w:rPr>
              <w:t xml:space="preserve">Networked </w:t>
            </w:r>
            <w:r w:rsidR="00B52D27" w:rsidRPr="00D813D7">
              <w:rPr>
                <w:rFonts w:ascii="Times New Roman" w:hAnsi="Times New Roman"/>
                <w:sz w:val="24"/>
                <w:szCs w:val="24"/>
              </w:rPr>
              <w:t xml:space="preserve">and complex </w:t>
            </w:r>
            <w:r w:rsidRPr="00D813D7">
              <w:rPr>
                <w:rFonts w:ascii="Times New Roman" w:hAnsi="Times New Roman"/>
                <w:sz w:val="24"/>
                <w:szCs w:val="24"/>
              </w:rPr>
              <w:t xml:space="preserve">nature of power grid </w:t>
            </w:r>
            <w:r w:rsidR="00B52D27" w:rsidRPr="00D813D7">
              <w:rPr>
                <w:rFonts w:ascii="Times New Roman" w:hAnsi="Times New Roman"/>
                <w:sz w:val="24"/>
                <w:szCs w:val="24"/>
              </w:rPr>
              <w:t>complicate the analysis</w:t>
            </w:r>
            <w:r w:rsidR="00B52D27" w:rsidRPr="00D813D7">
              <w:rPr>
                <w:rStyle w:val="FootnoteReference"/>
                <w:rFonts w:ascii="Times New Roman" w:hAnsi="Times New Roman"/>
                <w:sz w:val="24"/>
                <w:szCs w:val="24"/>
              </w:rPr>
              <w:footnoteReference w:id="32"/>
            </w:r>
          </w:p>
          <w:p w:rsidR="00B52D27" w:rsidRPr="00D813D7" w:rsidRDefault="00B52D27" w:rsidP="00A9763D">
            <w:pPr>
              <w:pStyle w:val="ListParagraph"/>
              <w:widowControl w:val="0"/>
              <w:numPr>
                <w:ilvl w:val="0"/>
                <w:numId w:val="13"/>
              </w:numPr>
              <w:spacing w:after="0" w:line="240" w:lineRule="auto"/>
              <w:rPr>
                <w:rFonts w:ascii="Times New Roman" w:hAnsi="Times New Roman"/>
                <w:sz w:val="24"/>
                <w:szCs w:val="24"/>
              </w:rPr>
            </w:pPr>
            <w:r w:rsidRPr="00D813D7">
              <w:rPr>
                <w:rFonts w:ascii="Times New Roman" w:hAnsi="Times New Roman"/>
                <w:sz w:val="24"/>
                <w:szCs w:val="24"/>
              </w:rPr>
              <w:t>Assets can be “lumpy” in size,</w:t>
            </w:r>
            <w:r w:rsidR="0027649B" w:rsidRPr="00D813D7">
              <w:rPr>
                <w:rStyle w:val="FootnoteReference"/>
                <w:rFonts w:ascii="Times New Roman" w:hAnsi="Times New Roman"/>
                <w:sz w:val="24"/>
                <w:szCs w:val="24"/>
              </w:rPr>
              <w:footnoteReference w:id="33"/>
            </w:r>
            <w:r w:rsidRPr="00D813D7">
              <w:rPr>
                <w:rFonts w:ascii="Times New Roman" w:hAnsi="Times New Roman"/>
                <w:sz w:val="24"/>
                <w:szCs w:val="24"/>
              </w:rPr>
              <w:t xml:space="preserve"> such that if the size of the departing customer is small compared to </w:t>
            </w:r>
            <w:r w:rsidR="0027649B" w:rsidRPr="00D813D7">
              <w:rPr>
                <w:rFonts w:ascii="Times New Roman" w:hAnsi="Times New Roman"/>
                <w:sz w:val="24"/>
                <w:szCs w:val="24"/>
              </w:rPr>
              <w:t xml:space="preserve">the size of the </w:t>
            </w:r>
            <w:r w:rsidRPr="00D813D7">
              <w:rPr>
                <w:rFonts w:ascii="Times New Roman" w:hAnsi="Times New Roman"/>
                <w:sz w:val="24"/>
                <w:szCs w:val="24"/>
              </w:rPr>
              <w:t xml:space="preserve">assets under </w:t>
            </w:r>
            <w:r w:rsidR="0027649B" w:rsidRPr="00D813D7">
              <w:rPr>
                <w:rFonts w:ascii="Times New Roman" w:hAnsi="Times New Roman"/>
                <w:sz w:val="24"/>
                <w:szCs w:val="24"/>
              </w:rPr>
              <w:t>consideration, an engineer may not reasonably be able to detect a change in design</w:t>
            </w:r>
          </w:p>
          <w:p w:rsidR="00B52D27" w:rsidRPr="00D813D7" w:rsidRDefault="00B52D27" w:rsidP="00A9763D">
            <w:pPr>
              <w:pStyle w:val="ListParagraph"/>
              <w:widowControl w:val="0"/>
              <w:numPr>
                <w:ilvl w:val="0"/>
                <w:numId w:val="13"/>
              </w:numPr>
              <w:spacing w:after="0" w:line="240" w:lineRule="auto"/>
              <w:rPr>
                <w:rFonts w:ascii="Times New Roman" w:hAnsi="Times New Roman"/>
                <w:sz w:val="24"/>
                <w:szCs w:val="24"/>
              </w:rPr>
            </w:pPr>
            <w:r w:rsidRPr="00D813D7">
              <w:rPr>
                <w:rFonts w:ascii="Times New Roman" w:hAnsi="Times New Roman"/>
                <w:sz w:val="24"/>
                <w:szCs w:val="24"/>
              </w:rPr>
              <w:t xml:space="preserve">Does not consider customer service or administrative and general costs </w:t>
            </w:r>
          </w:p>
        </w:tc>
      </w:tr>
      <w:tr w:rsidR="000E5811" w:rsidRPr="00D813D7" w:rsidTr="00974327">
        <w:trPr>
          <w:cantSplit/>
        </w:trPr>
        <w:tc>
          <w:tcPr>
            <w:tcW w:w="3055" w:type="dxa"/>
            <w:vMerge w:val="restart"/>
            <w:vAlign w:val="center"/>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Direct Categorization</w:t>
            </w: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PROS:</w:t>
            </w:r>
          </w:p>
        </w:tc>
        <w:tc>
          <w:tcPr>
            <w:tcW w:w="6120" w:type="dxa"/>
          </w:tcPr>
          <w:p w:rsidR="000E5811" w:rsidRPr="00D813D7" w:rsidRDefault="0027649B" w:rsidP="00A9763D">
            <w:pPr>
              <w:pStyle w:val="ListParagraph"/>
              <w:widowControl w:val="0"/>
              <w:numPr>
                <w:ilvl w:val="0"/>
                <w:numId w:val="14"/>
              </w:numPr>
              <w:spacing w:after="0" w:line="240" w:lineRule="auto"/>
              <w:rPr>
                <w:rFonts w:ascii="Times New Roman" w:hAnsi="Times New Roman"/>
                <w:sz w:val="24"/>
                <w:szCs w:val="24"/>
              </w:rPr>
            </w:pPr>
            <w:r w:rsidRPr="00D813D7">
              <w:rPr>
                <w:rFonts w:ascii="Times New Roman" w:hAnsi="Times New Roman"/>
                <w:sz w:val="24"/>
                <w:szCs w:val="24"/>
              </w:rPr>
              <w:t>Simple to calculate</w:t>
            </w:r>
          </w:p>
          <w:p w:rsidR="0027649B" w:rsidRPr="00D813D7" w:rsidRDefault="0027649B" w:rsidP="00A9763D">
            <w:pPr>
              <w:pStyle w:val="ListParagraph"/>
              <w:widowControl w:val="0"/>
              <w:numPr>
                <w:ilvl w:val="0"/>
                <w:numId w:val="14"/>
              </w:numPr>
              <w:spacing w:after="0" w:line="240" w:lineRule="auto"/>
              <w:rPr>
                <w:rFonts w:ascii="Times New Roman" w:hAnsi="Times New Roman"/>
                <w:sz w:val="24"/>
                <w:szCs w:val="24"/>
              </w:rPr>
            </w:pPr>
            <w:r w:rsidRPr="00D813D7">
              <w:rPr>
                <w:rFonts w:ascii="Times New Roman" w:hAnsi="Times New Roman"/>
                <w:sz w:val="24"/>
                <w:szCs w:val="24"/>
              </w:rPr>
              <w:t>Considers all costs</w:t>
            </w:r>
          </w:p>
          <w:p w:rsidR="0027649B" w:rsidRPr="00D813D7" w:rsidRDefault="0027649B" w:rsidP="00A9763D">
            <w:pPr>
              <w:pStyle w:val="ListParagraph"/>
              <w:widowControl w:val="0"/>
              <w:numPr>
                <w:ilvl w:val="0"/>
                <w:numId w:val="14"/>
              </w:numPr>
              <w:spacing w:after="0" w:line="240" w:lineRule="auto"/>
              <w:rPr>
                <w:rFonts w:ascii="Times New Roman" w:hAnsi="Times New Roman"/>
                <w:sz w:val="24"/>
                <w:szCs w:val="24"/>
              </w:rPr>
            </w:pPr>
            <w:r w:rsidRPr="00D813D7">
              <w:rPr>
                <w:rFonts w:ascii="Times New Roman" w:hAnsi="Times New Roman"/>
                <w:sz w:val="24"/>
                <w:szCs w:val="24"/>
              </w:rPr>
              <w:t>Easy to understand</w:t>
            </w:r>
          </w:p>
        </w:tc>
      </w:tr>
      <w:tr w:rsidR="000E5811" w:rsidRPr="00D813D7" w:rsidTr="00974327">
        <w:trPr>
          <w:cantSplit/>
        </w:trPr>
        <w:tc>
          <w:tcPr>
            <w:tcW w:w="3055" w:type="dxa"/>
            <w:vMerge/>
            <w:vAlign w:val="center"/>
          </w:tcPr>
          <w:p w:rsidR="000E5811" w:rsidRPr="00D813D7" w:rsidRDefault="000E5811" w:rsidP="000E5811">
            <w:pPr>
              <w:widowControl w:val="0"/>
              <w:spacing w:after="0"/>
              <w:rPr>
                <w:rFonts w:ascii="Times New Roman" w:hAnsi="Times New Roman"/>
                <w:sz w:val="24"/>
                <w:szCs w:val="24"/>
              </w:rPr>
            </w:pP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CONS:</w:t>
            </w:r>
          </w:p>
        </w:tc>
        <w:tc>
          <w:tcPr>
            <w:tcW w:w="6120" w:type="dxa"/>
          </w:tcPr>
          <w:p w:rsidR="000E5811" w:rsidRPr="00D813D7" w:rsidRDefault="0027649B" w:rsidP="00A9763D">
            <w:pPr>
              <w:pStyle w:val="ListParagraph"/>
              <w:widowControl w:val="0"/>
              <w:numPr>
                <w:ilvl w:val="0"/>
                <w:numId w:val="15"/>
              </w:numPr>
              <w:spacing w:after="0" w:line="240" w:lineRule="auto"/>
              <w:rPr>
                <w:rFonts w:ascii="Times New Roman" w:hAnsi="Times New Roman"/>
                <w:sz w:val="24"/>
                <w:szCs w:val="24"/>
              </w:rPr>
            </w:pPr>
            <w:r w:rsidRPr="00D813D7">
              <w:rPr>
                <w:rFonts w:ascii="Times New Roman" w:hAnsi="Times New Roman"/>
                <w:sz w:val="24"/>
                <w:szCs w:val="24"/>
              </w:rPr>
              <w:t>The fixed nature of a cost depends on time period under consideration; given a long enough time horizon, no cost is fixed</w:t>
            </w:r>
            <w:r w:rsidR="00C23F87" w:rsidRPr="00D813D7">
              <w:rPr>
                <w:rFonts w:ascii="Times New Roman" w:hAnsi="Times New Roman"/>
                <w:sz w:val="24"/>
                <w:szCs w:val="24"/>
              </w:rPr>
              <w:t xml:space="preserve"> (discussed in more detail below)</w:t>
            </w:r>
          </w:p>
          <w:p w:rsidR="00196DCF" w:rsidRPr="00D813D7" w:rsidRDefault="00196DCF" w:rsidP="00A9763D">
            <w:pPr>
              <w:pStyle w:val="ListParagraph"/>
              <w:widowControl w:val="0"/>
              <w:numPr>
                <w:ilvl w:val="0"/>
                <w:numId w:val="15"/>
              </w:numPr>
              <w:spacing w:after="0" w:line="240" w:lineRule="auto"/>
              <w:rPr>
                <w:rFonts w:ascii="Times New Roman" w:hAnsi="Times New Roman"/>
                <w:sz w:val="24"/>
                <w:szCs w:val="24"/>
              </w:rPr>
            </w:pPr>
            <w:r w:rsidRPr="00D813D7">
              <w:rPr>
                <w:rFonts w:ascii="Times New Roman" w:hAnsi="Times New Roman"/>
                <w:sz w:val="24"/>
                <w:szCs w:val="24"/>
              </w:rPr>
              <w:t>Different experts may disagree on which costs to consider as fixed or variable</w:t>
            </w:r>
          </w:p>
        </w:tc>
      </w:tr>
      <w:tr w:rsidR="000E5811" w:rsidRPr="00D813D7" w:rsidTr="00974327">
        <w:trPr>
          <w:cantSplit/>
        </w:trPr>
        <w:tc>
          <w:tcPr>
            <w:tcW w:w="3055" w:type="dxa"/>
            <w:vMerge w:val="restart"/>
            <w:vAlign w:val="center"/>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Planning and Financial Models</w:t>
            </w: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PROS:</w:t>
            </w:r>
          </w:p>
        </w:tc>
        <w:tc>
          <w:tcPr>
            <w:tcW w:w="6120" w:type="dxa"/>
          </w:tcPr>
          <w:p w:rsidR="000E5811" w:rsidRPr="00D813D7" w:rsidRDefault="00196DCF" w:rsidP="00A9763D">
            <w:pPr>
              <w:pStyle w:val="ListParagraph"/>
              <w:widowControl w:val="0"/>
              <w:numPr>
                <w:ilvl w:val="0"/>
                <w:numId w:val="16"/>
              </w:numPr>
              <w:spacing w:after="0" w:line="240" w:lineRule="auto"/>
              <w:rPr>
                <w:rFonts w:ascii="Times New Roman" w:hAnsi="Times New Roman"/>
                <w:sz w:val="24"/>
                <w:szCs w:val="24"/>
              </w:rPr>
            </w:pPr>
            <w:r w:rsidRPr="00D813D7">
              <w:rPr>
                <w:rFonts w:ascii="Times New Roman" w:hAnsi="Times New Roman"/>
                <w:sz w:val="24"/>
                <w:szCs w:val="24"/>
              </w:rPr>
              <w:t>Comprehensive-considers all costs</w:t>
            </w:r>
          </w:p>
          <w:p w:rsidR="00196DCF" w:rsidRPr="00D813D7" w:rsidRDefault="00196DCF" w:rsidP="00A9763D">
            <w:pPr>
              <w:pStyle w:val="ListParagraph"/>
              <w:widowControl w:val="0"/>
              <w:numPr>
                <w:ilvl w:val="0"/>
                <w:numId w:val="16"/>
              </w:numPr>
              <w:spacing w:after="0" w:line="240" w:lineRule="auto"/>
              <w:rPr>
                <w:rFonts w:ascii="Times New Roman" w:hAnsi="Times New Roman"/>
                <w:sz w:val="24"/>
                <w:szCs w:val="24"/>
              </w:rPr>
            </w:pPr>
            <w:r w:rsidRPr="00D813D7">
              <w:rPr>
                <w:rFonts w:ascii="Times New Roman" w:hAnsi="Times New Roman"/>
                <w:sz w:val="24"/>
                <w:szCs w:val="24"/>
              </w:rPr>
              <w:t>Also provides quantification of changes in market revenues (discussed more in following section of the testimony)</w:t>
            </w:r>
          </w:p>
        </w:tc>
      </w:tr>
      <w:tr w:rsidR="000E5811" w:rsidRPr="00D813D7" w:rsidTr="00974327">
        <w:trPr>
          <w:cantSplit/>
        </w:trPr>
        <w:tc>
          <w:tcPr>
            <w:tcW w:w="3055" w:type="dxa"/>
            <w:vMerge/>
            <w:vAlign w:val="center"/>
          </w:tcPr>
          <w:p w:rsidR="000E5811" w:rsidRPr="00D813D7" w:rsidRDefault="000E5811" w:rsidP="000E5811">
            <w:pPr>
              <w:widowControl w:val="0"/>
              <w:spacing w:after="0"/>
              <w:rPr>
                <w:rFonts w:ascii="Times New Roman" w:hAnsi="Times New Roman"/>
                <w:sz w:val="24"/>
                <w:szCs w:val="24"/>
              </w:rPr>
            </w:pP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CONS:</w:t>
            </w:r>
          </w:p>
        </w:tc>
        <w:tc>
          <w:tcPr>
            <w:tcW w:w="6120" w:type="dxa"/>
          </w:tcPr>
          <w:p w:rsidR="000E5811" w:rsidRPr="00D813D7" w:rsidRDefault="00196DCF" w:rsidP="00A9763D">
            <w:pPr>
              <w:pStyle w:val="ListParagraph"/>
              <w:widowControl w:val="0"/>
              <w:numPr>
                <w:ilvl w:val="0"/>
                <w:numId w:val="17"/>
              </w:numPr>
              <w:spacing w:after="0" w:line="240" w:lineRule="auto"/>
              <w:rPr>
                <w:rFonts w:ascii="Times New Roman" w:hAnsi="Times New Roman"/>
                <w:sz w:val="24"/>
                <w:szCs w:val="24"/>
              </w:rPr>
            </w:pPr>
            <w:r w:rsidRPr="00D813D7">
              <w:rPr>
                <w:rFonts w:ascii="Times New Roman" w:hAnsi="Times New Roman"/>
                <w:sz w:val="24"/>
                <w:szCs w:val="24"/>
              </w:rPr>
              <w:t>Time-intensive and costly to run models, especially over long-term horizon</w:t>
            </w:r>
          </w:p>
          <w:p w:rsidR="00196DCF" w:rsidRPr="00D813D7" w:rsidRDefault="00196DCF" w:rsidP="00A9763D">
            <w:pPr>
              <w:pStyle w:val="ListParagraph"/>
              <w:widowControl w:val="0"/>
              <w:numPr>
                <w:ilvl w:val="0"/>
                <w:numId w:val="17"/>
              </w:numPr>
              <w:spacing w:after="0" w:line="240" w:lineRule="auto"/>
              <w:rPr>
                <w:rFonts w:ascii="Times New Roman" w:hAnsi="Times New Roman"/>
                <w:sz w:val="24"/>
                <w:szCs w:val="24"/>
              </w:rPr>
            </w:pPr>
            <w:r w:rsidRPr="00D813D7">
              <w:rPr>
                <w:rFonts w:ascii="Times New Roman" w:hAnsi="Times New Roman"/>
                <w:sz w:val="24"/>
                <w:szCs w:val="24"/>
              </w:rPr>
              <w:t>Limitations on model algorithms may not detect any difference in costs if the departing customer is small compared to the rest of the system (also discussed in next section)</w:t>
            </w:r>
          </w:p>
          <w:p w:rsidR="00196DCF" w:rsidRPr="00D813D7" w:rsidRDefault="00196DCF" w:rsidP="00A9763D">
            <w:pPr>
              <w:pStyle w:val="ListParagraph"/>
              <w:widowControl w:val="0"/>
              <w:numPr>
                <w:ilvl w:val="0"/>
                <w:numId w:val="17"/>
              </w:numPr>
              <w:spacing w:after="0" w:line="240" w:lineRule="auto"/>
              <w:rPr>
                <w:rFonts w:ascii="Times New Roman" w:hAnsi="Times New Roman"/>
                <w:sz w:val="24"/>
                <w:szCs w:val="24"/>
              </w:rPr>
            </w:pPr>
            <w:r w:rsidRPr="00D813D7">
              <w:rPr>
                <w:rFonts w:ascii="Times New Roman" w:hAnsi="Times New Roman"/>
                <w:sz w:val="24"/>
                <w:szCs w:val="24"/>
              </w:rPr>
              <w:t>Future is uncertain, and it may be difficult to true-up actual stranded costs to those predicted by the models</w:t>
            </w:r>
          </w:p>
        </w:tc>
      </w:tr>
      <w:tr w:rsidR="000E5811" w:rsidRPr="00D813D7" w:rsidTr="00974327">
        <w:trPr>
          <w:cantSplit/>
        </w:trPr>
        <w:tc>
          <w:tcPr>
            <w:tcW w:w="3055" w:type="dxa"/>
            <w:vMerge w:val="restart"/>
            <w:vAlign w:val="center"/>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lastRenderedPageBreak/>
              <w:t>Cost Allocation</w:t>
            </w: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PROS:</w:t>
            </w:r>
          </w:p>
        </w:tc>
        <w:tc>
          <w:tcPr>
            <w:tcW w:w="6120" w:type="dxa"/>
          </w:tcPr>
          <w:p w:rsidR="000E5811" w:rsidRPr="00D813D7" w:rsidRDefault="00196DCF" w:rsidP="00A9763D">
            <w:pPr>
              <w:pStyle w:val="ListParagraph"/>
              <w:widowControl w:val="0"/>
              <w:numPr>
                <w:ilvl w:val="0"/>
                <w:numId w:val="18"/>
              </w:numPr>
              <w:spacing w:after="0" w:line="240" w:lineRule="auto"/>
              <w:rPr>
                <w:rFonts w:ascii="Times New Roman" w:hAnsi="Times New Roman"/>
                <w:sz w:val="24"/>
                <w:szCs w:val="24"/>
              </w:rPr>
            </w:pPr>
            <w:r w:rsidRPr="00D813D7">
              <w:rPr>
                <w:rFonts w:ascii="Times New Roman" w:hAnsi="Times New Roman"/>
                <w:sz w:val="24"/>
                <w:szCs w:val="24"/>
              </w:rPr>
              <w:t>Relies on cost allocation already approved by regulators</w:t>
            </w:r>
          </w:p>
          <w:p w:rsidR="00196DCF" w:rsidRPr="00D813D7" w:rsidRDefault="00196DCF" w:rsidP="00A9763D">
            <w:pPr>
              <w:pStyle w:val="ListParagraph"/>
              <w:widowControl w:val="0"/>
              <w:numPr>
                <w:ilvl w:val="0"/>
                <w:numId w:val="18"/>
              </w:numPr>
              <w:spacing w:after="0" w:line="240" w:lineRule="auto"/>
              <w:rPr>
                <w:rFonts w:ascii="Times New Roman" w:hAnsi="Times New Roman"/>
                <w:sz w:val="24"/>
                <w:szCs w:val="24"/>
              </w:rPr>
            </w:pPr>
            <w:r w:rsidRPr="00D813D7">
              <w:rPr>
                <w:rFonts w:ascii="Times New Roman" w:hAnsi="Times New Roman"/>
                <w:sz w:val="24"/>
                <w:szCs w:val="24"/>
              </w:rPr>
              <w:t>Considers all costs</w:t>
            </w:r>
          </w:p>
        </w:tc>
      </w:tr>
      <w:tr w:rsidR="000E5811" w:rsidRPr="00D813D7" w:rsidTr="00E2349C">
        <w:tc>
          <w:tcPr>
            <w:tcW w:w="3055" w:type="dxa"/>
            <w:vMerge/>
          </w:tcPr>
          <w:p w:rsidR="000E5811" w:rsidRPr="00D813D7" w:rsidRDefault="000E5811" w:rsidP="000E5811">
            <w:pPr>
              <w:widowControl w:val="0"/>
              <w:spacing w:after="0" w:line="480" w:lineRule="auto"/>
              <w:rPr>
                <w:rFonts w:ascii="Times New Roman" w:hAnsi="Times New Roman"/>
                <w:sz w:val="24"/>
                <w:szCs w:val="24"/>
              </w:rPr>
            </w:pPr>
          </w:p>
        </w:tc>
        <w:tc>
          <w:tcPr>
            <w:tcW w:w="810" w:type="dxa"/>
          </w:tcPr>
          <w:p w:rsidR="000E5811" w:rsidRPr="00D813D7" w:rsidRDefault="000E5811" w:rsidP="000E5811">
            <w:pPr>
              <w:widowControl w:val="0"/>
              <w:spacing w:after="0"/>
              <w:rPr>
                <w:rFonts w:ascii="Times New Roman" w:hAnsi="Times New Roman"/>
                <w:sz w:val="24"/>
                <w:szCs w:val="24"/>
              </w:rPr>
            </w:pPr>
            <w:r w:rsidRPr="00D813D7">
              <w:rPr>
                <w:rFonts w:ascii="Times New Roman" w:hAnsi="Times New Roman"/>
                <w:sz w:val="24"/>
                <w:szCs w:val="24"/>
              </w:rPr>
              <w:t>CONS:</w:t>
            </w:r>
          </w:p>
        </w:tc>
        <w:tc>
          <w:tcPr>
            <w:tcW w:w="6120" w:type="dxa"/>
          </w:tcPr>
          <w:p w:rsidR="000E5811" w:rsidRPr="00D813D7" w:rsidRDefault="00196DCF" w:rsidP="00A9763D">
            <w:pPr>
              <w:pStyle w:val="ListParagraph"/>
              <w:widowControl w:val="0"/>
              <w:numPr>
                <w:ilvl w:val="0"/>
                <w:numId w:val="19"/>
              </w:numPr>
              <w:spacing w:after="0" w:line="240" w:lineRule="auto"/>
              <w:rPr>
                <w:rFonts w:ascii="Times New Roman" w:hAnsi="Times New Roman"/>
                <w:sz w:val="24"/>
                <w:szCs w:val="24"/>
              </w:rPr>
            </w:pPr>
            <w:r w:rsidRPr="00D813D7">
              <w:rPr>
                <w:rFonts w:ascii="Times New Roman" w:hAnsi="Times New Roman"/>
                <w:sz w:val="24"/>
                <w:szCs w:val="24"/>
              </w:rPr>
              <w:t>Cost causation principles that underlie cost allocation decisions consider far more than the fixed and variable nature of the costs</w:t>
            </w:r>
          </w:p>
          <w:p w:rsidR="00196DCF" w:rsidRPr="00D813D7" w:rsidRDefault="00196DCF" w:rsidP="00A9763D">
            <w:pPr>
              <w:pStyle w:val="ListParagraph"/>
              <w:widowControl w:val="0"/>
              <w:numPr>
                <w:ilvl w:val="0"/>
                <w:numId w:val="19"/>
              </w:numPr>
              <w:spacing w:after="0" w:line="240" w:lineRule="auto"/>
              <w:rPr>
                <w:rFonts w:ascii="Times New Roman" w:hAnsi="Times New Roman"/>
                <w:sz w:val="24"/>
                <w:szCs w:val="24"/>
              </w:rPr>
            </w:pPr>
            <w:r w:rsidRPr="00D813D7">
              <w:rPr>
                <w:rFonts w:ascii="Times New Roman" w:hAnsi="Times New Roman"/>
                <w:sz w:val="24"/>
                <w:szCs w:val="24"/>
              </w:rPr>
              <w:t xml:space="preserve">Cost </w:t>
            </w:r>
            <w:r w:rsidR="00EA62FF" w:rsidRPr="00D813D7">
              <w:rPr>
                <w:rFonts w:ascii="Times New Roman" w:hAnsi="Times New Roman"/>
                <w:sz w:val="24"/>
                <w:szCs w:val="24"/>
              </w:rPr>
              <w:t>allocation of the cost of depreciation and financing of generation plant is typically controversial in cost allocation proceedings, meaning experts disagree over how to fairly allocate such costs even though they are typically considered “fixed costs”</w:t>
            </w:r>
          </w:p>
        </w:tc>
      </w:tr>
    </w:tbl>
    <w:p w:rsidR="00BB095E" w:rsidRPr="00D813D7" w:rsidRDefault="00BB095E" w:rsidP="00900ADA">
      <w:pPr>
        <w:spacing w:after="240" w:line="240" w:lineRule="auto"/>
        <w:rPr>
          <w:rFonts w:ascii="Times New Roman" w:hAnsi="Times New Roman"/>
          <w:sz w:val="24"/>
          <w:szCs w:val="24"/>
        </w:rPr>
      </w:pPr>
    </w:p>
    <w:p w:rsidR="00A94D58" w:rsidRPr="00D813D7" w:rsidRDefault="00974327" w:rsidP="00C91BC8">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A94D58" w:rsidRPr="00D813D7">
        <w:rPr>
          <w:rFonts w:ascii="Times New Roman" w:hAnsi="Times New Roman"/>
          <w:b/>
          <w:sz w:val="24"/>
          <w:szCs w:val="24"/>
        </w:rPr>
        <w:tab/>
        <w:t>Have other utilities i</w:t>
      </w:r>
      <w:r w:rsidR="00C91BC8" w:rsidRPr="00D813D7">
        <w:rPr>
          <w:rFonts w:ascii="Times New Roman" w:hAnsi="Times New Roman"/>
          <w:b/>
          <w:sz w:val="24"/>
          <w:szCs w:val="24"/>
        </w:rPr>
        <w:t>n Washington used other methods to quantify fixed costs of serving a customer?</w:t>
      </w:r>
    </w:p>
    <w:p w:rsidR="00BA53D8" w:rsidRPr="00D813D7" w:rsidRDefault="00974327" w:rsidP="00BA53D8">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A94D58" w:rsidRPr="00D813D7">
        <w:rPr>
          <w:rFonts w:ascii="Times New Roman" w:hAnsi="Times New Roman"/>
          <w:sz w:val="24"/>
          <w:szCs w:val="24"/>
        </w:rPr>
        <w:tab/>
        <w:t xml:space="preserve">Yes. </w:t>
      </w:r>
      <w:r>
        <w:rPr>
          <w:rFonts w:ascii="Times New Roman" w:hAnsi="Times New Roman"/>
          <w:sz w:val="24"/>
          <w:szCs w:val="24"/>
        </w:rPr>
        <w:t xml:space="preserve"> </w:t>
      </w:r>
      <w:r w:rsidR="00BA53D8" w:rsidRPr="00D813D7">
        <w:rPr>
          <w:rFonts w:ascii="Times New Roman" w:hAnsi="Times New Roman"/>
          <w:sz w:val="24"/>
          <w:szCs w:val="24"/>
        </w:rPr>
        <w:t>Recently, Puget Sound Energy (PSE) filed for approval of a tariff that would allow it to recover stranded costs from large commercial/industrial customers who choose to purchase power supply from an alternative provider.</w:t>
      </w:r>
      <w:r w:rsidR="00BA53D8" w:rsidRPr="00D813D7">
        <w:rPr>
          <w:rStyle w:val="FootnoteReference"/>
          <w:rFonts w:ascii="Times New Roman" w:hAnsi="Times New Roman"/>
          <w:sz w:val="24"/>
          <w:szCs w:val="24"/>
        </w:rPr>
        <w:footnoteReference w:id="34"/>
      </w:r>
      <w:r w:rsidR="00BA53D8" w:rsidRPr="00D813D7">
        <w:rPr>
          <w:rFonts w:ascii="Times New Roman" w:hAnsi="Times New Roman"/>
          <w:sz w:val="24"/>
          <w:szCs w:val="24"/>
        </w:rPr>
        <w:t xml:space="preserve"> </w:t>
      </w:r>
      <w:r w:rsidR="00A942BA">
        <w:rPr>
          <w:rFonts w:ascii="Times New Roman" w:hAnsi="Times New Roman"/>
          <w:sz w:val="24"/>
          <w:szCs w:val="24"/>
        </w:rPr>
        <w:t xml:space="preserve"> </w:t>
      </w:r>
      <w:r w:rsidR="00BA53D8" w:rsidRPr="00D813D7">
        <w:rPr>
          <w:rFonts w:ascii="Times New Roman" w:hAnsi="Times New Roman"/>
          <w:sz w:val="24"/>
          <w:szCs w:val="24"/>
        </w:rPr>
        <w:t>In its initial filing, PSE presented results of three different methods of estimating</w:t>
      </w:r>
      <w:r w:rsidR="00132735" w:rsidRPr="00D813D7">
        <w:rPr>
          <w:rFonts w:ascii="Times New Roman" w:hAnsi="Times New Roman"/>
          <w:sz w:val="24"/>
          <w:szCs w:val="24"/>
        </w:rPr>
        <w:t xml:space="preserve"> stranded costs that would form the basis of an exit fee for </w:t>
      </w:r>
      <w:r w:rsidR="00283F74" w:rsidRPr="00D813D7">
        <w:rPr>
          <w:rFonts w:ascii="Times New Roman" w:hAnsi="Times New Roman"/>
          <w:sz w:val="24"/>
          <w:szCs w:val="24"/>
        </w:rPr>
        <w:t>the large commercial customer</w:t>
      </w:r>
      <w:r w:rsidR="00132735" w:rsidRPr="00D813D7">
        <w:rPr>
          <w:rFonts w:ascii="Times New Roman" w:hAnsi="Times New Roman"/>
          <w:sz w:val="24"/>
          <w:szCs w:val="24"/>
        </w:rPr>
        <w:t>.</w:t>
      </w:r>
      <w:r w:rsidR="00132735" w:rsidRPr="00D813D7">
        <w:rPr>
          <w:rStyle w:val="FootnoteReference"/>
          <w:rFonts w:ascii="Times New Roman" w:hAnsi="Times New Roman"/>
          <w:sz w:val="24"/>
          <w:szCs w:val="24"/>
        </w:rPr>
        <w:footnoteReference w:id="35"/>
      </w:r>
      <w:r w:rsidR="008547EC" w:rsidRPr="00D813D7">
        <w:rPr>
          <w:rFonts w:ascii="Times New Roman" w:hAnsi="Times New Roman"/>
          <w:sz w:val="24"/>
          <w:szCs w:val="24"/>
        </w:rPr>
        <w:t xml:space="preserve"> The methods were:</w:t>
      </w:r>
    </w:p>
    <w:p w:rsidR="008547EC" w:rsidRPr="00D813D7" w:rsidRDefault="008547EC" w:rsidP="007F14A0">
      <w:pPr>
        <w:pStyle w:val="ListParagraph"/>
        <w:widowControl w:val="0"/>
        <w:numPr>
          <w:ilvl w:val="0"/>
          <w:numId w:val="20"/>
        </w:numPr>
        <w:spacing w:after="0" w:line="480" w:lineRule="auto"/>
        <w:ind w:left="1440"/>
        <w:rPr>
          <w:rFonts w:ascii="Times New Roman" w:hAnsi="Times New Roman"/>
          <w:sz w:val="24"/>
          <w:szCs w:val="24"/>
        </w:rPr>
      </w:pPr>
      <w:r w:rsidRPr="00D813D7">
        <w:rPr>
          <w:rFonts w:ascii="Times New Roman" w:hAnsi="Times New Roman"/>
          <w:sz w:val="24"/>
          <w:szCs w:val="24"/>
        </w:rPr>
        <w:t xml:space="preserve">Peak Credit </w:t>
      </w:r>
      <w:r w:rsidR="00910F2B" w:rsidRPr="00D813D7">
        <w:rPr>
          <w:rFonts w:ascii="Times New Roman" w:hAnsi="Times New Roman"/>
          <w:sz w:val="24"/>
          <w:szCs w:val="24"/>
        </w:rPr>
        <w:t>M</w:t>
      </w:r>
      <w:r w:rsidRPr="00D813D7">
        <w:rPr>
          <w:rFonts w:ascii="Times New Roman" w:hAnsi="Times New Roman"/>
          <w:sz w:val="24"/>
          <w:szCs w:val="24"/>
        </w:rPr>
        <w:t>ethod</w:t>
      </w:r>
      <w:r w:rsidR="004167ED">
        <w:rPr>
          <w:rFonts w:ascii="Times New Roman" w:hAnsi="Times New Roman"/>
          <w:sz w:val="24"/>
          <w:szCs w:val="24"/>
        </w:rPr>
        <w:t>;</w:t>
      </w:r>
    </w:p>
    <w:p w:rsidR="008547EC" w:rsidRPr="00D813D7" w:rsidRDefault="008547EC" w:rsidP="007F14A0">
      <w:pPr>
        <w:pStyle w:val="ListParagraph"/>
        <w:widowControl w:val="0"/>
        <w:numPr>
          <w:ilvl w:val="0"/>
          <w:numId w:val="20"/>
        </w:numPr>
        <w:spacing w:after="0" w:line="480" w:lineRule="auto"/>
        <w:ind w:left="1440"/>
        <w:rPr>
          <w:rFonts w:ascii="Times New Roman" w:hAnsi="Times New Roman"/>
          <w:sz w:val="24"/>
          <w:szCs w:val="24"/>
        </w:rPr>
      </w:pPr>
      <w:r w:rsidRPr="00D813D7">
        <w:rPr>
          <w:rFonts w:ascii="Times New Roman" w:hAnsi="Times New Roman"/>
          <w:sz w:val="24"/>
          <w:szCs w:val="24"/>
        </w:rPr>
        <w:t>Proposed Approach</w:t>
      </w:r>
      <w:r w:rsidR="004167ED">
        <w:rPr>
          <w:rFonts w:ascii="Times New Roman" w:hAnsi="Times New Roman"/>
          <w:sz w:val="24"/>
          <w:szCs w:val="24"/>
        </w:rPr>
        <w:t xml:space="preserve">; and </w:t>
      </w:r>
    </w:p>
    <w:p w:rsidR="008547EC" w:rsidRPr="00D813D7" w:rsidRDefault="008547EC" w:rsidP="007F14A0">
      <w:pPr>
        <w:pStyle w:val="ListParagraph"/>
        <w:widowControl w:val="0"/>
        <w:numPr>
          <w:ilvl w:val="0"/>
          <w:numId w:val="20"/>
        </w:numPr>
        <w:spacing w:after="0" w:line="480" w:lineRule="auto"/>
        <w:ind w:left="1440"/>
        <w:rPr>
          <w:rFonts w:ascii="Times New Roman" w:hAnsi="Times New Roman"/>
          <w:sz w:val="24"/>
          <w:szCs w:val="24"/>
        </w:rPr>
      </w:pPr>
      <w:r w:rsidRPr="00D813D7">
        <w:rPr>
          <w:rFonts w:ascii="Times New Roman" w:hAnsi="Times New Roman"/>
          <w:sz w:val="24"/>
          <w:szCs w:val="24"/>
        </w:rPr>
        <w:t>Fixed Power Cost Adjustment (PCA) Costs</w:t>
      </w:r>
      <w:r w:rsidR="00910F2B" w:rsidRPr="00D813D7">
        <w:rPr>
          <w:rFonts w:ascii="Times New Roman" w:hAnsi="Times New Roman"/>
          <w:sz w:val="24"/>
          <w:szCs w:val="24"/>
        </w:rPr>
        <w:t xml:space="preserve"> Method</w:t>
      </w:r>
      <w:r w:rsidR="004167ED">
        <w:rPr>
          <w:rFonts w:ascii="Times New Roman" w:hAnsi="Times New Roman"/>
          <w:sz w:val="24"/>
          <w:szCs w:val="24"/>
        </w:rPr>
        <w:t>.</w:t>
      </w:r>
    </w:p>
    <w:p w:rsidR="00C52468" w:rsidRPr="00D813D7" w:rsidRDefault="004167ED" w:rsidP="00C52468">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C52468" w:rsidRPr="00D813D7">
        <w:rPr>
          <w:rFonts w:ascii="Times New Roman" w:hAnsi="Times New Roman"/>
          <w:b/>
          <w:sz w:val="24"/>
          <w:szCs w:val="24"/>
        </w:rPr>
        <w:tab/>
        <w:t>Please briefly describe PSE’s Peak Credit method and its pros and cons</w:t>
      </w:r>
      <w:r w:rsidR="005E7983" w:rsidRPr="00D813D7">
        <w:rPr>
          <w:rFonts w:ascii="Times New Roman" w:hAnsi="Times New Roman"/>
          <w:b/>
          <w:sz w:val="24"/>
          <w:szCs w:val="24"/>
        </w:rPr>
        <w:t xml:space="preserve"> for estimating fixed costs</w:t>
      </w:r>
      <w:r w:rsidR="00C52468" w:rsidRPr="00D813D7">
        <w:rPr>
          <w:rFonts w:ascii="Times New Roman" w:hAnsi="Times New Roman"/>
          <w:b/>
          <w:sz w:val="24"/>
          <w:szCs w:val="24"/>
        </w:rPr>
        <w:t>.</w:t>
      </w:r>
    </w:p>
    <w:p w:rsidR="00840C6D" w:rsidRPr="00D813D7" w:rsidRDefault="004167ED" w:rsidP="004167ED">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PSE’s Peak Credit method is a cost a</w:t>
      </w:r>
      <w:r w:rsidR="005E7983" w:rsidRPr="00D813D7">
        <w:rPr>
          <w:rFonts w:ascii="Times New Roman" w:hAnsi="Times New Roman"/>
          <w:sz w:val="24"/>
          <w:szCs w:val="24"/>
        </w:rPr>
        <w:t xml:space="preserve">llocation-type method, which classifies power costs allocated on the basis of demand as fixed and power costs allocated on the basis of energy as </w:t>
      </w:r>
      <w:r w:rsidR="005E7983" w:rsidRPr="00D813D7">
        <w:rPr>
          <w:rFonts w:ascii="Times New Roman" w:hAnsi="Times New Roman"/>
          <w:sz w:val="24"/>
          <w:szCs w:val="24"/>
        </w:rPr>
        <w:lastRenderedPageBreak/>
        <w:t xml:space="preserve">variable. </w:t>
      </w:r>
      <w:r>
        <w:rPr>
          <w:rFonts w:ascii="Times New Roman" w:hAnsi="Times New Roman"/>
          <w:sz w:val="24"/>
          <w:szCs w:val="24"/>
        </w:rPr>
        <w:t xml:space="preserve"> </w:t>
      </w:r>
      <w:r w:rsidR="005E7983" w:rsidRPr="00D813D7">
        <w:rPr>
          <w:rFonts w:ascii="Times New Roman" w:hAnsi="Times New Roman"/>
          <w:sz w:val="24"/>
          <w:szCs w:val="24"/>
        </w:rPr>
        <w:t xml:space="preserve">Like all methods of this type, it has the advantage of relying on cost allocation previously approved by the Commission for classifying costs as fixed or variable. However, such cost allocation is not without controversy and may change over time, as indicated by the fact that </w:t>
      </w:r>
      <w:r w:rsidR="00283F74" w:rsidRPr="00D813D7">
        <w:rPr>
          <w:rFonts w:ascii="Times New Roman" w:hAnsi="Times New Roman"/>
          <w:sz w:val="24"/>
          <w:szCs w:val="24"/>
        </w:rPr>
        <w:t xml:space="preserve">the </w:t>
      </w:r>
      <w:r w:rsidR="00766DD2" w:rsidRPr="00D813D7">
        <w:rPr>
          <w:rFonts w:ascii="Times New Roman" w:hAnsi="Times New Roman"/>
          <w:sz w:val="24"/>
          <w:szCs w:val="24"/>
        </w:rPr>
        <w:t xml:space="preserve">PSE </w:t>
      </w:r>
      <w:r w:rsidR="00283F74" w:rsidRPr="00D813D7">
        <w:rPr>
          <w:rFonts w:ascii="Times New Roman" w:hAnsi="Times New Roman"/>
          <w:sz w:val="24"/>
          <w:szCs w:val="24"/>
        </w:rPr>
        <w:t>witness</w:t>
      </w:r>
      <w:r w:rsidR="005E7983" w:rsidRPr="00D813D7">
        <w:rPr>
          <w:rFonts w:ascii="Times New Roman" w:hAnsi="Times New Roman"/>
          <w:sz w:val="24"/>
          <w:szCs w:val="24"/>
        </w:rPr>
        <w:t xml:space="preserve"> </w:t>
      </w:r>
      <w:r w:rsidR="004D0EE8" w:rsidRPr="00D813D7">
        <w:rPr>
          <w:rFonts w:ascii="Times New Roman" w:hAnsi="Times New Roman"/>
          <w:sz w:val="24"/>
          <w:szCs w:val="24"/>
        </w:rPr>
        <w:t>conducte</w:t>
      </w:r>
      <w:r w:rsidR="005E7983" w:rsidRPr="00D813D7">
        <w:rPr>
          <w:rFonts w:ascii="Times New Roman" w:hAnsi="Times New Roman"/>
          <w:sz w:val="24"/>
          <w:szCs w:val="24"/>
        </w:rPr>
        <w:t>d two different calculations of stranded costs with this method.</w:t>
      </w:r>
      <w:r w:rsidR="005E7983" w:rsidRPr="00D813D7">
        <w:rPr>
          <w:rStyle w:val="FootnoteReference"/>
          <w:rFonts w:ascii="Times New Roman" w:hAnsi="Times New Roman"/>
          <w:sz w:val="24"/>
          <w:szCs w:val="24"/>
        </w:rPr>
        <w:footnoteReference w:id="36"/>
      </w:r>
      <w:r w:rsidR="005E7983" w:rsidRPr="00D813D7">
        <w:rPr>
          <w:rFonts w:ascii="Times New Roman" w:hAnsi="Times New Roman"/>
          <w:sz w:val="24"/>
          <w:szCs w:val="24"/>
        </w:rPr>
        <w:t xml:space="preserve"> </w:t>
      </w:r>
      <w:r>
        <w:rPr>
          <w:rFonts w:ascii="Times New Roman" w:hAnsi="Times New Roman"/>
          <w:sz w:val="24"/>
          <w:szCs w:val="24"/>
        </w:rPr>
        <w:t xml:space="preserve"> </w:t>
      </w:r>
      <w:r w:rsidR="005E7983" w:rsidRPr="00D813D7">
        <w:rPr>
          <w:rFonts w:ascii="Times New Roman" w:hAnsi="Times New Roman"/>
          <w:sz w:val="24"/>
          <w:szCs w:val="24"/>
        </w:rPr>
        <w:t>In addition, generation costs that would typically be considered fixed costs, namely depreciation and financing costs of plant, are often allocated partially on the basis of energy</w:t>
      </w:r>
      <w:r w:rsidR="00D73669" w:rsidRPr="00D813D7">
        <w:rPr>
          <w:rFonts w:ascii="Times New Roman" w:hAnsi="Times New Roman"/>
          <w:sz w:val="24"/>
          <w:szCs w:val="24"/>
        </w:rPr>
        <w:t xml:space="preserve">. </w:t>
      </w:r>
      <w:r>
        <w:rPr>
          <w:rFonts w:ascii="Times New Roman" w:hAnsi="Times New Roman"/>
          <w:sz w:val="24"/>
          <w:szCs w:val="24"/>
        </w:rPr>
        <w:t xml:space="preserve"> </w:t>
      </w:r>
      <w:r w:rsidR="00D73669" w:rsidRPr="00D813D7">
        <w:rPr>
          <w:rFonts w:ascii="Times New Roman" w:hAnsi="Times New Roman"/>
          <w:sz w:val="24"/>
          <w:szCs w:val="24"/>
        </w:rPr>
        <w:t xml:space="preserve">As a result, those </w:t>
      </w:r>
      <w:r w:rsidR="00BB76E8" w:rsidRPr="00D813D7">
        <w:rPr>
          <w:rFonts w:ascii="Times New Roman" w:hAnsi="Times New Roman"/>
          <w:sz w:val="24"/>
          <w:szCs w:val="24"/>
        </w:rPr>
        <w:t xml:space="preserve">partially allocated </w:t>
      </w:r>
      <w:r w:rsidR="00D73669" w:rsidRPr="00D813D7">
        <w:rPr>
          <w:rFonts w:ascii="Times New Roman" w:hAnsi="Times New Roman"/>
          <w:sz w:val="24"/>
          <w:szCs w:val="24"/>
        </w:rPr>
        <w:t>costs</w:t>
      </w:r>
      <w:r w:rsidR="00910F2B" w:rsidRPr="00D813D7">
        <w:rPr>
          <w:rFonts w:ascii="Times New Roman" w:hAnsi="Times New Roman"/>
          <w:sz w:val="24"/>
          <w:szCs w:val="24"/>
        </w:rPr>
        <w:t xml:space="preserve"> would be considered variable costs under this method</w:t>
      </w:r>
      <w:r w:rsidR="005E7983" w:rsidRPr="00D813D7">
        <w:rPr>
          <w:rFonts w:ascii="Times New Roman" w:hAnsi="Times New Roman"/>
          <w:sz w:val="24"/>
          <w:szCs w:val="24"/>
        </w:rPr>
        <w:t>.</w:t>
      </w:r>
      <w:r w:rsidR="00BB76E8" w:rsidRPr="00D813D7">
        <w:rPr>
          <w:rFonts w:ascii="Times New Roman" w:hAnsi="Times New Roman"/>
          <w:sz w:val="24"/>
          <w:szCs w:val="24"/>
        </w:rPr>
        <w:t xml:space="preserve">  The decision to allocate such costs partially on the basis of energy is not necessarily incorrect but rather something that is determined on a case-by-case basis and may be influenced by prior orders.</w:t>
      </w:r>
    </w:p>
    <w:p w:rsidR="00C52468" w:rsidRPr="00D813D7" w:rsidRDefault="004167ED" w:rsidP="00C52468">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C52468" w:rsidRPr="00D813D7">
        <w:rPr>
          <w:rFonts w:ascii="Times New Roman" w:hAnsi="Times New Roman"/>
          <w:b/>
          <w:sz w:val="24"/>
          <w:szCs w:val="24"/>
        </w:rPr>
        <w:tab/>
        <w:t>Please briefly describe PSE’s Proposed Approach</w:t>
      </w:r>
      <w:r w:rsidR="00B45031" w:rsidRPr="00D813D7">
        <w:rPr>
          <w:rFonts w:ascii="Times New Roman" w:hAnsi="Times New Roman"/>
          <w:b/>
          <w:sz w:val="24"/>
          <w:szCs w:val="24"/>
        </w:rPr>
        <w:t xml:space="preserve"> and its pros and cons for estimating fixed costs</w:t>
      </w:r>
      <w:r w:rsidR="00C52468" w:rsidRPr="00D813D7">
        <w:rPr>
          <w:rFonts w:ascii="Times New Roman" w:hAnsi="Times New Roman"/>
          <w:b/>
          <w:sz w:val="24"/>
          <w:szCs w:val="24"/>
        </w:rPr>
        <w:t>.</w:t>
      </w:r>
    </w:p>
    <w:p w:rsidR="00C52468" w:rsidRPr="00D813D7" w:rsidRDefault="004167ED" w:rsidP="00C52468">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C52468" w:rsidRPr="00D813D7">
        <w:rPr>
          <w:rFonts w:ascii="Times New Roman" w:hAnsi="Times New Roman"/>
          <w:sz w:val="24"/>
          <w:szCs w:val="24"/>
        </w:rPr>
        <w:tab/>
      </w:r>
      <w:r w:rsidR="00B45031" w:rsidRPr="00D813D7">
        <w:rPr>
          <w:rFonts w:ascii="Times New Roman" w:hAnsi="Times New Roman"/>
          <w:sz w:val="24"/>
          <w:szCs w:val="24"/>
        </w:rPr>
        <w:t>PSE’s proposed approach relied on sophisticated planning and financial modeling.</w:t>
      </w:r>
      <w:r w:rsidR="009653C7">
        <w:rPr>
          <w:rFonts w:ascii="Times New Roman" w:hAnsi="Times New Roman"/>
          <w:sz w:val="24"/>
          <w:szCs w:val="24"/>
        </w:rPr>
        <w:t xml:space="preserve"> </w:t>
      </w:r>
      <w:r w:rsidR="00B45031" w:rsidRPr="00D813D7">
        <w:rPr>
          <w:rFonts w:ascii="Times New Roman" w:hAnsi="Times New Roman"/>
          <w:sz w:val="24"/>
          <w:szCs w:val="24"/>
        </w:rPr>
        <w:t xml:space="preserve"> Instead of directly classifying costs as fixed or variable</w:t>
      </w:r>
      <w:r w:rsidR="00BF4C3F" w:rsidRPr="00D813D7">
        <w:rPr>
          <w:rFonts w:ascii="Times New Roman" w:hAnsi="Times New Roman"/>
          <w:sz w:val="24"/>
          <w:szCs w:val="24"/>
        </w:rPr>
        <w:t>,</w:t>
      </w:r>
      <w:r w:rsidR="00B45031" w:rsidRPr="00D813D7">
        <w:rPr>
          <w:rFonts w:ascii="Times New Roman" w:hAnsi="Times New Roman"/>
          <w:sz w:val="24"/>
          <w:szCs w:val="24"/>
        </w:rPr>
        <w:t xml:space="preserve"> it estimated avoided cost</w:t>
      </w:r>
      <w:r w:rsidR="00616728" w:rsidRPr="00D813D7">
        <w:rPr>
          <w:rFonts w:ascii="Times New Roman" w:hAnsi="Times New Roman"/>
          <w:sz w:val="24"/>
          <w:szCs w:val="24"/>
        </w:rPr>
        <w:t xml:space="preserve">s from </w:t>
      </w:r>
      <w:r w:rsidR="00BF4C3F" w:rsidRPr="00D813D7">
        <w:rPr>
          <w:rFonts w:ascii="Times New Roman" w:hAnsi="Times New Roman"/>
          <w:sz w:val="24"/>
          <w:szCs w:val="24"/>
        </w:rPr>
        <w:t xml:space="preserve">the customer’s </w:t>
      </w:r>
      <w:r w:rsidR="00616728" w:rsidRPr="00D813D7">
        <w:rPr>
          <w:rFonts w:ascii="Times New Roman" w:hAnsi="Times New Roman"/>
          <w:sz w:val="24"/>
          <w:szCs w:val="24"/>
        </w:rPr>
        <w:t xml:space="preserve">decision to purchase power from an alternative provider and compared it to a forecast of total power-related revenue from </w:t>
      </w:r>
      <w:r w:rsidR="00BF4C3F" w:rsidRPr="00D813D7">
        <w:rPr>
          <w:rFonts w:ascii="Times New Roman" w:hAnsi="Times New Roman"/>
          <w:sz w:val="24"/>
          <w:szCs w:val="24"/>
        </w:rPr>
        <w:t xml:space="preserve">the customer </w:t>
      </w:r>
      <w:r w:rsidR="00616728" w:rsidRPr="00D813D7">
        <w:rPr>
          <w:rFonts w:ascii="Times New Roman" w:hAnsi="Times New Roman"/>
          <w:sz w:val="24"/>
          <w:szCs w:val="24"/>
        </w:rPr>
        <w:t>if it continued purchasing power service from PSE.</w:t>
      </w:r>
      <w:r w:rsidR="009653C7">
        <w:rPr>
          <w:rFonts w:ascii="Times New Roman" w:hAnsi="Times New Roman"/>
          <w:sz w:val="24"/>
          <w:szCs w:val="24"/>
        </w:rPr>
        <w:t xml:space="preserve"> </w:t>
      </w:r>
      <w:r w:rsidR="00616728" w:rsidRPr="00D813D7">
        <w:rPr>
          <w:rFonts w:ascii="Times New Roman" w:hAnsi="Times New Roman"/>
          <w:sz w:val="24"/>
          <w:szCs w:val="24"/>
        </w:rPr>
        <w:t xml:space="preserve"> This method has all the pros and cons discussed in Table 1 above for Planning and Financial Modeling methods.</w:t>
      </w:r>
      <w:r w:rsidR="009653C7">
        <w:rPr>
          <w:rFonts w:ascii="Times New Roman" w:hAnsi="Times New Roman"/>
          <w:sz w:val="24"/>
          <w:szCs w:val="24"/>
        </w:rPr>
        <w:t xml:space="preserve"> </w:t>
      </w:r>
      <w:r w:rsidR="00616728" w:rsidRPr="00D813D7">
        <w:rPr>
          <w:rFonts w:ascii="Times New Roman" w:hAnsi="Times New Roman"/>
          <w:sz w:val="24"/>
          <w:szCs w:val="24"/>
        </w:rPr>
        <w:t xml:space="preserve"> The large size of </w:t>
      </w:r>
      <w:r w:rsidR="00BF4C3F" w:rsidRPr="00D813D7">
        <w:rPr>
          <w:rFonts w:ascii="Times New Roman" w:hAnsi="Times New Roman"/>
          <w:sz w:val="24"/>
          <w:szCs w:val="24"/>
        </w:rPr>
        <w:t xml:space="preserve">the customer’s </w:t>
      </w:r>
      <w:r w:rsidR="00616728" w:rsidRPr="00D813D7">
        <w:rPr>
          <w:rFonts w:ascii="Times New Roman" w:hAnsi="Times New Roman"/>
          <w:sz w:val="24"/>
          <w:szCs w:val="24"/>
        </w:rPr>
        <w:t>load, however, made it possible for the models to detect a measurable difference in c</w:t>
      </w:r>
      <w:r w:rsidR="00910F2B" w:rsidRPr="00D813D7">
        <w:rPr>
          <w:rFonts w:ascii="Times New Roman" w:hAnsi="Times New Roman"/>
          <w:sz w:val="24"/>
          <w:szCs w:val="24"/>
        </w:rPr>
        <w:t xml:space="preserve">ost with and without </w:t>
      </w:r>
      <w:r w:rsidR="00BF4C3F" w:rsidRPr="00D813D7">
        <w:rPr>
          <w:rFonts w:ascii="Times New Roman" w:hAnsi="Times New Roman"/>
          <w:sz w:val="24"/>
          <w:szCs w:val="24"/>
        </w:rPr>
        <w:t>the customer</w:t>
      </w:r>
      <w:r w:rsidR="00910F2B" w:rsidRPr="00D813D7">
        <w:rPr>
          <w:rFonts w:ascii="Times New Roman" w:hAnsi="Times New Roman"/>
          <w:sz w:val="24"/>
          <w:szCs w:val="24"/>
        </w:rPr>
        <w:t>.</w:t>
      </w:r>
      <w:r w:rsidR="00BF4C3F" w:rsidRPr="00D813D7">
        <w:rPr>
          <w:rFonts w:ascii="Times New Roman" w:hAnsi="Times New Roman"/>
          <w:sz w:val="24"/>
          <w:szCs w:val="24"/>
        </w:rPr>
        <w:t xml:space="preserve">  Smaller customers would not have the same impact on a similar analysis.</w:t>
      </w:r>
    </w:p>
    <w:p w:rsidR="00C52468" w:rsidRPr="00D813D7" w:rsidRDefault="009653C7" w:rsidP="00C52468">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C52468" w:rsidRPr="00D813D7">
        <w:rPr>
          <w:rFonts w:ascii="Times New Roman" w:hAnsi="Times New Roman"/>
          <w:b/>
          <w:sz w:val="24"/>
          <w:szCs w:val="24"/>
        </w:rPr>
        <w:tab/>
        <w:t>Please briefly describe PSE’s Fixed PCA Costs method</w:t>
      </w:r>
      <w:r w:rsidR="00B45031" w:rsidRPr="00D813D7">
        <w:rPr>
          <w:rFonts w:ascii="Times New Roman" w:hAnsi="Times New Roman"/>
          <w:b/>
          <w:sz w:val="24"/>
          <w:szCs w:val="24"/>
        </w:rPr>
        <w:t xml:space="preserve"> and its pros and cons for estimating fixed costs</w:t>
      </w:r>
      <w:r w:rsidR="00C52468" w:rsidRPr="00D813D7">
        <w:rPr>
          <w:rFonts w:ascii="Times New Roman" w:hAnsi="Times New Roman"/>
          <w:b/>
          <w:sz w:val="24"/>
          <w:szCs w:val="24"/>
        </w:rPr>
        <w:t>.</w:t>
      </w:r>
    </w:p>
    <w:p w:rsidR="00204BC5" w:rsidRPr="00D813D7" w:rsidRDefault="009653C7" w:rsidP="00291E50">
      <w:pPr>
        <w:widowControl w:val="0"/>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sidR="00C52468" w:rsidRPr="00D813D7">
        <w:rPr>
          <w:rFonts w:ascii="Times New Roman" w:hAnsi="Times New Roman"/>
          <w:sz w:val="24"/>
          <w:szCs w:val="24"/>
        </w:rPr>
        <w:tab/>
      </w:r>
      <w:r w:rsidR="00616728" w:rsidRPr="00D813D7">
        <w:rPr>
          <w:rFonts w:ascii="Times New Roman" w:hAnsi="Times New Roman"/>
          <w:sz w:val="24"/>
          <w:szCs w:val="24"/>
        </w:rPr>
        <w:t>The Fixed PCA Cost method is a direct categorization-type method. It limits fixed costs to those deemed “fixed”</w:t>
      </w:r>
      <w:r w:rsidR="001A69DC" w:rsidRPr="00D813D7">
        <w:rPr>
          <w:rFonts w:ascii="Times New Roman" w:hAnsi="Times New Roman"/>
          <w:sz w:val="24"/>
          <w:szCs w:val="24"/>
        </w:rPr>
        <w:t xml:space="preserve"> in PSE’s PCA mechanism, including cost of capital, depreciation, and production O&amp;M, along with some additional costs such as taxes and overhead. As indicated in Table 1, this method has the benefit of being easy to understand and straightforward to calculate, but has issues surrounding determining the scope of fixed costs and timeframe to consider. These pros and cons would be similar to those associated with Pacific Power’s method in this case, which I discuss </w:t>
      </w:r>
      <w:r w:rsidR="00204BC5" w:rsidRPr="00D813D7">
        <w:rPr>
          <w:rFonts w:ascii="Times New Roman" w:hAnsi="Times New Roman"/>
          <w:sz w:val="24"/>
          <w:szCs w:val="24"/>
        </w:rPr>
        <w:t xml:space="preserve">further </w:t>
      </w:r>
      <w:r w:rsidR="001A69DC" w:rsidRPr="00D813D7">
        <w:rPr>
          <w:rFonts w:ascii="Times New Roman" w:hAnsi="Times New Roman"/>
          <w:sz w:val="24"/>
          <w:szCs w:val="24"/>
        </w:rPr>
        <w:t>below.</w:t>
      </w:r>
    </w:p>
    <w:p w:rsidR="00204BC5" w:rsidRPr="00291E50" w:rsidRDefault="00647FF4" w:rsidP="00291E50">
      <w:pPr>
        <w:pStyle w:val="Heading1"/>
        <w:rPr>
          <w:caps/>
        </w:rPr>
      </w:pPr>
      <w:bookmarkStart w:id="15" w:name="_Toc479329367"/>
      <w:r>
        <w:rPr>
          <w:caps/>
        </w:rPr>
        <w:tab/>
      </w:r>
      <w:bookmarkStart w:id="16" w:name="_Toc480530023"/>
      <w:r w:rsidR="00204BC5" w:rsidRPr="00291E50">
        <w:rPr>
          <w:caps/>
        </w:rPr>
        <w:t>Pacific Power’s Proposed Stranded Cost Recovery Fee</w:t>
      </w:r>
      <w:bookmarkEnd w:id="15"/>
      <w:bookmarkEnd w:id="16"/>
    </w:p>
    <w:p w:rsidR="00204BC5" w:rsidRPr="00D813D7" w:rsidRDefault="00291E50" w:rsidP="003608BB">
      <w:pPr>
        <w:widowControl w:val="0"/>
        <w:spacing w:after="0" w:line="480" w:lineRule="auto"/>
        <w:ind w:left="720" w:hanging="720"/>
        <w:rPr>
          <w:rFonts w:ascii="Times New Roman" w:hAnsi="Times New Roman"/>
          <w:sz w:val="24"/>
          <w:szCs w:val="24"/>
        </w:rPr>
      </w:pPr>
      <w:r>
        <w:rPr>
          <w:rFonts w:ascii="Times New Roman" w:hAnsi="Times New Roman"/>
          <w:b/>
          <w:sz w:val="24"/>
          <w:szCs w:val="24"/>
        </w:rPr>
        <w:t>Q:</w:t>
      </w:r>
      <w:r w:rsidR="00204BC5" w:rsidRPr="00D813D7">
        <w:rPr>
          <w:rFonts w:ascii="Times New Roman" w:hAnsi="Times New Roman"/>
          <w:b/>
          <w:sz w:val="24"/>
          <w:szCs w:val="24"/>
        </w:rPr>
        <w:tab/>
        <w:t xml:space="preserve">Briefly summarize your understanding of why Pacific Power has a proposed Stranded Cost Recovery Fee in addition to the right to be paid for facilities used to provide electric service to departing customers. </w:t>
      </w:r>
    </w:p>
    <w:p w:rsidR="00204BC5" w:rsidRPr="00D813D7" w:rsidRDefault="00291E50" w:rsidP="00291E5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04BC5" w:rsidRPr="00D813D7">
        <w:rPr>
          <w:rFonts w:ascii="Times New Roman" w:hAnsi="Times New Roman"/>
          <w:sz w:val="24"/>
          <w:szCs w:val="24"/>
        </w:rPr>
        <w:tab/>
        <w:t>Pacific Power</w:t>
      </w:r>
      <w:r w:rsidR="003813B8" w:rsidRPr="00D813D7">
        <w:rPr>
          <w:rFonts w:ascii="Times New Roman" w:hAnsi="Times New Roman"/>
          <w:sz w:val="24"/>
          <w:szCs w:val="24"/>
        </w:rPr>
        <w:t xml:space="preserve">’s stated purpose for proposing </w:t>
      </w:r>
      <w:r w:rsidR="00204BC5" w:rsidRPr="00D813D7">
        <w:rPr>
          <w:rFonts w:ascii="Times New Roman" w:hAnsi="Times New Roman"/>
          <w:sz w:val="24"/>
          <w:szCs w:val="24"/>
        </w:rPr>
        <w:t xml:space="preserve">a Stranded Cost Recovery Fee </w:t>
      </w:r>
      <w:r w:rsidR="003813B8" w:rsidRPr="00D813D7">
        <w:rPr>
          <w:rFonts w:ascii="Times New Roman" w:hAnsi="Times New Roman"/>
          <w:sz w:val="24"/>
          <w:szCs w:val="24"/>
        </w:rPr>
        <w:t xml:space="preserve">is </w:t>
      </w:r>
      <w:r w:rsidR="00204BC5" w:rsidRPr="00D813D7">
        <w:rPr>
          <w:rFonts w:ascii="Times New Roman" w:hAnsi="Times New Roman"/>
          <w:sz w:val="24"/>
          <w:szCs w:val="24"/>
        </w:rPr>
        <w:t>to lessen the financial impact to remaining customers after a customer decides to</w:t>
      </w:r>
      <w:r w:rsidR="00790224" w:rsidRPr="00D813D7">
        <w:rPr>
          <w:rFonts w:ascii="Times New Roman" w:hAnsi="Times New Roman"/>
          <w:sz w:val="24"/>
          <w:szCs w:val="24"/>
        </w:rPr>
        <w:t xml:space="preserve"> </w:t>
      </w:r>
      <w:r w:rsidR="00204BC5" w:rsidRPr="00D813D7">
        <w:rPr>
          <w:rFonts w:ascii="Times New Roman" w:hAnsi="Times New Roman"/>
          <w:sz w:val="24"/>
          <w:szCs w:val="24"/>
        </w:rPr>
        <w:t>permanently disconnect and switch to a new service provider.</w:t>
      </w:r>
      <w:r w:rsidR="00BB76E8" w:rsidRPr="00D813D7">
        <w:rPr>
          <w:rStyle w:val="FootnoteReference"/>
          <w:rFonts w:ascii="Times New Roman" w:hAnsi="Times New Roman"/>
          <w:sz w:val="24"/>
          <w:szCs w:val="24"/>
        </w:rPr>
        <w:footnoteReference w:id="37"/>
      </w:r>
      <w:r w:rsidR="00204BC5" w:rsidRPr="00D813D7">
        <w:rPr>
          <w:rFonts w:ascii="Times New Roman" w:hAnsi="Times New Roman"/>
          <w:sz w:val="24"/>
          <w:szCs w:val="24"/>
        </w:rPr>
        <w:t xml:space="preserve"> </w:t>
      </w:r>
      <w:r>
        <w:rPr>
          <w:rFonts w:ascii="Times New Roman" w:hAnsi="Times New Roman"/>
          <w:sz w:val="24"/>
          <w:szCs w:val="24"/>
        </w:rPr>
        <w:t xml:space="preserve"> </w:t>
      </w:r>
      <w:r w:rsidR="00B510D9" w:rsidRPr="00D813D7">
        <w:rPr>
          <w:rFonts w:ascii="Times New Roman" w:hAnsi="Times New Roman"/>
          <w:sz w:val="24"/>
          <w:szCs w:val="24"/>
        </w:rPr>
        <w:t xml:space="preserve">In the absence of a franchise agreement, </w:t>
      </w:r>
      <w:r w:rsidR="00C8580F" w:rsidRPr="00D813D7">
        <w:rPr>
          <w:rFonts w:ascii="Times New Roman" w:hAnsi="Times New Roman"/>
          <w:sz w:val="24"/>
          <w:szCs w:val="24"/>
        </w:rPr>
        <w:t xml:space="preserve">Pacific Power is </w:t>
      </w:r>
      <w:r w:rsidR="00FE62A9" w:rsidRPr="00D813D7">
        <w:rPr>
          <w:rFonts w:ascii="Times New Roman" w:hAnsi="Times New Roman"/>
          <w:sz w:val="24"/>
          <w:szCs w:val="24"/>
        </w:rPr>
        <w:t xml:space="preserve">essentially </w:t>
      </w:r>
      <w:r w:rsidR="00C8580F" w:rsidRPr="00D813D7">
        <w:rPr>
          <w:rFonts w:ascii="Times New Roman" w:hAnsi="Times New Roman"/>
          <w:sz w:val="24"/>
          <w:szCs w:val="24"/>
        </w:rPr>
        <w:t xml:space="preserve">competing with a non-regulated entity in Columbia and Walla Walla Counties, and </w:t>
      </w:r>
      <w:r w:rsidR="00B54D7D" w:rsidRPr="00D813D7">
        <w:rPr>
          <w:rFonts w:ascii="Times New Roman" w:hAnsi="Times New Roman"/>
          <w:sz w:val="24"/>
          <w:szCs w:val="24"/>
        </w:rPr>
        <w:t xml:space="preserve">they have been impacted by </w:t>
      </w:r>
      <w:r w:rsidR="00C8580F" w:rsidRPr="00D813D7">
        <w:rPr>
          <w:rFonts w:ascii="Times New Roman" w:hAnsi="Times New Roman"/>
          <w:sz w:val="24"/>
          <w:szCs w:val="24"/>
        </w:rPr>
        <w:t xml:space="preserve">duplicative infrastructure </w:t>
      </w:r>
      <w:r w:rsidR="00B54D7D" w:rsidRPr="00D813D7">
        <w:rPr>
          <w:rFonts w:ascii="Times New Roman" w:hAnsi="Times New Roman"/>
          <w:sz w:val="24"/>
          <w:szCs w:val="24"/>
        </w:rPr>
        <w:t xml:space="preserve">that </w:t>
      </w:r>
      <w:r w:rsidR="00C8580F" w:rsidRPr="00D813D7">
        <w:rPr>
          <w:rFonts w:ascii="Times New Roman" w:hAnsi="Times New Roman"/>
          <w:sz w:val="24"/>
          <w:szCs w:val="24"/>
        </w:rPr>
        <w:t>has been</w:t>
      </w:r>
      <w:r>
        <w:rPr>
          <w:rFonts w:ascii="Times New Roman" w:hAnsi="Times New Roman"/>
          <w:sz w:val="24"/>
          <w:szCs w:val="24"/>
        </w:rPr>
        <w:t xml:space="preserve"> </w:t>
      </w:r>
      <w:r w:rsidR="00B54D7D" w:rsidRPr="00D813D7">
        <w:rPr>
          <w:rFonts w:ascii="Times New Roman" w:hAnsi="Times New Roman"/>
          <w:sz w:val="24"/>
          <w:szCs w:val="24"/>
        </w:rPr>
        <w:t xml:space="preserve">and is being </w:t>
      </w:r>
      <w:r w:rsidR="00C8580F" w:rsidRPr="00D813D7">
        <w:rPr>
          <w:rFonts w:ascii="Times New Roman" w:hAnsi="Times New Roman"/>
          <w:sz w:val="24"/>
          <w:szCs w:val="24"/>
        </w:rPr>
        <w:t xml:space="preserve">built to serve </w:t>
      </w:r>
      <w:r w:rsidR="00204BC5" w:rsidRPr="00D813D7">
        <w:rPr>
          <w:rFonts w:ascii="Times New Roman" w:hAnsi="Times New Roman"/>
          <w:sz w:val="24"/>
          <w:szCs w:val="24"/>
        </w:rPr>
        <w:t>large commercial</w:t>
      </w:r>
      <w:r w:rsidR="00194C44" w:rsidRPr="00D813D7">
        <w:rPr>
          <w:rStyle w:val="FootnoteReference"/>
          <w:rFonts w:ascii="Times New Roman" w:hAnsi="Times New Roman"/>
          <w:sz w:val="24"/>
          <w:szCs w:val="24"/>
        </w:rPr>
        <w:footnoteReference w:id="38"/>
      </w:r>
      <w:r w:rsidR="00204BC5" w:rsidRPr="00D813D7">
        <w:rPr>
          <w:rFonts w:ascii="Times New Roman" w:hAnsi="Times New Roman"/>
          <w:sz w:val="24"/>
          <w:szCs w:val="24"/>
        </w:rPr>
        <w:t xml:space="preserve"> or high-margin Pacific Power customers</w:t>
      </w:r>
      <w:r w:rsidR="007E5EE4" w:rsidRPr="00D813D7">
        <w:rPr>
          <w:rFonts w:ascii="Times New Roman" w:hAnsi="Times New Roman"/>
          <w:sz w:val="24"/>
          <w:szCs w:val="24"/>
        </w:rPr>
        <w:t>.</w:t>
      </w:r>
      <w:r w:rsidR="00194C44" w:rsidRPr="00291E50">
        <w:rPr>
          <w:rStyle w:val="FootnoteReference"/>
          <w:rFonts w:ascii="Times New Roman" w:hAnsi="Times New Roman"/>
          <w:sz w:val="24"/>
          <w:szCs w:val="24"/>
        </w:rPr>
        <w:footnoteReference w:id="39"/>
      </w:r>
      <w:r w:rsidRPr="00291E50">
        <w:rPr>
          <w:rFonts w:ascii="Times New Roman" w:hAnsi="Times New Roman"/>
          <w:sz w:val="24"/>
          <w:szCs w:val="24"/>
          <w:vertAlign w:val="superscript"/>
        </w:rPr>
        <w:t xml:space="preserve">, </w:t>
      </w:r>
      <w:r w:rsidR="00BB76E8" w:rsidRPr="00291E50">
        <w:rPr>
          <w:rStyle w:val="FootnoteReference"/>
          <w:rFonts w:ascii="Times New Roman" w:hAnsi="Times New Roman"/>
          <w:sz w:val="24"/>
          <w:szCs w:val="24"/>
        </w:rPr>
        <w:footnoteReference w:id="40"/>
      </w:r>
      <w:r w:rsidR="00790224" w:rsidRPr="00291E50">
        <w:rPr>
          <w:rFonts w:ascii="Times New Roman" w:hAnsi="Times New Roman"/>
          <w:sz w:val="24"/>
          <w:szCs w:val="24"/>
          <w:vertAlign w:val="superscript"/>
        </w:rPr>
        <w:t xml:space="preserve"> </w:t>
      </w:r>
    </w:p>
    <w:p w:rsidR="00B54D7D" w:rsidRPr="00D813D7" w:rsidRDefault="00291E50" w:rsidP="00B54D7D">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04BC5" w:rsidRPr="00D813D7">
        <w:rPr>
          <w:rFonts w:ascii="Times New Roman" w:hAnsi="Times New Roman"/>
          <w:sz w:val="24"/>
          <w:szCs w:val="24"/>
        </w:rPr>
        <w:t>Pacific Power contends that</w:t>
      </w:r>
      <w:r w:rsidR="00C8580F" w:rsidRPr="00D813D7">
        <w:rPr>
          <w:rFonts w:ascii="Times New Roman" w:hAnsi="Times New Roman"/>
          <w:sz w:val="24"/>
          <w:szCs w:val="24"/>
        </w:rPr>
        <w:t xml:space="preserve"> the high-margin customers are being “cherry picked” by the competitive supplier</w:t>
      </w:r>
      <w:r w:rsidR="00204BC5" w:rsidRPr="00D813D7">
        <w:rPr>
          <w:rFonts w:ascii="Times New Roman" w:hAnsi="Times New Roman"/>
          <w:sz w:val="24"/>
          <w:szCs w:val="24"/>
        </w:rPr>
        <w:t xml:space="preserve"> because they</w:t>
      </w:r>
      <w:r w:rsidR="00C8580F" w:rsidRPr="00D813D7">
        <w:rPr>
          <w:rFonts w:ascii="Times New Roman" w:hAnsi="Times New Roman"/>
          <w:sz w:val="24"/>
          <w:szCs w:val="24"/>
        </w:rPr>
        <w:t xml:space="preserve"> potentially</w:t>
      </w:r>
      <w:r w:rsidR="00204BC5" w:rsidRPr="00D813D7">
        <w:rPr>
          <w:rFonts w:ascii="Times New Roman" w:hAnsi="Times New Roman"/>
          <w:sz w:val="24"/>
          <w:szCs w:val="24"/>
        </w:rPr>
        <w:t xml:space="preserve"> offer greater revenue and profit margin </w:t>
      </w:r>
      <w:r w:rsidR="00204BC5" w:rsidRPr="00D813D7">
        <w:rPr>
          <w:rFonts w:ascii="Times New Roman" w:hAnsi="Times New Roman"/>
          <w:sz w:val="24"/>
          <w:szCs w:val="24"/>
        </w:rPr>
        <w:lastRenderedPageBreak/>
        <w:t>than would the acquisition of multiple smaller customers.</w:t>
      </w:r>
      <w:r w:rsidR="0011017A" w:rsidRPr="00D813D7">
        <w:rPr>
          <w:rStyle w:val="FootnoteReference"/>
          <w:rFonts w:ascii="Times New Roman" w:hAnsi="Times New Roman"/>
          <w:sz w:val="24"/>
          <w:szCs w:val="24"/>
        </w:rPr>
        <w:footnoteReference w:id="41"/>
      </w:r>
      <w:r w:rsidR="00204BC5" w:rsidRPr="00D813D7">
        <w:rPr>
          <w:rFonts w:ascii="Times New Roman" w:hAnsi="Times New Roman"/>
          <w:sz w:val="24"/>
          <w:szCs w:val="24"/>
        </w:rPr>
        <w:t xml:space="preserve"> </w:t>
      </w:r>
    </w:p>
    <w:p w:rsidR="00204BC5" w:rsidRPr="00D813D7" w:rsidRDefault="00CD3DB9" w:rsidP="00291E50">
      <w:pPr>
        <w:widowControl w:val="0"/>
        <w:spacing w:after="0" w:line="480" w:lineRule="auto"/>
        <w:ind w:left="720"/>
        <w:rPr>
          <w:rFonts w:ascii="Times New Roman" w:hAnsi="Times New Roman"/>
          <w:sz w:val="24"/>
          <w:szCs w:val="24"/>
        </w:rPr>
      </w:pPr>
      <w:r>
        <w:rPr>
          <w:rFonts w:ascii="Times New Roman" w:hAnsi="Times New Roman"/>
          <w:sz w:val="24"/>
          <w:szCs w:val="24"/>
        </w:rPr>
        <w:tab/>
      </w:r>
      <w:r w:rsidR="00C8580F" w:rsidRPr="00D813D7">
        <w:rPr>
          <w:rFonts w:ascii="Times New Roman" w:hAnsi="Times New Roman"/>
          <w:sz w:val="24"/>
          <w:szCs w:val="24"/>
        </w:rPr>
        <w:t>The Stranded Cost Recovery Fee</w:t>
      </w:r>
      <w:r w:rsidR="00B54D7D" w:rsidRPr="00D813D7">
        <w:rPr>
          <w:rFonts w:ascii="Times New Roman" w:hAnsi="Times New Roman"/>
          <w:sz w:val="24"/>
          <w:szCs w:val="24"/>
        </w:rPr>
        <w:t xml:space="preserve"> </w:t>
      </w:r>
      <w:r w:rsidR="00C8580F" w:rsidRPr="00D813D7">
        <w:rPr>
          <w:rFonts w:ascii="Times New Roman" w:hAnsi="Times New Roman"/>
          <w:sz w:val="24"/>
          <w:szCs w:val="24"/>
        </w:rPr>
        <w:t xml:space="preserve">is intended to mitigate cost shifting </w:t>
      </w:r>
      <w:r w:rsidR="000539F5" w:rsidRPr="00D813D7">
        <w:rPr>
          <w:rFonts w:ascii="Times New Roman" w:hAnsi="Times New Roman"/>
          <w:sz w:val="24"/>
          <w:szCs w:val="24"/>
        </w:rPr>
        <w:t xml:space="preserve">to remaining customers </w:t>
      </w:r>
      <w:r w:rsidR="00C8580F" w:rsidRPr="00D813D7">
        <w:rPr>
          <w:rFonts w:ascii="Times New Roman" w:hAnsi="Times New Roman"/>
          <w:sz w:val="24"/>
          <w:szCs w:val="24"/>
        </w:rPr>
        <w:t xml:space="preserve">and recover </w:t>
      </w:r>
      <w:r w:rsidR="000539F5" w:rsidRPr="00D813D7">
        <w:rPr>
          <w:rFonts w:ascii="Times New Roman" w:hAnsi="Times New Roman"/>
          <w:sz w:val="24"/>
          <w:szCs w:val="24"/>
        </w:rPr>
        <w:t xml:space="preserve">such </w:t>
      </w:r>
      <w:r w:rsidR="00C8580F" w:rsidRPr="00D813D7">
        <w:rPr>
          <w:rFonts w:ascii="Times New Roman" w:hAnsi="Times New Roman"/>
          <w:sz w:val="24"/>
          <w:szCs w:val="24"/>
        </w:rPr>
        <w:t>stranded costs associated with the departure of customers seeking service elsewhere</w:t>
      </w:r>
      <w:r w:rsidR="000539F5" w:rsidRPr="00D813D7">
        <w:rPr>
          <w:rFonts w:ascii="Times New Roman" w:hAnsi="Times New Roman"/>
          <w:sz w:val="24"/>
          <w:szCs w:val="24"/>
        </w:rPr>
        <w:t xml:space="preserve"> from the departing customers</w:t>
      </w:r>
      <w:r w:rsidR="00C8580F" w:rsidRPr="00D813D7">
        <w:rPr>
          <w:rFonts w:ascii="Times New Roman" w:hAnsi="Times New Roman"/>
          <w:sz w:val="24"/>
          <w:szCs w:val="24"/>
        </w:rPr>
        <w:t xml:space="preserve">.  </w:t>
      </w:r>
      <w:r w:rsidR="002A11C1">
        <w:rPr>
          <w:rFonts w:ascii="Times New Roman" w:hAnsi="Times New Roman"/>
          <w:sz w:val="24"/>
          <w:szCs w:val="24"/>
        </w:rPr>
        <w:t>Pacific Power</w:t>
      </w:r>
      <w:r w:rsidR="00C8580F" w:rsidRPr="00D813D7">
        <w:rPr>
          <w:rFonts w:ascii="Times New Roman" w:hAnsi="Times New Roman"/>
          <w:sz w:val="24"/>
          <w:szCs w:val="24"/>
        </w:rPr>
        <w:t xml:space="preserve"> design</w:t>
      </w:r>
      <w:r w:rsidR="002A11C1">
        <w:rPr>
          <w:rFonts w:ascii="Times New Roman" w:hAnsi="Times New Roman"/>
          <w:sz w:val="24"/>
          <w:szCs w:val="24"/>
        </w:rPr>
        <w:t>s</w:t>
      </w:r>
      <w:r w:rsidR="00C8580F" w:rsidRPr="00D813D7">
        <w:rPr>
          <w:rFonts w:ascii="Times New Roman" w:hAnsi="Times New Roman"/>
          <w:sz w:val="24"/>
          <w:szCs w:val="24"/>
        </w:rPr>
        <w:t xml:space="preserve"> </w:t>
      </w:r>
      <w:r w:rsidR="000539F5" w:rsidRPr="00D813D7">
        <w:rPr>
          <w:rFonts w:ascii="Times New Roman" w:hAnsi="Times New Roman"/>
          <w:sz w:val="24"/>
          <w:szCs w:val="24"/>
        </w:rPr>
        <w:t xml:space="preserve">their </w:t>
      </w:r>
      <w:r w:rsidR="00C8580F" w:rsidRPr="00D813D7">
        <w:rPr>
          <w:rFonts w:ascii="Times New Roman" w:hAnsi="Times New Roman"/>
          <w:sz w:val="24"/>
          <w:szCs w:val="24"/>
        </w:rPr>
        <w:t xml:space="preserve">system and </w:t>
      </w:r>
      <w:r w:rsidR="000539F5" w:rsidRPr="00D813D7">
        <w:rPr>
          <w:rFonts w:ascii="Times New Roman" w:hAnsi="Times New Roman"/>
          <w:sz w:val="24"/>
          <w:szCs w:val="24"/>
        </w:rPr>
        <w:t>make</w:t>
      </w:r>
      <w:r w:rsidR="002A11C1">
        <w:rPr>
          <w:rFonts w:ascii="Times New Roman" w:hAnsi="Times New Roman"/>
          <w:sz w:val="24"/>
          <w:szCs w:val="24"/>
        </w:rPr>
        <w:t>s</w:t>
      </w:r>
      <w:r w:rsidR="000539F5" w:rsidRPr="00D813D7">
        <w:rPr>
          <w:rFonts w:ascii="Times New Roman" w:hAnsi="Times New Roman"/>
          <w:sz w:val="24"/>
          <w:szCs w:val="24"/>
        </w:rPr>
        <w:t xml:space="preserve"> </w:t>
      </w:r>
      <w:r w:rsidR="00C8580F" w:rsidRPr="00D813D7">
        <w:rPr>
          <w:rFonts w:ascii="Times New Roman" w:hAnsi="Times New Roman"/>
          <w:sz w:val="24"/>
          <w:szCs w:val="24"/>
        </w:rPr>
        <w:t>resource investments to ensure reliable service based on the entire community of customers.  To capture the costs associated with resource investments made to serve the customers leaving the system, Pacific Power proposes to charge departing customers a Stranded Cost Recovery Fee before they permanently disconnect service.</w:t>
      </w:r>
    </w:p>
    <w:p w:rsidR="00204BC5" w:rsidRPr="00D813D7" w:rsidRDefault="00291E50" w:rsidP="00204BC5">
      <w:pPr>
        <w:widowControl w:val="0"/>
        <w:spacing w:after="0" w:line="480" w:lineRule="auto"/>
        <w:ind w:left="720" w:hanging="720"/>
        <w:rPr>
          <w:rFonts w:ascii="Times New Roman" w:hAnsi="Times New Roman"/>
          <w:sz w:val="24"/>
          <w:szCs w:val="24"/>
        </w:rPr>
      </w:pPr>
      <w:r>
        <w:rPr>
          <w:rFonts w:ascii="Times New Roman" w:hAnsi="Times New Roman"/>
          <w:b/>
          <w:sz w:val="24"/>
          <w:szCs w:val="24"/>
        </w:rPr>
        <w:t>Q:</w:t>
      </w:r>
      <w:r w:rsidR="00204BC5" w:rsidRPr="00D813D7">
        <w:rPr>
          <w:rFonts w:ascii="Times New Roman" w:hAnsi="Times New Roman"/>
          <w:b/>
          <w:sz w:val="24"/>
          <w:szCs w:val="24"/>
        </w:rPr>
        <w:tab/>
      </w:r>
      <w:r w:rsidR="000539F5" w:rsidRPr="00D813D7">
        <w:rPr>
          <w:rFonts w:ascii="Times New Roman" w:hAnsi="Times New Roman"/>
          <w:b/>
          <w:sz w:val="24"/>
          <w:szCs w:val="24"/>
        </w:rPr>
        <w:t>How does Pacific Power propose to calculate a Stranded Cost Recovery Fee</w:t>
      </w:r>
      <w:r w:rsidR="00740200" w:rsidRPr="00D813D7">
        <w:rPr>
          <w:rFonts w:ascii="Times New Roman" w:hAnsi="Times New Roman"/>
          <w:b/>
          <w:sz w:val="24"/>
          <w:szCs w:val="24"/>
        </w:rPr>
        <w:t>?</w:t>
      </w:r>
    </w:p>
    <w:p w:rsidR="001E67A8" w:rsidRPr="00D813D7" w:rsidRDefault="00291E50" w:rsidP="003608BB">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04BC5" w:rsidRPr="00D813D7">
        <w:rPr>
          <w:rFonts w:ascii="Times New Roman" w:hAnsi="Times New Roman"/>
          <w:sz w:val="24"/>
          <w:szCs w:val="24"/>
        </w:rPr>
        <w:tab/>
        <w:t>Pacific Power propose</w:t>
      </w:r>
      <w:r w:rsidR="00183555">
        <w:rPr>
          <w:rFonts w:ascii="Times New Roman" w:hAnsi="Times New Roman"/>
          <w:sz w:val="24"/>
          <w:szCs w:val="24"/>
        </w:rPr>
        <w:t>s</w:t>
      </w:r>
      <w:r w:rsidR="00204BC5" w:rsidRPr="00D813D7">
        <w:rPr>
          <w:rFonts w:ascii="Times New Roman" w:hAnsi="Times New Roman"/>
          <w:sz w:val="24"/>
          <w:szCs w:val="24"/>
        </w:rPr>
        <w:t xml:space="preserve"> a </w:t>
      </w:r>
      <w:r w:rsidR="00012C53" w:rsidRPr="00D813D7">
        <w:rPr>
          <w:rFonts w:ascii="Times New Roman" w:hAnsi="Times New Roman"/>
          <w:sz w:val="24"/>
          <w:szCs w:val="24"/>
        </w:rPr>
        <w:t xml:space="preserve">different formula to calculate </w:t>
      </w:r>
      <w:r w:rsidR="00183555">
        <w:rPr>
          <w:rFonts w:ascii="Times New Roman" w:hAnsi="Times New Roman"/>
          <w:sz w:val="24"/>
          <w:szCs w:val="24"/>
        </w:rPr>
        <w:t>the</w:t>
      </w:r>
      <w:r w:rsidR="00012C53" w:rsidRPr="00D813D7">
        <w:rPr>
          <w:rFonts w:ascii="Times New Roman" w:hAnsi="Times New Roman"/>
          <w:sz w:val="24"/>
          <w:szCs w:val="24"/>
        </w:rPr>
        <w:t xml:space="preserve"> </w:t>
      </w:r>
      <w:r w:rsidR="00204BC5" w:rsidRPr="00D813D7">
        <w:rPr>
          <w:rFonts w:ascii="Times New Roman" w:hAnsi="Times New Roman"/>
          <w:sz w:val="24"/>
          <w:szCs w:val="24"/>
        </w:rPr>
        <w:t xml:space="preserve">Stranded Cost Recovery Fee for departing residential </w:t>
      </w:r>
      <w:r w:rsidR="00183555">
        <w:rPr>
          <w:rFonts w:ascii="Times New Roman" w:hAnsi="Times New Roman"/>
          <w:sz w:val="24"/>
          <w:szCs w:val="24"/>
        </w:rPr>
        <w:t xml:space="preserve">customers </w:t>
      </w:r>
      <w:r w:rsidR="00012C53" w:rsidRPr="00D813D7">
        <w:rPr>
          <w:rFonts w:ascii="Times New Roman" w:hAnsi="Times New Roman"/>
          <w:sz w:val="24"/>
          <w:szCs w:val="24"/>
        </w:rPr>
        <w:t>versus</w:t>
      </w:r>
      <w:r w:rsidR="00183555">
        <w:rPr>
          <w:rFonts w:ascii="Times New Roman" w:hAnsi="Times New Roman"/>
          <w:sz w:val="24"/>
          <w:szCs w:val="24"/>
        </w:rPr>
        <w:t xml:space="preserve"> departing</w:t>
      </w:r>
      <w:r w:rsidR="00012C53" w:rsidRPr="00D813D7">
        <w:rPr>
          <w:rFonts w:ascii="Times New Roman" w:hAnsi="Times New Roman"/>
          <w:sz w:val="24"/>
          <w:szCs w:val="24"/>
        </w:rPr>
        <w:t xml:space="preserve"> </w:t>
      </w:r>
      <w:r w:rsidR="00204BC5" w:rsidRPr="00D813D7">
        <w:rPr>
          <w:rFonts w:ascii="Times New Roman" w:hAnsi="Times New Roman"/>
          <w:sz w:val="24"/>
          <w:szCs w:val="24"/>
        </w:rPr>
        <w:t xml:space="preserve">non-residential customers. </w:t>
      </w:r>
      <w:r w:rsidR="00961A91">
        <w:rPr>
          <w:rFonts w:ascii="Times New Roman" w:hAnsi="Times New Roman"/>
          <w:sz w:val="24"/>
          <w:szCs w:val="24"/>
        </w:rPr>
        <w:t xml:space="preserve"> </w:t>
      </w:r>
      <w:r w:rsidR="00204BC5" w:rsidRPr="00D813D7">
        <w:rPr>
          <w:rFonts w:ascii="Times New Roman" w:hAnsi="Times New Roman"/>
          <w:sz w:val="24"/>
          <w:szCs w:val="24"/>
        </w:rPr>
        <w:t xml:space="preserve">For residential customers, the Company subtracts </w:t>
      </w:r>
      <w:r w:rsidR="000539F5" w:rsidRPr="00D813D7">
        <w:rPr>
          <w:rFonts w:ascii="Times New Roman" w:hAnsi="Times New Roman"/>
          <w:sz w:val="24"/>
          <w:szCs w:val="24"/>
        </w:rPr>
        <w:t xml:space="preserve">total residential class </w:t>
      </w:r>
      <w:r w:rsidR="00204BC5" w:rsidRPr="00D813D7">
        <w:rPr>
          <w:rFonts w:ascii="Times New Roman" w:hAnsi="Times New Roman"/>
          <w:sz w:val="24"/>
          <w:szCs w:val="24"/>
        </w:rPr>
        <w:t xml:space="preserve">net power cost revenues from total </w:t>
      </w:r>
      <w:r w:rsidR="000539F5" w:rsidRPr="00D813D7">
        <w:rPr>
          <w:rFonts w:ascii="Times New Roman" w:hAnsi="Times New Roman"/>
          <w:sz w:val="24"/>
          <w:szCs w:val="24"/>
        </w:rPr>
        <w:t xml:space="preserve">residential class </w:t>
      </w:r>
      <w:r w:rsidR="00204BC5" w:rsidRPr="00D813D7">
        <w:rPr>
          <w:rFonts w:ascii="Times New Roman" w:hAnsi="Times New Roman"/>
          <w:sz w:val="24"/>
          <w:szCs w:val="24"/>
        </w:rPr>
        <w:t xml:space="preserve">revenues and divides the </w:t>
      </w:r>
      <w:r w:rsidR="001E67A8" w:rsidRPr="00D813D7">
        <w:rPr>
          <w:rFonts w:ascii="Times New Roman" w:hAnsi="Times New Roman"/>
          <w:sz w:val="24"/>
          <w:szCs w:val="24"/>
        </w:rPr>
        <w:t xml:space="preserve">residential </w:t>
      </w:r>
      <w:r w:rsidR="00204BC5" w:rsidRPr="00D813D7">
        <w:rPr>
          <w:rFonts w:ascii="Times New Roman" w:hAnsi="Times New Roman"/>
          <w:sz w:val="24"/>
          <w:szCs w:val="24"/>
        </w:rPr>
        <w:t xml:space="preserve">non-net power cost revenue by the number of </w:t>
      </w:r>
      <w:r w:rsidR="001E67A8" w:rsidRPr="00D813D7">
        <w:rPr>
          <w:rFonts w:ascii="Times New Roman" w:hAnsi="Times New Roman"/>
          <w:sz w:val="24"/>
          <w:szCs w:val="24"/>
        </w:rPr>
        <w:t xml:space="preserve">residential </w:t>
      </w:r>
      <w:r w:rsidR="00204BC5" w:rsidRPr="00D813D7">
        <w:rPr>
          <w:rFonts w:ascii="Times New Roman" w:hAnsi="Times New Roman"/>
          <w:sz w:val="24"/>
          <w:szCs w:val="24"/>
        </w:rPr>
        <w:t xml:space="preserve">customers. </w:t>
      </w:r>
      <w:r w:rsidR="00961A91">
        <w:rPr>
          <w:rFonts w:ascii="Times New Roman" w:hAnsi="Times New Roman"/>
          <w:sz w:val="24"/>
          <w:szCs w:val="24"/>
        </w:rPr>
        <w:t xml:space="preserve"> </w:t>
      </w:r>
      <w:r w:rsidR="00742AD5">
        <w:rPr>
          <w:rFonts w:ascii="Times New Roman" w:hAnsi="Times New Roman"/>
          <w:sz w:val="24"/>
          <w:szCs w:val="24"/>
        </w:rPr>
        <w:t>The Company then uses a</w:t>
      </w:r>
      <w:r w:rsidR="00204BC5" w:rsidRPr="00D813D7">
        <w:rPr>
          <w:rFonts w:ascii="Times New Roman" w:hAnsi="Times New Roman"/>
          <w:sz w:val="24"/>
          <w:szCs w:val="24"/>
        </w:rPr>
        <w:t xml:space="preserve"> discount rate of 6.38 percent</w:t>
      </w:r>
      <w:r w:rsidR="00BD547E" w:rsidRPr="00D813D7">
        <w:rPr>
          <w:rStyle w:val="FootnoteReference"/>
          <w:rFonts w:ascii="Times New Roman" w:hAnsi="Times New Roman"/>
          <w:sz w:val="24"/>
          <w:szCs w:val="24"/>
        </w:rPr>
        <w:footnoteReference w:id="42"/>
      </w:r>
      <w:r w:rsidR="00204BC5" w:rsidRPr="00D813D7">
        <w:rPr>
          <w:rFonts w:ascii="Times New Roman" w:hAnsi="Times New Roman"/>
          <w:sz w:val="24"/>
          <w:szCs w:val="24"/>
        </w:rPr>
        <w:t xml:space="preserve"> to calculate the net present value of the non-net power cost revenue per </w:t>
      </w:r>
      <w:r w:rsidR="001E67A8" w:rsidRPr="00D813D7">
        <w:rPr>
          <w:rFonts w:ascii="Times New Roman" w:hAnsi="Times New Roman"/>
          <w:sz w:val="24"/>
          <w:szCs w:val="24"/>
        </w:rPr>
        <w:t xml:space="preserve">residential </w:t>
      </w:r>
      <w:r w:rsidR="00204BC5" w:rsidRPr="00D813D7">
        <w:rPr>
          <w:rFonts w:ascii="Times New Roman" w:hAnsi="Times New Roman"/>
          <w:sz w:val="24"/>
          <w:szCs w:val="24"/>
        </w:rPr>
        <w:t xml:space="preserve">customer during a ten-year period. </w:t>
      </w:r>
    </w:p>
    <w:p w:rsidR="00204BC5" w:rsidRPr="00D813D7" w:rsidRDefault="00961A91" w:rsidP="00961A91">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04BC5" w:rsidRPr="00D813D7">
        <w:rPr>
          <w:rFonts w:ascii="Times New Roman" w:hAnsi="Times New Roman"/>
          <w:sz w:val="24"/>
          <w:szCs w:val="24"/>
        </w:rPr>
        <w:t xml:space="preserve">The calculation for non-residential customers is the same as for residential customers </w:t>
      </w:r>
      <w:r w:rsidR="00BD547E" w:rsidRPr="00D813D7">
        <w:rPr>
          <w:rFonts w:ascii="Times New Roman" w:hAnsi="Times New Roman"/>
          <w:sz w:val="24"/>
          <w:szCs w:val="24"/>
        </w:rPr>
        <w:t>except</w:t>
      </w:r>
      <w:r>
        <w:rPr>
          <w:rFonts w:ascii="Times New Roman" w:hAnsi="Times New Roman"/>
          <w:sz w:val="24"/>
          <w:szCs w:val="24"/>
        </w:rPr>
        <w:t xml:space="preserve"> that</w:t>
      </w:r>
      <w:r w:rsidR="001E67A8" w:rsidRPr="00D813D7">
        <w:rPr>
          <w:rFonts w:ascii="Times New Roman" w:hAnsi="Times New Roman"/>
          <w:sz w:val="24"/>
          <w:szCs w:val="24"/>
        </w:rPr>
        <w:t xml:space="preserve"> </w:t>
      </w:r>
      <w:r w:rsidR="00204BC5" w:rsidRPr="00D813D7">
        <w:rPr>
          <w:rFonts w:ascii="Times New Roman" w:hAnsi="Times New Roman"/>
          <w:sz w:val="24"/>
          <w:szCs w:val="24"/>
        </w:rPr>
        <w:t>the resulting</w:t>
      </w:r>
      <w:r w:rsidR="001E67A8" w:rsidRPr="00D813D7">
        <w:rPr>
          <w:rFonts w:ascii="Times New Roman" w:hAnsi="Times New Roman"/>
          <w:sz w:val="24"/>
          <w:szCs w:val="24"/>
        </w:rPr>
        <w:t xml:space="preserve"> non-residential</w:t>
      </w:r>
      <w:r>
        <w:rPr>
          <w:rFonts w:ascii="Times New Roman" w:hAnsi="Times New Roman"/>
          <w:sz w:val="24"/>
          <w:szCs w:val="24"/>
        </w:rPr>
        <w:t>,</w:t>
      </w:r>
      <w:r w:rsidR="00204BC5" w:rsidRPr="00D813D7">
        <w:rPr>
          <w:rFonts w:ascii="Times New Roman" w:hAnsi="Times New Roman"/>
          <w:sz w:val="24"/>
          <w:szCs w:val="24"/>
        </w:rPr>
        <w:t xml:space="preserve"> non-net power cost revenue paid by</w:t>
      </w:r>
      <w:r>
        <w:rPr>
          <w:rFonts w:ascii="Times New Roman" w:hAnsi="Times New Roman"/>
          <w:sz w:val="24"/>
          <w:szCs w:val="24"/>
        </w:rPr>
        <w:t xml:space="preserve"> these customers during the 10</w:t>
      </w:r>
      <w:r w:rsidR="00204BC5" w:rsidRPr="00D813D7">
        <w:rPr>
          <w:rFonts w:ascii="Times New Roman" w:hAnsi="Times New Roman"/>
          <w:sz w:val="24"/>
          <w:szCs w:val="24"/>
        </w:rPr>
        <w:t xml:space="preserve">-year period is divided by the average annual </w:t>
      </w:r>
      <w:r>
        <w:rPr>
          <w:rFonts w:ascii="Times New Roman" w:hAnsi="Times New Roman"/>
          <w:sz w:val="24"/>
          <w:szCs w:val="24"/>
        </w:rPr>
        <w:t>non</w:t>
      </w:r>
      <w:r>
        <w:rPr>
          <w:rFonts w:ascii="Times New Roman" w:hAnsi="Times New Roman"/>
          <w:sz w:val="24"/>
          <w:szCs w:val="24"/>
        </w:rPr>
        <w:noBreakHyphen/>
      </w:r>
      <w:r w:rsidR="001E67A8" w:rsidRPr="00D813D7">
        <w:rPr>
          <w:rFonts w:ascii="Times New Roman" w:hAnsi="Times New Roman"/>
          <w:sz w:val="24"/>
          <w:szCs w:val="24"/>
        </w:rPr>
        <w:t xml:space="preserve">residential </w:t>
      </w:r>
      <w:r w:rsidR="00204BC5" w:rsidRPr="00D813D7">
        <w:rPr>
          <w:rFonts w:ascii="Times New Roman" w:hAnsi="Times New Roman"/>
          <w:sz w:val="24"/>
          <w:szCs w:val="24"/>
        </w:rPr>
        <w:t xml:space="preserve">revenue rather than </w:t>
      </w:r>
      <w:r w:rsidR="00BD547E" w:rsidRPr="00D813D7">
        <w:rPr>
          <w:rFonts w:ascii="Times New Roman" w:hAnsi="Times New Roman"/>
          <w:sz w:val="24"/>
          <w:szCs w:val="24"/>
        </w:rPr>
        <w:t xml:space="preserve">by </w:t>
      </w:r>
      <w:r w:rsidR="00204BC5" w:rsidRPr="00D813D7">
        <w:rPr>
          <w:rFonts w:ascii="Times New Roman" w:hAnsi="Times New Roman"/>
          <w:sz w:val="24"/>
          <w:szCs w:val="24"/>
        </w:rPr>
        <w:t>the number of customers.</w:t>
      </w:r>
      <w:r w:rsidR="00BD547E" w:rsidRPr="00D813D7">
        <w:rPr>
          <w:rStyle w:val="FootnoteReference"/>
          <w:rFonts w:ascii="Times New Roman" w:hAnsi="Times New Roman"/>
          <w:sz w:val="24"/>
          <w:szCs w:val="24"/>
        </w:rPr>
        <w:footnoteReference w:id="43"/>
      </w:r>
      <w:r>
        <w:rPr>
          <w:rFonts w:ascii="Times New Roman" w:hAnsi="Times New Roman"/>
          <w:sz w:val="24"/>
          <w:szCs w:val="24"/>
        </w:rPr>
        <w:t xml:space="preserve"> </w:t>
      </w:r>
    </w:p>
    <w:p w:rsidR="00012C53" w:rsidRPr="00D813D7" w:rsidRDefault="00961A91" w:rsidP="00961A91">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04BC5" w:rsidRPr="00D813D7">
        <w:rPr>
          <w:rFonts w:ascii="Times New Roman" w:hAnsi="Times New Roman"/>
          <w:sz w:val="24"/>
          <w:szCs w:val="24"/>
        </w:rPr>
        <w:t xml:space="preserve">Pacific Power proposes a single fee of $6,153 for residential customers, arguing that </w:t>
      </w:r>
      <w:r w:rsidR="00204BC5" w:rsidRPr="00D813D7">
        <w:rPr>
          <w:rFonts w:ascii="Times New Roman" w:hAnsi="Times New Roman"/>
          <w:sz w:val="24"/>
          <w:szCs w:val="24"/>
        </w:rPr>
        <w:lastRenderedPageBreak/>
        <w:t>a single value is financially valid based on the relative invariance of service costs and load size for residential customers compared to non-residential customers.</w:t>
      </w:r>
      <w:r w:rsidR="00012C53" w:rsidRPr="00D813D7">
        <w:rPr>
          <w:rStyle w:val="FootnoteReference"/>
          <w:rFonts w:ascii="Times New Roman" w:hAnsi="Times New Roman"/>
          <w:sz w:val="24"/>
          <w:szCs w:val="24"/>
        </w:rPr>
        <w:footnoteReference w:id="44"/>
      </w:r>
      <w:r w:rsidR="00204BC5" w:rsidRPr="00D813D7">
        <w:rPr>
          <w:rFonts w:ascii="Times New Roman" w:hAnsi="Times New Roman"/>
          <w:sz w:val="24"/>
          <w:szCs w:val="24"/>
        </w:rPr>
        <w:t xml:space="preserve"> </w:t>
      </w:r>
      <w:r>
        <w:rPr>
          <w:rFonts w:ascii="Times New Roman" w:hAnsi="Times New Roman"/>
          <w:sz w:val="24"/>
          <w:szCs w:val="24"/>
        </w:rPr>
        <w:t xml:space="preserve"> </w:t>
      </w:r>
      <w:r w:rsidR="00204BC5" w:rsidRPr="00D813D7">
        <w:rPr>
          <w:rFonts w:ascii="Times New Roman" w:hAnsi="Times New Roman"/>
          <w:sz w:val="24"/>
          <w:szCs w:val="24"/>
        </w:rPr>
        <w:t xml:space="preserve">The Company also contends that a single value provides residential customers with a clearer understanding of the financial consequences of their departure. </w:t>
      </w:r>
    </w:p>
    <w:p w:rsidR="00012C53" w:rsidRPr="00D813D7" w:rsidRDefault="00961A91" w:rsidP="00961A91">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04BC5" w:rsidRPr="00D813D7">
        <w:rPr>
          <w:rFonts w:ascii="Times New Roman" w:hAnsi="Times New Roman"/>
          <w:sz w:val="24"/>
          <w:szCs w:val="24"/>
        </w:rPr>
        <w:t xml:space="preserve">For non-residential customers, </w:t>
      </w:r>
      <w:r w:rsidR="00012C53" w:rsidRPr="00D813D7">
        <w:rPr>
          <w:rFonts w:ascii="Times New Roman" w:hAnsi="Times New Roman"/>
          <w:sz w:val="24"/>
          <w:szCs w:val="24"/>
        </w:rPr>
        <w:t xml:space="preserve">Pacific Power proposes a </w:t>
      </w:r>
      <w:r w:rsidR="00204BC5" w:rsidRPr="00D813D7">
        <w:rPr>
          <w:rFonts w:ascii="Times New Roman" w:hAnsi="Times New Roman"/>
          <w:sz w:val="24"/>
          <w:szCs w:val="24"/>
        </w:rPr>
        <w:t xml:space="preserve">fee </w:t>
      </w:r>
      <w:r w:rsidR="00012C53" w:rsidRPr="00D813D7">
        <w:rPr>
          <w:rFonts w:ascii="Times New Roman" w:hAnsi="Times New Roman"/>
          <w:sz w:val="24"/>
          <w:szCs w:val="24"/>
        </w:rPr>
        <w:t xml:space="preserve">based on a multiplier </w:t>
      </w:r>
      <w:r>
        <w:rPr>
          <w:rFonts w:ascii="Times New Roman" w:hAnsi="Times New Roman"/>
          <w:sz w:val="24"/>
          <w:szCs w:val="24"/>
        </w:rPr>
        <w:t>equal to 4.5 times the</w:t>
      </w:r>
      <w:r w:rsidR="00204BC5" w:rsidRPr="00D813D7">
        <w:rPr>
          <w:rFonts w:ascii="Times New Roman" w:hAnsi="Times New Roman"/>
          <w:sz w:val="24"/>
          <w:szCs w:val="24"/>
        </w:rPr>
        <w:t xml:space="preserve"> annual revenue</w:t>
      </w:r>
      <w:r w:rsidR="00BD547E" w:rsidRPr="00D813D7">
        <w:rPr>
          <w:rFonts w:ascii="Times New Roman" w:hAnsi="Times New Roman"/>
          <w:sz w:val="24"/>
          <w:szCs w:val="24"/>
        </w:rPr>
        <w:t xml:space="preserve"> it receives from that customer class</w:t>
      </w:r>
      <w:r w:rsidR="00204BC5" w:rsidRPr="00D813D7">
        <w:rPr>
          <w:rFonts w:ascii="Times New Roman" w:hAnsi="Times New Roman"/>
          <w:sz w:val="24"/>
          <w:szCs w:val="24"/>
        </w:rPr>
        <w:t>.</w:t>
      </w:r>
      <w:r w:rsidR="00BD547E" w:rsidRPr="00D813D7">
        <w:rPr>
          <w:rStyle w:val="FootnoteReference"/>
          <w:rFonts w:ascii="Times New Roman" w:hAnsi="Times New Roman"/>
          <w:sz w:val="24"/>
          <w:szCs w:val="24"/>
        </w:rPr>
        <w:footnoteReference w:id="45"/>
      </w:r>
      <w:r w:rsidR="00012C53" w:rsidRPr="00D813D7">
        <w:rPr>
          <w:rFonts w:ascii="Times New Roman" w:hAnsi="Times New Roman"/>
          <w:sz w:val="24"/>
          <w:szCs w:val="24"/>
        </w:rPr>
        <w:t xml:space="preserve"> </w:t>
      </w:r>
      <w:r>
        <w:rPr>
          <w:rFonts w:ascii="Times New Roman" w:hAnsi="Times New Roman"/>
          <w:sz w:val="24"/>
          <w:szCs w:val="24"/>
        </w:rPr>
        <w:t xml:space="preserve"> </w:t>
      </w:r>
      <w:r w:rsidR="00012C53" w:rsidRPr="00D813D7">
        <w:rPr>
          <w:rFonts w:ascii="Times New Roman" w:hAnsi="Times New Roman"/>
          <w:sz w:val="24"/>
          <w:szCs w:val="24"/>
        </w:rPr>
        <w:t>T</w:t>
      </w:r>
      <w:r w:rsidR="00E44FE1" w:rsidRPr="00D813D7">
        <w:rPr>
          <w:rFonts w:ascii="Times New Roman" w:hAnsi="Times New Roman"/>
          <w:sz w:val="24"/>
          <w:szCs w:val="24"/>
        </w:rPr>
        <w:t xml:space="preserve">he Company contends that, in contrast to the residential sector, </w:t>
      </w:r>
      <w:r w:rsidR="00012C53" w:rsidRPr="00D813D7">
        <w:rPr>
          <w:rFonts w:ascii="Times New Roman" w:hAnsi="Times New Roman"/>
          <w:sz w:val="24"/>
          <w:szCs w:val="24"/>
        </w:rPr>
        <w:t>non-residential customer</w:t>
      </w:r>
      <w:r w:rsidR="00E44FE1" w:rsidRPr="00D813D7">
        <w:rPr>
          <w:rFonts w:ascii="Times New Roman" w:hAnsi="Times New Roman"/>
          <w:sz w:val="24"/>
          <w:szCs w:val="24"/>
        </w:rPr>
        <w:t>s do vary significantly in size and</w:t>
      </w:r>
      <w:r w:rsidR="00012C53" w:rsidRPr="00D813D7">
        <w:rPr>
          <w:rFonts w:ascii="Times New Roman" w:hAnsi="Times New Roman"/>
          <w:sz w:val="24"/>
          <w:szCs w:val="24"/>
        </w:rPr>
        <w:t xml:space="preserve"> load </w:t>
      </w:r>
      <w:r w:rsidR="00E44FE1" w:rsidRPr="00D813D7">
        <w:rPr>
          <w:rFonts w:ascii="Times New Roman" w:hAnsi="Times New Roman"/>
          <w:sz w:val="24"/>
          <w:szCs w:val="24"/>
        </w:rPr>
        <w:t>requirements.</w:t>
      </w:r>
      <w:r w:rsidR="00012C53" w:rsidRPr="00D813D7">
        <w:rPr>
          <w:rStyle w:val="FootnoteReference"/>
          <w:rFonts w:ascii="Times New Roman" w:hAnsi="Times New Roman"/>
          <w:sz w:val="24"/>
          <w:szCs w:val="24"/>
        </w:rPr>
        <w:footnoteReference w:id="46"/>
      </w:r>
      <w:r w:rsidR="00790224" w:rsidRPr="00D813D7">
        <w:rPr>
          <w:rFonts w:ascii="Times New Roman" w:hAnsi="Times New Roman"/>
          <w:sz w:val="24"/>
          <w:szCs w:val="24"/>
        </w:rPr>
        <w:t xml:space="preserve"> </w:t>
      </w:r>
    </w:p>
    <w:p w:rsidR="00012C53" w:rsidRPr="00D813D7" w:rsidRDefault="00012C53" w:rsidP="00012C53">
      <w:pPr>
        <w:widowControl w:val="0"/>
        <w:spacing w:after="0" w:line="480" w:lineRule="auto"/>
        <w:ind w:left="720" w:hanging="720"/>
        <w:rPr>
          <w:rFonts w:ascii="Times New Roman" w:hAnsi="Times New Roman"/>
          <w:b/>
          <w:sz w:val="24"/>
          <w:szCs w:val="24"/>
        </w:rPr>
      </w:pPr>
      <w:r w:rsidRPr="00D813D7">
        <w:rPr>
          <w:rFonts w:ascii="Times New Roman" w:hAnsi="Times New Roman"/>
          <w:b/>
          <w:sz w:val="24"/>
          <w:szCs w:val="24"/>
        </w:rPr>
        <w:t>Q</w:t>
      </w:r>
      <w:r w:rsidR="00961A91">
        <w:rPr>
          <w:rFonts w:ascii="Times New Roman" w:hAnsi="Times New Roman"/>
          <w:b/>
          <w:sz w:val="24"/>
          <w:szCs w:val="24"/>
        </w:rPr>
        <w:t>:</w:t>
      </w:r>
      <w:r w:rsidRPr="00D813D7">
        <w:rPr>
          <w:rFonts w:ascii="Times New Roman" w:hAnsi="Times New Roman"/>
          <w:b/>
          <w:sz w:val="24"/>
          <w:szCs w:val="24"/>
        </w:rPr>
        <w:tab/>
        <w:t>How does Pacific Power plan to track and account for over</w:t>
      </w:r>
      <w:r w:rsidR="004977DA" w:rsidRPr="00D813D7">
        <w:rPr>
          <w:rFonts w:ascii="Times New Roman" w:hAnsi="Times New Roman"/>
          <w:b/>
          <w:sz w:val="24"/>
          <w:szCs w:val="24"/>
        </w:rPr>
        <w:t>-</w:t>
      </w:r>
      <w:r w:rsidRPr="00D813D7">
        <w:rPr>
          <w:rFonts w:ascii="Times New Roman" w:hAnsi="Times New Roman"/>
          <w:b/>
          <w:sz w:val="24"/>
          <w:szCs w:val="24"/>
        </w:rPr>
        <w:t xml:space="preserve"> or under</w:t>
      </w:r>
      <w:r w:rsidR="004977DA" w:rsidRPr="00D813D7">
        <w:rPr>
          <w:rFonts w:ascii="Times New Roman" w:hAnsi="Times New Roman"/>
          <w:b/>
          <w:sz w:val="24"/>
          <w:szCs w:val="24"/>
        </w:rPr>
        <w:t>-</w:t>
      </w:r>
      <w:r w:rsidRPr="00D813D7">
        <w:rPr>
          <w:rFonts w:ascii="Times New Roman" w:hAnsi="Times New Roman"/>
          <w:b/>
          <w:sz w:val="24"/>
          <w:szCs w:val="24"/>
        </w:rPr>
        <w:t>recovery of the Stranded Cost Recovery Fee from each customer?</w:t>
      </w:r>
    </w:p>
    <w:p w:rsidR="00204BC5" w:rsidRPr="00D813D7" w:rsidRDefault="00961A91" w:rsidP="00961A91">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012C53" w:rsidRPr="00D813D7">
        <w:rPr>
          <w:rFonts w:ascii="Times New Roman" w:hAnsi="Times New Roman"/>
          <w:sz w:val="24"/>
          <w:szCs w:val="24"/>
        </w:rPr>
        <w:tab/>
      </w:r>
      <w:r w:rsidR="00204BC5" w:rsidRPr="00D813D7">
        <w:rPr>
          <w:rFonts w:ascii="Times New Roman" w:hAnsi="Times New Roman"/>
          <w:sz w:val="24"/>
          <w:szCs w:val="24"/>
        </w:rPr>
        <w:t>The fees collected from departing residential and non-residential customers will be tracked by rate schedule and deposited in the deferral account created by the decoupling mechanism.</w:t>
      </w:r>
      <w:r w:rsidR="00E44FE1" w:rsidRPr="00D813D7">
        <w:rPr>
          <w:rStyle w:val="FootnoteReference"/>
          <w:rFonts w:ascii="Times New Roman" w:hAnsi="Times New Roman"/>
          <w:sz w:val="24"/>
          <w:szCs w:val="24"/>
        </w:rPr>
        <w:footnoteReference w:id="47"/>
      </w:r>
    </w:p>
    <w:p w:rsidR="00204BC5" w:rsidRPr="00D813D7" w:rsidRDefault="00961A91" w:rsidP="00204BC5">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204BC5" w:rsidRPr="00D813D7">
        <w:rPr>
          <w:rFonts w:ascii="Times New Roman" w:hAnsi="Times New Roman"/>
          <w:b/>
          <w:sz w:val="24"/>
          <w:szCs w:val="24"/>
        </w:rPr>
        <w:tab/>
      </w:r>
      <w:r w:rsidR="00932AD4" w:rsidRPr="00D813D7">
        <w:rPr>
          <w:rFonts w:ascii="Times New Roman" w:hAnsi="Times New Roman"/>
          <w:b/>
          <w:sz w:val="24"/>
          <w:szCs w:val="24"/>
        </w:rPr>
        <w:t>What general methodology does</w:t>
      </w:r>
      <w:r w:rsidR="00204BC5" w:rsidRPr="00D813D7">
        <w:rPr>
          <w:rFonts w:ascii="Times New Roman" w:hAnsi="Times New Roman"/>
          <w:b/>
          <w:sz w:val="24"/>
          <w:szCs w:val="24"/>
        </w:rPr>
        <w:t xml:space="preserve"> Pacific Power use to calculate its Stranded Cost Recovery Fee?</w:t>
      </w:r>
    </w:p>
    <w:p w:rsidR="00204BC5" w:rsidRPr="00D813D7" w:rsidRDefault="00961A91" w:rsidP="00961A91">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04BC5" w:rsidRPr="00D813D7">
        <w:rPr>
          <w:rFonts w:ascii="Times New Roman" w:hAnsi="Times New Roman"/>
          <w:sz w:val="24"/>
          <w:szCs w:val="24"/>
        </w:rPr>
        <w:tab/>
        <w:t>Pacific Power uses the direct categorization method</w:t>
      </w:r>
      <w:r w:rsidR="00932AD4" w:rsidRPr="00D813D7">
        <w:rPr>
          <w:rFonts w:ascii="Times New Roman" w:hAnsi="Times New Roman"/>
          <w:sz w:val="24"/>
          <w:szCs w:val="24"/>
        </w:rPr>
        <w:t xml:space="preserve"> to calculate its Stranded Cost Recovery Fee</w:t>
      </w:r>
      <w:r>
        <w:rPr>
          <w:rFonts w:ascii="Times New Roman" w:hAnsi="Times New Roman"/>
          <w:sz w:val="24"/>
          <w:szCs w:val="24"/>
        </w:rPr>
        <w:t xml:space="preserve">. </w:t>
      </w:r>
    </w:p>
    <w:p w:rsidR="00204BC5" w:rsidRPr="00D813D7" w:rsidRDefault="00961A91" w:rsidP="00204BC5">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204BC5" w:rsidRPr="00D813D7">
        <w:rPr>
          <w:rFonts w:ascii="Times New Roman" w:hAnsi="Times New Roman"/>
          <w:b/>
          <w:sz w:val="24"/>
          <w:szCs w:val="24"/>
        </w:rPr>
        <w:tab/>
        <w:t>Please describe how Pacific Power calculates the proposed Stranded Cost Recovery Fee</w:t>
      </w:r>
      <w:r w:rsidR="00932AD4" w:rsidRPr="00D813D7">
        <w:rPr>
          <w:rFonts w:ascii="Times New Roman" w:hAnsi="Times New Roman"/>
          <w:b/>
          <w:sz w:val="24"/>
          <w:szCs w:val="24"/>
        </w:rPr>
        <w:t>.</w:t>
      </w:r>
    </w:p>
    <w:p w:rsidR="00204BC5" w:rsidRPr="00D813D7" w:rsidRDefault="00961A91" w:rsidP="00406B1C">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04BC5" w:rsidRPr="00D813D7">
        <w:rPr>
          <w:rFonts w:ascii="Times New Roman" w:hAnsi="Times New Roman"/>
          <w:sz w:val="24"/>
          <w:szCs w:val="24"/>
        </w:rPr>
        <w:tab/>
        <w:t xml:space="preserve">Pacific Power takes total projected costs for each customer class and subtracts out net power costs, which it considers variable costs. </w:t>
      </w:r>
      <w:r w:rsidR="0041792A">
        <w:rPr>
          <w:rFonts w:ascii="Times New Roman" w:hAnsi="Times New Roman"/>
          <w:sz w:val="24"/>
          <w:szCs w:val="24"/>
        </w:rPr>
        <w:t xml:space="preserve"> </w:t>
      </w:r>
      <w:r w:rsidR="00204BC5" w:rsidRPr="00D813D7">
        <w:rPr>
          <w:rFonts w:ascii="Times New Roman" w:hAnsi="Times New Roman"/>
          <w:sz w:val="24"/>
          <w:szCs w:val="24"/>
        </w:rPr>
        <w:t xml:space="preserve">All </w:t>
      </w:r>
      <w:r w:rsidR="00204BC5" w:rsidRPr="00D813D7">
        <w:rPr>
          <w:rFonts w:ascii="Times New Roman" w:hAnsi="Times New Roman"/>
          <w:i/>
          <w:sz w:val="24"/>
          <w:szCs w:val="24"/>
        </w:rPr>
        <w:t>non-</w:t>
      </w:r>
      <w:r w:rsidR="00204BC5" w:rsidRPr="00D813D7">
        <w:rPr>
          <w:rFonts w:ascii="Times New Roman" w:hAnsi="Times New Roman"/>
          <w:sz w:val="24"/>
          <w:szCs w:val="24"/>
        </w:rPr>
        <w:t xml:space="preserve">net power costs are therefore considered </w:t>
      </w:r>
      <w:r w:rsidR="00204BC5" w:rsidRPr="00D813D7">
        <w:rPr>
          <w:rFonts w:ascii="Times New Roman" w:hAnsi="Times New Roman"/>
          <w:sz w:val="24"/>
          <w:szCs w:val="24"/>
        </w:rPr>
        <w:lastRenderedPageBreak/>
        <w:t xml:space="preserve">fixed costs </w:t>
      </w:r>
      <w:r w:rsidR="00BE1416" w:rsidRPr="00D813D7">
        <w:rPr>
          <w:rFonts w:ascii="Times New Roman" w:hAnsi="Times New Roman"/>
          <w:sz w:val="24"/>
          <w:szCs w:val="24"/>
        </w:rPr>
        <w:t xml:space="preserve">by Pacific Power and thereby are </w:t>
      </w:r>
      <w:r w:rsidR="00204BC5" w:rsidRPr="00D813D7">
        <w:rPr>
          <w:rFonts w:ascii="Times New Roman" w:hAnsi="Times New Roman"/>
          <w:sz w:val="24"/>
          <w:szCs w:val="24"/>
        </w:rPr>
        <w:t xml:space="preserve">capable of being stranded due to a customer’s departure. </w:t>
      </w:r>
      <w:r w:rsidR="006C7322">
        <w:rPr>
          <w:rFonts w:ascii="Times New Roman" w:hAnsi="Times New Roman"/>
          <w:sz w:val="24"/>
          <w:szCs w:val="24"/>
        </w:rPr>
        <w:t xml:space="preserve"> </w:t>
      </w:r>
      <w:r w:rsidR="00204BC5" w:rsidRPr="00D813D7">
        <w:rPr>
          <w:rFonts w:ascii="Times New Roman" w:hAnsi="Times New Roman"/>
          <w:sz w:val="24"/>
          <w:szCs w:val="24"/>
        </w:rPr>
        <w:t>Net power costs include fuel, wholesale power purchases, and wheeling expense,</w:t>
      </w:r>
      <w:r w:rsidR="00204BC5" w:rsidRPr="00D813D7">
        <w:rPr>
          <w:rStyle w:val="FootnoteReference"/>
          <w:rFonts w:ascii="Times New Roman" w:hAnsi="Times New Roman"/>
          <w:sz w:val="24"/>
          <w:szCs w:val="24"/>
        </w:rPr>
        <w:footnoteReference w:id="48"/>
      </w:r>
      <w:r w:rsidR="00204BC5" w:rsidRPr="00D813D7">
        <w:rPr>
          <w:rFonts w:ascii="Times New Roman" w:hAnsi="Times New Roman"/>
          <w:sz w:val="24"/>
          <w:szCs w:val="24"/>
        </w:rPr>
        <w:t xml:space="preserve"> and are offset by wholesale sales revenue.</w:t>
      </w:r>
      <w:r w:rsidR="00204BC5" w:rsidRPr="00D813D7">
        <w:rPr>
          <w:rStyle w:val="FootnoteReference"/>
          <w:rFonts w:ascii="Times New Roman" w:hAnsi="Times New Roman"/>
          <w:sz w:val="24"/>
          <w:szCs w:val="24"/>
        </w:rPr>
        <w:footnoteReference w:id="49"/>
      </w:r>
      <w:r w:rsidR="00204BC5" w:rsidRPr="00D813D7">
        <w:rPr>
          <w:rFonts w:ascii="Times New Roman" w:hAnsi="Times New Roman"/>
          <w:sz w:val="24"/>
          <w:szCs w:val="24"/>
        </w:rPr>
        <w:t xml:space="preserve"> </w:t>
      </w:r>
      <w:r w:rsidR="006C7322">
        <w:rPr>
          <w:rFonts w:ascii="Times New Roman" w:hAnsi="Times New Roman"/>
          <w:sz w:val="24"/>
          <w:szCs w:val="24"/>
        </w:rPr>
        <w:t xml:space="preserve"> </w:t>
      </w:r>
      <w:r w:rsidR="00204BC5" w:rsidRPr="00D813D7">
        <w:rPr>
          <w:rFonts w:ascii="Times New Roman" w:hAnsi="Times New Roman"/>
          <w:sz w:val="24"/>
          <w:szCs w:val="24"/>
        </w:rPr>
        <w:t>All other costs are considered fixed costs, including fixed transmission costs, fixed generation costs, distribution costs (includes substations, poles and conductor, line transformers and meters), customer service costs, as well as administrative and general expense.</w:t>
      </w:r>
      <w:r w:rsidR="00204BC5" w:rsidRPr="00D813D7">
        <w:rPr>
          <w:rStyle w:val="FootnoteReference"/>
          <w:rFonts w:ascii="Times New Roman" w:hAnsi="Times New Roman"/>
          <w:sz w:val="24"/>
          <w:szCs w:val="24"/>
        </w:rPr>
        <w:footnoteReference w:id="50"/>
      </w:r>
      <w:r w:rsidR="00204BC5" w:rsidRPr="00D813D7">
        <w:rPr>
          <w:rFonts w:ascii="Times New Roman" w:hAnsi="Times New Roman"/>
          <w:sz w:val="24"/>
          <w:szCs w:val="24"/>
        </w:rPr>
        <w:t xml:space="preserve"> </w:t>
      </w:r>
      <w:r w:rsidR="006C7322">
        <w:rPr>
          <w:rFonts w:ascii="Times New Roman" w:hAnsi="Times New Roman"/>
          <w:sz w:val="24"/>
          <w:szCs w:val="24"/>
        </w:rPr>
        <w:t xml:space="preserve"> </w:t>
      </w:r>
      <w:r w:rsidR="00204BC5" w:rsidRPr="00D813D7">
        <w:rPr>
          <w:rFonts w:ascii="Times New Roman" w:hAnsi="Times New Roman"/>
          <w:sz w:val="24"/>
          <w:szCs w:val="24"/>
        </w:rPr>
        <w:t xml:space="preserve">This definition classifies most of the costs as fixed costs as shown in the chart </w:t>
      </w:r>
      <w:r w:rsidR="00406B1C" w:rsidRPr="00D813D7">
        <w:rPr>
          <w:rFonts w:ascii="Times New Roman" w:hAnsi="Times New Roman"/>
          <w:sz w:val="24"/>
          <w:szCs w:val="24"/>
        </w:rPr>
        <w:t xml:space="preserve">Figure 1 </w:t>
      </w:r>
      <w:r w:rsidR="00204BC5" w:rsidRPr="00D813D7">
        <w:rPr>
          <w:rFonts w:ascii="Times New Roman" w:hAnsi="Times New Roman"/>
          <w:sz w:val="24"/>
          <w:szCs w:val="24"/>
        </w:rPr>
        <w:t>below.</w:t>
      </w:r>
    </w:p>
    <w:p w:rsidR="00204BC5" w:rsidRPr="00D813D7" w:rsidRDefault="00406B1C" w:rsidP="00F17F2E">
      <w:pPr>
        <w:widowControl w:val="0"/>
        <w:spacing w:after="0" w:line="240" w:lineRule="auto"/>
        <w:ind w:left="720" w:hanging="720"/>
        <w:rPr>
          <w:rFonts w:ascii="Times New Roman" w:hAnsi="Times New Roman"/>
          <w:sz w:val="24"/>
          <w:szCs w:val="24"/>
        </w:rPr>
      </w:pPr>
      <w:r w:rsidRPr="00D813D7">
        <w:rPr>
          <w:rFonts w:ascii="Times New Roman" w:hAnsi="Times New Roman"/>
          <w:sz w:val="24"/>
          <w:szCs w:val="24"/>
        </w:rPr>
        <w:tab/>
      </w:r>
      <w:r w:rsidRPr="00D813D7">
        <w:rPr>
          <w:rFonts w:ascii="Times New Roman" w:hAnsi="Times New Roman"/>
          <w:noProof/>
          <w:sz w:val="24"/>
          <w:szCs w:val="24"/>
        </w:rPr>
        <w:drawing>
          <wp:inline distT="0" distB="0" distL="0" distR="0" wp14:anchorId="38E65F11" wp14:editId="78D9E351">
            <wp:extent cx="4572000" cy="2743200"/>
            <wp:effectExtent l="0" t="0" r="19050" b="1905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2B9DC1-4AF4-491E-A43E-AAC4E45E7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5213" w:rsidRPr="00823FF3" w:rsidRDefault="00406B1C" w:rsidP="006C7322">
      <w:pPr>
        <w:pStyle w:val="Caption"/>
        <w:spacing w:after="240"/>
        <w:ind w:left="720"/>
        <w:rPr>
          <w:rFonts w:ascii="Times New Roman" w:hAnsi="Times New Roman"/>
          <w:color w:val="auto"/>
          <w:sz w:val="24"/>
          <w:szCs w:val="24"/>
        </w:rPr>
      </w:pPr>
      <w:r w:rsidRPr="00823FF3">
        <w:rPr>
          <w:rFonts w:ascii="Times New Roman" w:hAnsi="Times New Roman"/>
          <w:color w:val="auto"/>
          <w:sz w:val="24"/>
          <w:szCs w:val="24"/>
        </w:rPr>
        <w:t xml:space="preserve">Figure </w:t>
      </w:r>
      <w:r w:rsidRPr="00823FF3">
        <w:rPr>
          <w:rFonts w:ascii="Times New Roman" w:hAnsi="Times New Roman"/>
          <w:color w:val="auto"/>
          <w:sz w:val="24"/>
          <w:szCs w:val="24"/>
        </w:rPr>
        <w:fldChar w:fldCharType="begin"/>
      </w:r>
      <w:r w:rsidRPr="00823FF3">
        <w:rPr>
          <w:rFonts w:ascii="Times New Roman" w:hAnsi="Times New Roman"/>
          <w:color w:val="auto"/>
          <w:sz w:val="24"/>
          <w:szCs w:val="24"/>
        </w:rPr>
        <w:instrText xml:space="preserve"> SEQ Figure \* ARABIC </w:instrText>
      </w:r>
      <w:r w:rsidRPr="00823FF3">
        <w:rPr>
          <w:rFonts w:ascii="Times New Roman" w:hAnsi="Times New Roman"/>
          <w:color w:val="auto"/>
          <w:sz w:val="24"/>
          <w:szCs w:val="24"/>
        </w:rPr>
        <w:fldChar w:fldCharType="separate"/>
      </w:r>
      <w:r w:rsidR="00997194" w:rsidRPr="00823FF3">
        <w:rPr>
          <w:rFonts w:ascii="Times New Roman" w:hAnsi="Times New Roman"/>
          <w:noProof/>
          <w:color w:val="auto"/>
          <w:sz w:val="24"/>
          <w:szCs w:val="24"/>
        </w:rPr>
        <w:t>1</w:t>
      </w:r>
      <w:r w:rsidRPr="00823FF3">
        <w:rPr>
          <w:rFonts w:ascii="Times New Roman" w:hAnsi="Times New Roman"/>
          <w:noProof/>
          <w:color w:val="auto"/>
          <w:sz w:val="24"/>
          <w:szCs w:val="24"/>
        </w:rPr>
        <w:fldChar w:fldCharType="end"/>
      </w:r>
      <w:r w:rsidRPr="00823FF3">
        <w:rPr>
          <w:rFonts w:ascii="Times New Roman" w:hAnsi="Times New Roman"/>
          <w:color w:val="auto"/>
          <w:sz w:val="24"/>
          <w:szCs w:val="24"/>
        </w:rPr>
        <w:t xml:space="preserve">. </w:t>
      </w:r>
      <w:r w:rsidR="006C7322">
        <w:rPr>
          <w:rFonts w:ascii="Times New Roman" w:hAnsi="Times New Roman"/>
          <w:color w:val="auto"/>
          <w:sz w:val="24"/>
          <w:szCs w:val="24"/>
        </w:rPr>
        <w:t xml:space="preserve"> </w:t>
      </w:r>
      <w:r w:rsidRPr="00823FF3">
        <w:rPr>
          <w:rFonts w:ascii="Times New Roman" w:hAnsi="Times New Roman"/>
          <w:color w:val="auto"/>
          <w:sz w:val="24"/>
          <w:szCs w:val="24"/>
        </w:rPr>
        <w:t xml:space="preserve">Fixed and </w:t>
      </w:r>
      <w:r w:rsidR="00766DD2" w:rsidRPr="00823FF3">
        <w:rPr>
          <w:rFonts w:ascii="Times New Roman" w:hAnsi="Times New Roman"/>
          <w:color w:val="auto"/>
          <w:sz w:val="24"/>
          <w:szCs w:val="24"/>
        </w:rPr>
        <w:t xml:space="preserve">Variable Cost Classification by Rate Class, </w:t>
      </w:r>
      <w:r w:rsidRPr="00823FF3">
        <w:rPr>
          <w:rFonts w:ascii="Times New Roman" w:hAnsi="Times New Roman"/>
          <w:color w:val="auto"/>
          <w:sz w:val="24"/>
          <w:szCs w:val="24"/>
        </w:rPr>
        <w:t>according to Pacific Power recommended methodology.</w:t>
      </w:r>
      <w:r w:rsidRPr="00823FF3">
        <w:rPr>
          <w:rStyle w:val="FootnoteReference"/>
          <w:rFonts w:ascii="Times New Roman" w:hAnsi="Times New Roman"/>
          <w:color w:val="auto"/>
          <w:sz w:val="24"/>
          <w:szCs w:val="24"/>
        </w:rPr>
        <w:footnoteReference w:id="51"/>
      </w:r>
    </w:p>
    <w:p w:rsidR="001A69DC" w:rsidRPr="00D813D7" w:rsidRDefault="00D143EA" w:rsidP="00A94D58">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1A69DC" w:rsidRPr="00D813D7">
        <w:rPr>
          <w:rFonts w:ascii="Times New Roman" w:hAnsi="Times New Roman"/>
          <w:b/>
          <w:sz w:val="24"/>
          <w:szCs w:val="24"/>
        </w:rPr>
        <w:tab/>
        <w:t>How do the pros and cons of Pacific Power’s proposed methodology compare to other possible methods?</w:t>
      </w:r>
    </w:p>
    <w:p w:rsidR="000E5213" w:rsidRPr="00D813D7" w:rsidRDefault="00D143EA" w:rsidP="00D143EA">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1A69DC" w:rsidRPr="00D813D7">
        <w:rPr>
          <w:rFonts w:ascii="Times New Roman" w:hAnsi="Times New Roman"/>
          <w:sz w:val="24"/>
          <w:szCs w:val="24"/>
        </w:rPr>
        <w:tab/>
        <w:t>The</w:t>
      </w:r>
      <w:r w:rsidR="00647A33" w:rsidRPr="00D813D7">
        <w:rPr>
          <w:rFonts w:ascii="Times New Roman" w:hAnsi="Times New Roman"/>
          <w:sz w:val="24"/>
          <w:szCs w:val="24"/>
        </w:rPr>
        <w:t xml:space="preserve"> relatively</w:t>
      </w:r>
      <w:r w:rsidR="001A69DC" w:rsidRPr="00D813D7">
        <w:rPr>
          <w:rFonts w:ascii="Times New Roman" w:hAnsi="Times New Roman"/>
          <w:sz w:val="24"/>
          <w:szCs w:val="24"/>
        </w:rPr>
        <w:t xml:space="preserve"> small size of </w:t>
      </w:r>
      <w:r w:rsidR="00EC089E" w:rsidRPr="00D813D7">
        <w:rPr>
          <w:rFonts w:ascii="Times New Roman" w:hAnsi="Times New Roman"/>
          <w:sz w:val="24"/>
          <w:szCs w:val="24"/>
        </w:rPr>
        <w:t xml:space="preserve">individual </w:t>
      </w:r>
      <w:r w:rsidR="001A69DC" w:rsidRPr="00D813D7">
        <w:rPr>
          <w:rFonts w:ascii="Times New Roman" w:hAnsi="Times New Roman"/>
          <w:sz w:val="24"/>
          <w:szCs w:val="24"/>
        </w:rPr>
        <w:t xml:space="preserve">customers in </w:t>
      </w:r>
      <w:r w:rsidR="00EC089E" w:rsidRPr="00D813D7">
        <w:rPr>
          <w:rFonts w:ascii="Times New Roman" w:hAnsi="Times New Roman"/>
          <w:sz w:val="24"/>
          <w:szCs w:val="24"/>
        </w:rPr>
        <w:t xml:space="preserve">Columbia and </w:t>
      </w:r>
      <w:r w:rsidR="001A69DC" w:rsidRPr="00D813D7">
        <w:rPr>
          <w:rFonts w:ascii="Times New Roman" w:hAnsi="Times New Roman"/>
          <w:sz w:val="24"/>
          <w:szCs w:val="24"/>
        </w:rPr>
        <w:t xml:space="preserve">Walla Walla </w:t>
      </w:r>
      <w:r w:rsidR="00932AD4" w:rsidRPr="00D813D7">
        <w:rPr>
          <w:rFonts w:ascii="Times New Roman" w:hAnsi="Times New Roman"/>
          <w:sz w:val="24"/>
          <w:szCs w:val="24"/>
        </w:rPr>
        <w:t>C</w:t>
      </w:r>
      <w:r w:rsidR="00EC089E" w:rsidRPr="00D813D7">
        <w:rPr>
          <w:rFonts w:ascii="Times New Roman" w:hAnsi="Times New Roman"/>
          <w:sz w:val="24"/>
          <w:szCs w:val="24"/>
        </w:rPr>
        <w:t xml:space="preserve">ounties </w:t>
      </w:r>
      <w:r w:rsidR="001A69DC" w:rsidRPr="00D813D7">
        <w:rPr>
          <w:rFonts w:ascii="Times New Roman" w:hAnsi="Times New Roman"/>
          <w:sz w:val="24"/>
          <w:szCs w:val="24"/>
        </w:rPr>
        <w:t xml:space="preserve">compared to the size of Pacific Power’s or PacifiCorp’s system make an engineering </w:t>
      </w:r>
      <w:r w:rsidR="001A69DC" w:rsidRPr="00D813D7">
        <w:rPr>
          <w:rFonts w:ascii="Times New Roman" w:hAnsi="Times New Roman"/>
          <w:sz w:val="24"/>
          <w:szCs w:val="24"/>
        </w:rPr>
        <w:lastRenderedPageBreak/>
        <w:t>analysis or a planning and financial modeling approach very difficult.</w:t>
      </w:r>
      <w:r w:rsidR="00EC089E" w:rsidRPr="00D813D7">
        <w:rPr>
          <w:rFonts w:ascii="Times New Roman" w:hAnsi="Times New Roman"/>
          <w:sz w:val="24"/>
          <w:szCs w:val="24"/>
        </w:rPr>
        <w:t xml:space="preserve"> </w:t>
      </w:r>
      <w:r w:rsidR="006C7322">
        <w:rPr>
          <w:rFonts w:ascii="Times New Roman" w:hAnsi="Times New Roman"/>
          <w:sz w:val="24"/>
          <w:szCs w:val="24"/>
        </w:rPr>
        <w:t xml:space="preserve"> </w:t>
      </w:r>
      <w:r w:rsidR="00EC089E" w:rsidRPr="00D813D7">
        <w:rPr>
          <w:rFonts w:ascii="Times New Roman" w:hAnsi="Times New Roman"/>
          <w:sz w:val="24"/>
          <w:szCs w:val="24"/>
        </w:rPr>
        <w:t xml:space="preserve">The table below compares the estimated </w:t>
      </w:r>
      <w:r w:rsidR="00D10DAE" w:rsidRPr="00D813D7">
        <w:rPr>
          <w:rFonts w:ascii="Times New Roman" w:hAnsi="Times New Roman"/>
          <w:sz w:val="24"/>
          <w:szCs w:val="24"/>
        </w:rPr>
        <w:t xml:space="preserve">average </w:t>
      </w:r>
      <w:r w:rsidR="00EC089E" w:rsidRPr="00D813D7">
        <w:rPr>
          <w:rFonts w:ascii="Times New Roman" w:hAnsi="Times New Roman"/>
          <w:sz w:val="24"/>
          <w:szCs w:val="24"/>
        </w:rPr>
        <w:t xml:space="preserve">lost revenue </w:t>
      </w:r>
      <w:r w:rsidR="00D10DAE" w:rsidRPr="00D813D7">
        <w:rPr>
          <w:rFonts w:ascii="Times New Roman" w:hAnsi="Times New Roman"/>
          <w:sz w:val="24"/>
          <w:szCs w:val="24"/>
        </w:rPr>
        <w:t xml:space="preserve">per customer </w:t>
      </w:r>
      <w:r w:rsidR="00EC089E" w:rsidRPr="00D813D7">
        <w:rPr>
          <w:rFonts w:ascii="Times New Roman" w:hAnsi="Times New Roman"/>
          <w:sz w:val="24"/>
          <w:szCs w:val="24"/>
        </w:rPr>
        <w:t xml:space="preserve">of departing customers to all revenues </w:t>
      </w:r>
      <w:r w:rsidR="006337BA" w:rsidRPr="00D813D7">
        <w:rPr>
          <w:rFonts w:ascii="Times New Roman" w:hAnsi="Times New Roman"/>
          <w:sz w:val="24"/>
          <w:szCs w:val="24"/>
        </w:rPr>
        <w:t>collected from Pacific Power’s service territory within</w:t>
      </w:r>
      <w:r w:rsidR="00406B1C" w:rsidRPr="00D813D7">
        <w:rPr>
          <w:rFonts w:ascii="Times New Roman" w:hAnsi="Times New Roman"/>
          <w:sz w:val="24"/>
          <w:szCs w:val="24"/>
        </w:rPr>
        <w:t xml:space="preserve"> </w:t>
      </w:r>
      <w:r w:rsidR="00EC089E" w:rsidRPr="00D813D7">
        <w:rPr>
          <w:rFonts w:ascii="Times New Roman" w:hAnsi="Times New Roman"/>
          <w:sz w:val="24"/>
          <w:szCs w:val="24"/>
        </w:rPr>
        <w:t xml:space="preserve">Washington </w:t>
      </w:r>
      <w:r w:rsidR="00406B1C" w:rsidRPr="00D813D7">
        <w:rPr>
          <w:rFonts w:ascii="Times New Roman" w:hAnsi="Times New Roman"/>
          <w:sz w:val="24"/>
          <w:szCs w:val="24"/>
        </w:rPr>
        <w:t>State</w:t>
      </w:r>
      <w:r w:rsidR="00EC089E" w:rsidRPr="00D813D7">
        <w:rPr>
          <w:rFonts w:ascii="Times New Roman" w:hAnsi="Times New Roman"/>
          <w:sz w:val="24"/>
          <w:szCs w:val="24"/>
        </w:rPr>
        <w:t>.</w:t>
      </w:r>
      <w:r w:rsidR="00B23E75" w:rsidRPr="00D813D7">
        <w:rPr>
          <w:rFonts w:ascii="Times New Roman" w:hAnsi="Times New Roman"/>
          <w:sz w:val="24"/>
          <w:szCs w:val="24"/>
        </w:rPr>
        <w:t xml:space="preserve"> </w:t>
      </w:r>
      <w:r w:rsidR="006C7322">
        <w:rPr>
          <w:rFonts w:ascii="Times New Roman" w:hAnsi="Times New Roman"/>
          <w:sz w:val="24"/>
          <w:szCs w:val="24"/>
        </w:rPr>
        <w:t xml:space="preserve"> T</w:t>
      </w:r>
      <w:r w:rsidR="00B23E75" w:rsidRPr="00D813D7">
        <w:rPr>
          <w:rFonts w:ascii="Times New Roman" w:hAnsi="Times New Roman"/>
          <w:sz w:val="24"/>
          <w:szCs w:val="24"/>
        </w:rPr>
        <w:t xml:space="preserve">his comparison does not consider the fact that generation and transmission costs are allocated across the entire multi-state PacifiCorp system. </w:t>
      </w:r>
      <w:r w:rsidR="006C7322">
        <w:rPr>
          <w:rFonts w:ascii="Times New Roman" w:hAnsi="Times New Roman"/>
          <w:sz w:val="24"/>
          <w:szCs w:val="24"/>
        </w:rPr>
        <w:t xml:space="preserve"> </w:t>
      </w:r>
      <w:r w:rsidR="00B23E75" w:rsidRPr="00D813D7">
        <w:rPr>
          <w:rFonts w:ascii="Times New Roman" w:hAnsi="Times New Roman"/>
          <w:sz w:val="24"/>
          <w:szCs w:val="24"/>
        </w:rPr>
        <w:t xml:space="preserve">Attempting to detect the impact of the departure of one Walla Walla customer to the entire PacifiCorp system using a sophisticated model such as </w:t>
      </w:r>
      <w:r w:rsidR="00A979A6">
        <w:rPr>
          <w:rFonts w:ascii="Times New Roman" w:hAnsi="Times New Roman"/>
          <w:sz w:val="24"/>
          <w:szCs w:val="24"/>
        </w:rPr>
        <w:t xml:space="preserve">the one </w:t>
      </w:r>
      <w:r w:rsidR="00B23E75" w:rsidRPr="00D813D7">
        <w:rPr>
          <w:rFonts w:ascii="Times New Roman" w:hAnsi="Times New Roman"/>
          <w:sz w:val="24"/>
          <w:szCs w:val="24"/>
        </w:rPr>
        <w:t xml:space="preserve">PSE used in its Proposed Approach would not make sense. </w:t>
      </w:r>
      <w:r w:rsidR="00A979A6">
        <w:rPr>
          <w:rFonts w:ascii="Times New Roman" w:hAnsi="Times New Roman"/>
          <w:sz w:val="24"/>
          <w:szCs w:val="24"/>
        </w:rPr>
        <w:t xml:space="preserve"> </w:t>
      </w:r>
      <w:r w:rsidR="00B23E75" w:rsidRPr="00D813D7">
        <w:rPr>
          <w:rFonts w:ascii="Times New Roman" w:hAnsi="Times New Roman"/>
          <w:sz w:val="24"/>
          <w:szCs w:val="24"/>
        </w:rPr>
        <w:t>The difference would be within the tolerance band of a production cost model’s optimization algorithm.</w:t>
      </w:r>
      <w:r w:rsidR="00B23E75" w:rsidRPr="00D813D7">
        <w:rPr>
          <w:rStyle w:val="FootnoteReference"/>
          <w:rFonts w:ascii="Times New Roman" w:hAnsi="Times New Roman"/>
          <w:sz w:val="24"/>
          <w:szCs w:val="24"/>
        </w:rPr>
        <w:footnoteReference w:id="52"/>
      </w:r>
    </w:p>
    <w:p w:rsidR="00D143EA" w:rsidRPr="007F14A0" w:rsidRDefault="00D10DAE" w:rsidP="00D143EA">
      <w:pPr>
        <w:pStyle w:val="Caption"/>
        <w:keepNext/>
        <w:spacing w:after="0"/>
        <w:ind w:left="720"/>
        <w:jc w:val="center"/>
        <w:rPr>
          <w:rFonts w:ascii="Times New Roman" w:hAnsi="Times New Roman"/>
          <w:b/>
          <w:i w:val="0"/>
          <w:color w:val="auto"/>
          <w:sz w:val="24"/>
          <w:szCs w:val="24"/>
        </w:rPr>
      </w:pPr>
      <w:r w:rsidRPr="007F14A0">
        <w:rPr>
          <w:rFonts w:ascii="Times New Roman" w:hAnsi="Times New Roman"/>
          <w:b/>
          <w:i w:val="0"/>
          <w:color w:val="auto"/>
          <w:sz w:val="24"/>
          <w:szCs w:val="24"/>
        </w:rPr>
        <w:t xml:space="preserve">Table </w:t>
      </w:r>
      <w:r w:rsidR="0078784A" w:rsidRPr="007F14A0">
        <w:rPr>
          <w:rFonts w:ascii="Times New Roman" w:hAnsi="Times New Roman"/>
          <w:b/>
          <w:i w:val="0"/>
          <w:color w:val="auto"/>
          <w:sz w:val="24"/>
          <w:szCs w:val="24"/>
        </w:rPr>
        <w:fldChar w:fldCharType="begin"/>
      </w:r>
      <w:r w:rsidR="0078784A" w:rsidRPr="007F14A0">
        <w:rPr>
          <w:rFonts w:ascii="Times New Roman" w:hAnsi="Times New Roman"/>
          <w:b/>
          <w:i w:val="0"/>
          <w:color w:val="auto"/>
          <w:sz w:val="24"/>
          <w:szCs w:val="24"/>
        </w:rPr>
        <w:instrText xml:space="preserve"> SEQ Table \* ARABIC </w:instrText>
      </w:r>
      <w:r w:rsidR="0078784A" w:rsidRPr="007F14A0">
        <w:rPr>
          <w:rFonts w:ascii="Times New Roman" w:hAnsi="Times New Roman"/>
          <w:b/>
          <w:i w:val="0"/>
          <w:color w:val="auto"/>
          <w:sz w:val="24"/>
          <w:szCs w:val="24"/>
        </w:rPr>
        <w:fldChar w:fldCharType="separate"/>
      </w:r>
      <w:r w:rsidR="00997194" w:rsidRPr="007F14A0">
        <w:rPr>
          <w:rFonts w:ascii="Times New Roman" w:hAnsi="Times New Roman"/>
          <w:b/>
          <w:i w:val="0"/>
          <w:noProof/>
          <w:color w:val="auto"/>
          <w:sz w:val="24"/>
          <w:szCs w:val="24"/>
        </w:rPr>
        <w:t>2</w:t>
      </w:r>
      <w:r w:rsidR="0078784A" w:rsidRPr="007F14A0">
        <w:rPr>
          <w:rFonts w:ascii="Times New Roman" w:hAnsi="Times New Roman"/>
          <w:b/>
          <w:i w:val="0"/>
          <w:noProof/>
          <w:color w:val="auto"/>
          <w:sz w:val="24"/>
          <w:szCs w:val="24"/>
        </w:rPr>
        <w:fldChar w:fldCharType="end"/>
      </w:r>
      <w:r w:rsidR="00D143EA" w:rsidRPr="007F14A0">
        <w:rPr>
          <w:rFonts w:ascii="Times New Roman" w:hAnsi="Times New Roman"/>
          <w:b/>
          <w:i w:val="0"/>
          <w:color w:val="auto"/>
          <w:sz w:val="24"/>
          <w:szCs w:val="24"/>
        </w:rPr>
        <w:t>:</w:t>
      </w:r>
      <w:r w:rsidRPr="007F14A0">
        <w:rPr>
          <w:rFonts w:ascii="Times New Roman" w:hAnsi="Times New Roman"/>
          <w:b/>
          <w:i w:val="0"/>
          <w:color w:val="auto"/>
          <w:sz w:val="24"/>
          <w:szCs w:val="24"/>
        </w:rPr>
        <w:t xml:space="preserve"> </w:t>
      </w:r>
      <w:r w:rsidR="00D143EA" w:rsidRPr="007F14A0">
        <w:rPr>
          <w:rFonts w:ascii="Times New Roman" w:hAnsi="Times New Roman"/>
          <w:b/>
          <w:i w:val="0"/>
          <w:color w:val="auto"/>
          <w:sz w:val="24"/>
          <w:szCs w:val="24"/>
        </w:rPr>
        <w:t xml:space="preserve"> </w:t>
      </w:r>
      <w:r w:rsidR="00B70352" w:rsidRPr="007F14A0">
        <w:rPr>
          <w:rFonts w:ascii="Times New Roman" w:hAnsi="Times New Roman"/>
          <w:b/>
          <w:i w:val="0"/>
          <w:color w:val="auto"/>
          <w:sz w:val="24"/>
          <w:szCs w:val="24"/>
        </w:rPr>
        <w:t xml:space="preserve">Lost revenue per customer of departed customers compared to </w:t>
      </w:r>
    </w:p>
    <w:p w:rsidR="00D143EA" w:rsidRPr="00D143EA" w:rsidRDefault="0078784A" w:rsidP="00D143EA">
      <w:pPr>
        <w:pStyle w:val="Caption"/>
        <w:keepNext/>
        <w:spacing w:after="240"/>
        <w:ind w:left="720"/>
        <w:jc w:val="center"/>
        <w:rPr>
          <w:rFonts w:ascii="Times New Roman" w:hAnsi="Times New Roman"/>
          <w:i w:val="0"/>
          <w:color w:val="auto"/>
          <w:sz w:val="24"/>
          <w:szCs w:val="24"/>
        </w:rPr>
      </w:pPr>
      <w:r w:rsidRPr="007F14A0">
        <w:rPr>
          <w:rFonts w:ascii="Times New Roman" w:hAnsi="Times New Roman"/>
          <w:b/>
          <w:i w:val="0"/>
          <w:color w:val="auto"/>
          <w:sz w:val="24"/>
          <w:szCs w:val="24"/>
        </w:rPr>
        <w:t xml:space="preserve">Pacific Power’s </w:t>
      </w:r>
      <w:r w:rsidR="00831387">
        <w:rPr>
          <w:rFonts w:ascii="Times New Roman" w:hAnsi="Times New Roman"/>
          <w:b/>
          <w:i w:val="0"/>
          <w:color w:val="auto"/>
          <w:sz w:val="24"/>
          <w:szCs w:val="24"/>
        </w:rPr>
        <w:t>total Washington S</w:t>
      </w:r>
      <w:r w:rsidR="00D143EA" w:rsidRPr="007F14A0">
        <w:rPr>
          <w:rFonts w:ascii="Times New Roman" w:hAnsi="Times New Roman"/>
          <w:b/>
          <w:i w:val="0"/>
          <w:color w:val="auto"/>
          <w:sz w:val="24"/>
          <w:szCs w:val="24"/>
        </w:rPr>
        <w:t>tate revenues.</w:t>
      </w:r>
      <w:r w:rsidR="00D143EA">
        <w:rPr>
          <w:rFonts w:ascii="Times New Roman" w:hAnsi="Times New Roman"/>
          <w:i w:val="0"/>
          <w:color w:val="auto"/>
          <w:sz w:val="24"/>
          <w:szCs w:val="24"/>
        </w:rPr>
        <w:fldChar w:fldCharType="begin"/>
      </w:r>
      <w:r w:rsidR="00D143EA">
        <w:instrText xml:space="preserve"> XE "</w:instrText>
      </w:r>
      <w:r w:rsidR="00D143EA" w:rsidRPr="00477A6E">
        <w:rPr>
          <w:rFonts w:ascii="Times New Roman" w:hAnsi="Times New Roman"/>
          <w:i w:val="0"/>
          <w:color w:val="auto"/>
          <w:sz w:val="24"/>
          <w:szCs w:val="24"/>
        </w:rPr>
        <w:instrText xml:space="preserve">Table </w:instrText>
      </w:r>
      <w:r w:rsidR="00D143EA" w:rsidRPr="00477A6E">
        <w:rPr>
          <w:rFonts w:ascii="Times New Roman" w:hAnsi="Times New Roman"/>
          <w:i w:val="0"/>
          <w:noProof/>
          <w:color w:val="auto"/>
          <w:sz w:val="24"/>
          <w:szCs w:val="24"/>
        </w:rPr>
        <w:instrText>2</w:instrText>
      </w:r>
      <w:r w:rsidR="00D143EA" w:rsidRPr="00477A6E">
        <w:instrText>\</w:instrText>
      </w:r>
      <w:r w:rsidR="00D143EA" w:rsidRPr="00477A6E">
        <w:rPr>
          <w:rFonts w:ascii="Times New Roman" w:hAnsi="Times New Roman"/>
          <w:i w:val="0"/>
          <w:color w:val="auto"/>
          <w:sz w:val="24"/>
          <w:szCs w:val="24"/>
        </w:rPr>
        <w:instrText>:  Lost revenue per customer of departed customers compared to</w:instrText>
      </w:r>
      <w:r w:rsidR="00831387">
        <w:rPr>
          <w:rFonts w:ascii="Times New Roman" w:hAnsi="Times New Roman"/>
          <w:i w:val="0"/>
          <w:color w:val="auto"/>
          <w:sz w:val="24"/>
          <w:szCs w:val="24"/>
        </w:rPr>
        <w:instrText xml:space="preserve"> Pacific Power’s total Washington State revenues.</w:instrText>
      </w:r>
      <w:r w:rsidR="00D143EA">
        <w:instrText xml:space="preserve">" </w:instrText>
      </w:r>
      <w:r w:rsidR="00D143EA">
        <w:rPr>
          <w:rFonts w:ascii="Times New Roman" w:hAnsi="Times New Roman"/>
          <w:i w:val="0"/>
          <w:color w:val="auto"/>
          <w:sz w:val="24"/>
          <w:szCs w:val="24"/>
        </w:rPr>
        <w:fldChar w:fldCharType="end"/>
      </w:r>
      <w:r w:rsidR="00D143EA">
        <w:rPr>
          <w:rFonts w:ascii="Times New Roman" w:hAnsi="Times New Roman"/>
          <w:i w:val="0"/>
          <w:color w:val="auto"/>
          <w:sz w:val="24"/>
          <w:szCs w:val="24"/>
        </w:rPr>
        <w:t xml:space="preserve"> </w:t>
      </w:r>
    </w:p>
    <w:tbl>
      <w:tblPr>
        <w:tblW w:w="0" w:type="auto"/>
        <w:jc w:val="center"/>
        <w:tblInd w:w="830" w:type="dxa"/>
        <w:tblLook w:val="04A0" w:firstRow="1" w:lastRow="0" w:firstColumn="1" w:lastColumn="0" w:noHBand="0" w:noVBand="1"/>
      </w:tblPr>
      <w:tblGrid>
        <w:gridCol w:w="4262"/>
        <w:gridCol w:w="1536"/>
      </w:tblGrid>
      <w:tr w:rsidR="00D10DAE" w:rsidRPr="00D813D7" w:rsidTr="00D143EA">
        <w:trPr>
          <w:trHeight w:val="310"/>
          <w:jc w:val="center"/>
        </w:trPr>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rPr>
                <w:rFonts w:ascii="Times New Roman" w:hAnsi="Times New Roman"/>
                <w:color w:val="000000"/>
                <w:sz w:val="24"/>
                <w:szCs w:val="24"/>
              </w:rPr>
            </w:pPr>
            <w:r w:rsidRPr="00D813D7">
              <w:rPr>
                <w:rFonts w:ascii="Times New Roman" w:hAnsi="Times New Roman"/>
                <w:color w:val="000000"/>
                <w:sz w:val="24"/>
                <w:szCs w:val="24"/>
              </w:rPr>
              <w:t>Total 2016 Lost Revenue</w:t>
            </w:r>
            <w:r w:rsidRPr="00D813D7">
              <w:rPr>
                <w:rStyle w:val="FootnoteReference"/>
                <w:rFonts w:ascii="Times New Roman" w:hAnsi="Times New Roman"/>
                <w:color w:val="000000"/>
                <w:sz w:val="24"/>
                <w:szCs w:val="24"/>
              </w:rPr>
              <w:footnoteReference w:id="53"/>
            </w:r>
          </w:p>
        </w:tc>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jc w:val="right"/>
              <w:rPr>
                <w:rFonts w:ascii="Times New Roman" w:hAnsi="Times New Roman"/>
                <w:color w:val="000000"/>
                <w:sz w:val="24"/>
                <w:szCs w:val="24"/>
              </w:rPr>
            </w:pPr>
            <w:r w:rsidRPr="00D813D7">
              <w:rPr>
                <w:rFonts w:ascii="Times New Roman" w:hAnsi="Times New Roman"/>
                <w:color w:val="000000"/>
                <w:sz w:val="24"/>
                <w:szCs w:val="24"/>
              </w:rPr>
              <w:t xml:space="preserve">$1,872,305 </w:t>
            </w:r>
          </w:p>
        </w:tc>
      </w:tr>
      <w:tr w:rsidR="00D10DAE" w:rsidRPr="00D813D7" w:rsidTr="00D143EA">
        <w:trPr>
          <w:trHeight w:val="370"/>
          <w:jc w:val="center"/>
        </w:trPr>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rPr>
                <w:rFonts w:ascii="Times New Roman" w:hAnsi="Times New Roman"/>
                <w:color w:val="000000"/>
                <w:sz w:val="24"/>
                <w:szCs w:val="24"/>
              </w:rPr>
            </w:pPr>
            <w:r w:rsidRPr="00D813D7">
              <w:rPr>
                <w:rFonts w:ascii="Times New Roman" w:hAnsi="Times New Roman"/>
                <w:color w:val="000000"/>
                <w:sz w:val="24"/>
                <w:szCs w:val="24"/>
              </w:rPr>
              <w:t>Number of Lost Customers</w:t>
            </w:r>
            <w:r w:rsidRPr="00D813D7">
              <w:rPr>
                <w:rStyle w:val="FootnoteReference"/>
                <w:rFonts w:ascii="Times New Roman" w:hAnsi="Times New Roman"/>
                <w:color w:val="000000"/>
                <w:sz w:val="24"/>
                <w:szCs w:val="24"/>
              </w:rPr>
              <w:footnoteReference w:id="54"/>
            </w:r>
          </w:p>
        </w:tc>
        <w:tc>
          <w:tcPr>
            <w:tcW w:w="0" w:type="auto"/>
            <w:tcBorders>
              <w:top w:val="nil"/>
              <w:left w:val="nil"/>
              <w:bottom w:val="single" w:sz="4" w:space="0" w:color="auto"/>
              <w:right w:val="nil"/>
            </w:tcBorders>
            <w:shd w:val="clear" w:color="auto" w:fill="auto"/>
            <w:noWrap/>
            <w:vAlign w:val="bottom"/>
            <w:hideMark/>
          </w:tcPr>
          <w:p w:rsidR="00D10DAE" w:rsidRPr="00D813D7" w:rsidRDefault="00D10DAE" w:rsidP="00D10DAE">
            <w:pPr>
              <w:spacing w:after="0" w:line="240" w:lineRule="auto"/>
              <w:jc w:val="right"/>
              <w:rPr>
                <w:rFonts w:ascii="Times New Roman" w:hAnsi="Times New Roman"/>
                <w:color w:val="000000"/>
                <w:sz w:val="24"/>
                <w:szCs w:val="24"/>
              </w:rPr>
            </w:pPr>
            <w:r w:rsidRPr="00D813D7">
              <w:rPr>
                <w:rFonts w:ascii="Times New Roman" w:hAnsi="Times New Roman"/>
                <w:color w:val="000000"/>
                <w:sz w:val="24"/>
                <w:szCs w:val="24"/>
              </w:rPr>
              <w:t>68</w:t>
            </w:r>
          </w:p>
        </w:tc>
      </w:tr>
      <w:tr w:rsidR="00D10DAE" w:rsidRPr="00D813D7" w:rsidTr="00D143EA">
        <w:trPr>
          <w:trHeight w:val="310"/>
          <w:jc w:val="center"/>
        </w:trPr>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rPr>
                <w:rFonts w:ascii="Times New Roman" w:hAnsi="Times New Roman"/>
                <w:color w:val="000000"/>
                <w:sz w:val="24"/>
                <w:szCs w:val="24"/>
              </w:rPr>
            </w:pPr>
            <w:r w:rsidRPr="00D813D7">
              <w:rPr>
                <w:rFonts w:ascii="Times New Roman" w:hAnsi="Times New Roman"/>
                <w:color w:val="000000"/>
                <w:sz w:val="24"/>
                <w:szCs w:val="24"/>
              </w:rPr>
              <w:t>Revenue per Customer</w:t>
            </w:r>
          </w:p>
        </w:tc>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jc w:val="right"/>
              <w:rPr>
                <w:rFonts w:ascii="Times New Roman" w:hAnsi="Times New Roman"/>
                <w:color w:val="000000"/>
                <w:sz w:val="24"/>
                <w:szCs w:val="24"/>
              </w:rPr>
            </w:pPr>
            <w:r w:rsidRPr="00D813D7">
              <w:rPr>
                <w:rFonts w:ascii="Times New Roman" w:hAnsi="Times New Roman"/>
                <w:color w:val="000000"/>
                <w:sz w:val="24"/>
                <w:szCs w:val="24"/>
              </w:rPr>
              <w:t xml:space="preserve">$27,534 </w:t>
            </w:r>
          </w:p>
        </w:tc>
      </w:tr>
      <w:tr w:rsidR="00D10DAE" w:rsidRPr="00D813D7" w:rsidTr="00D143EA">
        <w:trPr>
          <w:trHeight w:val="310"/>
          <w:jc w:val="center"/>
        </w:trPr>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rPr>
                <w:rFonts w:ascii="Times New Roman" w:hAnsi="Times New Roman"/>
                <w:color w:val="000000"/>
                <w:sz w:val="24"/>
                <w:szCs w:val="24"/>
              </w:rPr>
            </w:pPr>
            <w:r w:rsidRPr="00D813D7">
              <w:rPr>
                <w:rFonts w:ascii="Times New Roman" w:hAnsi="Times New Roman"/>
                <w:color w:val="000000"/>
                <w:sz w:val="24"/>
                <w:szCs w:val="24"/>
              </w:rPr>
              <w:t>Total 2016 Revenue, Incl. Lost Revenue</w:t>
            </w:r>
            <w:r w:rsidRPr="00D813D7">
              <w:rPr>
                <w:rStyle w:val="FootnoteReference"/>
                <w:rFonts w:ascii="Times New Roman" w:hAnsi="Times New Roman"/>
                <w:color w:val="000000"/>
                <w:sz w:val="24"/>
                <w:szCs w:val="24"/>
              </w:rPr>
              <w:footnoteReference w:id="55"/>
            </w:r>
          </w:p>
        </w:tc>
        <w:tc>
          <w:tcPr>
            <w:tcW w:w="0" w:type="auto"/>
            <w:tcBorders>
              <w:top w:val="nil"/>
              <w:left w:val="nil"/>
              <w:bottom w:val="single" w:sz="4" w:space="0" w:color="auto"/>
              <w:right w:val="nil"/>
            </w:tcBorders>
            <w:shd w:val="clear" w:color="auto" w:fill="auto"/>
            <w:noWrap/>
            <w:vAlign w:val="bottom"/>
            <w:hideMark/>
          </w:tcPr>
          <w:p w:rsidR="00D10DAE" w:rsidRPr="00D813D7" w:rsidRDefault="00D10DAE" w:rsidP="00D10DAE">
            <w:pPr>
              <w:spacing w:after="0" w:line="240" w:lineRule="auto"/>
              <w:jc w:val="right"/>
              <w:rPr>
                <w:rFonts w:ascii="Times New Roman" w:hAnsi="Times New Roman"/>
                <w:color w:val="000000"/>
                <w:sz w:val="24"/>
                <w:szCs w:val="24"/>
              </w:rPr>
            </w:pPr>
            <w:r w:rsidRPr="00D813D7">
              <w:rPr>
                <w:rFonts w:ascii="Times New Roman" w:hAnsi="Times New Roman"/>
                <w:color w:val="000000"/>
                <w:sz w:val="24"/>
                <w:szCs w:val="24"/>
              </w:rPr>
              <w:t xml:space="preserve">$340,425,366 </w:t>
            </w:r>
          </w:p>
        </w:tc>
      </w:tr>
      <w:tr w:rsidR="00D10DAE" w:rsidRPr="00D813D7" w:rsidTr="00D143EA">
        <w:trPr>
          <w:trHeight w:val="310"/>
          <w:jc w:val="center"/>
        </w:trPr>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rPr>
                <w:rFonts w:ascii="Times New Roman" w:hAnsi="Times New Roman"/>
                <w:color w:val="000000"/>
                <w:sz w:val="24"/>
                <w:szCs w:val="24"/>
              </w:rPr>
            </w:pPr>
            <w:r w:rsidRPr="00D813D7">
              <w:rPr>
                <w:rFonts w:ascii="Times New Roman" w:hAnsi="Times New Roman"/>
                <w:color w:val="000000"/>
                <w:sz w:val="24"/>
                <w:szCs w:val="24"/>
              </w:rPr>
              <w:t xml:space="preserve">%Revenue Lost per </w:t>
            </w:r>
            <w:r w:rsidR="00B23E75" w:rsidRPr="00D813D7">
              <w:rPr>
                <w:rFonts w:ascii="Times New Roman" w:hAnsi="Times New Roman"/>
                <w:color w:val="000000"/>
                <w:sz w:val="24"/>
                <w:szCs w:val="24"/>
              </w:rPr>
              <w:t xml:space="preserve">Lost </w:t>
            </w:r>
            <w:r w:rsidRPr="00D813D7">
              <w:rPr>
                <w:rFonts w:ascii="Times New Roman" w:hAnsi="Times New Roman"/>
                <w:color w:val="000000"/>
                <w:sz w:val="24"/>
                <w:szCs w:val="24"/>
              </w:rPr>
              <w:t>Customer</w:t>
            </w:r>
          </w:p>
        </w:tc>
        <w:tc>
          <w:tcPr>
            <w:tcW w:w="0" w:type="auto"/>
            <w:tcBorders>
              <w:top w:val="nil"/>
              <w:left w:val="nil"/>
              <w:bottom w:val="nil"/>
              <w:right w:val="nil"/>
            </w:tcBorders>
            <w:shd w:val="clear" w:color="auto" w:fill="auto"/>
            <w:noWrap/>
            <w:vAlign w:val="bottom"/>
            <w:hideMark/>
          </w:tcPr>
          <w:p w:rsidR="00D10DAE" w:rsidRPr="00D813D7" w:rsidRDefault="00D10DAE" w:rsidP="00D10DAE">
            <w:pPr>
              <w:spacing w:after="0" w:line="240" w:lineRule="auto"/>
              <w:jc w:val="right"/>
              <w:rPr>
                <w:rFonts w:ascii="Times New Roman" w:hAnsi="Times New Roman"/>
                <w:color w:val="000000"/>
                <w:sz w:val="24"/>
                <w:szCs w:val="24"/>
              </w:rPr>
            </w:pPr>
            <w:r w:rsidRPr="00D813D7">
              <w:rPr>
                <w:rFonts w:ascii="Times New Roman" w:hAnsi="Times New Roman"/>
                <w:color w:val="000000"/>
                <w:sz w:val="24"/>
                <w:szCs w:val="24"/>
              </w:rPr>
              <w:t>0.008%</w:t>
            </w:r>
          </w:p>
        </w:tc>
      </w:tr>
    </w:tbl>
    <w:p w:rsidR="005679A5" w:rsidRPr="00D813D7" w:rsidRDefault="005679A5" w:rsidP="00A979A6">
      <w:pPr>
        <w:widowControl w:val="0"/>
        <w:spacing w:before="240" w:after="0" w:line="480" w:lineRule="auto"/>
        <w:ind w:left="720"/>
        <w:rPr>
          <w:rFonts w:ascii="Times New Roman" w:hAnsi="Times New Roman"/>
          <w:sz w:val="24"/>
          <w:szCs w:val="24"/>
        </w:rPr>
      </w:pPr>
      <w:r w:rsidRPr="00D813D7">
        <w:rPr>
          <w:rFonts w:ascii="Times New Roman" w:hAnsi="Times New Roman"/>
          <w:sz w:val="24"/>
          <w:szCs w:val="24"/>
        </w:rPr>
        <w:t>Direct categorization avoids the problems with using a cost allocation method since fixed costs, such as the cost of generation plant, can be allocated different</w:t>
      </w:r>
      <w:r w:rsidR="00910F2B" w:rsidRPr="00D813D7">
        <w:rPr>
          <w:rFonts w:ascii="Times New Roman" w:hAnsi="Times New Roman"/>
          <w:sz w:val="24"/>
          <w:szCs w:val="24"/>
        </w:rPr>
        <w:t xml:space="preserve"> ways and may be controversial. </w:t>
      </w:r>
      <w:r w:rsidR="000E5213" w:rsidRPr="00D813D7">
        <w:rPr>
          <w:rFonts w:ascii="Times New Roman" w:hAnsi="Times New Roman"/>
          <w:sz w:val="24"/>
          <w:szCs w:val="24"/>
        </w:rPr>
        <w:t>Direct categorization</w:t>
      </w:r>
      <w:r w:rsidR="00910F2B" w:rsidRPr="00D813D7">
        <w:rPr>
          <w:rFonts w:ascii="Times New Roman" w:hAnsi="Times New Roman"/>
          <w:sz w:val="24"/>
          <w:szCs w:val="24"/>
        </w:rPr>
        <w:t xml:space="preserve"> is also </w:t>
      </w:r>
      <w:r w:rsidR="000E5213" w:rsidRPr="00D813D7">
        <w:rPr>
          <w:rFonts w:ascii="Times New Roman" w:hAnsi="Times New Roman"/>
          <w:sz w:val="24"/>
          <w:szCs w:val="24"/>
        </w:rPr>
        <w:t xml:space="preserve">easier </w:t>
      </w:r>
      <w:r w:rsidR="00910F2B" w:rsidRPr="00D813D7">
        <w:rPr>
          <w:rFonts w:ascii="Times New Roman" w:hAnsi="Times New Roman"/>
          <w:sz w:val="24"/>
          <w:szCs w:val="24"/>
        </w:rPr>
        <w:t>to understand</w:t>
      </w:r>
      <w:r w:rsidRPr="00D813D7">
        <w:rPr>
          <w:rFonts w:ascii="Times New Roman" w:hAnsi="Times New Roman"/>
          <w:sz w:val="24"/>
          <w:szCs w:val="24"/>
        </w:rPr>
        <w:t>.</w:t>
      </w:r>
    </w:p>
    <w:p w:rsidR="005679A5" w:rsidRPr="00D813D7" w:rsidRDefault="005679A5" w:rsidP="00A94D58">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b/>
      </w:r>
      <w:r w:rsidR="00A979A6">
        <w:rPr>
          <w:rFonts w:ascii="Times New Roman" w:hAnsi="Times New Roman"/>
          <w:sz w:val="24"/>
          <w:szCs w:val="24"/>
        </w:rPr>
        <w:tab/>
      </w:r>
      <w:r w:rsidRPr="00D813D7">
        <w:rPr>
          <w:rFonts w:ascii="Times New Roman" w:hAnsi="Times New Roman"/>
          <w:sz w:val="24"/>
          <w:szCs w:val="24"/>
        </w:rPr>
        <w:t>However, using direct categorization comes with potential pitfalls described below:</w:t>
      </w:r>
    </w:p>
    <w:p w:rsidR="005679A5" w:rsidRPr="00D813D7" w:rsidRDefault="005679A5" w:rsidP="007F14A0">
      <w:pPr>
        <w:pStyle w:val="ListParagraph"/>
        <w:widowControl w:val="0"/>
        <w:numPr>
          <w:ilvl w:val="0"/>
          <w:numId w:val="21"/>
        </w:numPr>
        <w:spacing w:after="0" w:line="480" w:lineRule="auto"/>
        <w:ind w:left="1440"/>
        <w:rPr>
          <w:rFonts w:ascii="Times New Roman" w:hAnsi="Times New Roman"/>
          <w:sz w:val="24"/>
          <w:szCs w:val="24"/>
        </w:rPr>
      </w:pPr>
      <w:r w:rsidRPr="00D813D7">
        <w:rPr>
          <w:rFonts w:ascii="Times New Roman" w:hAnsi="Times New Roman"/>
          <w:b/>
          <w:sz w:val="24"/>
          <w:szCs w:val="24"/>
        </w:rPr>
        <w:t>Scope:</w:t>
      </w:r>
      <w:r w:rsidRPr="00D813D7">
        <w:rPr>
          <w:rFonts w:ascii="Times New Roman" w:hAnsi="Times New Roman"/>
          <w:sz w:val="24"/>
          <w:szCs w:val="24"/>
        </w:rPr>
        <w:t xml:space="preserve"> </w:t>
      </w:r>
      <w:r w:rsidR="00A979A6">
        <w:rPr>
          <w:rFonts w:ascii="Times New Roman" w:hAnsi="Times New Roman"/>
          <w:sz w:val="24"/>
          <w:szCs w:val="24"/>
        </w:rPr>
        <w:t xml:space="preserve"> </w:t>
      </w:r>
      <w:r w:rsidRPr="00D813D7">
        <w:rPr>
          <w:rFonts w:ascii="Times New Roman" w:hAnsi="Times New Roman"/>
          <w:sz w:val="24"/>
          <w:szCs w:val="24"/>
        </w:rPr>
        <w:t xml:space="preserve">One must still classify all costs as fixed or variable in some fashion, which </w:t>
      </w:r>
      <w:r w:rsidRPr="00D813D7">
        <w:rPr>
          <w:rFonts w:ascii="Times New Roman" w:hAnsi="Times New Roman"/>
          <w:sz w:val="24"/>
          <w:szCs w:val="24"/>
        </w:rPr>
        <w:lastRenderedPageBreak/>
        <w:t>may be controversial.</w:t>
      </w:r>
    </w:p>
    <w:p w:rsidR="005679A5" w:rsidRPr="00D813D7" w:rsidRDefault="005679A5" w:rsidP="007F14A0">
      <w:pPr>
        <w:pStyle w:val="ListParagraph"/>
        <w:widowControl w:val="0"/>
        <w:numPr>
          <w:ilvl w:val="0"/>
          <w:numId w:val="21"/>
        </w:numPr>
        <w:spacing w:after="0" w:line="480" w:lineRule="auto"/>
        <w:ind w:left="1440"/>
        <w:rPr>
          <w:rFonts w:ascii="Times New Roman" w:hAnsi="Times New Roman"/>
          <w:sz w:val="24"/>
          <w:szCs w:val="24"/>
        </w:rPr>
      </w:pPr>
      <w:r w:rsidRPr="00D813D7">
        <w:rPr>
          <w:rFonts w:ascii="Times New Roman" w:hAnsi="Times New Roman"/>
          <w:b/>
          <w:sz w:val="24"/>
          <w:szCs w:val="24"/>
        </w:rPr>
        <w:t>Timeframe:</w:t>
      </w:r>
      <w:r w:rsidRPr="00D813D7">
        <w:rPr>
          <w:rFonts w:ascii="Times New Roman" w:hAnsi="Times New Roman"/>
          <w:sz w:val="24"/>
          <w:szCs w:val="24"/>
        </w:rPr>
        <w:t xml:space="preserve"> </w:t>
      </w:r>
      <w:r w:rsidR="00A979A6">
        <w:rPr>
          <w:rFonts w:ascii="Times New Roman" w:hAnsi="Times New Roman"/>
          <w:sz w:val="24"/>
          <w:szCs w:val="24"/>
        </w:rPr>
        <w:t xml:space="preserve"> </w:t>
      </w:r>
      <w:r w:rsidRPr="00D813D7">
        <w:rPr>
          <w:rFonts w:ascii="Times New Roman" w:hAnsi="Times New Roman"/>
          <w:sz w:val="24"/>
          <w:szCs w:val="24"/>
        </w:rPr>
        <w:t xml:space="preserve">No cost is fixed over a long enough time horizon. </w:t>
      </w:r>
      <w:r w:rsidR="004C1087">
        <w:rPr>
          <w:rFonts w:ascii="Times New Roman" w:hAnsi="Times New Roman"/>
          <w:sz w:val="24"/>
          <w:szCs w:val="24"/>
        </w:rPr>
        <w:t xml:space="preserve"> </w:t>
      </w:r>
      <w:r w:rsidRPr="00D813D7">
        <w:rPr>
          <w:rFonts w:ascii="Times New Roman" w:hAnsi="Times New Roman"/>
          <w:sz w:val="24"/>
          <w:szCs w:val="24"/>
        </w:rPr>
        <w:t xml:space="preserve">Plant </w:t>
      </w:r>
      <w:r w:rsidR="00407D19">
        <w:rPr>
          <w:rFonts w:ascii="Times New Roman" w:hAnsi="Times New Roman"/>
          <w:sz w:val="24"/>
          <w:szCs w:val="24"/>
        </w:rPr>
        <w:t xml:space="preserve">is </w:t>
      </w:r>
      <w:r w:rsidRPr="00D813D7">
        <w:rPr>
          <w:rFonts w:ascii="Times New Roman" w:hAnsi="Times New Roman"/>
          <w:sz w:val="24"/>
          <w:szCs w:val="24"/>
        </w:rPr>
        <w:t>retire</w:t>
      </w:r>
      <w:r w:rsidR="00407D19">
        <w:rPr>
          <w:rFonts w:ascii="Times New Roman" w:hAnsi="Times New Roman"/>
          <w:sz w:val="24"/>
          <w:szCs w:val="24"/>
        </w:rPr>
        <w:t>d</w:t>
      </w:r>
      <w:r w:rsidRPr="00D813D7">
        <w:rPr>
          <w:rFonts w:ascii="Times New Roman" w:hAnsi="Times New Roman"/>
          <w:sz w:val="24"/>
          <w:szCs w:val="24"/>
        </w:rPr>
        <w:t xml:space="preserve"> and replaced</w:t>
      </w:r>
      <w:r w:rsidR="00407D19">
        <w:rPr>
          <w:rFonts w:ascii="Times New Roman" w:hAnsi="Times New Roman"/>
          <w:sz w:val="24"/>
          <w:szCs w:val="24"/>
        </w:rPr>
        <w:t>,</w:t>
      </w:r>
      <w:r w:rsidRPr="00D813D7">
        <w:rPr>
          <w:rFonts w:ascii="Times New Roman" w:hAnsi="Times New Roman"/>
          <w:sz w:val="24"/>
          <w:szCs w:val="24"/>
        </w:rPr>
        <w:t xml:space="preserve"> and planners can adjust to the new system</w:t>
      </w:r>
      <w:r w:rsidR="00EB110E" w:rsidRPr="00D813D7">
        <w:rPr>
          <w:rFonts w:ascii="Times New Roman" w:hAnsi="Times New Roman"/>
          <w:sz w:val="24"/>
          <w:szCs w:val="24"/>
        </w:rPr>
        <w:t xml:space="preserve"> configuration without the departed customers</w:t>
      </w:r>
      <w:r w:rsidRPr="00D813D7">
        <w:rPr>
          <w:rFonts w:ascii="Times New Roman" w:hAnsi="Times New Roman"/>
          <w:sz w:val="24"/>
          <w:szCs w:val="24"/>
        </w:rPr>
        <w:t>.</w:t>
      </w:r>
      <w:r w:rsidR="00790224" w:rsidRPr="00D813D7">
        <w:rPr>
          <w:rFonts w:ascii="Times New Roman" w:hAnsi="Times New Roman"/>
          <w:sz w:val="24"/>
          <w:szCs w:val="24"/>
        </w:rPr>
        <w:t xml:space="preserve"> </w:t>
      </w:r>
      <w:r w:rsidR="004C1087">
        <w:rPr>
          <w:rFonts w:ascii="Times New Roman" w:hAnsi="Times New Roman"/>
          <w:sz w:val="24"/>
          <w:szCs w:val="24"/>
        </w:rPr>
        <w:t xml:space="preserve"> </w:t>
      </w:r>
      <w:r w:rsidR="000F5616" w:rsidRPr="00D813D7">
        <w:rPr>
          <w:rFonts w:ascii="Times New Roman" w:hAnsi="Times New Roman"/>
          <w:sz w:val="24"/>
          <w:szCs w:val="24"/>
        </w:rPr>
        <w:t>Useful life of the specific facility components, if considered, may change the value of the infrastructure installed to serve each departing custo</w:t>
      </w:r>
      <w:r w:rsidR="004C1087">
        <w:rPr>
          <w:rFonts w:ascii="Times New Roman" w:hAnsi="Times New Roman"/>
          <w:sz w:val="24"/>
          <w:szCs w:val="24"/>
        </w:rPr>
        <w:t>mer, and thus the magnitude of t</w:t>
      </w:r>
      <w:r w:rsidR="000F5616" w:rsidRPr="00D813D7">
        <w:rPr>
          <w:rFonts w:ascii="Times New Roman" w:hAnsi="Times New Roman"/>
          <w:sz w:val="24"/>
          <w:szCs w:val="24"/>
        </w:rPr>
        <w:t>he stranded cost fee.</w:t>
      </w:r>
      <w:r w:rsidR="00790224" w:rsidRPr="00D813D7">
        <w:rPr>
          <w:rFonts w:ascii="Times New Roman" w:hAnsi="Times New Roman"/>
          <w:sz w:val="24"/>
          <w:szCs w:val="24"/>
        </w:rPr>
        <w:t xml:space="preserve"> </w:t>
      </w:r>
      <w:r w:rsidR="004C1087">
        <w:rPr>
          <w:rFonts w:ascii="Times New Roman" w:hAnsi="Times New Roman"/>
          <w:sz w:val="24"/>
          <w:szCs w:val="24"/>
        </w:rPr>
        <w:t xml:space="preserve"> </w:t>
      </w:r>
      <w:r w:rsidR="000F5616" w:rsidRPr="00D813D7">
        <w:rPr>
          <w:rFonts w:ascii="Times New Roman" w:hAnsi="Times New Roman"/>
          <w:sz w:val="24"/>
          <w:szCs w:val="24"/>
        </w:rPr>
        <w:t>If the infrastructure is near the end of its useful life, then</w:t>
      </w:r>
      <w:r w:rsidR="00407D19">
        <w:rPr>
          <w:rFonts w:ascii="Times New Roman" w:hAnsi="Times New Roman"/>
          <w:sz w:val="24"/>
          <w:szCs w:val="24"/>
        </w:rPr>
        <w:t xml:space="preserve"> theoretically</w:t>
      </w:r>
      <w:r w:rsidR="000F5616" w:rsidRPr="00D813D7">
        <w:rPr>
          <w:rFonts w:ascii="Times New Roman" w:hAnsi="Times New Roman"/>
          <w:sz w:val="24"/>
          <w:szCs w:val="24"/>
        </w:rPr>
        <w:t xml:space="preserve"> the stranded cost fee should be lower than for a customer whose service infrastructure has a high concentration of new facility components.</w:t>
      </w:r>
    </w:p>
    <w:p w:rsidR="005679A5" w:rsidRPr="00D813D7" w:rsidRDefault="005679A5" w:rsidP="007F14A0">
      <w:pPr>
        <w:pStyle w:val="ListParagraph"/>
        <w:widowControl w:val="0"/>
        <w:numPr>
          <w:ilvl w:val="0"/>
          <w:numId w:val="21"/>
        </w:numPr>
        <w:spacing w:after="0" w:line="480" w:lineRule="auto"/>
        <w:ind w:left="1440"/>
        <w:rPr>
          <w:rFonts w:ascii="Times New Roman" w:hAnsi="Times New Roman"/>
          <w:sz w:val="24"/>
          <w:szCs w:val="24"/>
        </w:rPr>
      </w:pPr>
      <w:r w:rsidRPr="00D813D7">
        <w:rPr>
          <w:rFonts w:ascii="Times New Roman" w:hAnsi="Times New Roman"/>
          <w:b/>
          <w:sz w:val="24"/>
          <w:szCs w:val="24"/>
        </w:rPr>
        <w:t>Customer Differences:</w:t>
      </w:r>
      <w:r w:rsidRPr="00D813D7">
        <w:rPr>
          <w:rFonts w:ascii="Times New Roman" w:hAnsi="Times New Roman"/>
          <w:sz w:val="24"/>
          <w:szCs w:val="24"/>
        </w:rPr>
        <w:t xml:space="preserve"> </w:t>
      </w:r>
      <w:r w:rsidR="00136BEA">
        <w:rPr>
          <w:rFonts w:ascii="Times New Roman" w:hAnsi="Times New Roman"/>
          <w:sz w:val="24"/>
          <w:szCs w:val="24"/>
        </w:rPr>
        <w:t xml:space="preserve"> </w:t>
      </w:r>
      <w:r w:rsidR="00EB110E" w:rsidRPr="00D813D7">
        <w:rPr>
          <w:rFonts w:ascii="Times New Roman" w:hAnsi="Times New Roman"/>
          <w:sz w:val="24"/>
          <w:szCs w:val="24"/>
        </w:rPr>
        <w:t>I</w:t>
      </w:r>
      <w:r w:rsidRPr="00D813D7">
        <w:rPr>
          <w:rFonts w:ascii="Times New Roman" w:hAnsi="Times New Roman"/>
          <w:sz w:val="24"/>
          <w:szCs w:val="24"/>
        </w:rPr>
        <w:t xml:space="preserve">ndividual customers </w:t>
      </w:r>
      <w:r w:rsidR="00EB110E" w:rsidRPr="00D813D7">
        <w:rPr>
          <w:rFonts w:ascii="Times New Roman" w:hAnsi="Times New Roman"/>
          <w:sz w:val="24"/>
          <w:szCs w:val="24"/>
        </w:rPr>
        <w:t>have different</w:t>
      </w:r>
      <w:r w:rsidRPr="00D813D7">
        <w:rPr>
          <w:rFonts w:ascii="Times New Roman" w:hAnsi="Times New Roman"/>
          <w:sz w:val="24"/>
          <w:szCs w:val="24"/>
        </w:rPr>
        <w:t xml:space="preserve"> total consumption and load patterns</w:t>
      </w:r>
      <w:r w:rsidR="00EB110E" w:rsidRPr="00D813D7">
        <w:rPr>
          <w:rStyle w:val="FootnoteReference"/>
          <w:rFonts w:ascii="Times New Roman" w:hAnsi="Times New Roman"/>
          <w:sz w:val="24"/>
          <w:szCs w:val="24"/>
        </w:rPr>
        <w:footnoteReference w:id="56"/>
      </w:r>
      <w:r w:rsidRPr="00D813D7">
        <w:rPr>
          <w:rFonts w:ascii="Times New Roman" w:hAnsi="Times New Roman"/>
          <w:sz w:val="24"/>
          <w:szCs w:val="24"/>
        </w:rPr>
        <w:t xml:space="preserve"> and</w:t>
      </w:r>
      <w:r w:rsidR="00EB110E" w:rsidRPr="00D813D7">
        <w:rPr>
          <w:rFonts w:ascii="Times New Roman" w:hAnsi="Times New Roman"/>
          <w:sz w:val="24"/>
          <w:szCs w:val="24"/>
        </w:rPr>
        <w:t>, therefore,</w:t>
      </w:r>
      <w:r w:rsidRPr="00D813D7">
        <w:rPr>
          <w:rFonts w:ascii="Times New Roman" w:hAnsi="Times New Roman"/>
          <w:sz w:val="24"/>
          <w:szCs w:val="24"/>
        </w:rPr>
        <w:t xml:space="preserve"> cause different </w:t>
      </w:r>
      <w:r w:rsidR="00EB110E" w:rsidRPr="00D813D7">
        <w:rPr>
          <w:rFonts w:ascii="Times New Roman" w:hAnsi="Times New Roman"/>
          <w:sz w:val="24"/>
          <w:szCs w:val="24"/>
        </w:rPr>
        <w:t xml:space="preserve">fixed </w:t>
      </w:r>
      <w:r w:rsidRPr="00D813D7">
        <w:rPr>
          <w:rFonts w:ascii="Times New Roman" w:hAnsi="Times New Roman"/>
          <w:sz w:val="24"/>
          <w:szCs w:val="24"/>
        </w:rPr>
        <w:t>costs to be incurred</w:t>
      </w:r>
      <w:r w:rsidR="00EB110E" w:rsidRPr="00D813D7">
        <w:rPr>
          <w:rFonts w:ascii="Times New Roman" w:hAnsi="Times New Roman"/>
          <w:sz w:val="24"/>
          <w:szCs w:val="24"/>
        </w:rPr>
        <w:t xml:space="preserve"> by the utility</w:t>
      </w:r>
      <w:r w:rsidRPr="00D813D7">
        <w:rPr>
          <w:rFonts w:ascii="Times New Roman" w:hAnsi="Times New Roman"/>
          <w:sz w:val="24"/>
          <w:szCs w:val="24"/>
        </w:rPr>
        <w:t>.</w:t>
      </w:r>
      <w:r w:rsidR="00EB110E" w:rsidRPr="00D813D7">
        <w:rPr>
          <w:rFonts w:ascii="Times New Roman" w:hAnsi="Times New Roman"/>
          <w:sz w:val="24"/>
          <w:szCs w:val="24"/>
        </w:rPr>
        <w:t xml:space="preserve"> </w:t>
      </w:r>
      <w:r w:rsidR="00136BEA">
        <w:rPr>
          <w:rFonts w:ascii="Times New Roman" w:hAnsi="Times New Roman"/>
          <w:sz w:val="24"/>
          <w:szCs w:val="24"/>
        </w:rPr>
        <w:t xml:space="preserve"> </w:t>
      </w:r>
      <w:r w:rsidR="00EB110E" w:rsidRPr="00D813D7">
        <w:rPr>
          <w:rFonts w:ascii="Times New Roman" w:hAnsi="Times New Roman"/>
          <w:sz w:val="24"/>
          <w:szCs w:val="24"/>
        </w:rPr>
        <w:t>Looking only at total utility fixed costs would not capture this variation.</w:t>
      </w:r>
    </w:p>
    <w:p w:rsidR="00A94D58" w:rsidRPr="00D813D7" w:rsidRDefault="00136BEA" w:rsidP="00A94D58">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A94D58" w:rsidRPr="00D813D7">
        <w:rPr>
          <w:rFonts w:ascii="Times New Roman" w:hAnsi="Times New Roman"/>
          <w:b/>
          <w:sz w:val="24"/>
          <w:szCs w:val="24"/>
        </w:rPr>
        <w:tab/>
        <w:t>Is the Company’s selection of a direct categorization approach reasonable in light of the pros and cons of each approach?</w:t>
      </w:r>
    </w:p>
    <w:p w:rsidR="00F14445" w:rsidRPr="00D813D7" w:rsidRDefault="00136BEA" w:rsidP="00723DDF">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A94D58" w:rsidRPr="00D813D7">
        <w:rPr>
          <w:rFonts w:ascii="Times New Roman" w:hAnsi="Times New Roman"/>
          <w:sz w:val="24"/>
          <w:szCs w:val="24"/>
        </w:rPr>
        <w:tab/>
        <w:t>Yes</w:t>
      </w:r>
      <w:r w:rsidR="0028411E" w:rsidRPr="00D813D7">
        <w:rPr>
          <w:rFonts w:ascii="Times New Roman" w:hAnsi="Times New Roman"/>
          <w:sz w:val="24"/>
          <w:szCs w:val="24"/>
        </w:rPr>
        <w:t xml:space="preserve">, but the issues of scope, timeframe, and customer differences discussed above are important and should be carefully considered. </w:t>
      </w:r>
      <w:r w:rsidR="00723DDF">
        <w:rPr>
          <w:rFonts w:ascii="Times New Roman" w:hAnsi="Times New Roman"/>
          <w:sz w:val="24"/>
          <w:szCs w:val="24"/>
        </w:rPr>
        <w:t xml:space="preserve"> </w:t>
      </w:r>
      <w:r w:rsidR="0028411E" w:rsidRPr="00D813D7">
        <w:rPr>
          <w:rFonts w:ascii="Times New Roman" w:hAnsi="Times New Roman"/>
          <w:sz w:val="24"/>
          <w:szCs w:val="24"/>
        </w:rPr>
        <w:t>I turn to these issues next.</w:t>
      </w:r>
    </w:p>
    <w:p w:rsidR="006A1B84" w:rsidRPr="00D813D7" w:rsidRDefault="00723DDF" w:rsidP="00A94D58">
      <w:pPr>
        <w:widowControl w:val="0"/>
        <w:spacing w:after="0" w:line="480" w:lineRule="auto"/>
        <w:rPr>
          <w:rFonts w:ascii="Times New Roman" w:hAnsi="Times New Roman"/>
          <w:b/>
          <w:sz w:val="24"/>
          <w:szCs w:val="24"/>
        </w:rPr>
      </w:pPr>
      <w:r>
        <w:rPr>
          <w:rFonts w:ascii="Times New Roman" w:hAnsi="Times New Roman"/>
          <w:b/>
          <w:sz w:val="24"/>
          <w:szCs w:val="24"/>
        </w:rPr>
        <w:t>Q:</w:t>
      </w:r>
      <w:r w:rsidR="006A1B84" w:rsidRPr="00D813D7">
        <w:rPr>
          <w:rFonts w:ascii="Times New Roman" w:hAnsi="Times New Roman"/>
          <w:b/>
          <w:sz w:val="24"/>
          <w:szCs w:val="24"/>
        </w:rPr>
        <w:tab/>
        <w:t>Are scope and timeframe issues related?</w:t>
      </w:r>
    </w:p>
    <w:p w:rsidR="00F14445" w:rsidRPr="00D813D7" w:rsidRDefault="00723DDF" w:rsidP="00723DDF">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6A1B84" w:rsidRPr="00D813D7">
        <w:rPr>
          <w:rFonts w:ascii="Times New Roman" w:hAnsi="Times New Roman"/>
          <w:sz w:val="24"/>
          <w:szCs w:val="24"/>
        </w:rPr>
        <w:tab/>
        <w:t xml:space="preserve">Yes. </w:t>
      </w:r>
      <w:r>
        <w:rPr>
          <w:rFonts w:ascii="Times New Roman" w:hAnsi="Times New Roman"/>
          <w:sz w:val="24"/>
          <w:szCs w:val="24"/>
        </w:rPr>
        <w:t xml:space="preserve"> </w:t>
      </w:r>
      <w:r w:rsidR="00CC6FAE" w:rsidRPr="00D813D7">
        <w:rPr>
          <w:rFonts w:ascii="Times New Roman" w:hAnsi="Times New Roman"/>
          <w:sz w:val="24"/>
          <w:szCs w:val="24"/>
        </w:rPr>
        <w:t>In the short-term</w:t>
      </w:r>
      <w:r>
        <w:rPr>
          <w:rFonts w:ascii="Times New Roman" w:hAnsi="Times New Roman"/>
          <w:sz w:val="24"/>
          <w:szCs w:val="24"/>
        </w:rPr>
        <w:t>, over just one-to-</w:t>
      </w:r>
      <w:r w:rsidR="003B4B8B" w:rsidRPr="00D813D7">
        <w:rPr>
          <w:rFonts w:ascii="Times New Roman" w:hAnsi="Times New Roman"/>
          <w:sz w:val="24"/>
          <w:szCs w:val="24"/>
        </w:rPr>
        <w:t xml:space="preserve">two years, many utility costs are essentially fixed. </w:t>
      </w:r>
      <w:r>
        <w:rPr>
          <w:rFonts w:ascii="Times New Roman" w:hAnsi="Times New Roman"/>
          <w:sz w:val="24"/>
          <w:szCs w:val="24"/>
        </w:rPr>
        <w:t xml:space="preserve"> </w:t>
      </w:r>
      <w:r w:rsidR="003B4B8B" w:rsidRPr="00D813D7">
        <w:rPr>
          <w:rFonts w:ascii="Times New Roman" w:hAnsi="Times New Roman"/>
          <w:sz w:val="24"/>
          <w:szCs w:val="24"/>
        </w:rPr>
        <w:t xml:space="preserve">Utilities cannot easily sell off and replace existing infrastructure or alter its labor force in response to loss of load due to departing customers within that timeframe. </w:t>
      </w:r>
      <w:r>
        <w:rPr>
          <w:rFonts w:ascii="Times New Roman" w:hAnsi="Times New Roman"/>
          <w:sz w:val="24"/>
          <w:szCs w:val="24"/>
        </w:rPr>
        <w:t xml:space="preserve"> </w:t>
      </w:r>
      <w:r w:rsidR="003B4B8B" w:rsidRPr="00D813D7">
        <w:rPr>
          <w:rFonts w:ascii="Times New Roman" w:hAnsi="Times New Roman"/>
          <w:sz w:val="24"/>
          <w:szCs w:val="24"/>
        </w:rPr>
        <w:t xml:space="preserve">However, over </w:t>
      </w:r>
      <w:r w:rsidR="002D65C1" w:rsidRPr="00D813D7">
        <w:rPr>
          <w:rFonts w:ascii="Times New Roman" w:hAnsi="Times New Roman"/>
          <w:sz w:val="24"/>
          <w:szCs w:val="24"/>
        </w:rPr>
        <w:t>a long-enough term</w:t>
      </w:r>
      <w:r w:rsidR="003B4B8B" w:rsidRPr="00D813D7">
        <w:rPr>
          <w:rFonts w:ascii="Times New Roman" w:hAnsi="Times New Roman"/>
          <w:sz w:val="24"/>
          <w:szCs w:val="24"/>
        </w:rPr>
        <w:t xml:space="preserve">, sometimes decades for certain long-lived utility assets, plant is retired and replaced, and all </w:t>
      </w:r>
      <w:r w:rsidR="00535905" w:rsidRPr="00D813D7">
        <w:rPr>
          <w:rFonts w:ascii="Times New Roman" w:hAnsi="Times New Roman"/>
          <w:sz w:val="24"/>
          <w:szCs w:val="24"/>
        </w:rPr>
        <w:t>investments and operating costs</w:t>
      </w:r>
      <w:r w:rsidR="003B4B8B" w:rsidRPr="00D813D7">
        <w:rPr>
          <w:rFonts w:ascii="Times New Roman" w:hAnsi="Times New Roman"/>
          <w:sz w:val="24"/>
          <w:szCs w:val="24"/>
        </w:rPr>
        <w:t xml:space="preserve"> will have adapted to the loss of the </w:t>
      </w:r>
      <w:r w:rsidR="003B4B8B" w:rsidRPr="00D813D7">
        <w:rPr>
          <w:rFonts w:ascii="Times New Roman" w:hAnsi="Times New Roman"/>
          <w:sz w:val="24"/>
          <w:szCs w:val="24"/>
        </w:rPr>
        <w:lastRenderedPageBreak/>
        <w:t xml:space="preserve">customer. </w:t>
      </w:r>
      <w:r>
        <w:rPr>
          <w:rFonts w:ascii="Times New Roman" w:hAnsi="Times New Roman"/>
          <w:sz w:val="24"/>
          <w:szCs w:val="24"/>
        </w:rPr>
        <w:t xml:space="preserve"> </w:t>
      </w:r>
      <w:r w:rsidR="003B4B8B" w:rsidRPr="00D813D7">
        <w:rPr>
          <w:rFonts w:ascii="Times New Roman" w:hAnsi="Times New Roman"/>
          <w:sz w:val="24"/>
          <w:szCs w:val="24"/>
        </w:rPr>
        <w:t>At that point, there will be no more stranded costs.</w:t>
      </w:r>
      <w:r w:rsidR="00790224" w:rsidRPr="00D813D7">
        <w:rPr>
          <w:rFonts w:ascii="Times New Roman" w:hAnsi="Times New Roman"/>
          <w:sz w:val="24"/>
          <w:szCs w:val="24"/>
        </w:rPr>
        <w:t xml:space="preserve"> </w:t>
      </w:r>
    </w:p>
    <w:p w:rsidR="006A1B84" w:rsidRPr="00D813D7" w:rsidRDefault="00723DDF" w:rsidP="006A1B84">
      <w:pPr>
        <w:widowControl w:val="0"/>
        <w:spacing w:after="0" w:line="480" w:lineRule="auto"/>
        <w:ind w:left="720" w:hanging="720"/>
        <w:rPr>
          <w:rFonts w:ascii="Times New Roman" w:hAnsi="Times New Roman"/>
          <w:b/>
          <w:sz w:val="24"/>
          <w:szCs w:val="24"/>
        </w:rPr>
      </w:pPr>
      <w:r w:rsidRPr="00027F40">
        <w:rPr>
          <w:rFonts w:ascii="Times New Roman" w:hAnsi="Times New Roman"/>
          <w:b/>
          <w:sz w:val="24"/>
          <w:szCs w:val="24"/>
        </w:rPr>
        <w:t>Q:</w:t>
      </w:r>
      <w:r w:rsidR="006A1B84" w:rsidRPr="00027F40">
        <w:rPr>
          <w:rFonts w:ascii="Times New Roman" w:hAnsi="Times New Roman"/>
          <w:b/>
          <w:sz w:val="24"/>
          <w:szCs w:val="24"/>
        </w:rPr>
        <w:tab/>
        <w:t>What scope of cost types and timeframe has the Company recommended in its</w:t>
      </w:r>
      <w:r w:rsidR="006A1B84" w:rsidRPr="00D813D7">
        <w:rPr>
          <w:rFonts w:ascii="Times New Roman" w:hAnsi="Times New Roman"/>
          <w:b/>
          <w:sz w:val="24"/>
          <w:szCs w:val="24"/>
        </w:rPr>
        <w:t xml:space="preserve"> approach to determining fixed costs?</w:t>
      </w:r>
    </w:p>
    <w:p w:rsidR="00F14445" w:rsidRPr="00D813D7" w:rsidRDefault="00723DDF" w:rsidP="00732D77">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6A1B84" w:rsidRPr="00D813D7">
        <w:rPr>
          <w:rFonts w:ascii="Times New Roman" w:hAnsi="Times New Roman"/>
          <w:sz w:val="24"/>
          <w:szCs w:val="24"/>
        </w:rPr>
        <w:tab/>
      </w:r>
      <w:r w:rsidR="003B4B8B" w:rsidRPr="00D813D7">
        <w:rPr>
          <w:rFonts w:ascii="Times New Roman" w:hAnsi="Times New Roman"/>
          <w:sz w:val="24"/>
          <w:szCs w:val="24"/>
        </w:rPr>
        <w:t xml:space="preserve">Pacific Power has assumed </w:t>
      </w:r>
      <w:r w:rsidR="006A1B84" w:rsidRPr="00D813D7">
        <w:rPr>
          <w:rFonts w:ascii="Times New Roman" w:hAnsi="Times New Roman"/>
          <w:sz w:val="24"/>
          <w:szCs w:val="24"/>
        </w:rPr>
        <w:t>all non-net power costs</w:t>
      </w:r>
      <w:r w:rsidR="003B4B8B" w:rsidRPr="00D813D7">
        <w:rPr>
          <w:rFonts w:ascii="Times New Roman" w:hAnsi="Times New Roman"/>
          <w:sz w:val="24"/>
          <w:szCs w:val="24"/>
        </w:rPr>
        <w:t xml:space="preserve"> to be fixed</w:t>
      </w:r>
      <w:r w:rsidR="00176965" w:rsidRPr="00D813D7">
        <w:rPr>
          <w:rStyle w:val="FootnoteReference"/>
          <w:rFonts w:ascii="Times New Roman" w:hAnsi="Times New Roman"/>
          <w:sz w:val="24"/>
          <w:szCs w:val="24"/>
        </w:rPr>
        <w:footnoteReference w:id="57"/>
      </w:r>
      <w:r w:rsidR="003B4B8B" w:rsidRPr="00D813D7">
        <w:rPr>
          <w:rFonts w:ascii="Times New Roman" w:hAnsi="Times New Roman"/>
          <w:sz w:val="24"/>
          <w:szCs w:val="24"/>
        </w:rPr>
        <w:t xml:space="preserve"> over a ten-year period</w:t>
      </w:r>
      <w:r w:rsidR="00AA4247" w:rsidRPr="00D813D7">
        <w:rPr>
          <w:rFonts w:ascii="Times New Roman" w:hAnsi="Times New Roman"/>
          <w:sz w:val="24"/>
          <w:szCs w:val="24"/>
        </w:rPr>
        <w:t>, which is twice the</w:t>
      </w:r>
      <w:r w:rsidR="002D44C5" w:rsidRPr="00D813D7">
        <w:rPr>
          <w:rFonts w:ascii="Times New Roman" w:hAnsi="Times New Roman"/>
          <w:sz w:val="24"/>
          <w:szCs w:val="24"/>
        </w:rPr>
        <w:t xml:space="preserve"> length of the</w:t>
      </w:r>
      <w:r w:rsidR="00AA4247" w:rsidRPr="00D813D7">
        <w:rPr>
          <w:rFonts w:ascii="Times New Roman" w:hAnsi="Times New Roman"/>
          <w:sz w:val="24"/>
          <w:szCs w:val="24"/>
        </w:rPr>
        <w:t xml:space="preserve"> five-year period PSE assumed in its </w:t>
      </w:r>
      <w:r w:rsidR="000A3B83" w:rsidRPr="00D813D7">
        <w:rPr>
          <w:rFonts w:ascii="Times New Roman" w:hAnsi="Times New Roman"/>
          <w:sz w:val="24"/>
          <w:szCs w:val="24"/>
        </w:rPr>
        <w:t>p</w:t>
      </w:r>
      <w:r w:rsidR="00AA4247" w:rsidRPr="00D813D7">
        <w:rPr>
          <w:rFonts w:ascii="Times New Roman" w:hAnsi="Times New Roman"/>
          <w:sz w:val="24"/>
          <w:szCs w:val="24"/>
        </w:rPr>
        <w:t xml:space="preserve">roposed </w:t>
      </w:r>
      <w:r w:rsidR="000A3B83" w:rsidRPr="00D813D7">
        <w:rPr>
          <w:rFonts w:ascii="Times New Roman" w:hAnsi="Times New Roman"/>
          <w:sz w:val="24"/>
          <w:szCs w:val="24"/>
        </w:rPr>
        <w:t>a</w:t>
      </w:r>
      <w:r w:rsidR="00AA4247" w:rsidRPr="00D813D7">
        <w:rPr>
          <w:rFonts w:ascii="Times New Roman" w:hAnsi="Times New Roman"/>
          <w:sz w:val="24"/>
          <w:szCs w:val="24"/>
        </w:rPr>
        <w:t>pproach</w:t>
      </w:r>
      <w:r w:rsidR="006A1B84" w:rsidRPr="00D813D7">
        <w:rPr>
          <w:rFonts w:ascii="Times New Roman" w:hAnsi="Times New Roman"/>
          <w:sz w:val="24"/>
          <w:szCs w:val="24"/>
        </w:rPr>
        <w:t xml:space="preserve">. </w:t>
      </w:r>
      <w:r>
        <w:rPr>
          <w:rFonts w:ascii="Times New Roman" w:hAnsi="Times New Roman"/>
          <w:sz w:val="24"/>
          <w:szCs w:val="24"/>
        </w:rPr>
        <w:t xml:space="preserve"> </w:t>
      </w:r>
      <w:r w:rsidR="002D65C1" w:rsidRPr="00D813D7">
        <w:rPr>
          <w:rFonts w:ascii="Times New Roman" w:hAnsi="Times New Roman"/>
          <w:sz w:val="24"/>
          <w:szCs w:val="24"/>
        </w:rPr>
        <w:t>I agree that n</w:t>
      </w:r>
      <w:r w:rsidR="003B4B8B" w:rsidRPr="00D813D7">
        <w:rPr>
          <w:rFonts w:ascii="Times New Roman" w:hAnsi="Times New Roman"/>
          <w:sz w:val="24"/>
          <w:szCs w:val="24"/>
        </w:rPr>
        <w:t>et power costs are variable in nature and can be avoided with lower load</w:t>
      </w:r>
      <w:r w:rsidR="00AA4247" w:rsidRPr="00D813D7">
        <w:rPr>
          <w:rFonts w:ascii="Times New Roman" w:hAnsi="Times New Roman"/>
          <w:sz w:val="24"/>
          <w:szCs w:val="24"/>
        </w:rPr>
        <w:t>, so it is appropriate to exclude those costs from fixed costs</w:t>
      </w:r>
      <w:r w:rsidR="006A1B84" w:rsidRPr="00D813D7">
        <w:rPr>
          <w:rFonts w:ascii="Times New Roman" w:hAnsi="Times New Roman"/>
          <w:sz w:val="24"/>
          <w:szCs w:val="24"/>
        </w:rPr>
        <w:t xml:space="preserve">. </w:t>
      </w:r>
      <w:r w:rsidR="00732D77">
        <w:rPr>
          <w:rFonts w:ascii="Times New Roman" w:hAnsi="Times New Roman"/>
          <w:sz w:val="24"/>
          <w:szCs w:val="24"/>
        </w:rPr>
        <w:t xml:space="preserve"> </w:t>
      </w:r>
      <w:r w:rsidR="003B4B8B" w:rsidRPr="00D813D7">
        <w:rPr>
          <w:rFonts w:ascii="Times New Roman" w:hAnsi="Times New Roman"/>
          <w:sz w:val="24"/>
          <w:szCs w:val="24"/>
        </w:rPr>
        <w:t>The only question</w:t>
      </w:r>
      <w:r w:rsidR="000F5616" w:rsidRPr="00D813D7">
        <w:rPr>
          <w:rFonts w:ascii="Times New Roman" w:hAnsi="Times New Roman"/>
          <w:sz w:val="24"/>
          <w:szCs w:val="24"/>
        </w:rPr>
        <w:t>s</w:t>
      </w:r>
      <w:r w:rsidR="003B4B8B" w:rsidRPr="00D813D7">
        <w:rPr>
          <w:rFonts w:ascii="Times New Roman" w:hAnsi="Times New Roman"/>
          <w:sz w:val="24"/>
          <w:szCs w:val="24"/>
        </w:rPr>
        <w:t xml:space="preserve"> </w:t>
      </w:r>
      <w:r w:rsidR="000F5616" w:rsidRPr="00D813D7">
        <w:rPr>
          <w:rFonts w:ascii="Times New Roman" w:hAnsi="Times New Roman"/>
          <w:sz w:val="24"/>
          <w:szCs w:val="24"/>
        </w:rPr>
        <w:t xml:space="preserve">are </w:t>
      </w:r>
      <w:r w:rsidR="003B4B8B" w:rsidRPr="00D813D7">
        <w:rPr>
          <w:rFonts w:ascii="Times New Roman" w:hAnsi="Times New Roman"/>
          <w:sz w:val="24"/>
          <w:szCs w:val="24"/>
        </w:rPr>
        <w:t>whether the</w:t>
      </w:r>
      <w:r w:rsidR="006A1B84" w:rsidRPr="00D813D7">
        <w:rPr>
          <w:rFonts w:ascii="Times New Roman" w:hAnsi="Times New Roman"/>
          <w:sz w:val="24"/>
          <w:szCs w:val="24"/>
        </w:rPr>
        <w:t xml:space="preserve"> scope </w:t>
      </w:r>
      <w:r w:rsidR="003B4B8B" w:rsidRPr="00D813D7">
        <w:rPr>
          <w:rFonts w:ascii="Times New Roman" w:hAnsi="Times New Roman"/>
          <w:sz w:val="24"/>
          <w:szCs w:val="24"/>
        </w:rPr>
        <w:t xml:space="preserve">of fixed costs </w:t>
      </w:r>
      <w:r w:rsidR="000F5616" w:rsidRPr="00D813D7">
        <w:rPr>
          <w:rFonts w:ascii="Times New Roman" w:hAnsi="Times New Roman"/>
          <w:sz w:val="24"/>
          <w:szCs w:val="24"/>
        </w:rPr>
        <w:t>is appropriate</w:t>
      </w:r>
      <w:r w:rsidR="00AA4247" w:rsidRPr="00D813D7">
        <w:rPr>
          <w:rFonts w:ascii="Times New Roman" w:hAnsi="Times New Roman"/>
          <w:sz w:val="24"/>
          <w:szCs w:val="24"/>
        </w:rPr>
        <w:t xml:space="preserve"> </w:t>
      </w:r>
      <w:r w:rsidR="0074179E">
        <w:rPr>
          <w:rFonts w:ascii="Times New Roman" w:hAnsi="Times New Roman"/>
          <w:sz w:val="24"/>
          <w:szCs w:val="24"/>
        </w:rPr>
        <w:t>and</w:t>
      </w:r>
      <w:r w:rsidR="00AA4247" w:rsidRPr="00D813D7">
        <w:rPr>
          <w:rFonts w:ascii="Times New Roman" w:hAnsi="Times New Roman"/>
          <w:sz w:val="24"/>
          <w:szCs w:val="24"/>
        </w:rPr>
        <w:t xml:space="preserve"> </w:t>
      </w:r>
      <w:r w:rsidR="000F5616" w:rsidRPr="00D813D7">
        <w:rPr>
          <w:rFonts w:ascii="Times New Roman" w:hAnsi="Times New Roman"/>
          <w:sz w:val="24"/>
          <w:szCs w:val="24"/>
        </w:rPr>
        <w:t xml:space="preserve">if </w:t>
      </w:r>
      <w:r w:rsidR="00AA4247" w:rsidRPr="00D813D7">
        <w:rPr>
          <w:rFonts w:ascii="Times New Roman" w:hAnsi="Times New Roman"/>
          <w:sz w:val="24"/>
          <w:szCs w:val="24"/>
        </w:rPr>
        <w:t>the analytical time</w:t>
      </w:r>
      <w:r w:rsidR="002D65C1" w:rsidRPr="00D813D7">
        <w:rPr>
          <w:rFonts w:ascii="Times New Roman" w:hAnsi="Times New Roman"/>
          <w:sz w:val="24"/>
          <w:szCs w:val="24"/>
        </w:rPr>
        <w:t>frame</w:t>
      </w:r>
      <w:r w:rsidR="00AA4247" w:rsidRPr="00D813D7">
        <w:rPr>
          <w:rFonts w:ascii="Times New Roman" w:hAnsi="Times New Roman"/>
          <w:sz w:val="24"/>
          <w:szCs w:val="24"/>
        </w:rPr>
        <w:t xml:space="preserve"> </w:t>
      </w:r>
      <w:r w:rsidR="000F5616" w:rsidRPr="00D813D7">
        <w:rPr>
          <w:rFonts w:ascii="Times New Roman" w:hAnsi="Times New Roman"/>
          <w:sz w:val="24"/>
          <w:szCs w:val="24"/>
        </w:rPr>
        <w:t xml:space="preserve">should be </w:t>
      </w:r>
      <w:r w:rsidR="00AA4247" w:rsidRPr="00D813D7">
        <w:rPr>
          <w:rFonts w:ascii="Times New Roman" w:hAnsi="Times New Roman"/>
          <w:sz w:val="24"/>
          <w:szCs w:val="24"/>
        </w:rPr>
        <w:t>adjusted.</w:t>
      </w:r>
    </w:p>
    <w:p w:rsidR="009352CB" w:rsidRPr="00D813D7" w:rsidRDefault="00732D77" w:rsidP="006A1B84">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352CB" w:rsidRPr="00D813D7">
        <w:rPr>
          <w:rFonts w:ascii="Times New Roman" w:hAnsi="Times New Roman"/>
          <w:b/>
          <w:sz w:val="24"/>
          <w:szCs w:val="24"/>
        </w:rPr>
        <w:tab/>
        <w:t>What costs may not be “fixed” given the ten-year timeframe of the</w:t>
      </w:r>
      <w:r w:rsidR="003B4B8B" w:rsidRPr="00D813D7">
        <w:rPr>
          <w:rFonts w:ascii="Times New Roman" w:hAnsi="Times New Roman"/>
          <w:b/>
          <w:sz w:val="24"/>
          <w:szCs w:val="24"/>
        </w:rPr>
        <w:t xml:space="preserve"> Company’s</w:t>
      </w:r>
      <w:r w:rsidR="009352CB" w:rsidRPr="00D813D7">
        <w:rPr>
          <w:rFonts w:ascii="Times New Roman" w:hAnsi="Times New Roman"/>
          <w:b/>
          <w:sz w:val="24"/>
          <w:szCs w:val="24"/>
        </w:rPr>
        <w:t xml:space="preserve"> analysis?</w:t>
      </w:r>
    </w:p>
    <w:p w:rsidR="00AA4247" w:rsidRPr="00D813D7" w:rsidRDefault="00732D77" w:rsidP="006A1B84">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9352CB" w:rsidRPr="00D813D7">
        <w:rPr>
          <w:rFonts w:ascii="Times New Roman" w:hAnsi="Times New Roman"/>
          <w:sz w:val="24"/>
          <w:szCs w:val="24"/>
        </w:rPr>
        <w:tab/>
      </w:r>
      <w:r w:rsidR="00AA4247" w:rsidRPr="00D813D7">
        <w:rPr>
          <w:rFonts w:ascii="Times New Roman" w:hAnsi="Times New Roman"/>
          <w:sz w:val="24"/>
          <w:szCs w:val="24"/>
        </w:rPr>
        <w:t xml:space="preserve">There are several costs that Pacific Power has included in its scope of fixed costs that </w:t>
      </w:r>
      <w:r>
        <w:rPr>
          <w:rFonts w:ascii="Times New Roman" w:hAnsi="Times New Roman"/>
          <w:sz w:val="24"/>
          <w:szCs w:val="24"/>
        </w:rPr>
        <w:t>are unlikely to be fixed for 10</w:t>
      </w:r>
      <w:r w:rsidR="00AA4247" w:rsidRPr="00D813D7">
        <w:rPr>
          <w:rFonts w:ascii="Times New Roman" w:hAnsi="Times New Roman"/>
          <w:sz w:val="24"/>
          <w:szCs w:val="24"/>
        </w:rPr>
        <w:t xml:space="preserve"> years. </w:t>
      </w:r>
      <w:r>
        <w:rPr>
          <w:rFonts w:ascii="Times New Roman" w:hAnsi="Times New Roman"/>
          <w:sz w:val="24"/>
          <w:szCs w:val="24"/>
        </w:rPr>
        <w:t xml:space="preserve"> </w:t>
      </w:r>
      <w:r w:rsidR="00AA4247" w:rsidRPr="00D813D7">
        <w:rPr>
          <w:rFonts w:ascii="Times New Roman" w:hAnsi="Times New Roman"/>
          <w:sz w:val="24"/>
          <w:szCs w:val="24"/>
        </w:rPr>
        <w:t>Here are some examples:</w:t>
      </w:r>
    </w:p>
    <w:p w:rsidR="00AA4247" w:rsidRPr="00D813D7" w:rsidRDefault="00AA4247" w:rsidP="00AA4247">
      <w:pPr>
        <w:pStyle w:val="ListParagraph"/>
        <w:widowControl w:val="0"/>
        <w:numPr>
          <w:ilvl w:val="0"/>
          <w:numId w:val="22"/>
        </w:numPr>
        <w:spacing w:after="0" w:line="480" w:lineRule="auto"/>
        <w:rPr>
          <w:rFonts w:ascii="Times New Roman" w:hAnsi="Times New Roman"/>
          <w:sz w:val="24"/>
          <w:szCs w:val="24"/>
        </w:rPr>
      </w:pPr>
      <w:r w:rsidRPr="00D813D7">
        <w:rPr>
          <w:rFonts w:ascii="Times New Roman" w:hAnsi="Times New Roman"/>
          <w:sz w:val="24"/>
          <w:szCs w:val="24"/>
        </w:rPr>
        <w:t>With fewer customers, the utility will issue fewer bills, which can lower meter reading and billing costs, even in the short-term</w:t>
      </w:r>
      <w:r w:rsidR="002D65C1" w:rsidRPr="00D813D7">
        <w:rPr>
          <w:rFonts w:ascii="Times New Roman" w:hAnsi="Times New Roman"/>
          <w:sz w:val="24"/>
          <w:szCs w:val="24"/>
        </w:rPr>
        <w:t>.</w:t>
      </w:r>
    </w:p>
    <w:p w:rsidR="00AA4247" w:rsidRPr="00D813D7" w:rsidRDefault="00AA4247" w:rsidP="00AA4247">
      <w:pPr>
        <w:pStyle w:val="ListParagraph"/>
        <w:widowControl w:val="0"/>
        <w:numPr>
          <w:ilvl w:val="0"/>
          <w:numId w:val="22"/>
        </w:numPr>
        <w:spacing w:after="0" w:line="480" w:lineRule="auto"/>
        <w:rPr>
          <w:rFonts w:ascii="Times New Roman" w:hAnsi="Times New Roman"/>
          <w:sz w:val="24"/>
          <w:szCs w:val="24"/>
        </w:rPr>
      </w:pPr>
      <w:r w:rsidRPr="00D813D7">
        <w:rPr>
          <w:rFonts w:ascii="Times New Roman" w:hAnsi="Times New Roman"/>
          <w:sz w:val="24"/>
          <w:szCs w:val="24"/>
        </w:rPr>
        <w:t>Customer service and other labor costs can be adjusted over that time as the utility makes hiring decisions</w:t>
      </w:r>
      <w:r w:rsidR="002D65C1" w:rsidRPr="00D813D7">
        <w:rPr>
          <w:rFonts w:ascii="Times New Roman" w:hAnsi="Times New Roman"/>
          <w:sz w:val="24"/>
          <w:szCs w:val="24"/>
        </w:rPr>
        <w:t>.</w:t>
      </w:r>
    </w:p>
    <w:p w:rsidR="00AA4247" w:rsidRPr="00D813D7" w:rsidRDefault="00AA4247" w:rsidP="00AA4247">
      <w:pPr>
        <w:pStyle w:val="ListParagraph"/>
        <w:widowControl w:val="0"/>
        <w:numPr>
          <w:ilvl w:val="0"/>
          <w:numId w:val="22"/>
        </w:numPr>
        <w:spacing w:after="0" w:line="480" w:lineRule="auto"/>
        <w:rPr>
          <w:rFonts w:ascii="Times New Roman" w:hAnsi="Times New Roman"/>
          <w:sz w:val="24"/>
          <w:szCs w:val="24"/>
        </w:rPr>
      </w:pPr>
      <w:r w:rsidRPr="00D813D7">
        <w:rPr>
          <w:rFonts w:ascii="Times New Roman" w:hAnsi="Times New Roman"/>
          <w:sz w:val="24"/>
          <w:szCs w:val="24"/>
        </w:rPr>
        <w:t>Meters can be reused for other customers and defer new metering investment</w:t>
      </w:r>
      <w:r w:rsidR="002D65C1" w:rsidRPr="00D813D7">
        <w:rPr>
          <w:rFonts w:ascii="Times New Roman" w:hAnsi="Times New Roman"/>
          <w:sz w:val="24"/>
          <w:szCs w:val="24"/>
        </w:rPr>
        <w:t>.</w:t>
      </w:r>
      <w:r w:rsidR="009352CB" w:rsidRPr="00D813D7">
        <w:rPr>
          <w:rFonts w:ascii="Times New Roman" w:hAnsi="Times New Roman"/>
          <w:sz w:val="24"/>
          <w:szCs w:val="24"/>
        </w:rPr>
        <w:t xml:space="preserve"> </w:t>
      </w:r>
    </w:p>
    <w:p w:rsidR="00F14445" w:rsidRPr="00732D77" w:rsidRDefault="00AA4247" w:rsidP="00732D77">
      <w:pPr>
        <w:pStyle w:val="ListParagraph"/>
        <w:widowControl w:val="0"/>
        <w:numPr>
          <w:ilvl w:val="0"/>
          <w:numId w:val="22"/>
        </w:numPr>
        <w:spacing w:after="0" w:line="480" w:lineRule="auto"/>
        <w:rPr>
          <w:rFonts w:ascii="Times New Roman" w:hAnsi="Times New Roman"/>
          <w:sz w:val="24"/>
          <w:szCs w:val="24"/>
        </w:rPr>
      </w:pPr>
      <w:r w:rsidRPr="00D813D7">
        <w:rPr>
          <w:rFonts w:ascii="Times New Roman" w:hAnsi="Times New Roman"/>
          <w:sz w:val="24"/>
          <w:szCs w:val="24"/>
        </w:rPr>
        <w:t>Certain plant will be retired and replaced in that time, although some will also outlast it</w:t>
      </w:r>
      <w:r w:rsidR="002D65C1" w:rsidRPr="00D813D7">
        <w:rPr>
          <w:rFonts w:ascii="Times New Roman" w:hAnsi="Times New Roman"/>
          <w:sz w:val="24"/>
          <w:szCs w:val="24"/>
        </w:rPr>
        <w:t>.</w:t>
      </w:r>
    </w:p>
    <w:p w:rsidR="009352CB" w:rsidRPr="00D813D7" w:rsidRDefault="00732D77" w:rsidP="006A1B84">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352CB" w:rsidRPr="00D813D7">
        <w:rPr>
          <w:rFonts w:ascii="Times New Roman" w:hAnsi="Times New Roman"/>
          <w:b/>
          <w:sz w:val="24"/>
          <w:szCs w:val="24"/>
        </w:rPr>
        <w:tab/>
      </w:r>
      <w:r w:rsidR="00AA4247" w:rsidRPr="00D813D7">
        <w:rPr>
          <w:rFonts w:ascii="Times New Roman" w:hAnsi="Times New Roman"/>
          <w:b/>
          <w:sz w:val="24"/>
          <w:szCs w:val="24"/>
        </w:rPr>
        <w:t>Did the Company consider alternative timeframes for the analysis</w:t>
      </w:r>
      <w:r w:rsidR="009352CB" w:rsidRPr="00D813D7">
        <w:rPr>
          <w:rFonts w:ascii="Times New Roman" w:hAnsi="Times New Roman"/>
          <w:b/>
          <w:sz w:val="24"/>
          <w:szCs w:val="24"/>
        </w:rPr>
        <w:t>?</w:t>
      </w:r>
    </w:p>
    <w:p w:rsidR="00F14445" w:rsidRPr="00D813D7" w:rsidRDefault="00732D77" w:rsidP="00732D77">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9352CB" w:rsidRPr="00D813D7">
        <w:rPr>
          <w:rFonts w:ascii="Times New Roman" w:hAnsi="Times New Roman"/>
          <w:sz w:val="24"/>
          <w:szCs w:val="24"/>
        </w:rPr>
        <w:tab/>
        <w:t xml:space="preserve">Yes. </w:t>
      </w:r>
      <w:r>
        <w:rPr>
          <w:rFonts w:ascii="Times New Roman" w:hAnsi="Times New Roman"/>
          <w:sz w:val="24"/>
          <w:szCs w:val="24"/>
        </w:rPr>
        <w:t xml:space="preserve"> </w:t>
      </w:r>
      <w:r w:rsidR="0074179E">
        <w:rPr>
          <w:rFonts w:ascii="Times New Roman" w:hAnsi="Times New Roman"/>
          <w:sz w:val="24"/>
          <w:szCs w:val="24"/>
        </w:rPr>
        <w:t>Pacific Power</w:t>
      </w:r>
      <w:r w:rsidR="0074179E" w:rsidRPr="00D813D7">
        <w:rPr>
          <w:rFonts w:ascii="Times New Roman" w:hAnsi="Times New Roman"/>
          <w:sz w:val="24"/>
          <w:szCs w:val="24"/>
        </w:rPr>
        <w:t xml:space="preserve"> </w:t>
      </w:r>
      <w:r w:rsidR="002D65C1" w:rsidRPr="00D813D7">
        <w:rPr>
          <w:rFonts w:ascii="Times New Roman" w:hAnsi="Times New Roman"/>
          <w:sz w:val="24"/>
          <w:szCs w:val="24"/>
        </w:rPr>
        <w:t xml:space="preserve">also </w:t>
      </w:r>
      <w:r w:rsidR="00535905" w:rsidRPr="00D813D7">
        <w:rPr>
          <w:rFonts w:ascii="Times New Roman" w:hAnsi="Times New Roman"/>
          <w:sz w:val="24"/>
          <w:szCs w:val="24"/>
        </w:rPr>
        <w:t xml:space="preserve">considered calculating the net present value of fixed costs over 20, </w:t>
      </w:r>
      <w:r w:rsidR="00535905" w:rsidRPr="00D813D7">
        <w:rPr>
          <w:rFonts w:ascii="Times New Roman" w:hAnsi="Times New Roman"/>
          <w:sz w:val="24"/>
          <w:szCs w:val="24"/>
        </w:rPr>
        <w:lastRenderedPageBreak/>
        <w:t>15, 8, 6, and 4 years.</w:t>
      </w:r>
      <w:r w:rsidR="00535905" w:rsidRPr="00D813D7">
        <w:rPr>
          <w:rStyle w:val="FootnoteReference"/>
          <w:rFonts w:ascii="Times New Roman" w:hAnsi="Times New Roman"/>
          <w:sz w:val="24"/>
          <w:szCs w:val="24"/>
        </w:rPr>
        <w:footnoteReference w:id="58"/>
      </w:r>
      <w:r w:rsidR="007157C3" w:rsidRPr="00D813D7">
        <w:rPr>
          <w:rFonts w:ascii="Times New Roman" w:hAnsi="Times New Roman"/>
          <w:sz w:val="24"/>
          <w:szCs w:val="24"/>
        </w:rPr>
        <w:t xml:space="preserve"> </w:t>
      </w:r>
      <w:r>
        <w:rPr>
          <w:rFonts w:ascii="Times New Roman" w:hAnsi="Times New Roman"/>
          <w:sz w:val="24"/>
          <w:szCs w:val="24"/>
        </w:rPr>
        <w:t xml:space="preserve"> </w:t>
      </w:r>
      <w:r w:rsidR="007157C3" w:rsidRPr="00D813D7">
        <w:rPr>
          <w:rFonts w:ascii="Times New Roman" w:hAnsi="Times New Roman"/>
          <w:sz w:val="24"/>
          <w:szCs w:val="24"/>
        </w:rPr>
        <w:t xml:space="preserve">It ultimately selected a </w:t>
      </w:r>
      <w:r w:rsidR="0097116C" w:rsidRPr="00D813D7">
        <w:rPr>
          <w:rFonts w:ascii="Times New Roman" w:hAnsi="Times New Roman"/>
          <w:sz w:val="24"/>
          <w:szCs w:val="24"/>
        </w:rPr>
        <w:t>10</w:t>
      </w:r>
      <w:r w:rsidR="007157C3" w:rsidRPr="00D813D7">
        <w:rPr>
          <w:rFonts w:ascii="Times New Roman" w:hAnsi="Times New Roman"/>
          <w:sz w:val="24"/>
          <w:szCs w:val="24"/>
        </w:rPr>
        <w:t>-year timeframe as reasonable “in light of the Company's long-term planning cycle.”</w:t>
      </w:r>
      <w:r w:rsidR="007157C3" w:rsidRPr="00D813D7">
        <w:rPr>
          <w:rStyle w:val="FootnoteReference"/>
          <w:rFonts w:ascii="Times New Roman" w:hAnsi="Times New Roman"/>
          <w:sz w:val="24"/>
          <w:szCs w:val="24"/>
        </w:rPr>
        <w:footnoteReference w:id="59"/>
      </w:r>
    </w:p>
    <w:p w:rsidR="009352CB" w:rsidRPr="00D813D7" w:rsidRDefault="00732D77" w:rsidP="006A1B84">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352CB" w:rsidRPr="00D813D7">
        <w:rPr>
          <w:rFonts w:ascii="Times New Roman" w:hAnsi="Times New Roman"/>
          <w:b/>
          <w:sz w:val="24"/>
          <w:szCs w:val="24"/>
        </w:rPr>
        <w:tab/>
        <w:t xml:space="preserve">How would </w:t>
      </w:r>
      <w:r w:rsidR="00A72415" w:rsidRPr="00D813D7">
        <w:rPr>
          <w:rFonts w:ascii="Times New Roman" w:hAnsi="Times New Roman"/>
          <w:b/>
          <w:sz w:val="24"/>
          <w:szCs w:val="24"/>
        </w:rPr>
        <w:t>changing the timeframe impact</w:t>
      </w:r>
      <w:r w:rsidR="009352CB" w:rsidRPr="00D813D7">
        <w:rPr>
          <w:rFonts w:ascii="Times New Roman" w:hAnsi="Times New Roman"/>
          <w:b/>
          <w:sz w:val="24"/>
          <w:szCs w:val="24"/>
        </w:rPr>
        <w:t xml:space="preserve"> the Stranded Cost Recovery Fee?</w:t>
      </w:r>
    </w:p>
    <w:p w:rsidR="00F14445" w:rsidRPr="00D813D7" w:rsidRDefault="00732D77" w:rsidP="00C446D3">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9352CB" w:rsidRPr="00D813D7">
        <w:rPr>
          <w:rFonts w:ascii="Times New Roman" w:hAnsi="Times New Roman"/>
          <w:sz w:val="24"/>
          <w:szCs w:val="24"/>
        </w:rPr>
        <w:tab/>
      </w:r>
      <w:r w:rsidR="00221066" w:rsidRPr="00D813D7">
        <w:rPr>
          <w:rFonts w:ascii="Times New Roman" w:hAnsi="Times New Roman"/>
          <w:sz w:val="24"/>
          <w:szCs w:val="24"/>
        </w:rPr>
        <w:t xml:space="preserve">The table below compares the Stranded Cost Recovery Fee for different assumed timeframes. </w:t>
      </w:r>
      <w:r w:rsidR="00936664">
        <w:rPr>
          <w:rFonts w:ascii="Times New Roman" w:hAnsi="Times New Roman"/>
          <w:sz w:val="24"/>
          <w:szCs w:val="24"/>
        </w:rPr>
        <w:t xml:space="preserve"> </w:t>
      </w:r>
      <w:r w:rsidR="00221066" w:rsidRPr="00D813D7">
        <w:rPr>
          <w:rFonts w:ascii="Times New Roman" w:hAnsi="Times New Roman"/>
          <w:sz w:val="24"/>
          <w:szCs w:val="24"/>
        </w:rPr>
        <w:t>The amount varies substantially, depending on what timeframe is assumed.</w:t>
      </w:r>
    </w:p>
    <w:p w:rsidR="00221066" w:rsidRPr="00936664" w:rsidRDefault="00936664" w:rsidP="00936664">
      <w:pPr>
        <w:pStyle w:val="Caption"/>
        <w:keepNext/>
        <w:ind w:firstLine="720"/>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       </w:t>
      </w:r>
      <w:r w:rsidR="00221066" w:rsidRPr="007F14A0">
        <w:rPr>
          <w:rFonts w:ascii="Times New Roman" w:hAnsi="Times New Roman"/>
          <w:b/>
          <w:i w:val="0"/>
          <w:color w:val="000000" w:themeColor="text1"/>
          <w:sz w:val="24"/>
          <w:szCs w:val="24"/>
        </w:rPr>
        <w:t xml:space="preserve">Table </w:t>
      </w:r>
      <w:r w:rsidR="0078784A" w:rsidRPr="007F14A0">
        <w:rPr>
          <w:rFonts w:ascii="Times New Roman" w:hAnsi="Times New Roman"/>
          <w:b/>
          <w:i w:val="0"/>
          <w:color w:val="000000" w:themeColor="text1"/>
          <w:sz w:val="24"/>
          <w:szCs w:val="24"/>
        </w:rPr>
        <w:fldChar w:fldCharType="begin"/>
      </w:r>
      <w:r w:rsidR="0078784A" w:rsidRPr="007F14A0">
        <w:rPr>
          <w:rFonts w:ascii="Times New Roman" w:hAnsi="Times New Roman"/>
          <w:b/>
          <w:i w:val="0"/>
          <w:color w:val="000000" w:themeColor="text1"/>
          <w:sz w:val="24"/>
          <w:szCs w:val="24"/>
        </w:rPr>
        <w:instrText xml:space="preserve"> SEQ Table \* ARABIC </w:instrText>
      </w:r>
      <w:r w:rsidR="0078784A" w:rsidRPr="007F14A0">
        <w:rPr>
          <w:rFonts w:ascii="Times New Roman" w:hAnsi="Times New Roman"/>
          <w:b/>
          <w:i w:val="0"/>
          <w:color w:val="000000" w:themeColor="text1"/>
          <w:sz w:val="24"/>
          <w:szCs w:val="24"/>
        </w:rPr>
        <w:fldChar w:fldCharType="separate"/>
      </w:r>
      <w:r w:rsidR="00997194" w:rsidRPr="007F14A0">
        <w:rPr>
          <w:rFonts w:ascii="Times New Roman" w:hAnsi="Times New Roman"/>
          <w:b/>
          <w:i w:val="0"/>
          <w:noProof/>
          <w:color w:val="000000" w:themeColor="text1"/>
          <w:sz w:val="24"/>
          <w:szCs w:val="24"/>
        </w:rPr>
        <w:t>3</w:t>
      </w:r>
      <w:r w:rsidR="0078784A" w:rsidRPr="007F14A0">
        <w:rPr>
          <w:rFonts w:ascii="Times New Roman" w:hAnsi="Times New Roman"/>
          <w:b/>
          <w:i w:val="0"/>
          <w:noProof/>
          <w:color w:val="000000" w:themeColor="text1"/>
          <w:sz w:val="24"/>
          <w:szCs w:val="24"/>
        </w:rPr>
        <w:fldChar w:fldCharType="end"/>
      </w:r>
      <w:r w:rsidRPr="007F14A0">
        <w:rPr>
          <w:rFonts w:ascii="Times New Roman" w:hAnsi="Times New Roman"/>
          <w:b/>
          <w:i w:val="0"/>
          <w:color w:val="000000" w:themeColor="text1"/>
          <w:sz w:val="24"/>
          <w:szCs w:val="24"/>
        </w:rPr>
        <w:t>:</w:t>
      </w:r>
      <w:r w:rsidR="00221066" w:rsidRPr="007F14A0">
        <w:rPr>
          <w:rFonts w:ascii="Times New Roman" w:hAnsi="Times New Roman"/>
          <w:b/>
          <w:i w:val="0"/>
          <w:color w:val="000000" w:themeColor="text1"/>
          <w:sz w:val="24"/>
          <w:szCs w:val="24"/>
        </w:rPr>
        <w:t xml:space="preserve"> </w:t>
      </w:r>
      <w:r w:rsidRPr="007F14A0">
        <w:rPr>
          <w:rFonts w:ascii="Times New Roman" w:hAnsi="Times New Roman"/>
          <w:b/>
          <w:i w:val="0"/>
          <w:color w:val="000000" w:themeColor="text1"/>
          <w:sz w:val="24"/>
          <w:szCs w:val="24"/>
        </w:rPr>
        <w:t xml:space="preserve"> </w:t>
      </w:r>
      <w:r w:rsidR="00221066" w:rsidRPr="007F14A0">
        <w:rPr>
          <w:rFonts w:ascii="Times New Roman" w:hAnsi="Times New Roman"/>
          <w:b/>
          <w:i w:val="0"/>
          <w:color w:val="000000" w:themeColor="text1"/>
          <w:sz w:val="24"/>
          <w:szCs w:val="24"/>
        </w:rPr>
        <w:t>Impact of timeframe on proposed Stranded Cost Recovery Fee.</w:t>
      </w:r>
      <w:r w:rsidR="00221066" w:rsidRPr="00936664">
        <w:rPr>
          <w:rStyle w:val="FootnoteReference"/>
          <w:rFonts w:ascii="Times New Roman" w:hAnsi="Times New Roman"/>
          <w:i w:val="0"/>
          <w:color w:val="000000" w:themeColor="text1"/>
          <w:sz w:val="24"/>
          <w:szCs w:val="24"/>
        </w:rPr>
        <w:footnoteReference w:id="60"/>
      </w:r>
      <w:r>
        <w:rPr>
          <w:rFonts w:ascii="Times New Roman" w:hAnsi="Times New Roman"/>
          <w:i w:val="0"/>
          <w:color w:val="000000" w:themeColor="text1"/>
          <w:sz w:val="24"/>
          <w:szCs w:val="24"/>
        </w:rPr>
        <w:fldChar w:fldCharType="begin"/>
      </w:r>
      <w:r>
        <w:instrText xml:space="preserve"> XE "</w:instrText>
      </w:r>
      <w:r w:rsidRPr="00D834B3">
        <w:rPr>
          <w:rFonts w:ascii="Times New Roman" w:hAnsi="Times New Roman"/>
          <w:i w:val="0"/>
          <w:color w:val="000000" w:themeColor="text1"/>
          <w:sz w:val="24"/>
          <w:szCs w:val="24"/>
        </w:rPr>
        <w:instrText xml:space="preserve">Table </w:instrText>
      </w:r>
      <w:r w:rsidRPr="00D834B3">
        <w:rPr>
          <w:rFonts w:ascii="Times New Roman" w:hAnsi="Times New Roman"/>
          <w:i w:val="0"/>
          <w:noProof/>
          <w:color w:val="000000" w:themeColor="text1"/>
          <w:sz w:val="24"/>
          <w:szCs w:val="24"/>
        </w:rPr>
        <w:instrText>3</w:instrText>
      </w:r>
      <w:r w:rsidRPr="00D834B3">
        <w:instrText>\</w:instrText>
      </w:r>
      <w:r w:rsidRPr="00D834B3">
        <w:rPr>
          <w:rFonts w:ascii="Times New Roman" w:hAnsi="Times New Roman"/>
          <w:i w:val="0"/>
          <w:color w:val="000000" w:themeColor="text1"/>
          <w:sz w:val="24"/>
          <w:szCs w:val="24"/>
        </w:rPr>
        <w:instrText>:  Impact of timeframe on proposed Stranded Cost Recovery Fee.</w:instrText>
      </w:r>
      <w:r>
        <w:instrText xml:space="preserve">" </w:instrText>
      </w:r>
      <w:r>
        <w:rPr>
          <w:rFonts w:ascii="Times New Roman" w:hAnsi="Times New Roman"/>
          <w:i w:val="0"/>
          <w:color w:val="000000" w:themeColor="text1"/>
          <w:sz w:val="24"/>
          <w:szCs w:val="24"/>
        </w:rPr>
        <w:fldChar w:fldCharType="end"/>
      </w:r>
    </w:p>
    <w:tbl>
      <w:tblPr>
        <w:tblStyle w:val="TableGrid"/>
        <w:tblW w:w="0" w:type="auto"/>
        <w:jc w:val="center"/>
        <w:tblInd w:w="720" w:type="dxa"/>
        <w:tblLook w:val="04A0" w:firstRow="1" w:lastRow="0" w:firstColumn="1" w:lastColumn="0" w:noHBand="0" w:noVBand="1"/>
      </w:tblPr>
      <w:tblGrid>
        <w:gridCol w:w="1283"/>
        <w:gridCol w:w="1703"/>
        <w:gridCol w:w="3722"/>
      </w:tblGrid>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Timeframe</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Residential Fee</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Non-Residential Revenue Multiplier</w:t>
            </w:r>
          </w:p>
        </w:tc>
      </w:tr>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4 years</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$2,924</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2.1</w:t>
            </w:r>
          </w:p>
        </w:tc>
      </w:tr>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6 years</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$4,136</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3.0</w:t>
            </w:r>
          </w:p>
        </w:tc>
      </w:tr>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8 years</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$5,206</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3.8</w:t>
            </w:r>
          </w:p>
        </w:tc>
      </w:tr>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10 years</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$6,153</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4.5</w:t>
            </w:r>
          </w:p>
        </w:tc>
      </w:tr>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15 years</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$8,065</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5.9</w:t>
            </w:r>
          </w:p>
        </w:tc>
      </w:tr>
      <w:tr w:rsidR="00221066" w:rsidRPr="00D813D7" w:rsidTr="00936664">
        <w:trPr>
          <w:jc w:val="center"/>
        </w:trPr>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20 years</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$9,468</w:t>
            </w:r>
          </w:p>
        </w:tc>
        <w:tc>
          <w:tcPr>
            <w:tcW w:w="0" w:type="auto"/>
          </w:tcPr>
          <w:p w:rsidR="00221066" w:rsidRPr="00D813D7" w:rsidRDefault="00221066" w:rsidP="00936664">
            <w:pPr>
              <w:widowControl w:val="0"/>
              <w:spacing w:after="0"/>
              <w:jc w:val="center"/>
              <w:rPr>
                <w:rFonts w:ascii="Times New Roman" w:hAnsi="Times New Roman"/>
                <w:sz w:val="24"/>
                <w:szCs w:val="24"/>
              </w:rPr>
            </w:pPr>
            <w:r w:rsidRPr="00D813D7">
              <w:rPr>
                <w:rFonts w:ascii="Times New Roman" w:hAnsi="Times New Roman"/>
                <w:sz w:val="24"/>
                <w:szCs w:val="24"/>
              </w:rPr>
              <w:t>6.9</w:t>
            </w:r>
          </w:p>
        </w:tc>
      </w:tr>
    </w:tbl>
    <w:p w:rsidR="00D31716" w:rsidRPr="00D813D7" w:rsidRDefault="00936664" w:rsidP="009C3E5E">
      <w:pPr>
        <w:widowControl w:val="0"/>
        <w:spacing w:before="240" w:after="0" w:line="480" w:lineRule="auto"/>
        <w:ind w:left="720" w:hanging="720"/>
        <w:rPr>
          <w:rFonts w:ascii="Times New Roman" w:hAnsi="Times New Roman"/>
          <w:b/>
          <w:sz w:val="24"/>
          <w:szCs w:val="24"/>
        </w:rPr>
      </w:pPr>
      <w:r>
        <w:rPr>
          <w:rFonts w:ascii="Times New Roman" w:hAnsi="Times New Roman"/>
          <w:b/>
          <w:sz w:val="24"/>
          <w:szCs w:val="24"/>
        </w:rPr>
        <w:t>Q:</w:t>
      </w:r>
      <w:r w:rsidR="00D31716" w:rsidRPr="00D813D7">
        <w:rPr>
          <w:rFonts w:ascii="Times New Roman" w:hAnsi="Times New Roman"/>
          <w:b/>
          <w:sz w:val="24"/>
          <w:szCs w:val="24"/>
        </w:rPr>
        <w:tab/>
        <w:t>Please provide an example illustrating how altering the scope of fixed costs impact could lower the Stranded Cost Recovery Fee</w:t>
      </w:r>
      <w:r w:rsidR="000A3B83" w:rsidRPr="00D813D7">
        <w:rPr>
          <w:rFonts w:ascii="Times New Roman" w:hAnsi="Times New Roman"/>
          <w:b/>
          <w:sz w:val="24"/>
          <w:szCs w:val="24"/>
        </w:rPr>
        <w:t>.</w:t>
      </w:r>
    </w:p>
    <w:p w:rsidR="00D31716" w:rsidRPr="00D813D7" w:rsidRDefault="00936664" w:rsidP="00936664">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D31716" w:rsidRPr="00D813D7">
        <w:rPr>
          <w:rFonts w:ascii="Times New Roman" w:hAnsi="Times New Roman"/>
          <w:sz w:val="24"/>
          <w:szCs w:val="24"/>
        </w:rPr>
        <w:tab/>
        <w:t>F</w:t>
      </w:r>
      <w:r w:rsidR="00161327" w:rsidRPr="00D813D7">
        <w:rPr>
          <w:rFonts w:ascii="Times New Roman" w:hAnsi="Times New Roman"/>
          <w:sz w:val="24"/>
          <w:szCs w:val="24"/>
        </w:rPr>
        <w:t xml:space="preserve">igure </w:t>
      </w:r>
      <w:r w:rsidR="00D31716" w:rsidRPr="00D813D7">
        <w:rPr>
          <w:rFonts w:ascii="Times New Roman" w:hAnsi="Times New Roman"/>
          <w:sz w:val="24"/>
          <w:szCs w:val="24"/>
        </w:rPr>
        <w:t xml:space="preserve">2 </w:t>
      </w:r>
      <w:r w:rsidR="00161327" w:rsidRPr="00D813D7">
        <w:rPr>
          <w:rFonts w:ascii="Times New Roman" w:hAnsi="Times New Roman"/>
          <w:sz w:val="24"/>
          <w:szCs w:val="24"/>
        </w:rPr>
        <w:t>below also provides a functionalized breakdown by rate class of all non-net power costs based on Pacific Power’s most recent C</w:t>
      </w:r>
      <w:r w:rsidR="00522632">
        <w:rPr>
          <w:rFonts w:ascii="Times New Roman" w:hAnsi="Times New Roman"/>
          <w:sz w:val="24"/>
          <w:szCs w:val="24"/>
        </w:rPr>
        <w:t xml:space="preserve">ost of Service </w:t>
      </w:r>
      <w:r w:rsidR="00161327" w:rsidRPr="00D813D7">
        <w:rPr>
          <w:rFonts w:ascii="Times New Roman" w:hAnsi="Times New Roman"/>
          <w:sz w:val="24"/>
          <w:szCs w:val="24"/>
        </w:rPr>
        <w:t>study.</w:t>
      </w:r>
      <w:r w:rsidR="00161327" w:rsidRPr="00D813D7">
        <w:rPr>
          <w:rStyle w:val="FootnoteReference"/>
          <w:rFonts w:ascii="Times New Roman" w:hAnsi="Times New Roman"/>
          <w:sz w:val="24"/>
          <w:szCs w:val="24"/>
        </w:rPr>
        <w:footnoteReference w:id="61"/>
      </w:r>
      <w:r w:rsidR="00161327" w:rsidRPr="00D813D7">
        <w:rPr>
          <w:rFonts w:ascii="Times New Roman" w:hAnsi="Times New Roman"/>
          <w:sz w:val="24"/>
          <w:szCs w:val="24"/>
        </w:rPr>
        <w:t xml:space="preserve"> </w:t>
      </w:r>
    </w:p>
    <w:p w:rsidR="005068DD" w:rsidRDefault="00936664" w:rsidP="009C3E5E">
      <w:pPr>
        <w:widowControl w:val="0"/>
        <w:spacing w:after="0" w:line="480" w:lineRule="auto"/>
        <w:ind w:left="720"/>
        <w:rPr>
          <w:rFonts w:ascii="Times New Roman" w:hAnsi="Times New Roman"/>
          <w:sz w:val="24"/>
          <w:szCs w:val="24"/>
        </w:rPr>
      </w:pPr>
      <w:r>
        <w:rPr>
          <w:rFonts w:ascii="Times New Roman" w:hAnsi="Times New Roman"/>
          <w:sz w:val="24"/>
          <w:szCs w:val="24"/>
        </w:rPr>
        <w:tab/>
      </w:r>
      <w:r w:rsidR="00161327" w:rsidRPr="00D813D7">
        <w:rPr>
          <w:rFonts w:ascii="Times New Roman" w:hAnsi="Times New Roman"/>
          <w:sz w:val="24"/>
          <w:szCs w:val="24"/>
        </w:rPr>
        <w:t>If some portion of these costs were removed from consideration as fixed costs, the Stranded Cost Recovery Fee would decrease accordingly.</w:t>
      </w:r>
      <w:r w:rsidR="00790224" w:rsidRPr="00D813D7">
        <w:rPr>
          <w:rFonts w:ascii="Times New Roman" w:hAnsi="Times New Roman"/>
          <w:sz w:val="24"/>
          <w:szCs w:val="24"/>
        </w:rPr>
        <w:t xml:space="preserve"> </w:t>
      </w:r>
      <w:r w:rsidR="009C3E5E">
        <w:rPr>
          <w:rFonts w:ascii="Times New Roman" w:hAnsi="Times New Roman"/>
          <w:sz w:val="24"/>
          <w:szCs w:val="24"/>
        </w:rPr>
        <w:t xml:space="preserve"> </w:t>
      </w:r>
      <w:r w:rsidR="00161327" w:rsidRPr="00D813D7">
        <w:rPr>
          <w:rFonts w:ascii="Times New Roman" w:hAnsi="Times New Roman"/>
          <w:sz w:val="24"/>
          <w:szCs w:val="24"/>
        </w:rPr>
        <w:t>As</w:t>
      </w:r>
      <w:r w:rsidR="00D31716" w:rsidRPr="00D813D7">
        <w:rPr>
          <w:rFonts w:ascii="Times New Roman" w:hAnsi="Times New Roman"/>
          <w:sz w:val="24"/>
          <w:szCs w:val="24"/>
        </w:rPr>
        <w:t>sume,</w:t>
      </w:r>
      <w:r w:rsidR="00161327" w:rsidRPr="00D813D7">
        <w:rPr>
          <w:rFonts w:ascii="Times New Roman" w:hAnsi="Times New Roman"/>
          <w:sz w:val="24"/>
          <w:szCs w:val="24"/>
        </w:rPr>
        <w:t xml:space="preserve"> </w:t>
      </w:r>
      <w:r w:rsidR="00D31716" w:rsidRPr="00D813D7">
        <w:rPr>
          <w:rFonts w:ascii="Times New Roman" w:hAnsi="Times New Roman"/>
          <w:sz w:val="24"/>
          <w:szCs w:val="24"/>
        </w:rPr>
        <w:t xml:space="preserve">for </w:t>
      </w:r>
      <w:r w:rsidR="00161327" w:rsidRPr="00D813D7">
        <w:rPr>
          <w:rFonts w:ascii="Times New Roman" w:hAnsi="Times New Roman"/>
          <w:sz w:val="24"/>
          <w:szCs w:val="24"/>
        </w:rPr>
        <w:t>exampl</w:t>
      </w:r>
      <w:r w:rsidR="00821F62" w:rsidRPr="00D813D7">
        <w:rPr>
          <w:rFonts w:ascii="Times New Roman" w:hAnsi="Times New Roman"/>
          <w:sz w:val="24"/>
          <w:szCs w:val="24"/>
        </w:rPr>
        <w:t xml:space="preserve">e, </w:t>
      </w:r>
      <w:r w:rsidR="00D31716" w:rsidRPr="00D813D7">
        <w:rPr>
          <w:rFonts w:ascii="Times New Roman" w:hAnsi="Times New Roman"/>
          <w:sz w:val="24"/>
          <w:szCs w:val="24"/>
        </w:rPr>
        <w:t xml:space="preserve">that </w:t>
      </w:r>
      <w:r w:rsidR="00821F62" w:rsidRPr="00D813D7">
        <w:rPr>
          <w:rFonts w:ascii="Times New Roman" w:hAnsi="Times New Roman"/>
          <w:sz w:val="24"/>
          <w:szCs w:val="24"/>
        </w:rPr>
        <w:t xml:space="preserve">the Retail </w:t>
      </w:r>
      <w:r w:rsidR="00881ABD" w:rsidRPr="00D813D7">
        <w:rPr>
          <w:rFonts w:ascii="Times New Roman" w:hAnsi="Times New Roman"/>
          <w:sz w:val="24"/>
          <w:szCs w:val="24"/>
        </w:rPr>
        <w:t>function was</w:t>
      </w:r>
      <w:r w:rsidR="00821F62" w:rsidRPr="00D813D7">
        <w:rPr>
          <w:rFonts w:ascii="Times New Roman" w:hAnsi="Times New Roman"/>
          <w:sz w:val="24"/>
          <w:szCs w:val="24"/>
        </w:rPr>
        <w:t xml:space="preserve"> excluded from the Stranded Cost Recovery Fee for residential customers</w:t>
      </w:r>
      <w:r w:rsidR="00D31716" w:rsidRPr="00D813D7">
        <w:rPr>
          <w:rFonts w:ascii="Times New Roman" w:hAnsi="Times New Roman"/>
          <w:sz w:val="24"/>
          <w:szCs w:val="24"/>
        </w:rPr>
        <w:t xml:space="preserve">. </w:t>
      </w:r>
      <w:r w:rsidR="009C3E5E">
        <w:rPr>
          <w:rFonts w:ascii="Times New Roman" w:hAnsi="Times New Roman"/>
          <w:sz w:val="24"/>
          <w:szCs w:val="24"/>
        </w:rPr>
        <w:t xml:space="preserve"> </w:t>
      </w:r>
      <w:r w:rsidR="00D31716" w:rsidRPr="00D813D7">
        <w:rPr>
          <w:rFonts w:ascii="Times New Roman" w:hAnsi="Times New Roman"/>
          <w:sz w:val="24"/>
          <w:szCs w:val="24"/>
        </w:rPr>
        <w:t xml:space="preserve">Since the Retail function </w:t>
      </w:r>
      <w:r w:rsidR="009C3E5E">
        <w:rPr>
          <w:rFonts w:ascii="Times New Roman" w:hAnsi="Times New Roman"/>
          <w:sz w:val="24"/>
          <w:szCs w:val="24"/>
        </w:rPr>
        <w:t xml:space="preserve">represents about five percent </w:t>
      </w:r>
      <w:r w:rsidR="00821F62" w:rsidRPr="00D813D7">
        <w:rPr>
          <w:rFonts w:ascii="Times New Roman" w:hAnsi="Times New Roman"/>
          <w:sz w:val="24"/>
          <w:szCs w:val="24"/>
        </w:rPr>
        <w:t xml:space="preserve">of revenue requirement, the </w:t>
      </w:r>
      <w:r w:rsidR="002D65C1" w:rsidRPr="00D813D7">
        <w:rPr>
          <w:rFonts w:ascii="Times New Roman" w:hAnsi="Times New Roman"/>
          <w:sz w:val="24"/>
          <w:szCs w:val="24"/>
        </w:rPr>
        <w:t>Stranded Cost Recovery Fee</w:t>
      </w:r>
      <w:r w:rsidR="009C3E5E">
        <w:rPr>
          <w:rFonts w:ascii="Times New Roman" w:hAnsi="Times New Roman"/>
          <w:sz w:val="24"/>
          <w:szCs w:val="24"/>
        </w:rPr>
        <w:t xml:space="preserve"> would be reduced about five percent</w:t>
      </w:r>
      <w:r w:rsidR="00821F62" w:rsidRPr="00D813D7">
        <w:rPr>
          <w:rFonts w:ascii="Times New Roman" w:hAnsi="Times New Roman"/>
          <w:sz w:val="24"/>
          <w:szCs w:val="24"/>
        </w:rPr>
        <w:t xml:space="preserve">. </w:t>
      </w:r>
      <w:r w:rsidR="009C3E5E">
        <w:rPr>
          <w:rFonts w:ascii="Times New Roman" w:hAnsi="Times New Roman"/>
          <w:sz w:val="24"/>
          <w:szCs w:val="24"/>
        </w:rPr>
        <w:t xml:space="preserve"> </w:t>
      </w:r>
      <w:r w:rsidR="00821F62" w:rsidRPr="00D813D7">
        <w:rPr>
          <w:rFonts w:ascii="Times New Roman" w:hAnsi="Times New Roman"/>
          <w:sz w:val="24"/>
          <w:szCs w:val="24"/>
        </w:rPr>
        <w:t xml:space="preserve">This is approximate, however, since </w:t>
      </w:r>
      <w:r w:rsidR="00D31716" w:rsidRPr="00D813D7">
        <w:rPr>
          <w:rFonts w:ascii="Times New Roman" w:hAnsi="Times New Roman"/>
          <w:sz w:val="24"/>
          <w:szCs w:val="24"/>
        </w:rPr>
        <w:t xml:space="preserve">a) </w:t>
      </w:r>
      <w:r w:rsidR="00821F62" w:rsidRPr="00D813D7">
        <w:rPr>
          <w:rFonts w:ascii="Times New Roman" w:hAnsi="Times New Roman"/>
          <w:sz w:val="24"/>
          <w:szCs w:val="24"/>
        </w:rPr>
        <w:t>rates are not set exactly at total C</w:t>
      </w:r>
      <w:r w:rsidR="00522632">
        <w:rPr>
          <w:rFonts w:ascii="Times New Roman" w:hAnsi="Times New Roman"/>
          <w:sz w:val="24"/>
          <w:szCs w:val="24"/>
        </w:rPr>
        <w:t>ost of Service</w:t>
      </w:r>
      <w:r w:rsidR="00821F62" w:rsidRPr="00D813D7">
        <w:rPr>
          <w:rFonts w:ascii="Times New Roman" w:hAnsi="Times New Roman"/>
          <w:sz w:val="24"/>
          <w:szCs w:val="24"/>
        </w:rPr>
        <w:t xml:space="preserve"> as output from the </w:t>
      </w:r>
      <w:r w:rsidR="00522632">
        <w:rPr>
          <w:rFonts w:ascii="Times New Roman" w:hAnsi="Times New Roman"/>
          <w:sz w:val="24"/>
          <w:szCs w:val="24"/>
        </w:rPr>
        <w:t xml:space="preserve">Cost of </w:t>
      </w:r>
      <w:r w:rsidR="00522632">
        <w:rPr>
          <w:rFonts w:ascii="Times New Roman" w:hAnsi="Times New Roman"/>
          <w:sz w:val="24"/>
          <w:szCs w:val="24"/>
        </w:rPr>
        <w:lastRenderedPageBreak/>
        <w:t>Service</w:t>
      </w:r>
      <w:r w:rsidR="00522632" w:rsidRPr="00D813D7">
        <w:rPr>
          <w:rFonts w:ascii="Times New Roman" w:hAnsi="Times New Roman"/>
          <w:sz w:val="24"/>
          <w:szCs w:val="24"/>
        </w:rPr>
        <w:t xml:space="preserve"> </w:t>
      </w:r>
      <w:r w:rsidR="00821F62" w:rsidRPr="00D813D7">
        <w:rPr>
          <w:rFonts w:ascii="Times New Roman" w:hAnsi="Times New Roman"/>
          <w:sz w:val="24"/>
          <w:szCs w:val="24"/>
        </w:rPr>
        <w:t>study</w:t>
      </w:r>
      <w:r w:rsidR="00062C1F" w:rsidRPr="00D813D7">
        <w:rPr>
          <w:rFonts w:ascii="Times New Roman" w:hAnsi="Times New Roman"/>
          <w:sz w:val="24"/>
          <w:szCs w:val="24"/>
        </w:rPr>
        <w:t>,</w:t>
      </w:r>
      <w:r w:rsidR="00821F62" w:rsidRPr="00D813D7">
        <w:rPr>
          <w:rFonts w:ascii="Times New Roman" w:hAnsi="Times New Roman"/>
          <w:sz w:val="24"/>
          <w:szCs w:val="24"/>
        </w:rPr>
        <w:t xml:space="preserve"> and </w:t>
      </w:r>
      <w:r w:rsidR="00D31716" w:rsidRPr="00D813D7">
        <w:rPr>
          <w:rFonts w:ascii="Times New Roman" w:hAnsi="Times New Roman"/>
          <w:sz w:val="24"/>
          <w:szCs w:val="24"/>
        </w:rPr>
        <w:t xml:space="preserve">b) </w:t>
      </w:r>
      <w:r w:rsidR="00821F62" w:rsidRPr="00D813D7">
        <w:rPr>
          <w:rFonts w:ascii="Times New Roman" w:hAnsi="Times New Roman"/>
          <w:sz w:val="24"/>
          <w:szCs w:val="24"/>
        </w:rPr>
        <w:t xml:space="preserve">the </w:t>
      </w:r>
      <w:r w:rsidR="00522632">
        <w:rPr>
          <w:rFonts w:ascii="Times New Roman" w:hAnsi="Times New Roman"/>
          <w:sz w:val="24"/>
          <w:szCs w:val="24"/>
        </w:rPr>
        <w:t>Cost of Service</w:t>
      </w:r>
      <w:r w:rsidR="00522632" w:rsidRPr="00D813D7">
        <w:rPr>
          <w:rFonts w:ascii="Times New Roman" w:hAnsi="Times New Roman"/>
          <w:sz w:val="24"/>
          <w:szCs w:val="24"/>
        </w:rPr>
        <w:t xml:space="preserve"> </w:t>
      </w:r>
      <w:r w:rsidR="00062C1F" w:rsidRPr="00D813D7">
        <w:rPr>
          <w:rFonts w:ascii="Times New Roman" w:hAnsi="Times New Roman"/>
          <w:sz w:val="24"/>
          <w:szCs w:val="24"/>
        </w:rPr>
        <w:t xml:space="preserve">study </w:t>
      </w:r>
      <w:r w:rsidR="00821F62" w:rsidRPr="00D813D7">
        <w:rPr>
          <w:rFonts w:ascii="Times New Roman" w:hAnsi="Times New Roman"/>
          <w:sz w:val="24"/>
          <w:szCs w:val="24"/>
        </w:rPr>
        <w:t>is</w:t>
      </w:r>
      <w:r w:rsidR="00062C1F" w:rsidRPr="00D813D7">
        <w:rPr>
          <w:rFonts w:ascii="Times New Roman" w:hAnsi="Times New Roman"/>
          <w:sz w:val="24"/>
          <w:szCs w:val="24"/>
        </w:rPr>
        <w:t xml:space="preserve"> based on calendar year 2013 while</w:t>
      </w:r>
      <w:r w:rsidR="00821F62" w:rsidRPr="00D813D7">
        <w:rPr>
          <w:rFonts w:ascii="Times New Roman" w:hAnsi="Times New Roman"/>
          <w:sz w:val="24"/>
          <w:szCs w:val="24"/>
        </w:rPr>
        <w:t xml:space="preserve"> the Stranded Cost R</w:t>
      </w:r>
      <w:r w:rsidR="00062C1F" w:rsidRPr="00D813D7">
        <w:rPr>
          <w:rFonts w:ascii="Times New Roman" w:hAnsi="Times New Roman"/>
          <w:sz w:val="24"/>
          <w:szCs w:val="24"/>
        </w:rPr>
        <w:t>ecovery F</w:t>
      </w:r>
      <w:r w:rsidR="00821F62" w:rsidRPr="00D813D7">
        <w:rPr>
          <w:rFonts w:ascii="Times New Roman" w:hAnsi="Times New Roman"/>
          <w:sz w:val="24"/>
          <w:szCs w:val="24"/>
        </w:rPr>
        <w:t xml:space="preserve">ee </w:t>
      </w:r>
      <w:r w:rsidR="00062C1F" w:rsidRPr="00D813D7">
        <w:rPr>
          <w:rFonts w:ascii="Times New Roman" w:hAnsi="Times New Roman"/>
          <w:sz w:val="24"/>
          <w:szCs w:val="24"/>
        </w:rPr>
        <w:t xml:space="preserve">is </w:t>
      </w:r>
      <w:r w:rsidR="00821F62" w:rsidRPr="00D813D7">
        <w:rPr>
          <w:rFonts w:ascii="Times New Roman" w:hAnsi="Times New Roman"/>
          <w:sz w:val="24"/>
          <w:szCs w:val="24"/>
        </w:rPr>
        <w:t xml:space="preserve">based on revenues </w:t>
      </w:r>
      <w:r w:rsidR="00C73274">
        <w:rPr>
          <w:rFonts w:ascii="Times New Roman" w:hAnsi="Times New Roman"/>
          <w:sz w:val="24"/>
          <w:szCs w:val="24"/>
        </w:rPr>
        <w:t>from rates effective October 2016</w:t>
      </w:r>
      <w:r w:rsidR="00821F62" w:rsidRPr="00D813D7">
        <w:rPr>
          <w:rFonts w:ascii="Times New Roman" w:hAnsi="Times New Roman"/>
          <w:sz w:val="24"/>
          <w:szCs w:val="24"/>
        </w:rPr>
        <w:t>.</w:t>
      </w:r>
    </w:p>
    <w:p w:rsidR="00412731" w:rsidRPr="00D813D7" w:rsidRDefault="00900ADA" w:rsidP="00900ADA">
      <w:pPr>
        <w:widowControl w:val="0"/>
        <w:spacing w:after="0" w:line="240" w:lineRule="auto"/>
        <w:ind w:left="720"/>
        <w:rPr>
          <w:rFonts w:ascii="Times New Roman" w:hAnsi="Times New Roman"/>
          <w:sz w:val="24"/>
          <w:szCs w:val="24"/>
        </w:rPr>
      </w:pPr>
      <w:r w:rsidRPr="00D813D7">
        <w:rPr>
          <w:rFonts w:ascii="Times New Roman" w:hAnsi="Times New Roman"/>
          <w:noProof/>
          <w:sz w:val="24"/>
          <w:szCs w:val="24"/>
        </w:rPr>
        <w:drawing>
          <wp:inline distT="0" distB="0" distL="0" distR="0" wp14:anchorId="2CD5B34D" wp14:editId="1D4C50AA">
            <wp:extent cx="5943600" cy="4466590"/>
            <wp:effectExtent l="0" t="0" r="19050" b="10160"/>
            <wp:docPr id="5" name="Chart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F58797-17F7-4DFB-BD8B-D955A1CC5E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432A" w:rsidRPr="00B465F1" w:rsidRDefault="00821F62" w:rsidP="00900ADA">
      <w:pPr>
        <w:pStyle w:val="Caption"/>
        <w:spacing w:after="240"/>
        <w:ind w:left="720"/>
        <w:rPr>
          <w:rFonts w:ascii="Times New Roman" w:hAnsi="Times New Roman"/>
          <w:color w:val="000000" w:themeColor="text1"/>
          <w:sz w:val="24"/>
          <w:szCs w:val="24"/>
        </w:rPr>
      </w:pPr>
      <w:r w:rsidRPr="00B465F1">
        <w:rPr>
          <w:rFonts w:ascii="Times New Roman" w:hAnsi="Times New Roman"/>
          <w:color w:val="000000" w:themeColor="text1"/>
          <w:sz w:val="24"/>
          <w:szCs w:val="24"/>
        </w:rPr>
        <w:t xml:space="preserve">Figure </w:t>
      </w:r>
      <w:r w:rsidR="0078784A" w:rsidRPr="00B465F1">
        <w:rPr>
          <w:rFonts w:ascii="Times New Roman" w:hAnsi="Times New Roman"/>
          <w:color w:val="000000" w:themeColor="text1"/>
          <w:sz w:val="24"/>
          <w:szCs w:val="24"/>
        </w:rPr>
        <w:fldChar w:fldCharType="begin"/>
      </w:r>
      <w:r w:rsidR="0078784A" w:rsidRPr="00B465F1">
        <w:rPr>
          <w:rFonts w:ascii="Times New Roman" w:hAnsi="Times New Roman"/>
          <w:color w:val="000000" w:themeColor="text1"/>
          <w:sz w:val="24"/>
          <w:szCs w:val="24"/>
        </w:rPr>
        <w:instrText xml:space="preserve"> SEQ Figure \* ARABIC </w:instrText>
      </w:r>
      <w:r w:rsidR="0078784A" w:rsidRPr="00B465F1">
        <w:rPr>
          <w:rFonts w:ascii="Times New Roman" w:hAnsi="Times New Roman"/>
          <w:color w:val="000000" w:themeColor="text1"/>
          <w:sz w:val="24"/>
          <w:szCs w:val="24"/>
        </w:rPr>
        <w:fldChar w:fldCharType="separate"/>
      </w:r>
      <w:r w:rsidR="00997194" w:rsidRPr="00B465F1">
        <w:rPr>
          <w:rFonts w:ascii="Times New Roman" w:hAnsi="Times New Roman"/>
          <w:noProof/>
          <w:color w:val="000000" w:themeColor="text1"/>
          <w:sz w:val="24"/>
          <w:szCs w:val="24"/>
        </w:rPr>
        <w:t>2</w:t>
      </w:r>
      <w:r w:rsidR="0078784A" w:rsidRPr="00B465F1">
        <w:rPr>
          <w:rFonts w:ascii="Times New Roman" w:hAnsi="Times New Roman"/>
          <w:noProof/>
          <w:color w:val="000000" w:themeColor="text1"/>
          <w:sz w:val="24"/>
          <w:szCs w:val="24"/>
        </w:rPr>
        <w:fldChar w:fldCharType="end"/>
      </w:r>
      <w:r w:rsidRPr="00B465F1">
        <w:rPr>
          <w:rFonts w:ascii="Times New Roman" w:hAnsi="Times New Roman"/>
          <w:color w:val="000000" w:themeColor="text1"/>
          <w:sz w:val="24"/>
          <w:szCs w:val="24"/>
        </w:rPr>
        <w:t>.</w:t>
      </w:r>
      <w:r w:rsidR="006572F8">
        <w:rPr>
          <w:rFonts w:ascii="Times New Roman" w:hAnsi="Times New Roman"/>
          <w:color w:val="000000" w:themeColor="text1"/>
          <w:sz w:val="24"/>
          <w:szCs w:val="24"/>
        </w:rPr>
        <w:t xml:space="preserve"> </w:t>
      </w:r>
      <w:r w:rsidRPr="00B465F1">
        <w:rPr>
          <w:rFonts w:ascii="Times New Roman" w:hAnsi="Times New Roman"/>
          <w:color w:val="000000" w:themeColor="text1"/>
          <w:sz w:val="24"/>
          <w:szCs w:val="24"/>
        </w:rPr>
        <w:t xml:space="preserve"> Functional </w:t>
      </w:r>
      <w:r w:rsidR="00766DD2" w:rsidRPr="00B465F1">
        <w:rPr>
          <w:rFonts w:ascii="Times New Roman" w:hAnsi="Times New Roman"/>
          <w:color w:val="000000" w:themeColor="text1"/>
          <w:sz w:val="24"/>
          <w:szCs w:val="24"/>
        </w:rPr>
        <w:t xml:space="preserve">Breakdown </w:t>
      </w:r>
      <w:r w:rsidRPr="00B465F1">
        <w:rPr>
          <w:rFonts w:ascii="Times New Roman" w:hAnsi="Times New Roman"/>
          <w:color w:val="000000" w:themeColor="text1"/>
          <w:sz w:val="24"/>
          <w:szCs w:val="24"/>
        </w:rPr>
        <w:t xml:space="preserve">of </w:t>
      </w:r>
      <w:r w:rsidR="00766DD2" w:rsidRPr="00B465F1">
        <w:rPr>
          <w:rFonts w:ascii="Times New Roman" w:hAnsi="Times New Roman"/>
          <w:color w:val="000000" w:themeColor="text1"/>
          <w:sz w:val="24"/>
          <w:szCs w:val="24"/>
        </w:rPr>
        <w:t>Non</w:t>
      </w:r>
      <w:r w:rsidRPr="00B465F1">
        <w:rPr>
          <w:rFonts w:ascii="Times New Roman" w:hAnsi="Times New Roman"/>
          <w:color w:val="000000" w:themeColor="text1"/>
          <w:sz w:val="24"/>
          <w:szCs w:val="24"/>
        </w:rPr>
        <w:t>-</w:t>
      </w:r>
      <w:r w:rsidR="00766DD2" w:rsidRPr="00B465F1">
        <w:rPr>
          <w:rFonts w:ascii="Times New Roman" w:hAnsi="Times New Roman"/>
          <w:color w:val="000000" w:themeColor="text1"/>
          <w:sz w:val="24"/>
          <w:szCs w:val="24"/>
        </w:rPr>
        <w:t xml:space="preserve">Net Power Cost Revenue Requirement </w:t>
      </w:r>
      <w:r w:rsidRPr="00B465F1">
        <w:rPr>
          <w:rFonts w:ascii="Times New Roman" w:hAnsi="Times New Roman"/>
          <w:color w:val="000000" w:themeColor="text1"/>
          <w:sz w:val="24"/>
          <w:szCs w:val="24"/>
        </w:rPr>
        <w:t xml:space="preserve">by </w:t>
      </w:r>
      <w:r w:rsidR="00766DD2" w:rsidRPr="00B465F1">
        <w:rPr>
          <w:rFonts w:ascii="Times New Roman" w:hAnsi="Times New Roman"/>
          <w:color w:val="000000" w:themeColor="text1"/>
          <w:sz w:val="24"/>
          <w:szCs w:val="24"/>
        </w:rPr>
        <w:t>Customer Class</w:t>
      </w:r>
      <w:r w:rsidRPr="00B465F1">
        <w:rPr>
          <w:rFonts w:ascii="Times New Roman" w:hAnsi="Times New Roman"/>
          <w:color w:val="000000" w:themeColor="text1"/>
          <w:sz w:val="24"/>
          <w:szCs w:val="24"/>
        </w:rPr>
        <w:t>. Based on COS study provided in Attachment 1 to Pacific Power Response to Boise Data Request No. 52.</w:t>
      </w:r>
    </w:p>
    <w:p w:rsidR="007B6B3B" w:rsidRPr="00D813D7" w:rsidRDefault="00D31716" w:rsidP="007B6B3B">
      <w:pPr>
        <w:widowControl w:val="0"/>
        <w:spacing w:after="0" w:line="480" w:lineRule="auto"/>
        <w:ind w:left="720"/>
        <w:rPr>
          <w:rFonts w:ascii="Times New Roman" w:hAnsi="Times New Roman"/>
          <w:sz w:val="24"/>
          <w:szCs w:val="24"/>
        </w:rPr>
      </w:pPr>
      <w:r w:rsidRPr="00D813D7">
        <w:rPr>
          <w:rFonts w:ascii="Times New Roman" w:hAnsi="Times New Roman"/>
          <w:sz w:val="24"/>
          <w:szCs w:val="24"/>
        </w:rPr>
        <w:t xml:space="preserve">Another way to reduce the </w:t>
      </w:r>
      <w:r w:rsidR="00BD547E" w:rsidRPr="00D813D7">
        <w:rPr>
          <w:rFonts w:ascii="Times New Roman" w:hAnsi="Times New Roman"/>
          <w:sz w:val="24"/>
          <w:szCs w:val="24"/>
        </w:rPr>
        <w:t xml:space="preserve">amount </w:t>
      </w:r>
      <w:r w:rsidRPr="00D813D7">
        <w:rPr>
          <w:rFonts w:ascii="Times New Roman" w:hAnsi="Times New Roman"/>
          <w:sz w:val="24"/>
          <w:szCs w:val="24"/>
        </w:rPr>
        <w:t>of fixed costs is to adjust the growth assumption.</w:t>
      </w:r>
      <w:r w:rsidR="00790224" w:rsidRPr="00D813D7">
        <w:rPr>
          <w:rFonts w:ascii="Times New Roman" w:hAnsi="Times New Roman"/>
          <w:sz w:val="24"/>
          <w:szCs w:val="24"/>
        </w:rPr>
        <w:t xml:space="preserve"> </w:t>
      </w:r>
      <w:r w:rsidR="00B465F1">
        <w:rPr>
          <w:rFonts w:ascii="Times New Roman" w:hAnsi="Times New Roman"/>
          <w:sz w:val="24"/>
          <w:szCs w:val="24"/>
        </w:rPr>
        <w:t xml:space="preserve"> </w:t>
      </w:r>
      <w:r w:rsidR="00C050C4" w:rsidRPr="00D813D7">
        <w:rPr>
          <w:rFonts w:ascii="Times New Roman" w:hAnsi="Times New Roman"/>
          <w:sz w:val="24"/>
          <w:szCs w:val="24"/>
        </w:rPr>
        <w:t xml:space="preserve">The Company </w:t>
      </w:r>
      <w:r w:rsidR="007B6B3B" w:rsidRPr="00D813D7">
        <w:rPr>
          <w:rFonts w:ascii="Times New Roman" w:hAnsi="Times New Roman"/>
          <w:sz w:val="24"/>
          <w:szCs w:val="24"/>
        </w:rPr>
        <w:t xml:space="preserve">could </w:t>
      </w:r>
      <w:r w:rsidRPr="00D813D7">
        <w:rPr>
          <w:rFonts w:ascii="Times New Roman" w:hAnsi="Times New Roman"/>
          <w:sz w:val="24"/>
          <w:szCs w:val="24"/>
        </w:rPr>
        <w:t xml:space="preserve">consider including </w:t>
      </w:r>
      <w:r w:rsidR="007B6B3B" w:rsidRPr="00D813D7">
        <w:rPr>
          <w:rFonts w:ascii="Times New Roman" w:hAnsi="Times New Roman"/>
          <w:sz w:val="24"/>
          <w:szCs w:val="24"/>
        </w:rPr>
        <w:t xml:space="preserve">a </w:t>
      </w:r>
      <w:r w:rsidR="00BD547E" w:rsidRPr="00D813D7">
        <w:rPr>
          <w:rFonts w:ascii="Times New Roman" w:hAnsi="Times New Roman"/>
          <w:sz w:val="24"/>
          <w:szCs w:val="24"/>
        </w:rPr>
        <w:t>declining growth rate</w:t>
      </w:r>
      <w:r w:rsidRPr="00D813D7">
        <w:rPr>
          <w:rFonts w:ascii="Times New Roman" w:hAnsi="Times New Roman"/>
          <w:sz w:val="24"/>
          <w:szCs w:val="24"/>
        </w:rPr>
        <w:t xml:space="preserve">, rather than </w:t>
      </w:r>
      <w:r w:rsidR="00461AFB" w:rsidRPr="00D813D7">
        <w:rPr>
          <w:rFonts w:ascii="Times New Roman" w:hAnsi="Times New Roman"/>
          <w:sz w:val="24"/>
          <w:szCs w:val="24"/>
        </w:rPr>
        <w:t>zero</w:t>
      </w:r>
      <w:r w:rsidRPr="00D813D7">
        <w:rPr>
          <w:rFonts w:ascii="Times New Roman" w:hAnsi="Times New Roman"/>
          <w:sz w:val="24"/>
          <w:szCs w:val="24"/>
        </w:rPr>
        <w:t xml:space="preserve"> percent or no growth)</w:t>
      </w:r>
      <w:r w:rsidR="007B6B3B" w:rsidRPr="00D813D7">
        <w:rPr>
          <w:rFonts w:ascii="Times New Roman" w:hAnsi="Times New Roman"/>
          <w:sz w:val="24"/>
          <w:szCs w:val="24"/>
        </w:rPr>
        <w:t xml:space="preserve"> to reduce the annual fixed cost estimate over time</w:t>
      </w:r>
      <w:r w:rsidRPr="00D813D7">
        <w:rPr>
          <w:rFonts w:ascii="Times New Roman" w:hAnsi="Times New Roman"/>
          <w:sz w:val="24"/>
          <w:szCs w:val="24"/>
        </w:rPr>
        <w:t xml:space="preserve"> as a way to</w:t>
      </w:r>
      <w:r w:rsidR="007B6B3B" w:rsidRPr="00D813D7">
        <w:rPr>
          <w:rFonts w:ascii="Times New Roman" w:hAnsi="Times New Roman"/>
          <w:sz w:val="24"/>
          <w:szCs w:val="24"/>
        </w:rPr>
        <w:t xml:space="preserve"> account for plant retirements. </w:t>
      </w:r>
      <w:r w:rsidR="00B465F1">
        <w:rPr>
          <w:rFonts w:ascii="Times New Roman" w:hAnsi="Times New Roman"/>
          <w:sz w:val="24"/>
          <w:szCs w:val="24"/>
        </w:rPr>
        <w:t xml:space="preserve"> </w:t>
      </w:r>
      <w:r w:rsidR="007B6B3B" w:rsidRPr="00D813D7">
        <w:rPr>
          <w:rFonts w:ascii="Times New Roman" w:hAnsi="Times New Roman"/>
          <w:sz w:val="24"/>
          <w:szCs w:val="24"/>
        </w:rPr>
        <w:t>The chart below shows how the Stranded Cost Recovery Fee changes in response to various c</w:t>
      </w:r>
      <w:r w:rsidR="00B465F1">
        <w:rPr>
          <w:rFonts w:ascii="Times New Roman" w:hAnsi="Times New Roman"/>
          <w:sz w:val="24"/>
          <w:szCs w:val="24"/>
        </w:rPr>
        <w:t>ost de-escalation rates over 10</w:t>
      </w:r>
      <w:r w:rsidR="007B6B3B" w:rsidRPr="00D813D7">
        <w:rPr>
          <w:rFonts w:ascii="Times New Roman" w:hAnsi="Times New Roman"/>
          <w:sz w:val="24"/>
          <w:szCs w:val="24"/>
        </w:rPr>
        <w:t xml:space="preserve"> years.</w:t>
      </w:r>
    </w:p>
    <w:p w:rsidR="00E85C6F" w:rsidRPr="00D813D7" w:rsidRDefault="00E85C6F" w:rsidP="007F14A0">
      <w:pPr>
        <w:keepNext/>
        <w:widowControl w:val="0"/>
        <w:spacing w:after="0" w:line="480" w:lineRule="auto"/>
        <w:ind w:left="720"/>
        <w:jc w:val="center"/>
        <w:rPr>
          <w:rFonts w:ascii="Times New Roman" w:hAnsi="Times New Roman"/>
          <w:sz w:val="24"/>
          <w:szCs w:val="24"/>
        </w:rPr>
      </w:pPr>
      <w:r w:rsidRPr="00D813D7">
        <w:rPr>
          <w:rFonts w:ascii="Times New Roman" w:hAnsi="Times New Roman"/>
          <w:noProof/>
          <w:sz w:val="24"/>
          <w:szCs w:val="24"/>
        </w:rPr>
        <w:lastRenderedPageBreak/>
        <w:drawing>
          <wp:inline distT="0" distB="0" distL="0" distR="0" wp14:anchorId="341E1945" wp14:editId="01BC36ED">
            <wp:extent cx="4572000" cy="274320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73168A-13C6-4012-B946-387E0D90C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68AD" w:rsidRPr="00C446D3" w:rsidRDefault="00E85C6F" w:rsidP="00B465F1">
      <w:pPr>
        <w:pStyle w:val="Caption"/>
        <w:spacing w:after="240"/>
        <w:ind w:left="720"/>
        <w:rPr>
          <w:rFonts w:ascii="Times New Roman" w:hAnsi="Times New Roman"/>
          <w:i w:val="0"/>
          <w:color w:val="000000" w:themeColor="text1"/>
          <w:sz w:val="24"/>
          <w:szCs w:val="24"/>
        </w:rPr>
      </w:pPr>
      <w:r w:rsidRPr="00C446D3">
        <w:rPr>
          <w:rFonts w:ascii="Times New Roman" w:hAnsi="Times New Roman"/>
          <w:color w:val="000000" w:themeColor="text1"/>
          <w:sz w:val="24"/>
          <w:szCs w:val="24"/>
        </w:rPr>
        <w:t xml:space="preserve">Figure </w:t>
      </w:r>
      <w:r w:rsidR="0078784A" w:rsidRPr="00C446D3">
        <w:rPr>
          <w:rFonts w:ascii="Times New Roman" w:hAnsi="Times New Roman"/>
          <w:color w:val="000000" w:themeColor="text1"/>
          <w:sz w:val="24"/>
          <w:szCs w:val="24"/>
        </w:rPr>
        <w:fldChar w:fldCharType="begin"/>
      </w:r>
      <w:r w:rsidR="0078784A" w:rsidRPr="00C446D3">
        <w:rPr>
          <w:rFonts w:ascii="Times New Roman" w:hAnsi="Times New Roman"/>
          <w:color w:val="000000" w:themeColor="text1"/>
          <w:sz w:val="24"/>
          <w:szCs w:val="24"/>
        </w:rPr>
        <w:instrText xml:space="preserve"> SEQ Figure \* ARABIC </w:instrText>
      </w:r>
      <w:r w:rsidR="0078784A" w:rsidRPr="00C446D3">
        <w:rPr>
          <w:rFonts w:ascii="Times New Roman" w:hAnsi="Times New Roman"/>
          <w:color w:val="000000" w:themeColor="text1"/>
          <w:sz w:val="24"/>
          <w:szCs w:val="24"/>
        </w:rPr>
        <w:fldChar w:fldCharType="separate"/>
      </w:r>
      <w:r w:rsidR="00997194" w:rsidRPr="00C446D3">
        <w:rPr>
          <w:rFonts w:ascii="Times New Roman" w:hAnsi="Times New Roman"/>
          <w:noProof/>
          <w:color w:val="000000" w:themeColor="text1"/>
          <w:sz w:val="24"/>
          <w:szCs w:val="24"/>
        </w:rPr>
        <w:t>3</w:t>
      </w:r>
      <w:r w:rsidR="0078784A" w:rsidRPr="00C446D3">
        <w:rPr>
          <w:rFonts w:ascii="Times New Roman" w:hAnsi="Times New Roman"/>
          <w:noProof/>
          <w:color w:val="000000" w:themeColor="text1"/>
          <w:sz w:val="24"/>
          <w:szCs w:val="24"/>
        </w:rPr>
        <w:fldChar w:fldCharType="end"/>
      </w:r>
      <w:r w:rsidRPr="00C446D3">
        <w:rPr>
          <w:rFonts w:ascii="Times New Roman" w:hAnsi="Times New Roman"/>
          <w:color w:val="000000" w:themeColor="text1"/>
          <w:sz w:val="24"/>
          <w:szCs w:val="24"/>
        </w:rPr>
        <w:t>.</w:t>
      </w:r>
      <w:r w:rsidR="006572F8">
        <w:rPr>
          <w:rFonts w:ascii="Times New Roman" w:hAnsi="Times New Roman"/>
          <w:color w:val="000000" w:themeColor="text1"/>
          <w:sz w:val="24"/>
          <w:szCs w:val="24"/>
        </w:rPr>
        <w:t xml:space="preserve"> </w:t>
      </w:r>
      <w:r w:rsidRPr="00C446D3">
        <w:rPr>
          <w:rFonts w:ascii="Times New Roman" w:hAnsi="Times New Roman"/>
          <w:color w:val="000000" w:themeColor="text1"/>
          <w:sz w:val="24"/>
          <w:szCs w:val="24"/>
        </w:rPr>
        <w:t xml:space="preserve"> Change in Stranded Cost Recovery Fee for Residential and Non-Residential </w:t>
      </w:r>
      <w:r w:rsidR="0075212F" w:rsidRPr="00C446D3">
        <w:rPr>
          <w:rFonts w:ascii="Times New Roman" w:hAnsi="Times New Roman"/>
          <w:color w:val="000000" w:themeColor="text1"/>
          <w:sz w:val="24"/>
          <w:szCs w:val="24"/>
        </w:rPr>
        <w:t>Customers Assuming Costs De</w:t>
      </w:r>
      <w:r w:rsidRPr="00C446D3">
        <w:rPr>
          <w:rFonts w:ascii="Times New Roman" w:hAnsi="Times New Roman"/>
          <w:color w:val="000000" w:themeColor="text1"/>
          <w:sz w:val="24"/>
          <w:szCs w:val="24"/>
        </w:rPr>
        <w:t xml:space="preserve">-escalate over </w:t>
      </w:r>
      <w:r w:rsidR="0075212F" w:rsidRPr="00C446D3">
        <w:rPr>
          <w:rFonts w:ascii="Times New Roman" w:hAnsi="Times New Roman"/>
          <w:color w:val="000000" w:themeColor="text1"/>
          <w:sz w:val="24"/>
          <w:szCs w:val="24"/>
        </w:rPr>
        <w:t>Ten Years</w:t>
      </w:r>
      <w:r w:rsidR="00B465F1" w:rsidRPr="00C446D3">
        <w:rPr>
          <w:rFonts w:ascii="Times New Roman" w:hAnsi="Times New Roman"/>
          <w:color w:val="000000" w:themeColor="text1"/>
          <w:sz w:val="24"/>
          <w:szCs w:val="24"/>
        </w:rPr>
        <w:t>.</w:t>
      </w:r>
    </w:p>
    <w:p w:rsidR="002B5DA0" w:rsidRPr="00D813D7" w:rsidRDefault="00B465F1" w:rsidP="009352CB">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352CB" w:rsidRPr="00D813D7">
        <w:rPr>
          <w:rFonts w:ascii="Times New Roman" w:hAnsi="Times New Roman"/>
          <w:b/>
          <w:sz w:val="24"/>
          <w:szCs w:val="24"/>
        </w:rPr>
        <w:tab/>
        <w:t>How has the Company accounted for customer differences in determining the Stranded Cost Recovery Fee?</w:t>
      </w:r>
    </w:p>
    <w:p w:rsidR="00C52618" w:rsidRPr="00D813D7" w:rsidRDefault="00B465F1" w:rsidP="00B465F1">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9352CB" w:rsidRPr="00D813D7">
        <w:rPr>
          <w:rFonts w:ascii="Times New Roman" w:hAnsi="Times New Roman"/>
          <w:sz w:val="24"/>
          <w:szCs w:val="24"/>
        </w:rPr>
        <w:tab/>
      </w:r>
      <w:r w:rsidR="00C050C4" w:rsidRPr="00D813D7">
        <w:rPr>
          <w:rFonts w:ascii="Times New Roman" w:hAnsi="Times New Roman"/>
          <w:sz w:val="24"/>
          <w:szCs w:val="24"/>
        </w:rPr>
        <w:t xml:space="preserve">The Company </w:t>
      </w:r>
      <w:r w:rsidR="00821F62" w:rsidRPr="00D813D7">
        <w:rPr>
          <w:rFonts w:ascii="Times New Roman" w:hAnsi="Times New Roman"/>
          <w:sz w:val="24"/>
          <w:szCs w:val="24"/>
        </w:rPr>
        <w:t>uses a d</w:t>
      </w:r>
      <w:r w:rsidR="009352CB" w:rsidRPr="00D813D7">
        <w:rPr>
          <w:rFonts w:ascii="Times New Roman" w:hAnsi="Times New Roman"/>
          <w:sz w:val="24"/>
          <w:szCs w:val="24"/>
        </w:rPr>
        <w:t>ifferent approach for residential and non-residential customers</w:t>
      </w:r>
      <w:r w:rsidR="00821F62" w:rsidRPr="00D813D7">
        <w:rPr>
          <w:rFonts w:ascii="Times New Roman" w:hAnsi="Times New Roman"/>
          <w:sz w:val="24"/>
          <w:szCs w:val="24"/>
        </w:rPr>
        <w:t>.</w:t>
      </w:r>
      <w:r w:rsidR="00375F11" w:rsidRPr="00D813D7">
        <w:rPr>
          <w:rFonts w:ascii="Times New Roman" w:hAnsi="Times New Roman"/>
          <w:sz w:val="24"/>
          <w:szCs w:val="24"/>
        </w:rPr>
        <w:t xml:space="preserve"> </w:t>
      </w:r>
      <w:r>
        <w:rPr>
          <w:rFonts w:ascii="Times New Roman" w:hAnsi="Times New Roman"/>
          <w:sz w:val="24"/>
          <w:szCs w:val="24"/>
        </w:rPr>
        <w:t xml:space="preserve"> </w:t>
      </w:r>
      <w:r w:rsidR="00821F62" w:rsidRPr="00D813D7">
        <w:rPr>
          <w:rFonts w:ascii="Times New Roman" w:hAnsi="Times New Roman"/>
          <w:sz w:val="24"/>
          <w:szCs w:val="24"/>
        </w:rPr>
        <w:t>For residential customers</w:t>
      </w:r>
      <w:r w:rsidR="00062C1F" w:rsidRPr="00D813D7">
        <w:rPr>
          <w:rFonts w:ascii="Times New Roman" w:hAnsi="Times New Roman"/>
          <w:sz w:val="24"/>
          <w:szCs w:val="24"/>
        </w:rPr>
        <w:t>,</w:t>
      </w:r>
      <w:r w:rsidR="00821F62" w:rsidRPr="00D813D7">
        <w:rPr>
          <w:rFonts w:ascii="Times New Roman" w:hAnsi="Times New Roman"/>
          <w:sz w:val="24"/>
          <w:szCs w:val="24"/>
        </w:rPr>
        <w:t xml:space="preserve"> it calculates a flat per</w:t>
      </w:r>
      <w:r w:rsidR="002117DA">
        <w:rPr>
          <w:rFonts w:ascii="Times New Roman" w:hAnsi="Times New Roman"/>
          <w:sz w:val="24"/>
          <w:szCs w:val="24"/>
        </w:rPr>
        <w:t>-</w:t>
      </w:r>
      <w:r w:rsidR="00821F62" w:rsidRPr="00D813D7">
        <w:rPr>
          <w:rFonts w:ascii="Times New Roman" w:hAnsi="Times New Roman"/>
          <w:sz w:val="24"/>
          <w:szCs w:val="24"/>
        </w:rPr>
        <w:t xml:space="preserve">customer fee that is the same for all customers. </w:t>
      </w:r>
      <w:r>
        <w:rPr>
          <w:rFonts w:ascii="Times New Roman" w:hAnsi="Times New Roman"/>
          <w:sz w:val="24"/>
          <w:szCs w:val="24"/>
        </w:rPr>
        <w:t xml:space="preserve"> </w:t>
      </w:r>
      <w:r w:rsidR="00821F62" w:rsidRPr="00D813D7">
        <w:rPr>
          <w:rFonts w:ascii="Times New Roman" w:hAnsi="Times New Roman"/>
          <w:sz w:val="24"/>
          <w:szCs w:val="24"/>
        </w:rPr>
        <w:t>For non-residential customers</w:t>
      </w:r>
      <w:r w:rsidR="00062C1F" w:rsidRPr="00D813D7">
        <w:rPr>
          <w:rFonts w:ascii="Times New Roman" w:hAnsi="Times New Roman"/>
          <w:sz w:val="24"/>
          <w:szCs w:val="24"/>
        </w:rPr>
        <w:t>,</w:t>
      </w:r>
      <w:r w:rsidR="00821F62" w:rsidRPr="00D813D7">
        <w:rPr>
          <w:rFonts w:ascii="Times New Roman" w:hAnsi="Times New Roman"/>
          <w:sz w:val="24"/>
          <w:szCs w:val="24"/>
        </w:rPr>
        <w:t xml:space="preserve"> it uses a revenue multiplier. </w:t>
      </w:r>
      <w:r>
        <w:rPr>
          <w:rFonts w:ascii="Times New Roman" w:hAnsi="Times New Roman"/>
          <w:sz w:val="24"/>
          <w:szCs w:val="24"/>
        </w:rPr>
        <w:t xml:space="preserve"> Each non</w:t>
      </w:r>
      <w:r>
        <w:rPr>
          <w:rFonts w:ascii="Times New Roman" w:hAnsi="Times New Roman"/>
          <w:sz w:val="24"/>
          <w:szCs w:val="24"/>
        </w:rPr>
        <w:noBreakHyphen/>
      </w:r>
      <w:r w:rsidR="00821F62" w:rsidRPr="00D813D7">
        <w:rPr>
          <w:rFonts w:ascii="Times New Roman" w:hAnsi="Times New Roman"/>
          <w:sz w:val="24"/>
          <w:szCs w:val="24"/>
        </w:rPr>
        <w:t>residential customer would pay a lump sum equal to the multipl</w:t>
      </w:r>
      <w:r>
        <w:rPr>
          <w:rFonts w:ascii="Times New Roman" w:hAnsi="Times New Roman"/>
          <w:sz w:val="24"/>
          <w:szCs w:val="24"/>
        </w:rPr>
        <w:t>ier times their annual revenue.</w:t>
      </w:r>
    </w:p>
    <w:p w:rsidR="00375F11" w:rsidRPr="00D813D7" w:rsidRDefault="00B465F1" w:rsidP="009352CB">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375F11" w:rsidRPr="00D813D7">
        <w:rPr>
          <w:rFonts w:ascii="Times New Roman" w:hAnsi="Times New Roman"/>
          <w:b/>
          <w:sz w:val="24"/>
          <w:szCs w:val="24"/>
        </w:rPr>
        <w:tab/>
      </w:r>
      <w:r w:rsidR="00875720" w:rsidRPr="00D813D7">
        <w:rPr>
          <w:rFonts w:ascii="Times New Roman" w:hAnsi="Times New Roman"/>
          <w:b/>
          <w:sz w:val="24"/>
          <w:szCs w:val="24"/>
        </w:rPr>
        <w:t xml:space="preserve">What </w:t>
      </w:r>
      <w:r w:rsidR="00C52618" w:rsidRPr="00D813D7">
        <w:rPr>
          <w:rFonts w:ascii="Times New Roman" w:hAnsi="Times New Roman"/>
          <w:b/>
          <w:sz w:val="24"/>
          <w:szCs w:val="24"/>
        </w:rPr>
        <w:t>issues do you find</w:t>
      </w:r>
      <w:r w:rsidR="00875720" w:rsidRPr="00D813D7">
        <w:rPr>
          <w:rFonts w:ascii="Times New Roman" w:hAnsi="Times New Roman"/>
          <w:b/>
          <w:sz w:val="24"/>
          <w:szCs w:val="24"/>
        </w:rPr>
        <w:t xml:space="preserve"> with the Company’s approach</w:t>
      </w:r>
      <w:r w:rsidR="003819CA" w:rsidRPr="00D813D7">
        <w:rPr>
          <w:rFonts w:ascii="Times New Roman" w:hAnsi="Times New Roman"/>
          <w:b/>
          <w:sz w:val="24"/>
          <w:szCs w:val="24"/>
        </w:rPr>
        <w:t xml:space="preserve"> to calculating a flat fee for residential customers</w:t>
      </w:r>
      <w:r w:rsidR="00875720" w:rsidRPr="00D813D7">
        <w:rPr>
          <w:rFonts w:ascii="Times New Roman" w:hAnsi="Times New Roman"/>
          <w:b/>
          <w:sz w:val="24"/>
          <w:szCs w:val="24"/>
        </w:rPr>
        <w:t>?</w:t>
      </w:r>
    </w:p>
    <w:p w:rsidR="00B9669E" w:rsidRPr="00D813D7" w:rsidRDefault="00B465F1" w:rsidP="00FE6328">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875720" w:rsidRPr="00D813D7">
        <w:rPr>
          <w:rFonts w:ascii="Times New Roman" w:hAnsi="Times New Roman"/>
          <w:sz w:val="24"/>
          <w:szCs w:val="24"/>
        </w:rPr>
        <w:tab/>
      </w:r>
      <w:r w:rsidR="00B9669E" w:rsidRPr="00D813D7">
        <w:rPr>
          <w:rFonts w:ascii="Times New Roman" w:hAnsi="Times New Roman"/>
          <w:sz w:val="24"/>
          <w:szCs w:val="24"/>
        </w:rPr>
        <w:t xml:space="preserve">The use of a flat fee for residential customers puts </w:t>
      </w:r>
      <w:r w:rsidR="00875720" w:rsidRPr="00D813D7">
        <w:rPr>
          <w:rFonts w:ascii="Times New Roman" w:hAnsi="Times New Roman"/>
          <w:sz w:val="24"/>
          <w:szCs w:val="24"/>
        </w:rPr>
        <w:t>smaller residential customers at a disadvantage</w:t>
      </w:r>
      <w:r w:rsidR="00B9669E" w:rsidRPr="00D813D7">
        <w:rPr>
          <w:rFonts w:ascii="Times New Roman" w:hAnsi="Times New Roman"/>
          <w:sz w:val="24"/>
          <w:szCs w:val="24"/>
        </w:rPr>
        <w:t xml:space="preserve"> compared to a revenue multiplier approach.</w:t>
      </w:r>
      <w:r w:rsidR="00875720" w:rsidRPr="00D813D7">
        <w:rPr>
          <w:rFonts w:ascii="Times New Roman" w:hAnsi="Times New Roman"/>
          <w:sz w:val="24"/>
          <w:szCs w:val="24"/>
        </w:rPr>
        <w:t xml:space="preserve"> </w:t>
      </w:r>
      <w:r w:rsidR="00FE6328">
        <w:rPr>
          <w:rFonts w:ascii="Times New Roman" w:hAnsi="Times New Roman"/>
          <w:sz w:val="24"/>
          <w:szCs w:val="24"/>
        </w:rPr>
        <w:t xml:space="preserve"> </w:t>
      </w:r>
      <w:r w:rsidR="00B9669E" w:rsidRPr="00D813D7">
        <w:rPr>
          <w:rFonts w:ascii="Times New Roman" w:hAnsi="Times New Roman"/>
          <w:sz w:val="24"/>
          <w:szCs w:val="24"/>
        </w:rPr>
        <w:t>The Company justifies it</w:t>
      </w:r>
      <w:r w:rsidR="00C52618" w:rsidRPr="00D813D7">
        <w:rPr>
          <w:rFonts w:ascii="Times New Roman" w:hAnsi="Times New Roman"/>
          <w:sz w:val="24"/>
          <w:szCs w:val="24"/>
        </w:rPr>
        <w:t>s calculation by</w:t>
      </w:r>
      <w:r w:rsidR="00B9669E" w:rsidRPr="00D813D7">
        <w:rPr>
          <w:rFonts w:ascii="Times New Roman" w:hAnsi="Times New Roman"/>
          <w:sz w:val="24"/>
          <w:szCs w:val="24"/>
        </w:rPr>
        <w:t xml:space="preserve"> stating that the “costs incurred to serve residential customers as well as the size of their loads typically do not vary to the same extent as for non-residential customers” and that “[u]sing a single value for residential customers will help them to more easily </w:t>
      </w:r>
      <w:r w:rsidR="00B9669E" w:rsidRPr="00D813D7">
        <w:rPr>
          <w:rFonts w:ascii="Times New Roman" w:hAnsi="Times New Roman"/>
          <w:sz w:val="24"/>
          <w:szCs w:val="24"/>
        </w:rPr>
        <w:lastRenderedPageBreak/>
        <w:t>understand the financial impact of leaving the Company’s system.”</w:t>
      </w:r>
      <w:r w:rsidR="00B9669E" w:rsidRPr="00D813D7">
        <w:rPr>
          <w:rStyle w:val="FootnoteReference"/>
          <w:rFonts w:ascii="Times New Roman" w:hAnsi="Times New Roman"/>
          <w:sz w:val="24"/>
          <w:szCs w:val="24"/>
        </w:rPr>
        <w:footnoteReference w:id="62"/>
      </w:r>
      <w:r w:rsidR="00B9669E" w:rsidRPr="00D813D7">
        <w:rPr>
          <w:rFonts w:ascii="Times New Roman" w:hAnsi="Times New Roman"/>
          <w:sz w:val="24"/>
          <w:szCs w:val="24"/>
        </w:rPr>
        <w:t xml:space="preserve"> </w:t>
      </w:r>
      <w:r w:rsidR="00FE6328">
        <w:rPr>
          <w:rFonts w:ascii="Times New Roman" w:hAnsi="Times New Roman"/>
          <w:sz w:val="24"/>
          <w:szCs w:val="24"/>
        </w:rPr>
        <w:t xml:space="preserve"> </w:t>
      </w:r>
      <w:r w:rsidR="00450378" w:rsidRPr="00D813D7">
        <w:rPr>
          <w:rFonts w:ascii="Times New Roman" w:hAnsi="Times New Roman"/>
          <w:sz w:val="24"/>
          <w:szCs w:val="24"/>
        </w:rPr>
        <w:t xml:space="preserve">While a single, fixed dollar amount may be easier to understand in one sense, </w:t>
      </w:r>
      <w:r w:rsidR="00C52618" w:rsidRPr="00D813D7">
        <w:rPr>
          <w:rFonts w:ascii="Times New Roman" w:hAnsi="Times New Roman"/>
          <w:sz w:val="24"/>
          <w:szCs w:val="24"/>
        </w:rPr>
        <w:t>it is based on an unsupported assumption that costs do not vary widely with respect to residential customer load, nor does it provide an appeal mechanism for an individual residential customer to seek a reduction based on evidence.</w:t>
      </w:r>
    </w:p>
    <w:p w:rsidR="003819CA" w:rsidRPr="00D813D7" w:rsidRDefault="00FE6328" w:rsidP="003819CA">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3819CA" w:rsidRPr="00D813D7">
        <w:rPr>
          <w:rFonts w:ascii="Times New Roman" w:hAnsi="Times New Roman"/>
          <w:b/>
          <w:sz w:val="24"/>
          <w:szCs w:val="24"/>
        </w:rPr>
        <w:tab/>
        <w:t>What issues do you find with the Company’s approach using a multiplier to calculate a Stranded Cost Recovery Fee for non-residential customers?</w:t>
      </w:r>
    </w:p>
    <w:p w:rsidR="0082456F" w:rsidRPr="00D813D7" w:rsidRDefault="00FE6328" w:rsidP="00FE6328">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3819CA" w:rsidRPr="00D813D7">
        <w:rPr>
          <w:rFonts w:ascii="Times New Roman" w:hAnsi="Times New Roman"/>
          <w:sz w:val="24"/>
          <w:szCs w:val="24"/>
        </w:rPr>
        <w:tab/>
      </w:r>
      <w:r w:rsidR="0090046A" w:rsidRPr="00D813D7">
        <w:rPr>
          <w:rFonts w:ascii="Times New Roman" w:hAnsi="Times New Roman"/>
          <w:sz w:val="24"/>
          <w:szCs w:val="24"/>
        </w:rPr>
        <w:t xml:space="preserve">Although Pacific Power does not differentiate among the non-residential customers, the differences between those customer classes is relatively small, as demonstrated in Table 4 below.  </w:t>
      </w:r>
      <w:r w:rsidR="003819CA" w:rsidRPr="00D813D7">
        <w:rPr>
          <w:rFonts w:ascii="Times New Roman" w:hAnsi="Times New Roman"/>
          <w:sz w:val="24"/>
          <w:szCs w:val="24"/>
        </w:rPr>
        <w:t xml:space="preserve">Table 4 </w:t>
      </w:r>
      <w:r w:rsidR="0090046A" w:rsidRPr="00D813D7">
        <w:rPr>
          <w:rFonts w:ascii="Times New Roman" w:hAnsi="Times New Roman"/>
          <w:sz w:val="24"/>
          <w:szCs w:val="24"/>
        </w:rPr>
        <w:t xml:space="preserve">shows that the multiplier is slightly advantageous for </w:t>
      </w:r>
      <w:r w:rsidR="00272584" w:rsidRPr="00D813D7">
        <w:rPr>
          <w:rFonts w:ascii="Times New Roman" w:hAnsi="Times New Roman"/>
          <w:sz w:val="24"/>
          <w:szCs w:val="24"/>
        </w:rPr>
        <w:t xml:space="preserve">Schedule 40 and Schedule 24 customers, is neutral for Schedule 36 customers, and </w:t>
      </w:r>
      <w:r w:rsidR="0090046A" w:rsidRPr="00D813D7">
        <w:rPr>
          <w:rFonts w:ascii="Times New Roman" w:hAnsi="Times New Roman"/>
          <w:sz w:val="24"/>
          <w:szCs w:val="24"/>
        </w:rPr>
        <w:t>is slightly disadvantageous for</w:t>
      </w:r>
      <w:r w:rsidR="00272584" w:rsidRPr="00D813D7">
        <w:rPr>
          <w:rFonts w:ascii="Times New Roman" w:hAnsi="Times New Roman"/>
          <w:sz w:val="24"/>
          <w:szCs w:val="24"/>
        </w:rPr>
        <w:t xml:space="preserve"> Schedule 48 customers</w:t>
      </w:r>
      <w:r w:rsidR="00BB4D08" w:rsidRPr="00D813D7">
        <w:rPr>
          <w:rFonts w:ascii="Times New Roman" w:hAnsi="Times New Roman"/>
          <w:sz w:val="24"/>
          <w:szCs w:val="24"/>
        </w:rPr>
        <w:t>, suggesting that, on balance, use of the proposed multiplier is fair</w:t>
      </w:r>
      <w:r w:rsidR="0090046A" w:rsidRPr="00D813D7">
        <w:rPr>
          <w:rFonts w:ascii="Times New Roman" w:hAnsi="Times New Roman"/>
          <w:sz w:val="24"/>
          <w:szCs w:val="24"/>
        </w:rPr>
        <w:t>.</w:t>
      </w:r>
    </w:p>
    <w:p w:rsidR="00B9669E" w:rsidRPr="00FE6328" w:rsidRDefault="00B9669E" w:rsidP="00FE6328">
      <w:pPr>
        <w:pStyle w:val="Caption"/>
        <w:keepNext/>
        <w:ind w:left="720"/>
        <w:jc w:val="center"/>
        <w:rPr>
          <w:rFonts w:ascii="Times New Roman" w:hAnsi="Times New Roman"/>
          <w:i w:val="0"/>
          <w:color w:val="000000" w:themeColor="text1"/>
          <w:sz w:val="24"/>
          <w:szCs w:val="24"/>
        </w:rPr>
      </w:pPr>
      <w:r w:rsidRPr="007F14A0">
        <w:rPr>
          <w:rFonts w:ascii="Times New Roman" w:hAnsi="Times New Roman"/>
          <w:b/>
          <w:i w:val="0"/>
          <w:color w:val="000000" w:themeColor="text1"/>
          <w:sz w:val="24"/>
          <w:szCs w:val="24"/>
        </w:rPr>
        <w:t xml:space="preserve">Table </w:t>
      </w:r>
      <w:r w:rsidR="0078784A" w:rsidRPr="007F14A0">
        <w:rPr>
          <w:rFonts w:ascii="Times New Roman" w:hAnsi="Times New Roman"/>
          <w:b/>
          <w:i w:val="0"/>
          <w:color w:val="000000" w:themeColor="text1"/>
          <w:sz w:val="24"/>
          <w:szCs w:val="24"/>
        </w:rPr>
        <w:fldChar w:fldCharType="begin"/>
      </w:r>
      <w:r w:rsidR="0078784A" w:rsidRPr="007F14A0">
        <w:rPr>
          <w:rFonts w:ascii="Times New Roman" w:hAnsi="Times New Roman"/>
          <w:b/>
          <w:i w:val="0"/>
          <w:color w:val="000000" w:themeColor="text1"/>
          <w:sz w:val="24"/>
          <w:szCs w:val="24"/>
        </w:rPr>
        <w:instrText xml:space="preserve"> SEQ Table \* ARABIC </w:instrText>
      </w:r>
      <w:r w:rsidR="0078784A" w:rsidRPr="007F14A0">
        <w:rPr>
          <w:rFonts w:ascii="Times New Roman" w:hAnsi="Times New Roman"/>
          <w:b/>
          <w:i w:val="0"/>
          <w:color w:val="000000" w:themeColor="text1"/>
          <w:sz w:val="24"/>
          <w:szCs w:val="24"/>
        </w:rPr>
        <w:fldChar w:fldCharType="separate"/>
      </w:r>
      <w:r w:rsidR="00997194" w:rsidRPr="007F14A0">
        <w:rPr>
          <w:rFonts w:ascii="Times New Roman" w:hAnsi="Times New Roman"/>
          <w:b/>
          <w:i w:val="0"/>
          <w:noProof/>
          <w:color w:val="000000" w:themeColor="text1"/>
          <w:sz w:val="24"/>
          <w:szCs w:val="24"/>
        </w:rPr>
        <w:t>4</w:t>
      </w:r>
      <w:r w:rsidR="0078784A" w:rsidRPr="007F14A0">
        <w:rPr>
          <w:rFonts w:ascii="Times New Roman" w:hAnsi="Times New Roman"/>
          <w:b/>
          <w:i w:val="0"/>
          <w:noProof/>
          <w:color w:val="000000" w:themeColor="text1"/>
          <w:sz w:val="24"/>
          <w:szCs w:val="24"/>
        </w:rPr>
        <w:fldChar w:fldCharType="end"/>
      </w:r>
      <w:r w:rsidR="00FE6328" w:rsidRPr="007F14A0">
        <w:rPr>
          <w:rFonts w:ascii="Times New Roman" w:hAnsi="Times New Roman"/>
          <w:b/>
          <w:i w:val="0"/>
          <w:color w:val="000000" w:themeColor="text1"/>
          <w:sz w:val="24"/>
          <w:szCs w:val="24"/>
        </w:rPr>
        <w:t xml:space="preserve">:  </w:t>
      </w:r>
      <w:r w:rsidRPr="007F14A0">
        <w:rPr>
          <w:rFonts w:ascii="Times New Roman" w:hAnsi="Times New Roman"/>
          <w:b/>
          <w:i w:val="0"/>
          <w:color w:val="000000" w:themeColor="text1"/>
          <w:sz w:val="24"/>
          <w:szCs w:val="24"/>
        </w:rPr>
        <w:t xml:space="preserve">Revenue multiplier </w:t>
      </w:r>
      <w:r w:rsidR="003E4CA9" w:rsidRPr="007F14A0">
        <w:rPr>
          <w:rFonts w:ascii="Times New Roman" w:hAnsi="Times New Roman"/>
          <w:b/>
          <w:i w:val="0"/>
          <w:color w:val="000000" w:themeColor="text1"/>
          <w:sz w:val="24"/>
          <w:szCs w:val="24"/>
        </w:rPr>
        <w:t xml:space="preserve">(“Investment to Revenue Ratio”) </w:t>
      </w:r>
      <w:r w:rsidRPr="007F14A0">
        <w:rPr>
          <w:rFonts w:ascii="Times New Roman" w:hAnsi="Times New Roman"/>
          <w:b/>
          <w:i w:val="0"/>
          <w:color w:val="000000" w:themeColor="text1"/>
          <w:sz w:val="24"/>
          <w:szCs w:val="24"/>
        </w:rPr>
        <w:t xml:space="preserve">for stranded cost recovery </w:t>
      </w:r>
      <w:r w:rsidR="00272584" w:rsidRPr="007F14A0">
        <w:rPr>
          <w:rFonts w:ascii="Times New Roman" w:hAnsi="Times New Roman"/>
          <w:b/>
          <w:i w:val="0"/>
          <w:color w:val="000000" w:themeColor="text1"/>
          <w:sz w:val="24"/>
          <w:szCs w:val="24"/>
        </w:rPr>
        <w:t xml:space="preserve">for each non-residential rate class </w:t>
      </w:r>
      <w:r w:rsidRPr="007F14A0">
        <w:rPr>
          <w:rFonts w:ascii="Times New Roman" w:hAnsi="Times New Roman"/>
          <w:b/>
          <w:i w:val="0"/>
          <w:color w:val="000000" w:themeColor="text1"/>
          <w:sz w:val="24"/>
          <w:szCs w:val="24"/>
        </w:rPr>
        <w:t>per P</w:t>
      </w:r>
      <w:r w:rsidR="003E4CA9" w:rsidRPr="007F14A0">
        <w:rPr>
          <w:rFonts w:ascii="Times New Roman" w:hAnsi="Times New Roman"/>
          <w:b/>
          <w:i w:val="0"/>
          <w:color w:val="000000" w:themeColor="text1"/>
          <w:sz w:val="24"/>
          <w:szCs w:val="24"/>
        </w:rPr>
        <w:t xml:space="preserve">acific </w:t>
      </w:r>
      <w:r w:rsidRPr="007F14A0">
        <w:rPr>
          <w:rFonts w:ascii="Times New Roman" w:hAnsi="Times New Roman"/>
          <w:b/>
          <w:i w:val="0"/>
          <w:color w:val="000000" w:themeColor="text1"/>
          <w:sz w:val="24"/>
          <w:szCs w:val="24"/>
        </w:rPr>
        <w:t>P</w:t>
      </w:r>
      <w:r w:rsidR="003E4CA9" w:rsidRPr="007F14A0">
        <w:rPr>
          <w:rFonts w:ascii="Times New Roman" w:hAnsi="Times New Roman"/>
          <w:b/>
          <w:i w:val="0"/>
          <w:color w:val="000000" w:themeColor="text1"/>
          <w:sz w:val="24"/>
          <w:szCs w:val="24"/>
        </w:rPr>
        <w:t>ower</w:t>
      </w:r>
      <w:r w:rsidRPr="007F14A0">
        <w:rPr>
          <w:rFonts w:ascii="Times New Roman" w:hAnsi="Times New Roman"/>
          <w:b/>
          <w:i w:val="0"/>
          <w:color w:val="000000" w:themeColor="text1"/>
          <w:sz w:val="24"/>
          <w:szCs w:val="24"/>
        </w:rPr>
        <w:t>’s proposed methodology</w:t>
      </w:r>
      <w:r w:rsidR="00272584" w:rsidRPr="00FE6328">
        <w:rPr>
          <w:rFonts w:ascii="Times New Roman" w:hAnsi="Times New Roman"/>
          <w:i w:val="0"/>
          <w:color w:val="000000" w:themeColor="text1"/>
          <w:sz w:val="24"/>
          <w:szCs w:val="24"/>
        </w:rPr>
        <w:t>.</w:t>
      </w:r>
      <w:r w:rsidR="00272584" w:rsidRPr="00FE6328">
        <w:rPr>
          <w:rStyle w:val="FootnoteReference"/>
          <w:rFonts w:ascii="Times New Roman" w:hAnsi="Times New Roman"/>
          <w:i w:val="0"/>
          <w:color w:val="000000" w:themeColor="text1"/>
          <w:sz w:val="24"/>
          <w:szCs w:val="24"/>
        </w:rPr>
        <w:footnoteReference w:id="63"/>
      </w:r>
      <w:r w:rsidR="00FE6328">
        <w:rPr>
          <w:rFonts w:ascii="Times New Roman" w:hAnsi="Times New Roman"/>
          <w:i w:val="0"/>
          <w:color w:val="000000" w:themeColor="text1"/>
          <w:sz w:val="24"/>
          <w:szCs w:val="24"/>
        </w:rPr>
        <w:fldChar w:fldCharType="begin"/>
      </w:r>
      <w:r w:rsidR="00FE6328">
        <w:instrText xml:space="preserve"> XE "</w:instrText>
      </w:r>
      <w:r w:rsidR="00FE6328" w:rsidRPr="00424A27">
        <w:rPr>
          <w:rFonts w:ascii="Times New Roman" w:hAnsi="Times New Roman"/>
          <w:i w:val="0"/>
          <w:color w:val="000000" w:themeColor="text1"/>
          <w:sz w:val="24"/>
          <w:szCs w:val="24"/>
        </w:rPr>
        <w:instrText xml:space="preserve">Table </w:instrText>
      </w:r>
      <w:r w:rsidR="00FE6328" w:rsidRPr="00424A27">
        <w:rPr>
          <w:rFonts w:ascii="Times New Roman" w:hAnsi="Times New Roman"/>
          <w:i w:val="0"/>
          <w:noProof/>
          <w:color w:val="000000" w:themeColor="text1"/>
          <w:sz w:val="24"/>
          <w:szCs w:val="24"/>
        </w:rPr>
        <w:instrText>4</w:instrText>
      </w:r>
      <w:r w:rsidR="00FE6328" w:rsidRPr="00424A27">
        <w:instrText>\</w:instrText>
      </w:r>
      <w:r w:rsidR="00FE6328" w:rsidRPr="00424A27">
        <w:rPr>
          <w:rFonts w:ascii="Times New Roman" w:hAnsi="Times New Roman"/>
          <w:i w:val="0"/>
          <w:color w:val="000000" w:themeColor="text1"/>
          <w:sz w:val="24"/>
          <w:szCs w:val="24"/>
        </w:rPr>
        <w:instrText>:  Revenue multiplier (</w:instrText>
      </w:r>
      <w:r w:rsidR="00FE6328">
        <w:rPr>
          <w:i w:val="0"/>
          <w:iCs w:val="0"/>
          <w:color w:val="auto"/>
          <w:sz w:val="20"/>
          <w:szCs w:val="20"/>
        </w:rPr>
        <w:instrText>\</w:instrText>
      </w:r>
      <w:r w:rsidR="00FE6328" w:rsidRPr="00424A27">
        <w:rPr>
          <w:rFonts w:ascii="Times New Roman" w:hAnsi="Times New Roman"/>
          <w:i w:val="0"/>
          <w:color w:val="000000" w:themeColor="text1"/>
          <w:sz w:val="24"/>
          <w:szCs w:val="24"/>
        </w:rPr>
        <w:instrText>“Investment to Revenue Ratio</w:instrText>
      </w:r>
      <w:r w:rsidR="00FE6328">
        <w:rPr>
          <w:i w:val="0"/>
          <w:iCs w:val="0"/>
          <w:color w:val="auto"/>
          <w:sz w:val="20"/>
          <w:szCs w:val="20"/>
        </w:rPr>
        <w:instrText>\</w:instrText>
      </w:r>
      <w:r w:rsidR="00FE6328" w:rsidRPr="00424A27">
        <w:rPr>
          <w:rFonts w:ascii="Times New Roman" w:hAnsi="Times New Roman"/>
          <w:i w:val="0"/>
          <w:color w:val="000000" w:themeColor="text1"/>
          <w:sz w:val="24"/>
          <w:szCs w:val="24"/>
        </w:rPr>
        <w:instrText>”) for stranded cost recovery for each non-residential rate class per Pacific Power’s proposed methodology.</w:instrText>
      </w:r>
      <w:r w:rsidR="00FE6328">
        <w:instrText xml:space="preserve">" </w:instrText>
      </w:r>
      <w:r w:rsidR="00FE6328">
        <w:rPr>
          <w:rFonts w:ascii="Times New Roman" w:hAnsi="Times New Roman"/>
          <w:i w:val="0"/>
          <w:color w:val="000000" w:themeColor="text1"/>
          <w:sz w:val="24"/>
          <w:szCs w:val="24"/>
        </w:rPr>
        <w:fldChar w:fldCharType="end"/>
      </w:r>
    </w:p>
    <w:tbl>
      <w:tblPr>
        <w:tblStyle w:val="TableGrid"/>
        <w:tblW w:w="0" w:type="auto"/>
        <w:jc w:val="center"/>
        <w:tblInd w:w="720" w:type="dxa"/>
        <w:tblLook w:val="04A0" w:firstRow="1" w:lastRow="0" w:firstColumn="1" w:lastColumn="0" w:noHBand="0" w:noVBand="1"/>
      </w:tblPr>
      <w:tblGrid>
        <w:gridCol w:w="2089"/>
        <w:gridCol w:w="876"/>
        <w:gridCol w:w="876"/>
        <w:gridCol w:w="876"/>
        <w:gridCol w:w="876"/>
        <w:gridCol w:w="2156"/>
      </w:tblGrid>
      <w:tr w:rsidR="00B9669E" w:rsidRPr="00D813D7" w:rsidTr="00FE6328">
        <w:trPr>
          <w:jc w:val="center"/>
        </w:trPr>
        <w:tc>
          <w:tcPr>
            <w:tcW w:w="0" w:type="auto"/>
          </w:tcPr>
          <w:p w:rsidR="00B9669E" w:rsidRPr="00D813D7" w:rsidRDefault="00B9669E" w:rsidP="00B9669E">
            <w:pPr>
              <w:widowControl w:val="0"/>
              <w:spacing w:after="0"/>
              <w:rPr>
                <w:rFonts w:ascii="Times New Roman" w:hAnsi="Times New Roman"/>
                <w:sz w:val="24"/>
                <w:szCs w:val="24"/>
              </w:rPr>
            </w:pP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Sch 24</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Sch 36</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Sch 40</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Sch 48</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All Non-Residential</w:t>
            </w:r>
          </w:p>
        </w:tc>
      </w:tr>
      <w:tr w:rsidR="00B9669E" w:rsidRPr="00D813D7" w:rsidTr="00FE6328">
        <w:trPr>
          <w:jc w:val="center"/>
        </w:trPr>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Revenue Multiplier</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4.7</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4.5</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4.9</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4.2</w:t>
            </w:r>
          </w:p>
        </w:tc>
        <w:tc>
          <w:tcPr>
            <w:tcW w:w="0" w:type="auto"/>
          </w:tcPr>
          <w:p w:rsidR="00B9669E" w:rsidRPr="00D813D7" w:rsidRDefault="00B9669E" w:rsidP="00B9669E">
            <w:pPr>
              <w:widowControl w:val="0"/>
              <w:spacing w:after="0"/>
              <w:rPr>
                <w:rFonts w:ascii="Times New Roman" w:hAnsi="Times New Roman"/>
                <w:sz w:val="24"/>
                <w:szCs w:val="24"/>
              </w:rPr>
            </w:pPr>
            <w:r w:rsidRPr="00D813D7">
              <w:rPr>
                <w:rFonts w:ascii="Times New Roman" w:hAnsi="Times New Roman"/>
                <w:sz w:val="24"/>
                <w:szCs w:val="24"/>
              </w:rPr>
              <w:t>4.5</w:t>
            </w:r>
          </w:p>
        </w:tc>
      </w:tr>
    </w:tbl>
    <w:p w:rsidR="00B9669E" w:rsidRPr="00D813D7" w:rsidRDefault="00B9669E" w:rsidP="00FE6328">
      <w:pPr>
        <w:widowControl w:val="0"/>
        <w:spacing w:after="0" w:line="480" w:lineRule="auto"/>
        <w:rPr>
          <w:rFonts w:ascii="Times New Roman" w:hAnsi="Times New Roman"/>
          <w:sz w:val="24"/>
          <w:szCs w:val="24"/>
        </w:rPr>
      </w:pPr>
    </w:p>
    <w:p w:rsidR="00C239CC" w:rsidRPr="00D813D7" w:rsidRDefault="00875720" w:rsidP="00FE6328">
      <w:pPr>
        <w:pStyle w:val="Heading2"/>
        <w:numPr>
          <w:ilvl w:val="0"/>
          <w:numId w:val="47"/>
        </w:numPr>
      </w:pPr>
      <w:bookmarkStart w:id="17" w:name="_Toc479329368"/>
      <w:bookmarkStart w:id="18" w:name="_Toc480530024"/>
      <w:r w:rsidRPr="00D813D7">
        <w:t>Determining Additional Market Revenues</w:t>
      </w:r>
      <w:bookmarkEnd w:id="17"/>
      <w:r w:rsidR="00FE6328">
        <w:t>.</w:t>
      </w:r>
      <w:bookmarkEnd w:id="18"/>
      <w:r w:rsidR="00FE6328">
        <w:t xml:space="preserve"> </w:t>
      </w:r>
    </w:p>
    <w:p w:rsidR="00875720" w:rsidRPr="00D813D7" w:rsidRDefault="00FE6328" w:rsidP="002326ED">
      <w:pPr>
        <w:widowControl w:val="0"/>
        <w:spacing w:after="0" w:line="480" w:lineRule="auto"/>
        <w:ind w:left="720" w:hanging="720"/>
        <w:rPr>
          <w:rFonts w:ascii="Times New Roman" w:hAnsi="Times New Roman"/>
          <w:b/>
          <w:sz w:val="24"/>
          <w:szCs w:val="24"/>
        </w:rPr>
      </w:pPr>
      <w:bookmarkStart w:id="19" w:name="_Hlk479250187"/>
      <w:r>
        <w:rPr>
          <w:rFonts w:ascii="Times New Roman" w:hAnsi="Times New Roman"/>
          <w:b/>
          <w:sz w:val="24"/>
          <w:szCs w:val="24"/>
        </w:rPr>
        <w:t>Q:</w:t>
      </w:r>
      <w:r w:rsidR="00875720" w:rsidRPr="00D813D7">
        <w:rPr>
          <w:rFonts w:ascii="Times New Roman" w:hAnsi="Times New Roman"/>
          <w:b/>
          <w:sz w:val="24"/>
          <w:szCs w:val="24"/>
        </w:rPr>
        <w:tab/>
        <w:t xml:space="preserve">How does a customer leaving the system create opportunities for </w:t>
      </w:r>
      <w:r w:rsidR="00B946AA" w:rsidRPr="00D813D7">
        <w:rPr>
          <w:rFonts w:ascii="Times New Roman" w:hAnsi="Times New Roman"/>
          <w:b/>
          <w:sz w:val="24"/>
          <w:szCs w:val="24"/>
        </w:rPr>
        <w:t xml:space="preserve">the original provider to </w:t>
      </w:r>
      <w:r w:rsidR="000F1893" w:rsidRPr="00D813D7">
        <w:rPr>
          <w:rFonts w:ascii="Times New Roman" w:hAnsi="Times New Roman"/>
          <w:b/>
          <w:sz w:val="24"/>
          <w:szCs w:val="24"/>
        </w:rPr>
        <w:t>reduce net power costs</w:t>
      </w:r>
      <w:r w:rsidR="00875720" w:rsidRPr="00D813D7">
        <w:rPr>
          <w:rFonts w:ascii="Times New Roman" w:hAnsi="Times New Roman"/>
          <w:b/>
          <w:sz w:val="24"/>
          <w:szCs w:val="24"/>
        </w:rPr>
        <w:t>?</w:t>
      </w:r>
    </w:p>
    <w:p w:rsidR="00FC6970" w:rsidRDefault="00FC6970" w:rsidP="00FC697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875720" w:rsidRPr="00D813D7">
        <w:rPr>
          <w:rFonts w:ascii="Times New Roman" w:hAnsi="Times New Roman"/>
          <w:sz w:val="24"/>
          <w:szCs w:val="24"/>
        </w:rPr>
        <w:tab/>
      </w:r>
      <w:r w:rsidR="0078784A" w:rsidRPr="00D813D7">
        <w:rPr>
          <w:rFonts w:ascii="Times New Roman" w:hAnsi="Times New Roman"/>
          <w:sz w:val="24"/>
          <w:szCs w:val="24"/>
        </w:rPr>
        <w:t xml:space="preserve">Pacific Power </w:t>
      </w:r>
      <w:r w:rsidR="00007BFC" w:rsidRPr="00D813D7">
        <w:rPr>
          <w:rFonts w:ascii="Times New Roman" w:hAnsi="Times New Roman"/>
          <w:sz w:val="24"/>
          <w:szCs w:val="24"/>
        </w:rPr>
        <w:t>not only generates power to serve its</w:t>
      </w:r>
      <w:bookmarkEnd w:id="19"/>
      <w:r w:rsidR="00007BFC" w:rsidRPr="00D813D7">
        <w:rPr>
          <w:rFonts w:ascii="Times New Roman" w:hAnsi="Times New Roman"/>
          <w:sz w:val="24"/>
          <w:szCs w:val="24"/>
        </w:rPr>
        <w:t xml:space="preserve"> own load, it also buys and sells power </w:t>
      </w:r>
      <w:r w:rsidR="00007BFC" w:rsidRPr="00D813D7">
        <w:rPr>
          <w:rFonts w:ascii="Times New Roman" w:hAnsi="Times New Roman"/>
          <w:sz w:val="24"/>
          <w:szCs w:val="24"/>
        </w:rPr>
        <w:lastRenderedPageBreak/>
        <w:t>into the regional power market.</w:t>
      </w:r>
      <w:r w:rsidR="00007BFC" w:rsidRPr="00D813D7">
        <w:rPr>
          <w:rStyle w:val="FootnoteReference"/>
          <w:rFonts w:ascii="Times New Roman" w:hAnsi="Times New Roman"/>
          <w:sz w:val="24"/>
          <w:szCs w:val="24"/>
        </w:rPr>
        <w:footnoteReference w:id="64"/>
      </w:r>
      <w:r w:rsidR="00007BFC" w:rsidRPr="00D813D7">
        <w:rPr>
          <w:rFonts w:ascii="Times New Roman" w:hAnsi="Times New Roman"/>
          <w:sz w:val="24"/>
          <w:szCs w:val="24"/>
        </w:rPr>
        <w:t xml:space="preserve"> </w:t>
      </w:r>
      <w:r>
        <w:rPr>
          <w:rFonts w:ascii="Times New Roman" w:hAnsi="Times New Roman"/>
          <w:sz w:val="24"/>
          <w:szCs w:val="24"/>
        </w:rPr>
        <w:t xml:space="preserve"> </w:t>
      </w:r>
      <w:r w:rsidR="00D10B14" w:rsidRPr="00D813D7">
        <w:rPr>
          <w:rFonts w:ascii="Times New Roman" w:hAnsi="Times New Roman"/>
          <w:sz w:val="24"/>
          <w:szCs w:val="24"/>
        </w:rPr>
        <w:t xml:space="preserve">The ability to </w:t>
      </w:r>
      <w:r w:rsidR="000F1893" w:rsidRPr="00D813D7">
        <w:rPr>
          <w:rFonts w:ascii="Times New Roman" w:hAnsi="Times New Roman"/>
          <w:sz w:val="24"/>
          <w:szCs w:val="24"/>
        </w:rPr>
        <w:t>reduce net power costs related to purchases and sales in the power market</w:t>
      </w:r>
      <w:r w:rsidR="005020BA" w:rsidRPr="00D813D7">
        <w:rPr>
          <w:rFonts w:ascii="Times New Roman" w:hAnsi="Times New Roman"/>
          <w:sz w:val="24"/>
          <w:szCs w:val="24"/>
        </w:rPr>
        <w:t xml:space="preserve"> is a function of both </w:t>
      </w:r>
      <w:r w:rsidR="00D10B14" w:rsidRPr="00D813D7">
        <w:rPr>
          <w:rFonts w:ascii="Times New Roman" w:hAnsi="Times New Roman"/>
          <w:sz w:val="24"/>
          <w:szCs w:val="24"/>
        </w:rPr>
        <w:t>volume and market price</w:t>
      </w:r>
      <w:r w:rsidR="005020BA" w:rsidRPr="00D813D7">
        <w:rPr>
          <w:rFonts w:ascii="Times New Roman" w:hAnsi="Times New Roman"/>
          <w:sz w:val="24"/>
          <w:szCs w:val="24"/>
        </w:rPr>
        <w:t>.</w:t>
      </w:r>
      <w:r>
        <w:rPr>
          <w:rFonts w:ascii="Times New Roman" w:hAnsi="Times New Roman"/>
          <w:sz w:val="24"/>
          <w:szCs w:val="24"/>
        </w:rPr>
        <w:t xml:space="preserve"> </w:t>
      </w:r>
      <w:r w:rsidR="00790224" w:rsidRPr="00D813D7">
        <w:rPr>
          <w:rFonts w:ascii="Times New Roman" w:hAnsi="Times New Roman"/>
          <w:sz w:val="24"/>
          <w:szCs w:val="24"/>
        </w:rPr>
        <w:t xml:space="preserve"> </w:t>
      </w:r>
      <w:r w:rsidR="005020BA" w:rsidRPr="00D813D7">
        <w:rPr>
          <w:rFonts w:ascii="Times New Roman" w:hAnsi="Times New Roman"/>
          <w:sz w:val="24"/>
          <w:szCs w:val="24"/>
        </w:rPr>
        <w:t xml:space="preserve">To answer this question, we look at each variable in isolation while holding </w:t>
      </w:r>
      <w:r w:rsidR="000F1893" w:rsidRPr="00D813D7">
        <w:rPr>
          <w:rFonts w:ascii="Times New Roman" w:hAnsi="Times New Roman"/>
          <w:sz w:val="24"/>
          <w:szCs w:val="24"/>
        </w:rPr>
        <w:t xml:space="preserve">the </w:t>
      </w:r>
      <w:r w:rsidR="005020BA" w:rsidRPr="00D813D7">
        <w:rPr>
          <w:rFonts w:ascii="Times New Roman" w:hAnsi="Times New Roman"/>
          <w:sz w:val="24"/>
          <w:szCs w:val="24"/>
        </w:rPr>
        <w:t>other factors constant</w:t>
      </w:r>
      <w:r w:rsidR="00D10B14" w:rsidRPr="00D813D7">
        <w:rPr>
          <w:rFonts w:ascii="Times New Roman" w:hAnsi="Times New Roman"/>
          <w:sz w:val="24"/>
          <w:szCs w:val="24"/>
        </w:rPr>
        <w:t>.</w:t>
      </w:r>
      <w:r w:rsidR="00790224" w:rsidRPr="00D813D7">
        <w:rPr>
          <w:rFonts w:ascii="Times New Roman" w:hAnsi="Times New Roman"/>
          <w:sz w:val="24"/>
          <w:szCs w:val="24"/>
        </w:rPr>
        <w:t xml:space="preserve"> </w:t>
      </w:r>
      <w:r>
        <w:rPr>
          <w:rFonts w:ascii="Times New Roman" w:hAnsi="Times New Roman"/>
          <w:sz w:val="24"/>
          <w:szCs w:val="24"/>
        </w:rPr>
        <w:t xml:space="preserve"> </w:t>
      </w:r>
      <w:r w:rsidR="005020BA" w:rsidRPr="00D813D7">
        <w:rPr>
          <w:rFonts w:ascii="Times New Roman" w:hAnsi="Times New Roman"/>
          <w:sz w:val="24"/>
          <w:szCs w:val="24"/>
        </w:rPr>
        <w:t>The slice of generation previously used to serve a customer that has permanently disconnected from the system, after determining it is not needed for growth in existing load, becomes excess to on-system requirements.</w:t>
      </w:r>
      <w:r>
        <w:rPr>
          <w:rFonts w:ascii="Times New Roman" w:hAnsi="Times New Roman"/>
          <w:sz w:val="24"/>
          <w:szCs w:val="24"/>
        </w:rPr>
        <w:t xml:space="preserve"> </w:t>
      </w:r>
      <w:r w:rsidR="00790224" w:rsidRPr="00D813D7">
        <w:rPr>
          <w:rFonts w:ascii="Times New Roman" w:hAnsi="Times New Roman"/>
          <w:sz w:val="24"/>
          <w:szCs w:val="24"/>
        </w:rPr>
        <w:t xml:space="preserve"> </w:t>
      </w:r>
      <w:r w:rsidR="0090046A" w:rsidRPr="00D813D7">
        <w:rPr>
          <w:rFonts w:ascii="Times New Roman" w:hAnsi="Times New Roman"/>
          <w:sz w:val="24"/>
          <w:szCs w:val="24"/>
        </w:rPr>
        <w:t>T</w:t>
      </w:r>
      <w:r w:rsidR="000F1893" w:rsidRPr="00D813D7">
        <w:rPr>
          <w:rFonts w:ascii="Times New Roman" w:hAnsi="Times New Roman"/>
          <w:sz w:val="24"/>
          <w:szCs w:val="24"/>
        </w:rPr>
        <w:t>he effect that excess generation has on the utility’s ability to generate revenue depends on when it becomes available</w:t>
      </w:r>
      <w:r w:rsidR="0090046A" w:rsidRPr="00D813D7">
        <w:rPr>
          <w:rFonts w:ascii="Times New Roman" w:hAnsi="Times New Roman"/>
          <w:sz w:val="24"/>
          <w:szCs w:val="24"/>
        </w:rPr>
        <w:t>.</w:t>
      </w:r>
    </w:p>
    <w:p w:rsidR="001E7E00" w:rsidRPr="00D813D7" w:rsidRDefault="00007BFC" w:rsidP="00FC6970">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 xml:space="preserve">If the departing customer consumes power during times the utility is purchasing power, </w:t>
      </w:r>
      <w:r w:rsidR="008F1A56" w:rsidRPr="00D813D7">
        <w:rPr>
          <w:rFonts w:ascii="Times New Roman" w:hAnsi="Times New Roman"/>
          <w:sz w:val="24"/>
          <w:szCs w:val="24"/>
        </w:rPr>
        <w:t xml:space="preserve">that </w:t>
      </w:r>
      <w:r w:rsidRPr="00D813D7">
        <w:rPr>
          <w:rFonts w:ascii="Times New Roman" w:hAnsi="Times New Roman"/>
          <w:sz w:val="24"/>
          <w:szCs w:val="24"/>
        </w:rPr>
        <w:t>customer’s departure</w:t>
      </w:r>
      <w:r w:rsidR="00237769" w:rsidRPr="00D813D7">
        <w:rPr>
          <w:rFonts w:ascii="Times New Roman" w:hAnsi="Times New Roman"/>
          <w:sz w:val="24"/>
          <w:szCs w:val="24"/>
        </w:rPr>
        <w:t xml:space="preserve"> lowers </w:t>
      </w:r>
      <w:r w:rsidR="001E7E00" w:rsidRPr="00D813D7">
        <w:rPr>
          <w:rFonts w:ascii="Times New Roman" w:hAnsi="Times New Roman"/>
          <w:sz w:val="24"/>
          <w:szCs w:val="24"/>
        </w:rPr>
        <w:t xml:space="preserve">the volume to be </w:t>
      </w:r>
      <w:r w:rsidR="008F1A56" w:rsidRPr="00D813D7">
        <w:rPr>
          <w:rFonts w:ascii="Times New Roman" w:hAnsi="Times New Roman"/>
          <w:sz w:val="24"/>
          <w:szCs w:val="24"/>
        </w:rPr>
        <w:t xml:space="preserve">purchased in the </w:t>
      </w:r>
      <w:r w:rsidR="00237769" w:rsidRPr="00D813D7">
        <w:rPr>
          <w:rFonts w:ascii="Times New Roman" w:hAnsi="Times New Roman"/>
          <w:sz w:val="24"/>
          <w:szCs w:val="24"/>
        </w:rPr>
        <w:t>market</w:t>
      </w:r>
      <w:r w:rsidR="007D1FA2" w:rsidRPr="00D813D7">
        <w:rPr>
          <w:rFonts w:ascii="Times New Roman" w:hAnsi="Times New Roman"/>
          <w:sz w:val="24"/>
          <w:szCs w:val="24"/>
        </w:rPr>
        <w:t>.</w:t>
      </w:r>
      <w:r w:rsidR="00790224" w:rsidRPr="00D813D7">
        <w:rPr>
          <w:rFonts w:ascii="Times New Roman" w:hAnsi="Times New Roman"/>
          <w:sz w:val="24"/>
          <w:szCs w:val="24"/>
        </w:rPr>
        <w:t xml:space="preserve"> </w:t>
      </w:r>
      <w:r w:rsidR="00FC6970">
        <w:rPr>
          <w:rFonts w:ascii="Times New Roman" w:hAnsi="Times New Roman"/>
          <w:sz w:val="24"/>
          <w:szCs w:val="24"/>
        </w:rPr>
        <w:t xml:space="preserve"> </w:t>
      </w:r>
      <w:r w:rsidR="007D1FA2" w:rsidRPr="00D813D7">
        <w:rPr>
          <w:rFonts w:ascii="Times New Roman" w:hAnsi="Times New Roman"/>
          <w:sz w:val="24"/>
          <w:szCs w:val="24"/>
        </w:rPr>
        <w:t>In other words, at some point during the day, the utility a</w:t>
      </w:r>
      <w:r w:rsidR="00FC6970">
        <w:rPr>
          <w:rFonts w:ascii="Times New Roman" w:hAnsi="Times New Roman"/>
          <w:sz w:val="24"/>
          <w:szCs w:val="24"/>
        </w:rPr>
        <w:t>lready planned to supplement on</w:t>
      </w:r>
      <w:r w:rsidR="00FC6970">
        <w:rPr>
          <w:rFonts w:ascii="Times New Roman" w:hAnsi="Times New Roman"/>
          <w:sz w:val="24"/>
          <w:szCs w:val="24"/>
        </w:rPr>
        <w:noBreakHyphen/>
      </w:r>
      <w:r w:rsidR="007D1FA2" w:rsidRPr="00D813D7">
        <w:rPr>
          <w:rFonts w:ascii="Times New Roman" w:hAnsi="Times New Roman"/>
          <w:sz w:val="24"/>
          <w:szCs w:val="24"/>
        </w:rPr>
        <w:t>system generation with market purchases.</w:t>
      </w:r>
      <w:r w:rsidR="00790224" w:rsidRPr="00D813D7">
        <w:rPr>
          <w:rFonts w:ascii="Times New Roman" w:hAnsi="Times New Roman"/>
          <w:sz w:val="24"/>
          <w:szCs w:val="24"/>
        </w:rPr>
        <w:t xml:space="preserve"> </w:t>
      </w:r>
      <w:r w:rsidR="00FC6970">
        <w:rPr>
          <w:rFonts w:ascii="Times New Roman" w:hAnsi="Times New Roman"/>
          <w:sz w:val="24"/>
          <w:szCs w:val="24"/>
        </w:rPr>
        <w:t xml:space="preserve"> </w:t>
      </w:r>
      <w:r w:rsidR="005D739B" w:rsidRPr="00D813D7">
        <w:rPr>
          <w:rFonts w:ascii="Times New Roman" w:hAnsi="Times New Roman"/>
          <w:sz w:val="24"/>
          <w:szCs w:val="24"/>
        </w:rPr>
        <w:t xml:space="preserve">As a result, </w:t>
      </w:r>
      <w:r w:rsidR="007D1FA2" w:rsidRPr="00D813D7">
        <w:rPr>
          <w:rFonts w:ascii="Times New Roman" w:hAnsi="Times New Roman"/>
          <w:sz w:val="24"/>
          <w:szCs w:val="24"/>
        </w:rPr>
        <w:t xml:space="preserve">the effect of the departing customer is only to reduce the amount the utility needed to buy above generation capacity, </w:t>
      </w:r>
      <w:r w:rsidR="008F1A56" w:rsidRPr="00D813D7">
        <w:rPr>
          <w:rFonts w:ascii="Times New Roman" w:hAnsi="Times New Roman"/>
          <w:sz w:val="24"/>
          <w:szCs w:val="24"/>
        </w:rPr>
        <w:t>thereby</w:t>
      </w:r>
      <w:r w:rsidR="00237769" w:rsidRPr="00D813D7">
        <w:rPr>
          <w:rFonts w:ascii="Times New Roman" w:hAnsi="Times New Roman"/>
          <w:sz w:val="24"/>
          <w:szCs w:val="24"/>
        </w:rPr>
        <w:t xml:space="preserve"> </w:t>
      </w:r>
      <w:r w:rsidR="008F1A56" w:rsidRPr="00D813D7">
        <w:rPr>
          <w:rFonts w:ascii="Times New Roman" w:hAnsi="Times New Roman"/>
          <w:sz w:val="24"/>
          <w:szCs w:val="24"/>
        </w:rPr>
        <w:t xml:space="preserve">reducing </w:t>
      </w:r>
      <w:r w:rsidR="00237769" w:rsidRPr="00D813D7">
        <w:rPr>
          <w:rFonts w:ascii="Times New Roman" w:hAnsi="Times New Roman"/>
          <w:sz w:val="24"/>
          <w:szCs w:val="24"/>
        </w:rPr>
        <w:t>net power costs</w:t>
      </w:r>
      <w:r w:rsidR="001E7E00" w:rsidRPr="00D813D7">
        <w:rPr>
          <w:rFonts w:ascii="Times New Roman" w:hAnsi="Times New Roman"/>
          <w:sz w:val="24"/>
          <w:szCs w:val="24"/>
        </w:rPr>
        <w:t xml:space="preserve"> for the remaining customers</w:t>
      </w:r>
      <w:r w:rsidR="007D1FA2" w:rsidRPr="00D813D7">
        <w:rPr>
          <w:rFonts w:ascii="Times New Roman" w:hAnsi="Times New Roman"/>
          <w:sz w:val="24"/>
          <w:szCs w:val="24"/>
        </w:rPr>
        <w:t>.</w:t>
      </w:r>
      <w:r w:rsidR="00790224" w:rsidRPr="00D813D7">
        <w:rPr>
          <w:rFonts w:ascii="Times New Roman" w:hAnsi="Times New Roman"/>
          <w:sz w:val="24"/>
          <w:szCs w:val="24"/>
        </w:rPr>
        <w:t xml:space="preserve"> </w:t>
      </w:r>
      <w:r w:rsidR="00FC6970">
        <w:rPr>
          <w:rFonts w:ascii="Times New Roman" w:hAnsi="Times New Roman"/>
          <w:sz w:val="24"/>
          <w:szCs w:val="24"/>
        </w:rPr>
        <w:t xml:space="preserve"> </w:t>
      </w:r>
      <w:r w:rsidR="007D1FA2" w:rsidRPr="00D813D7">
        <w:rPr>
          <w:rFonts w:ascii="Times New Roman" w:hAnsi="Times New Roman"/>
          <w:sz w:val="24"/>
          <w:szCs w:val="24"/>
        </w:rPr>
        <w:t xml:space="preserve">This scenario assumes the prevailing market price </w:t>
      </w:r>
      <w:r w:rsidR="000F1893" w:rsidRPr="00D813D7">
        <w:rPr>
          <w:rFonts w:ascii="Times New Roman" w:hAnsi="Times New Roman"/>
          <w:sz w:val="24"/>
          <w:szCs w:val="24"/>
        </w:rPr>
        <w:t>for v</w:t>
      </w:r>
      <w:r w:rsidR="007D1FA2" w:rsidRPr="00D813D7">
        <w:rPr>
          <w:rFonts w:ascii="Times New Roman" w:hAnsi="Times New Roman"/>
          <w:sz w:val="24"/>
          <w:szCs w:val="24"/>
        </w:rPr>
        <w:t>olumes purchased does not increase</w:t>
      </w:r>
      <w:r w:rsidR="000F1893" w:rsidRPr="00D813D7">
        <w:rPr>
          <w:rFonts w:ascii="Times New Roman" w:hAnsi="Times New Roman"/>
          <w:sz w:val="24"/>
          <w:szCs w:val="24"/>
        </w:rPr>
        <w:t xml:space="preserve"> in</w:t>
      </w:r>
      <w:r w:rsidR="00FC6970">
        <w:rPr>
          <w:rFonts w:ascii="Times New Roman" w:hAnsi="Times New Roman"/>
          <w:sz w:val="24"/>
          <w:szCs w:val="24"/>
        </w:rPr>
        <w:t xml:space="preserve"> the short</w:t>
      </w:r>
      <w:r w:rsidR="00FC6970">
        <w:rPr>
          <w:rFonts w:ascii="Times New Roman" w:hAnsi="Times New Roman"/>
          <w:sz w:val="24"/>
          <w:szCs w:val="24"/>
        </w:rPr>
        <w:noBreakHyphen/>
      </w:r>
      <w:r w:rsidR="001E7E00" w:rsidRPr="00D813D7">
        <w:rPr>
          <w:rFonts w:ascii="Times New Roman" w:hAnsi="Times New Roman"/>
          <w:sz w:val="24"/>
          <w:szCs w:val="24"/>
        </w:rPr>
        <w:t>run</w:t>
      </w:r>
      <w:r w:rsidR="007D1FA2" w:rsidRPr="00D813D7">
        <w:rPr>
          <w:rFonts w:ascii="Times New Roman" w:hAnsi="Times New Roman"/>
          <w:sz w:val="24"/>
          <w:szCs w:val="24"/>
        </w:rPr>
        <w:t xml:space="preserve"> to offset the volume induced savings</w:t>
      </w:r>
      <w:r w:rsidR="001E7E00" w:rsidRPr="00D813D7">
        <w:rPr>
          <w:rFonts w:ascii="Times New Roman" w:hAnsi="Times New Roman"/>
          <w:sz w:val="24"/>
          <w:szCs w:val="24"/>
        </w:rPr>
        <w:t>.</w:t>
      </w:r>
    </w:p>
    <w:p w:rsidR="00A52096" w:rsidRPr="00D813D7" w:rsidRDefault="007D1FA2" w:rsidP="00FC6970">
      <w:pPr>
        <w:widowControl w:val="0"/>
        <w:spacing w:after="0" w:line="480" w:lineRule="auto"/>
        <w:ind w:left="720" w:firstLine="720"/>
        <w:rPr>
          <w:rFonts w:ascii="Times New Roman" w:hAnsi="Times New Roman"/>
          <w:sz w:val="24"/>
          <w:szCs w:val="24"/>
        </w:rPr>
      </w:pPr>
      <w:r w:rsidRPr="00D813D7">
        <w:rPr>
          <w:rFonts w:ascii="Times New Roman" w:hAnsi="Times New Roman"/>
          <w:sz w:val="24"/>
          <w:szCs w:val="24"/>
        </w:rPr>
        <w:t xml:space="preserve">Alternatively, </w:t>
      </w:r>
      <w:r w:rsidR="0090046A" w:rsidRPr="00D813D7">
        <w:rPr>
          <w:rFonts w:ascii="Times New Roman" w:hAnsi="Times New Roman"/>
          <w:sz w:val="24"/>
          <w:szCs w:val="24"/>
        </w:rPr>
        <w:t>i</w:t>
      </w:r>
      <w:r w:rsidR="00237769" w:rsidRPr="00D813D7">
        <w:rPr>
          <w:rFonts w:ascii="Times New Roman" w:hAnsi="Times New Roman"/>
          <w:sz w:val="24"/>
          <w:szCs w:val="24"/>
        </w:rPr>
        <w:t xml:space="preserve">f the departing customer consumes power during times </w:t>
      </w:r>
      <w:r w:rsidR="0078784A" w:rsidRPr="00D813D7">
        <w:rPr>
          <w:rFonts w:ascii="Times New Roman" w:hAnsi="Times New Roman"/>
          <w:sz w:val="24"/>
          <w:szCs w:val="24"/>
        </w:rPr>
        <w:t xml:space="preserve">when </w:t>
      </w:r>
      <w:r w:rsidR="00237769" w:rsidRPr="00D813D7">
        <w:rPr>
          <w:rFonts w:ascii="Times New Roman" w:hAnsi="Times New Roman"/>
          <w:sz w:val="24"/>
          <w:szCs w:val="24"/>
        </w:rPr>
        <w:t xml:space="preserve">the </w:t>
      </w:r>
      <w:r w:rsidR="0078784A" w:rsidRPr="00D813D7">
        <w:rPr>
          <w:rFonts w:ascii="Times New Roman" w:hAnsi="Times New Roman"/>
          <w:sz w:val="24"/>
          <w:szCs w:val="24"/>
        </w:rPr>
        <w:t xml:space="preserve">Company </w:t>
      </w:r>
      <w:r w:rsidR="00237769" w:rsidRPr="00D813D7">
        <w:rPr>
          <w:rFonts w:ascii="Times New Roman" w:hAnsi="Times New Roman"/>
          <w:sz w:val="24"/>
          <w:szCs w:val="24"/>
        </w:rPr>
        <w:t xml:space="preserve">is selling </w:t>
      </w:r>
      <w:r w:rsidRPr="00D813D7">
        <w:rPr>
          <w:rFonts w:ascii="Times New Roman" w:hAnsi="Times New Roman"/>
          <w:sz w:val="24"/>
          <w:szCs w:val="24"/>
        </w:rPr>
        <w:t xml:space="preserve">(rather than buying) </w:t>
      </w:r>
      <w:r w:rsidR="00237769" w:rsidRPr="00D813D7">
        <w:rPr>
          <w:rFonts w:ascii="Times New Roman" w:hAnsi="Times New Roman"/>
          <w:sz w:val="24"/>
          <w:szCs w:val="24"/>
        </w:rPr>
        <w:t xml:space="preserve">power, the customer’s departure may increase </w:t>
      </w:r>
      <w:r w:rsidRPr="00D813D7">
        <w:rPr>
          <w:rFonts w:ascii="Times New Roman" w:hAnsi="Times New Roman"/>
          <w:sz w:val="24"/>
          <w:szCs w:val="24"/>
        </w:rPr>
        <w:t xml:space="preserve">revenue from </w:t>
      </w:r>
      <w:r w:rsidR="00237769" w:rsidRPr="00D813D7">
        <w:rPr>
          <w:rFonts w:ascii="Times New Roman" w:hAnsi="Times New Roman"/>
          <w:sz w:val="24"/>
          <w:szCs w:val="24"/>
        </w:rPr>
        <w:t xml:space="preserve">market sales </w:t>
      </w:r>
      <w:r w:rsidR="000F1893" w:rsidRPr="00D813D7">
        <w:rPr>
          <w:rFonts w:ascii="Times New Roman" w:hAnsi="Times New Roman"/>
          <w:sz w:val="24"/>
          <w:szCs w:val="24"/>
        </w:rPr>
        <w:t xml:space="preserve">by increasing the </w:t>
      </w:r>
      <w:r w:rsidR="00237769" w:rsidRPr="00D813D7">
        <w:rPr>
          <w:rFonts w:ascii="Times New Roman" w:hAnsi="Times New Roman"/>
          <w:sz w:val="24"/>
          <w:szCs w:val="24"/>
        </w:rPr>
        <w:t>volume</w:t>
      </w:r>
      <w:r w:rsidR="000F1893" w:rsidRPr="00D813D7">
        <w:rPr>
          <w:rFonts w:ascii="Times New Roman" w:hAnsi="Times New Roman"/>
          <w:sz w:val="24"/>
          <w:szCs w:val="24"/>
        </w:rPr>
        <w:t xml:space="preserve"> available for sale</w:t>
      </w:r>
      <w:r w:rsidRPr="00D813D7">
        <w:rPr>
          <w:rFonts w:ascii="Times New Roman" w:hAnsi="Times New Roman"/>
          <w:sz w:val="24"/>
          <w:szCs w:val="24"/>
        </w:rPr>
        <w:t>.</w:t>
      </w:r>
      <w:r w:rsidR="00790224" w:rsidRPr="00D813D7">
        <w:rPr>
          <w:rFonts w:ascii="Times New Roman" w:hAnsi="Times New Roman"/>
          <w:sz w:val="24"/>
          <w:szCs w:val="24"/>
        </w:rPr>
        <w:t xml:space="preserve"> </w:t>
      </w:r>
    </w:p>
    <w:p w:rsidR="00434C6D" w:rsidRPr="00D813D7" w:rsidRDefault="00FC6970" w:rsidP="00434C6D">
      <w:pPr>
        <w:widowControl w:val="0"/>
        <w:spacing w:after="0" w:line="480" w:lineRule="auto"/>
        <w:ind w:left="806" w:hanging="806"/>
        <w:rPr>
          <w:rFonts w:ascii="Times New Roman" w:hAnsi="Times New Roman"/>
          <w:b/>
          <w:sz w:val="24"/>
          <w:szCs w:val="24"/>
        </w:rPr>
      </w:pPr>
      <w:r>
        <w:rPr>
          <w:rFonts w:ascii="Times New Roman" w:hAnsi="Times New Roman"/>
          <w:b/>
          <w:sz w:val="24"/>
          <w:szCs w:val="24"/>
        </w:rPr>
        <w:t>Q:</w:t>
      </w:r>
      <w:r w:rsidR="00434C6D" w:rsidRPr="00D813D7">
        <w:rPr>
          <w:rFonts w:ascii="Times New Roman" w:hAnsi="Times New Roman"/>
          <w:b/>
          <w:sz w:val="24"/>
          <w:szCs w:val="24"/>
        </w:rPr>
        <w:tab/>
        <w:t>How does the Company estimate additional market revenues for purposes of calculating the Stranded Cost Recovery Fee?</w:t>
      </w:r>
    </w:p>
    <w:p w:rsidR="002326ED" w:rsidRPr="00D813D7" w:rsidRDefault="00FC6970" w:rsidP="00FC6970">
      <w:pPr>
        <w:widowControl w:val="0"/>
        <w:spacing w:after="0" w:line="480" w:lineRule="auto"/>
        <w:ind w:left="806" w:hanging="806"/>
        <w:rPr>
          <w:rFonts w:ascii="Times New Roman" w:hAnsi="Times New Roman"/>
          <w:sz w:val="24"/>
          <w:szCs w:val="24"/>
        </w:rPr>
      </w:pPr>
      <w:r>
        <w:rPr>
          <w:rFonts w:ascii="Times New Roman" w:hAnsi="Times New Roman"/>
          <w:sz w:val="24"/>
          <w:szCs w:val="24"/>
        </w:rPr>
        <w:t>A:</w:t>
      </w:r>
      <w:r w:rsidR="00434C6D" w:rsidRPr="00D813D7">
        <w:rPr>
          <w:rFonts w:ascii="Times New Roman" w:hAnsi="Times New Roman"/>
          <w:sz w:val="24"/>
          <w:szCs w:val="24"/>
        </w:rPr>
        <w:tab/>
        <w:t>The Company does not explicitly consider any ability to collect additional margin from market sales as part of its analysis of stranded costs.</w:t>
      </w:r>
    </w:p>
    <w:p w:rsidR="000F1893" w:rsidRPr="00D813D7" w:rsidRDefault="00FC6970" w:rsidP="000F1893">
      <w:pPr>
        <w:widowControl w:val="0"/>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sidR="000F1893" w:rsidRPr="00D813D7">
        <w:rPr>
          <w:rFonts w:ascii="Times New Roman" w:hAnsi="Times New Roman"/>
          <w:b/>
          <w:sz w:val="24"/>
          <w:szCs w:val="24"/>
        </w:rPr>
        <w:tab/>
      </w:r>
      <w:r w:rsidR="00A52096" w:rsidRPr="00D813D7">
        <w:rPr>
          <w:rFonts w:ascii="Times New Roman" w:hAnsi="Times New Roman"/>
          <w:b/>
          <w:sz w:val="24"/>
          <w:szCs w:val="24"/>
        </w:rPr>
        <w:t>Once the availability of</w:t>
      </w:r>
      <w:r w:rsidR="000F1893" w:rsidRPr="00D813D7">
        <w:rPr>
          <w:rFonts w:ascii="Times New Roman" w:hAnsi="Times New Roman"/>
          <w:b/>
          <w:sz w:val="24"/>
          <w:szCs w:val="24"/>
        </w:rPr>
        <w:t xml:space="preserve"> excess generation for market sales </w:t>
      </w:r>
      <w:r w:rsidR="00A52096" w:rsidRPr="00D813D7">
        <w:rPr>
          <w:rFonts w:ascii="Times New Roman" w:hAnsi="Times New Roman"/>
          <w:b/>
          <w:sz w:val="24"/>
          <w:szCs w:val="24"/>
        </w:rPr>
        <w:t>is determined, how would the utility ca</w:t>
      </w:r>
      <w:r w:rsidR="000F1893" w:rsidRPr="00D813D7">
        <w:rPr>
          <w:rFonts w:ascii="Times New Roman" w:hAnsi="Times New Roman"/>
          <w:b/>
          <w:sz w:val="24"/>
          <w:szCs w:val="24"/>
        </w:rPr>
        <w:t>pture additional market revenue to offset fixed cost recovery?</w:t>
      </w:r>
    </w:p>
    <w:p w:rsidR="00807D29" w:rsidRPr="00D813D7" w:rsidRDefault="00FC6970" w:rsidP="00FC697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0F1893" w:rsidRPr="00D813D7">
        <w:rPr>
          <w:rFonts w:ascii="Times New Roman" w:hAnsi="Times New Roman"/>
          <w:sz w:val="24"/>
          <w:szCs w:val="24"/>
        </w:rPr>
        <w:tab/>
      </w:r>
      <w:r w:rsidR="00685ACE" w:rsidRPr="00D813D7">
        <w:rPr>
          <w:rFonts w:ascii="Times New Roman" w:hAnsi="Times New Roman"/>
          <w:sz w:val="24"/>
          <w:szCs w:val="24"/>
        </w:rPr>
        <w:t xml:space="preserve">Once a utility determines that it has generation </w:t>
      </w:r>
      <w:r w:rsidR="000F0EEC" w:rsidRPr="00D813D7">
        <w:rPr>
          <w:rFonts w:ascii="Times New Roman" w:hAnsi="Times New Roman"/>
          <w:sz w:val="24"/>
          <w:szCs w:val="24"/>
        </w:rPr>
        <w:t>in excess of</w:t>
      </w:r>
      <w:r w:rsidR="00685ACE" w:rsidRPr="00D813D7">
        <w:rPr>
          <w:rFonts w:ascii="Times New Roman" w:hAnsi="Times New Roman"/>
          <w:sz w:val="24"/>
          <w:szCs w:val="24"/>
        </w:rPr>
        <w:t xml:space="preserve"> its needs, the decision to sell is based on the </w:t>
      </w:r>
      <w:r w:rsidR="00A52096" w:rsidRPr="00D813D7">
        <w:rPr>
          <w:rFonts w:ascii="Times New Roman" w:hAnsi="Times New Roman"/>
          <w:sz w:val="24"/>
          <w:szCs w:val="24"/>
        </w:rPr>
        <w:t>prevailing market price</w:t>
      </w:r>
      <w:r w:rsidR="00685ACE" w:rsidRPr="00D813D7">
        <w:rPr>
          <w:rFonts w:ascii="Times New Roman" w:hAnsi="Times New Roman"/>
          <w:sz w:val="24"/>
          <w:szCs w:val="24"/>
        </w:rPr>
        <w:t xml:space="preserve"> compared to the utility’</w:t>
      </w:r>
      <w:r w:rsidR="00807D29" w:rsidRPr="00D813D7">
        <w:rPr>
          <w:rFonts w:ascii="Times New Roman" w:hAnsi="Times New Roman"/>
          <w:sz w:val="24"/>
          <w:szCs w:val="24"/>
        </w:rPr>
        <w:t>s incremental</w:t>
      </w:r>
      <w:r w:rsidR="00685ACE" w:rsidRPr="00D813D7">
        <w:rPr>
          <w:rFonts w:ascii="Times New Roman" w:hAnsi="Times New Roman"/>
          <w:sz w:val="24"/>
          <w:szCs w:val="24"/>
        </w:rPr>
        <w:t xml:space="preserve"> cost of generation.</w:t>
      </w:r>
      <w:r w:rsidR="00790224" w:rsidRPr="00D813D7">
        <w:rPr>
          <w:rFonts w:ascii="Times New Roman" w:hAnsi="Times New Roman"/>
          <w:sz w:val="24"/>
          <w:szCs w:val="24"/>
        </w:rPr>
        <w:t xml:space="preserve"> </w:t>
      </w:r>
      <w:r w:rsidR="00E44F81">
        <w:rPr>
          <w:rFonts w:ascii="Times New Roman" w:hAnsi="Times New Roman"/>
          <w:sz w:val="24"/>
          <w:szCs w:val="24"/>
        </w:rPr>
        <w:t xml:space="preserve"> </w:t>
      </w:r>
      <w:r w:rsidR="00807D29" w:rsidRPr="00D813D7">
        <w:rPr>
          <w:rFonts w:ascii="Times New Roman" w:hAnsi="Times New Roman"/>
          <w:sz w:val="24"/>
          <w:szCs w:val="24"/>
        </w:rPr>
        <w:t>Some generating units have higher variable costs than others, with all the units in operation at the same time contributing to incremental cost.</w:t>
      </w:r>
      <w:r w:rsidR="00790224" w:rsidRPr="00D813D7">
        <w:rPr>
          <w:rFonts w:ascii="Times New Roman" w:hAnsi="Times New Roman"/>
          <w:sz w:val="24"/>
          <w:szCs w:val="24"/>
        </w:rPr>
        <w:t xml:space="preserve"> </w:t>
      </w:r>
    </w:p>
    <w:p w:rsidR="00F1713A" w:rsidRPr="00D813D7" w:rsidRDefault="00FC6970" w:rsidP="00D45D76">
      <w:pPr>
        <w:widowControl w:val="0"/>
        <w:spacing w:after="0" w:line="480" w:lineRule="auto"/>
        <w:ind w:left="720"/>
        <w:rPr>
          <w:rFonts w:ascii="Times New Roman" w:hAnsi="Times New Roman"/>
          <w:sz w:val="24"/>
          <w:szCs w:val="24"/>
        </w:rPr>
      </w:pPr>
      <w:r>
        <w:rPr>
          <w:rFonts w:ascii="Times New Roman" w:hAnsi="Times New Roman"/>
          <w:sz w:val="24"/>
          <w:szCs w:val="24"/>
        </w:rPr>
        <w:tab/>
      </w:r>
      <w:r w:rsidR="00F1713A" w:rsidRPr="00D813D7">
        <w:rPr>
          <w:rFonts w:ascii="Times New Roman" w:hAnsi="Times New Roman"/>
          <w:sz w:val="24"/>
          <w:szCs w:val="24"/>
        </w:rPr>
        <w:t>When incremental cost is less than market price, t</w:t>
      </w:r>
      <w:r w:rsidR="00807D29" w:rsidRPr="00D813D7">
        <w:rPr>
          <w:rFonts w:ascii="Times New Roman" w:hAnsi="Times New Roman"/>
          <w:sz w:val="24"/>
          <w:szCs w:val="24"/>
        </w:rPr>
        <w:t>he ut</w:t>
      </w:r>
      <w:r w:rsidR="00F1713A" w:rsidRPr="00D813D7">
        <w:rPr>
          <w:rFonts w:ascii="Times New Roman" w:hAnsi="Times New Roman"/>
          <w:sz w:val="24"/>
          <w:szCs w:val="24"/>
        </w:rPr>
        <w:t xml:space="preserve">ility may decide to </w:t>
      </w:r>
      <w:r w:rsidR="00807D29" w:rsidRPr="00D813D7">
        <w:rPr>
          <w:rFonts w:ascii="Times New Roman" w:hAnsi="Times New Roman"/>
          <w:sz w:val="24"/>
          <w:szCs w:val="24"/>
        </w:rPr>
        <w:t>sell excess generation</w:t>
      </w:r>
      <w:r w:rsidR="00F1713A" w:rsidRPr="00D813D7">
        <w:rPr>
          <w:rFonts w:ascii="Times New Roman" w:hAnsi="Times New Roman"/>
          <w:sz w:val="24"/>
          <w:szCs w:val="24"/>
        </w:rPr>
        <w:t xml:space="preserve"> to generate </w:t>
      </w:r>
      <w:r w:rsidR="00807D29" w:rsidRPr="00D813D7">
        <w:rPr>
          <w:rFonts w:ascii="Times New Roman" w:hAnsi="Times New Roman"/>
          <w:sz w:val="24"/>
          <w:szCs w:val="24"/>
        </w:rPr>
        <w:t xml:space="preserve">revenue </w:t>
      </w:r>
      <w:r w:rsidR="00F1713A" w:rsidRPr="00D813D7">
        <w:rPr>
          <w:rFonts w:ascii="Times New Roman" w:hAnsi="Times New Roman"/>
          <w:sz w:val="24"/>
          <w:szCs w:val="24"/>
        </w:rPr>
        <w:t>(</w:t>
      </w:r>
      <w:r w:rsidR="005D739B" w:rsidRPr="00D813D7">
        <w:rPr>
          <w:rFonts w:ascii="Times New Roman" w:hAnsi="Times New Roman"/>
          <w:sz w:val="24"/>
          <w:szCs w:val="24"/>
        </w:rPr>
        <w:t xml:space="preserve">where revenue is equal to the energy </w:t>
      </w:r>
      <w:r w:rsidR="00F1713A" w:rsidRPr="00D813D7">
        <w:rPr>
          <w:rFonts w:ascii="Times New Roman" w:hAnsi="Times New Roman"/>
          <w:sz w:val="24"/>
          <w:szCs w:val="24"/>
        </w:rPr>
        <w:t xml:space="preserve">market </w:t>
      </w:r>
      <w:r w:rsidR="00807D29" w:rsidRPr="00D813D7">
        <w:rPr>
          <w:rFonts w:ascii="Times New Roman" w:hAnsi="Times New Roman"/>
          <w:sz w:val="24"/>
          <w:szCs w:val="24"/>
        </w:rPr>
        <w:t xml:space="preserve">price </w:t>
      </w:r>
      <w:r w:rsidR="00D1693D" w:rsidRPr="00D813D7">
        <w:rPr>
          <w:rFonts w:ascii="Times New Roman" w:hAnsi="Times New Roman"/>
          <w:sz w:val="24"/>
          <w:szCs w:val="24"/>
        </w:rPr>
        <w:t xml:space="preserve">multiplied by the </w:t>
      </w:r>
      <w:r w:rsidR="00807D29" w:rsidRPr="00D813D7">
        <w:rPr>
          <w:rFonts w:ascii="Times New Roman" w:hAnsi="Times New Roman"/>
          <w:sz w:val="24"/>
          <w:szCs w:val="24"/>
        </w:rPr>
        <w:t>volume</w:t>
      </w:r>
      <w:r w:rsidR="00F1713A" w:rsidRPr="00D813D7">
        <w:rPr>
          <w:rFonts w:ascii="Times New Roman" w:hAnsi="Times New Roman"/>
          <w:sz w:val="24"/>
          <w:szCs w:val="24"/>
        </w:rPr>
        <w:t xml:space="preserve"> sold).</w:t>
      </w:r>
      <w:r w:rsidR="00790224" w:rsidRPr="00D813D7">
        <w:rPr>
          <w:rFonts w:ascii="Times New Roman" w:hAnsi="Times New Roman"/>
          <w:sz w:val="24"/>
          <w:szCs w:val="24"/>
        </w:rPr>
        <w:t xml:space="preserve"> </w:t>
      </w:r>
      <w:r w:rsidR="007738CF">
        <w:rPr>
          <w:rFonts w:ascii="Times New Roman" w:hAnsi="Times New Roman"/>
          <w:sz w:val="24"/>
          <w:szCs w:val="24"/>
        </w:rPr>
        <w:t xml:space="preserve"> </w:t>
      </w:r>
      <w:r w:rsidR="00F1713A" w:rsidRPr="00D813D7">
        <w:rPr>
          <w:rFonts w:ascii="Times New Roman" w:hAnsi="Times New Roman"/>
          <w:sz w:val="24"/>
          <w:szCs w:val="24"/>
        </w:rPr>
        <w:t>So</w:t>
      </w:r>
      <w:r w:rsidR="00807D29" w:rsidRPr="00D813D7">
        <w:rPr>
          <w:rFonts w:ascii="Times New Roman" w:hAnsi="Times New Roman"/>
          <w:sz w:val="24"/>
          <w:szCs w:val="24"/>
        </w:rPr>
        <w:t xml:space="preserve">me of </w:t>
      </w:r>
      <w:r w:rsidR="00F1713A" w:rsidRPr="00D813D7">
        <w:rPr>
          <w:rFonts w:ascii="Times New Roman" w:hAnsi="Times New Roman"/>
          <w:sz w:val="24"/>
          <w:szCs w:val="24"/>
        </w:rPr>
        <w:t xml:space="preserve">this market revenue </w:t>
      </w:r>
      <w:r w:rsidR="00807D29" w:rsidRPr="00D813D7">
        <w:rPr>
          <w:rFonts w:ascii="Times New Roman" w:hAnsi="Times New Roman"/>
          <w:sz w:val="24"/>
          <w:szCs w:val="24"/>
        </w:rPr>
        <w:t>pays for the incremental cost to gene</w:t>
      </w:r>
      <w:r w:rsidR="00156349" w:rsidRPr="00D813D7">
        <w:rPr>
          <w:rFonts w:ascii="Times New Roman" w:hAnsi="Times New Roman"/>
          <w:sz w:val="24"/>
          <w:szCs w:val="24"/>
        </w:rPr>
        <w:t>rate</w:t>
      </w:r>
      <w:r w:rsidR="00F1713A" w:rsidRPr="00D813D7">
        <w:rPr>
          <w:rFonts w:ascii="Times New Roman" w:hAnsi="Times New Roman"/>
          <w:sz w:val="24"/>
          <w:szCs w:val="24"/>
        </w:rPr>
        <w:t>, and t</w:t>
      </w:r>
      <w:r w:rsidR="00156349" w:rsidRPr="00D813D7">
        <w:rPr>
          <w:rFonts w:ascii="Times New Roman" w:hAnsi="Times New Roman"/>
          <w:sz w:val="24"/>
          <w:szCs w:val="24"/>
        </w:rPr>
        <w:t>he remaining revenue is es</w:t>
      </w:r>
      <w:r w:rsidR="00F1713A" w:rsidRPr="00D813D7">
        <w:rPr>
          <w:rFonts w:ascii="Times New Roman" w:hAnsi="Times New Roman"/>
          <w:sz w:val="24"/>
          <w:szCs w:val="24"/>
        </w:rPr>
        <w:t>sentially profit on the deal that</w:t>
      </w:r>
      <w:r w:rsidR="00156349" w:rsidRPr="00D813D7">
        <w:rPr>
          <w:rFonts w:ascii="Times New Roman" w:hAnsi="Times New Roman"/>
          <w:sz w:val="24"/>
          <w:szCs w:val="24"/>
        </w:rPr>
        <w:t xml:space="preserve"> can be used to offset fixed costs.</w:t>
      </w:r>
    </w:p>
    <w:p w:rsidR="00F1713A" w:rsidRPr="00D813D7" w:rsidRDefault="00D45D76" w:rsidP="007738CF">
      <w:pPr>
        <w:widowControl w:val="0"/>
        <w:spacing w:after="0" w:line="480" w:lineRule="auto"/>
        <w:ind w:left="720"/>
        <w:rPr>
          <w:rFonts w:ascii="Times New Roman" w:hAnsi="Times New Roman"/>
          <w:sz w:val="24"/>
          <w:szCs w:val="24"/>
        </w:rPr>
      </w:pPr>
      <w:r>
        <w:rPr>
          <w:rFonts w:ascii="Times New Roman" w:hAnsi="Times New Roman"/>
          <w:sz w:val="24"/>
          <w:szCs w:val="24"/>
        </w:rPr>
        <w:tab/>
      </w:r>
      <w:r w:rsidR="00F1713A" w:rsidRPr="00D813D7">
        <w:rPr>
          <w:rFonts w:ascii="Times New Roman" w:hAnsi="Times New Roman"/>
          <w:sz w:val="24"/>
          <w:szCs w:val="24"/>
        </w:rPr>
        <w:t>If incremental costs are equal to the market price, the utility may generate to sell into the market, but incremental revenue would exactly offset incremental cost, leaving net power costs unchanged</w:t>
      </w:r>
      <w:r w:rsidR="00EE1B6F" w:rsidRPr="00D813D7">
        <w:rPr>
          <w:rFonts w:ascii="Times New Roman" w:hAnsi="Times New Roman"/>
          <w:sz w:val="24"/>
          <w:szCs w:val="24"/>
        </w:rPr>
        <w:t>.</w:t>
      </w:r>
    </w:p>
    <w:p w:rsidR="002326ED" w:rsidRPr="00D813D7" w:rsidRDefault="007738CF" w:rsidP="002326ED">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2326ED" w:rsidRPr="00D813D7">
        <w:rPr>
          <w:rFonts w:ascii="Times New Roman" w:hAnsi="Times New Roman"/>
          <w:b/>
          <w:sz w:val="24"/>
          <w:szCs w:val="24"/>
        </w:rPr>
        <w:tab/>
        <w:t xml:space="preserve">Are there circumstances where a customer leaving the system does </w:t>
      </w:r>
      <w:r w:rsidR="002326ED" w:rsidRPr="00D813D7">
        <w:rPr>
          <w:rFonts w:ascii="Times New Roman" w:hAnsi="Times New Roman"/>
          <w:b/>
          <w:i/>
          <w:sz w:val="24"/>
          <w:szCs w:val="24"/>
        </w:rPr>
        <w:t>not</w:t>
      </w:r>
      <w:r w:rsidR="002326ED" w:rsidRPr="00D813D7">
        <w:rPr>
          <w:rFonts w:ascii="Times New Roman" w:hAnsi="Times New Roman"/>
          <w:b/>
          <w:sz w:val="24"/>
          <w:szCs w:val="24"/>
        </w:rPr>
        <w:t xml:space="preserve"> create opportunities for the original provider to </w:t>
      </w:r>
      <w:r w:rsidR="00F1713A" w:rsidRPr="00D813D7">
        <w:rPr>
          <w:rFonts w:ascii="Times New Roman" w:hAnsi="Times New Roman"/>
          <w:b/>
          <w:sz w:val="24"/>
          <w:szCs w:val="24"/>
        </w:rPr>
        <w:t>make market sales but still be able to of</w:t>
      </w:r>
      <w:r w:rsidR="002326ED" w:rsidRPr="00D813D7">
        <w:rPr>
          <w:rFonts w:ascii="Times New Roman" w:hAnsi="Times New Roman"/>
          <w:b/>
          <w:sz w:val="24"/>
          <w:szCs w:val="24"/>
        </w:rPr>
        <w:t>fset fixed costs?</w:t>
      </w:r>
    </w:p>
    <w:p w:rsidR="005068DD" w:rsidRPr="00D813D7" w:rsidRDefault="007738CF" w:rsidP="004E2177">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326ED" w:rsidRPr="00D813D7">
        <w:rPr>
          <w:rFonts w:ascii="Times New Roman" w:hAnsi="Times New Roman"/>
          <w:sz w:val="24"/>
          <w:szCs w:val="24"/>
        </w:rPr>
        <w:tab/>
      </w:r>
      <w:r w:rsidR="00807D29" w:rsidRPr="00D813D7">
        <w:rPr>
          <w:rFonts w:ascii="Times New Roman" w:hAnsi="Times New Roman"/>
          <w:sz w:val="24"/>
          <w:szCs w:val="24"/>
        </w:rPr>
        <w:t xml:space="preserve">Yes, </w:t>
      </w:r>
      <w:r w:rsidR="00F1713A" w:rsidRPr="00D813D7">
        <w:rPr>
          <w:rFonts w:ascii="Times New Roman" w:hAnsi="Times New Roman"/>
          <w:sz w:val="24"/>
          <w:szCs w:val="24"/>
        </w:rPr>
        <w:t xml:space="preserve">when </w:t>
      </w:r>
      <w:r w:rsidR="00807D29" w:rsidRPr="00D813D7">
        <w:rPr>
          <w:rFonts w:ascii="Times New Roman" w:hAnsi="Times New Roman"/>
          <w:sz w:val="24"/>
          <w:szCs w:val="24"/>
        </w:rPr>
        <w:t>incremental cost is greater than the market price, then the utility would elect not</w:t>
      </w:r>
      <w:r w:rsidR="00D1693D" w:rsidRPr="00D813D7">
        <w:rPr>
          <w:rFonts w:ascii="Times New Roman" w:hAnsi="Times New Roman"/>
          <w:sz w:val="24"/>
          <w:szCs w:val="24"/>
        </w:rPr>
        <w:t xml:space="preserve"> to</w:t>
      </w:r>
      <w:r w:rsidR="00807D29" w:rsidRPr="00D813D7">
        <w:rPr>
          <w:rFonts w:ascii="Times New Roman" w:hAnsi="Times New Roman"/>
          <w:sz w:val="24"/>
          <w:szCs w:val="24"/>
        </w:rPr>
        <w:t xml:space="preserve"> generate to make a sale</w:t>
      </w:r>
      <w:r w:rsidR="00D1693D" w:rsidRPr="00D813D7">
        <w:rPr>
          <w:rFonts w:ascii="Times New Roman" w:hAnsi="Times New Roman"/>
          <w:sz w:val="24"/>
          <w:szCs w:val="24"/>
        </w:rPr>
        <w:t>,</w:t>
      </w:r>
      <w:r w:rsidR="00807D29" w:rsidRPr="00D813D7">
        <w:rPr>
          <w:rFonts w:ascii="Times New Roman" w:hAnsi="Times New Roman"/>
          <w:sz w:val="24"/>
          <w:szCs w:val="24"/>
        </w:rPr>
        <w:t xml:space="preserve"> but instead</w:t>
      </w:r>
      <w:r w:rsidR="00D1693D" w:rsidRPr="00D813D7">
        <w:rPr>
          <w:rFonts w:ascii="Times New Roman" w:hAnsi="Times New Roman"/>
          <w:sz w:val="24"/>
          <w:szCs w:val="24"/>
        </w:rPr>
        <w:t xml:space="preserve"> to</w:t>
      </w:r>
      <w:r w:rsidR="00807D29" w:rsidRPr="00D813D7">
        <w:rPr>
          <w:rFonts w:ascii="Times New Roman" w:hAnsi="Times New Roman"/>
          <w:sz w:val="24"/>
          <w:szCs w:val="24"/>
        </w:rPr>
        <w:t xml:space="preserve"> reduce generation by the amount of the departing customer’s load.</w:t>
      </w:r>
      <w:r w:rsidR="00790224" w:rsidRPr="00D813D7">
        <w:rPr>
          <w:rFonts w:ascii="Times New Roman" w:hAnsi="Times New Roman"/>
          <w:sz w:val="24"/>
          <w:szCs w:val="24"/>
        </w:rPr>
        <w:t xml:space="preserve"> </w:t>
      </w:r>
      <w:r w:rsidR="004E2177">
        <w:rPr>
          <w:rFonts w:ascii="Times New Roman" w:hAnsi="Times New Roman"/>
          <w:sz w:val="24"/>
          <w:szCs w:val="24"/>
        </w:rPr>
        <w:t xml:space="preserve"> </w:t>
      </w:r>
      <w:r w:rsidR="00F1713A" w:rsidRPr="00D813D7">
        <w:rPr>
          <w:rFonts w:ascii="Times New Roman" w:hAnsi="Times New Roman"/>
          <w:sz w:val="24"/>
          <w:szCs w:val="24"/>
        </w:rPr>
        <w:t>This would reduce total generation and net power costs would decrease.</w:t>
      </w:r>
    </w:p>
    <w:p w:rsidR="00F52911" w:rsidRPr="00D813D7" w:rsidRDefault="004E2177" w:rsidP="00F52911">
      <w:pPr>
        <w:widowControl w:val="0"/>
        <w:spacing w:after="0" w:line="480" w:lineRule="auto"/>
        <w:ind w:left="806" w:hanging="806"/>
        <w:rPr>
          <w:rFonts w:ascii="Times New Roman" w:hAnsi="Times New Roman"/>
          <w:b/>
          <w:sz w:val="24"/>
          <w:szCs w:val="24"/>
        </w:rPr>
      </w:pPr>
      <w:r>
        <w:rPr>
          <w:rFonts w:ascii="Times New Roman" w:hAnsi="Times New Roman"/>
          <w:b/>
          <w:sz w:val="24"/>
          <w:szCs w:val="24"/>
        </w:rPr>
        <w:t>Q:</w:t>
      </w:r>
      <w:r w:rsidR="00F52911" w:rsidRPr="00D813D7">
        <w:rPr>
          <w:rFonts w:ascii="Times New Roman" w:hAnsi="Times New Roman"/>
          <w:b/>
          <w:sz w:val="24"/>
          <w:szCs w:val="24"/>
        </w:rPr>
        <w:tab/>
        <w:t>Is it possible to estimate such margin and resulting increases in market revenue that</w:t>
      </w:r>
      <w:r w:rsidR="00D1693D" w:rsidRPr="00D813D7">
        <w:rPr>
          <w:rFonts w:ascii="Times New Roman" w:hAnsi="Times New Roman"/>
          <w:b/>
          <w:sz w:val="24"/>
          <w:szCs w:val="24"/>
        </w:rPr>
        <w:t xml:space="preserve"> would</w:t>
      </w:r>
      <w:r w:rsidR="00F52911" w:rsidRPr="00D813D7">
        <w:rPr>
          <w:rFonts w:ascii="Times New Roman" w:hAnsi="Times New Roman"/>
          <w:b/>
          <w:sz w:val="24"/>
          <w:szCs w:val="24"/>
        </w:rPr>
        <w:t xml:space="preserve"> contribute toward fixed cost recovery?</w:t>
      </w:r>
    </w:p>
    <w:p w:rsidR="0078784A" w:rsidRPr="00D813D7" w:rsidRDefault="004E2177" w:rsidP="004E2177">
      <w:pPr>
        <w:widowControl w:val="0"/>
        <w:spacing w:after="0" w:line="480" w:lineRule="auto"/>
        <w:ind w:left="806" w:hanging="806"/>
        <w:rPr>
          <w:rFonts w:ascii="Times New Roman" w:hAnsi="Times New Roman"/>
          <w:sz w:val="24"/>
          <w:szCs w:val="24"/>
        </w:rPr>
      </w:pPr>
      <w:r>
        <w:rPr>
          <w:rFonts w:ascii="Times New Roman" w:hAnsi="Times New Roman"/>
          <w:sz w:val="24"/>
          <w:szCs w:val="24"/>
        </w:rPr>
        <w:t>A:</w:t>
      </w:r>
      <w:r w:rsidR="00F52911" w:rsidRPr="00D813D7">
        <w:rPr>
          <w:rFonts w:ascii="Times New Roman" w:hAnsi="Times New Roman"/>
          <w:sz w:val="24"/>
          <w:szCs w:val="24"/>
        </w:rPr>
        <w:tab/>
        <w:t xml:space="preserve">Yes, </w:t>
      </w:r>
      <w:r w:rsidR="00D1693D" w:rsidRPr="00D813D7">
        <w:rPr>
          <w:rFonts w:ascii="Times New Roman" w:hAnsi="Times New Roman"/>
          <w:sz w:val="24"/>
          <w:szCs w:val="24"/>
        </w:rPr>
        <w:t xml:space="preserve">this can be accomplished </w:t>
      </w:r>
      <w:r w:rsidR="00F52911" w:rsidRPr="00D813D7">
        <w:rPr>
          <w:rFonts w:ascii="Times New Roman" w:hAnsi="Times New Roman"/>
          <w:sz w:val="24"/>
          <w:szCs w:val="24"/>
        </w:rPr>
        <w:t xml:space="preserve">using sophisticated models that simulate and optimize utility </w:t>
      </w:r>
      <w:r w:rsidR="00F52911" w:rsidRPr="00D813D7">
        <w:rPr>
          <w:rFonts w:ascii="Times New Roman" w:hAnsi="Times New Roman"/>
          <w:sz w:val="24"/>
          <w:szCs w:val="24"/>
        </w:rPr>
        <w:lastRenderedPageBreak/>
        <w:t xml:space="preserve">or regional generation dispatch. </w:t>
      </w:r>
      <w:r>
        <w:rPr>
          <w:rFonts w:ascii="Times New Roman" w:hAnsi="Times New Roman"/>
          <w:sz w:val="24"/>
          <w:szCs w:val="24"/>
        </w:rPr>
        <w:t xml:space="preserve"> </w:t>
      </w:r>
      <w:r w:rsidR="00F52911" w:rsidRPr="00601484">
        <w:rPr>
          <w:rFonts w:ascii="Times New Roman" w:hAnsi="Times New Roman"/>
          <w:sz w:val="24"/>
          <w:szCs w:val="24"/>
        </w:rPr>
        <w:t xml:space="preserve">PSE </w:t>
      </w:r>
      <w:r w:rsidR="00D1693D" w:rsidRPr="00601484">
        <w:rPr>
          <w:rFonts w:ascii="Times New Roman" w:hAnsi="Times New Roman"/>
          <w:sz w:val="24"/>
          <w:szCs w:val="24"/>
        </w:rPr>
        <w:t xml:space="preserve">presented this type of analysis </w:t>
      </w:r>
      <w:r w:rsidR="00F52911" w:rsidRPr="00601484">
        <w:rPr>
          <w:rFonts w:ascii="Times New Roman" w:hAnsi="Times New Roman"/>
          <w:sz w:val="24"/>
          <w:szCs w:val="24"/>
        </w:rPr>
        <w:t xml:space="preserve">in its </w:t>
      </w:r>
      <w:r w:rsidR="000A3B83" w:rsidRPr="00601484">
        <w:rPr>
          <w:rFonts w:ascii="Times New Roman" w:hAnsi="Times New Roman"/>
          <w:sz w:val="24"/>
          <w:szCs w:val="24"/>
        </w:rPr>
        <w:t>p</w:t>
      </w:r>
      <w:r w:rsidR="00F52911" w:rsidRPr="00601484">
        <w:rPr>
          <w:rFonts w:ascii="Times New Roman" w:hAnsi="Times New Roman"/>
          <w:sz w:val="24"/>
          <w:szCs w:val="24"/>
        </w:rPr>
        <w:t xml:space="preserve">roposed </w:t>
      </w:r>
      <w:r w:rsidR="000A3B83" w:rsidRPr="00601484">
        <w:rPr>
          <w:rFonts w:ascii="Times New Roman" w:hAnsi="Times New Roman"/>
          <w:sz w:val="24"/>
          <w:szCs w:val="24"/>
        </w:rPr>
        <w:t>a</w:t>
      </w:r>
      <w:r w:rsidR="00F52911" w:rsidRPr="00601484">
        <w:rPr>
          <w:rFonts w:ascii="Times New Roman" w:hAnsi="Times New Roman"/>
          <w:sz w:val="24"/>
          <w:szCs w:val="24"/>
        </w:rPr>
        <w:t xml:space="preserve">pproach in </w:t>
      </w:r>
      <w:r w:rsidR="00D1693D" w:rsidRPr="00601484">
        <w:rPr>
          <w:rFonts w:ascii="Times New Roman" w:hAnsi="Times New Roman"/>
          <w:sz w:val="24"/>
          <w:szCs w:val="24"/>
        </w:rPr>
        <w:t>Docket UE-161123</w:t>
      </w:r>
      <w:r w:rsidR="00F52911" w:rsidRPr="00601484">
        <w:rPr>
          <w:rFonts w:ascii="Times New Roman" w:hAnsi="Times New Roman"/>
          <w:sz w:val="24"/>
          <w:szCs w:val="24"/>
        </w:rPr>
        <w:t>,</w:t>
      </w:r>
      <w:r w:rsidR="00D1693D" w:rsidRPr="00601484">
        <w:rPr>
          <w:rFonts w:ascii="Times New Roman" w:hAnsi="Times New Roman"/>
          <w:sz w:val="24"/>
          <w:szCs w:val="24"/>
        </w:rPr>
        <w:t xml:space="preserve"> the aforementioned docket in which PSE p</w:t>
      </w:r>
      <w:r w:rsidRPr="00601484">
        <w:rPr>
          <w:rFonts w:ascii="Times New Roman" w:hAnsi="Times New Roman"/>
          <w:sz w:val="24"/>
          <w:szCs w:val="24"/>
        </w:rPr>
        <w:t>roposed a new tariff</w:t>
      </w:r>
      <w:r w:rsidR="00D1693D" w:rsidRPr="00601484">
        <w:rPr>
          <w:rFonts w:ascii="Times New Roman" w:hAnsi="Times New Roman"/>
          <w:sz w:val="24"/>
          <w:szCs w:val="24"/>
        </w:rPr>
        <w:t xml:space="preserve"> </w:t>
      </w:r>
      <w:r w:rsidR="00F52911" w:rsidRPr="00601484">
        <w:rPr>
          <w:rFonts w:ascii="Times New Roman" w:hAnsi="Times New Roman"/>
          <w:sz w:val="24"/>
          <w:szCs w:val="24"/>
        </w:rPr>
        <w:t>to allow large customers to seek generation service from alternative suppliers.</w:t>
      </w:r>
      <w:r w:rsidR="004F5D3B" w:rsidRPr="00D813D7">
        <w:rPr>
          <w:rFonts w:ascii="Times New Roman" w:hAnsi="Times New Roman"/>
          <w:sz w:val="24"/>
          <w:szCs w:val="24"/>
        </w:rPr>
        <w:t xml:space="preserve"> </w:t>
      </w:r>
      <w:r>
        <w:rPr>
          <w:rFonts w:ascii="Times New Roman" w:hAnsi="Times New Roman"/>
          <w:sz w:val="24"/>
          <w:szCs w:val="24"/>
        </w:rPr>
        <w:t xml:space="preserve"> </w:t>
      </w:r>
      <w:r w:rsidR="00362706" w:rsidRPr="00D813D7">
        <w:rPr>
          <w:rFonts w:ascii="Times New Roman" w:hAnsi="Times New Roman"/>
          <w:sz w:val="24"/>
          <w:szCs w:val="24"/>
        </w:rPr>
        <w:t>Use of</w:t>
      </w:r>
      <w:r w:rsidR="004F5D3B" w:rsidRPr="00D813D7">
        <w:rPr>
          <w:rFonts w:ascii="Times New Roman" w:hAnsi="Times New Roman"/>
          <w:sz w:val="24"/>
          <w:szCs w:val="24"/>
        </w:rPr>
        <w:t xml:space="preserve"> a dispatch model to dispatch its system against a market price and a load curve with and without </w:t>
      </w:r>
      <w:r w:rsidR="00D1693D" w:rsidRPr="00D813D7">
        <w:rPr>
          <w:rFonts w:ascii="Times New Roman" w:hAnsi="Times New Roman"/>
          <w:sz w:val="24"/>
          <w:szCs w:val="24"/>
        </w:rPr>
        <w:t xml:space="preserve">the customer’s </w:t>
      </w:r>
      <w:r w:rsidR="004F5D3B" w:rsidRPr="00D813D7">
        <w:rPr>
          <w:rFonts w:ascii="Times New Roman" w:hAnsi="Times New Roman"/>
          <w:sz w:val="24"/>
          <w:szCs w:val="24"/>
        </w:rPr>
        <w:t>load</w:t>
      </w:r>
      <w:r w:rsidR="00362706" w:rsidRPr="00D813D7">
        <w:rPr>
          <w:rFonts w:ascii="Times New Roman" w:hAnsi="Times New Roman"/>
          <w:sz w:val="24"/>
          <w:szCs w:val="24"/>
        </w:rPr>
        <w:t xml:space="preserve"> is an accepted practice because it</w:t>
      </w:r>
      <w:r w:rsidR="004F5D3B" w:rsidRPr="00D813D7">
        <w:rPr>
          <w:rFonts w:ascii="Times New Roman" w:hAnsi="Times New Roman"/>
          <w:sz w:val="24"/>
          <w:szCs w:val="24"/>
        </w:rPr>
        <w:t xml:space="preserve"> would capture changes in market purchases and sales revenues, including any increased margin on market sales.</w:t>
      </w:r>
      <w:r w:rsidR="0053600B" w:rsidRPr="00D813D7">
        <w:rPr>
          <w:rStyle w:val="FootnoteReference"/>
          <w:rFonts w:ascii="Times New Roman" w:hAnsi="Times New Roman"/>
          <w:sz w:val="24"/>
          <w:szCs w:val="24"/>
        </w:rPr>
        <w:footnoteReference w:id="65"/>
      </w:r>
    </w:p>
    <w:p w:rsidR="0049410F" w:rsidRPr="00D813D7" w:rsidRDefault="004E2177" w:rsidP="00230E20">
      <w:pPr>
        <w:widowControl w:val="0"/>
        <w:spacing w:after="0" w:line="480" w:lineRule="auto"/>
        <w:ind w:left="806" w:hanging="806"/>
        <w:rPr>
          <w:rFonts w:ascii="Times New Roman" w:hAnsi="Times New Roman"/>
          <w:b/>
          <w:sz w:val="24"/>
          <w:szCs w:val="24"/>
        </w:rPr>
      </w:pPr>
      <w:r>
        <w:rPr>
          <w:rFonts w:ascii="Times New Roman" w:hAnsi="Times New Roman"/>
          <w:b/>
          <w:sz w:val="24"/>
          <w:szCs w:val="24"/>
        </w:rPr>
        <w:t>Q:</w:t>
      </w:r>
      <w:r w:rsidR="0049410F" w:rsidRPr="00D813D7">
        <w:rPr>
          <w:rFonts w:ascii="Times New Roman" w:hAnsi="Times New Roman"/>
          <w:b/>
          <w:sz w:val="24"/>
          <w:szCs w:val="24"/>
        </w:rPr>
        <w:tab/>
        <w:t>What limitations are there to market modeling that make</w:t>
      </w:r>
      <w:r w:rsidR="003C0427" w:rsidRPr="00D813D7">
        <w:rPr>
          <w:rFonts w:ascii="Times New Roman" w:hAnsi="Times New Roman"/>
          <w:b/>
          <w:sz w:val="24"/>
          <w:szCs w:val="24"/>
        </w:rPr>
        <w:t>s</w:t>
      </w:r>
      <w:r w:rsidR="0049410F" w:rsidRPr="00D813D7">
        <w:rPr>
          <w:rFonts w:ascii="Times New Roman" w:hAnsi="Times New Roman"/>
          <w:b/>
          <w:sz w:val="24"/>
          <w:szCs w:val="24"/>
        </w:rPr>
        <w:t xml:space="preserve"> it difficult to quantify changes in </w:t>
      </w:r>
      <w:r w:rsidR="0078784A" w:rsidRPr="00D813D7">
        <w:rPr>
          <w:rFonts w:ascii="Times New Roman" w:hAnsi="Times New Roman"/>
          <w:b/>
          <w:sz w:val="24"/>
          <w:szCs w:val="24"/>
        </w:rPr>
        <w:t xml:space="preserve">the Company’s </w:t>
      </w:r>
      <w:r w:rsidR="0049410F" w:rsidRPr="00D813D7">
        <w:rPr>
          <w:rFonts w:ascii="Times New Roman" w:hAnsi="Times New Roman"/>
          <w:b/>
          <w:sz w:val="24"/>
          <w:szCs w:val="24"/>
        </w:rPr>
        <w:t>market revenues and margins</w:t>
      </w:r>
      <w:r w:rsidR="0053600B" w:rsidRPr="00D813D7">
        <w:rPr>
          <w:rFonts w:ascii="Times New Roman" w:hAnsi="Times New Roman"/>
          <w:b/>
          <w:sz w:val="24"/>
          <w:szCs w:val="24"/>
        </w:rPr>
        <w:t xml:space="preserve"> due to departing customers in Walla Walla and Columbia counties</w:t>
      </w:r>
      <w:r w:rsidR="0049410F" w:rsidRPr="00D813D7">
        <w:rPr>
          <w:rFonts w:ascii="Times New Roman" w:hAnsi="Times New Roman"/>
          <w:b/>
          <w:sz w:val="24"/>
          <w:szCs w:val="24"/>
        </w:rPr>
        <w:t>?</w:t>
      </w:r>
    </w:p>
    <w:p w:rsidR="0067514D" w:rsidRPr="00D813D7" w:rsidRDefault="0049410F" w:rsidP="00991BBA">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Pr="00D813D7">
        <w:rPr>
          <w:rFonts w:ascii="Times New Roman" w:hAnsi="Times New Roman"/>
          <w:sz w:val="24"/>
          <w:szCs w:val="24"/>
        </w:rPr>
        <w:tab/>
      </w:r>
      <w:r w:rsidR="0053600B" w:rsidRPr="00D813D7">
        <w:rPr>
          <w:rFonts w:ascii="Times New Roman" w:hAnsi="Times New Roman"/>
          <w:sz w:val="24"/>
          <w:szCs w:val="24"/>
        </w:rPr>
        <w:t>There are t</w:t>
      </w:r>
      <w:r w:rsidR="00CC61E1" w:rsidRPr="00D813D7">
        <w:rPr>
          <w:rFonts w:ascii="Times New Roman" w:hAnsi="Times New Roman"/>
          <w:sz w:val="24"/>
          <w:szCs w:val="24"/>
        </w:rPr>
        <w:t>hree</w:t>
      </w:r>
      <w:r w:rsidR="0053600B" w:rsidRPr="00D813D7">
        <w:rPr>
          <w:rFonts w:ascii="Times New Roman" w:hAnsi="Times New Roman"/>
          <w:sz w:val="24"/>
          <w:szCs w:val="24"/>
        </w:rPr>
        <w:t xml:space="preserve"> primary limitations. </w:t>
      </w:r>
      <w:r w:rsidR="004E2177">
        <w:rPr>
          <w:rFonts w:ascii="Times New Roman" w:hAnsi="Times New Roman"/>
          <w:sz w:val="24"/>
          <w:szCs w:val="24"/>
        </w:rPr>
        <w:t xml:space="preserve"> </w:t>
      </w:r>
      <w:r w:rsidR="0053600B" w:rsidRPr="00D813D7">
        <w:rPr>
          <w:rFonts w:ascii="Times New Roman" w:hAnsi="Times New Roman"/>
          <w:sz w:val="24"/>
          <w:szCs w:val="24"/>
        </w:rPr>
        <w:t xml:space="preserve">First, the calculation and dispatch </w:t>
      </w:r>
      <w:r w:rsidRPr="00D813D7">
        <w:rPr>
          <w:rFonts w:ascii="Times New Roman" w:hAnsi="Times New Roman"/>
          <w:sz w:val="24"/>
          <w:szCs w:val="24"/>
        </w:rPr>
        <w:t>depends on market prices</w:t>
      </w:r>
      <w:r w:rsidR="0053600B" w:rsidRPr="00D813D7">
        <w:rPr>
          <w:rFonts w:ascii="Times New Roman" w:hAnsi="Times New Roman"/>
          <w:sz w:val="24"/>
          <w:szCs w:val="24"/>
        </w:rPr>
        <w:t>,</w:t>
      </w:r>
      <w:r w:rsidRPr="00D813D7">
        <w:rPr>
          <w:rFonts w:ascii="Times New Roman" w:hAnsi="Times New Roman"/>
          <w:sz w:val="24"/>
          <w:szCs w:val="24"/>
        </w:rPr>
        <w:t xml:space="preserve"> which are uncertain</w:t>
      </w:r>
      <w:r w:rsidR="0053600B" w:rsidRPr="00D813D7">
        <w:rPr>
          <w:rFonts w:ascii="Times New Roman" w:hAnsi="Times New Roman"/>
          <w:sz w:val="24"/>
          <w:szCs w:val="24"/>
        </w:rPr>
        <w:t xml:space="preserve">. </w:t>
      </w:r>
      <w:r w:rsidR="004E2177">
        <w:rPr>
          <w:rFonts w:ascii="Times New Roman" w:hAnsi="Times New Roman"/>
          <w:sz w:val="24"/>
          <w:szCs w:val="24"/>
        </w:rPr>
        <w:t xml:space="preserve"> </w:t>
      </w:r>
      <w:r w:rsidR="0053600B" w:rsidRPr="00D813D7">
        <w:rPr>
          <w:rFonts w:ascii="Times New Roman" w:hAnsi="Times New Roman"/>
          <w:sz w:val="24"/>
          <w:szCs w:val="24"/>
        </w:rPr>
        <w:t>Weather patterns can significantly impact market prices.</w:t>
      </w:r>
      <w:r w:rsidR="004E2177">
        <w:rPr>
          <w:rFonts w:ascii="Times New Roman" w:hAnsi="Times New Roman"/>
          <w:sz w:val="24"/>
          <w:szCs w:val="24"/>
        </w:rPr>
        <w:t xml:space="preserve"> </w:t>
      </w:r>
      <w:r w:rsidR="0053600B" w:rsidRPr="00D813D7">
        <w:rPr>
          <w:rFonts w:ascii="Times New Roman" w:hAnsi="Times New Roman"/>
          <w:sz w:val="24"/>
          <w:szCs w:val="24"/>
        </w:rPr>
        <w:t xml:space="preserve"> Drought or unseasonably wet weather will decrease or increase hydro power </w:t>
      </w:r>
      <w:r w:rsidR="007A1234" w:rsidRPr="00D813D7">
        <w:rPr>
          <w:rFonts w:ascii="Times New Roman" w:hAnsi="Times New Roman"/>
          <w:sz w:val="24"/>
          <w:szCs w:val="24"/>
        </w:rPr>
        <w:t>availability</w:t>
      </w:r>
      <w:r w:rsidR="00F907C6">
        <w:rPr>
          <w:rFonts w:ascii="Times New Roman" w:hAnsi="Times New Roman"/>
          <w:sz w:val="24"/>
          <w:szCs w:val="24"/>
        </w:rPr>
        <w:t>,</w:t>
      </w:r>
      <w:r w:rsidR="007A1234" w:rsidRPr="00D813D7">
        <w:rPr>
          <w:rFonts w:ascii="Times New Roman" w:hAnsi="Times New Roman"/>
          <w:sz w:val="24"/>
          <w:szCs w:val="24"/>
        </w:rPr>
        <w:t xml:space="preserve"> </w:t>
      </w:r>
      <w:r w:rsidR="0053600B" w:rsidRPr="00D813D7">
        <w:rPr>
          <w:rFonts w:ascii="Times New Roman" w:hAnsi="Times New Roman"/>
          <w:sz w:val="24"/>
          <w:szCs w:val="24"/>
        </w:rPr>
        <w:t>which can increase or decrease market prices.</w:t>
      </w:r>
      <w:r w:rsidR="00F907C6">
        <w:rPr>
          <w:rFonts w:ascii="Times New Roman" w:hAnsi="Times New Roman"/>
          <w:sz w:val="24"/>
          <w:szCs w:val="24"/>
        </w:rPr>
        <w:t xml:space="preserve"> </w:t>
      </w:r>
      <w:r w:rsidR="0053600B" w:rsidRPr="00D813D7">
        <w:rPr>
          <w:rFonts w:ascii="Times New Roman" w:hAnsi="Times New Roman"/>
          <w:sz w:val="24"/>
          <w:szCs w:val="24"/>
        </w:rPr>
        <w:t xml:space="preserve"> </w:t>
      </w:r>
      <w:r w:rsidR="0053600B" w:rsidRPr="00654ABD">
        <w:rPr>
          <w:rFonts w:ascii="Times New Roman" w:hAnsi="Times New Roman"/>
          <w:sz w:val="24"/>
          <w:szCs w:val="24"/>
        </w:rPr>
        <w:t xml:space="preserve">Weather can also impact fuel prices, as very warm summer weather can </w:t>
      </w:r>
      <w:r w:rsidR="0067514D" w:rsidRPr="00654ABD">
        <w:rPr>
          <w:rFonts w:ascii="Times New Roman" w:hAnsi="Times New Roman"/>
          <w:sz w:val="24"/>
          <w:szCs w:val="24"/>
        </w:rPr>
        <w:t xml:space="preserve">cause periods of exceptional electric demand, </w:t>
      </w:r>
      <w:r w:rsidR="00677F2E" w:rsidRPr="00654ABD">
        <w:rPr>
          <w:rFonts w:ascii="Times New Roman" w:hAnsi="Times New Roman"/>
          <w:sz w:val="24"/>
          <w:szCs w:val="24"/>
        </w:rPr>
        <w:t>which can increase prices. V</w:t>
      </w:r>
      <w:r w:rsidR="0067514D" w:rsidRPr="00654ABD">
        <w:rPr>
          <w:rFonts w:ascii="Times New Roman" w:hAnsi="Times New Roman"/>
          <w:sz w:val="24"/>
          <w:szCs w:val="24"/>
        </w:rPr>
        <w:t>ery cold winter weather can increase natural gas fuel demand and hence natural gas prices, which influence market prices</w:t>
      </w:r>
      <w:r w:rsidR="0067514D" w:rsidRPr="00D813D7">
        <w:rPr>
          <w:rFonts w:ascii="Times New Roman" w:hAnsi="Times New Roman"/>
          <w:sz w:val="24"/>
          <w:szCs w:val="24"/>
        </w:rPr>
        <w:t xml:space="preserve">. </w:t>
      </w:r>
      <w:r w:rsidR="00677F2E">
        <w:rPr>
          <w:rFonts w:ascii="Times New Roman" w:hAnsi="Times New Roman"/>
          <w:sz w:val="24"/>
          <w:szCs w:val="24"/>
        </w:rPr>
        <w:t xml:space="preserve"> </w:t>
      </w:r>
      <w:r w:rsidR="0067514D" w:rsidRPr="00D813D7">
        <w:rPr>
          <w:rFonts w:ascii="Times New Roman" w:hAnsi="Times New Roman"/>
          <w:sz w:val="24"/>
          <w:szCs w:val="24"/>
        </w:rPr>
        <w:t>Uncertainty in regu</w:t>
      </w:r>
      <w:r w:rsidR="00991BBA">
        <w:rPr>
          <w:rFonts w:ascii="Times New Roman" w:hAnsi="Times New Roman"/>
          <w:sz w:val="24"/>
          <w:szCs w:val="24"/>
        </w:rPr>
        <w:t xml:space="preserve">latory </w:t>
      </w:r>
      <w:r w:rsidR="0067514D" w:rsidRPr="00D813D7">
        <w:rPr>
          <w:rFonts w:ascii="Times New Roman" w:hAnsi="Times New Roman"/>
          <w:sz w:val="24"/>
          <w:szCs w:val="24"/>
        </w:rPr>
        <w:t xml:space="preserve">policy around emissions limits and renewable portfolio standards, as well as uncertainty in technological </w:t>
      </w:r>
      <w:r w:rsidR="0067514D" w:rsidRPr="00D813D7">
        <w:rPr>
          <w:rFonts w:ascii="Times New Roman" w:hAnsi="Times New Roman"/>
          <w:sz w:val="24"/>
          <w:szCs w:val="24"/>
        </w:rPr>
        <w:lastRenderedPageBreak/>
        <w:t xml:space="preserve">development also make forecasting market prices more difficult. </w:t>
      </w:r>
      <w:r w:rsidR="0047751E">
        <w:rPr>
          <w:rFonts w:ascii="Times New Roman" w:hAnsi="Times New Roman"/>
          <w:sz w:val="24"/>
          <w:szCs w:val="24"/>
        </w:rPr>
        <w:t xml:space="preserve"> </w:t>
      </w:r>
      <w:r w:rsidR="0067514D" w:rsidRPr="00D813D7">
        <w:rPr>
          <w:rFonts w:ascii="Times New Roman" w:hAnsi="Times New Roman"/>
          <w:sz w:val="24"/>
          <w:szCs w:val="24"/>
        </w:rPr>
        <w:t>In addition, it is very difficult to determine after the fact whether changes in total revenues, including changes in margin, were due to a departing customer or due to changes in the market environment more generally.</w:t>
      </w:r>
    </w:p>
    <w:p w:rsidR="0049410F" w:rsidRPr="00D813D7" w:rsidRDefault="00991BBA" w:rsidP="0047751E">
      <w:pPr>
        <w:widowControl w:val="0"/>
        <w:spacing w:after="0" w:line="480" w:lineRule="auto"/>
        <w:ind w:left="720"/>
        <w:rPr>
          <w:rFonts w:ascii="Times New Roman" w:hAnsi="Times New Roman"/>
          <w:sz w:val="24"/>
          <w:szCs w:val="24"/>
        </w:rPr>
      </w:pPr>
      <w:r>
        <w:rPr>
          <w:rFonts w:ascii="Times New Roman" w:hAnsi="Times New Roman"/>
          <w:sz w:val="24"/>
          <w:szCs w:val="24"/>
        </w:rPr>
        <w:tab/>
      </w:r>
      <w:r w:rsidR="0067514D" w:rsidRPr="00D813D7">
        <w:rPr>
          <w:rFonts w:ascii="Times New Roman" w:hAnsi="Times New Roman"/>
          <w:sz w:val="24"/>
          <w:szCs w:val="24"/>
        </w:rPr>
        <w:t xml:space="preserve">Second, </w:t>
      </w:r>
      <w:r w:rsidR="00CD7684" w:rsidRPr="00D813D7">
        <w:rPr>
          <w:rFonts w:ascii="Times New Roman" w:hAnsi="Times New Roman"/>
          <w:sz w:val="24"/>
          <w:szCs w:val="24"/>
        </w:rPr>
        <w:t xml:space="preserve">Pacific Power’s customers are relatively smaller compared to the large commercial customer in the </w:t>
      </w:r>
      <w:r w:rsidR="0049410F" w:rsidRPr="00D813D7">
        <w:rPr>
          <w:rFonts w:ascii="Times New Roman" w:hAnsi="Times New Roman"/>
          <w:sz w:val="24"/>
          <w:szCs w:val="24"/>
        </w:rPr>
        <w:t>PSE</w:t>
      </w:r>
      <w:r w:rsidR="00CD7684" w:rsidRPr="00D813D7">
        <w:rPr>
          <w:rFonts w:ascii="Times New Roman" w:hAnsi="Times New Roman"/>
          <w:sz w:val="24"/>
          <w:szCs w:val="24"/>
        </w:rPr>
        <w:t xml:space="preserve"> case, Docket UE-161123, in which it</w:t>
      </w:r>
      <w:r w:rsidR="0049410F" w:rsidRPr="00D813D7">
        <w:rPr>
          <w:rFonts w:ascii="Times New Roman" w:hAnsi="Times New Roman"/>
          <w:sz w:val="24"/>
          <w:szCs w:val="24"/>
        </w:rPr>
        <w:t xml:space="preserve"> modeled </w:t>
      </w:r>
      <w:r w:rsidR="0067514D" w:rsidRPr="00D813D7">
        <w:rPr>
          <w:rFonts w:ascii="Times New Roman" w:hAnsi="Times New Roman"/>
          <w:sz w:val="24"/>
          <w:szCs w:val="24"/>
        </w:rPr>
        <w:t xml:space="preserve">the loss of load from </w:t>
      </w:r>
      <w:r w:rsidR="0049410F" w:rsidRPr="00D813D7">
        <w:rPr>
          <w:rFonts w:ascii="Times New Roman" w:hAnsi="Times New Roman"/>
          <w:sz w:val="24"/>
          <w:szCs w:val="24"/>
        </w:rPr>
        <w:t xml:space="preserve">one large </w:t>
      </w:r>
      <w:r w:rsidR="0067514D" w:rsidRPr="00D813D7">
        <w:rPr>
          <w:rFonts w:ascii="Times New Roman" w:hAnsi="Times New Roman"/>
          <w:sz w:val="24"/>
          <w:szCs w:val="24"/>
        </w:rPr>
        <w:t xml:space="preserve">industrial </w:t>
      </w:r>
      <w:r w:rsidR="0049410F" w:rsidRPr="00D813D7">
        <w:rPr>
          <w:rFonts w:ascii="Times New Roman" w:hAnsi="Times New Roman"/>
          <w:sz w:val="24"/>
          <w:szCs w:val="24"/>
        </w:rPr>
        <w:t xml:space="preserve">customer. </w:t>
      </w:r>
      <w:r w:rsidR="0047751E">
        <w:rPr>
          <w:rFonts w:ascii="Times New Roman" w:hAnsi="Times New Roman"/>
          <w:sz w:val="24"/>
          <w:szCs w:val="24"/>
        </w:rPr>
        <w:t xml:space="preserve"> </w:t>
      </w:r>
      <w:r w:rsidR="0067514D" w:rsidRPr="00D813D7">
        <w:rPr>
          <w:rFonts w:ascii="Times New Roman" w:hAnsi="Times New Roman"/>
          <w:sz w:val="24"/>
          <w:szCs w:val="24"/>
        </w:rPr>
        <w:t>In fact,</w:t>
      </w:r>
      <w:r w:rsidR="00CC61E1" w:rsidRPr="00D813D7">
        <w:rPr>
          <w:rFonts w:ascii="Times New Roman" w:hAnsi="Times New Roman"/>
          <w:sz w:val="24"/>
          <w:szCs w:val="24"/>
        </w:rPr>
        <w:t xml:space="preserve"> the model would have difficulty</w:t>
      </w:r>
      <w:r w:rsidR="00CD7684" w:rsidRPr="00D813D7">
        <w:rPr>
          <w:rFonts w:ascii="Times New Roman" w:hAnsi="Times New Roman"/>
          <w:sz w:val="24"/>
          <w:szCs w:val="24"/>
        </w:rPr>
        <w:t xml:space="preserve"> </w:t>
      </w:r>
      <w:r w:rsidR="00CC61E1" w:rsidRPr="00D813D7">
        <w:rPr>
          <w:rFonts w:ascii="Times New Roman" w:hAnsi="Times New Roman"/>
          <w:sz w:val="24"/>
          <w:szCs w:val="24"/>
        </w:rPr>
        <w:t>detecting any difference</w:t>
      </w:r>
      <w:r w:rsidR="005068DD" w:rsidRPr="00D813D7">
        <w:rPr>
          <w:rFonts w:ascii="Times New Roman" w:hAnsi="Times New Roman"/>
          <w:sz w:val="24"/>
          <w:szCs w:val="24"/>
        </w:rPr>
        <w:t xml:space="preserve"> with and without </w:t>
      </w:r>
      <w:r w:rsidR="00CD7684" w:rsidRPr="00D813D7">
        <w:rPr>
          <w:rFonts w:ascii="Times New Roman" w:hAnsi="Times New Roman"/>
          <w:sz w:val="24"/>
          <w:szCs w:val="24"/>
        </w:rPr>
        <w:t>a typical Walla Walla customer</w:t>
      </w:r>
      <w:r w:rsidR="005068DD" w:rsidRPr="00D813D7">
        <w:rPr>
          <w:rFonts w:ascii="Times New Roman" w:hAnsi="Times New Roman"/>
          <w:sz w:val="24"/>
          <w:szCs w:val="24"/>
        </w:rPr>
        <w:t xml:space="preserve"> included in total load to be served</w:t>
      </w:r>
      <w:r w:rsidR="0067514D" w:rsidRPr="00D813D7">
        <w:rPr>
          <w:rFonts w:ascii="Times New Roman" w:hAnsi="Times New Roman"/>
          <w:sz w:val="24"/>
          <w:szCs w:val="24"/>
        </w:rPr>
        <w:t>.</w:t>
      </w:r>
      <w:r w:rsidR="0047751E">
        <w:rPr>
          <w:rFonts w:ascii="Times New Roman" w:hAnsi="Times New Roman"/>
          <w:sz w:val="24"/>
          <w:szCs w:val="24"/>
        </w:rPr>
        <w:t xml:space="preserve"> </w:t>
      </w:r>
      <w:r w:rsidR="0049410F" w:rsidRPr="00D813D7">
        <w:rPr>
          <w:rFonts w:ascii="Times New Roman" w:hAnsi="Times New Roman"/>
          <w:sz w:val="24"/>
          <w:szCs w:val="24"/>
        </w:rPr>
        <w:t xml:space="preserve"> </w:t>
      </w:r>
      <w:r w:rsidR="00CC61E1" w:rsidRPr="00D813D7">
        <w:rPr>
          <w:rFonts w:ascii="Times New Roman" w:hAnsi="Times New Roman"/>
          <w:sz w:val="24"/>
          <w:szCs w:val="24"/>
        </w:rPr>
        <w:t xml:space="preserve">Although these models use sophisticated optimization algorithms, </w:t>
      </w:r>
      <w:r w:rsidR="005068DD" w:rsidRPr="00D813D7">
        <w:rPr>
          <w:rFonts w:ascii="Times New Roman" w:hAnsi="Times New Roman"/>
          <w:sz w:val="24"/>
          <w:szCs w:val="24"/>
        </w:rPr>
        <w:t>they are</w:t>
      </w:r>
      <w:r w:rsidR="00CC61E1" w:rsidRPr="00D813D7">
        <w:rPr>
          <w:rFonts w:ascii="Times New Roman" w:hAnsi="Times New Roman"/>
          <w:sz w:val="24"/>
          <w:szCs w:val="24"/>
        </w:rPr>
        <w:t xml:space="preserve"> optimized </w:t>
      </w:r>
      <w:r w:rsidR="00CD7684" w:rsidRPr="00D813D7">
        <w:rPr>
          <w:rFonts w:ascii="Times New Roman" w:hAnsi="Times New Roman"/>
          <w:sz w:val="24"/>
          <w:szCs w:val="24"/>
        </w:rPr>
        <w:t>using a</w:t>
      </w:r>
      <w:r w:rsidR="00CC61E1" w:rsidRPr="00D813D7">
        <w:rPr>
          <w:rFonts w:ascii="Times New Roman" w:hAnsi="Times New Roman"/>
          <w:sz w:val="24"/>
          <w:szCs w:val="24"/>
        </w:rPr>
        <w:t xml:space="preserve"> tolerance band</w:t>
      </w:r>
      <w:r w:rsidR="00434C6D" w:rsidRPr="00D813D7">
        <w:rPr>
          <w:rFonts w:ascii="Times New Roman" w:hAnsi="Times New Roman"/>
          <w:sz w:val="24"/>
          <w:szCs w:val="24"/>
        </w:rPr>
        <w:t xml:space="preserve"> that could result in such small changes in inputs creating conditions that translate into increased costs due to departing customers</w:t>
      </w:r>
      <w:r w:rsidR="00CC61E1" w:rsidRPr="00D813D7">
        <w:rPr>
          <w:rFonts w:ascii="Times New Roman" w:hAnsi="Times New Roman"/>
          <w:sz w:val="24"/>
          <w:szCs w:val="24"/>
        </w:rPr>
        <w:t xml:space="preserve">. </w:t>
      </w:r>
    </w:p>
    <w:p w:rsidR="00434C6D" w:rsidRPr="00D813D7" w:rsidRDefault="0047751E" w:rsidP="0047751E">
      <w:pPr>
        <w:widowControl w:val="0"/>
        <w:spacing w:after="0" w:line="480" w:lineRule="auto"/>
        <w:ind w:left="720"/>
        <w:rPr>
          <w:rFonts w:ascii="Times New Roman" w:hAnsi="Times New Roman"/>
          <w:sz w:val="24"/>
          <w:szCs w:val="24"/>
        </w:rPr>
      </w:pPr>
      <w:r>
        <w:rPr>
          <w:rFonts w:ascii="Times New Roman" w:hAnsi="Times New Roman"/>
          <w:sz w:val="24"/>
          <w:szCs w:val="24"/>
        </w:rPr>
        <w:tab/>
      </w:r>
      <w:r w:rsidR="00CC61E1" w:rsidRPr="00D813D7">
        <w:rPr>
          <w:rFonts w:ascii="Times New Roman" w:hAnsi="Times New Roman"/>
          <w:sz w:val="24"/>
          <w:szCs w:val="24"/>
        </w:rPr>
        <w:t>Third, running such models for each departing customer would be time consuming and costly for a utility to perform, and not easily und</w:t>
      </w:r>
      <w:r>
        <w:rPr>
          <w:rFonts w:ascii="Times New Roman" w:hAnsi="Times New Roman"/>
          <w:sz w:val="24"/>
          <w:szCs w:val="24"/>
        </w:rPr>
        <w:t>erstood by departing customers.</w:t>
      </w:r>
    </w:p>
    <w:p w:rsidR="0049410F" w:rsidRPr="00D813D7" w:rsidRDefault="0047751E" w:rsidP="00230E20">
      <w:pPr>
        <w:widowControl w:val="0"/>
        <w:spacing w:after="0" w:line="480" w:lineRule="auto"/>
        <w:ind w:left="806" w:hanging="806"/>
        <w:rPr>
          <w:rFonts w:ascii="Times New Roman" w:hAnsi="Times New Roman"/>
          <w:b/>
          <w:sz w:val="24"/>
          <w:szCs w:val="24"/>
        </w:rPr>
      </w:pPr>
      <w:r>
        <w:rPr>
          <w:rFonts w:ascii="Times New Roman" w:hAnsi="Times New Roman"/>
          <w:b/>
          <w:sz w:val="24"/>
          <w:szCs w:val="24"/>
        </w:rPr>
        <w:t>Q:</w:t>
      </w:r>
      <w:r w:rsidR="007B6B3B" w:rsidRPr="00D813D7">
        <w:rPr>
          <w:rFonts w:ascii="Times New Roman" w:hAnsi="Times New Roman"/>
          <w:b/>
          <w:sz w:val="24"/>
          <w:szCs w:val="24"/>
        </w:rPr>
        <w:tab/>
      </w:r>
      <w:r w:rsidR="00934722" w:rsidRPr="00D813D7">
        <w:rPr>
          <w:rFonts w:ascii="Times New Roman" w:hAnsi="Times New Roman"/>
          <w:b/>
          <w:sz w:val="24"/>
          <w:szCs w:val="24"/>
        </w:rPr>
        <w:t>Are there acceptable</w:t>
      </w:r>
      <w:r w:rsidR="007B6B3B" w:rsidRPr="00D813D7">
        <w:rPr>
          <w:rFonts w:ascii="Times New Roman" w:hAnsi="Times New Roman"/>
          <w:b/>
          <w:sz w:val="24"/>
          <w:szCs w:val="24"/>
        </w:rPr>
        <w:t xml:space="preserve"> alternative methods available to estimate changes in market revenues without relying on sophisticated production cost models</w:t>
      </w:r>
      <w:r w:rsidR="0049410F" w:rsidRPr="00D813D7">
        <w:rPr>
          <w:rFonts w:ascii="Times New Roman" w:hAnsi="Times New Roman"/>
          <w:b/>
          <w:sz w:val="24"/>
          <w:szCs w:val="24"/>
        </w:rPr>
        <w:t>?</w:t>
      </w:r>
    </w:p>
    <w:p w:rsidR="00837AA3" w:rsidRPr="00D813D7" w:rsidRDefault="0047751E" w:rsidP="0047751E">
      <w:pPr>
        <w:widowControl w:val="0"/>
        <w:spacing w:after="0" w:line="480" w:lineRule="auto"/>
        <w:ind w:left="806" w:hanging="806"/>
        <w:rPr>
          <w:rFonts w:ascii="Times New Roman" w:hAnsi="Times New Roman"/>
          <w:sz w:val="24"/>
          <w:szCs w:val="24"/>
        </w:rPr>
      </w:pPr>
      <w:r>
        <w:rPr>
          <w:rFonts w:ascii="Times New Roman" w:hAnsi="Times New Roman"/>
          <w:sz w:val="24"/>
          <w:szCs w:val="24"/>
        </w:rPr>
        <w:t>A:</w:t>
      </w:r>
      <w:r w:rsidR="0049410F" w:rsidRPr="00D813D7">
        <w:rPr>
          <w:rFonts w:ascii="Times New Roman" w:hAnsi="Times New Roman"/>
          <w:sz w:val="24"/>
          <w:szCs w:val="24"/>
        </w:rPr>
        <w:tab/>
      </w:r>
      <w:r w:rsidR="00934722" w:rsidRPr="00D813D7">
        <w:rPr>
          <w:rFonts w:ascii="Times New Roman" w:hAnsi="Times New Roman"/>
          <w:sz w:val="24"/>
          <w:szCs w:val="24"/>
        </w:rPr>
        <w:t xml:space="preserve">Not in my opinion.  </w:t>
      </w:r>
      <w:r w:rsidR="0067514D" w:rsidRPr="00D813D7">
        <w:rPr>
          <w:rFonts w:ascii="Times New Roman" w:hAnsi="Times New Roman"/>
          <w:sz w:val="24"/>
          <w:szCs w:val="24"/>
        </w:rPr>
        <w:t xml:space="preserve">I am not aware of any methodologically rigorous way to estimate market revenue changes without </w:t>
      </w:r>
      <w:r w:rsidR="00934722" w:rsidRPr="00D813D7">
        <w:rPr>
          <w:rFonts w:ascii="Times New Roman" w:hAnsi="Times New Roman"/>
          <w:sz w:val="24"/>
          <w:szCs w:val="24"/>
        </w:rPr>
        <w:t xml:space="preserve">using </w:t>
      </w:r>
      <w:r w:rsidR="0067514D" w:rsidRPr="00D813D7">
        <w:rPr>
          <w:rFonts w:ascii="Times New Roman" w:hAnsi="Times New Roman"/>
          <w:sz w:val="24"/>
          <w:szCs w:val="24"/>
        </w:rPr>
        <w:t>a production costing model</w:t>
      </w:r>
      <w:r w:rsidR="0049410F" w:rsidRPr="00D813D7">
        <w:rPr>
          <w:rFonts w:ascii="Times New Roman" w:hAnsi="Times New Roman"/>
          <w:sz w:val="24"/>
          <w:szCs w:val="24"/>
        </w:rPr>
        <w:t xml:space="preserve">. </w:t>
      </w:r>
      <w:r>
        <w:rPr>
          <w:rFonts w:ascii="Times New Roman" w:hAnsi="Times New Roman"/>
          <w:sz w:val="24"/>
          <w:szCs w:val="24"/>
        </w:rPr>
        <w:t xml:space="preserve"> </w:t>
      </w:r>
      <w:r w:rsidR="00934722" w:rsidRPr="00D813D7">
        <w:rPr>
          <w:rFonts w:ascii="Times New Roman" w:hAnsi="Times New Roman"/>
          <w:sz w:val="24"/>
          <w:szCs w:val="24"/>
        </w:rPr>
        <w:t xml:space="preserve">Although it may be possible to take a simplified approach or analyze the “generic” customer, such approaches do not eliminate </w:t>
      </w:r>
      <w:r w:rsidR="00320985" w:rsidRPr="00D813D7">
        <w:rPr>
          <w:rFonts w:ascii="Times New Roman" w:hAnsi="Times New Roman"/>
          <w:sz w:val="24"/>
          <w:szCs w:val="24"/>
        </w:rPr>
        <w:t>the issues with uncertainty in the forecast.</w:t>
      </w:r>
      <w:r>
        <w:rPr>
          <w:rFonts w:ascii="Times New Roman" w:hAnsi="Times New Roman"/>
          <w:sz w:val="24"/>
          <w:szCs w:val="24"/>
        </w:rPr>
        <w:t xml:space="preserve"> </w:t>
      </w:r>
      <w:r w:rsidR="00320985" w:rsidRPr="00D813D7">
        <w:rPr>
          <w:rFonts w:ascii="Times New Roman" w:hAnsi="Times New Roman"/>
          <w:sz w:val="24"/>
          <w:szCs w:val="24"/>
        </w:rPr>
        <w:t xml:space="preserve"> Without a way to true up estimates of additional margin to actual margin based on actual market conditions, the utility would end up in a situation where some customers may be penalized by or benefit from forecasting error. </w:t>
      </w:r>
      <w:r>
        <w:rPr>
          <w:rFonts w:ascii="Times New Roman" w:hAnsi="Times New Roman"/>
          <w:sz w:val="24"/>
          <w:szCs w:val="24"/>
        </w:rPr>
        <w:t xml:space="preserve"> </w:t>
      </w:r>
      <w:r w:rsidR="00320985" w:rsidRPr="00D813D7">
        <w:rPr>
          <w:rFonts w:ascii="Times New Roman" w:hAnsi="Times New Roman"/>
          <w:sz w:val="24"/>
          <w:szCs w:val="24"/>
        </w:rPr>
        <w:t>As its forecast changes over time, different customers m</w:t>
      </w:r>
      <w:r w:rsidR="00073E5E" w:rsidRPr="00D813D7">
        <w:rPr>
          <w:rFonts w:ascii="Times New Roman" w:hAnsi="Times New Roman"/>
          <w:sz w:val="24"/>
          <w:szCs w:val="24"/>
        </w:rPr>
        <w:t>ay pay different Stranded Cost R</w:t>
      </w:r>
      <w:r w:rsidR="00320985" w:rsidRPr="00D813D7">
        <w:rPr>
          <w:rFonts w:ascii="Times New Roman" w:hAnsi="Times New Roman"/>
          <w:sz w:val="24"/>
          <w:szCs w:val="24"/>
        </w:rPr>
        <w:t>ecovery Fees and</w:t>
      </w:r>
      <w:r w:rsidR="00934722" w:rsidRPr="00D813D7">
        <w:rPr>
          <w:rFonts w:ascii="Times New Roman" w:hAnsi="Times New Roman"/>
          <w:sz w:val="24"/>
          <w:szCs w:val="24"/>
        </w:rPr>
        <w:t xml:space="preserve"> may</w:t>
      </w:r>
      <w:r w:rsidR="00320985" w:rsidRPr="00D813D7">
        <w:rPr>
          <w:rFonts w:ascii="Times New Roman" w:hAnsi="Times New Roman"/>
          <w:sz w:val="24"/>
          <w:szCs w:val="24"/>
        </w:rPr>
        <w:t xml:space="preserve"> not understand why they pay something </w:t>
      </w:r>
      <w:r w:rsidR="00320985" w:rsidRPr="00D813D7">
        <w:rPr>
          <w:rFonts w:ascii="Times New Roman" w:hAnsi="Times New Roman"/>
          <w:sz w:val="24"/>
          <w:szCs w:val="24"/>
        </w:rPr>
        <w:lastRenderedPageBreak/>
        <w:t>higher or lower than a neighboring custo</w:t>
      </w:r>
      <w:r>
        <w:rPr>
          <w:rFonts w:ascii="Times New Roman" w:hAnsi="Times New Roman"/>
          <w:sz w:val="24"/>
          <w:szCs w:val="24"/>
        </w:rPr>
        <w:t>mer.</w:t>
      </w:r>
    </w:p>
    <w:p w:rsidR="00837AA3" w:rsidRPr="00D813D7" w:rsidRDefault="00837AA3" w:rsidP="0047751E">
      <w:pPr>
        <w:pStyle w:val="Heading2"/>
      </w:pPr>
      <w:bookmarkStart w:id="20" w:name="_Toc479329369"/>
      <w:bookmarkStart w:id="21" w:name="_Toc480530025"/>
      <w:r w:rsidRPr="00D813D7">
        <w:t>Issues Related to Stranded Cost Recovery Fee</w:t>
      </w:r>
      <w:r w:rsidR="00B238BF" w:rsidRPr="00D813D7">
        <w:t xml:space="preserve"> Sensitivity Analysis</w:t>
      </w:r>
      <w:bookmarkEnd w:id="20"/>
      <w:r w:rsidR="0047751E">
        <w:t>.</w:t>
      </w:r>
      <w:bookmarkEnd w:id="21"/>
      <w:r w:rsidR="0047751E">
        <w:t xml:space="preserve">  </w:t>
      </w:r>
    </w:p>
    <w:p w:rsidR="00012A6E" w:rsidRPr="00D813D7" w:rsidRDefault="0047751E" w:rsidP="00012A6E">
      <w:pPr>
        <w:widowControl w:val="0"/>
        <w:spacing w:after="0" w:line="480" w:lineRule="auto"/>
        <w:ind w:left="806" w:hanging="806"/>
        <w:rPr>
          <w:rFonts w:ascii="Times New Roman" w:hAnsi="Times New Roman"/>
          <w:b/>
          <w:sz w:val="24"/>
          <w:szCs w:val="24"/>
        </w:rPr>
      </w:pPr>
      <w:r>
        <w:rPr>
          <w:rFonts w:ascii="Times New Roman" w:hAnsi="Times New Roman"/>
          <w:b/>
          <w:sz w:val="24"/>
          <w:szCs w:val="24"/>
        </w:rPr>
        <w:t>Q:</w:t>
      </w:r>
      <w:r w:rsidR="00012A6E" w:rsidRPr="00D813D7">
        <w:rPr>
          <w:rFonts w:ascii="Times New Roman" w:hAnsi="Times New Roman"/>
          <w:b/>
          <w:sz w:val="24"/>
          <w:szCs w:val="24"/>
        </w:rPr>
        <w:tab/>
        <w:t>Please explain how you define “additional issues” related to the Stranded Cost Recovery Fee?</w:t>
      </w:r>
    </w:p>
    <w:p w:rsidR="00012A6E" w:rsidRPr="00D813D7" w:rsidRDefault="0047751E" w:rsidP="00012A6E">
      <w:pPr>
        <w:widowControl w:val="0"/>
        <w:spacing w:after="0" w:line="480" w:lineRule="auto"/>
        <w:ind w:left="806" w:hanging="806"/>
        <w:rPr>
          <w:rFonts w:ascii="Times New Roman" w:hAnsi="Times New Roman"/>
          <w:sz w:val="24"/>
          <w:szCs w:val="24"/>
        </w:rPr>
      </w:pPr>
      <w:r>
        <w:rPr>
          <w:rFonts w:ascii="Times New Roman" w:hAnsi="Times New Roman"/>
          <w:sz w:val="24"/>
          <w:szCs w:val="24"/>
        </w:rPr>
        <w:t>A:</w:t>
      </w:r>
      <w:r w:rsidR="00012A6E" w:rsidRPr="00D813D7">
        <w:rPr>
          <w:rFonts w:ascii="Times New Roman" w:hAnsi="Times New Roman"/>
          <w:sz w:val="24"/>
          <w:szCs w:val="24"/>
        </w:rPr>
        <w:tab/>
        <w:t xml:space="preserve">Sections A and B above discussed fundamental methodological issues surrounding estimating fixed costs. </w:t>
      </w:r>
      <w:r>
        <w:rPr>
          <w:rFonts w:ascii="Times New Roman" w:hAnsi="Times New Roman"/>
          <w:sz w:val="24"/>
          <w:szCs w:val="24"/>
        </w:rPr>
        <w:t xml:space="preserve"> </w:t>
      </w:r>
      <w:r w:rsidR="002E4F38" w:rsidRPr="00D813D7">
        <w:rPr>
          <w:rFonts w:ascii="Times New Roman" w:hAnsi="Times New Roman"/>
          <w:sz w:val="24"/>
          <w:szCs w:val="24"/>
        </w:rPr>
        <w:t>Below</w:t>
      </w:r>
      <w:r w:rsidR="00012A6E" w:rsidRPr="00D813D7">
        <w:rPr>
          <w:rFonts w:ascii="Times New Roman" w:hAnsi="Times New Roman"/>
          <w:sz w:val="24"/>
          <w:szCs w:val="24"/>
        </w:rPr>
        <w:t xml:space="preserve">, I discuss </w:t>
      </w:r>
      <w:r w:rsidR="002E4F38" w:rsidRPr="00D813D7">
        <w:rPr>
          <w:rFonts w:ascii="Times New Roman" w:hAnsi="Times New Roman"/>
          <w:sz w:val="24"/>
          <w:szCs w:val="24"/>
        </w:rPr>
        <w:t xml:space="preserve">the </w:t>
      </w:r>
      <w:r w:rsidR="00B238BF" w:rsidRPr="00D813D7">
        <w:rPr>
          <w:rFonts w:ascii="Times New Roman" w:hAnsi="Times New Roman"/>
          <w:sz w:val="24"/>
          <w:szCs w:val="24"/>
        </w:rPr>
        <w:t xml:space="preserve">impact (i.e., sensitivity) of the calculation of the </w:t>
      </w:r>
      <w:r w:rsidR="00275383" w:rsidRPr="00D813D7">
        <w:rPr>
          <w:rFonts w:ascii="Times New Roman" w:hAnsi="Times New Roman"/>
          <w:sz w:val="24"/>
          <w:szCs w:val="24"/>
        </w:rPr>
        <w:t xml:space="preserve">Stranded Cost Recovery Fee </w:t>
      </w:r>
      <w:r w:rsidR="00B238BF" w:rsidRPr="00D813D7">
        <w:rPr>
          <w:rFonts w:ascii="Times New Roman" w:hAnsi="Times New Roman"/>
          <w:sz w:val="24"/>
          <w:szCs w:val="24"/>
        </w:rPr>
        <w:t xml:space="preserve">due to changes in assumed values for specific driver variables used in </w:t>
      </w:r>
      <w:r w:rsidR="00012A6E" w:rsidRPr="00D813D7">
        <w:rPr>
          <w:rFonts w:ascii="Times New Roman" w:hAnsi="Times New Roman"/>
          <w:sz w:val="24"/>
          <w:szCs w:val="24"/>
        </w:rPr>
        <w:t>Pacific Power’s methodology</w:t>
      </w:r>
      <w:r w:rsidR="00EE1B6F" w:rsidRPr="00D813D7">
        <w:rPr>
          <w:rFonts w:ascii="Times New Roman" w:hAnsi="Times New Roman"/>
          <w:sz w:val="24"/>
          <w:szCs w:val="24"/>
        </w:rPr>
        <w:t>, including:</w:t>
      </w:r>
    </w:p>
    <w:p w:rsidR="00012A6E" w:rsidRPr="00D813D7" w:rsidRDefault="00012A6E" w:rsidP="007F14A0">
      <w:pPr>
        <w:pStyle w:val="ListParagraph"/>
        <w:widowControl w:val="0"/>
        <w:numPr>
          <w:ilvl w:val="0"/>
          <w:numId w:val="23"/>
        </w:numPr>
        <w:spacing w:after="0" w:line="480" w:lineRule="auto"/>
        <w:ind w:left="1440"/>
        <w:rPr>
          <w:rFonts w:ascii="Times New Roman" w:hAnsi="Times New Roman"/>
          <w:sz w:val="24"/>
          <w:szCs w:val="24"/>
        </w:rPr>
      </w:pPr>
      <w:r w:rsidRPr="00D813D7">
        <w:rPr>
          <w:rFonts w:ascii="Times New Roman" w:hAnsi="Times New Roman"/>
          <w:sz w:val="24"/>
          <w:szCs w:val="24"/>
        </w:rPr>
        <w:t>Impact of loss of load from a departing customer on cost allocators in the C</w:t>
      </w:r>
      <w:r w:rsidR="0047751E">
        <w:rPr>
          <w:rFonts w:ascii="Times New Roman" w:hAnsi="Times New Roman"/>
          <w:sz w:val="24"/>
          <w:szCs w:val="24"/>
        </w:rPr>
        <w:t>os</w:t>
      </w:r>
      <w:r w:rsidR="00434C6D" w:rsidRPr="00D813D7">
        <w:rPr>
          <w:rFonts w:ascii="Times New Roman" w:hAnsi="Times New Roman"/>
          <w:sz w:val="24"/>
          <w:szCs w:val="24"/>
        </w:rPr>
        <w:t xml:space="preserve">t of Service </w:t>
      </w:r>
      <w:r w:rsidRPr="00D813D7">
        <w:rPr>
          <w:rFonts w:ascii="Times New Roman" w:hAnsi="Times New Roman"/>
          <w:sz w:val="24"/>
          <w:szCs w:val="24"/>
        </w:rPr>
        <w:t>Study</w:t>
      </w:r>
      <w:r w:rsidR="0047751E">
        <w:rPr>
          <w:rFonts w:ascii="Times New Roman" w:hAnsi="Times New Roman"/>
          <w:sz w:val="24"/>
          <w:szCs w:val="24"/>
        </w:rPr>
        <w:t>;</w:t>
      </w:r>
    </w:p>
    <w:p w:rsidR="00012A6E" w:rsidRPr="00D813D7" w:rsidRDefault="00012A6E" w:rsidP="007F14A0">
      <w:pPr>
        <w:pStyle w:val="ListParagraph"/>
        <w:widowControl w:val="0"/>
        <w:numPr>
          <w:ilvl w:val="0"/>
          <w:numId w:val="23"/>
        </w:numPr>
        <w:spacing w:after="0" w:line="480" w:lineRule="auto"/>
        <w:ind w:left="1440"/>
        <w:rPr>
          <w:rFonts w:ascii="Times New Roman" w:hAnsi="Times New Roman"/>
          <w:sz w:val="24"/>
          <w:szCs w:val="24"/>
        </w:rPr>
      </w:pPr>
      <w:r w:rsidRPr="00D813D7">
        <w:rPr>
          <w:rFonts w:ascii="Times New Roman" w:hAnsi="Times New Roman"/>
          <w:sz w:val="24"/>
          <w:szCs w:val="24"/>
        </w:rPr>
        <w:t xml:space="preserve">Other </w:t>
      </w:r>
      <w:r w:rsidR="002E4F38" w:rsidRPr="00D813D7">
        <w:rPr>
          <w:rFonts w:ascii="Times New Roman" w:hAnsi="Times New Roman"/>
          <w:sz w:val="24"/>
          <w:szCs w:val="24"/>
        </w:rPr>
        <w:t xml:space="preserve">impacts of </w:t>
      </w:r>
      <w:r w:rsidRPr="00D813D7">
        <w:rPr>
          <w:rFonts w:ascii="Times New Roman" w:hAnsi="Times New Roman"/>
          <w:sz w:val="24"/>
          <w:szCs w:val="24"/>
        </w:rPr>
        <w:t>changes in load and number of customers over time</w:t>
      </w:r>
      <w:r w:rsidR="0047751E">
        <w:rPr>
          <w:rFonts w:ascii="Times New Roman" w:hAnsi="Times New Roman"/>
          <w:sz w:val="24"/>
          <w:szCs w:val="24"/>
        </w:rPr>
        <w:t>; and</w:t>
      </w:r>
    </w:p>
    <w:p w:rsidR="007604A0" w:rsidRPr="0047751E" w:rsidRDefault="00012A6E" w:rsidP="007F14A0">
      <w:pPr>
        <w:pStyle w:val="ListParagraph"/>
        <w:widowControl w:val="0"/>
        <w:numPr>
          <w:ilvl w:val="0"/>
          <w:numId w:val="23"/>
        </w:numPr>
        <w:spacing w:after="0" w:line="480" w:lineRule="auto"/>
        <w:ind w:left="1440"/>
        <w:rPr>
          <w:rFonts w:ascii="Times New Roman" w:hAnsi="Times New Roman"/>
          <w:sz w:val="24"/>
          <w:szCs w:val="24"/>
        </w:rPr>
      </w:pPr>
      <w:r w:rsidRPr="00D813D7">
        <w:rPr>
          <w:rFonts w:ascii="Times New Roman" w:hAnsi="Times New Roman"/>
          <w:sz w:val="24"/>
          <w:szCs w:val="24"/>
        </w:rPr>
        <w:t>Potential for avoided cost benefits from deferred investment</w:t>
      </w:r>
      <w:r w:rsidR="007604A0" w:rsidRPr="00D813D7">
        <w:rPr>
          <w:rFonts w:ascii="Times New Roman" w:hAnsi="Times New Roman"/>
          <w:sz w:val="24"/>
          <w:szCs w:val="24"/>
        </w:rPr>
        <w:t>.</w:t>
      </w:r>
    </w:p>
    <w:p w:rsidR="00253672" w:rsidRPr="00D813D7" w:rsidRDefault="0047751E" w:rsidP="0025367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253672" w:rsidRPr="00D813D7">
        <w:rPr>
          <w:rFonts w:ascii="Times New Roman" w:hAnsi="Times New Roman"/>
          <w:b/>
          <w:sz w:val="24"/>
          <w:szCs w:val="24"/>
        </w:rPr>
        <w:tab/>
        <w:t xml:space="preserve">Please describe </w:t>
      </w:r>
      <w:r w:rsidR="00B238BF" w:rsidRPr="00D813D7">
        <w:rPr>
          <w:rFonts w:ascii="Times New Roman" w:hAnsi="Times New Roman"/>
          <w:b/>
          <w:sz w:val="24"/>
          <w:szCs w:val="24"/>
        </w:rPr>
        <w:t>how</w:t>
      </w:r>
      <w:r w:rsidR="00253672" w:rsidRPr="00D813D7">
        <w:rPr>
          <w:rFonts w:ascii="Times New Roman" w:hAnsi="Times New Roman"/>
          <w:b/>
          <w:sz w:val="24"/>
          <w:szCs w:val="24"/>
        </w:rPr>
        <w:t xml:space="preserve"> loss of load impacting cost allocators</w:t>
      </w:r>
      <w:r w:rsidR="00B238BF" w:rsidRPr="00D813D7">
        <w:rPr>
          <w:rFonts w:ascii="Times New Roman" w:hAnsi="Times New Roman"/>
          <w:b/>
          <w:sz w:val="24"/>
          <w:szCs w:val="24"/>
        </w:rPr>
        <w:t xml:space="preserve"> used to calculate the</w:t>
      </w:r>
      <w:r w:rsidR="00275383" w:rsidRPr="00D813D7">
        <w:rPr>
          <w:rFonts w:ascii="Times New Roman" w:hAnsi="Times New Roman"/>
          <w:b/>
          <w:sz w:val="24"/>
          <w:szCs w:val="24"/>
        </w:rPr>
        <w:t xml:space="preserve"> Stranded Cost Recovery Fee</w:t>
      </w:r>
      <w:r w:rsidR="00253672" w:rsidRPr="00D813D7">
        <w:rPr>
          <w:rFonts w:ascii="Times New Roman" w:hAnsi="Times New Roman"/>
          <w:b/>
          <w:sz w:val="24"/>
          <w:szCs w:val="24"/>
        </w:rPr>
        <w:t>.</w:t>
      </w:r>
    </w:p>
    <w:p w:rsidR="00FD104F" w:rsidRPr="00D813D7" w:rsidRDefault="0047751E" w:rsidP="00FD104F">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53672" w:rsidRPr="00D813D7">
        <w:rPr>
          <w:rFonts w:ascii="Times New Roman" w:hAnsi="Times New Roman"/>
          <w:sz w:val="24"/>
          <w:szCs w:val="24"/>
        </w:rPr>
        <w:tab/>
      </w:r>
      <w:r>
        <w:rPr>
          <w:rFonts w:ascii="Times New Roman" w:hAnsi="Times New Roman"/>
          <w:sz w:val="24"/>
          <w:szCs w:val="24"/>
        </w:rPr>
        <w:t>Pacific Power</w:t>
      </w:r>
      <w:r w:rsidR="00CE1365" w:rsidRPr="00D813D7">
        <w:rPr>
          <w:rFonts w:ascii="Times New Roman" w:hAnsi="Times New Roman"/>
          <w:sz w:val="24"/>
          <w:szCs w:val="24"/>
        </w:rPr>
        <w:t xml:space="preserve"> operates a multi-state sys</w:t>
      </w:r>
      <w:r w:rsidR="00FD104F" w:rsidRPr="00D813D7">
        <w:rPr>
          <w:rFonts w:ascii="Times New Roman" w:hAnsi="Times New Roman"/>
          <w:sz w:val="24"/>
          <w:szCs w:val="24"/>
        </w:rPr>
        <w:t xml:space="preserve">tem and allocates costs to each jurisdiction in its Jurisdictional Allocation Model (JAM), which is part of its </w:t>
      </w:r>
      <w:r w:rsidR="00217E82">
        <w:rPr>
          <w:rFonts w:ascii="Times New Roman" w:hAnsi="Times New Roman"/>
          <w:sz w:val="24"/>
          <w:szCs w:val="24"/>
        </w:rPr>
        <w:t>Cost of Service</w:t>
      </w:r>
      <w:r w:rsidR="00217E82" w:rsidRPr="00D813D7">
        <w:rPr>
          <w:rFonts w:ascii="Times New Roman" w:hAnsi="Times New Roman"/>
          <w:sz w:val="24"/>
          <w:szCs w:val="24"/>
        </w:rPr>
        <w:t xml:space="preserve"> </w:t>
      </w:r>
      <w:r w:rsidR="00FD104F" w:rsidRPr="00D813D7">
        <w:rPr>
          <w:rFonts w:ascii="Times New Roman" w:hAnsi="Times New Roman"/>
          <w:sz w:val="24"/>
          <w:szCs w:val="24"/>
        </w:rPr>
        <w:t xml:space="preserve">model. </w:t>
      </w:r>
      <w:r>
        <w:rPr>
          <w:rFonts w:ascii="Times New Roman" w:hAnsi="Times New Roman"/>
          <w:sz w:val="24"/>
          <w:szCs w:val="24"/>
        </w:rPr>
        <w:t xml:space="preserve"> </w:t>
      </w:r>
      <w:r w:rsidR="00FD104F" w:rsidRPr="00D813D7">
        <w:rPr>
          <w:rFonts w:ascii="Times New Roman" w:hAnsi="Times New Roman"/>
          <w:sz w:val="24"/>
          <w:szCs w:val="24"/>
        </w:rPr>
        <w:t xml:space="preserve">The JAM allocation factors depend on the loads in each jurisdiction. </w:t>
      </w:r>
      <w:r>
        <w:rPr>
          <w:rFonts w:ascii="Times New Roman" w:hAnsi="Times New Roman"/>
          <w:sz w:val="24"/>
          <w:szCs w:val="24"/>
        </w:rPr>
        <w:t xml:space="preserve"> </w:t>
      </w:r>
      <w:r w:rsidR="00FD104F" w:rsidRPr="00D813D7">
        <w:rPr>
          <w:rFonts w:ascii="Times New Roman" w:hAnsi="Times New Roman"/>
          <w:sz w:val="24"/>
          <w:szCs w:val="24"/>
        </w:rPr>
        <w:t xml:space="preserve">As </w:t>
      </w:r>
      <w:r w:rsidR="0078784A" w:rsidRPr="00D813D7">
        <w:rPr>
          <w:rFonts w:ascii="Times New Roman" w:hAnsi="Times New Roman"/>
          <w:sz w:val="24"/>
          <w:szCs w:val="24"/>
        </w:rPr>
        <w:t xml:space="preserve">the Company </w:t>
      </w:r>
      <w:r w:rsidR="00FD104F" w:rsidRPr="00D813D7">
        <w:rPr>
          <w:rFonts w:ascii="Times New Roman" w:hAnsi="Times New Roman"/>
          <w:sz w:val="24"/>
          <w:szCs w:val="24"/>
        </w:rPr>
        <w:t>explains:</w:t>
      </w:r>
    </w:p>
    <w:p w:rsidR="00253672" w:rsidRPr="00D813D7" w:rsidRDefault="00FD104F" w:rsidP="0047751E">
      <w:pPr>
        <w:widowControl w:val="0"/>
        <w:spacing w:after="240" w:line="240" w:lineRule="auto"/>
        <w:ind w:left="1440" w:right="720"/>
        <w:jc w:val="both"/>
        <w:rPr>
          <w:rFonts w:ascii="Times New Roman" w:hAnsi="Times New Roman"/>
          <w:sz w:val="24"/>
          <w:szCs w:val="24"/>
        </w:rPr>
      </w:pPr>
      <w:r w:rsidRPr="00D813D7">
        <w:rPr>
          <w:rFonts w:ascii="Times New Roman" w:hAnsi="Times New Roman"/>
          <w:sz w:val="24"/>
          <w:szCs w:val="24"/>
        </w:rPr>
        <w:t xml:space="preserve">If a customer disconnects from Pacific Power's system in Washington, assuming no other changes, Washington's allocation factors would decrease. The reduced allocation factor would impact Washington's allocation of costs that are shared between jurisdictions. It would not, however, reduce Washington's share of situs investments since those amounts are not allocated between states. Any shift of costs associated with situs investments would be borne by </w:t>
      </w:r>
      <w:r w:rsidR="0047751E">
        <w:rPr>
          <w:rFonts w:ascii="Times New Roman" w:hAnsi="Times New Roman"/>
          <w:sz w:val="24"/>
          <w:szCs w:val="24"/>
        </w:rPr>
        <w:t>remaining Washington customers.</w:t>
      </w:r>
      <w:r w:rsidRPr="00D813D7">
        <w:rPr>
          <w:rStyle w:val="FootnoteReference"/>
          <w:rFonts w:ascii="Times New Roman" w:hAnsi="Times New Roman"/>
          <w:sz w:val="24"/>
          <w:szCs w:val="24"/>
        </w:rPr>
        <w:footnoteReference w:id="66"/>
      </w:r>
    </w:p>
    <w:p w:rsidR="008F2225" w:rsidRPr="00D813D7" w:rsidRDefault="0078784A" w:rsidP="0047751E">
      <w:pPr>
        <w:widowControl w:val="0"/>
        <w:spacing w:after="0" w:line="480" w:lineRule="auto"/>
        <w:ind w:left="720"/>
        <w:rPr>
          <w:rFonts w:ascii="Times New Roman" w:hAnsi="Times New Roman"/>
          <w:sz w:val="24"/>
          <w:szCs w:val="24"/>
        </w:rPr>
      </w:pPr>
      <w:r w:rsidRPr="00D813D7">
        <w:rPr>
          <w:rFonts w:ascii="Times New Roman" w:hAnsi="Times New Roman"/>
          <w:sz w:val="24"/>
          <w:szCs w:val="24"/>
        </w:rPr>
        <w:t xml:space="preserve">The Company </w:t>
      </w:r>
      <w:r w:rsidR="00FD104F" w:rsidRPr="00D813D7">
        <w:rPr>
          <w:rFonts w:ascii="Times New Roman" w:hAnsi="Times New Roman"/>
          <w:sz w:val="24"/>
          <w:szCs w:val="24"/>
        </w:rPr>
        <w:t xml:space="preserve">also uses allocation factors to allocate the Washington state jurisdictional </w:t>
      </w:r>
      <w:r w:rsidR="00FD104F" w:rsidRPr="00D813D7">
        <w:rPr>
          <w:rFonts w:ascii="Times New Roman" w:hAnsi="Times New Roman"/>
          <w:sz w:val="24"/>
          <w:szCs w:val="24"/>
        </w:rPr>
        <w:lastRenderedPageBreak/>
        <w:t>revenue requirement, as determined by the JAM, to differ</w:t>
      </w:r>
      <w:r w:rsidR="0047751E">
        <w:rPr>
          <w:rFonts w:ascii="Times New Roman" w:hAnsi="Times New Roman"/>
          <w:sz w:val="24"/>
          <w:szCs w:val="24"/>
        </w:rPr>
        <w:t xml:space="preserve">ent rate classes in the state. </w:t>
      </w:r>
    </w:p>
    <w:p w:rsidR="0078784A" w:rsidRPr="00660CD3" w:rsidRDefault="00660CD3" w:rsidP="00660CD3">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78784A" w:rsidRPr="00D813D7">
        <w:rPr>
          <w:rFonts w:ascii="Times New Roman" w:hAnsi="Times New Roman"/>
          <w:b/>
          <w:sz w:val="24"/>
          <w:szCs w:val="24"/>
        </w:rPr>
        <w:tab/>
        <w:t xml:space="preserve">What do you conclude about the proposed Stranded Cost Recovery Fee based on your finding </w:t>
      </w:r>
      <w:r w:rsidR="002E4F38" w:rsidRPr="00D813D7">
        <w:rPr>
          <w:rFonts w:ascii="Times New Roman" w:hAnsi="Times New Roman"/>
          <w:b/>
          <w:sz w:val="24"/>
          <w:szCs w:val="24"/>
        </w:rPr>
        <w:t>regarding</w:t>
      </w:r>
      <w:r w:rsidR="0078784A" w:rsidRPr="00D813D7">
        <w:rPr>
          <w:rFonts w:ascii="Times New Roman" w:hAnsi="Times New Roman"/>
          <w:b/>
          <w:sz w:val="24"/>
          <w:szCs w:val="24"/>
        </w:rPr>
        <w:t xml:space="preserve"> loss of load impacting cost allocators</w:t>
      </w:r>
      <w:r w:rsidR="00230C63" w:rsidRPr="00D813D7">
        <w:rPr>
          <w:rFonts w:ascii="Times New Roman" w:hAnsi="Times New Roman"/>
          <w:b/>
          <w:sz w:val="24"/>
          <w:szCs w:val="24"/>
        </w:rPr>
        <w:t>?</w:t>
      </w:r>
      <w:r>
        <w:rPr>
          <w:rFonts w:ascii="Times New Roman" w:hAnsi="Times New Roman"/>
          <w:b/>
          <w:sz w:val="24"/>
          <w:szCs w:val="24"/>
        </w:rPr>
        <w:t xml:space="preserve"> </w:t>
      </w:r>
    </w:p>
    <w:p w:rsidR="002E4F38" w:rsidRPr="00D813D7" w:rsidRDefault="00660CD3" w:rsidP="00660CD3">
      <w:pPr>
        <w:widowControl w:val="0"/>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8F2225" w:rsidRPr="00D813D7">
        <w:rPr>
          <w:rFonts w:ascii="Times New Roman" w:hAnsi="Times New Roman"/>
          <w:sz w:val="24"/>
          <w:szCs w:val="24"/>
        </w:rPr>
        <w:t>I have two</w:t>
      </w:r>
      <w:r w:rsidR="00230C63" w:rsidRPr="00D813D7">
        <w:rPr>
          <w:rFonts w:ascii="Times New Roman" w:hAnsi="Times New Roman"/>
          <w:sz w:val="24"/>
          <w:szCs w:val="24"/>
        </w:rPr>
        <w:t xml:space="preserve"> concern</w:t>
      </w:r>
      <w:r w:rsidR="008F2225" w:rsidRPr="00D813D7">
        <w:rPr>
          <w:rFonts w:ascii="Times New Roman" w:hAnsi="Times New Roman"/>
          <w:sz w:val="24"/>
          <w:szCs w:val="24"/>
        </w:rPr>
        <w:t>s based on my review of the evidence filed in this docket.</w:t>
      </w:r>
      <w:r w:rsidR="00790224" w:rsidRPr="00D813D7">
        <w:rPr>
          <w:rFonts w:ascii="Times New Roman" w:hAnsi="Times New Roman"/>
          <w:sz w:val="24"/>
          <w:szCs w:val="24"/>
        </w:rPr>
        <w:t xml:space="preserve"> </w:t>
      </w:r>
    </w:p>
    <w:p w:rsidR="00204BC5" w:rsidRPr="00D813D7" w:rsidRDefault="00660CD3" w:rsidP="009F3E66">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E4F38" w:rsidRPr="00D813D7">
        <w:rPr>
          <w:rFonts w:ascii="Times New Roman" w:hAnsi="Times New Roman"/>
          <w:sz w:val="24"/>
          <w:szCs w:val="24"/>
        </w:rPr>
        <w:t>First,</w:t>
      </w:r>
      <w:r w:rsidR="00230C63" w:rsidRPr="00D813D7">
        <w:rPr>
          <w:rFonts w:ascii="Times New Roman" w:hAnsi="Times New Roman"/>
          <w:sz w:val="24"/>
          <w:szCs w:val="24"/>
        </w:rPr>
        <w:t xml:space="preserve"> Pacific Power</w:t>
      </w:r>
      <w:r w:rsidR="00FD104F" w:rsidRPr="00D813D7">
        <w:rPr>
          <w:rFonts w:ascii="Times New Roman" w:hAnsi="Times New Roman"/>
          <w:sz w:val="24"/>
          <w:szCs w:val="24"/>
        </w:rPr>
        <w:t xml:space="preserve"> did not account for the change in any allocation factors due to load from departing customers </w:t>
      </w:r>
      <w:r w:rsidR="00230C63" w:rsidRPr="00D813D7">
        <w:rPr>
          <w:rFonts w:ascii="Times New Roman" w:hAnsi="Times New Roman"/>
          <w:sz w:val="24"/>
          <w:szCs w:val="24"/>
        </w:rPr>
        <w:t xml:space="preserve">when </w:t>
      </w:r>
      <w:r w:rsidR="00FD104F" w:rsidRPr="00D813D7">
        <w:rPr>
          <w:rFonts w:ascii="Times New Roman" w:hAnsi="Times New Roman"/>
          <w:sz w:val="24"/>
          <w:szCs w:val="24"/>
        </w:rPr>
        <w:t>calculating the Stranded Cost Recovery Fee.</w:t>
      </w:r>
      <w:r w:rsidR="00FD104F" w:rsidRPr="00D813D7">
        <w:rPr>
          <w:rStyle w:val="FootnoteReference"/>
          <w:rFonts w:ascii="Times New Roman" w:hAnsi="Times New Roman"/>
          <w:sz w:val="24"/>
          <w:szCs w:val="24"/>
        </w:rPr>
        <w:footnoteReference w:id="67"/>
      </w:r>
      <w:r w:rsidR="009F3E66">
        <w:rPr>
          <w:rFonts w:ascii="Times New Roman" w:hAnsi="Times New Roman"/>
          <w:sz w:val="24"/>
          <w:szCs w:val="24"/>
        </w:rPr>
        <w:t xml:space="preserve">  </w:t>
      </w:r>
      <w:r w:rsidR="00BB6680" w:rsidRPr="00D813D7">
        <w:rPr>
          <w:rFonts w:ascii="Times New Roman" w:hAnsi="Times New Roman"/>
          <w:sz w:val="24"/>
          <w:szCs w:val="24"/>
        </w:rPr>
        <w:t>However, doing so would require redoing a</w:t>
      </w:r>
      <w:r w:rsidR="009F3E66">
        <w:rPr>
          <w:rFonts w:ascii="Times New Roman" w:hAnsi="Times New Roman"/>
          <w:sz w:val="24"/>
          <w:szCs w:val="24"/>
        </w:rPr>
        <w:t xml:space="preserve"> </w:t>
      </w:r>
      <w:r w:rsidR="005B355E">
        <w:rPr>
          <w:rFonts w:ascii="Times New Roman" w:hAnsi="Times New Roman"/>
          <w:sz w:val="24"/>
          <w:szCs w:val="24"/>
        </w:rPr>
        <w:t>Cost of Service</w:t>
      </w:r>
      <w:r w:rsidR="005B355E" w:rsidRPr="00D813D7">
        <w:rPr>
          <w:rFonts w:ascii="Times New Roman" w:hAnsi="Times New Roman"/>
          <w:sz w:val="24"/>
          <w:szCs w:val="24"/>
        </w:rPr>
        <w:t xml:space="preserve"> </w:t>
      </w:r>
      <w:r w:rsidR="00BB6680" w:rsidRPr="00D813D7">
        <w:rPr>
          <w:rFonts w:ascii="Times New Roman" w:hAnsi="Times New Roman"/>
          <w:sz w:val="24"/>
          <w:szCs w:val="24"/>
        </w:rPr>
        <w:t>study, which is a l</w:t>
      </w:r>
      <w:r w:rsidR="009F3E66">
        <w:rPr>
          <w:rFonts w:ascii="Times New Roman" w:hAnsi="Times New Roman"/>
          <w:sz w:val="24"/>
          <w:szCs w:val="24"/>
        </w:rPr>
        <w:t>abor and time</w:t>
      </w:r>
      <w:r w:rsidR="009F3E66">
        <w:rPr>
          <w:rFonts w:ascii="Times New Roman" w:hAnsi="Times New Roman"/>
          <w:sz w:val="24"/>
          <w:szCs w:val="24"/>
        </w:rPr>
        <w:noBreakHyphen/>
      </w:r>
      <w:r w:rsidR="00690272" w:rsidRPr="00D813D7">
        <w:rPr>
          <w:rFonts w:ascii="Times New Roman" w:hAnsi="Times New Roman"/>
          <w:sz w:val="24"/>
          <w:szCs w:val="24"/>
        </w:rPr>
        <w:t xml:space="preserve">intensive study. </w:t>
      </w:r>
      <w:r w:rsidR="009F3E66">
        <w:rPr>
          <w:rFonts w:ascii="Times New Roman" w:hAnsi="Times New Roman"/>
          <w:sz w:val="24"/>
          <w:szCs w:val="24"/>
        </w:rPr>
        <w:t xml:space="preserve"> </w:t>
      </w:r>
      <w:r w:rsidR="00690272" w:rsidRPr="00D813D7">
        <w:rPr>
          <w:rFonts w:ascii="Times New Roman" w:hAnsi="Times New Roman"/>
          <w:sz w:val="24"/>
          <w:szCs w:val="24"/>
        </w:rPr>
        <w:t xml:space="preserve">Moreover, </w:t>
      </w:r>
      <w:r w:rsidR="009F3E66">
        <w:rPr>
          <w:rFonts w:ascii="Times New Roman" w:hAnsi="Times New Roman"/>
          <w:sz w:val="24"/>
          <w:szCs w:val="24"/>
        </w:rPr>
        <w:t xml:space="preserve">the </w:t>
      </w:r>
      <w:r w:rsidR="005B355E">
        <w:rPr>
          <w:rFonts w:ascii="Times New Roman" w:hAnsi="Times New Roman"/>
          <w:sz w:val="24"/>
          <w:szCs w:val="24"/>
        </w:rPr>
        <w:t xml:space="preserve">Cost of Service </w:t>
      </w:r>
      <w:r w:rsidR="009F3E66">
        <w:rPr>
          <w:rFonts w:ascii="Times New Roman" w:hAnsi="Times New Roman"/>
          <w:sz w:val="24"/>
          <w:szCs w:val="24"/>
        </w:rPr>
        <w:t>s</w:t>
      </w:r>
      <w:r w:rsidR="00434C6D" w:rsidRPr="00D813D7">
        <w:rPr>
          <w:rFonts w:ascii="Times New Roman" w:hAnsi="Times New Roman"/>
          <w:sz w:val="24"/>
          <w:szCs w:val="24"/>
        </w:rPr>
        <w:t xml:space="preserve">tudy </w:t>
      </w:r>
      <w:r w:rsidR="00BB6680" w:rsidRPr="00D813D7">
        <w:rPr>
          <w:rFonts w:ascii="Times New Roman" w:hAnsi="Times New Roman"/>
          <w:sz w:val="24"/>
          <w:szCs w:val="24"/>
        </w:rPr>
        <w:t xml:space="preserve">would impact how stranded costs are borne by different </w:t>
      </w:r>
      <w:r w:rsidR="00690272" w:rsidRPr="00D813D7">
        <w:rPr>
          <w:rFonts w:ascii="Times New Roman" w:hAnsi="Times New Roman"/>
          <w:sz w:val="24"/>
          <w:szCs w:val="24"/>
        </w:rPr>
        <w:t xml:space="preserve">jurisdictions and </w:t>
      </w:r>
      <w:r w:rsidR="00BB6680" w:rsidRPr="00D813D7">
        <w:rPr>
          <w:rFonts w:ascii="Times New Roman" w:hAnsi="Times New Roman"/>
          <w:sz w:val="24"/>
          <w:szCs w:val="24"/>
        </w:rPr>
        <w:t>rate classes after a customer’s departure, but it would not change the essential fact that fixed costs</w:t>
      </w:r>
      <w:r w:rsidR="00690272" w:rsidRPr="00D813D7">
        <w:rPr>
          <w:rFonts w:ascii="Times New Roman" w:hAnsi="Times New Roman"/>
          <w:sz w:val="24"/>
          <w:szCs w:val="24"/>
        </w:rPr>
        <w:t xml:space="preserve"> remain fixed and must be paid for by remaining customers after another leaves the system without some kind of fee to recover stranded costs from departing customers.</w:t>
      </w:r>
    </w:p>
    <w:p w:rsidR="007604A0" w:rsidRPr="00D813D7" w:rsidRDefault="009F3E66" w:rsidP="009F3E66">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E4F38" w:rsidRPr="00D813D7">
        <w:rPr>
          <w:rFonts w:ascii="Times New Roman" w:hAnsi="Times New Roman"/>
          <w:sz w:val="24"/>
          <w:szCs w:val="24"/>
        </w:rPr>
        <w:t>S</w:t>
      </w:r>
      <w:r w:rsidR="008F2225" w:rsidRPr="00D813D7">
        <w:rPr>
          <w:rFonts w:ascii="Times New Roman" w:hAnsi="Times New Roman"/>
          <w:sz w:val="24"/>
          <w:szCs w:val="24"/>
        </w:rPr>
        <w:t>econd</w:t>
      </w:r>
      <w:r w:rsidR="002E4F38" w:rsidRPr="00D813D7">
        <w:rPr>
          <w:rFonts w:ascii="Times New Roman" w:hAnsi="Times New Roman"/>
          <w:sz w:val="24"/>
          <w:szCs w:val="24"/>
        </w:rPr>
        <w:t>,</w:t>
      </w:r>
      <w:r w:rsidR="008F2225" w:rsidRPr="00D813D7">
        <w:rPr>
          <w:rFonts w:ascii="Times New Roman" w:hAnsi="Times New Roman"/>
          <w:sz w:val="24"/>
          <w:szCs w:val="24"/>
        </w:rPr>
        <w:t xml:space="preserve"> Pacific Power’s proposed Stranded Cost Recovery Fee includes the cost of facilities that the departing customer would have already paid for whether it chose to purchase facilities necessary </w:t>
      </w:r>
      <w:r w:rsidR="00A17CC4" w:rsidRPr="00D813D7">
        <w:rPr>
          <w:rFonts w:ascii="Times New Roman" w:hAnsi="Times New Roman"/>
          <w:sz w:val="24"/>
          <w:szCs w:val="24"/>
        </w:rPr>
        <w:t xml:space="preserve">to </w:t>
      </w:r>
      <w:r w:rsidR="008F2225" w:rsidRPr="00D813D7">
        <w:rPr>
          <w:rFonts w:ascii="Times New Roman" w:hAnsi="Times New Roman"/>
          <w:sz w:val="24"/>
          <w:szCs w:val="24"/>
        </w:rPr>
        <w:t>supply electricity and transfer them to the replacement provi</w:t>
      </w:r>
      <w:r w:rsidR="007604A0" w:rsidRPr="00D813D7">
        <w:rPr>
          <w:rFonts w:ascii="Times New Roman" w:hAnsi="Times New Roman"/>
          <w:sz w:val="24"/>
          <w:szCs w:val="24"/>
        </w:rPr>
        <w:t>der or paid the Actual Cost of Removal of All Facilities not sold, as specified in the proposed revision to Rule 6.</w:t>
      </w:r>
      <w:r>
        <w:rPr>
          <w:rFonts w:ascii="Times New Roman" w:hAnsi="Times New Roman"/>
          <w:sz w:val="24"/>
          <w:szCs w:val="24"/>
        </w:rPr>
        <w:t xml:space="preserve"> </w:t>
      </w:r>
      <w:r w:rsidR="00790224" w:rsidRPr="00D813D7">
        <w:rPr>
          <w:rFonts w:ascii="Times New Roman" w:hAnsi="Times New Roman"/>
          <w:sz w:val="24"/>
          <w:szCs w:val="24"/>
        </w:rPr>
        <w:t xml:space="preserve"> </w:t>
      </w:r>
      <w:r w:rsidR="002E4F38" w:rsidRPr="00D813D7">
        <w:rPr>
          <w:rFonts w:ascii="Times New Roman" w:hAnsi="Times New Roman"/>
          <w:sz w:val="24"/>
          <w:szCs w:val="24"/>
        </w:rPr>
        <w:t xml:space="preserve">I address this specific concern in more detail in Section </w:t>
      </w:r>
      <w:r w:rsidR="00881F65" w:rsidRPr="00D813D7">
        <w:rPr>
          <w:rFonts w:ascii="Times New Roman" w:hAnsi="Times New Roman"/>
          <w:sz w:val="24"/>
          <w:szCs w:val="24"/>
        </w:rPr>
        <w:t>D, Policy Issues Raised by the Proposed Stranded Cost Recovery Fee,</w:t>
      </w:r>
      <w:r w:rsidR="00A17CC4" w:rsidRPr="00D813D7">
        <w:rPr>
          <w:rFonts w:ascii="Times New Roman" w:hAnsi="Times New Roman"/>
          <w:sz w:val="24"/>
          <w:szCs w:val="24"/>
        </w:rPr>
        <w:t xml:space="preserve"> </w:t>
      </w:r>
      <w:r w:rsidR="002E4F38" w:rsidRPr="00D813D7">
        <w:rPr>
          <w:rFonts w:ascii="Times New Roman" w:hAnsi="Times New Roman"/>
          <w:sz w:val="24"/>
          <w:szCs w:val="24"/>
        </w:rPr>
        <w:t>below.</w:t>
      </w:r>
    </w:p>
    <w:p w:rsidR="00690272" w:rsidRPr="00D813D7" w:rsidRDefault="009F3E66" w:rsidP="0069027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690272" w:rsidRPr="00D813D7">
        <w:rPr>
          <w:rFonts w:ascii="Times New Roman" w:hAnsi="Times New Roman"/>
          <w:b/>
          <w:sz w:val="24"/>
          <w:szCs w:val="24"/>
        </w:rPr>
        <w:tab/>
        <w:t xml:space="preserve">Please </w:t>
      </w:r>
      <w:r w:rsidR="00F66A6C" w:rsidRPr="00D813D7">
        <w:rPr>
          <w:rFonts w:ascii="Times New Roman" w:hAnsi="Times New Roman"/>
          <w:b/>
          <w:sz w:val="24"/>
          <w:szCs w:val="24"/>
        </w:rPr>
        <w:t xml:space="preserve">explain </w:t>
      </w:r>
      <w:r w:rsidR="005A526B" w:rsidRPr="00D813D7">
        <w:rPr>
          <w:rFonts w:ascii="Times New Roman" w:hAnsi="Times New Roman"/>
          <w:b/>
          <w:sz w:val="24"/>
          <w:szCs w:val="24"/>
        </w:rPr>
        <w:t>how</w:t>
      </w:r>
      <w:r w:rsidR="00690272" w:rsidRPr="00D813D7">
        <w:rPr>
          <w:rFonts w:ascii="Times New Roman" w:hAnsi="Times New Roman"/>
          <w:b/>
          <w:sz w:val="24"/>
          <w:szCs w:val="24"/>
        </w:rPr>
        <w:t xml:space="preserve"> </w:t>
      </w:r>
      <w:r w:rsidR="00293E41" w:rsidRPr="00D813D7">
        <w:rPr>
          <w:rFonts w:ascii="Times New Roman" w:hAnsi="Times New Roman"/>
          <w:b/>
          <w:sz w:val="24"/>
          <w:szCs w:val="24"/>
        </w:rPr>
        <w:t>changes in number of customers over time impact</w:t>
      </w:r>
      <w:r w:rsidR="005A526B" w:rsidRPr="00D813D7">
        <w:rPr>
          <w:rFonts w:ascii="Times New Roman" w:hAnsi="Times New Roman"/>
          <w:b/>
          <w:sz w:val="24"/>
          <w:szCs w:val="24"/>
        </w:rPr>
        <w:t xml:space="preserve"> the </w:t>
      </w:r>
      <w:r w:rsidR="00275383" w:rsidRPr="00D813D7">
        <w:rPr>
          <w:rFonts w:ascii="Times New Roman" w:hAnsi="Times New Roman"/>
          <w:b/>
          <w:sz w:val="24"/>
          <w:szCs w:val="24"/>
        </w:rPr>
        <w:t>Stranded Cost Recovery Fee</w:t>
      </w:r>
      <w:r w:rsidR="00690272" w:rsidRPr="00D813D7">
        <w:rPr>
          <w:rFonts w:ascii="Times New Roman" w:hAnsi="Times New Roman"/>
          <w:b/>
          <w:sz w:val="24"/>
          <w:szCs w:val="24"/>
        </w:rPr>
        <w:t>.</w:t>
      </w:r>
    </w:p>
    <w:p w:rsidR="008D3AA3" w:rsidRPr="00D813D7" w:rsidRDefault="009F3E66" w:rsidP="009F3E66">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690272" w:rsidRPr="00D813D7">
        <w:rPr>
          <w:rFonts w:ascii="Times New Roman" w:hAnsi="Times New Roman"/>
          <w:sz w:val="24"/>
          <w:szCs w:val="24"/>
        </w:rPr>
        <w:tab/>
      </w:r>
      <w:r w:rsidR="005A526B" w:rsidRPr="00D813D7">
        <w:rPr>
          <w:rFonts w:ascii="Times New Roman" w:hAnsi="Times New Roman"/>
          <w:sz w:val="24"/>
          <w:szCs w:val="24"/>
        </w:rPr>
        <w:t xml:space="preserve">The number of customers is a key driver variable because it is used in the denominator </w:t>
      </w:r>
      <w:r w:rsidR="008D3AA3" w:rsidRPr="00D813D7">
        <w:rPr>
          <w:rFonts w:ascii="Times New Roman" w:hAnsi="Times New Roman"/>
          <w:sz w:val="24"/>
          <w:szCs w:val="24"/>
        </w:rPr>
        <w:t xml:space="preserve">of a ratio that represents the undiscounted </w:t>
      </w:r>
      <w:r w:rsidR="00275383" w:rsidRPr="00D813D7">
        <w:rPr>
          <w:rFonts w:ascii="Times New Roman" w:hAnsi="Times New Roman"/>
          <w:sz w:val="24"/>
          <w:szCs w:val="24"/>
        </w:rPr>
        <w:t>Stranded Cost Recovery Fee</w:t>
      </w:r>
      <w:r w:rsidR="008D3AA3" w:rsidRPr="00D813D7">
        <w:rPr>
          <w:rFonts w:ascii="Times New Roman" w:hAnsi="Times New Roman"/>
          <w:sz w:val="24"/>
          <w:szCs w:val="24"/>
        </w:rPr>
        <w:t>.</w:t>
      </w:r>
      <w:r w:rsidR="00790224" w:rsidRPr="00D813D7">
        <w:rPr>
          <w:rFonts w:ascii="Times New Roman" w:hAnsi="Times New Roman"/>
          <w:sz w:val="24"/>
          <w:szCs w:val="24"/>
        </w:rPr>
        <w:t xml:space="preserve"> </w:t>
      </w:r>
      <w:r w:rsidR="005B1E55">
        <w:rPr>
          <w:rFonts w:ascii="Times New Roman" w:hAnsi="Times New Roman"/>
          <w:sz w:val="24"/>
          <w:szCs w:val="24"/>
        </w:rPr>
        <w:t xml:space="preserve"> As a result, non</w:t>
      </w:r>
      <w:r w:rsidR="005B1E55">
        <w:rPr>
          <w:rFonts w:ascii="Times New Roman" w:hAnsi="Times New Roman"/>
          <w:sz w:val="24"/>
          <w:szCs w:val="24"/>
        </w:rPr>
        <w:noBreakHyphen/>
      </w:r>
      <w:r w:rsidR="008D3AA3" w:rsidRPr="00D813D7">
        <w:rPr>
          <w:rFonts w:ascii="Times New Roman" w:hAnsi="Times New Roman"/>
          <w:sz w:val="24"/>
          <w:szCs w:val="24"/>
        </w:rPr>
        <w:t xml:space="preserve">trivial </w:t>
      </w:r>
      <w:r w:rsidR="008D3AA3" w:rsidRPr="00D813D7">
        <w:rPr>
          <w:rFonts w:ascii="Times New Roman" w:hAnsi="Times New Roman"/>
          <w:sz w:val="24"/>
          <w:szCs w:val="24"/>
        </w:rPr>
        <w:lastRenderedPageBreak/>
        <w:t xml:space="preserve">changes in customer count can have a noticeable impact on the </w:t>
      </w:r>
      <w:r w:rsidR="00275383" w:rsidRPr="00D813D7">
        <w:rPr>
          <w:rFonts w:ascii="Times New Roman" w:hAnsi="Times New Roman"/>
          <w:sz w:val="24"/>
          <w:szCs w:val="24"/>
        </w:rPr>
        <w:t>Stranded Cost Recovery Fee</w:t>
      </w:r>
      <w:r w:rsidR="008D3AA3" w:rsidRPr="00D813D7">
        <w:rPr>
          <w:rFonts w:ascii="Times New Roman" w:hAnsi="Times New Roman"/>
          <w:sz w:val="24"/>
          <w:szCs w:val="24"/>
        </w:rPr>
        <w:t>.</w:t>
      </w:r>
      <w:r w:rsidR="00790224" w:rsidRPr="00D813D7">
        <w:rPr>
          <w:rFonts w:ascii="Times New Roman" w:hAnsi="Times New Roman"/>
          <w:sz w:val="24"/>
          <w:szCs w:val="24"/>
        </w:rPr>
        <w:t xml:space="preserve"> </w:t>
      </w:r>
    </w:p>
    <w:p w:rsidR="00DE6E6B" w:rsidRPr="00D813D7" w:rsidRDefault="009F3E66" w:rsidP="005B1E55">
      <w:pPr>
        <w:widowControl w:val="0"/>
        <w:spacing w:after="0" w:line="480" w:lineRule="auto"/>
        <w:ind w:left="720"/>
        <w:rPr>
          <w:rFonts w:ascii="Times New Roman" w:hAnsi="Times New Roman"/>
          <w:sz w:val="24"/>
          <w:szCs w:val="24"/>
        </w:rPr>
      </w:pPr>
      <w:r>
        <w:rPr>
          <w:rFonts w:ascii="Times New Roman" w:hAnsi="Times New Roman"/>
          <w:sz w:val="24"/>
          <w:szCs w:val="24"/>
        </w:rPr>
        <w:tab/>
      </w:r>
      <w:r w:rsidR="00230C63" w:rsidRPr="00D813D7">
        <w:rPr>
          <w:rFonts w:ascii="Times New Roman" w:hAnsi="Times New Roman"/>
          <w:sz w:val="24"/>
          <w:szCs w:val="24"/>
        </w:rPr>
        <w:t xml:space="preserve">Pacific Power </w:t>
      </w:r>
      <w:r w:rsidR="00690272" w:rsidRPr="00D813D7">
        <w:rPr>
          <w:rFonts w:ascii="Times New Roman" w:hAnsi="Times New Roman"/>
          <w:sz w:val="24"/>
          <w:szCs w:val="24"/>
        </w:rPr>
        <w:t xml:space="preserve">estimates the Stranded Cost Recovery Fee </w:t>
      </w:r>
      <w:r w:rsidR="008D3AA3" w:rsidRPr="00D813D7">
        <w:rPr>
          <w:rFonts w:ascii="Times New Roman" w:hAnsi="Times New Roman"/>
          <w:sz w:val="24"/>
          <w:szCs w:val="24"/>
        </w:rPr>
        <w:t xml:space="preserve">for each rate class schedule </w:t>
      </w:r>
      <w:r w:rsidR="00690272" w:rsidRPr="00D813D7">
        <w:rPr>
          <w:rFonts w:ascii="Times New Roman" w:hAnsi="Times New Roman"/>
          <w:sz w:val="24"/>
          <w:szCs w:val="24"/>
        </w:rPr>
        <w:t xml:space="preserve">by </w:t>
      </w:r>
      <w:r w:rsidR="008D3AA3" w:rsidRPr="00D813D7">
        <w:rPr>
          <w:rFonts w:ascii="Times New Roman" w:hAnsi="Times New Roman"/>
          <w:sz w:val="24"/>
          <w:szCs w:val="24"/>
        </w:rPr>
        <w:t>calculating average total revenue per customer and average non-net power costs per customer.</w:t>
      </w:r>
      <w:r w:rsidR="00790224" w:rsidRPr="00D813D7">
        <w:rPr>
          <w:rFonts w:ascii="Times New Roman" w:hAnsi="Times New Roman"/>
          <w:sz w:val="24"/>
          <w:szCs w:val="24"/>
        </w:rPr>
        <w:t xml:space="preserve"> </w:t>
      </w:r>
      <w:r w:rsidR="005B1E55">
        <w:rPr>
          <w:rFonts w:ascii="Times New Roman" w:hAnsi="Times New Roman"/>
          <w:sz w:val="24"/>
          <w:szCs w:val="24"/>
        </w:rPr>
        <w:t xml:space="preserve"> The Company then takes the 10</w:t>
      </w:r>
      <w:r w:rsidR="008D3AA3" w:rsidRPr="00D813D7">
        <w:rPr>
          <w:rFonts w:ascii="Times New Roman" w:hAnsi="Times New Roman"/>
          <w:sz w:val="24"/>
          <w:szCs w:val="24"/>
        </w:rPr>
        <w:t xml:space="preserve">-year </w:t>
      </w:r>
      <w:r w:rsidR="00176232" w:rsidRPr="00D813D7">
        <w:rPr>
          <w:rFonts w:ascii="Times New Roman" w:hAnsi="Times New Roman"/>
          <w:sz w:val="24"/>
          <w:szCs w:val="24"/>
        </w:rPr>
        <w:t xml:space="preserve">net present value </w:t>
      </w:r>
      <w:r w:rsidR="008D3AA3" w:rsidRPr="00D813D7">
        <w:rPr>
          <w:rFonts w:ascii="Times New Roman" w:hAnsi="Times New Roman"/>
          <w:sz w:val="24"/>
          <w:szCs w:val="24"/>
        </w:rPr>
        <w:t>of the average non-net power costs per customer and divides it by the average total revenue per customer to get the multiplier used to set the rate</w:t>
      </w:r>
      <w:r w:rsidR="005B1E55">
        <w:rPr>
          <w:rFonts w:ascii="Times New Roman" w:hAnsi="Times New Roman"/>
          <w:sz w:val="24"/>
          <w:szCs w:val="24"/>
        </w:rPr>
        <w:t xml:space="preserve"> for Non-Residential customers.</w:t>
      </w:r>
    </w:p>
    <w:p w:rsidR="00DE6E6B" w:rsidRPr="00D813D7" w:rsidRDefault="005B1E55" w:rsidP="005B1E55">
      <w:pPr>
        <w:widowControl w:val="0"/>
        <w:spacing w:after="0" w:line="480" w:lineRule="auto"/>
        <w:ind w:left="720"/>
        <w:rPr>
          <w:rFonts w:ascii="Times New Roman" w:hAnsi="Times New Roman"/>
          <w:sz w:val="24"/>
          <w:szCs w:val="24"/>
        </w:rPr>
      </w:pPr>
      <w:r>
        <w:rPr>
          <w:rFonts w:ascii="Times New Roman" w:hAnsi="Times New Roman"/>
          <w:sz w:val="24"/>
          <w:szCs w:val="24"/>
        </w:rPr>
        <w:tab/>
      </w:r>
      <w:r w:rsidR="00DE6E6B" w:rsidRPr="00D813D7">
        <w:rPr>
          <w:rFonts w:ascii="Times New Roman" w:hAnsi="Times New Roman"/>
          <w:sz w:val="24"/>
          <w:szCs w:val="24"/>
        </w:rPr>
        <w:t>The Company</w:t>
      </w:r>
      <w:r w:rsidR="008D3AA3" w:rsidRPr="00D813D7">
        <w:rPr>
          <w:rFonts w:ascii="Times New Roman" w:hAnsi="Times New Roman"/>
          <w:sz w:val="24"/>
          <w:szCs w:val="24"/>
        </w:rPr>
        <w:t xml:space="preserve"> propose</w:t>
      </w:r>
      <w:r w:rsidR="005B355E">
        <w:rPr>
          <w:rFonts w:ascii="Times New Roman" w:hAnsi="Times New Roman"/>
          <w:sz w:val="24"/>
          <w:szCs w:val="24"/>
        </w:rPr>
        <w:t>s</w:t>
      </w:r>
      <w:r w:rsidR="008D3AA3" w:rsidRPr="00D813D7">
        <w:rPr>
          <w:rFonts w:ascii="Times New Roman" w:hAnsi="Times New Roman"/>
          <w:sz w:val="24"/>
          <w:szCs w:val="24"/>
        </w:rPr>
        <w:t xml:space="preserve"> using the </w:t>
      </w:r>
      <w:r w:rsidR="00176232" w:rsidRPr="00D813D7">
        <w:rPr>
          <w:rFonts w:ascii="Times New Roman" w:hAnsi="Times New Roman"/>
          <w:sz w:val="24"/>
          <w:szCs w:val="24"/>
        </w:rPr>
        <w:t xml:space="preserve">net present value </w:t>
      </w:r>
      <w:r w:rsidR="008D3AA3" w:rsidRPr="00D813D7">
        <w:rPr>
          <w:rFonts w:ascii="Times New Roman" w:hAnsi="Times New Roman"/>
          <w:sz w:val="24"/>
          <w:szCs w:val="24"/>
        </w:rPr>
        <w:t xml:space="preserve">of </w:t>
      </w:r>
      <w:r>
        <w:rPr>
          <w:rFonts w:ascii="Times New Roman" w:hAnsi="Times New Roman"/>
          <w:sz w:val="24"/>
          <w:szCs w:val="24"/>
        </w:rPr>
        <w:t>the non-net power costs over 10</w:t>
      </w:r>
      <w:r w:rsidR="008D3AA3" w:rsidRPr="00D813D7">
        <w:rPr>
          <w:rFonts w:ascii="Times New Roman" w:hAnsi="Times New Roman"/>
          <w:sz w:val="24"/>
          <w:szCs w:val="24"/>
        </w:rPr>
        <w:t xml:space="preserve"> years as the flat fee for </w:t>
      </w:r>
      <w:r w:rsidR="00EC38DE" w:rsidRPr="00D813D7">
        <w:rPr>
          <w:rFonts w:ascii="Times New Roman" w:hAnsi="Times New Roman"/>
          <w:sz w:val="24"/>
          <w:szCs w:val="24"/>
        </w:rPr>
        <w:t>Residential customers.</w:t>
      </w:r>
      <w:r w:rsidR="00434C6D" w:rsidRPr="00D813D7">
        <w:rPr>
          <w:rStyle w:val="FootnoteReference"/>
          <w:rFonts w:ascii="Times New Roman" w:hAnsi="Times New Roman"/>
          <w:sz w:val="24"/>
          <w:szCs w:val="24"/>
        </w:rPr>
        <w:footnoteReference w:id="68"/>
      </w:r>
      <w:r w:rsidR="00790224" w:rsidRPr="00D813D7">
        <w:rPr>
          <w:rFonts w:ascii="Times New Roman" w:hAnsi="Times New Roman"/>
          <w:sz w:val="24"/>
          <w:szCs w:val="24"/>
        </w:rPr>
        <w:t xml:space="preserve"> </w:t>
      </w:r>
      <w:r w:rsidR="00531F31">
        <w:rPr>
          <w:rFonts w:ascii="Times New Roman" w:hAnsi="Times New Roman"/>
          <w:sz w:val="24"/>
          <w:szCs w:val="24"/>
        </w:rPr>
        <w:t xml:space="preserve"> </w:t>
      </w:r>
      <w:r w:rsidR="00EC38DE" w:rsidRPr="00D813D7">
        <w:rPr>
          <w:rFonts w:ascii="Times New Roman" w:hAnsi="Times New Roman"/>
          <w:sz w:val="24"/>
          <w:szCs w:val="24"/>
        </w:rPr>
        <w:t>Since the multiplier is based on average revenue per customer, a small increase in number of cus</w:t>
      </w:r>
      <w:r>
        <w:rPr>
          <w:rFonts w:ascii="Times New Roman" w:hAnsi="Times New Roman"/>
          <w:sz w:val="24"/>
          <w:szCs w:val="24"/>
        </w:rPr>
        <w:t>tomers, e.g., five percent (5%)</w:t>
      </w:r>
      <w:r w:rsidR="00EC38DE" w:rsidRPr="00D813D7">
        <w:rPr>
          <w:rFonts w:ascii="Times New Roman" w:hAnsi="Times New Roman"/>
          <w:sz w:val="24"/>
          <w:szCs w:val="24"/>
        </w:rPr>
        <w:t xml:space="preserve"> produces an equal magnitude reduction in the </w:t>
      </w:r>
      <w:r w:rsidR="00176232" w:rsidRPr="00D813D7">
        <w:rPr>
          <w:rFonts w:ascii="Times New Roman" w:hAnsi="Times New Roman"/>
          <w:sz w:val="24"/>
          <w:szCs w:val="24"/>
        </w:rPr>
        <w:t>net present value</w:t>
      </w:r>
      <w:r w:rsidR="00EC38DE" w:rsidRPr="00D813D7">
        <w:rPr>
          <w:rFonts w:ascii="Times New Roman" w:hAnsi="Times New Roman"/>
          <w:sz w:val="24"/>
          <w:szCs w:val="24"/>
        </w:rPr>
        <w:t>,</w:t>
      </w:r>
      <w:r w:rsidR="00DE6E6B" w:rsidRPr="00D813D7">
        <w:rPr>
          <w:rFonts w:ascii="Times New Roman" w:hAnsi="Times New Roman"/>
          <w:sz w:val="24"/>
          <w:szCs w:val="24"/>
        </w:rPr>
        <w:t xml:space="preserve"> the estimate of stranded cost apportio</w:t>
      </w:r>
      <w:r>
        <w:rPr>
          <w:rFonts w:ascii="Times New Roman" w:hAnsi="Times New Roman"/>
          <w:sz w:val="24"/>
          <w:szCs w:val="24"/>
        </w:rPr>
        <w:t xml:space="preserve">ned to the departing customer. </w:t>
      </w:r>
    </w:p>
    <w:p w:rsidR="00EC38DE" w:rsidRPr="00D813D7" w:rsidRDefault="005B1E55" w:rsidP="005B1E55">
      <w:pPr>
        <w:widowControl w:val="0"/>
        <w:spacing w:after="0" w:line="480" w:lineRule="auto"/>
        <w:ind w:left="720"/>
        <w:rPr>
          <w:rFonts w:ascii="Times New Roman" w:hAnsi="Times New Roman"/>
          <w:sz w:val="24"/>
          <w:szCs w:val="24"/>
        </w:rPr>
      </w:pPr>
      <w:r>
        <w:rPr>
          <w:rFonts w:ascii="Times New Roman" w:hAnsi="Times New Roman"/>
          <w:sz w:val="24"/>
          <w:szCs w:val="24"/>
        </w:rPr>
        <w:tab/>
      </w:r>
      <w:r w:rsidR="00DE6E6B" w:rsidRPr="00D813D7">
        <w:rPr>
          <w:rFonts w:ascii="Times New Roman" w:hAnsi="Times New Roman"/>
          <w:sz w:val="24"/>
          <w:szCs w:val="24"/>
        </w:rPr>
        <w:t xml:space="preserve">The </w:t>
      </w:r>
      <w:r w:rsidR="00176232" w:rsidRPr="00D813D7">
        <w:rPr>
          <w:rFonts w:ascii="Times New Roman" w:hAnsi="Times New Roman"/>
          <w:sz w:val="24"/>
          <w:szCs w:val="24"/>
        </w:rPr>
        <w:t xml:space="preserve">net present value </w:t>
      </w:r>
      <w:r w:rsidR="00DE6E6B" w:rsidRPr="00D813D7">
        <w:rPr>
          <w:rFonts w:ascii="Times New Roman" w:hAnsi="Times New Roman"/>
          <w:sz w:val="24"/>
          <w:szCs w:val="24"/>
        </w:rPr>
        <w:t xml:space="preserve">of this estimate of stranded cost per customer </w:t>
      </w:r>
      <w:r w:rsidR="00EC38DE" w:rsidRPr="00D813D7">
        <w:rPr>
          <w:rFonts w:ascii="Times New Roman" w:hAnsi="Times New Roman"/>
          <w:sz w:val="24"/>
          <w:szCs w:val="24"/>
        </w:rPr>
        <w:t>is used to calculate the flat rate for Residential customers.</w:t>
      </w:r>
      <w:r w:rsidR="00790224" w:rsidRPr="00D813D7">
        <w:rPr>
          <w:rFonts w:ascii="Times New Roman" w:hAnsi="Times New Roman"/>
          <w:sz w:val="24"/>
          <w:szCs w:val="24"/>
        </w:rPr>
        <w:t xml:space="preserve"> </w:t>
      </w:r>
      <w:r>
        <w:rPr>
          <w:rFonts w:ascii="Times New Roman" w:hAnsi="Times New Roman"/>
          <w:sz w:val="24"/>
          <w:szCs w:val="24"/>
        </w:rPr>
        <w:t xml:space="preserve"> </w:t>
      </w:r>
      <w:r w:rsidR="00EC38DE" w:rsidRPr="00D813D7">
        <w:rPr>
          <w:rFonts w:ascii="Times New Roman" w:hAnsi="Times New Roman"/>
          <w:sz w:val="24"/>
          <w:szCs w:val="24"/>
        </w:rPr>
        <w:t xml:space="preserve">The multiplier </w:t>
      </w:r>
      <w:r w:rsidR="00DE6E6B" w:rsidRPr="00D813D7">
        <w:rPr>
          <w:rFonts w:ascii="Times New Roman" w:hAnsi="Times New Roman"/>
          <w:sz w:val="24"/>
          <w:szCs w:val="24"/>
        </w:rPr>
        <w:t xml:space="preserve">used for Non-Residential customers </w:t>
      </w:r>
      <w:r w:rsidR="00EC38DE" w:rsidRPr="00D813D7">
        <w:rPr>
          <w:rFonts w:ascii="Times New Roman" w:hAnsi="Times New Roman"/>
          <w:sz w:val="24"/>
          <w:szCs w:val="24"/>
        </w:rPr>
        <w:t>remains the same because</w:t>
      </w:r>
      <w:r w:rsidR="00531F31">
        <w:rPr>
          <w:rFonts w:ascii="Times New Roman" w:hAnsi="Times New Roman"/>
          <w:sz w:val="24"/>
          <w:szCs w:val="24"/>
        </w:rPr>
        <w:t xml:space="preserve"> the change in customers impacts</w:t>
      </w:r>
      <w:r w:rsidR="00EC38DE" w:rsidRPr="00D813D7">
        <w:rPr>
          <w:rFonts w:ascii="Times New Roman" w:hAnsi="Times New Roman"/>
          <w:sz w:val="24"/>
          <w:szCs w:val="24"/>
        </w:rPr>
        <w:t xml:space="preserve"> both the numerator and the denominator.</w:t>
      </w:r>
    </w:p>
    <w:p w:rsidR="00DE6E6B" w:rsidRPr="00D813D7" w:rsidRDefault="005B1E55" w:rsidP="00DE6E6B">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DE6E6B" w:rsidRPr="00D813D7">
        <w:rPr>
          <w:rFonts w:ascii="Times New Roman" w:hAnsi="Times New Roman"/>
          <w:b/>
          <w:sz w:val="24"/>
          <w:szCs w:val="24"/>
        </w:rPr>
        <w:tab/>
        <w:t xml:space="preserve">What does the Company assume for customer growth in its proposed </w:t>
      </w:r>
      <w:r w:rsidR="00275383" w:rsidRPr="00D813D7">
        <w:rPr>
          <w:rFonts w:ascii="Times New Roman" w:hAnsi="Times New Roman"/>
          <w:b/>
          <w:sz w:val="24"/>
          <w:szCs w:val="24"/>
        </w:rPr>
        <w:t>Stranded Cost Recovery Fee</w:t>
      </w:r>
      <w:r w:rsidR="00DE6E6B" w:rsidRPr="00D813D7">
        <w:rPr>
          <w:rFonts w:ascii="Times New Roman" w:hAnsi="Times New Roman"/>
          <w:b/>
          <w:sz w:val="24"/>
          <w:szCs w:val="24"/>
        </w:rPr>
        <w:t>?</w:t>
      </w:r>
    </w:p>
    <w:p w:rsidR="00DE6E6B" w:rsidRPr="00D813D7" w:rsidRDefault="005B1E55" w:rsidP="005B1E55">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DE6E6B" w:rsidRPr="00D813D7">
        <w:rPr>
          <w:rFonts w:ascii="Times New Roman" w:hAnsi="Times New Roman"/>
          <w:sz w:val="24"/>
          <w:szCs w:val="24"/>
        </w:rPr>
        <w:tab/>
      </w:r>
      <w:r w:rsidR="00DA0ED5">
        <w:rPr>
          <w:rFonts w:ascii="Times New Roman" w:hAnsi="Times New Roman"/>
          <w:sz w:val="24"/>
          <w:szCs w:val="24"/>
        </w:rPr>
        <w:t>Pacific Power</w:t>
      </w:r>
      <w:r w:rsidR="00DE6E6B" w:rsidRPr="00D813D7">
        <w:rPr>
          <w:rFonts w:ascii="Times New Roman" w:hAnsi="Times New Roman"/>
          <w:sz w:val="24"/>
          <w:szCs w:val="24"/>
        </w:rPr>
        <w:t xml:space="preserve"> assumes that the </w:t>
      </w:r>
      <w:r w:rsidR="00690272" w:rsidRPr="00D813D7">
        <w:rPr>
          <w:rFonts w:ascii="Times New Roman" w:hAnsi="Times New Roman"/>
          <w:sz w:val="24"/>
          <w:szCs w:val="24"/>
        </w:rPr>
        <w:t xml:space="preserve">number of customers derives from the same </w:t>
      </w:r>
      <w:r w:rsidR="005A1613" w:rsidRPr="00D813D7">
        <w:rPr>
          <w:rFonts w:ascii="Times New Roman" w:hAnsi="Times New Roman"/>
          <w:sz w:val="24"/>
          <w:szCs w:val="24"/>
        </w:rPr>
        <w:t>12-</w:t>
      </w:r>
      <w:r w:rsidR="00690272" w:rsidRPr="00D813D7">
        <w:rPr>
          <w:rFonts w:ascii="Times New Roman" w:hAnsi="Times New Roman"/>
          <w:sz w:val="24"/>
          <w:szCs w:val="24"/>
        </w:rPr>
        <w:t>month period ending June 2015 used to estimate fixed costs.</w:t>
      </w:r>
      <w:r w:rsidR="00690272" w:rsidRPr="00D813D7">
        <w:rPr>
          <w:rStyle w:val="FootnoteReference"/>
          <w:rFonts w:ascii="Times New Roman" w:hAnsi="Times New Roman"/>
          <w:sz w:val="24"/>
          <w:szCs w:val="24"/>
        </w:rPr>
        <w:footnoteReference w:id="69"/>
      </w:r>
      <w:r w:rsidR="00690272" w:rsidRPr="00D813D7">
        <w:rPr>
          <w:rFonts w:ascii="Times New Roman" w:hAnsi="Times New Roman"/>
          <w:sz w:val="24"/>
          <w:szCs w:val="24"/>
        </w:rPr>
        <w:t xml:space="preserve"> </w:t>
      </w:r>
      <w:r>
        <w:rPr>
          <w:rFonts w:ascii="Times New Roman" w:hAnsi="Times New Roman"/>
          <w:sz w:val="24"/>
          <w:szCs w:val="24"/>
        </w:rPr>
        <w:t xml:space="preserve"> </w:t>
      </w:r>
      <w:r w:rsidR="00230C63" w:rsidRPr="00D813D7">
        <w:rPr>
          <w:rFonts w:ascii="Times New Roman" w:hAnsi="Times New Roman"/>
          <w:sz w:val="24"/>
          <w:szCs w:val="24"/>
        </w:rPr>
        <w:t xml:space="preserve">The Company </w:t>
      </w:r>
      <w:r w:rsidR="00690272" w:rsidRPr="00D813D7">
        <w:rPr>
          <w:rFonts w:ascii="Times New Roman" w:hAnsi="Times New Roman"/>
          <w:sz w:val="24"/>
          <w:szCs w:val="24"/>
        </w:rPr>
        <w:t xml:space="preserve">also does not assume any load growth over the </w:t>
      </w:r>
      <w:r w:rsidR="00531F31">
        <w:rPr>
          <w:rFonts w:ascii="Times New Roman" w:hAnsi="Times New Roman"/>
          <w:sz w:val="24"/>
          <w:szCs w:val="24"/>
        </w:rPr>
        <w:t>10</w:t>
      </w:r>
      <w:r w:rsidR="008D3AA3" w:rsidRPr="00D813D7">
        <w:rPr>
          <w:rFonts w:ascii="Times New Roman" w:hAnsi="Times New Roman"/>
          <w:sz w:val="24"/>
          <w:szCs w:val="24"/>
        </w:rPr>
        <w:t>-</w:t>
      </w:r>
      <w:r w:rsidR="00690272" w:rsidRPr="00D813D7">
        <w:rPr>
          <w:rFonts w:ascii="Times New Roman" w:hAnsi="Times New Roman"/>
          <w:sz w:val="24"/>
          <w:szCs w:val="24"/>
        </w:rPr>
        <w:t>year period of its analysis.</w:t>
      </w:r>
      <w:r w:rsidR="00690272" w:rsidRPr="00D813D7">
        <w:rPr>
          <w:rStyle w:val="FootnoteReference"/>
          <w:rFonts w:ascii="Times New Roman" w:hAnsi="Times New Roman"/>
          <w:sz w:val="24"/>
          <w:szCs w:val="24"/>
        </w:rPr>
        <w:footnoteReference w:id="70"/>
      </w:r>
      <w:r w:rsidR="00690272" w:rsidRPr="00D813D7">
        <w:rPr>
          <w:rFonts w:ascii="Times New Roman" w:hAnsi="Times New Roman"/>
          <w:sz w:val="24"/>
          <w:szCs w:val="24"/>
        </w:rPr>
        <w:t xml:space="preserve"> </w:t>
      </w:r>
      <w:r>
        <w:rPr>
          <w:rFonts w:ascii="Times New Roman" w:hAnsi="Times New Roman"/>
          <w:sz w:val="24"/>
          <w:szCs w:val="24"/>
        </w:rPr>
        <w:t xml:space="preserve"> </w:t>
      </w:r>
      <w:r w:rsidR="00230C63" w:rsidRPr="00D813D7">
        <w:rPr>
          <w:rFonts w:ascii="Times New Roman" w:hAnsi="Times New Roman"/>
          <w:sz w:val="24"/>
          <w:szCs w:val="24"/>
        </w:rPr>
        <w:t xml:space="preserve">The Company </w:t>
      </w:r>
      <w:r w:rsidR="00AB1C60" w:rsidRPr="00D813D7">
        <w:rPr>
          <w:rFonts w:ascii="Times New Roman" w:hAnsi="Times New Roman"/>
          <w:sz w:val="24"/>
          <w:szCs w:val="24"/>
        </w:rPr>
        <w:t xml:space="preserve">argues that its </w:t>
      </w:r>
      <w:r w:rsidR="00AB1C60" w:rsidRPr="00D813D7">
        <w:rPr>
          <w:rFonts w:ascii="Times New Roman" w:hAnsi="Times New Roman"/>
          <w:sz w:val="24"/>
          <w:szCs w:val="24"/>
        </w:rPr>
        <w:lastRenderedPageBreak/>
        <w:t>Washington loads have been flat to declining over the past several years,</w:t>
      </w:r>
      <w:r w:rsidR="00AB1C60" w:rsidRPr="00D813D7">
        <w:rPr>
          <w:rStyle w:val="FootnoteReference"/>
          <w:rFonts w:ascii="Times New Roman" w:hAnsi="Times New Roman"/>
          <w:sz w:val="24"/>
          <w:szCs w:val="24"/>
        </w:rPr>
        <w:footnoteReference w:id="71"/>
      </w:r>
      <w:r w:rsidR="00AB1C60" w:rsidRPr="00D813D7">
        <w:rPr>
          <w:rFonts w:ascii="Times New Roman" w:hAnsi="Times New Roman"/>
          <w:sz w:val="24"/>
          <w:szCs w:val="24"/>
        </w:rPr>
        <w:t xml:space="preserve"> which</w:t>
      </w:r>
      <w:r w:rsidR="001E64F8" w:rsidRPr="00D813D7">
        <w:rPr>
          <w:rFonts w:ascii="Times New Roman" w:hAnsi="Times New Roman"/>
          <w:sz w:val="24"/>
          <w:szCs w:val="24"/>
        </w:rPr>
        <w:t xml:space="preserve"> the Company claims</w:t>
      </w:r>
      <w:r w:rsidR="00531F31">
        <w:rPr>
          <w:rFonts w:ascii="Times New Roman" w:hAnsi="Times New Roman"/>
          <w:sz w:val="24"/>
          <w:szCs w:val="24"/>
        </w:rPr>
        <w:t xml:space="preserve"> indicate</w:t>
      </w:r>
      <w:r w:rsidR="001E64F8" w:rsidRPr="00D813D7">
        <w:rPr>
          <w:rFonts w:ascii="Times New Roman" w:hAnsi="Times New Roman"/>
          <w:sz w:val="24"/>
          <w:szCs w:val="24"/>
        </w:rPr>
        <w:t xml:space="preserve"> that</w:t>
      </w:r>
      <w:r w:rsidR="00AB1C60" w:rsidRPr="00D813D7">
        <w:rPr>
          <w:rFonts w:ascii="Times New Roman" w:hAnsi="Times New Roman"/>
          <w:sz w:val="24"/>
          <w:szCs w:val="24"/>
        </w:rPr>
        <w:t xml:space="preserve"> such an adjustment would be unnecessary. </w:t>
      </w:r>
    </w:p>
    <w:p w:rsidR="00DE6E6B" w:rsidRPr="00D813D7" w:rsidRDefault="005B1E55" w:rsidP="00DE6E6B">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DE6E6B" w:rsidRPr="00D813D7">
        <w:rPr>
          <w:rFonts w:ascii="Times New Roman" w:hAnsi="Times New Roman"/>
          <w:b/>
          <w:sz w:val="24"/>
          <w:szCs w:val="24"/>
        </w:rPr>
        <w:tab/>
        <w:t>Do you agree with the Company’s customer growth assumption?</w:t>
      </w:r>
    </w:p>
    <w:p w:rsidR="00DE6E6B" w:rsidRPr="00D813D7" w:rsidRDefault="005B1E55" w:rsidP="002E4F38">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DE6E6B" w:rsidRPr="00D813D7">
        <w:rPr>
          <w:rFonts w:ascii="Times New Roman" w:hAnsi="Times New Roman"/>
          <w:sz w:val="24"/>
          <w:szCs w:val="24"/>
        </w:rPr>
        <w:tab/>
      </w:r>
      <w:r w:rsidR="00D02C65" w:rsidRPr="00D813D7">
        <w:rPr>
          <w:rFonts w:ascii="Times New Roman" w:hAnsi="Times New Roman"/>
          <w:sz w:val="24"/>
          <w:szCs w:val="24"/>
        </w:rPr>
        <w:t>I agree that many utilities are facing slow load growth even with a significant increase in customer count</w:t>
      </w:r>
      <w:r w:rsidR="001E64F8" w:rsidRPr="00D813D7">
        <w:rPr>
          <w:rFonts w:ascii="Times New Roman" w:hAnsi="Times New Roman"/>
          <w:sz w:val="24"/>
          <w:szCs w:val="24"/>
        </w:rPr>
        <w:t>.</w:t>
      </w:r>
      <w:r w:rsidR="0092753D" w:rsidRPr="00D813D7">
        <w:rPr>
          <w:rFonts w:ascii="Times New Roman" w:hAnsi="Times New Roman"/>
          <w:sz w:val="24"/>
          <w:szCs w:val="24"/>
        </w:rPr>
        <w:t xml:space="preserve"> </w:t>
      </w:r>
      <w:r w:rsidR="00531F31">
        <w:rPr>
          <w:rFonts w:ascii="Times New Roman" w:hAnsi="Times New Roman"/>
          <w:sz w:val="24"/>
          <w:szCs w:val="24"/>
        </w:rPr>
        <w:t xml:space="preserve"> </w:t>
      </w:r>
      <w:r w:rsidR="00DE6E6B" w:rsidRPr="00D813D7">
        <w:rPr>
          <w:rFonts w:ascii="Times New Roman" w:hAnsi="Times New Roman"/>
          <w:sz w:val="24"/>
          <w:szCs w:val="24"/>
        </w:rPr>
        <w:t>I would point out that despite some justification for holding the customer count constant over time, there are reasons to anticipate some growth in the future in either customer count or total revenue per customer</w:t>
      </w:r>
      <w:r w:rsidR="00434C6D" w:rsidRPr="00D813D7">
        <w:rPr>
          <w:rFonts w:ascii="Times New Roman" w:hAnsi="Times New Roman"/>
          <w:sz w:val="24"/>
          <w:szCs w:val="24"/>
        </w:rPr>
        <w:t xml:space="preserve">. </w:t>
      </w:r>
      <w:r w:rsidR="00531F31">
        <w:rPr>
          <w:rFonts w:ascii="Times New Roman" w:hAnsi="Times New Roman"/>
          <w:sz w:val="24"/>
          <w:szCs w:val="24"/>
        </w:rPr>
        <w:t xml:space="preserve"> Furthermore, the zero</w:t>
      </w:r>
      <w:r w:rsidR="00531F31">
        <w:rPr>
          <w:rFonts w:ascii="Times New Roman" w:hAnsi="Times New Roman"/>
          <w:sz w:val="24"/>
          <w:szCs w:val="24"/>
        </w:rPr>
        <w:noBreakHyphen/>
      </w:r>
      <w:r w:rsidR="002E4F38" w:rsidRPr="00D813D7">
        <w:rPr>
          <w:rFonts w:ascii="Times New Roman" w:hAnsi="Times New Roman"/>
          <w:sz w:val="24"/>
          <w:szCs w:val="24"/>
        </w:rPr>
        <w:t>growth assumption ignores technology driven changes in demand per customer such as recharging service for electric vehicles and distributed generation, tariffs offerings for which are under consideration by several utilities across the country at this time.</w:t>
      </w:r>
      <w:r w:rsidR="00790224" w:rsidRPr="00D813D7">
        <w:rPr>
          <w:rFonts w:ascii="Times New Roman" w:hAnsi="Times New Roman"/>
          <w:sz w:val="24"/>
          <w:szCs w:val="24"/>
        </w:rPr>
        <w:t xml:space="preserve"> </w:t>
      </w:r>
      <w:r w:rsidR="002E4F38" w:rsidRPr="00D813D7">
        <w:rPr>
          <w:rFonts w:ascii="Times New Roman" w:hAnsi="Times New Roman"/>
          <w:sz w:val="24"/>
          <w:szCs w:val="24"/>
        </w:rPr>
        <w:t xml:space="preserve"> As a result, </w:t>
      </w:r>
      <w:r w:rsidR="001E64F8" w:rsidRPr="00D813D7">
        <w:rPr>
          <w:rFonts w:ascii="Times New Roman" w:hAnsi="Times New Roman"/>
          <w:sz w:val="24"/>
          <w:szCs w:val="24"/>
        </w:rPr>
        <w:t>the Company should determine the potential for customer growth for these and similar reasons and reflect the impact of that growth in its analysis of the Stranded Cost Recovery Fee.</w:t>
      </w:r>
    </w:p>
    <w:p w:rsidR="00AB1C60" w:rsidRPr="00D813D7" w:rsidRDefault="005B1E55" w:rsidP="00AB1C60">
      <w:pPr>
        <w:widowControl w:val="0"/>
        <w:spacing w:after="0" w:line="480" w:lineRule="auto"/>
        <w:ind w:left="720" w:hanging="720"/>
        <w:rPr>
          <w:rFonts w:ascii="Times New Roman" w:hAnsi="Times New Roman"/>
          <w:b/>
          <w:sz w:val="24"/>
          <w:szCs w:val="24"/>
        </w:rPr>
      </w:pPr>
      <w:bookmarkStart w:id="22" w:name="_Hlk479268349"/>
      <w:r>
        <w:rPr>
          <w:rFonts w:ascii="Times New Roman" w:hAnsi="Times New Roman"/>
          <w:b/>
          <w:sz w:val="24"/>
          <w:szCs w:val="24"/>
        </w:rPr>
        <w:t>Q:</w:t>
      </w:r>
      <w:r w:rsidR="00AB1C60" w:rsidRPr="00D813D7">
        <w:rPr>
          <w:rFonts w:ascii="Times New Roman" w:hAnsi="Times New Roman"/>
          <w:b/>
          <w:sz w:val="24"/>
          <w:szCs w:val="24"/>
        </w:rPr>
        <w:tab/>
      </w:r>
      <w:r w:rsidR="00E60476" w:rsidRPr="00D813D7">
        <w:rPr>
          <w:rFonts w:ascii="Times New Roman" w:hAnsi="Times New Roman"/>
          <w:b/>
          <w:sz w:val="24"/>
          <w:szCs w:val="24"/>
        </w:rPr>
        <w:t>How is</w:t>
      </w:r>
      <w:r w:rsidR="00AB1C60" w:rsidRPr="00D813D7">
        <w:rPr>
          <w:rFonts w:ascii="Times New Roman" w:hAnsi="Times New Roman"/>
          <w:b/>
          <w:sz w:val="24"/>
          <w:szCs w:val="24"/>
        </w:rPr>
        <w:t xml:space="preserve"> the potential for avoided cost benefits due to deferred investments</w:t>
      </w:r>
      <w:r w:rsidR="00E60476" w:rsidRPr="00D813D7">
        <w:rPr>
          <w:rFonts w:ascii="Times New Roman" w:hAnsi="Times New Roman"/>
          <w:b/>
          <w:sz w:val="24"/>
          <w:szCs w:val="24"/>
        </w:rPr>
        <w:t xml:space="preserve"> reflected in the proposed </w:t>
      </w:r>
      <w:r w:rsidR="00275383" w:rsidRPr="00D813D7">
        <w:rPr>
          <w:rFonts w:ascii="Times New Roman" w:hAnsi="Times New Roman"/>
          <w:b/>
          <w:sz w:val="24"/>
          <w:szCs w:val="24"/>
        </w:rPr>
        <w:t>Stranded Cost Recovery Fee</w:t>
      </w:r>
      <w:r w:rsidR="00E60476" w:rsidRPr="00D813D7">
        <w:rPr>
          <w:rFonts w:ascii="Times New Roman" w:hAnsi="Times New Roman"/>
          <w:b/>
          <w:sz w:val="24"/>
          <w:szCs w:val="24"/>
        </w:rPr>
        <w:t>?</w:t>
      </w:r>
    </w:p>
    <w:p w:rsidR="007604A0" w:rsidRPr="00D813D7" w:rsidRDefault="005B1E55" w:rsidP="00647FF4">
      <w:pPr>
        <w:widowControl w:val="0"/>
        <w:spacing w:after="0" w:line="480" w:lineRule="auto"/>
        <w:ind w:left="720"/>
        <w:rPr>
          <w:rFonts w:ascii="Times New Roman" w:hAnsi="Times New Roman"/>
          <w:sz w:val="24"/>
          <w:szCs w:val="24"/>
        </w:rPr>
      </w:pPr>
      <w:r>
        <w:rPr>
          <w:rFonts w:ascii="Times New Roman" w:hAnsi="Times New Roman"/>
          <w:sz w:val="24"/>
          <w:szCs w:val="24"/>
        </w:rPr>
        <w:t>A:</w:t>
      </w:r>
      <w:r w:rsidR="00AB1C60" w:rsidRPr="00D813D7">
        <w:rPr>
          <w:rFonts w:ascii="Times New Roman" w:hAnsi="Times New Roman"/>
          <w:sz w:val="24"/>
          <w:szCs w:val="24"/>
        </w:rPr>
        <w:tab/>
      </w:r>
      <w:r w:rsidR="000A1FE1">
        <w:rPr>
          <w:rFonts w:ascii="Times New Roman" w:hAnsi="Times New Roman"/>
          <w:sz w:val="24"/>
          <w:szCs w:val="24"/>
        </w:rPr>
        <w:t>One way to reflect the potential for avoided cost benefits due to deferred investments is to consider</w:t>
      </w:r>
      <w:r w:rsidR="00BC791F">
        <w:rPr>
          <w:rFonts w:ascii="Times New Roman" w:hAnsi="Times New Roman"/>
          <w:sz w:val="24"/>
          <w:szCs w:val="24"/>
        </w:rPr>
        <w:t xml:space="preserve"> future infrastructure investment needs, which will be reflected in</w:t>
      </w:r>
      <w:r w:rsidR="000A1FE1">
        <w:rPr>
          <w:rFonts w:ascii="Times New Roman" w:hAnsi="Times New Roman"/>
          <w:sz w:val="24"/>
          <w:szCs w:val="24"/>
        </w:rPr>
        <w:t xml:space="preserve"> the utility’s integrated resource planning.  Pacific Power </w:t>
      </w:r>
      <w:r w:rsidR="000A1FE1" w:rsidRPr="00D813D7">
        <w:rPr>
          <w:rFonts w:ascii="Times New Roman" w:hAnsi="Times New Roman"/>
          <w:sz w:val="24"/>
          <w:szCs w:val="24"/>
        </w:rPr>
        <w:t>acknowledges that it “has not evaluated the impact of permanent disconnections on future infrastructure costs,” and argues that “net benefits to remaining customers can only be achieved if the impact is large enough to defer or eliminate the need for future investments.”</w:t>
      </w:r>
      <w:r w:rsidR="000A1FE1" w:rsidRPr="00D813D7">
        <w:rPr>
          <w:rStyle w:val="FootnoteReference"/>
          <w:rFonts w:ascii="Times New Roman" w:hAnsi="Times New Roman"/>
          <w:sz w:val="24"/>
          <w:szCs w:val="24"/>
        </w:rPr>
        <w:footnoteReference w:id="72"/>
      </w:r>
      <w:r w:rsidR="000A1FE1">
        <w:rPr>
          <w:rFonts w:ascii="Times New Roman" w:hAnsi="Times New Roman"/>
          <w:sz w:val="24"/>
          <w:szCs w:val="24"/>
        </w:rPr>
        <w:t xml:space="preserve">  Contrast this approach with the approach taken by PSE in Docket UE-161123.</w:t>
      </w:r>
      <w:r w:rsidR="000A1FE1" w:rsidRPr="00D813D7" w:rsidDel="000A1FE1">
        <w:rPr>
          <w:rFonts w:ascii="Times New Roman" w:hAnsi="Times New Roman"/>
          <w:sz w:val="24"/>
          <w:szCs w:val="24"/>
        </w:rPr>
        <w:t xml:space="preserve"> </w:t>
      </w:r>
      <w:r w:rsidR="000A1FE1">
        <w:rPr>
          <w:rFonts w:ascii="Times New Roman" w:hAnsi="Times New Roman"/>
          <w:sz w:val="24"/>
          <w:szCs w:val="24"/>
        </w:rPr>
        <w:t xml:space="preserve"> </w:t>
      </w:r>
      <w:bookmarkEnd w:id="22"/>
      <w:r w:rsidR="00AB1C60" w:rsidRPr="00D813D7">
        <w:rPr>
          <w:rFonts w:ascii="Times New Roman" w:hAnsi="Times New Roman"/>
          <w:sz w:val="24"/>
          <w:szCs w:val="24"/>
        </w:rPr>
        <w:t xml:space="preserve">PSE estimated a future benefit to remaining customers due to </w:t>
      </w:r>
      <w:r w:rsidR="001E64F8" w:rsidRPr="00D813D7">
        <w:rPr>
          <w:rFonts w:ascii="Times New Roman" w:hAnsi="Times New Roman"/>
          <w:sz w:val="24"/>
          <w:szCs w:val="24"/>
        </w:rPr>
        <w:t xml:space="preserve">a large customer </w:t>
      </w:r>
      <w:r w:rsidR="00AB1C60" w:rsidRPr="00D813D7">
        <w:rPr>
          <w:rFonts w:ascii="Times New Roman" w:hAnsi="Times New Roman"/>
          <w:sz w:val="24"/>
          <w:szCs w:val="24"/>
        </w:rPr>
        <w:t>electing to take service from another supplier</w:t>
      </w:r>
      <w:r w:rsidR="003A0E52" w:rsidRPr="00D813D7">
        <w:rPr>
          <w:rFonts w:ascii="Times New Roman" w:hAnsi="Times New Roman"/>
          <w:sz w:val="24"/>
          <w:szCs w:val="24"/>
        </w:rPr>
        <w:t xml:space="preserve"> and</w:t>
      </w:r>
      <w:r w:rsidR="00AB1C60" w:rsidRPr="00D813D7">
        <w:rPr>
          <w:rFonts w:ascii="Times New Roman" w:hAnsi="Times New Roman"/>
          <w:sz w:val="24"/>
          <w:szCs w:val="24"/>
        </w:rPr>
        <w:t xml:space="preserve"> to </w:t>
      </w:r>
      <w:r w:rsidR="003A0E52" w:rsidRPr="00D813D7">
        <w:rPr>
          <w:rFonts w:ascii="Times New Roman" w:hAnsi="Times New Roman"/>
          <w:sz w:val="24"/>
          <w:szCs w:val="24"/>
        </w:rPr>
        <w:t xml:space="preserve">a </w:t>
      </w:r>
      <w:r w:rsidR="00AB1C60" w:rsidRPr="00D813D7">
        <w:rPr>
          <w:rFonts w:ascii="Times New Roman" w:hAnsi="Times New Roman"/>
          <w:sz w:val="24"/>
          <w:szCs w:val="24"/>
        </w:rPr>
        <w:t xml:space="preserve">deferred need </w:t>
      </w:r>
      <w:r w:rsidR="00AB1C60" w:rsidRPr="00D813D7">
        <w:rPr>
          <w:rFonts w:ascii="Times New Roman" w:hAnsi="Times New Roman"/>
          <w:sz w:val="24"/>
          <w:szCs w:val="24"/>
        </w:rPr>
        <w:lastRenderedPageBreak/>
        <w:t>for new generation investment after Colstrip Units 1 and 2 retire in 2022.</w:t>
      </w:r>
      <w:r w:rsidR="00AB1C60" w:rsidRPr="00D813D7">
        <w:rPr>
          <w:rStyle w:val="FootnoteReference"/>
          <w:rFonts w:ascii="Times New Roman" w:hAnsi="Times New Roman"/>
          <w:sz w:val="24"/>
          <w:szCs w:val="24"/>
        </w:rPr>
        <w:footnoteReference w:id="73"/>
      </w:r>
      <w:r w:rsidR="00AB1C60" w:rsidRPr="00D813D7">
        <w:rPr>
          <w:rFonts w:ascii="Times New Roman" w:hAnsi="Times New Roman"/>
          <w:sz w:val="24"/>
          <w:szCs w:val="24"/>
        </w:rPr>
        <w:t xml:space="preserve"> </w:t>
      </w:r>
    </w:p>
    <w:p w:rsidR="007604A0" w:rsidRPr="00D813D7" w:rsidRDefault="007209E9" w:rsidP="007209E9">
      <w:pPr>
        <w:widowControl w:val="0"/>
        <w:spacing w:after="0" w:line="480" w:lineRule="auto"/>
        <w:ind w:left="720"/>
        <w:rPr>
          <w:rFonts w:ascii="Times New Roman" w:hAnsi="Times New Roman"/>
          <w:sz w:val="24"/>
          <w:szCs w:val="24"/>
        </w:rPr>
      </w:pPr>
      <w:r>
        <w:rPr>
          <w:rFonts w:ascii="Times New Roman" w:hAnsi="Times New Roman"/>
          <w:sz w:val="24"/>
          <w:szCs w:val="24"/>
        </w:rPr>
        <w:tab/>
      </w:r>
      <w:r w:rsidR="004A41BF" w:rsidRPr="00D813D7">
        <w:rPr>
          <w:rFonts w:ascii="Times New Roman" w:hAnsi="Times New Roman"/>
          <w:sz w:val="24"/>
          <w:szCs w:val="24"/>
        </w:rPr>
        <w:t>The</w:t>
      </w:r>
      <w:r w:rsidR="00AB1C60" w:rsidRPr="00D813D7">
        <w:rPr>
          <w:rFonts w:ascii="Times New Roman" w:hAnsi="Times New Roman"/>
          <w:sz w:val="24"/>
          <w:szCs w:val="24"/>
        </w:rPr>
        <w:t xml:space="preserve"> preferred portfolio from </w:t>
      </w:r>
      <w:r w:rsidR="004A41BF" w:rsidRPr="00D813D7">
        <w:rPr>
          <w:rFonts w:ascii="Times New Roman" w:hAnsi="Times New Roman"/>
          <w:sz w:val="24"/>
          <w:szCs w:val="24"/>
        </w:rPr>
        <w:t>PacifiCorp’s</w:t>
      </w:r>
      <w:r w:rsidR="00AB1C60" w:rsidRPr="00D813D7">
        <w:rPr>
          <w:rFonts w:ascii="Times New Roman" w:hAnsi="Times New Roman"/>
          <w:sz w:val="24"/>
          <w:szCs w:val="24"/>
        </w:rPr>
        <w:t xml:space="preserve"> most recent 2015 Integrated Resource Plan</w:t>
      </w:r>
      <w:r w:rsidR="00230C63" w:rsidRPr="00D813D7">
        <w:rPr>
          <w:rFonts w:ascii="Times New Roman" w:hAnsi="Times New Roman"/>
          <w:sz w:val="24"/>
          <w:szCs w:val="24"/>
        </w:rPr>
        <w:t xml:space="preserve"> (“2015 IRP”)</w:t>
      </w:r>
      <w:r w:rsidR="00AB1C60" w:rsidRPr="00D813D7">
        <w:rPr>
          <w:rFonts w:ascii="Times New Roman" w:hAnsi="Times New Roman"/>
          <w:sz w:val="24"/>
          <w:szCs w:val="24"/>
        </w:rPr>
        <w:t xml:space="preserve"> does not show a need for new generating capacity until 2028</w:t>
      </w:r>
      <w:r w:rsidR="004A41BF" w:rsidRPr="00D813D7">
        <w:rPr>
          <w:rFonts w:ascii="Times New Roman" w:hAnsi="Times New Roman"/>
          <w:sz w:val="24"/>
          <w:szCs w:val="24"/>
        </w:rPr>
        <w:t>,</w:t>
      </w:r>
      <w:r w:rsidR="004A41BF" w:rsidRPr="00D813D7">
        <w:rPr>
          <w:rStyle w:val="FootnoteReference"/>
          <w:rFonts w:ascii="Times New Roman" w:hAnsi="Times New Roman"/>
          <w:sz w:val="24"/>
          <w:szCs w:val="24"/>
        </w:rPr>
        <w:footnoteReference w:id="74"/>
      </w:r>
      <w:r>
        <w:rPr>
          <w:rFonts w:ascii="Times New Roman" w:hAnsi="Times New Roman"/>
          <w:sz w:val="24"/>
          <w:szCs w:val="24"/>
        </w:rPr>
        <w:t xml:space="preserve"> which is just beyond the 10</w:t>
      </w:r>
      <w:r w:rsidR="00EE1B6F" w:rsidRPr="00D813D7">
        <w:rPr>
          <w:rFonts w:ascii="Times New Roman" w:hAnsi="Times New Roman"/>
          <w:sz w:val="24"/>
          <w:szCs w:val="24"/>
        </w:rPr>
        <w:t>-</w:t>
      </w:r>
      <w:r w:rsidR="004A41BF" w:rsidRPr="00D813D7">
        <w:rPr>
          <w:rFonts w:ascii="Times New Roman" w:hAnsi="Times New Roman"/>
          <w:sz w:val="24"/>
          <w:szCs w:val="24"/>
        </w:rPr>
        <w:t xml:space="preserve">year period of </w:t>
      </w:r>
      <w:r w:rsidR="003A0E52" w:rsidRPr="00D813D7">
        <w:rPr>
          <w:rFonts w:ascii="Times New Roman" w:hAnsi="Times New Roman"/>
          <w:sz w:val="24"/>
          <w:szCs w:val="24"/>
        </w:rPr>
        <w:t xml:space="preserve">used in </w:t>
      </w:r>
      <w:r w:rsidR="004A41BF" w:rsidRPr="00D813D7">
        <w:rPr>
          <w:rFonts w:ascii="Times New Roman" w:hAnsi="Times New Roman"/>
          <w:sz w:val="24"/>
          <w:szCs w:val="24"/>
        </w:rPr>
        <w:t xml:space="preserve">its </w:t>
      </w:r>
      <w:r w:rsidR="003A0E52" w:rsidRPr="00D813D7">
        <w:rPr>
          <w:rFonts w:ascii="Times New Roman" w:hAnsi="Times New Roman"/>
          <w:sz w:val="24"/>
          <w:szCs w:val="24"/>
        </w:rPr>
        <w:t xml:space="preserve">spreadsheet model </w:t>
      </w:r>
      <w:r w:rsidR="004A41BF" w:rsidRPr="00D813D7">
        <w:rPr>
          <w:rFonts w:ascii="Times New Roman" w:hAnsi="Times New Roman"/>
          <w:sz w:val="24"/>
          <w:szCs w:val="24"/>
        </w:rPr>
        <w:t>analysis</w:t>
      </w:r>
      <w:r w:rsidR="00AB1C60" w:rsidRPr="00D813D7">
        <w:rPr>
          <w:rFonts w:ascii="Times New Roman" w:hAnsi="Times New Roman"/>
          <w:sz w:val="24"/>
          <w:szCs w:val="24"/>
        </w:rPr>
        <w:t>.</w:t>
      </w:r>
      <w:r w:rsidR="004A41BF" w:rsidRPr="00D813D7">
        <w:rPr>
          <w:rFonts w:ascii="Times New Roman" w:hAnsi="Times New Roman"/>
          <w:sz w:val="24"/>
          <w:szCs w:val="24"/>
        </w:rPr>
        <w:t xml:space="preserve"> </w:t>
      </w:r>
      <w:r>
        <w:rPr>
          <w:rFonts w:ascii="Times New Roman" w:hAnsi="Times New Roman"/>
          <w:sz w:val="24"/>
          <w:szCs w:val="24"/>
        </w:rPr>
        <w:t xml:space="preserve"> </w:t>
      </w:r>
      <w:r w:rsidR="004A41BF" w:rsidRPr="00D813D7">
        <w:rPr>
          <w:rFonts w:ascii="Times New Roman" w:hAnsi="Times New Roman"/>
          <w:sz w:val="24"/>
          <w:szCs w:val="24"/>
        </w:rPr>
        <w:t xml:space="preserve">Therefore, based on the </w:t>
      </w:r>
      <w:r w:rsidR="00230C63" w:rsidRPr="00D813D7">
        <w:rPr>
          <w:rFonts w:ascii="Times New Roman" w:hAnsi="Times New Roman"/>
          <w:sz w:val="24"/>
          <w:szCs w:val="24"/>
        </w:rPr>
        <w:t xml:space="preserve">2015 </w:t>
      </w:r>
      <w:r w:rsidR="004A41BF" w:rsidRPr="00D813D7">
        <w:rPr>
          <w:rFonts w:ascii="Times New Roman" w:hAnsi="Times New Roman"/>
          <w:sz w:val="24"/>
          <w:szCs w:val="24"/>
        </w:rPr>
        <w:t xml:space="preserve">IRP, it would be unlikely for a customer departing </w:t>
      </w:r>
      <w:r w:rsidR="00230C63" w:rsidRPr="00D813D7">
        <w:rPr>
          <w:rFonts w:ascii="Times New Roman" w:hAnsi="Times New Roman"/>
          <w:sz w:val="24"/>
          <w:szCs w:val="24"/>
        </w:rPr>
        <w:t>Pacific Power</w:t>
      </w:r>
      <w:r w:rsidR="004454AB">
        <w:rPr>
          <w:rFonts w:ascii="Times New Roman" w:hAnsi="Times New Roman"/>
          <w:sz w:val="24"/>
          <w:szCs w:val="24"/>
        </w:rPr>
        <w:t>’s</w:t>
      </w:r>
      <w:r w:rsidR="00230C63" w:rsidRPr="00D813D7">
        <w:rPr>
          <w:rFonts w:ascii="Times New Roman" w:hAnsi="Times New Roman"/>
          <w:sz w:val="24"/>
          <w:szCs w:val="24"/>
        </w:rPr>
        <w:t xml:space="preserve"> </w:t>
      </w:r>
      <w:r w:rsidR="004A41BF" w:rsidRPr="00D813D7">
        <w:rPr>
          <w:rFonts w:ascii="Times New Roman" w:hAnsi="Times New Roman"/>
          <w:sz w:val="24"/>
          <w:szCs w:val="24"/>
        </w:rPr>
        <w:t>system to cause remaining customers to receive a benefit from deferred investment until very far into the future.</w:t>
      </w:r>
    </w:p>
    <w:p w:rsidR="00E60476" w:rsidRPr="00D813D7" w:rsidRDefault="007209E9" w:rsidP="007209E9">
      <w:pPr>
        <w:widowControl w:val="0"/>
        <w:spacing w:after="0" w:line="480" w:lineRule="auto"/>
        <w:ind w:left="720"/>
        <w:rPr>
          <w:rFonts w:ascii="Times New Roman" w:hAnsi="Times New Roman"/>
          <w:sz w:val="24"/>
          <w:szCs w:val="24"/>
        </w:rPr>
      </w:pPr>
      <w:r>
        <w:rPr>
          <w:rFonts w:ascii="Times New Roman" w:hAnsi="Times New Roman"/>
          <w:sz w:val="24"/>
          <w:szCs w:val="24"/>
        </w:rPr>
        <w:tab/>
      </w:r>
      <w:r w:rsidR="00BC791F">
        <w:rPr>
          <w:rFonts w:ascii="Times New Roman" w:hAnsi="Times New Roman"/>
          <w:sz w:val="24"/>
          <w:szCs w:val="24"/>
        </w:rPr>
        <w:t xml:space="preserve">In </w:t>
      </w:r>
      <w:r w:rsidR="001A2E3C">
        <w:rPr>
          <w:rFonts w:ascii="Times New Roman" w:hAnsi="Times New Roman"/>
          <w:sz w:val="24"/>
          <w:szCs w:val="24"/>
        </w:rPr>
        <w:t>evaluating what time horizon is appropriate</w:t>
      </w:r>
      <w:r w:rsidR="001D0BE0">
        <w:rPr>
          <w:rFonts w:ascii="Times New Roman" w:hAnsi="Times New Roman"/>
          <w:sz w:val="24"/>
          <w:szCs w:val="24"/>
        </w:rPr>
        <w:t xml:space="preserve"> to</w:t>
      </w:r>
      <w:r w:rsidR="00BC791F">
        <w:rPr>
          <w:rFonts w:ascii="Times New Roman" w:hAnsi="Times New Roman"/>
          <w:sz w:val="24"/>
          <w:szCs w:val="24"/>
        </w:rPr>
        <w:t xml:space="preserve"> use to</w:t>
      </w:r>
      <w:r w:rsidR="001D0BE0">
        <w:rPr>
          <w:rFonts w:ascii="Times New Roman" w:hAnsi="Times New Roman"/>
          <w:sz w:val="24"/>
          <w:szCs w:val="24"/>
        </w:rPr>
        <w:t xml:space="preserve"> </w:t>
      </w:r>
      <w:r w:rsidR="00BC791F">
        <w:rPr>
          <w:rFonts w:ascii="Times New Roman" w:hAnsi="Times New Roman"/>
          <w:sz w:val="24"/>
          <w:szCs w:val="24"/>
        </w:rPr>
        <w:t>calculate</w:t>
      </w:r>
      <w:r w:rsidR="001D0BE0">
        <w:rPr>
          <w:rFonts w:ascii="Times New Roman" w:hAnsi="Times New Roman"/>
          <w:sz w:val="24"/>
          <w:szCs w:val="24"/>
        </w:rPr>
        <w:t xml:space="preserve"> stranded costs</w:t>
      </w:r>
      <w:r w:rsidR="00BC791F">
        <w:rPr>
          <w:rFonts w:ascii="Times New Roman" w:hAnsi="Times New Roman"/>
          <w:sz w:val="24"/>
          <w:szCs w:val="24"/>
        </w:rPr>
        <w:t xml:space="preserve"> when a utility’s customer leaves its system to take service from another provider</w:t>
      </w:r>
      <w:r w:rsidR="001A2E3C">
        <w:rPr>
          <w:rFonts w:ascii="Times New Roman" w:hAnsi="Times New Roman"/>
          <w:sz w:val="24"/>
          <w:szCs w:val="24"/>
        </w:rPr>
        <w:t>,</w:t>
      </w:r>
      <w:r w:rsidR="001D0BE0">
        <w:rPr>
          <w:rFonts w:ascii="Times New Roman" w:hAnsi="Times New Roman"/>
          <w:sz w:val="24"/>
          <w:szCs w:val="24"/>
        </w:rPr>
        <w:t xml:space="preserve"> </w:t>
      </w:r>
      <w:r w:rsidR="001A2E3C">
        <w:rPr>
          <w:rFonts w:ascii="Times New Roman" w:hAnsi="Times New Roman"/>
          <w:sz w:val="24"/>
          <w:szCs w:val="24"/>
        </w:rPr>
        <w:t>the time horizon should allow</w:t>
      </w:r>
      <w:r w:rsidR="00AF23BE" w:rsidRPr="00D813D7">
        <w:rPr>
          <w:rFonts w:ascii="Times New Roman" w:hAnsi="Times New Roman"/>
          <w:sz w:val="24"/>
          <w:szCs w:val="24"/>
        </w:rPr>
        <w:t xml:space="preserve"> the utility to review the potential changes to its resource portfolio and demand requirements over </w:t>
      </w:r>
      <w:r w:rsidR="001A2E3C">
        <w:rPr>
          <w:rFonts w:ascii="Times New Roman" w:hAnsi="Times New Roman"/>
          <w:sz w:val="24"/>
          <w:szCs w:val="24"/>
        </w:rPr>
        <w:t>two or three</w:t>
      </w:r>
      <w:r w:rsidR="00AF23BE" w:rsidRPr="00D813D7">
        <w:rPr>
          <w:rFonts w:ascii="Times New Roman" w:hAnsi="Times New Roman"/>
          <w:sz w:val="24"/>
          <w:szCs w:val="24"/>
        </w:rPr>
        <w:t xml:space="preserve"> IRP planning cycles</w:t>
      </w:r>
      <w:r w:rsidR="001A2E3C">
        <w:rPr>
          <w:rFonts w:ascii="Times New Roman" w:hAnsi="Times New Roman"/>
          <w:sz w:val="24"/>
          <w:szCs w:val="24"/>
        </w:rPr>
        <w:t>.  This recognizes</w:t>
      </w:r>
      <w:r w:rsidR="00AF23BE" w:rsidRPr="00D813D7">
        <w:rPr>
          <w:rFonts w:ascii="Times New Roman" w:hAnsi="Times New Roman"/>
          <w:sz w:val="24"/>
          <w:szCs w:val="24"/>
        </w:rPr>
        <w:t xml:space="preserve"> that changes </w:t>
      </w:r>
      <w:r w:rsidR="00545AFC" w:rsidRPr="00D813D7">
        <w:rPr>
          <w:rFonts w:ascii="Times New Roman" w:hAnsi="Times New Roman"/>
          <w:sz w:val="24"/>
          <w:szCs w:val="24"/>
        </w:rPr>
        <w:t xml:space="preserve">in the portfolio or the market price for power </w:t>
      </w:r>
      <w:r w:rsidR="00AF23BE" w:rsidRPr="00D813D7">
        <w:rPr>
          <w:rFonts w:ascii="Times New Roman" w:hAnsi="Times New Roman"/>
          <w:sz w:val="24"/>
          <w:szCs w:val="24"/>
        </w:rPr>
        <w:t xml:space="preserve">may occur </w:t>
      </w:r>
      <w:r w:rsidR="001A2E3C">
        <w:rPr>
          <w:rFonts w:ascii="Times New Roman" w:hAnsi="Times New Roman"/>
          <w:sz w:val="24"/>
          <w:szCs w:val="24"/>
        </w:rPr>
        <w:t>in later years</w:t>
      </w:r>
      <w:r w:rsidR="00AF23BE" w:rsidRPr="00D813D7">
        <w:rPr>
          <w:rFonts w:ascii="Times New Roman" w:hAnsi="Times New Roman"/>
          <w:sz w:val="24"/>
          <w:szCs w:val="24"/>
        </w:rPr>
        <w:t>.</w:t>
      </w:r>
    </w:p>
    <w:p w:rsidR="000A1034" w:rsidRPr="00D813D7" w:rsidRDefault="007209E9" w:rsidP="000A1034">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0A1034" w:rsidRPr="00D813D7">
        <w:rPr>
          <w:rFonts w:ascii="Times New Roman" w:hAnsi="Times New Roman"/>
          <w:b/>
          <w:sz w:val="24"/>
          <w:szCs w:val="24"/>
        </w:rPr>
        <w:tab/>
        <w:t xml:space="preserve">What do you conclude </w:t>
      </w:r>
      <w:r w:rsidR="00096247">
        <w:rPr>
          <w:rFonts w:ascii="Times New Roman" w:hAnsi="Times New Roman"/>
          <w:b/>
          <w:sz w:val="24"/>
          <w:szCs w:val="24"/>
        </w:rPr>
        <w:t>with respect to the time horizon that is appropriate to calculate Pacific Power’s Stranded Cost Recovery Fee</w:t>
      </w:r>
      <w:r w:rsidR="000A1034" w:rsidRPr="00D813D7">
        <w:rPr>
          <w:rFonts w:ascii="Times New Roman" w:hAnsi="Times New Roman"/>
          <w:b/>
          <w:sz w:val="24"/>
          <w:szCs w:val="24"/>
        </w:rPr>
        <w:t>?</w:t>
      </w:r>
    </w:p>
    <w:p w:rsidR="00B05622" w:rsidRPr="00D813D7" w:rsidRDefault="007209E9" w:rsidP="00DC34B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0A1034" w:rsidRPr="00D813D7">
        <w:rPr>
          <w:rFonts w:ascii="Times New Roman" w:hAnsi="Times New Roman"/>
          <w:sz w:val="24"/>
          <w:szCs w:val="24"/>
        </w:rPr>
        <w:tab/>
        <w:t>I conclude that it would be</w:t>
      </w:r>
      <w:r w:rsidR="00AF23BE" w:rsidRPr="00D813D7">
        <w:rPr>
          <w:rFonts w:ascii="Times New Roman" w:hAnsi="Times New Roman"/>
          <w:sz w:val="24"/>
          <w:szCs w:val="24"/>
        </w:rPr>
        <w:t xml:space="preserve"> </w:t>
      </w:r>
      <w:r w:rsidR="00096247">
        <w:rPr>
          <w:rFonts w:ascii="Times New Roman" w:hAnsi="Times New Roman"/>
          <w:sz w:val="24"/>
          <w:szCs w:val="24"/>
        </w:rPr>
        <w:t>more appropriate</w:t>
      </w:r>
      <w:r w:rsidR="00096247" w:rsidRPr="00D813D7">
        <w:rPr>
          <w:rFonts w:ascii="Times New Roman" w:hAnsi="Times New Roman"/>
          <w:sz w:val="24"/>
          <w:szCs w:val="24"/>
        </w:rPr>
        <w:t xml:space="preserve"> </w:t>
      </w:r>
      <w:r w:rsidR="00AF23BE" w:rsidRPr="00D813D7">
        <w:rPr>
          <w:rFonts w:ascii="Times New Roman" w:hAnsi="Times New Roman"/>
          <w:sz w:val="24"/>
          <w:szCs w:val="24"/>
        </w:rPr>
        <w:t>to</w:t>
      </w:r>
      <w:r w:rsidR="00096247">
        <w:rPr>
          <w:rFonts w:ascii="Times New Roman" w:hAnsi="Times New Roman"/>
          <w:sz w:val="24"/>
          <w:szCs w:val="24"/>
        </w:rPr>
        <w:t xml:space="preserve"> use a shorter time period to calculate Pacific Power’s Stranded Cost Recovery Fee.</w:t>
      </w:r>
      <w:r w:rsidR="00AF23BE" w:rsidRPr="00D813D7">
        <w:rPr>
          <w:rFonts w:ascii="Times New Roman" w:hAnsi="Times New Roman"/>
          <w:sz w:val="24"/>
          <w:szCs w:val="24"/>
        </w:rPr>
        <w:t xml:space="preserve"> </w:t>
      </w:r>
      <w:r w:rsidR="00096247">
        <w:rPr>
          <w:rFonts w:ascii="Times New Roman" w:hAnsi="Times New Roman"/>
          <w:sz w:val="24"/>
          <w:szCs w:val="24"/>
        </w:rPr>
        <w:t xml:space="preserve"> Pacific Power’s proposal assumes</w:t>
      </w:r>
      <w:r w:rsidR="00AF23BE" w:rsidRPr="00D813D7">
        <w:rPr>
          <w:rFonts w:ascii="Times New Roman" w:hAnsi="Times New Roman"/>
          <w:sz w:val="24"/>
          <w:szCs w:val="24"/>
        </w:rPr>
        <w:t xml:space="preserve"> a</w:t>
      </w:r>
      <w:r w:rsidR="00DD01E0">
        <w:rPr>
          <w:rFonts w:ascii="Times New Roman" w:hAnsi="Times New Roman"/>
          <w:sz w:val="24"/>
          <w:szCs w:val="24"/>
        </w:rPr>
        <w:t xml:space="preserve"> static situation for a full 10</w:t>
      </w:r>
      <w:r w:rsidR="00AF23BE" w:rsidRPr="00D813D7">
        <w:rPr>
          <w:rFonts w:ascii="Times New Roman" w:hAnsi="Times New Roman"/>
          <w:sz w:val="24"/>
          <w:szCs w:val="24"/>
        </w:rPr>
        <w:t xml:space="preserve"> years</w:t>
      </w:r>
      <w:r w:rsidR="00DD01E0">
        <w:rPr>
          <w:rFonts w:ascii="Times New Roman" w:hAnsi="Times New Roman"/>
          <w:sz w:val="24"/>
          <w:szCs w:val="24"/>
        </w:rPr>
        <w:t xml:space="preserve">.  </w:t>
      </w:r>
      <w:r w:rsidR="000A1034" w:rsidRPr="00D813D7">
        <w:rPr>
          <w:rFonts w:ascii="Times New Roman" w:hAnsi="Times New Roman"/>
          <w:sz w:val="24"/>
          <w:szCs w:val="24"/>
        </w:rPr>
        <w:t xml:space="preserve">I recommend that the </w:t>
      </w:r>
      <w:r w:rsidR="00275383" w:rsidRPr="00D813D7">
        <w:rPr>
          <w:rFonts w:ascii="Times New Roman" w:hAnsi="Times New Roman"/>
          <w:sz w:val="24"/>
          <w:szCs w:val="24"/>
        </w:rPr>
        <w:t xml:space="preserve">Stranded Cost Recovery Fee </w:t>
      </w:r>
      <w:r w:rsidR="000A1034" w:rsidRPr="00D813D7">
        <w:rPr>
          <w:rFonts w:ascii="Times New Roman" w:hAnsi="Times New Roman"/>
          <w:sz w:val="24"/>
          <w:szCs w:val="24"/>
        </w:rPr>
        <w:t xml:space="preserve">for each customer be based on six-year time horizon, which is approximately equal to </w:t>
      </w:r>
      <w:r w:rsidR="00965EE7" w:rsidRPr="00D813D7">
        <w:rPr>
          <w:rFonts w:ascii="Times New Roman" w:hAnsi="Times New Roman"/>
          <w:sz w:val="24"/>
          <w:szCs w:val="24"/>
        </w:rPr>
        <w:t xml:space="preserve">three </w:t>
      </w:r>
      <w:r w:rsidR="000A1034" w:rsidRPr="00D813D7">
        <w:rPr>
          <w:rFonts w:ascii="Times New Roman" w:hAnsi="Times New Roman"/>
          <w:sz w:val="24"/>
          <w:szCs w:val="24"/>
        </w:rPr>
        <w:t>IRP planning cycles.</w:t>
      </w:r>
      <w:r w:rsidR="00790224" w:rsidRPr="00D813D7">
        <w:rPr>
          <w:rFonts w:ascii="Times New Roman" w:hAnsi="Times New Roman"/>
          <w:sz w:val="24"/>
          <w:szCs w:val="24"/>
        </w:rPr>
        <w:t xml:space="preserve"> </w:t>
      </w:r>
      <w:r w:rsidR="00DC34B0">
        <w:rPr>
          <w:rFonts w:ascii="Times New Roman" w:hAnsi="Times New Roman"/>
          <w:sz w:val="24"/>
          <w:szCs w:val="24"/>
        </w:rPr>
        <w:t xml:space="preserve"> </w:t>
      </w:r>
      <w:r w:rsidR="00F66A6C" w:rsidRPr="00D813D7">
        <w:rPr>
          <w:rFonts w:ascii="Times New Roman" w:hAnsi="Times New Roman"/>
          <w:sz w:val="24"/>
          <w:szCs w:val="24"/>
        </w:rPr>
        <w:t>As a result,</w:t>
      </w:r>
      <w:r w:rsidR="000A1034" w:rsidRPr="00D813D7">
        <w:rPr>
          <w:rFonts w:ascii="Times New Roman" w:hAnsi="Times New Roman"/>
          <w:sz w:val="24"/>
          <w:szCs w:val="24"/>
        </w:rPr>
        <w:t xml:space="preserve"> the Company</w:t>
      </w:r>
      <w:r w:rsidR="00F66A6C" w:rsidRPr="00D813D7">
        <w:rPr>
          <w:rFonts w:ascii="Times New Roman" w:hAnsi="Times New Roman"/>
          <w:sz w:val="24"/>
          <w:szCs w:val="24"/>
        </w:rPr>
        <w:t xml:space="preserve"> would have</w:t>
      </w:r>
      <w:r w:rsidR="000A1034" w:rsidRPr="00D813D7">
        <w:rPr>
          <w:rFonts w:ascii="Times New Roman" w:hAnsi="Times New Roman"/>
          <w:sz w:val="24"/>
          <w:szCs w:val="24"/>
        </w:rPr>
        <w:t xml:space="preserve"> the opportunity to revise its market outlook, demand forecast</w:t>
      </w:r>
      <w:r w:rsidR="00096247">
        <w:rPr>
          <w:rFonts w:ascii="Times New Roman" w:hAnsi="Times New Roman"/>
          <w:sz w:val="24"/>
          <w:szCs w:val="24"/>
        </w:rPr>
        <w:t>,</w:t>
      </w:r>
      <w:r w:rsidR="000A1034" w:rsidRPr="00D813D7">
        <w:rPr>
          <w:rFonts w:ascii="Times New Roman" w:hAnsi="Times New Roman"/>
          <w:sz w:val="24"/>
          <w:szCs w:val="24"/>
        </w:rPr>
        <w:t xml:space="preserve"> and resource portfolio at least twice.</w:t>
      </w:r>
      <w:r w:rsidR="00790224" w:rsidRPr="00D813D7">
        <w:rPr>
          <w:rFonts w:ascii="Times New Roman" w:hAnsi="Times New Roman"/>
          <w:sz w:val="24"/>
          <w:szCs w:val="24"/>
        </w:rPr>
        <w:t xml:space="preserve"> </w:t>
      </w:r>
      <w:r w:rsidR="00DC34B0">
        <w:rPr>
          <w:rFonts w:ascii="Times New Roman" w:hAnsi="Times New Roman"/>
          <w:sz w:val="24"/>
          <w:szCs w:val="24"/>
        </w:rPr>
        <w:t xml:space="preserve"> </w:t>
      </w:r>
      <w:r w:rsidR="000A1034" w:rsidRPr="00D813D7">
        <w:rPr>
          <w:rFonts w:ascii="Times New Roman" w:hAnsi="Times New Roman"/>
          <w:sz w:val="24"/>
          <w:szCs w:val="24"/>
        </w:rPr>
        <w:t xml:space="preserve">We discussed the Company’s 2015 IRP above and note that it has recently filed its 2017 IRP, </w:t>
      </w:r>
      <w:r w:rsidR="00D60AB6">
        <w:rPr>
          <w:rFonts w:ascii="Times New Roman" w:hAnsi="Times New Roman"/>
          <w:sz w:val="24"/>
          <w:szCs w:val="24"/>
        </w:rPr>
        <w:t>illustrating</w:t>
      </w:r>
      <w:r w:rsidR="00D60AB6" w:rsidRPr="00D813D7">
        <w:rPr>
          <w:rFonts w:ascii="Times New Roman" w:hAnsi="Times New Roman"/>
          <w:sz w:val="24"/>
          <w:szCs w:val="24"/>
        </w:rPr>
        <w:t xml:space="preserve"> </w:t>
      </w:r>
      <w:r w:rsidR="000A1034" w:rsidRPr="00D813D7">
        <w:rPr>
          <w:rFonts w:ascii="Times New Roman" w:hAnsi="Times New Roman"/>
          <w:sz w:val="24"/>
          <w:szCs w:val="24"/>
        </w:rPr>
        <w:t xml:space="preserve">a two-year interval </w:t>
      </w:r>
      <w:r w:rsidR="000A1034" w:rsidRPr="00D813D7">
        <w:rPr>
          <w:rFonts w:ascii="Times New Roman" w:hAnsi="Times New Roman"/>
          <w:sz w:val="24"/>
          <w:szCs w:val="24"/>
        </w:rPr>
        <w:lastRenderedPageBreak/>
        <w:t>between proceedings.</w:t>
      </w:r>
      <w:r w:rsidR="009C580B" w:rsidRPr="00D813D7">
        <w:rPr>
          <w:rStyle w:val="FootnoteReference"/>
          <w:rFonts w:ascii="Times New Roman" w:hAnsi="Times New Roman"/>
          <w:sz w:val="24"/>
          <w:szCs w:val="24"/>
        </w:rPr>
        <w:footnoteReference w:id="75"/>
      </w:r>
      <w:r w:rsidR="00790224" w:rsidRPr="00D813D7">
        <w:rPr>
          <w:rFonts w:ascii="Times New Roman" w:hAnsi="Times New Roman"/>
          <w:sz w:val="24"/>
          <w:szCs w:val="24"/>
        </w:rPr>
        <w:t xml:space="preserve"> </w:t>
      </w:r>
      <w:r w:rsidR="00DC34B0">
        <w:rPr>
          <w:rFonts w:ascii="Times New Roman" w:hAnsi="Times New Roman"/>
          <w:sz w:val="24"/>
          <w:szCs w:val="24"/>
        </w:rPr>
        <w:t xml:space="preserve"> </w:t>
      </w:r>
      <w:r w:rsidR="000A1034" w:rsidRPr="00D813D7">
        <w:rPr>
          <w:rFonts w:ascii="Times New Roman" w:hAnsi="Times New Roman"/>
          <w:sz w:val="24"/>
          <w:szCs w:val="24"/>
        </w:rPr>
        <w:t>Thus</w:t>
      </w:r>
      <w:r w:rsidR="00DD672F">
        <w:rPr>
          <w:rFonts w:ascii="Times New Roman" w:hAnsi="Times New Roman"/>
          <w:sz w:val="24"/>
          <w:szCs w:val="24"/>
        </w:rPr>
        <w:t>,</w:t>
      </w:r>
      <w:r w:rsidR="000A1034" w:rsidRPr="00D813D7">
        <w:rPr>
          <w:rFonts w:ascii="Times New Roman" w:hAnsi="Times New Roman"/>
          <w:sz w:val="24"/>
          <w:szCs w:val="24"/>
        </w:rPr>
        <w:t xml:space="preserve"> a six-year time frame provi</w:t>
      </w:r>
      <w:r w:rsidR="009C580B" w:rsidRPr="00D813D7">
        <w:rPr>
          <w:rFonts w:ascii="Times New Roman" w:hAnsi="Times New Roman"/>
          <w:sz w:val="24"/>
          <w:szCs w:val="24"/>
        </w:rPr>
        <w:t>des the opportunity to reflect near term changes in the marketplace as reflected in an updated and approved IRP.</w:t>
      </w:r>
    </w:p>
    <w:p w:rsidR="00E60476" w:rsidRPr="00DC34B0" w:rsidRDefault="00391D46" w:rsidP="00DC34B0">
      <w:pPr>
        <w:pStyle w:val="Heading2"/>
      </w:pPr>
      <w:bookmarkStart w:id="23" w:name="_Toc480530026"/>
      <w:r w:rsidRPr="00D813D7">
        <w:t>Policy Issues Raised by the Proposed</w:t>
      </w:r>
      <w:r w:rsidR="00B05622" w:rsidRPr="00D813D7">
        <w:t xml:space="preserve"> Stranded Cost Recovery Fee</w:t>
      </w:r>
      <w:r w:rsidR="00DC34B0">
        <w:t>.</w:t>
      </w:r>
      <w:bookmarkEnd w:id="23"/>
    </w:p>
    <w:p w:rsidR="0049410F" w:rsidRPr="00D813D7" w:rsidRDefault="00DC34B0" w:rsidP="0049410F">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49410F" w:rsidRPr="00D813D7">
        <w:rPr>
          <w:rFonts w:ascii="Times New Roman" w:hAnsi="Times New Roman"/>
          <w:b/>
          <w:sz w:val="24"/>
          <w:szCs w:val="24"/>
        </w:rPr>
        <w:tab/>
        <w:t xml:space="preserve">Please summarize </w:t>
      </w:r>
      <w:r w:rsidR="00F94E52" w:rsidRPr="00D813D7">
        <w:rPr>
          <w:rFonts w:ascii="Times New Roman" w:hAnsi="Times New Roman"/>
          <w:b/>
          <w:sz w:val="24"/>
          <w:szCs w:val="24"/>
        </w:rPr>
        <w:t xml:space="preserve">the policy issues </w:t>
      </w:r>
      <w:r w:rsidR="0049410F" w:rsidRPr="00D813D7">
        <w:rPr>
          <w:rFonts w:ascii="Times New Roman" w:hAnsi="Times New Roman"/>
          <w:b/>
          <w:sz w:val="24"/>
          <w:szCs w:val="24"/>
        </w:rPr>
        <w:t xml:space="preserve">your analysis </w:t>
      </w:r>
      <w:r w:rsidR="00F94E52" w:rsidRPr="00D813D7">
        <w:rPr>
          <w:rFonts w:ascii="Times New Roman" w:hAnsi="Times New Roman"/>
          <w:b/>
          <w:sz w:val="24"/>
          <w:szCs w:val="24"/>
        </w:rPr>
        <w:t>finds have been raised by</w:t>
      </w:r>
      <w:r w:rsidR="0049410F" w:rsidRPr="00D813D7">
        <w:rPr>
          <w:rFonts w:ascii="Times New Roman" w:hAnsi="Times New Roman"/>
          <w:b/>
          <w:sz w:val="24"/>
          <w:szCs w:val="24"/>
        </w:rPr>
        <w:t xml:space="preserve"> Pacific Power’s proposed Stranded Cost Recovery Fee.</w:t>
      </w:r>
    </w:p>
    <w:p w:rsidR="00F94E52" w:rsidRPr="00D813D7" w:rsidRDefault="00DC34B0" w:rsidP="00B26E6C">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49410F" w:rsidRPr="00D813D7">
        <w:rPr>
          <w:rFonts w:ascii="Times New Roman" w:hAnsi="Times New Roman"/>
          <w:sz w:val="24"/>
          <w:szCs w:val="24"/>
        </w:rPr>
        <w:tab/>
      </w:r>
      <w:r w:rsidR="00F94E52" w:rsidRPr="00D813D7">
        <w:rPr>
          <w:rFonts w:ascii="Times New Roman" w:hAnsi="Times New Roman"/>
          <w:sz w:val="24"/>
          <w:szCs w:val="24"/>
        </w:rPr>
        <w:t xml:space="preserve">I find that Pacific Power’s </w:t>
      </w:r>
      <w:r w:rsidR="00735430" w:rsidRPr="00D813D7">
        <w:rPr>
          <w:rFonts w:ascii="Times New Roman" w:hAnsi="Times New Roman"/>
          <w:sz w:val="24"/>
          <w:szCs w:val="24"/>
        </w:rPr>
        <w:t xml:space="preserve">proposed Stranded Cost Recovery Fee raises </w:t>
      </w:r>
      <w:r w:rsidR="00B536C8" w:rsidRPr="00D813D7">
        <w:rPr>
          <w:rFonts w:ascii="Times New Roman" w:hAnsi="Times New Roman"/>
          <w:sz w:val="24"/>
          <w:szCs w:val="24"/>
        </w:rPr>
        <w:t xml:space="preserve">four </w:t>
      </w:r>
      <w:r w:rsidR="00735430" w:rsidRPr="00D813D7">
        <w:rPr>
          <w:rFonts w:ascii="Times New Roman" w:hAnsi="Times New Roman"/>
          <w:sz w:val="24"/>
          <w:szCs w:val="24"/>
        </w:rPr>
        <w:t>policy issues listed below:</w:t>
      </w:r>
    </w:p>
    <w:p w:rsidR="00735430" w:rsidRPr="00D813D7" w:rsidRDefault="00735430" w:rsidP="004B7B4E">
      <w:pPr>
        <w:pStyle w:val="ListParagraph"/>
        <w:widowControl w:val="0"/>
        <w:numPr>
          <w:ilvl w:val="0"/>
          <w:numId w:val="34"/>
        </w:numPr>
        <w:spacing w:line="480" w:lineRule="auto"/>
        <w:rPr>
          <w:rFonts w:ascii="Times New Roman" w:hAnsi="Times New Roman"/>
          <w:sz w:val="24"/>
          <w:szCs w:val="24"/>
        </w:rPr>
      </w:pPr>
      <w:r w:rsidRPr="00D813D7">
        <w:rPr>
          <w:rFonts w:ascii="Times New Roman" w:hAnsi="Times New Roman"/>
          <w:sz w:val="24"/>
          <w:szCs w:val="24"/>
        </w:rPr>
        <w:t>The proposed rates and fees are not consistent with the principle of cost causation</w:t>
      </w:r>
      <w:r w:rsidR="00F66A6C" w:rsidRPr="00D813D7">
        <w:rPr>
          <w:rFonts w:ascii="Times New Roman" w:hAnsi="Times New Roman"/>
          <w:sz w:val="24"/>
          <w:szCs w:val="24"/>
        </w:rPr>
        <w:t>.</w:t>
      </w:r>
    </w:p>
    <w:p w:rsidR="00735430" w:rsidRPr="00D813D7" w:rsidRDefault="00735430" w:rsidP="004B7B4E">
      <w:pPr>
        <w:pStyle w:val="ListParagraph"/>
        <w:widowControl w:val="0"/>
        <w:numPr>
          <w:ilvl w:val="0"/>
          <w:numId w:val="34"/>
        </w:numPr>
        <w:spacing w:line="480" w:lineRule="auto"/>
        <w:rPr>
          <w:rFonts w:ascii="Times New Roman" w:hAnsi="Times New Roman"/>
          <w:sz w:val="24"/>
          <w:szCs w:val="24"/>
        </w:rPr>
      </w:pPr>
      <w:r w:rsidRPr="00D813D7">
        <w:rPr>
          <w:rFonts w:ascii="Times New Roman" w:hAnsi="Times New Roman"/>
          <w:sz w:val="24"/>
          <w:szCs w:val="24"/>
        </w:rPr>
        <w:t xml:space="preserve">The Company’s presumption to have sole discretion to </w:t>
      </w:r>
      <w:r w:rsidR="00B536C8" w:rsidRPr="00D813D7">
        <w:rPr>
          <w:rFonts w:ascii="Times New Roman" w:hAnsi="Times New Roman"/>
          <w:sz w:val="24"/>
          <w:szCs w:val="24"/>
        </w:rPr>
        <w:t xml:space="preserve">determine </w:t>
      </w:r>
      <w:r w:rsidRPr="00D813D7">
        <w:rPr>
          <w:rFonts w:ascii="Times New Roman" w:hAnsi="Times New Roman"/>
          <w:sz w:val="24"/>
          <w:szCs w:val="24"/>
        </w:rPr>
        <w:t xml:space="preserve">which facilities are to be included in the </w:t>
      </w:r>
      <w:r w:rsidR="00275383" w:rsidRPr="00D813D7">
        <w:rPr>
          <w:rFonts w:ascii="Times New Roman" w:hAnsi="Times New Roman"/>
          <w:sz w:val="24"/>
          <w:szCs w:val="24"/>
        </w:rPr>
        <w:t xml:space="preserve">Stranded Cost Recovery Fee </w:t>
      </w:r>
      <w:r w:rsidRPr="00D813D7">
        <w:rPr>
          <w:rFonts w:ascii="Times New Roman" w:hAnsi="Times New Roman"/>
          <w:sz w:val="24"/>
          <w:szCs w:val="24"/>
        </w:rPr>
        <w:t>calculation raises the risk of double collection for the same cost</w:t>
      </w:r>
      <w:r w:rsidR="00F66A6C" w:rsidRPr="00D813D7">
        <w:rPr>
          <w:rFonts w:ascii="Times New Roman" w:hAnsi="Times New Roman"/>
          <w:sz w:val="24"/>
          <w:szCs w:val="24"/>
        </w:rPr>
        <w:t>.</w:t>
      </w:r>
    </w:p>
    <w:p w:rsidR="00F94E52" w:rsidRPr="00154B60" w:rsidRDefault="00735430" w:rsidP="00154B60">
      <w:pPr>
        <w:pStyle w:val="ListParagraph"/>
        <w:widowControl w:val="0"/>
        <w:numPr>
          <w:ilvl w:val="0"/>
          <w:numId w:val="34"/>
        </w:numPr>
        <w:spacing w:after="0" w:line="480" w:lineRule="auto"/>
        <w:rPr>
          <w:rFonts w:ascii="Times New Roman" w:hAnsi="Times New Roman"/>
          <w:sz w:val="24"/>
          <w:szCs w:val="24"/>
        </w:rPr>
      </w:pPr>
      <w:r w:rsidRPr="00D813D7">
        <w:rPr>
          <w:rFonts w:ascii="Times New Roman" w:hAnsi="Times New Roman"/>
          <w:sz w:val="24"/>
          <w:szCs w:val="24"/>
        </w:rPr>
        <w:t>The Company’s presumption that it has sole discretion to determine which facilities when abandoned in place create a safety risk</w:t>
      </w:r>
      <w:r w:rsidR="00D96CF0" w:rsidRPr="00D813D7">
        <w:rPr>
          <w:rFonts w:ascii="Times New Roman" w:hAnsi="Times New Roman"/>
          <w:sz w:val="24"/>
          <w:szCs w:val="24"/>
        </w:rPr>
        <w:t xml:space="preserve"> (discussed in Section E below)</w:t>
      </w:r>
      <w:r w:rsidRPr="00D813D7">
        <w:rPr>
          <w:rFonts w:ascii="Times New Roman" w:hAnsi="Times New Roman"/>
          <w:sz w:val="24"/>
          <w:szCs w:val="24"/>
        </w:rPr>
        <w:t xml:space="preserve"> without deference to standing procedures for determining the presences of such a risk with neighboring utilities and local first responder authorities</w:t>
      </w:r>
      <w:r w:rsidR="00F66A6C" w:rsidRPr="00D813D7">
        <w:rPr>
          <w:rFonts w:ascii="Times New Roman" w:hAnsi="Times New Roman"/>
          <w:sz w:val="24"/>
          <w:szCs w:val="24"/>
        </w:rPr>
        <w:t>.</w:t>
      </w:r>
    </w:p>
    <w:p w:rsidR="004B7B4E" w:rsidRPr="00D813D7" w:rsidRDefault="00154B60" w:rsidP="004B7B4E">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4B7B4E" w:rsidRPr="00D813D7">
        <w:rPr>
          <w:rFonts w:ascii="Times New Roman" w:hAnsi="Times New Roman"/>
          <w:b/>
          <w:sz w:val="24"/>
          <w:szCs w:val="24"/>
        </w:rPr>
        <w:tab/>
        <w:t xml:space="preserve">Please summarize </w:t>
      </w:r>
      <w:r w:rsidR="00E32D62" w:rsidRPr="00D813D7">
        <w:rPr>
          <w:rFonts w:ascii="Times New Roman" w:hAnsi="Times New Roman"/>
          <w:b/>
          <w:sz w:val="24"/>
          <w:szCs w:val="24"/>
        </w:rPr>
        <w:t xml:space="preserve">the issue with cost causation and </w:t>
      </w:r>
      <w:r w:rsidR="004B7B4E" w:rsidRPr="00D813D7">
        <w:rPr>
          <w:rFonts w:ascii="Times New Roman" w:hAnsi="Times New Roman"/>
          <w:b/>
          <w:sz w:val="24"/>
          <w:szCs w:val="24"/>
        </w:rPr>
        <w:t>the Stranded Cost Recovery Fee.</w:t>
      </w:r>
    </w:p>
    <w:p w:rsidR="00041EF8" w:rsidRPr="00D813D7" w:rsidRDefault="00154B60" w:rsidP="00154B6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4B7B4E" w:rsidRPr="00D813D7">
        <w:rPr>
          <w:rFonts w:ascii="Times New Roman" w:hAnsi="Times New Roman"/>
          <w:sz w:val="24"/>
          <w:szCs w:val="24"/>
        </w:rPr>
        <w:tab/>
      </w:r>
      <w:r w:rsidR="004A41BF" w:rsidRPr="00D813D7">
        <w:rPr>
          <w:rFonts w:ascii="Times New Roman" w:hAnsi="Times New Roman"/>
          <w:sz w:val="24"/>
          <w:szCs w:val="24"/>
        </w:rPr>
        <w:t>Pacific Power’s propos</w:t>
      </w:r>
      <w:r w:rsidR="00AF23BE" w:rsidRPr="00D813D7">
        <w:rPr>
          <w:rFonts w:ascii="Times New Roman" w:hAnsi="Times New Roman"/>
          <w:sz w:val="24"/>
          <w:szCs w:val="24"/>
        </w:rPr>
        <w:t xml:space="preserve">ed Stranded Cost Recovery Fee is </w:t>
      </w:r>
      <w:r w:rsidR="00B67E9E" w:rsidRPr="00D813D7">
        <w:rPr>
          <w:rFonts w:ascii="Times New Roman" w:hAnsi="Times New Roman"/>
          <w:sz w:val="24"/>
          <w:szCs w:val="24"/>
        </w:rPr>
        <w:t>not consistent with the principles of cost causation and just and reasonable rates.</w:t>
      </w:r>
      <w:r w:rsidR="00790224" w:rsidRPr="00D813D7">
        <w:rPr>
          <w:rFonts w:ascii="Times New Roman" w:hAnsi="Times New Roman"/>
          <w:sz w:val="24"/>
          <w:szCs w:val="24"/>
        </w:rPr>
        <w:t xml:space="preserve"> </w:t>
      </w:r>
      <w:r>
        <w:rPr>
          <w:rFonts w:ascii="Times New Roman" w:hAnsi="Times New Roman"/>
          <w:sz w:val="24"/>
          <w:szCs w:val="24"/>
        </w:rPr>
        <w:t xml:space="preserve"> </w:t>
      </w:r>
      <w:r w:rsidR="00B67E9E" w:rsidRPr="00D813D7">
        <w:rPr>
          <w:rFonts w:ascii="Times New Roman" w:hAnsi="Times New Roman"/>
          <w:sz w:val="24"/>
          <w:szCs w:val="24"/>
        </w:rPr>
        <w:t>The Company says that its proposed Stranded Cost Recovery Fee is based on non-net power costs by customer class.</w:t>
      </w:r>
      <w:r>
        <w:rPr>
          <w:rFonts w:ascii="Times New Roman" w:hAnsi="Times New Roman"/>
          <w:sz w:val="24"/>
          <w:szCs w:val="24"/>
        </w:rPr>
        <w:t xml:space="preserve"> </w:t>
      </w:r>
      <w:r w:rsidR="00790224" w:rsidRPr="00D813D7">
        <w:rPr>
          <w:rFonts w:ascii="Times New Roman" w:hAnsi="Times New Roman"/>
          <w:sz w:val="24"/>
          <w:szCs w:val="24"/>
        </w:rPr>
        <w:t xml:space="preserve"> </w:t>
      </w:r>
      <w:r w:rsidR="00B67E9E" w:rsidRPr="00D813D7">
        <w:rPr>
          <w:rFonts w:ascii="Times New Roman" w:hAnsi="Times New Roman"/>
          <w:sz w:val="24"/>
          <w:szCs w:val="24"/>
        </w:rPr>
        <w:t xml:space="preserve">As shown in Figure 1 above, non-net power generation costs </w:t>
      </w:r>
      <w:r w:rsidR="00041EF8" w:rsidRPr="00D813D7">
        <w:rPr>
          <w:rFonts w:ascii="Times New Roman" w:hAnsi="Times New Roman"/>
          <w:sz w:val="24"/>
          <w:szCs w:val="24"/>
        </w:rPr>
        <w:t xml:space="preserve">(orange bars) </w:t>
      </w:r>
      <w:r w:rsidR="00B67E9E" w:rsidRPr="00D813D7">
        <w:rPr>
          <w:rFonts w:ascii="Times New Roman" w:hAnsi="Times New Roman"/>
          <w:sz w:val="24"/>
          <w:szCs w:val="24"/>
        </w:rPr>
        <w:t xml:space="preserve">are </w:t>
      </w:r>
      <w:r>
        <w:rPr>
          <w:rFonts w:ascii="Times New Roman" w:hAnsi="Times New Roman"/>
          <w:sz w:val="24"/>
          <w:szCs w:val="24"/>
        </w:rPr>
        <w:t>equal to 61.6 percent</w:t>
      </w:r>
      <w:r w:rsidR="00041EF8" w:rsidRPr="00D813D7">
        <w:rPr>
          <w:rFonts w:ascii="Times New Roman" w:hAnsi="Times New Roman"/>
          <w:sz w:val="24"/>
          <w:szCs w:val="24"/>
        </w:rPr>
        <w:t xml:space="preserve"> of </w:t>
      </w:r>
      <w:r w:rsidR="00041EF8" w:rsidRPr="00D813D7">
        <w:rPr>
          <w:rFonts w:ascii="Times New Roman" w:hAnsi="Times New Roman"/>
          <w:sz w:val="24"/>
          <w:szCs w:val="24"/>
        </w:rPr>
        <w:lastRenderedPageBreak/>
        <w:t>residential revenue req</w:t>
      </w:r>
      <w:r>
        <w:rPr>
          <w:rFonts w:ascii="Times New Roman" w:hAnsi="Times New Roman"/>
          <w:sz w:val="24"/>
          <w:szCs w:val="24"/>
        </w:rPr>
        <w:t>uirement and 61.9 percent</w:t>
      </w:r>
      <w:r w:rsidR="00041EF8" w:rsidRPr="00D813D7">
        <w:rPr>
          <w:rFonts w:ascii="Times New Roman" w:hAnsi="Times New Roman"/>
          <w:sz w:val="24"/>
          <w:szCs w:val="24"/>
        </w:rPr>
        <w:t xml:space="preserve"> of non-residential revenue requirements.</w:t>
      </w:r>
      <w:r w:rsidR="00790224" w:rsidRPr="00D813D7">
        <w:rPr>
          <w:rFonts w:ascii="Times New Roman" w:hAnsi="Times New Roman"/>
          <w:sz w:val="24"/>
          <w:szCs w:val="24"/>
        </w:rPr>
        <w:t xml:space="preserve"> </w:t>
      </w:r>
      <w:r>
        <w:rPr>
          <w:rFonts w:ascii="Times New Roman" w:hAnsi="Times New Roman"/>
          <w:sz w:val="24"/>
          <w:szCs w:val="24"/>
        </w:rPr>
        <w:t xml:space="preserve"> </w:t>
      </w:r>
      <w:r w:rsidR="00B67E9E" w:rsidRPr="00D813D7">
        <w:rPr>
          <w:rFonts w:ascii="Times New Roman" w:hAnsi="Times New Roman"/>
          <w:sz w:val="24"/>
          <w:szCs w:val="24"/>
        </w:rPr>
        <w:t xml:space="preserve">If </w:t>
      </w:r>
      <w:r w:rsidR="00AF23BE" w:rsidRPr="00D813D7">
        <w:rPr>
          <w:rFonts w:ascii="Times New Roman" w:hAnsi="Times New Roman"/>
          <w:sz w:val="24"/>
          <w:szCs w:val="24"/>
        </w:rPr>
        <w:t>approved</w:t>
      </w:r>
      <w:r w:rsidR="004A41BF" w:rsidRPr="00D813D7">
        <w:rPr>
          <w:rFonts w:ascii="Times New Roman" w:hAnsi="Times New Roman"/>
          <w:sz w:val="24"/>
          <w:szCs w:val="24"/>
        </w:rPr>
        <w:t xml:space="preserve">, </w:t>
      </w:r>
      <w:r w:rsidR="00041EF8" w:rsidRPr="00D813D7">
        <w:rPr>
          <w:rFonts w:ascii="Times New Roman" w:hAnsi="Times New Roman"/>
          <w:sz w:val="24"/>
          <w:szCs w:val="24"/>
        </w:rPr>
        <w:t xml:space="preserve">this means that </w:t>
      </w:r>
      <w:r w:rsidR="00E34591" w:rsidRPr="00D813D7">
        <w:rPr>
          <w:rFonts w:ascii="Times New Roman" w:hAnsi="Times New Roman"/>
          <w:sz w:val="24"/>
          <w:szCs w:val="24"/>
        </w:rPr>
        <w:t xml:space="preserve">departing </w:t>
      </w:r>
      <w:r w:rsidR="004A41BF" w:rsidRPr="00D813D7">
        <w:rPr>
          <w:rFonts w:ascii="Times New Roman" w:hAnsi="Times New Roman"/>
          <w:sz w:val="24"/>
          <w:szCs w:val="24"/>
        </w:rPr>
        <w:t>customers e</w:t>
      </w:r>
      <w:r w:rsidR="0049410F" w:rsidRPr="00D813D7">
        <w:rPr>
          <w:rFonts w:ascii="Times New Roman" w:hAnsi="Times New Roman"/>
          <w:sz w:val="24"/>
          <w:szCs w:val="24"/>
        </w:rPr>
        <w:t xml:space="preserve">ssentially </w:t>
      </w:r>
      <w:r w:rsidR="00991ACB" w:rsidRPr="00D813D7">
        <w:rPr>
          <w:rFonts w:ascii="Times New Roman" w:hAnsi="Times New Roman"/>
          <w:sz w:val="24"/>
          <w:szCs w:val="24"/>
        </w:rPr>
        <w:t xml:space="preserve">must </w:t>
      </w:r>
      <w:r w:rsidR="004A41BF" w:rsidRPr="00D813D7">
        <w:rPr>
          <w:rFonts w:ascii="Times New Roman" w:hAnsi="Times New Roman"/>
          <w:sz w:val="24"/>
          <w:szCs w:val="24"/>
        </w:rPr>
        <w:t xml:space="preserve">continue to pay most of </w:t>
      </w:r>
      <w:r w:rsidR="00B67E9E" w:rsidRPr="00D813D7">
        <w:rPr>
          <w:rFonts w:ascii="Times New Roman" w:hAnsi="Times New Roman"/>
          <w:sz w:val="24"/>
          <w:szCs w:val="24"/>
        </w:rPr>
        <w:t xml:space="preserve">their </w:t>
      </w:r>
      <w:r w:rsidR="004A41BF" w:rsidRPr="00D813D7">
        <w:rPr>
          <w:rFonts w:ascii="Times New Roman" w:hAnsi="Times New Roman"/>
          <w:sz w:val="24"/>
          <w:szCs w:val="24"/>
        </w:rPr>
        <w:t>curr</w:t>
      </w:r>
      <w:r>
        <w:rPr>
          <w:rFonts w:ascii="Times New Roman" w:hAnsi="Times New Roman"/>
          <w:sz w:val="24"/>
          <w:szCs w:val="24"/>
        </w:rPr>
        <w:t>ent retail rate for the next 10</w:t>
      </w:r>
      <w:r w:rsidR="004A41BF" w:rsidRPr="00D813D7">
        <w:rPr>
          <w:rFonts w:ascii="Times New Roman" w:hAnsi="Times New Roman"/>
          <w:sz w:val="24"/>
          <w:szCs w:val="24"/>
        </w:rPr>
        <w:t xml:space="preserve"> years in one </w:t>
      </w:r>
      <w:r w:rsidR="00D60AB6">
        <w:rPr>
          <w:rFonts w:ascii="Times New Roman" w:hAnsi="Times New Roman"/>
          <w:sz w:val="24"/>
          <w:szCs w:val="24"/>
        </w:rPr>
        <w:t xml:space="preserve">upfront, discounted </w:t>
      </w:r>
      <w:r w:rsidR="004A41BF" w:rsidRPr="00D813D7">
        <w:rPr>
          <w:rFonts w:ascii="Times New Roman" w:hAnsi="Times New Roman"/>
          <w:sz w:val="24"/>
          <w:szCs w:val="24"/>
        </w:rPr>
        <w:t>lump sum</w:t>
      </w:r>
      <w:r w:rsidR="00AF23BE" w:rsidRPr="00D813D7">
        <w:rPr>
          <w:rFonts w:ascii="Times New Roman" w:hAnsi="Times New Roman"/>
          <w:sz w:val="24"/>
          <w:szCs w:val="24"/>
        </w:rPr>
        <w:t>.</w:t>
      </w:r>
      <w:r w:rsidR="00790224" w:rsidRPr="00D813D7">
        <w:rPr>
          <w:rFonts w:ascii="Times New Roman" w:hAnsi="Times New Roman"/>
          <w:sz w:val="24"/>
          <w:szCs w:val="24"/>
        </w:rPr>
        <w:t xml:space="preserve"> </w:t>
      </w:r>
      <w:r>
        <w:rPr>
          <w:rFonts w:ascii="Times New Roman" w:hAnsi="Times New Roman"/>
          <w:sz w:val="24"/>
          <w:szCs w:val="24"/>
        </w:rPr>
        <w:t xml:space="preserve"> </w:t>
      </w:r>
      <w:r w:rsidR="00AF23BE" w:rsidRPr="00D813D7">
        <w:rPr>
          <w:rFonts w:ascii="Times New Roman" w:hAnsi="Times New Roman"/>
          <w:sz w:val="24"/>
          <w:szCs w:val="24"/>
        </w:rPr>
        <w:t xml:space="preserve">Pacific Power will receive this payment even after it </w:t>
      </w:r>
      <w:r w:rsidR="00D60AB6">
        <w:rPr>
          <w:rFonts w:ascii="Times New Roman" w:hAnsi="Times New Roman"/>
          <w:sz w:val="24"/>
          <w:szCs w:val="24"/>
        </w:rPr>
        <w:t xml:space="preserve">is </w:t>
      </w:r>
      <w:r w:rsidR="00AF23BE" w:rsidRPr="00D813D7">
        <w:rPr>
          <w:rFonts w:ascii="Times New Roman" w:hAnsi="Times New Roman"/>
          <w:sz w:val="24"/>
          <w:szCs w:val="24"/>
        </w:rPr>
        <w:t xml:space="preserve">no longer </w:t>
      </w:r>
      <w:r w:rsidR="00D60AB6">
        <w:rPr>
          <w:rFonts w:ascii="Times New Roman" w:hAnsi="Times New Roman"/>
          <w:sz w:val="24"/>
          <w:szCs w:val="24"/>
        </w:rPr>
        <w:t xml:space="preserve">responsible </w:t>
      </w:r>
      <w:r w:rsidR="00AF23BE" w:rsidRPr="00D813D7">
        <w:rPr>
          <w:rFonts w:ascii="Times New Roman" w:hAnsi="Times New Roman"/>
          <w:sz w:val="24"/>
          <w:szCs w:val="24"/>
        </w:rPr>
        <w:t>to plan for and provide service to</w:t>
      </w:r>
      <w:r w:rsidR="004A41BF" w:rsidRPr="00D813D7">
        <w:rPr>
          <w:rFonts w:ascii="Times New Roman" w:hAnsi="Times New Roman"/>
          <w:sz w:val="24"/>
          <w:szCs w:val="24"/>
        </w:rPr>
        <w:t xml:space="preserve"> </w:t>
      </w:r>
      <w:r w:rsidR="00E34591" w:rsidRPr="00D813D7">
        <w:rPr>
          <w:rFonts w:ascii="Times New Roman" w:hAnsi="Times New Roman"/>
          <w:sz w:val="24"/>
          <w:szCs w:val="24"/>
        </w:rPr>
        <w:t>departing customers</w:t>
      </w:r>
      <w:r w:rsidR="00D60AB6">
        <w:rPr>
          <w:rFonts w:ascii="Times New Roman" w:hAnsi="Times New Roman"/>
          <w:sz w:val="24"/>
          <w:szCs w:val="24"/>
        </w:rPr>
        <w:t xml:space="preserve"> because those customers will have</w:t>
      </w:r>
      <w:r w:rsidR="00AF23BE" w:rsidRPr="00D813D7">
        <w:rPr>
          <w:rFonts w:ascii="Times New Roman" w:hAnsi="Times New Roman"/>
          <w:sz w:val="24"/>
          <w:szCs w:val="24"/>
        </w:rPr>
        <w:t xml:space="preserve"> transferred </w:t>
      </w:r>
      <w:r w:rsidR="004A41BF" w:rsidRPr="00D813D7">
        <w:rPr>
          <w:rFonts w:ascii="Times New Roman" w:hAnsi="Times New Roman"/>
          <w:sz w:val="24"/>
          <w:szCs w:val="24"/>
        </w:rPr>
        <w:t xml:space="preserve">all electric </w:t>
      </w:r>
      <w:r w:rsidR="001205A4" w:rsidRPr="00D813D7">
        <w:rPr>
          <w:rFonts w:ascii="Times New Roman" w:hAnsi="Times New Roman"/>
          <w:sz w:val="24"/>
          <w:szCs w:val="24"/>
        </w:rPr>
        <w:t>load and facilities</w:t>
      </w:r>
      <w:r w:rsidR="00C239CC" w:rsidRPr="00D813D7">
        <w:rPr>
          <w:rFonts w:ascii="Times New Roman" w:hAnsi="Times New Roman"/>
          <w:sz w:val="24"/>
          <w:szCs w:val="24"/>
        </w:rPr>
        <w:t xml:space="preserve"> </w:t>
      </w:r>
      <w:r w:rsidR="00AF23BE" w:rsidRPr="00D813D7">
        <w:rPr>
          <w:rFonts w:ascii="Times New Roman" w:hAnsi="Times New Roman"/>
          <w:sz w:val="24"/>
          <w:szCs w:val="24"/>
        </w:rPr>
        <w:t xml:space="preserve">to </w:t>
      </w:r>
      <w:r w:rsidR="00C239CC" w:rsidRPr="00D813D7">
        <w:rPr>
          <w:rFonts w:ascii="Times New Roman" w:hAnsi="Times New Roman"/>
          <w:sz w:val="24"/>
          <w:szCs w:val="24"/>
        </w:rPr>
        <w:t>another provider</w:t>
      </w:r>
      <w:r w:rsidR="004A41BF" w:rsidRPr="00D813D7">
        <w:rPr>
          <w:rFonts w:ascii="Times New Roman" w:hAnsi="Times New Roman"/>
          <w:sz w:val="24"/>
          <w:szCs w:val="24"/>
        </w:rPr>
        <w:t xml:space="preserve"> </w:t>
      </w:r>
      <w:r w:rsidR="00041EF8" w:rsidRPr="00D813D7">
        <w:rPr>
          <w:rFonts w:ascii="Times New Roman" w:hAnsi="Times New Roman"/>
          <w:sz w:val="24"/>
          <w:szCs w:val="24"/>
        </w:rPr>
        <w:t>for the next decade</w:t>
      </w:r>
      <w:r w:rsidR="00D60AB6">
        <w:rPr>
          <w:rFonts w:ascii="Times New Roman" w:hAnsi="Times New Roman"/>
          <w:sz w:val="24"/>
          <w:szCs w:val="24"/>
        </w:rPr>
        <w:t>.  Under Pacific Power’s proposal, it would receive the Stranded Cost Recovery Fee even in situations where conditions later change</w:t>
      </w:r>
      <w:r w:rsidR="003B7305">
        <w:rPr>
          <w:rFonts w:ascii="Times New Roman" w:hAnsi="Times New Roman"/>
          <w:sz w:val="24"/>
          <w:szCs w:val="24"/>
        </w:rPr>
        <w:t xml:space="preserve"> to</w:t>
      </w:r>
      <w:r w:rsidR="004B7B4E" w:rsidRPr="00D813D7">
        <w:rPr>
          <w:rFonts w:ascii="Times New Roman" w:hAnsi="Times New Roman"/>
          <w:sz w:val="24"/>
          <w:szCs w:val="24"/>
        </w:rPr>
        <w:t xml:space="preserve"> increase load or </w:t>
      </w:r>
      <w:r w:rsidR="003B7305">
        <w:rPr>
          <w:rFonts w:ascii="Times New Roman" w:hAnsi="Times New Roman"/>
          <w:sz w:val="24"/>
          <w:szCs w:val="24"/>
        </w:rPr>
        <w:t>alter</w:t>
      </w:r>
      <w:r w:rsidR="003B7305" w:rsidRPr="00D813D7">
        <w:rPr>
          <w:rFonts w:ascii="Times New Roman" w:hAnsi="Times New Roman"/>
          <w:sz w:val="24"/>
          <w:szCs w:val="24"/>
        </w:rPr>
        <w:t xml:space="preserve"> </w:t>
      </w:r>
      <w:r w:rsidR="004B7B4E" w:rsidRPr="00D813D7">
        <w:rPr>
          <w:rFonts w:ascii="Times New Roman" w:hAnsi="Times New Roman"/>
          <w:sz w:val="24"/>
          <w:szCs w:val="24"/>
        </w:rPr>
        <w:t>generation mix in a way that reduces stranded fixed costs.</w:t>
      </w:r>
      <w:r w:rsidR="00711DE5" w:rsidRPr="00D813D7">
        <w:rPr>
          <w:rFonts w:ascii="Times New Roman" w:hAnsi="Times New Roman"/>
          <w:sz w:val="24"/>
          <w:szCs w:val="24"/>
        </w:rPr>
        <w:t xml:space="preserve">  As a result, the Stranded Cost Recovery Fee as proposed is inappropriately designed.</w:t>
      </w:r>
    </w:p>
    <w:p w:rsidR="00EE1B6F" w:rsidRPr="00D813D7" w:rsidRDefault="00154B60" w:rsidP="00EE1B6F">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EE1B6F" w:rsidRPr="00D813D7">
        <w:rPr>
          <w:rFonts w:ascii="Times New Roman" w:hAnsi="Times New Roman"/>
          <w:b/>
          <w:sz w:val="24"/>
          <w:szCs w:val="24"/>
        </w:rPr>
        <w:tab/>
        <w:t>Is Pacific Power correct to expect to be able to recover stranded costs created by the departing customers request to permanently disconnect from the system?</w:t>
      </w:r>
    </w:p>
    <w:p w:rsidR="00AF23BE" w:rsidRPr="00D813D7" w:rsidRDefault="00154B60" w:rsidP="006352A8">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EE1B6F" w:rsidRPr="00D813D7">
        <w:rPr>
          <w:rFonts w:ascii="Times New Roman" w:hAnsi="Times New Roman"/>
          <w:sz w:val="24"/>
          <w:szCs w:val="24"/>
        </w:rPr>
        <w:tab/>
        <w:t xml:space="preserve">Yes, based on </w:t>
      </w:r>
      <w:r w:rsidR="004F3B67" w:rsidRPr="00D813D7">
        <w:rPr>
          <w:rFonts w:ascii="Times New Roman" w:hAnsi="Times New Roman"/>
          <w:sz w:val="24"/>
          <w:szCs w:val="24"/>
        </w:rPr>
        <w:t xml:space="preserve">my </w:t>
      </w:r>
      <w:r w:rsidR="00EE1B6F" w:rsidRPr="00D813D7">
        <w:rPr>
          <w:rFonts w:ascii="Times New Roman" w:hAnsi="Times New Roman"/>
          <w:sz w:val="24"/>
          <w:szCs w:val="24"/>
        </w:rPr>
        <w:t>review of the conditions that give rise to stranded costs, Pacific Power’s request is consistent with conditions that are beyond its control</w:t>
      </w:r>
      <w:r w:rsidR="004F3B67" w:rsidRPr="00D813D7">
        <w:rPr>
          <w:rFonts w:ascii="Times New Roman" w:hAnsi="Times New Roman"/>
          <w:sz w:val="24"/>
          <w:szCs w:val="24"/>
        </w:rPr>
        <w:t xml:space="preserve"> to some extent</w:t>
      </w:r>
      <w:r w:rsidR="00EE1B6F" w:rsidRPr="00D813D7">
        <w:rPr>
          <w:rFonts w:ascii="Times New Roman" w:hAnsi="Times New Roman"/>
          <w:sz w:val="24"/>
          <w:szCs w:val="24"/>
        </w:rPr>
        <w:t xml:space="preserve">. </w:t>
      </w:r>
      <w:r w:rsidR="004F3B67" w:rsidRPr="00D813D7">
        <w:rPr>
          <w:rFonts w:ascii="Times New Roman" w:hAnsi="Times New Roman"/>
          <w:sz w:val="24"/>
          <w:szCs w:val="24"/>
        </w:rPr>
        <w:t>The controlling factor that creates the situation in this case is</w:t>
      </w:r>
      <w:r w:rsidR="00EE1B6F" w:rsidRPr="00D813D7">
        <w:rPr>
          <w:rFonts w:ascii="Times New Roman" w:hAnsi="Times New Roman"/>
          <w:sz w:val="24"/>
          <w:szCs w:val="24"/>
        </w:rPr>
        <w:t xml:space="preserve"> the absence of a prevailing franchise agreement that would grant Pacific Power exclusive right</w:t>
      </w:r>
      <w:r w:rsidR="00B12CC3" w:rsidRPr="00D813D7">
        <w:rPr>
          <w:rFonts w:ascii="Times New Roman" w:hAnsi="Times New Roman"/>
          <w:sz w:val="24"/>
          <w:szCs w:val="24"/>
        </w:rPr>
        <w:t>s</w:t>
      </w:r>
      <w:r w:rsidR="00EE1B6F" w:rsidRPr="00D813D7">
        <w:rPr>
          <w:rFonts w:ascii="Times New Roman" w:hAnsi="Times New Roman"/>
          <w:sz w:val="24"/>
          <w:szCs w:val="24"/>
        </w:rPr>
        <w:t xml:space="preserve"> to serve customers within a defined service territory.</w:t>
      </w:r>
      <w:r w:rsidR="004F3B67" w:rsidRPr="00D813D7">
        <w:rPr>
          <w:rFonts w:ascii="Times New Roman" w:hAnsi="Times New Roman"/>
          <w:sz w:val="24"/>
          <w:szCs w:val="24"/>
        </w:rPr>
        <w:t xml:space="preserve">  </w:t>
      </w:r>
      <w:r w:rsidR="00AF23BE" w:rsidRPr="00D813D7">
        <w:rPr>
          <w:rFonts w:ascii="Times New Roman" w:hAnsi="Times New Roman"/>
          <w:sz w:val="24"/>
          <w:szCs w:val="24"/>
        </w:rPr>
        <w:t xml:space="preserve">Pacific Power </w:t>
      </w:r>
      <w:r w:rsidR="00391D46" w:rsidRPr="00D813D7">
        <w:rPr>
          <w:rFonts w:ascii="Times New Roman" w:hAnsi="Times New Roman"/>
          <w:sz w:val="24"/>
          <w:szCs w:val="24"/>
        </w:rPr>
        <w:t>argues</w:t>
      </w:r>
      <w:r w:rsidR="00041EF8" w:rsidRPr="00D813D7">
        <w:rPr>
          <w:rFonts w:ascii="Times New Roman" w:hAnsi="Times New Roman"/>
          <w:sz w:val="24"/>
          <w:szCs w:val="24"/>
        </w:rPr>
        <w:t xml:space="preserve">, correctly, that </w:t>
      </w:r>
      <w:r w:rsidR="00A228A1" w:rsidRPr="00D813D7">
        <w:rPr>
          <w:rFonts w:ascii="Times New Roman" w:hAnsi="Times New Roman"/>
          <w:sz w:val="24"/>
          <w:szCs w:val="24"/>
        </w:rPr>
        <w:t>due to the regulatory construct under which it installed infrastructure to serve such customers, these</w:t>
      </w:r>
      <w:r w:rsidR="004A41BF" w:rsidRPr="00D813D7">
        <w:rPr>
          <w:rFonts w:ascii="Times New Roman" w:hAnsi="Times New Roman"/>
          <w:sz w:val="24"/>
          <w:szCs w:val="24"/>
        </w:rPr>
        <w:t xml:space="preserve"> customers should not be able to </w:t>
      </w:r>
      <w:r w:rsidR="00A228A1" w:rsidRPr="00D813D7">
        <w:rPr>
          <w:rFonts w:ascii="Times New Roman" w:hAnsi="Times New Roman"/>
          <w:sz w:val="24"/>
          <w:szCs w:val="24"/>
        </w:rPr>
        <w:t xml:space="preserve">shift responsibility to </w:t>
      </w:r>
      <w:r w:rsidR="004A41BF" w:rsidRPr="00D813D7">
        <w:rPr>
          <w:rFonts w:ascii="Times New Roman" w:hAnsi="Times New Roman"/>
          <w:sz w:val="24"/>
          <w:szCs w:val="24"/>
        </w:rPr>
        <w:t xml:space="preserve">pay their share of </w:t>
      </w:r>
      <w:r w:rsidR="00991ACB" w:rsidRPr="00D813D7">
        <w:rPr>
          <w:rFonts w:ascii="Times New Roman" w:hAnsi="Times New Roman"/>
          <w:sz w:val="24"/>
          <w:szCs w:val="24"/>
        </w:rPr>
        <w:t xml:space="preserve">the </w:t>
      </w:r>
      <w:r w:rsidR="004A41BF" w:rsidRPr="00D813D7">
        <w:rPr>
          <w:rFonts w:ascii="Times New Roman" w:hAnsi="Times New Roman"/>
          <w:sz w:val="24"/>
          <w:szCs w:val="24"/>
        </w:rPr>
        <w:t>fixed costs of the system</w:t>
      </w:r>
      <w:r w:rsidR="00991ACB" w:rsidRPr="00D813D7">
        <w:rPr>
          <w:rFonts w:ascii="Times New Roman" w:hAnsi="Times New Roman"/>
          <w:sz w:val="24"/>
          <w:szCs w:val="24"/>
        </w:rPr>
        <w:t xml:space="preserve"> investments made to serve them</w:t>
      </w:r>
      <w:r w:rsidR="00266E96" w:rsidRPr="00D813D7">
        <w:rPr>
          <w:rFonts w:ascii="Times New Roman" w:hAnsi="Times New Roman"/>
          <w:sz w:val="24"/>
          <w:szCs w:val="24"/>
        </w:rPr>
        <w:t xml:space="preserve"> to other customers</w:t>
      </w:r>
      <w:r w:rsidR="004A41BF" w:rsidRPr="00D813D7">
        <w:rPr>
          <w:rFonts w:ascii="Times New Roman" w:hAnsi="Times New Roman"/>
          <w:sz w:val="24"/>
          <w:szCs w:val="24"/>
        </w:rPr>
        <w:t>.</w:t>
      </w:r>
      <w:r w:rsidR="00E34591" w:rsidRPr="00D813D7">
        <w:rPr>
          <w:rFonts w:ascii="Times New Roman" w:hAnsi="Times New Roman"/>
          <w:sz w:val="24"/>
          <w:szCs w:val="24"/>
        </w:rPr>
        <w:t xml:space="preserve"> </w:t>
      </w:r>
      <w:r w:rsidR="006352A8">
        <w:rPr>
          <w:rFonts w:ascii="Times New Roman" w:hAnsi="Times New Roman"/>
          <w:sz w:val="24"/>
          <w:szCs w:val="24"/>
        </w:rPr>
        <w:t xml:space="preserve"> </w:t>
      </w:r>
      <w:r w:rsidR="004F3B67" w:rsidRPr="00D813D7">
        <w:rPr>
          <w:rFonts w:ascii="Times New Roman" w:hAnsi="Times New Roman"/>
          <w:sz w:val="24"/>
          <w:szCs w:val="24"/>
        </w:rPr>
        <w:t>The issue here is not whether Pacific Power should be allowed to recover stranded costs from departing customers, but rather what time period is appropriate to use to measure the stranded costs.</w:t>
      </w:r>
    </w:p>
    <w:p w:rsidR="00391D46" w:rsidRPr="00D813D7" w:rsidRDefault="006352A8" w:rsidP="00391D46">
      <w:pPr>
        <w:widowControl w:val="0"/>
        <w:spacing w:after="0" w:line="480" w:lineRule="auto"/>
        <w:ind w:left="720" w:hanging="720"/>
        <w:rPr>
          <w:rFonts w:ascii="Times New Roman" w:hAnsi="Times New Roman"/>
          <w:b/>
          <w:sz w:val="24"/>
          <w:szCs w:val="24"/>
        </w:rPr>
      </w:pPr>
      <w:bookmarkStart w:id="24" w:name="_Hlk480360849"/>
      <w:r>
        <w:rPr>
          <w:rFonts w:ascii="Times New Roman" w:hAnsi="Times New Roman"/>
          <w:b/>
          <w:sz w:val="24"/>
          <w:szCs w:val="24"/>
        </w:rPr>
        <w:t>Q:</w:t>
      </w:r>
      <w:r w:rsidR="00391D46" w:rsidRPr="00D813D7">
        <w:rPr>
          <w:rFonts w:ascii="Times New Roman" w:hAnsi="Times New Roman"/>
          <w:b/>
          <w:sz w:val="24"/>
          <w:szCs w:val="24"/>
        </w:rPr>
        <w:tab/>
      </w:r>
      <w:r>
        <w:rPr>
          <w:rFonts w:ascii="Times New Roman" w:hAnsi="Times New Roman"/>
          <w:b/>
          <w:sz w:val="24"/>
          <w:szCs w:val="24"/>
        </w:rPr>
        <w:t>Besides the 10</w:t>
      </w:r>
      <w:r w:rsidR="004B7B4E" w:rsidRPr="00D813D7">
        <w:rPr>
          <w:rFonts w:ascii="Times New Roman" w:hAnsi="Times New Roman"/>
          <w:b/>
          <w:sz w:val="24"/>
          <w:szCs w:val="24"/>
        </w:rPr>
        <w:t xml:space="preserve">-year time horizon, </w:t>
      </w:r>
      <w:r w:rsidR="004F3B67" w:rsidRPr="00D813D7">
        <w:rPr>
          <w:rFonts w:ascii="Times New Roman" w:hAnsi="Times New Roman"/>
          <w:b/>
          <w:sz w:val="24"/>
          <w:szCs w:val="24"/>
        </w:rPr>
        <w:t>do you have other criticisms of</w:t>
      </w:r>
      <w:r w:rsidR="004B7B4E" w:rsidRPr="00D813D7">
        <w:rPr>
          <w:rFonts w:ascii="Times New Roman" w:hAnsi="Times New Roman"/>
          <w:b/>
          <w:sz w:val="24"/>
          <w:szCs w:val="24"/>
        </w:rPr>
        <w:t xml:space="preserve"> </w:t>
      </w:r>
      <w:r w:rsidR="00391D46" w:rsidRPr="00D813D7">
        <w:rPr>
          <w:rFonts w:ascii="Times New Roman" w:hAnsi="Times New Roman"/>
          <w:b/>
          <w:sz w:val="24"/>
          <w:szCs w:val="24"/>
        </w:rPr>
        <w:t>the propo</w:t>
      </w:r>
      <w:r w:rsidR="004B7B4E" w:rsidRPr="00D813D7">
        <w:rPr>
          <w:rFonts w:ascii="Times New Roman" w:hAnsi="Times New Roman"/>
          <w:b/>
          <w:sz w:val="24"/>
          <w:szCs w:val="24"/>
        </w:rPr>
        <w:t>sed methodology to recover stranded</w:t>
      </w:r>
      <w:r w:rsidR="00391D46" w:rsidRPr="00D813D7">
        <w:rPr>
          <w:rFonts w:ascii="Times New Roman" w:hAnsi="Times New Roman"/>
          <w:b/>
          <w:sz w:val="24"/>
          <w:szCs w:val="24"/>
        </w:rPr>
        <w:t xml:space="preserve"> costs?</w:t>
      </w:r>
    </w:p>
    <w:p w:rsidR="00391D46" w:rsidRDefault="006352A8" w:rsidP="006352A8">
      <w:pPr>
        <w:widowControl w:val="0"/>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sidR="00391D46" w:rsidRPr="00D813D7">
        <w:rPr>
          <w:rFonts w:ascii="Times New Roman" w:hAnsi="Times New Roman"/>
          <w:sz w:val="24"/>
          <w:szCs w:val="24"/>
        </w:rPr>
        <w:tab/>
      </w:r>
      <w:r w:rsidR="004F3B67" w:rsidRPr="00D813D7">
        <w:rPr>
          <w:rFonts w:ascii="Times New Roman" w:hAnsi="Times New Roman"/>
          <w:sz w:val="24"/>
          <w:szCs w:val="24"/>
        </w:rPr>
        <w:t xml:space="preserve">Yes. </w:t>
      </w:r>
      <w:r>
        <w:rPr>
          <w:rFonts w:ascii="Times New Roman" w:hAnsi="Times New Roman"/>
          <w:sz w:val="24"/>
          <w:szCs w:val="24"/>
        </w:rPr>
        <w:t xml:space="preserve"> </w:t>
      </w:r>
      <w:r w:rsidR="003564D2" w:rsidRPr="00D813D7">
        <w:rPr>
          <w:rFonts w:ascii="Times New Roman" w:hAnsi="Times New Roman"/>
          <w:sz w:val="24"/>
          <w:szCs w:val="24"/>
        </w:rPr>
        <w:t>Pacific Power’s</w:t>
      </w:r>
      <w:bookmarkEnd w:id="24"/>
      <w:r w:rsidR="004F3B67" w:rsidRPr="00D813D7">
        <w:rPr>
          <w:rFonts w:ascii="Times New Roman" w:hAnsi="Times New Roman"/>
          <w:sz w:val="24"/>
          <w:szCs w:val="24"/>
        </w:rPr>
        <w:t xml:space="preserve"> definition of what constitutes a stranded cost </w:t>
      </w:r>
      <w:r w:rsidR="003564D2" w:rsidRPr="00D813D7">
        <w:rPr>
          <w:rFonts w:ascii="Times New Roman" w:hAnsi="Times New Roman"/>
          <w:sz w:val="24"/>
          <w:szCs w:val="24"/>
        </w:rPr>
        <w:t xml:space="preserve">in the proposed tariff revision </w:t>
      </w:r>
      <w:r w:rsidR="004F3B67" w:rsidRPr="00D813D7">
        <w:rPr>
          <w:rFonts w:ascii="Times New Roman" w:hAnsi="Times New Roman"/>
          <w:sz w:val="24"/>
          <w:szCs w:val="24"/>
        </w:rPr>
        <w:t xml:space="preserve">is </w:t>
      </w:r>
      <w:r w:rsidR="003564D2" w:rsidRPr="00D813D7">
        <w:rPr>
          <w:rFonts w:ascii="Times New Roman" w:hAnsi="Times New Roman"/>
          <w:sz w:val="24"/>
          <w:szCs w:val="24"/>
        </w:rPr>
        <w:t xml:space="preserve">defined </w:t>
      </w:r>
      <w:r w:rsidR="003B7305">
        <w:rPr>
          <w:rFonts w:ascii="Times New Roman" w:hAnsi="Times New Roman"/>
          <w:sz w:val="24"/>
          <w:szCs w:val="24"/>
        </w:rPr>
        <w:t>both too broadly and too narrowly.</w:t>
      </w:r>
    </w:p>
    <w:p w:rsidR="008834F7" w:rsidRPr="0049410F" w:rsidRDefault="008834F7" w:rsidP="008834F7">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D55CC9">
        <w:rPr>
          <w:rFonts w:ascii="Times New Roman" w:hAnsi="Times New Roman"/>
          <w:b/>
          <w:sz w:val="24"/>
          <w:szCs w:val="24"/>
        </w:rPr>
        <w:t>:</w:t>
      </w:r>
      <w:r>
        <w:rPr>
          <w:rFonts w:ascii="Times New Roman" w:hAnsi="Times New Roman"/>
          <w:b/>
          <w:sz w:val="24"/>
          <w:szCs w:val="24"/>
        </w:rPr>
        <w:tab/>
        <w:t>Why do you believe that the Company’s definition of stranded cost is too broad?</w:t>
      </w:r>
    </w:p>
    <w:p w:rsidR="008834F7" w:rsidRDefault="008834F7" w:rsidP="00174D96">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D55CC9">
        <w:rPr>
          <w:rFonts w:ascii="Times New Roman" w:hAnsi="Times New Roman"/>
          <w:sz w:val="24"/>
          <w:szCs w:val="24"/>
        </w:rPr>
        <w:t>:</w:t>
      </w:r>
      <w:r>
        <w:rPr>
          <w:rFonts w:ascii="Times New Roman" w:hAnsi="Times New Roman"/>
          <w:sz w:val="24"/>
          <w:szCs w:val="24"/>
        </w:rPr>
        <w:tab/>
        <w:t xml:space="preserve">Under Pacific Power’s proposed methodology, the Company possesses sole discretion to define the facilities to be recovered in the Stranded Cost Recovery Fee.  As a result, customers risk that the Company will over-designate the facilities to be recovered in the Stranded Cost Recovery Fee.  The result would be that customers would pay for more facilities than are included in the minimum necessary for (1) sale and transfer, (2) transfer, or (3) removal or abandonment upon permanent disconnection. </w:t>
      </w:r>
    </w:p>
    <w:p w:rsidR="008834F7" w:rsidRDefault="008834F7" w:rsidP="00C446D3">
      <w:pPr>
        <w:widowControl w:val="0"/>
        <w:spacing w:after="0" w:line="480" w:lineRule="auto"/>
        <w:ind w:left="720" w:firstLine="720"/>
        <w:rPr>
          <w:rFonts w:ascii="Times New Roman" w:hAnsi="Times New Roman"/>
          <w:sz w:val="24"/>
          <w:szCs w:val="24"/>
        </w:rPr>
      </w:pPr>
      <w:r>
        <w:rPr>
          <w:rFonts w:ascii="Times New Roman" w:hAnsi="Times New Roman"/>
          <w:sz w:val="24"/>
          <w:szCs w:val="24"/>
        </w:rPr>
        <w:t>Pacific Power’s broad categorization of facilities, plus lack of accounting in the stranded cost model for any increases in market revenues, load growth, or allocation changes, ignores important complexities of utility planning and principles of ratemaking.  For example, one risk is that the Company could recover costs for the same expense twice. In response to discovery, the Company acknowledged that certain facilities costs would be included in its Stranded Cost Recovery Fee calculation that may be paid for in the Actual Cost of Removal or that would decline upon the customer’s departure.</w:t>
      </w:r>
      <w:r>
        <w:rPr>
          <w:rStyle w:val="FootnoteReference"/>
          <w:rFonts w:ascii="Times New Roman" w:hAnsi="Times New Roman"/>
          <w:sz w:val="24"/>
          <w:szCs w:val="24"/>
        </w:rPr>
        <w:footnoteReference w:id="76"/>
      </w:r>
      <w:r>
        <w:rPr>
          <w:rFonts w:ascii="Times New Roman" w:hAnsi="Times New Roman"/>
          <w:sz w:val="24"/>
          <w:szCs w:val="24"/>
        </w:rPr>
        <w:t xml:space="preserve">  Examples include meters and related distribution facilities costs and customer service costs.</w:t>
      </w:r>
    </w:p>
    <w:p w:rsidR="008834F7" w:rsidRPr="00354155" w:rsidRDefault="00174D96" w:rsidP="00C446D3">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8834F7">
        <w:rPr>
          <w:rFonts w:ascii="Times New Roman" w:hAnsi="Times New Roman"/>
          <w:b/>
          <w:sz w:val="24"/>
          <w:szCs w:val="24"/>
        </w:rPr>
        <w:t xml:space="preserve"> </w:t>
      </w:r>
      <w:r>
        <w:rPr>
          <w:rFonts w:ascii="Times New Roman" w:hAnsi="Times New Roman"/>
          <w:b/>
          <w:sz w:val="24"/>
          <w:szCs w:val="24"/>
        </w:rPr>
        <w:tab/>
      </w:r>
      <w:r w:rsidR="008834F7">
        <w:rPr>
          <w:rFonts w:ascii="Times New Roman" w:hAnsi="Times New Roman"/>
          <w:b/>
          <w:sz w:val="24"/>
          <w:szCs w:val="24"/>
        </w:rPr>
        <w:t>Why do believe the Company’s stranded cost definition is too narrow?</w:t>
      </w:r>
    </w:p>
    <w:p w:rsidR="003564D2" w:rsidRPr="00D813D7" w:rsidRDefault="008834F7" w:rsidP="00647FF4">
      <w:pPr>
        <w:widowControl w:val="0"/>
        <w:spacing w:after="0" w:line="480" w:lineRule="auto"/>
        <w:ind w:left="720"/>
        <w:rPr>
          <w:rFonts w:ascii="Times New Roman" w:hAnsi="Times New Roman"/>
          <w:sz w:val="24"/>
          <w:szCs w:val="24"/>
        </w:rPr>
      </w:pPr>
      <w:r>
        <w:rPr>
          <w:rFonts w:ascii="Times New Roman" w:hAnsi="Times New Roman"/>
          <w:sz w:val="24"/>
          <w:szCs w:val="24"/>
        </w:rPr>
        <w:t>Pacific Power’s proposed definition of stranded cost is defined too narrowly because it excludes consideration for the departing customer’s obligation to support the Company’s commitment to low-income</w:t>
      </w:r>
      <w:r w:rsidR="00A35431">
        <w:rPr>
          <w:rFonts w:ascii="Times New Roman" w:hAnsi="Times New Roman"/>
          <w:sz w:val="24"/>
          <w:szCs w:val="24"/>
        </w:rPr>
        <w:t xml:space="preserve"> rate</w:t>
      </w:r>
      <w:r>
        <w:rPr>
          <w:rFonts w:ascii="Times New Roman" w:hAnsi="Times New Roman"/>
          <w:sz w:val="24"/>
          <w:szCs w:val="24"/>
        </w:rPr>
        <w:t xml:space="preserve"> assistance and energy efficiency programs.</w:t>
      </w:r>
      <w:r w:rsidR="00A35431">
        <w:rPr>
          <w:rFonts w:ascii="Times New Roman" w:hAnsi="Times New Roman"/>
          <w:sz w:val="24"/>
          <w:szCs w:val="24"/>
        </w:rPr>
        <w:t xml:space="preserve">  Without recognition of these costs in the stranded cost calculation, the costs will either shift to the </w:t>
      </w:r>
      <w:r w:rsidR="00A35431">
        <w:rPr>
          <w:rFonts w:ascii="Times New Roman" w:hAnsi="Times New Roman"/>
          <w:sz w:val="24"/>
          <w:szCs w:val="24"/>
        </w:rPr>
        <w:lastRenderedPageBreak/>
        <w:t>remaining customers or the overall contribution made to these programs will decrease.</w:t>
      </w:r>
    </w:p>
    <w:p w:rsidR="003564D2" w:rsidRPr="00D813D7" w:rsidRDefault="006352A8" w:rsidP="003564D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3564D2" w:rsidRPr="00D813D7">
        <w:rPr>
          <w:rFonts w:ascii="Times New Roman" w:hAnsi="Times New Roman"/>
          <w:b/>
          <w:sz w:val="24"/>
          <w:szCs w:val="24"/>
        </w:rPr>
        <w:tab/>
        <w:t>D</w:t>
      </w:r>
      <w:r w:rsidR="00CA4648" w:rsidRPr="00D813D7">
        <w:rPr>
          <w:rFonts w:ascii="Times New Roman" w:hAnsi="Times New Roman"/>
          <w:b/>
          <w:sz w:val="24"/>
          <w:szCs w:val="24"/>
        </w:rPr>
        <w:t>oes</w:t>
      </w:r>
      <w:r w:rsidR="003564D2" w:rsidRPr="00D813D7">
        <w:rPr>
          <w:rFonts w:ascii="Times New Roman" w:hAnsi="Times New Roman"/>
          <w:b/>
          <w:sz w:val="24"/>
          <w:szCs w:val="24"/>
        </w:rPr>
        <w:t xml:space="preserve"> the Company </w:t>
      </w:r>
      <w:r w:rsidR="00CA4648" w:rsidRPr="00D813D7">
        <w:rPr>
          <w:rFonts w:ascii="Times New Roman" w:hAnsi="Times New Roman"/>
          <w:b/>
          <w:sz w:val="24"/>
          <w:szCs w:val="24"/>
        </w:rPr>
        <w:t>recognize that thei</w:t>
      </w:r>
      <w:r w:rsidR="003564D2" w:rsidRPr="00D813D7">
        <w:rPr>
          <w:rFonts w:ascii="Times New Roman" w:hAnsi="Times New Roman"/>
          <w:b/>
          <w:sz w:val="24"/>
          <w:szCs w:val="24"/>
        </w:rPr>
        <w:t xml:space="preserve">r proposed definition of stranded cost does not take </w:t>
      </w:r>
      <w:r w:rsidR="00CA4648" w:rsidRPr="00D813D7">
        <w:rPr>
          <w:rFonts w:ascii="Times New Roman" w:hAnsi="Times New Roman"/>
          <w:b/>
          <w:sz w:val="24"/>
          <w:szCs w:val="24"/>
        </w:rPr>
        <w:t>low-income</w:t>
      </w:r>
      <w:r w:rsidR="00A35431">
        <w:rPr>
          <w:rFonts w:ascii="Times New Roman" w:hAnsi="Times New Roman"/>
          <w:b/>
          <w:sz w:val="24"/>
          <w:szCs w:val="24"/>
        </w:rPr>
        <w:t xml:space="preserve"> rate</w:t>
      </w:r>
      <w:r w:rsidR="00CA4648" w:rsidRPr="00D813D7">
        <w:rPr>
          <w:rFonts w:ascii="Times New Roman" w:hAnsi="Times New Roman"/>
          <w:b/>
          <w:sz w:val="24"/>
          <w:szCs w:val="24"/>
        </w:rPr>
        <w:t xml:space="preserve"> assistance and energy efficiency into account</w:t>
      </w:r>
      <w:r w:rsidR="003564D2" w:rsidRPr="00D813D7">
        <w:rPr>
          <w:rFonts w:ascii="Times New Roman" w:hAnsi="Times New Roman"/>
          <w:b/>
          <w:sz w:val="24"/>
          <w:szCs w:val="24"/>
        </w:rPr>
        <w:t>?</w:t>
      </w:r>
    </w:p>
    <w:p w:rsidR="00391D46" w:rsidRPr="00D813D7" w:rsidRDefault="006352A8" w:rsidP="0039724E">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3564D2" w:rsidRPr="00D813D7">
        <w:rPr>
          <w:rFonts w:ascii="Times New Roman" w:hAnsi="Times New Roman"/>
          <w:sz w:val="24"/>
          <w:szCs w:val="24"/>
        </w:rPr>
        <w:tab/>
      </w:r>
      <w:r w:rsidR="00A35431">
        <w:rPr>
          <w:rFonts w:ascii="Times New Roman" w:hAnsi="Times New Roman"/>
          <w:sz w:val="24"/>
          <w:szCs w:val="24"/>
        </w:rPr>
        <w:t xml:space="preserve">Yes.  </w:t>
      </w:r>
      <w:r w:rsidR="00CA4648" w:rsidRPr="00D813D7">
        <w:rPr>
          <w:rFonts w:ascii="Times New Roman" w:hAnsi="Times New Roman"/>
          <w:sz w:val="24"/>
          <w:szCs w:val="24"/>
        </w:rPr>
        <w:t>The Company stated in response to discovery that it did not specifically consider the consequences that a departing customer’s decision to leave the Company’s system would have on these programs and agrees that its proposed Stranded Cost Recovery Fee should be revised accordingly, but offers no specific change at this time.</w:t>
      </w:r>
      <w:r w:rsidR="00CA4648" w:rsidRPr="00D813D7">
        <w:rPr>
          <w:rStyle w:val="FootnoteReference"/>
          <w:rFonts w:ascii="Times New Roman" w:hAnsi="Times New Roman"/>
          <w:sz w:val="24"/>
          <w:szCs w:val="24"/>
        </w:rPr>
        <w:footnoteReference w:id="77"/>
      </w:r>
    </w:p>
    <w:p w:rsidR="00BA29B6" w:rsidRPr="00D813D7" w:rsidRDefault="003D7B0F" w:rsidP="00BA29B6">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BA29B6" w:rsidRPr="00D813D7">
        <w:rPr>
          <w:rFonts w:ascii="Times New Roman" w:hAnsi="Times New Roman"/>
          <w:b/>
          <w:sz w:val="24"/>
          <w:szCs w:val="24"/>
        </w:rPr>
        <w:tab/>
      </w:r>
      <w:r w:rsidR="00C24AA9" w:rsidRPr="00D813D7">
        <w:rPr>
          <w:rFonts w:ascii="Times New Roman" w:hAnsi="Times New Roman"/>
          <w:b/>
          <w:sz w:val="24"/>
          <w:szCs w:val="24"/>
        </w:rPr>
        <w:t>Please describe modifications you would make to</w:t>
      </w:r>
      <w:r w:rsidR="00BA29B6" w:rsidRPr="00D813D7">
        <w:rPr>
          <w:rFonts w:ascii="Times New Roman" w:hAnsi="Times New Roman"/>
          <w:b/>
          <w:sz w:val="24"/>
          <w:szCs w:val="24"/>
        </w:rPr>
        <w:t xml:space="preserve"> the Company’s methodology for calculating its proposed Stranded Cost Recovery Fee.</w:t>
      </w:r>
    </w:p>
    <w:p w:rsidR="00614BC0" w:rsidRPr="00D37197" w:rsidRDefault="003D7B0F" w:rsidP="00D37197">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BA29B6" w:rsidRPr="00D813D7">
        <w:rPr>
          <w:rFonts w:ascii="Times New Roman" w:hAnsi="Times New Roman"/>
          <w:sz w:val="24"/>
          <w:szCs w:val="24"/>
        </w:rPr>
        <w:tab/>
      </w:r>
      <w:r w:rsidR="00802C57" w:rsidRPr="00D813D7">
        <w:rPr>
          <w:rFonts w:ascii="Times New Roman" w:hAnsi="Times New Roman"/>
          <w:sz w:val="24"/>
          <w:szCs w:val="24"/>
        </w:rPr>
        <w:t>I</w:t>
      </w:r>
      <w:r w:rsidR="00BA29B6" w:rsidRPr="00D813D7">
        <w:rPr>
          <w:rFonts w:ascii="Times New Roman" w:hAnsi="Times New Roman"/>
          <w:sz w:val="24"/>
          <w:szCs w:val="24"/>
        </w:rPr>
        <w:t>t is important to recognize that there</w:t>
      </w:r>
      <w:r w:rsidR="00991ACB" w:rsidRPr="00D813D7">
        <w:rPr>
          <w:rFonts w:ascii="Times New Roman" w:hAnsi="Times New Roman"/>
          <w:sz w:val="24"/>
          <w:szCs w:val="24"/>
        </w:rPr>
        <w:t xml:space="preserve"> is a trade-off </w:t>
      </w:r>
      <w:r w:rsidR="00A52E96" w:rsidRPr="00D813D7">
        <w:rPr>
          <w:rFonts w:ascii="Times New Roman" w:hAnsi="Times New Roman"/>
          <w:sz w:val="24"/>
          <w:szCs w:val="24"/>
        </w:rPr>
        <w:t xml:space="preserve">between the accuracy gained from </w:t>
      </w:r>
      <w:r w:rsidR="00E34591" w:rsidRPr="00D813D7">
        <w:rPr>
          <w:rFonts w:ascii="Times New Roman" w:hAnsi="Times New Roman"/>
          <w:sz w:val="24"/>
          <w:szCs w:val="24"/>
        </w:rPr>
        <w:t xml:space="preserve">estimating these adjustments in an analytically rigorous way, while </w:t>
      </w:r>
      <w:r w:rsidR="00991ACB" w:rsidRPr="00D813D7">
        <w:rPr>
          <w:rFonts w:ascii="Times New Roman" w:hAnsi="Times New Roman"/>
          <w:sz w:val="24"/>
          <w:szCs w:val="24"/>
        </w:rPr>
        <w:t xml:space="preserve">providing the customer with an </w:t>
      </w:r>
      <w:r w:rsidR="00E34591" w:rsidRPr="00D813D7">
        <w:rPr>
          <w:rFonts w:ascii="Times New Roman" w:hAnsi="Times New Roman"/>
          <w:sz w:val="24"/>
          <w:szCs w:val="24"/>
        </w:rPr>
        <w:t>easy</w:t>
      </w:r>
      <w:r w:rsidR="00A35431">
        <w:rPr>
          <w:rFonts w:ascii="Times New Roman" w:hAnsi="Times New Roman"/>
          <w:sz w:val="24"/>
          <w:szCs w:val="24"/>
        </w:rPr>
        <w:t>-</w:t>
      </w:r>
      <w:r w:rsidR="00E34591" w:rsidRPr="00D813D7">
        <w:rPr>
          <w:rFonts w:ascii="Times New Roman" w:hAnsi="Times New Roman"/>
          <w:sz w:val="24"/>
          <w:szCs w:val="24"/>
        </w:rPr>
        <w:t>to</w:t>
      </w:r>
      <w:r w:rsidR="00A35431">
        <w:rPr>
          <w:rFonts w:ascii="Times New Roman" w:hAnsi="Times New Roman"/>
          <w:sz w:val="24"/>
          <w:szCs w:val="24"/>
        </w:rPr>
        <w:t>-</w:t>
      </w:r>
      <w:r w:rsidR="00E34591" w:rsidRPr="00D813D7">
        <w:rPr>
          <w:rFonts w:ascii="Times New Roman" w:hAnsi="Times New Roman"/>
          <w:sz w:val="24"/>
          <w:szCs w:val="24"/>
        </w:rPr>
        <w:t>understand</w:t>
      </w:r>
      <w:r w:rsidR="00991ACB" w:rsidRPr="00D813D7">
        <w:rPr>
          <w:rFonts w:ascii="Times New Roman" w:hAnsi="Times New Roman"/>
          <w:sz w:val="24"/>
          <w:szCs w:val="24"/>
        </w:rPr>
        <w:t xml:space="preserve"> fee </w:t>
      </w:r>
      <w:r w:rsidR="00802C57" w:rsidRPr="00D813D7">
        <w:rPr>
          <w:rFonts w:ascii="Times New Roman" w:hAnsi="Times New Roman"/>
          <w:sz w:val="24"/>
          <w:szCs w:val="24"/>
        </w:rPr>
        <w:t>structure.</w:t>
      </w:r>
      <w:r w:rsidR="00790224" w:rsidRPr="00D813D7">
        <w:rPr>
          <w:rFonts w:ascii="Times New Roman" w:hAnsi="Times New Roman"/>
          <w:sz w:val="24"/>
          <w:szCs w:val="24"/>
        </w:rPr>
        <w:t xml:space="preserve"> </w:t>
      </w:r>
      <w:r w:rsidR="00D37197">
        <w:rPr>
          <w:rFonts w:ascii="Times New Roman" w:hAnsi="Times New Roman"/>
          <w:sz w:val="24"/>
          <w:szCs w:val="24"/>
        </w:rPr>
        <w:t xml:space="preserve"> In my experience, including</w:t>
      </w:r>
      <w:r w:rsidR="00770374" w:rsidRPr="00D813D7">
        <w:rPr>
          <w:rFonts w:ascii="Times New Roman" w:hAnsi="Times New Roman"/>
          <w:sz w:val="24"/>
          <w:szCs w:val="24"/>
        </w:rPr>
        <w:t xml:space="preserve"> my experience as a utility executive, </w:t>
      </w:r>
      <w:r w:rsidR="00802C57" w:rsidRPr="00D813D7">
        <w:rPr>
          <w:rFonts w:ascii="Times New Roman" w:hAnsi="Times New Roman"/>
          <w:sz w:val="24"/>
          <w:szCs w:val="24"/>
        </w:rPr>
        <w:t>most residential customers can ev</w:t>
      </w:r>
      <w:r w:rsidR="00770374" w:rsidRPr="00D813D7">
        <w:rPr>
          <w:rFonts w:ascii="Times New Roman" w:hAnsi="Times New Roman"/>
          <w:sz w:val="24"/>
          <w:szCs w:val="24"/>
        </w:rPr>
        <w:t>aluate their service options</w:t>
      </w:r>
      <w:r w:rsidR="00802C57" w:rsidRPr="00D813D7">
        <w:rPr>
          <w:rFonts w:ascii="Times New Roman" w:hAnsi="Times New Roman"/>
          <w:sz w:val="24"/>
          <w:szCs w:val="24"/>
        </w:rPr>
        <w:t xml:space="preserve"> based on a multiplier as easily as they can when given a flat</w:t>
      </w:r>
      <w:r w:rsidR="00B12CC3" w:rsidRPr="00D813D7">
        <w:rPr>
          <w:rFonts w:ascii="Times New Roman" w:hAnsi="Times New Roman"/>
          <w:sz w:val="24"/>
          <w:szCs w:val="24"/>
        </w:rPr>
        <w:t>-</w:t>
      </w:r>
      <w:r w:rsidR="00802C57" w:rsidRPr="00D813D7">
        <w:rPr>
          <w:rFonts w:ascii="Times New Roman" w:hAnsi="Times New Roman"/>
          <w:sz w:val="24"/>
          <w:szCs w:val="24"/>
        </w:rPr>
        <w:t>fee option.</w:t>
      </w:r>
      <w:r w:rsidR="00790224" w:rsidRPr="00D813D7">
        <w:rPr>
          <w:rFonts w:ascii="Times New Roman" w:hAnsi="Times New Roman"/>
          <w:sz w:val="24"/>
          <w:szCs w:val="24"/>
        </w:rPr>
        <w:t xml:space="preserve"> </w:t>
      </w:r>
      <w:r w:rsidR="00D37197">
        <w:rPr>
          <w:rFonts w:ascii="Times New Roman" w:hAnsi="Times New Roman"/>
          <w:sz w:val="24"/>
          <w:szCs w:val="24"/>
        </w:rPr>
        <w:t xml:space="preserve"> </w:t>
      </w:r>
      <w:r w:rsidR="00802C57" w:rsidRPr="00D813D7">
        <w:rPr>
          <w:rFonts w:ascii="Times New Roman" w:hAnsi="Times New Roman"/>
          <w:sz w:val="24"/>
          <w:szCs w:val="24"/>
        </w:rPr>
        <w:t>Thus</w:t>
      </w:r>
      <w:r w:rsidR="00B12CC3" w:rsidRPr="00D813D7">
        <w:rPr>
          <w:rFonts w:ascii="Times New Roman" w:hAnsi="Times New Roman"/>
          <w:sz w:val="24"/>
          <w:szCs w:val="24"/>
        </w:rPr>
        <w:t>,</w:t>
      </w:r>
      <w:r w:rsidR="00802C57" w:rsidRPr="00D813D7">
        <w:rPr>
          <w:rFonts w:ascii="Times New Roman" w:hAnsi="Times New Roman"/>
          <w:sz w:val="24"/>
          <w:szCs w:val="24"/>
        </w:rPr>
        <w:t xml:space="preserve"> the flat fee should only be provided as a cap for the residential customer rate, below which a multiplie</w:t>
      </w:r>
      <w:r w:rsidR="00F94E52" w:rsidRPr="00D813D7">
        <w:rPr>
          <w:rFonts w:ascii="Times New Roman" w:hAnsi="Times New Roman"/>
          <w:sz w:val="24"/>
          <w:szCs w:val="24"/>
        </w:rPr>
        <w:t>r would be used.</w:t>
      </w:r>
      <w:r w:rsidR="00790224" w:rsidRPr="00D813D7">
        <w:rPr>
          <w:rFonts w:ascii="Times New Roman" w:hAnsi="Times New Roman"/>
          <w:sz w:val="24"/>
          <w:szCs w:val="24"/>
        </w:rPr>
        <w:t xml:space="preserve"> </w:t>
      </w:r>
      <w:r w:rsidR="00D37197">
        <w:rPr>
          <w:rFonts w:ascii="Times New Roman" w:hAnsi="Times New Roman"/>
          <w:sz w:val="24"/>
          <w:szCs w:val="24"/>
        </w:rPr>
        <w:t xml:space="preserve"> </w:t>
      </w:r>
      <w:r w:rsidR="00802C57" w:rsidRPr="00D813D7">
        <w:rPr>
          <w:rFonts w:ascii="Times New Roman" w:hAnsi="Times New Roman"/>
          <w:sz w:val="24"/>
          <w:szCs w:val="24"/>
        </w:rPr>
        <w:t>Non-Residential customers’ fee</w:t>
      </w:r>
      <w:r w:rsidR="00F94E52" w:rsidRPr="00D813D7">
        <w:rPr>
          <w:rFonts w:ascii="Times New Roman" w:hAnsi="Times New Roman"/>
          <w:sz w:val="24"/>
          <w:szCs w:val="24"/>
        </w:rPr>
        <w:t>s</w:t>
      </w:r>
      <w:r w:rsidR="00802C57" w:rsidRPr="00D813D7">
        <w:rPr>
          <w:rFonts w:ascii="Times New Roman" w:hAnsi="Times New Roman"/>
          <w:sz w:val="24"/>
          <w:szCs w:val="24"/>
        </w:rPr>
        <w:t xml:space="preserve"> </w:t>
      </w:r>
      <w:r w:rsidR="00965EE7" w:rsidRPr="00D813D7">
        <w:rPr>
          <w:rFonts w:ascii="Times New Roman" w:hAnsi="Times New Roman"/>
          <w:sz w:val="24"/>
          <w:szCs w:val="24"/>
        </w:rPr>
        <w:t xml:space="preserve">should </w:t>
      </w:r>
      <w:r w:rsidR="00802C57" w:rsidRPr="00D813D7">
        <w:rPr>
          <w:rFonts w:ascii="Times New Roman" w:hAnsi="Times New Roman"/>
          <w:sz w:val="24"/>
          <w:szCs w:val="24"/>
        </w:rPr>
        <w:t>be determined by a mu</w:t>
      </w:r>
      <w:r w:rsidR="00F94E52" w:rsidRPr="00D813D7">
        <w:rPr>
          <w:rFonts w:ascii="Times New Roman" w:hAnsi="Times New Roman"/>
          <w:sz w:val="24"/>
          <w:szCs w:val="24"/>
        </w:rPr>
        <w:t xml:space="preserve">ltiplier as originally proposed because </w:t>
      </w:r>
      <w:r w:rsidR="00BB69DD" w:rsidRPr="00D813D7">
        <w:rPr>
          <w:rFonts w:ascii="Times New Roman" w:hAnsi="Times New Roman"/>
          <w:sz w:val="24"/>
          <w:szCs w:val="24"/>
        </w:rPr>
        <w:t xml:space="preserve">these customers are </w:t>
      </w:r>
      <w:r w:rsidR="00965EE7" w:rsidRPr="00D813D7">
        <w:rPr>
          <w:rFonts w:ascii="Times New Roman" w:hAnsi="Times New Roman"/>
          <w:sz w:val="24"/>
          <w:szCs w:val="24"/>
        </w:rPr>
        <w:t xml:space="preserve">likely to depart upon </w:t>
      </w:r>
      <w:r w:rsidR="00A35431">
        <w:rPr>
          <w:rFonts w:ascii="Times New Roman" w:hAnsi="Times New Roman"/>
          <w:sz w:val="24"/>
          <w:szCs w:val="24"/>
        </w:rPr>
        <w:t>being offered</w:t>
      </w:r>
      <w:r w:rsidR="00965EE7" w:rsidRPr="00D813D7">
        <w:rPr>
          <w:rFonts w:ascii="Times New Roman" w:hAnsi="Times New Roman"/>
          <w:sz w:val="24"/>
          <w:szCs w:val="24"/>
        </w:rPr>
        <w:t xml:space="preserve"> incentives from a competitive supplier.</w:t>
      </w:r>
    </w:p>
    <w:p w:rsidR="00B536C8" w:rsidRPr="00D813D7" w:rsidRDefault="00D37197" w:rsidP="00D37197">
      <w:pPr>
        <w:widowControl w:val="0"/>
        <w:spacing w:after="0" w:line="480" w:lineRule="auto"/>
        <w:ind w:left="720"/>
        <w:rPr>
          <w:rFonts w:ascii="Times New Roman" w:hAnsi="Times New Roman"/>
          <w:sz w:val="24"/>
          <w:szCs w:val="24"/>
        </w:rPr>
      </w:pPr>
      <w:r>
        <w:rPr>
          <w:rFonts w:ascii="Times New Roman" w:hAnsi="Times New Roman"/>
          <w:sz w:val="24"/>
          <w:szCs w:val="24"/>
        </w:rPr>
        <w:tab/>
      </w:r>
      <w:r w:rsidR="00E73FA9" w:rsidRPr="00D813D7">
        <w:rPr>
          <w:rFonts w:ascii="Times New Roman" w:hAnsi="Times New Roman"/>
          <w:sz w:val="24"/>
          <w:szCs w:val="24"/>
        </w:rPr>
        <w:t xml:space="preserve">My </w:t>
      </w:r>
      <w:r w:rsidR="00D96CF0" w:rsidRPr="00D813D7">
        <w:rPr>
          <w:rFonts w:ascii="Times New Roman" w:hAnsi="Times New Roman"/>
          <w:sz w:val="24"/>
          <w:szCs w:val="24"/>
        </w:rPr>
        <w:t xml:space="preserve">review of the Company’s stranded cost calculation model shows that it </w:t>
      </w:r>
      <w:r w:rsidR="00614BC0" w:rsidRPr="00D813D7">
        <w:rPr>
          <w:rFonts w:ascii="Times New Roman" w:hAnsi="Times New Roman"/>
          <w:sz w:val="24"/>
          <w:szCs w:val="24"/>
        </w:rPr>
        <w:t xml:space="preserve">is very sensitive to the time horizon </w:t>
      </w:r>
      <w:r w:rsidR="00D96CF0" w:rsidRPr="00D813D7">
        <w:rPr>
          <w:rFonts w:ascii="Times New Roman" w:hAnsi="Times New Roman"/>
          <w:sz w:val="24"/>
          <w:szCs w:val="24"/>
        </w:rPr>
        <w:t xml:space="preserve">used </w:t>
      </w:r>
      <w:r w:rsidR="001C6CDE" w:rsidRPr="00D813D7">
        <w:rPr>
          <w:rFonts w:ascii="Times New Roman" w:hAnsi="Times New Roman"/>
          <w:sz w:val="24"/>
          <w:szCs w:val="24"/>
        </w:rPr>
        <w:t>to calculate</w:t>
      </w:r>
      <w:r w:rsidR="00614BC0" w:rsidRPr="00D813D7">
        <w:rPr>
          <w:rFonts w:ascii="Times New Roman" w:hAnsi="Times New Roman"/>
          <w:sz w:val="24"/>
          <w:szCs w:val="24"/>
        </w:rPr>
        <w:t xml:space="preserve"> the </w:t>
      </w:r>
      <w:r w:rsidR="00BF5BD0" w:rsidRPr="00D813D7">
        <w:rPr>
          <w:rFonts w:ascii="Times New Roman" w:hAnsi="Times New Roman"/>
          <w:sz w:val="24"/>
          <w:szCs w:val="24"/>
        </w:rPr>
        <w:t>n</w:t>
      </w:r>
      <w:r w:rsidR="00614BC0" w:rsidRPr="00D813D7">
        <w:rPr>
          <w:rFonts w:ascii="Times New Roman" w:hAnsi="Times New Roman"/>
          <w:sz w:val="24"/>
          <w:szCs w:val="24"/>
        </w:rPr>
        <w:t xml:space="preserve">et </w:t>
      </w:r>
      <w:r w:rsidR="00BF5BD0" w:rsidRPr="00D813D7">
        <w:rPr>
          <w:rFonts w:ascii="Times New Roman" w:hAnsi="Times New Roman"/>
          <w:sz w:val="24"/>
          <w:szCs w:val="24"/>
        </w:rPr>
        <w:t>p</w:t>
      </w:r>
      <w:r w:rsidR="00614BC0" w:rsidRPr="00D813D7">
        <w:rPr>
          <w:rFonts w:ascii="Times New Roman" w:hAnsi="Times New Roman"/>
          <w:sz w:val="24"/>
          <w:szCs w:val="24"/>
        </w:rPr>
        <w:t xml:space="preserve">resent </w:t>
      </w:r>
      <w:r w:rsidR="00BF5BD0" w:rsidRPr="00D813D7">
        <w:rPr>
          <w:rFonts w:ascii="Times New Roman" w:hAnsi="Times New Roman"/>
          <w:sz w:val="24"/>
          <w:szCs w:val="24"/>
        </w:rPr>
        <w:t>v</w:t>
      </w:r>
      <w:r w:rsidR="00614BC0" w:rsidRPr="00D813D7">
        <w:rPr>
          <w:rFonts w:ascii="Times New Roman" w:hAnsi="Times New Roman"/>
          <w:sz w:val="24"/>
          <w:szCs w:val="24"/>
        </w:rPr>
        <w:t>alue of stranded cost.</w:t>
      </w:r>
      <w:r w:rsidR="00790224" w:rsidRPr="00D813D7">
        <w:rPr>
          <w:rFonts w:ascii="Times New Roman" w:hAnsi="Times New Roman"/>
          <w:sz w:val="24"/>
          <w:szCs w:val="24"/>
        </w:rPr>
        <w:t xml:space="preserve"> </w:t>
      </w:r>
      <w:r>
        <w:rPr>
          <w:rFonts w:ascii="Times New Roman" w:hAnsi="Times New Roman"/>
          <w:sz w:val="24"/>
          <w:szCs w:val="24"/>
        </w:rPr>
        <w:t xml:space="preserve"> </w:t>
      </w:r>
      <w:r w:rsidR="007A18A4" w:rsidRPr="00D813D7">
        <w:rPr>
          <w:rFonts w:ascii="Times New Roman" w:hAnsi="Times New Roman"/>
          <w:sz w:val="24"/>
          <w:szCs w:val="24"/>
        </w:rPr>
        <w:t>Assuming a six</w:t>
      </w:r>
      <w:r w:rsidR="00B536C8" w:rsidRPr="00D813D7">
        <w:rPr>
          <w:rFonts w:ascii="Times New Roman" w:hAnsi="Times New Roman"/>
          <w:sz w:val="24"/>
          <w:szCs w:val="24"/>
        </w:rPr>
        <w:t>-</w:t>
      </w:r>
      <w:r w:rsidR="007A18A4" w:rsidRPr="00D813D7">
        <w:rPr>
          <w:rFonts w:ascii="Times New Roman" w:hAnsi="Times New Roman"/>
          <w:sz w:val="24"/>
          <w:szCs w:val="24"/>
        </w:rPr>
        <w:t xml:space="preserve">year time horizon produces the </w:t>
      </w:r>
      <w:r w:rsidR="001C6CDE" w:rsidRPr="00D813D7">
        <w:rPr>
          <w:rFonts w:ascii="Times New Roman" w:hAnsi="Times New Roman"/>
          <w:sz w:val="24"/>
          <w:szCs w:val="24"/>
        </w:rPr>
        <w:t xml:space="preserve">additional two </w:t>
      </w:r>
      <w:r w:rsidR="00D96CF0" w:rsidRPr="00D813D7">
        <w:rPr>
          <w:rFonts w:ascii="Times New Roman" w:hAnsi="Times New Roman"/>
          <w:sz w:val="24"/>
          <w:szCs w:val="24"/>
        </w:rPr>
        <w:t>fixed-</w:t>
      </w:r>
      <w:r w:rsidR="007A18A4" w:rsidRPr="00D813D7">
        <w:rPr>
          <w:rFonts w:ascii="Times New Roman" w:hAnsi="Times New Roman"/>
          <w:sz w:val="24"/>
          <w:szCs w:val="24"/>
        </w:rPr>
        <w:t>fee cost</w:t>
      </w:r>
      <w:r w:rsidR="001A7F1C" w:rsidRPr="00D813D7">
        <w:rPr>
          <w:rFonts w:ascii="Times New Roman" w:hAnsi="Times New Roman"/>
          <w:sz w:val="24"/>
          <w:szCs w:val="24"/>
        </w:rPr>
        <w:t xml:space="preserve"> curve</w:t>
      </w:r>
      <w:r w:rsidR="001C6CDE" w:rsidRPr="00D813D7">
        <w:rPr>
          <w:rFonts w:ascii="Times New Roman" w:hAnsi="Times New Roman"/>
          <w:sz w:val="24"/>
          <w:szCs w:val="24"/>
        </w:rPr>
        <w:t>s</w:t>
      </w:r>
      <w:r w:rsidR="001A7F1C" w:rsidRPr="00D813D7">
        <w:rPr>
          <w:rFonts w:ascii="Times New Roman" w:hAnsi="Times New Roman"/>
          <w:sz w:val="24"/>
          <w:szCs w:val="24"/>
        </w:rPr>
        <w:t xml:space="preserve"> shown in Figure </w:t>
      </w:r>
      <w:r w:rsidR="00A4219E" w:rsidRPr="00D813D7">
        <w:rPr>
          <w:rFonts w:ascii="Times New Roman" w:hAnsi="Times New Roman"/>
          <w:sz w:val="24"/>
          <w:szCs w:val="24"/>
        </w:rPr>
        <w:t>4</w:t>
      </w:r>
      <w:r w:rsidR="001A7F1C" w:rsidRPr="00D813D7">
        <w:rPr>
          <w:rFonts w:ascii="Times New Roman" w:hAnsi="Times New Roman"/>
          <w:sz w:val="24"/>
          <w:szCs w:val="24"/>
        </w:rPr>
        <w:t xml:space="preserve"> below</w:t>
      </w:r>
      <w:r>
        <w:rPr>
          <w:rFonts w:ascii="Times New Roman" w:hAnsi="Times New Roman"/>
          <w:sz w:val="24"/>
          <w:szCs w:val="24"/>
        </w:rPr>
        <w:t>, which lie far below the 10</w:t>
      </w:r>
      <w:r w:rsidR="001C6CDE" w:rsidRPr="00D813D7">
        <w:rPr>
          <w:rFonts w:ascii="Times New Roman" w:hAnsi="Times New Roman"/>
          <w:sz w:val="24"/>
          <w:szCs w:val="24"/>
        </w:rPr>
        <w:t xml:space="preserve">-year cost curves when assuming little or no </w:t>
      </w:r>
      <w:r w:rsidR="001C6CDE" w:rsidRPr="00D813D7">
        <w:rPr>
          <w:rFonts w:ascii="Times New Roman" w:hAnsi="Times New Roman"/>
          <w:sz w:val="24"/>
          <w:szCs w:val="24"/>
        </w:rPr>
        <w:lastRenderedPageBreak/>
        <w:t>reduction in fixed costs.</w:t>
      </w:r>
      <w:r w:rsidR="00790224" w:rsidRPr="00D813D7">
        <w:rPr>
          <w:rFonts w:ascii="Times New Roman" w:hAnsi="Times New Roman"/>
          <w:sz w:val="24"/>
          <w:szCs w:val="24"/>
        </w:rPr>
        <w:t xml:space="preserve"> </w:t>
      </w:r>
      <w:r>
        <w:rPr>
          <w:rFonts w:ascii="Times New Roman" w:hAnsi="Times New Roman"/>
          <w:sz w:val="24"/>
          <w:szCs w:val="24"/>
        </w:rPr>
        <w:t xml:space="preserve"> </w:t>
      </w:r>
      <w:r w:rsidR="00BF5BD0" w:rsidRPr="00D813D7">
        <w:rPr>
          <w:rFonts w:ascii="Times New Roman" w:hAnsi="Times New Roman"/>
          <w:sz w:val="24"/>
          <w:szCs w:val="24"/>
        </w:rPr>
        <w:t>Interestingly,</w:t>
      </w:r>
      <w:r w:rsidR="001C6CDE" w:rsidRPr="00D813D7">
        <w:rPr>
          <w:rFonts w:ascii="Times New Roman" w:hAnsi="Times New Roman"/>
          <w:sz w:val="24"/>
          <w:szCs w:val="24"/>
        </w:rPr>
        <w:t xml:space="preserve"> the two sets of cost curves move closer together as greater reductions in fixed cost are assumed.</w:t>
      </w:r>
      <w:r w:rsidR="00790224" w:rsidRPr="00D813D7">
        <w:rPr>
          <w:rFonts w:ascii="Times New Roman" w:hAnsi="Times New Roman"/>
          <w:sz w:val="24"/>
          <w:szCs w:val="24"/>
        </w:rPr>
        <w:t xml:space="preserve"> </w:t>
      </w:r>
      <w:r>
        <w:rPr>
          <w:rFonts w:ascii="Times New Roman" w:hAnsi="Times New Roman"/>
          <w:sz w:val="24"/>
          <w:szCs w:val="24"/>
        </w:rPr>
        <w:t xml:space="preserve"> </w:t>
      </w:r>
      <w:r w:rsidR="00E73FA9" w:rsidRPr="00D813D7">
        <w:rPr>
          <w:rFonts w:ascii="Times New Roman" w:hAnsi="Times New Roman"/>
          <w:sz w:val="24"/>
          <w:szCs w:val="24"/>
        </w:rPr>
        <w:t>I</w:t>
      </w:r>
      <w:r w:rsidR="001C6CDE" w:rsidRPr="00D813D7">
        <w:rPr>
          <w:rFonts w:ascii="Times New Roman" w:hAnsi="Times New Roman"/>
          <w:sz w:val="24"/>
          <w:szCs w:val="24"/>
        </w:rPr>
        <w:t xml:space="preserve"> do not recommend a specific assumption for a negative growth rate for fixed costs at this time</w:t>
      </w:r>
      <w:r w:rsidR="00965EE7" w:rsidRPr="00D813D7">
        <w:rPr>
          <w:rFonts w:ascii="Times New Roman" w:hAnsi="Times New Roman"/>
          <w:sz w:val="24"/>
          <w:szCs w:val="24"/>
        </w:rPr>
        <w:t xml:space="preserve"> because this assumption should be established following the results of an updated Cost of Service Study confirming the full scope of fixed cost.  Instead</w:t>
      </w:r>
      <w:r>
        <w:rPr>
          <w:rFonts w:ascii="Times New Roman" w:hAnsi="Times New Roman"/>
          <w:sz w:val="24"/>
          <w:szCs w:val="24"/>
        </w:rPr>
        <w:t>,</w:t>
      </w:r>
      <w:r w:rsidR="00965EE7" w:rsidRPr="00D813D7">
        <w:rPr>
          <w:rFonts w:ascii="Times New Roman" w:hAnsi="Times New Roman"/>
          <w:sz w:val="24"/>
          <w:szCs w:val="24"/>
        </w:rPr>
        <w:t xml:space="preserve"> I </w:t>
      </w:r>
      <w:r w:rsidR="00E73FA9" w:rsidRPr="00D813D7">
        <w:rPr>
          <w:rFonts w:ascii="Times New Roman" w:hAnsi="Times New Roman"/>
          <w:sz w:val="24"/>
          <w:szCs w:val="24"/>
        </w:rPr>
        <w:t>focus on how</w:t>
      </w:r>
      <w:r w:rsidR="001C6CDE" w:rsidRPr="00D813D7">
        <w:rPr>
          <w:rFonts w:ascii="Times New Roman" w:hAnsi="Times New Roman"/>
          <w:sz w:val="24"/>
          <w:szCs w:val="24"/>
        </w:rPr>
        <w:t xml:space="preserve"> the scope of fixed costs could change.</w:t>
      </w:r>
    </w:p>
    <w:p w:rsidR="00B536C8" w:rsidRPr="00D813D7" w:rsidRDefault="00B536C8" w:rsidP="00174D96">
      <w:pPr>
        <w:widowControl w:val="0"/>
        <w:spacing w:after="0" w:line="240" w:lineRule="auto"/>
        <w:ind w:left="720"/>
        <w:rPr>
          <w:rFonts w:ascii="Times New Roman" w:hAnsi="Times New Roman"/>
          <w:sz w:val="24"/>
          <w:szCs w:val="24"/>
        </w:rPr>
      </w:pPr>
      <w:r w:rsidRPr="00D813D7">
        <w:rPr>
          <w:rFonts w:ascii="Times New Roman" w:hAnsi="Times New Roman"/>
          <w:noProof/>
          <w:sz w:val="24"/>
          <w:szCs w:val="24"/>
        </w:rPr>
        <w:drawing>
          <wp:inline distT="0" distB="0" distL="0" distR="0" wp14:anchorId="63525371" wp14:editId="68580B50">
            <wp:extent cx="5343525" cy="3743325"/>
            <wp:effectExtent l="0" t="0" r="9525" b="952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EB8B11-C0B4-4999-9B9D-56F12E2CB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219E" w:rsidRPr="00D37197" w:rsidRDefault="00A4219E" w:rsidP="00D37197">
      <w:pPr>
        <w:pStyle w:val="Caption"/>
        <w:spacing w:after="240"/>
        <w:ind w:left="720"/>
        <w:rPr>
          <w:rFonts w:ascii="Times New Roman" w:hAnsi="Times New Roman"/>
          <w:i w:val="0"/>
          <w:color w:val="000000" w:themeColor="text1"/>
          <w:sz w:val="24"/>
          <w:szCs w:val="24"/>
        </w:rPr>
      </w:pPr>
      <w:r w:rsidRPr="00D37197">
        <w:rPr>
          <w:rFonts w:ascii="Times New Roman" w:hAnsi="Times New Roman"/>
          <w:color w:val="000000" w:themeColor="text1"/>
          <w:sz w:val="24"/>
          <w:szCs w:val="24"/>
        </w:rPr>
        <w:t xml:space="preserve">Figure 4. </w:t>
      </w:r>
      <w:r w:rsidR="00D37197">
        <w:rPr>
          <w:rFonts w:ascii="Times New Roman" w:hAnsi="Times New Roman"/>
          <w:color w:val="000000" w:themeColor="text1"/>
          <w:sz w:val="24"/>
          <w:szCs w:val="24"/>
        </w:rPr>
        <w:t xml:space="preserve"> </w:t>
      </w:r>
      <w:r w:rsidR="00B536C8" w:rsidRPr="00D37197">
        <w:rPr>
          <w:rFonts w:ascii="Times New Roman" w:hAnsi="Times New Roman"/>
          <w:color w:val="000000" w:themeColor="text1"/>
          <w:sz w:val="24"/>
          <w:szCs w:val="24"/>
        </w:rPr>
        <w:t xml:space="preserve">Fixed-Fee Cost Curve </w:t>
      </w:r>
      <w:r w:rsidR="00D37197">
        <w:rPr>
          <w:rFonts w:ascii="Times New Roman" w:hAnsi="Times New Roman"/>
          <w:color w:val="000000" w:themeColor="text1"/>
          <w:sz w:val="24"/>
          <w:szCs w:val="24"/>
        </w:rPr>
        <w:t xml:space="preserve">for Six Years versus Ten-Years:  </w:t>
      </w:r>
      <w:r w:rsidRPr="00D37197">
        <w:rPr>
          <w:rFonts w:ascii="Times New Roman" w:hAnsi="Times New Roman"/>
          <w:color w:val="000000" w:themeColor="text1"/>
          <w:sz w:val="24"/>
          <w:szCs w:val="24"/>
        </w:rPr>
        <w:t>Change in Stranded Cost Recovery Fee for Residential and Non-Residential customers assuming costs de-escalate calculated over a six</w:t>
      </w:r>
      <w:r w:rsidR="00B536C8" w:rsidRPr="00D37197">
        <w:rPr>
          <w:rFonts w:ascii="Times New Roman" w:hAnsi="Times New Roman"/>
          <w:color w:val="000000" w:themeColor="text1"/>
          <w:sz w:val="24"/>
          <w:szCs w:val="24"/>
        </w:rPr>
        <w:t>-</w:t>
      </w:r>
      <w:r w:rsidRPr="00D37197">
        <w:rPr>
          <w:rFonts w:ascii="Times New Roman" w:hAnsi="Times New Roman"/>
          <w:color w:val="000000" w:themeColor="text1"/>
          <w:sz w:val="24"/>
          <w:szCs w:val="24"/>
        </w:rPr>
        <w:t>year horizon compared to a ten-year horizon.</w:t>
      </w:r>
    </w:p>
    <w:p w:rsidR="004B7B4E" w:rsidRPr="00D813D7" w:rsidRDefault="00D37197" w:rsidP="00D37197">
      <w:pPr>
        <w:widowControl w:val="0"/>
        <w:spacing w:after="0" w:line="480" w:lineRule="auto"/>
        <w:ind w:left="720"/>
        <w:rPr>
          <w:rFonts w:ascii="Times New Roman" w:hAnsi="Times New Roman"/>
          <w:sz w:val="24"/>
          <w:szCs w:val="24"/>
        </w:rPr>
      </w:pPr>
      <w:r>
        <w:rPr>
          <w:rFonts w:ascii="Times New Roman" w:hAnsi="Times New Roman"/>
          <w:sz w:val="24"/>
          <w:szCs w:val="24"/>
        </w:rPr>
        <w:tab/>
      </w:r>
      <w:r w:rsidR="001A7F1C" w:rsidRPr="00D813D7">
        <w:rPr>
          <w:rFonts w:ascii="Times New Roman" w:hAnsi="Times New Roman"/>
          <w:sz w:val="24"/>
          <w:szCs w:val="24"/>
        </w:rPr>
        <w:t xml:space="preserve">The value at the far left side of the </w:t>
      </w:r>
      <w:r w:rsidR="00A4219E" w:rsidRPr="00D813D7">
        <w:rPr>
          <w:rFonts w:ascii="Times New Roman" w:hAnsi="Times New Roman"/>
          <w:sz w:val="24"/>
          <w:szCs w:val="24"/>
        </w:rPr>
        <w:t>Figure 4</w:t>
      </w:r>
      <w:r w:rsidR="001A7F1C" w:rsidRPr="00D813D7">
        <w:rPr>
          <w:rFonts w:ascii="Times New Roman" w:hAnsi="Times New Roman"/>
          <w:sz w:val="24"/>
          <w:szCs w:val="24"/>
        </w:rPr>
        <w:t xml:space="preserve"> shows that under the Company’s assumption of no change in fixed costs over time</w:t>
      </w:r>
      <w:r w:rsidR="007A18A4" w:rsidRPr="00D813D7">
        <w:rPr>
          <w:rFonts w:ascii="Times New Roman" w:hAnsi="Times New Roman"/>
          <w:sz w:val="24"/>
          <w:szCs w:val="24"/>
        </w:rPr>
        <w:t xml:space="preserve"> the flat </w:t>
      </w:r>
      <w:r w:rsidR="00A4219E" w:rsidRPr="00D813D7">
        <w:rPr>
          <w:rFonts w:ascii="Times New Roman" w:hAnsi="Times New Roman"/>
          <w:sz w:val="24"/>
          <w:szCs w:val="24"/>
        </w:rPr>
        <w:t>fee for the Residential class w</w:t>
      </w:r>
      <w:r w:rsidR="007A18A4" w:rsidRPr="00D813D7">
        <w:rPr>
          <w:rFonts w:ascii="Times New Roman" w:hAnsi="Times New Roman"/>
          <w:sz w:val="24"/>
          <w:szCs w:val="24"/>
        </w:rPr>
        <w:t>ould be $</w:t>
      </w:r>
      <w:r w:rsidR="00A4219E" w:rsidRPr="00D813D7">
        <w:rPr>
          <w:rFonts w:ascii="Times New Roman" w:hAnsi="Times New Roman"/>
          <w:sz w:val="24"/>
          <w:szCs w:val="24"/>
        </w:rPr>
        <w:t>4,136</w:t>
      </w:r>
      <w:r w:rsidR="007A18A4" w:rsidRPr="00D813D7">
        <w:rPr>
          <w:rFonts w:ascii="Times New Roman" w:hAnsi="Times New Roman"/>
          <w:sz w:val="24"/>
          <w:szCs w:val="24"/>
        </w:rPr>
        <w:t>, or $</w:t>
      </w:r>
      <w:r>
        <w:rPr>
          <w:rFonts w:ascii="Times New Roman" w:hAnsi="Times New Roman"/>
          <w:sz w:val="24"/>
          <w:szCs w:val="24"/>
        </w:rPr>
        <w:t>2,017 and 32 percent</w:t>
      </w:r>
      <w:r w:rsidR="007A18A4" w:rsidRPr="00D813D7">
        <w:rPr>
          <w:rFonts w:ascii="Times New Roman" w:hAnsi="Times New Roman"/>
          <w:sz w:val="24"/>
          <w:szCs w:val="24"/>
        </w:rPr>
        <w:t xml:space="preserve"> less than the Company’s proposed rate of $6</w:t>
      </w:r>
      <w:r w:rsidR="00606A51" w:rsidRPr="00D813D7">
        <w:rPr>
          <w:rFonts w:ascii="Times New Roman" w:hAnsi="Times New Roman"/>
          <w:sz w:val="24"/>
          <w:szCs w:val="24"/>
        </w:rPr>
        <w:t>,</w:t>
      </w:r>
      <w:r w:rsidR="00A4219E" w:rsidRPr="00D813D7">
        <w:rPr>
          <w:rFonts w:ascii="Times New Roman" w:hAnsi="Times New Roman"/>
          <w:sz w:val="24"/>
          <w:szCs w:val="24"/>
        </w:rPr>
        <w:t>153</w:t>
      </w:r>
      <w:r w:rsidR="00606A51" w:rsidRPr="00D813D7">
        <w:rPr>
          <w:rFonts w:ascii="Times New Roman" w:hAnsi="Times New Roman"/>
          <w:sz w:val="24"/>
          <w:szCs w:val="24"/>
        </w:rPr>
        <w:t>.</w:t>
      </w:r>
      <w:r w:rsidR="00790224" w:rsidRPr="00D813D7">
        <w:rPr>
          <w:rFonts w:ascii="Times New Roman" w:hAnsi="Times New Roman"/>
          <w:sz w:val="24"/>
          <w:szCs w:val="24"/>
        </w:rPr>
        <w:t xml:space="preserve"> </w:t>
      </w:r>
      <w:r>
        <w:rPr>
          <w:rFonts w:ascii="Times New Roman" w:hAnsi="Times New Roman"/>
          <w:sz w:val="24"/>
          <w:szCs w:val="24"/>
        </w:rPr>
        <w:t xml:space="preserve"> </w:t>
      </w:r>
      <w:r w:rsidR="007A18A4" w:rsidRPr="00D813D7">
        <w:rPr>
          <w:rFonts w:ascii="Times New Roman" w:hAnsi="Times New Roman"/>
          <w:sz w:val="24"/>
          <w:szCs w:val="24"/>
        </w:rPr>
        <w:t xml:space="preserve">However, </w:t>
      </w:r>
      <w:r w:rsidR="00A4219E" w:rsidRPr="00D813D7">
        <w:rPr>
          <w:rFonts w:ascii="Times New Roman" w:hAnsi="Times New Roman"/>
          <w:sz w:val="24"/>
          <w:szCs w:val="24"/>
        </w:rPr>
        <w:t>it is imperative to e</w:t>
      </w:r>
      <w:r w:rsidR="007A18A4" w:rsidRPr="00D813D7">
        <w:rPr>
          <w:rFonts w:ascii="Times New Roman" w:hAnsi="Times New Roman"/>
          <w:sz w:val="24"/>
          <w:szCs w:val="24"/>
        </w:rPr>
        <w:t xml:space="preserve">mphasize that </w:t>
      </w:r>
      <w:r w:rsidR="00F94E52" w:rsidRPr="00D813D7">
        <w:rPr>
          <w:rFonts w:ascii="Times New Roman" w:hAnsi="Times New Roman"/>
          <w:sz w:val="24"/>
          <w:szCs w:val="24"/>
        </w:rPr>
        <w:t xml:space="preserve">including </w:t>
      </w:r>
      <w:r w:rsidR="007A18A4" w:rsidRPr="00D813D7">
        <w:rPr>
          <w:rFonts w:ascii="Times New Roman" w:hAnsi="Times New Roman"/>
          <w:sz w:val="24"/>
          <w:szCs w:val="24"/>
        </w:rPr>
        <w:t xml:space="preserve">only valid costs in the first place </w:t>
      </w:r>
      <w:r w:rsidR="00A4219E" w:rsidRPr="00D813D7">
        <w:rPr>
          <w:rFonts w:ascii="Times New Roman" w:hAnsi="Times New Roman"/>
          <w:sz w:val="24"/>
          <w:szCs w:val="24"/>
        </w:rPr>
        <w:t>could have as big an</w:t>
      </w:r>
      <w:r w:rsidR="007A18A4" w:rsidRPr="00D813D7">
        <w:rPr>
          <w:rFonts w:ascii="Times New Roman" w:hAnsi="Times New Roman"/>
          <w:sz w:val="24"/>
          <w:szCs w:val="24"/>
        </w:rPr>
        <w:t xml:space="preserve"> impact on any proposed flat fee</w:t>
      </w:r>
      <w:r w:rsidR="001A7F1C" w:rsidRPr="00D813D7">
        <w:rPr>
          <w:rFonts w:ascii="Times New Roman" w:hAnsi="Times New Roman"/>
          <w:sz w:val="24"/>
          <w:szCs w:val="24"/>
        </w:rPr>
        <w:t xml:space="preserve"> </w:t>
      </w:r>
      <w:r w:rsidR="00A4219E" w:rsidRPr="00D813D7">
        <w:rPr>
          <w:rFonts w:ascii="Times New Roman" w:hAnsi="Times New Roman"/>
          <w:sz w:val="24"/>
          <w:szCs w:val="24"/>
        </w:rPr>
        <w:t>as</w:t>
      </w:r>
      <w:r w:rsidR="001A7F1C" w:rsidRPr="00D813D7">
        <w:rPr>
          <w:rFonts w:ascii="Times New Roman" w:hAnsi="Times New Roman"/>
          <w:sz w:val="24"/>
          <w:szCs w:val="24"/>
        </w:rPr>
        <w:t xml:space="preserve"> employing a shorter time horizon</w:t>
      </w:r>
      <w:r w:rsidR="007A18A4" w:rsidRPr="00D813D7">
        <w:rPr>
          <w:rFonts w:ascii="Times New Roman" w:hAnsi="Times New Roman"/>
          <w:sz w:val="24"/>
          <w:szCs w:val="24"/>
        </w:rPr>
        <w:t>.</w:t>
      </w:r>
      <w:r w:rsidR="00790224" w:rsidRPr="00D813D7">
        <w:rPr>
          <w:rFonts w:ascii="Times New Roman" w:hAnsi="Times New Roman"/>
          <w:sz w:val="24"/>
          <w:szCs w:val="24"/>
        </w:rPr>
        <w:t xml:space="preserve"> </w:t>
      </w:r>
      <w:r>
        <w:rPr>
          <w:rFonts w:ascii="Times New Roman" w:hAnsi="Times New Roman"/>
          <w:sz w:val="24"/>
          <w:szCs w:val="24"/>
        </w:rPr>
        <w:t xml:space="preserve"> </w:t>
      </w:r>
      <w:r w:rsidR="00606A51" w:rsidRPr="00D813D7">
        <w:rPr>
          <w:rFonts w:ascii="Times New Roman" w:hAnsi="Times New Roman"/>
          <w:sz w:val="24"/>
          <w:szCs w:val="24"/>
        </w:rPr>
        <w:t>This</w:t>
      </w:r>
      <w:r w:rsidR="00F94E52" w:rsidRPr="00D813D7">
        <w:rPr>
          <w:rFonts w:ascii="Times New Roman" w:hAnsi="Times New Roman"/>
          <w:sz w:val="24"/>
          <w:szCs w:val="24"/>
        </w:rPr>
        <w:t xml:space="preserve"> is </w:t>
      </w:r>
      <w:r w:rsidR="00F94E52" w:rsidRPr="00D813D7">
        <w:rPr>
          <w:rFonts w:ascii="Times New Roman" w:hAnsi="Times New Roman"/>
          <w:sz w:val="24"/>
          <w:szCs w:val="24"/>
        </w:rPr>
        <w:lastRenderedPageBreak/>
        <w:t>also consistent with the principle of cost causation and the prohibition on collecting for the same cost more than once in rates</w:t>
      </w:r>
      <w:r w:rsidR="001C6CDE" w:rsidRPr="00D813D7">
        <w:rPr>
          <w:rFonts w:ascii="Times New Roman" w:hAnsi="Times New Roman"/>
          <w:sz w:val="24"/>
          <w:szCs w:val="24"/>
        </w:rPr>
        <w:t>.</w:t>
      </w:r>
      <w:r w:rsidR="007A18A4" w:rsidRPr="00D813D7">
        <w:rPr>
          <w:rFonts w:ascii="Times New Roman" w:hAnsi="Times New Roman"/>
          <w:sz w:val="24"/>
          <w:szCs w:val="24"/>
        </w:rPr>
        <w:t xml:space="preserve"> </w:t>
      </w:r>
    </w:p>
    <w:p w:rsidR="00F94E52" w:rsidRPr="00D813D7" w:rsidRDefault="00D37197" w:rsidP="00F94E5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F94E52" w:rsidRPr="00D813D7">
        <w:rPr>
          <w:rFonts w:ascii="Times New Roman" w:hAnsi="Times New Roman"/>
          <w:b/>
          <w:sz w:val="24"/>
          <w:szCs w:val="24"/>
        </w:rPr>
        <w:tab/>
        <w:t xml:space="preserve">What do you conclude based on the observed sensitivity of the flat fee to </w:t>
      </w:r>
      <w:r w:rsidR="004B7B4E" w:rsidRPr="00D813D7">
        <w:rPr>
          <w:rFonts w:ascii="Times New Roman" w:hAnsi="Times New Roman"/>
          <w:b/>
          <w:sz w:val="24"/>
          <w:szCs w:val="24"/>
        </w:rPr>
        <w:t xml:space="preserve">variations in </w:t>
      </w:r>
      <w:r w:rsidR="00F94E52" w:rsidRPr="00D813D7">
        <w:rPr>
          <w:rFonts w:ascii="Times New Roman" w:hAnsi="Times New Roman"/>
          <w:b/>
          <w:sz w:val="24"/>
          <w:szCs w:val="24"/>
        </w:rPr>
        <w:t>the time horizon and the risk of collecting for the same cost more than once?</w:t>
      </w:r>
    </w:p>
    <w:p w:rsidR="00802C57" w:rsidRPr="00D813D7" w:rsidRDefault="00D37197" w:rsidP="00F94E52">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F94E52" w:rsidRPr="00D813D7">
        <w:rPr>
          <w:rFonts w:ascii="Times New Roman" w:hAnsi="Times New Roman"/>
          <w:sz w:val="24"/>
          <w:szCs w:val="24"/>
        </w:rPr>
        <w:tab/>
        <w:t>I conclude that</w:t>
      </w:r>
      <w:r w:rsidR="00802C57" w:rsidRPr="00D813D7">
        <w:rPr>
          <w:rFonts w:ascii="Times New Roman" w:hAnsi="Times New Roman"/>
          <w:sz w:val="24"/>
          <w:szCs w:val="24"/>
        </w:rPr>
        <w:t xml:space="preserve"> Pacific Power</w:t>
      </w:r>
      <w:r w:rsidR="00D5447D" w:rsidRPr="00D813D7">
        <w:rPr>
          <w:rFonts w:ascii="Times New Roman" w:hAnsi="Times New Roman"/>
          <w:sz w:val="24"/>
          <w:szCs w:val="24"/>
        </w:rPr>
        <w:t xml:space="preserve">’s proposed </w:t>
      </w:r>
      <w:r w:rsidR="00275383" w:rsidRPr="00D813D7">
        <w:rPr>
          <w:rFonts w:ascii="Times New Roman" w:hAnsi="Times New Roman"/>
          <w:sz w:val="24"/>
          <w:szCs w:val="24"/>
        </w:rPr>
        <w:t xml:space="preserve">Stranded Cost Recovery Fee </w:t>
      </w:r>
      <w:r w:rsidR="00D5447D" w:rsidRPr="00D813D7">
        <w:rPr>
          <w:rFonts w:ascii="Times New Roman" w:hAnsi="Times New Roman"/>
          <w:sz w:val="24"/>
          <w:szCs w:val="24"/>
        </w:rPr>
        <w:t>for Residential customers is too high.</w:t>
      </w:r>
      <w:r w:rsidR="00790224" w:rsidRPr="00D813D7">
        <w:rPr>
          <w:rFonts w:ascii="Times New Roman" w:hAnsi="Times New Roman"/>
          <w:sz w:val="24"/>
          <w:szCs w:val="24"/>
        </w:rPr>
        <w:t xml:space="preserve"> </w:t>
      </w:r>
      <w:r>
        <w:rPr>
          <w:rFonts w:ascii="Times New Roman" w:hAnsi="Times New Roman"/>
          <w:sz w:val="24"/>
          <w:szCs w:val="24"/>
        </w:rPr>
        <w:t xml:space="preserve"> </w:t>
      </w:r>
      <w:r w:rsidR="00D5447D" w:rsidRPr="00D813D7">
        <w:rPr>
          <w:rFonts w:ascii="Times New Roman" w:hAnsi="Times New Roman"/>
          <w:sz w:val="24"/>
          <w:szCs w:val="24"/>
        </w:rPr>
        <w:t>I also</w:t>
      </w:r>
      <w:r w:rsidR="00FE42F8">
        <w:rPr>
          <w:rFonts w:ascii="Times New Roman" w:hAnsi="Times New Roman"/>
          <w:sz w:val="24"/>
          <w:szCs w:val="24"/>
        </w:rPr>
        <w:t xml:space="preserve"> believe that an updated Cost of Service study would be useful in determining the stranded costs for each rate class.</w:t>
      </w:r>
      <w:r w:rsidR="001A4255">
        <w:rPr>
          <w:rFonts w:ascii="Times New Roman" w:hAnsi="Times New Roman"/>
          <w:sz w:val="24"/>
          <w:szCs w:val="24"/>
        </w:rPr>
        <w:t xml:space="preserve">  However, because Pacific Power does not have an updated Cost of Service study, the Company’s stranded cost calculation model should be modified to better calculate a fair Stranded Cost Recovery Fee.  The Company’s model is </w:t>
      </w:r>
      <w:r w:rsidR="003317D5">
        <w:rPr>
          <w:rFonts w:ascii="Times New Roman" w:hAnsi="Times New Roman"/>
          <w:sz w:val="24"/>
          <w:szCs w:val="24"/>
        </w:rPr>
        <w:t xml:space="preserve">flawed in its sensitivity to the time horizon.  However, it can be modified by shortening the time horizon to reflect a more realistic period in which the utility will experience stranded costs.  </w:t>
      </w:r>
      <w:r w:rsidR="00406D7B" w:rsidRPr="00D813D7">
        <w:rPr>
          <w:rFonts w:ascii="Times New Roman" w:hAnsi="Times New Roman"/>
          <w:sz w:val="24"/>
          <w:szCs w:val="24"/>
        </w:rPr>
        <w:t xml:space="preserve">The Company has proposed a </w:t>
      </w:r>
      <w:r w:rsidR="00096733">
        <w:rPr>
          <w:rFonts w:ascii="Times New Roman" w:hAnsi="Times New Roman"/>
          <w:sz w:val="24"/>
          <w:szCs w:val="24"/>
        </w:rPr>
        <w:t>ten</w:t>
      </w:r>
      <w:r w:rsidR="00406D7B" w:rsidRPr="00D813D7">
        <w:rPr>
          <w:rFonts w:ascii="Times New Roman" w:hAnsi="Times New Roman"/>
          <w:sz w:val="24"/>
          <w:szCs w:val="24"/>
        </w:rPr>
        <w:t xml:space="preserve">-year </w:t>
      </w:r>
      <w:r w:rsidR="00B26E6C" w:rsidRPr="00D813D7">
        <w:rPr>
          <w:rFonts w:ascii="Times New Roman" w:hAnsi="Times New Roman"/>
          <w:sz w:val="24"/>
          <w:szCs w:val="24"/>
        </w:rPr>
        <w:t>horizon;</w:t>
      </w:r>
      <w:r w:rsidR="00406D7B" w:rsidRPr="00D813D7">
        <w:rPr>
          <w:rFonts w:ascii="Times New Roman" w:hAnsi="Times New Roman"/>
          <w:sz w:val="24"/>
          <w:szCs w:val="24"/>
        </w:rPr>
        <w:t xml:space="preserve"> however, I believe it should be a six-year horizon, which corresponds to a multiple of 3.0, as shown in Table 3 above</w:t>
      </w:r>
      <w:r w:rsidR="00B65A05" w:rsidRPr="00D813D7">
        <w:rPr>
          <w:rFonts w:ascii="Times New Roman" w:hAnsi="Times New Roman"/>
          <w:sz w:val="24"/>
          <w:szCs w:val="24"/>
        </w:rPr>
        <w:t>.</w:t>
      </w:r>
      <w:r w:rsidR="00790224" w:rsidRPr="00D813D7">
        <w:rPr>
          <w:rFonts w:ascii="Times New Roman" w:hAnsi="Times New Roman"/>
          <w:sz w:val="24"/>
          <w:szCs w:val="24"/>
        </w:rPr>
        <w:t xml:space="preserve"> </w:t>
      </w:r>
      <w:r w:rsidR="00B57F45">
        <w:rPr>
          <w:rFonts w:ascii="Times New Roman" w:hAnsi="Times New Roman"/>
          <w:sz w:val="24"/>
          <w:szCs w:val="24"/>
        </w:rPr>
        <w:t xml:space="preserve"> </w:t>
      </w:r>
      <w:r w:rsidR="00406D7B" w:rsidRPr="00D813D7">
        <w:rPr>
          <w:rFonts w:ascii="Times New Roman" w:hAnsi="Times New Roman"/>
          <w:sz w:val="24"/>
          <w:szCs w:val="24"/>
        </w:rPr>
        <w:t>This and my additional recommended changes to the Company’s methodology are summarized below</w:t>
      </w:r>
      <w:r w:rsidR="00802C57" w:rsidRPr="00D813D7">
        <w:rPr>
          <w:rFonts w:ascii="Times New Roman" w:hAnsi="Times New Roman"/>
          <w:sz w:val="24"/>
          <w:szCs w:val="24"/>
        </w:rPr>
        <w:t>:</w:t>
      </w:r>
    </w:p>
    <w:p w:rsidR="00802C57" w:rsidRPr="00D813D7" w:rsidRDefault="00802C57" w:rsidP="00B57F45">
      <w:pPr>
        <w:pStyle w:val="ListParagraph"/>
        <w:widowControl w:val="0"/>
        <w:numPr>
          <w:ilvl w:val="0"/>
          <w:numId w:val="32"/>
        </w:numPr>
        <w:spacing w:after="0" w:line="480" w:lineRule="auto"/>
        <w:ind w:left="1440"/>
        <w:rPr>
          <w:rFonts w:ascii="Times New Roman" w:hAnsi="Times New Roman"/>
          <w:sz w:val="24"/>
          <w:szCs w:val="24"/>
        </w:rPr>
      </w:pPr>
      <w:r w:rsidRPr="00D813D7">
        <w:rPr>
          <w:rFonts w:ascii="Times New Roman" w:hAnsi="Times New Roman"/>
          <w:sz w:val="24"/>
          <w:szCs w:val="24"/>
        </w:rPr>
        <w:t xml:space="preserve">Shorten the time period </w:t>
      </w:r>
      <w:r w:rsidR="00B65A05" w:rsidRPr="00D813D7">
        <w:rPr>
          <w:rFonts w:ascii="Times New Roman" w:hAnsi="Times New Roman"/>
          <w:sz w:val="24"/>
          <w:szCs w:val="24"/>
        </w:rPr>
        <w:t xml:space="preserve">for </w:t>
      </w:r>
      <w:r w:rsidRPr="00D813D7">
        <w:rPr>
          <w:rFonts w:ascii="Times New Roman" w:hAnsi="Times New Roman"/>
          <w:sz w:val="24"/>
          <w:szCs w:val="24"/>
        </w:rPr>
        <w:t>the analysis from ten to no more than six years</w:t>
      </w:r>
      <w:r w:rsidR="00C027A1" w:rsidRPr="00D813D7">
        <w:rPr>
          <w:rFonts w:ascii="Times New Roman" w:hAnsi="Times New Roman"/>
          <w:sz w:val="24"/>
          <w:szCs w:val="24"/>
        </w:rPr>
        <w:t>.</w:t>
      </w:r>
      <w:r w:rsidRPr="00D813D7">
        <w:rPr>
          <w:rFonts w:ascii="Times New Roman" w:hAnsi="Times New Roman"/>
          <w:sz w:val="24"/>
          <w:szCs w:val="24"/>
        </w:rPr>
        <w:t xml:space="preserve"> </w:t>
      </w:r>
    </w:p>
    <w:p w:rsidR="00802C57" w:rsidRPr="00D813D7" w:rsidRDefault="00802C57" w:rsidP="00B57F45">
      <w:pPr>
        <w:pStyle w:val="ListParagraph"/>
        <w:widowControl w:val="0"/>
        <w:numPr>
          <w:ilvl w:val="0"/>
          <w:numId w:val="32"/>
        </w:numPr>
        <w:spacing w:after="0" w:line="480" w:lineRule="auto"/>
        <w:ind w:left="1440"/>
        <w:rPr>
          <w:rFonts w:ascii="Times New Roman" w:hAnsi="Times New Roman"/>
          <w:sz w:val="24"/>
          <w:szCs w:val="24"/>
        </w:rPr>
      </w:pPr>
      <w:r w:rsidRPr="00D813D7">
        <w:rPr>
          <w:rFonts w:ascii="Times New Roman" w:hAnsi="Times New Roman"/>
          <w:sz w:val="24"/>
          <w:szCs w:val="24"/>
        </w:rPr>
        <w:t>Use a multiplier</w:t>
      </w:r>
      <w:r w:rsidR="00B65A05" w:rsidRPr="00D813D7">
        <w:rPr>
          <w:rFonts w:ascii="Times New Roman" w:hAnsi="Times New Roman"/>
          <w:sz w:val="24"/>
          <w:szCs w:val="24"/>
        </w:rPr>
        <w:t xml:space="preserve"> times annual cost of service</w:t>
      </w:r>
      <w:r w:rsidRPr="00D813D7">
        <w:rPr>
          <w:rFonts w:ascii="Times New Roman" w:hAnsi="Times New Roman"/>
          <w:sz w:val="24"/>
          <w:szCs w:val="24"/>
        </w:rPr>
        <w:t xml:space="preserve"> to determine the Stranded Cost Recovery Fee for each customer, including </w:t>
      </w:r>
      <w:r w:rsidR="00B65A05" w:rsidRPr="00D813D7">
        <w:rPr>
          <w:rFonts w:ascii="Times New Roman" w:hAnsi="Times New Roman"/>
          <w:sz w:val="24"/>
          <w:szCs w:val="24"/>
        </w:rPr>
        <w:t xml:space="preserve">a multiplier of 3.0 for </w:t>
      </w:r>
      <w:r w:rsidRPr="00D813D7">
        <w:rPr>
          <w:rFonts w:ascii="Times New Roman" w:hAnsi="Times New Roman"/>
          <w:sz w:val="24"/>
          <w:szCs w:val="24"/>
        </w:rPr>
        <w:t xml:space="preserve">Residential </w:t>
      </w:r>
      <w:r w:rsidR="00B65A05" w:rsidRPr="00D813D7">
        <w:rPr>
          <w:rFonts w:ascii="Times New Roman" w:hAnsi="Times New Roman"/>
          <w:sz w:val="24"/>
          <w:szCs w:val="24"/>
        </w:rPr>
        <w:t xml:space="preserve">customers </w:t>
      </w:r>
      <w:r w:rsidRPr="00D813D7">
        <w:rPr>
          <w:rFonts w:ascii="Times New Roman" w:hAnsi="Times New Roman"/>
          <w:sz w:val="24"/>
          <w:szCs w:val="24"/>
        </w:rPr>
        <w:t xml:space="preserve">and </w:t>
      </w:r>
      <w:r w:rsidR="00B65A05" w:rsidRPr="00D813D7">
        <w:rPr>
          <w:rFonts w:ascii="Times New Roman" w:hAnsi="Times New Roman"/>
          <w:sz w:val="24"/>
          <w:szCs w:val="24"/>
        </w:rPr>
        <w:t xml:space="preserve">a multiplier of 4.5 for </w:t>
      </w:r>
      <w:r w:rsidRPr="00D813D7">
        <w:rPr>
          <w:rFonts w:ascii="Times New Roman" w:hAnsi="Times New Roman"/>
          <w:sz w:val="24"/>
          <w:szCs w:val="24"/>
        </w:rPr>
        <w:t>Non-Residential customer classes</w:t>
      </w:r>
      <w:r w:rsidR="00C027A1" w:rsidRPr="00D813D7">
        <w:rPr>
          <w:rFonts w:ascii="Times New Roman" w:hAnsi="Times New Roman"/>
          <w:sz w:val="24"/>
          <w:szCs w:val="24"/>
        </w:rPr>
        <w:t>.</w:t>
      </w:r>
    </w:p>
    <w:p w:rsidR="00802C57" w:rsidRPr="00D813D7" w:rsidRDefault="00802C57" w:rsidP="00B57F45">
      <w:pPr>
        <w:pStyle w:val="ListParagraph"/>
        <w:widowControl w:val="0"/>
        <w:numPr>
          <w:ilvl w:val="0"/>
          <w:numId w:val="32"/>
        </w:numPr>
        <w:spacing w:after="0" w:line="480" w:lineRule="auto"/>
        <w:ind w:left="1440"/>
        <w:rPr>
          <w:rFonts w:ascii="Times New Roman" w:hAnsi="Times New Roman"/>
          <w:sz w:val="24"/>
          <w:szCs w:val="24"/>
        </w:rPr>
      </w:pPr>
      <w:r w:rsidRPr="00D813D7">
        <w:rPr>
          <w:rFonts w:ascii="Times New Roman" w:hAnsi="Times New Roman"/>
          <w:sz w:val="24"/>
          <w:szCs w:val="24"/>
        </w:rPr>
        <w:t xml:space="preserve">Set a cap on the Stranded Cost Recovery Fee for Residential Customers equal to $4,138, the amount calculated using the Company’s model and based on a </w:t>
      </w:r>
      <w:r w:rsidR="00B65A05" w:rsidRPr="00D813D7">
        <w:rPr>
          <w:rFonts w:ascii="Times New Roman" w:hAnsi="Times New Roman"/>
          <w:sz w:val="24"/>
          <w:szCs w:val="24"/>
        </w:rPr>
        <w:t>six-</w:t>
      </w:r>
      <w:r w:rsidRPr="00D813D7">
        <w:rPr>
          <w:rFonts w:ascii="Times New Roman" w:hAnsi="Times New Roman"/>
          <w:sz w:val="24"/>
          <w:szCs w:val="24"/>
        </w:rPr>
        <w:t>year time horizon</w:t>
      </w:r>
      <w:r w:rsidR="00B65A05" w:rsidRPr="00D813D7">
        <w:rPr>
          <w:rFonts w:ascii="Times New Roman" w:hAnsi="Times New Roman"/>
          <w:sz w:val="24"/>
          <w:szCs w:val="24"/>
        </w:rPr>
        <w:t xml:space="preserve"> (a one-third reduction in the Company’s proposed fee)</w:t>
      </w:r>
      <w:r w:rsidR="00C027A1" w:rsidRPr="00D813D7">
        <w:rPr>
          <w:rFonts w:ascii="Times New Roman" w:hAnsi="Times New Roman"/>
          <w:sz w:val="24"/>
          <w:szCs w:val="24"/>
        </w:rPr>
        <w:t>.</w:t>
      </w:r>
    </w:p>
    <w:p w:rsidR="00D96CF0" w:rsidRPr="00B57F45" w:rsidRDefault="00802C57" w:rsidP="00F57164">
      <w:pPr>
        <w:pStyle w:val="ListParagraph"/>
        <w:widowControl w:val="0"/>
        <w:numPr>
          <w:ilvl w:val="0"/>
          <w:numId w:val="32"/>
        </w:numPr>
        <w:spacing w:after="0" w:line="480" w:lineRule="auto"/>
        <w:ind w:left="1440"/>
        <w:rPr>
          <w:rFonts w:ascii="Times New Roman" w:hAnsi="Times New Roman"/>
          <w:sz w:val="24"/>
          <w:szCs w:val="24"/>
        </w:rPr>
      </w:pPr>
      <w:r w:rsidRPr="00D813D7">
        <w:rPr>
          <w:rFonts w:ascii="Times New Roman" w:hAnsi="Times New Roman"/>
          <w:sz w:val="24"/>
          <w:szCs w:val="24"/>
        </w:rPr>
        <w:t xml:space="preserve">Relinquish </w:t>
      </w:r>
      <w:r w:rsidR="00B65A05" w:rsidRPr="00D813D7">
        <w:rPr>
          <w:rFonts w:ascii="Times New Roman" w:hAnsi="Times New Roman"/>
          <w:sz w:val="24"/>
          <w:szCs w:val="24"/>
        </w:rPr>
        <w:t xml:space="preserve">the Company’s presumption of having </w:t>
      </w:r>
      <w:r w:rsidRPr="00D813D7">
        <w:rPr>
          <w:rFonts w:ascii="Times New Roman" w:hAnsi="Times New Roman"/>
          <w:sz w:val="24"/>
          <w:szCs w:val="24"/>
        </w:rPr>
        <w:t xml:space="preserve">sole discretion in favor of </w:t>
      </w:r>
      <w:r w:rsidR="00B65A05" w:rsidRPr="00D813D7">
        <w:rPr>
          <w:rFonts w:ascii="Times New Roman" w:hAnsi="Times New Roman"/>
          <w:sz w:val="24"/>
          <w:szCs w:val="24"/>
        </w:rPr>
        <w:lastRenderedPageBreak/>
        <w:t xml:space="preserve">requiring </w:t>
      </w:r>
      <w:r w:rsidRPr="00D813D7">
        <w:rPr>
          <w:rFonts w:ascii="Times New Roman" w:hAnsi="Times New Roman"/>
          <w:sz w:val="24"/>
          <w:szCs w:val="24"/>
        </w:rPr>
        <w:t xml:space="preserve">an independent review </w:t>
      </w:r>
      <w:r w:rsidR="00B65A05" w:rsidRPr="00D813D7">
        <w:rPr>
          <w:rFonts w:ascii="Times New Roman" w:hAnsi="Times New Roman"/>
          <w:sz w:val="24"/>
          <w:szCs w:val="24"/>
        </w:rPr>
        <w:t xml:space="preserve">and appraisal </w:t>
      </w:r>
      <w:r w:rsidRPr="00D813D7">
        <w:rPr>
          <w:rFonts w:ascii="Times New Roman" w:hAnsi="Times New Roman"/>
          <w:sz w:val="24"/>
          <w:szCs w:val="24"/>
        </w:rPr>
        <w:t xml:space="preserve">of facilities being sold, transferred or abandoned with each </w:t>
      </w:r>
      <w:r w:rsidR="00B65A05" w:rsidRPr="00D813D7">
        <w:rPr>
          <w:rFonts w:ascii="Times New Roman" w:hAnsi="Times New Roman"/>
          <w:sz w:val="24"/>
          <w:szCs w:val="24"/>
        </w:rPr>
        <w:t>Disconnection and Removal request, unless a waiver has been requested and granted by the Commission</w:t>
      </w:r>
      <w:r w:rsidRPr="00D813D7">
        <w:rPr>
          <w:rFonts w:ascii="Times New Roman" w:hAnsi="Times New Roman"/>
          <w:sz w:val="24"/>
          <w:szCs w:val="24"/>
        </w:rPr>
        <w:t>.</w:t>
      </w:r>
    </w:p>
    <w:p w:rsidR="00D96CF0" w:rsidRPr="00D813D7" w:rsidRDefault="00B57F45" w:rsidP="00D96CF0">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D96CF0" w:rsidRPr="00D813D7">
        <w:rPr>
          <w:rFonts w:ascii="Times New Roman" w:hAnsi="Times New Roman"/>
          <w:b/>
          <w:sz w:val="24"/>
          <w:szCs w:val="24"/>
        </w:rPr>
        <w:tab/>
        <w:t>Please explain your understanding of why there is no franchise agreement in place between Pacific Power and the counties in which it operates.</w:t>
      </w:r>
      <w:r w:rsidR="00790224" w:rsidRPr="00D813D7">
        <w:rPr>
          <w:rFonts w:ascii="Times New Roman" w:hAnsi="Times New Roman"/>
          <w:b/>
          <w:sz w:val="24"/>
          <w:szCs w:val="24"/>
        </w:rPr>
        <w:t xml:space="preserve"> </w:t>
      </w:r>
    </w:p>
    <w:p w:rsidR="00336F9E" w:rsidRPr="00D813D7" w:rsidRDefault="00B57F45" w:rsidP="005E2E23">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D96CF0" w:rsidRPr="00D813D7">
        <w:rPr>
          <w:rFonts w:ascii="Times New Roman" w:hAnsi="Times New Roman"/>
          <w:sz w:val="24"/>
          <w:szCs w:val="24"/>
        </w:rPr>
        <w:tab/>
      </w:r>
      <w:r w:rsidR="00CE23C5" w:rsidRPr="00D813D7">
        <w:rPr>
          <w:rFonts w:ascii="Times New Roman" w:hAnsi="Times New Roman"/>
          <w:sz w:val="24"/>
          <w:szCs w:val="24"/>
        </w:rPr>
        <w:t xml:space="preserve">The Company states that </w:t>
      </w:r>
      <w:r w:rsidR="00096733" w:rsidRPr="00D813D7">
        <w:rPr>
          <w:rFonts w:ascii="Times New Roman" w:hAnsi="Times New Roman"/>
          <w:sz w:val="24"/>
          <w:szCs w:val="24"/>
        </w:rPr>
        <w:t>electric utilities have been operating under negotiated service area agreements with other utilities, including public utility districts, municipal utility districts, rural electric associations</w:t>
      </w:r>
      <w:r w:rsidR="00096733">
        <w:rPr>
          <w:rFonts w:ascii="Times New Roman" w:hAnsi="Times New Roman"/>
          <w:sz w:val="24"/>
          <w:szCs w:val="24"/>
        </w:rPr>
        <w:t>,</w:t>
      </w:r>
      <w:r w:rsidR="00096733" w:rsidRPr="00D813D7">
        <w:rPr>
          <w:rFonts w:ascii="Times New Roman" w:hAnsi="Times New Roman"/>
          <w:sz w:val="24"/>
          <w:szCs w:val="24"/>
        </w:rPr>
        <w:t xml:space="preserve"> and cooperatives</w:t>
      </w:r>
      <w:r w:rsidR="00096733">
        <w:rPr>
          <w:rFonts w:ascii="Times New Roman" w:hAnsi="Times New Roman"/>
          <w:sz w:val="24"/>
          <w:szCs w:val="24"/>
        </w:rPr>
        <w:t xml:space="preserve"> </w:t>
      </w:r>
      <w:r w:rsidR="00CE23C5" w:rsidRPr="00D813D7">
        <w:rPr>
          <w:rFonts w:ascii="Times New Roman" w:hAnsi="Times New Roman"/>
          <w:sz w:val="24"/>
          <w:szCs w:val="24"/>
        </w:rPr>
        <w:t>because Washington State does not require designation of exclusive service areas by statute.</w:t>
      </w:r>
      <w:r w:rsidR="00BD366D" w:rsidRPr="00D813D7">
        <w:rPr>
          <w:rStyle w:val="FootnoteReference"/>
          <w:rFonts w:ascii="Times New Roman" w:hAnsi="Times New Roman"/>
          <w:sz w:val="24"/>
          <w:szCs w:val="24"/>
        </w:rPr>
        <w:footnoteReference w:id="78"/>
      </w:r>
      <w:r w:rsidR="00790224" w:rsidRPr="00D813D7">
        <w:rPr>
          <w:rFonts w:ascii="Times New Roman" w:hAnsi="Times New Roman"/>
          <w:sz w:val="24"/>
          <w:szCs w:val="24"/>
        </w:rPr>
        <w:t xml:space="preserve"> </w:t>
      </w:r>
      <w:r w:rsidR="00296414">
        <w:rPr>
          <w:rFonts w:ascii="Times New Roman" w:hAnsi="Times New Roman"/>
          <w:sz w:val="24"/>
          <w:szCs w:val="24"/>
        </w:rPr>
        <w:t xml:space="preserve"> </w:t>
      </w:r>
      <w:r w:rsidR="00CE23C5" w:rsidRPr="00D813D7">
        <w:rPr>
          <w:rFonts w:ascii="Times New Roman" w:hAnsi="Times New Roman"/>
          <w:sz w:val="24"/>
          <w:szCs w:val="24"/>
        </w:rPr>
        <w:t xml:space="preserve">The Company </w:t>
      </w:r>
      <w:r w:rsidR="00BD366D" w:rsidRPr="00D813D7">
        <w:rPr>
          <w:rFonts w:ascii="Times New Roman" w:hAnsi="Times New Roman"/>
          <w:sz w:val="24"/>
          <w:szCs w:val="24"/>
        </w:rPr>
        <w:t xml:space="preserve">had </w:t>
      </w:r>
      <w:r w:rsidR="00CE23C5" w:rsidRPr="00D813D7">
        <w:rPr>
          <w:rFonts w:ascii="Times New Roman" w:hAnsi="Times New Roman"/>
          <w:sz w:val="24"/>
          <w:szCs w:val="24"/>
        </w:rPr>
        <w:t>a formal service area agreement in place with Benton Rural Electric Association</w:t>
      </w:r>
      <w:r w:rsidR="00BD366D" w:rsidRPr="00D813D7">
        <w:rPr>
          <w:rFonts w:ascii="Times New Roman" w:hAnsi="Times New Roman"/>
          <w:sz w:val="24"/>
          <w:szCs w:val="24"/>
        </w:rPr>
        <w:t xml:space="preserve"> for </w:t>
      </w:r>
      <w:r w:rsidR="00C027A1" w:rsidRPr="00D813D7">
        <w:rPr>
          <w:rFonts w:ascii="Times New Roman" w:hAnsi="Times New Roman"/>
          <w:sz w:val="24"/>
          <w:szCs w:val="24"/>
        </w:rPr>
        <w:t>20</w:t>
      </w:r>
      <w:r w:rsidR="00BD366D" w:rsidRPr="00D813D7">
        <w:rPr>
          <w:rFonts w:ascii="Times New Roman" w:hAnsi="Times New Roman"/>
          <w:sz w:val="24"/>
          <w:szCs w:val="24"/>
        </w:rPr>
        <w:t xml:space="preserve"> years, which recently was renewed for another </w:t>
      </w:r>
      <w:r w:rsidR="00C027A1" w:rsidRPr="00D813D7">
        <w:rPr>
          <w:rFonts w:ascii="Times New Roman" w:hAnsi="Times New Roman"/>
          <w:sz w:val="24"/>
          <w:szCs w:val="24"/>
        </w:rPr>
        <w:t>20-</w:t>
      </w:r>
      <w:r w:rsidR="00BD366D" w:rsidRPr="00D813D7">
        <w:rPr>
          <w:rFonts w:ascii="Times New Roman" w:hAnsi="Times New Roman"/>
          <w:sz w:val="24"/>
          <w:szCs w:val="24"/>
        </w:rPr>
        <w:t>year term.</w:t>
      </w:r>
      <w:r w:rsidR="00BD366D" w:rsidRPr="00D813D7">
        <w:rPr>
          <w:rStyle w:val="FootnoteReference"/>
          <w:rFonts w:ascii="Times New Roman" w:hAnsi="Times New Roman"/>
          <w:sz w:val="24"/>
          <w:szCs w:val="24"/>
        </w:rPr>
        <w:footnoteReference w:id="79"/>
      </w:r>
      <w:r w:rsidR="00790224" w:rsidRPr="00D813D7">
        <w:rPr>
          <w:rFonts w:ascii="Times New Roman" w:hAnsi="Times New Roman"/>
          <w:sz w:val="24"/>
          <w:szCs w:val="24"/>
        </w:rPr>
        <w:t xml:space="preserve"> </w:t>
      </w:r>
      <w:r w:rsidR="00296414">
        <w:rPr>
          <w:rFonts w:ascii="Times New Roman" w:hAnsi="Times New Roman"/>
          <w:sz w:val="24"/>
          <w:szCs w:val="24"/>
        </w:rPr>
        <w:t xml:space="preserve"> </w:t>
      </w:r>
      <w:r w:rsidR="00096733">
        <w:rPr>
          <w:rFonts w:ascii="Times New Roman" w:hAnsi="Times New Roman"/>
          <w:sz w:val="24"/>
          <w:szCs w:val="24"/>
        </w:rPr>
        <w:t>However,</w:t>
      </w:r>
      <w:r w:rsidR="00096733" w:rsidRPr="00D813D7">
        <w:rPr>
          <w:rFonts w:ascii="Times New Roman" w:hAnsi="Times New Roman"/>
          <w:sz w:val="24"/>
          <w:szCs w:val="24"/>
        </w:rPr>
        <w:t xml:space="preserve"> </w:t>
      </w:r>
      <w:r w:rsidR="00CE23C5" w:rsidRPr="00D813D7">
        <w:rPr>
          <w:rFonts w:ascii="Times New Roman" w:hAnsi="Times New Roman"/>
          <w:sz w:val="24"/>
          <w:szCs w:val="24"/>
        </w:rPr>
        <w:t>they had only an informal understanding with Columbia Rural Electric Association (CREA) to install facilities to serve customers in Columbia County and Walla Walla County based on how close each customer</w:t>
      </w:r>
      <w:r w:rsidR="003105CB" w:rsidRPr="00D813D7">
        <w:rPr>
          <w:rFonts w:ascii="Times New Roman" w:hAnsi="Times New Roman"/>
          <w:sz w:val="24"/>
          <w:szCs w:val="24"/>
        </w:rPr>
        <w:t>’s premise</w:t>
      </w:r>
      <w:r w:rsidR="00CE23C5" w:rsidRPr="00D813D7">
        <w:rPr>
          <w:rFonts w:ascii="Times New Roman" w:hAnsi="Times New Roman"/>
          <w:sz w:val="24"/>
          <w:szCs w:val="24"/>
        </w:rPr>
        <w:t xml:space="preserve"> was</w:t>
      </w:r>
      <w:r w:rsidR="003105CB" w:rsidRPr="00D813D7">
        <w:rPr>
          <w:rFonts w:ascii="Times New Roman" w:hAnsi="Times New Roman"/>
          <w:sz w:val="24"/>
          <w:szCs w:val="24"/>
        </w:rPr>
        <w:t xml:space="preserve"> to</w:t>
      </w:r>
      <w:r w:rsidR="00CE23C5" w:rsidRPr="00D813D7">
        <w:rPr>
          <w:rFonts w:ascii="Times New Roman" w:hAnsi="Times New Roman"/>
          <w:sz w:val="24"/>
          <w:szCs w:val="24"/>
        </w:rPr>
        <w:t xml:space="preserve"> </w:t>
      </w:r>
      <w:r w:rsidR="00CF1019" w:rsidRPr="00D813D7">
        <w:rPr>
          <w:rFonts w:ascii="Times New Roman" w:hAnsi="Times New Roman"/>
          <w:sz w:val="24"/>
          <w:szCs w:val="24"/>
        </w:rPr>
        <w:t>the Company’s or CREA’s distribution facilities.</w:t>
      </w:r>
      <w:r w:rsidR="00BD366D" w:rsidRPr="00D813D7">
        <w:rPr>
          <w:rStyle w:val="FootnoteReference"/>
          <w:rFonts w:ascii="Times New Roman" w:hAnsi="Times New Roman"/>
          <w:sz w:val="24"/>
          <w:szCs w:val="24"/>
        </w:rPr>
        <w:footnoteReference w:id="80"/>
      </w:r>
      <w:r w:rsidR="00296414">
        <w:rPr>
          <w:rFonts w:ascii="Times New Roman" w:hAnsi="Times New Roman"/>
          <w:sz w:val="24"/>
          <w:szCs w:val="24"/>
        </w:rPr>
        <w:t xml:space="preserve">  </w:t>
      </w:r>
      <w:r w:rsidR="00CF1019" w:rsidRPr="00D813D7">
        <w:rPr>
          <w:rFonts w:ascii="Times New Roman" w:hAnsi="Times New Roman"/>
          <w:sz w:val="24"/>
          <w:szCs w:val="24"/>
        </w:rPr>
        <w:t>The Company has been unable to secure through negotiation a more formal service agreement,</w:t>
      </w:r>
      <w:r w:rsidR="00BD366D" w:rsidRPr="00D813D7">
        <w:rPr>
          <w:rStyle w:val="FootnoteReference"/>
          <w:rFonts w:ascii="Times New Roman" w:hAnsi="Times New Roman"/>
          <w:sz w:val="24"/>
          <w:szCs w:val="24"/>
        </w:rPr>
        <w:footnoteReference w:id="81"/>
      </w:r>
      <w:r w:rsidR="00CF1019" w:rsidRPr="00D813D7">
        <w:rPr>
          <w:rFonts w:ascii="Times New Roman" w:hAnsi="Times New Roman"/>
          <w:sz w:val="24"/>
          <w:szCs w:val="24"/>
        </w:rPr>
        <w:t xml:space="preserve"> and in that void, </w:t>
      </w:r>
      <w:r w:rsidR="003731D8" w:rsidRPr="00D813D7">
        <w:rPr>
          <w:rFonts w:ascii="Times New Roman" w:hAnsi="Times New Roman"/>
          <w:sz w:val="24"/>
          <w:szCs w:val="24"/>
        </w:rPr>
        <w:t>has “sustained gradual revenue loss”</w:t>
      </w:r>
      <w:r w:rsidR="003731D8" w:rsidRPr="00D813D7">
        <w:rPr>
          <w:rStyle w:val="FootnoteReference"/>
          <w:rFonts w:ascii="Times New Roman" w:hAnsi="Times New Roman"/>
          <w:sz w:val="24"/>
          <w:szCs w:val="24"/>
        </w:rPr>
        <w:footnoteReference w:id="82"/>
      </w:r>
      <w:r w:rsidR="003731D8" w:rsidRPr="00D813D7">
        <w:rPr>
          <w:rFonts w:ascii="Times New Roman" w:hAnsi="Times New Roman"/>
          <w:sz w:val="24"/>
          <w:szCs w:val="24"/>
        </w:rPr>
        <w:t xml:space="preserve"> </w:t>
      </w:r>
      <w:r w:rsidR="00CF1019" w:rsidRPr="00D813D7">
        <w:rPr>
          <w:rFonts w:ascii="Times New Roman" w:hAnsi="Times New Roman"/>
          <w:sz w:val="24"/>
          <w:szCs w:val="24"/>
        </w:rPr>
        <w:t>due to several large customers requesting</w:t>
      </w:r>
      <w:r w:rsidR="00790224" w:rsidRPr="00D813D7">
        <w:rPr>
          <w:rFonts w:ascii="Times New Roman" w:hAnsi="Times New Roman"/>
          <w:sz w:val="24"/>
          <w:szCs w:val="24"/>
        </w:rPr>
        <w:t xml:space="preserve"> </w:t>
      </w:r>
      <w:r w:rsidR="00CF1019" w:rsidRPr="00D813D7">
        <w:rPr>
          <w:rFonts w:ascii="Times New Roman" w:hAnsi="Times New Roman"/>
          <w:sz w:val="24"/>
          <w:szCs w:val="24"/>
        </w:rPr>
        <w:t>disconnect</w:t>
      </w:r>
      <w:r w:rsidR="003105CB" w:rsidRPr="00D813D7">
        <w:rPr>
          <w:rFonts w:ascii="Times New Roman" w:hAnsi="Times New Roman"/>
          <w:sz w:val="24"/>
          <w:szCs w:val="24"/>
        </w:rPr>
        <w:t>ion</w:t>
      </w:r>
      <w:r w:rsidR="00CF1019" w:rsidRPr="00D813D7">
        <w:rPr>
          <w:rFonts w:ascii="Times New Roman" w:hAnsi="Times New Roman"/>
          <w:sz w:val="24"/>
          <w:szCs w:val="24"/>
        </w:rPr>
        <w:t xml:space="preserve"> from Pacific Power in favor of being served by CREA</w:t>
      </w:r>
      <w:r w:rsidR="003731D8" w:rsidRPr="00D813D7">
        <w:rPr>
          <w:rFonts w:ascii="Times New Roman" w:hAnsi="Times New Roman"/>
          <w:sz w:val="24"/>
          <w:szCs w:val="24"/>
        </w:rPr>
        <w:t>, who has offered</w:t>
      </w:r>
      <w:r w:rsidR="00096733">
        <w:rPr>
          <w:rFonts w:ascii="Times New Roman" w:hAnsi="Times New Roman"/>
          <w:sz w:val="24"/>
          <w:szCs w:val="24"/>
        </w:rPr>
        <w:t xml:space="preserve"> rates that are</w:t>
      </w:r>
      <w:r w:rsidR="003731D8" w:rsidRPr="00D813D7">
        <w:rPr>
          <w:rFonts w:ascii="Times New Roman" w:hAnsi="Times New Roman"/>
          <w:sz w:val="24"/>
          <w:szCs w:val="24"/>
        </w:rPr>
        <w:t xml:space="preserve"> lock</w:t>
      </w:r>
      <w:r w:rsidR="00096733">
        <w:rPr>
          <w:rFonts w:ascii="Times New Roman" w:hAnsi="Times New Roman"/>
          <w:sz w:val="24"/>
          <w:szCs w:val="24"/>
        </w:rPr>
        <w:t>ed</w:t>
      </w:r>
      <w:r w:rsidR="003731D8" w:rsidRPr="00D813D7">
        <w:rPr>
          <w:rFonts w:ascii="Times New Roman" w:hAnsi="Times New Roman"/>
          <w:sz w:val="24"/>
          <w:szCs w:val="24"/>
        </w:rPr>
        <w:t>-in for five years, among other incentives.</w:t>
      </w:r>
      <w:r w:rsidR="003731D8" w:rsidRPr="00D813D7">
        <w:rPr>
          <w:rStyle w:val="FootnoteReference"/>
          <w:rFonts w:ascii="Times New Roman" w:hAnsi="Times New Roman"/>
          <w:sz w:val="24"/>
          <w:szCs w:val="24"/>
        </w:rPr>
        <w:footnoteReference w:id="83"/>
      </w:r>
    </w:p>
    <w:p w:rsidR="00CF1019" w:rsidRPr="00D813D7" w:rsidRDefault="005E2E23" w:rsidP="00BD366D">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CF1019" w:rsidRPr="00D813D7">
        <w:rPr>
          <w:rFonts w:ascii="Times New Roman" w:hAnsi="Times New Roman"/>
          <w:b/>
          <w:sz w:val="24"/>
          <w:szCs w:val="24"/>
        </w:rPr>
        <w:tab/>
        <w:t>What has been the consequence of Pacific</w:t>
      </w:r>
      <w:r>
        <w:rPr>
          <w:rFonts w:ascii="Times New Roman" w:hAnsi="Times New Roman"/>
          <w:b/>
          <w:sz w:val="24"/>
          <w:szCs w:val="24"/>
        </w:rPr>
        <w:t xml:space="preserve"> Power losing customers to CREA?</w:t>
      </w:r>
      <w:r w:rsidR="00790224" w:rsidRPr="00D813D7">
        <w:rPr>
          <w:rFonts w:ascii="Times New Roman" w:hAnsi="Times New Roman"/>
          <w:b/>
          <w:sz w:val="24"/>
          <w:szCs w:val="24"/>
        </w:rPr>
        <w:t xml:space="preserve"> </w:t>
      </w:r>
    </w:p>
    <w:p w:rsidR="00BD366D" w:rsidRPr="00D813D7" w:rsidRDefault="005E2E23" w:rsidP="00D65CB3">
      <w:pPr>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sidR="00CF1019" w:rsidRPr="00D813D7">
        <w:rPr>
          <w:rFonts w:ascii="Times New Roman" w:hAnsi="Times New Roman"/>
          <w:sz w:val="24"/>
          <w:szCs w:val="24"/>
        </w:rPr>
        <w:tab/>
        <w:t xml:space="preserve">The Company states that </w:t>
      </w:r>
      <w:r w:rsidR="003731D8" w:rsidRPr="00D813D7">
        <w:rPr>
          <w:rFonts w:ascii="Times New Roman" w:hAnsi="Times New Roman"/>
          <w:sz w:val="24"/>
          <w:szCs w:val="24"/>
        </w:rPr>
        <w:t>due to the loss of revenue it</w:t>
      </w:r>
      <w:r w:rsidR="00D65CB3">
        <w:rPr>
          <w:rFonts w:ascii="Times New Roman" w:hAnsi="Times New Roman"/>
          <w:sz w:val="24"/>
          <w:szCs w:val="24"/>
        </w:rPr>
        <w:t xml:space="preserve"> has been unable to be fully</w:t>
      </w:r>
      <w:r w:rsidR="00D65CB3">
        <w:rPr>
          <w:rFonts w:ascii="Times New Roman" w:hAnsi="Times New Roman"/>
          <w:sz w:val="24"/>
          <w:szCs w:val="24"/>
        </w:rPr>
        <w:noBreakHyphen/>
      </w:r>
      <w:r w:rsidR="00CF1019" w:rsidRPr="00D813D7">
        <w:rPr>
          <w:rFonts w:ascii="Times New Roman" w:hAnsi="Times New Roman"/>
          <w:sz w:val="24"/>
          <w:szCs w:val="24"/>
        </w:rPr>
        <w:t>compensated for stranded costs due to the permanent departure of large volume customers to CREA over time.</w:t>
      </w:r>
      <w:r w:rsidR="00790224" w:rsidRPr="00D813D7">
        <w:rPr>
          <w:rFonts w:ascii="Times New Roman" w:hAnsi="Times New Roman"/>
          <w:sz w:val="24"/>
          <w:szCs w:val="24"/>
        </w:rPr>
        <w:t xml:space="preserve"> </w:t>
      </w:r>
      <w:r w:rsidR="00D65CB3">
        <w:rPr>
          <w:rFonts w:ascii="Times New Roman" w:hAnsi="Times New Roman"/>
          <w:sz w:val="24"/>
          <w:szCs w:val="24"/>
        </w:rPr>
        <w:t xml:space="preserve"> </w:t>
      </w:r>
      <w:r w:rsidR="00BD366D" w:rsidRPr="00D813D7">
        <w:rPr>
          <w:rFonts w:ascii="Times New Roman" w:hAnsi="Times New Roman"/>
          <w:sz w:val="24"/>
          <w:szCs w:val="24"/>
        </w:rPr>
        <w:t xml:space="preserve">Further, the Company cites </w:t>
      </w:r>
      <w:r w:rsidR="003731D8" w:rsidRPr="00D813D7">
        <w:rPr>
          <w:rFonts w:ascii="Times New Roman" w:hAnsi="Times New Roman"/>
          <w:sz w:val="24"/>
          <w:szCs w:val="24"/>
        </w:rPr>
        <w:t>the risk</w:t>
      </w:r>
      <w:r w:rsidR="00BD366D" w:rsidRPr="00D813D7">
        <w:rPr>
          <w:rFonts w:ascii="Times New Roman" w:hAnsi="Times New Roman"/>
          <w:sz w:val="24"/>
          <w:szCs w:val="24"/>
        </w:rPr>
        <w:t xml:space="preserve"> of duplicate facilities being installed at customer locations</w:t>
      </w:r>
      <w:r w:rsidR="00E73FA9" w:rsidRPr="00D813D7">
        <w:rPr>
          <w:rFonts w:ascii="Times New Roman" w:hAnsi="Times New Roman"/>
          <w:sz w:val="24"/>
          <w:szCs w:val="24"/>
        </w:rPr>
        <w:t>,</w:t>
      </w:r>
      <w:r w:rsidR="003731D8" w:rsidRPr="00D813D7">
        <w:rPr>
          <w:rStyle w:val="FootnoteReference"/>
          <w:rFonts w:ascii="Times New Roman" w:hAnsi="Times New Roman"/>
          <w:sz w:val="24"/>
          <w:szCs w:val="24"/>
        </w:rPr>
        <w:footnoteReference w:id="84"/>
      </w:r>
      <w:r w:rsidR="00BD366D" w:rsidRPr="00D813D7">
        <w:rPr>
          <w:rFonts w:ascii="Times New Roman" w:hAnsi="Times New Roman"/>
          <w:sz w:val="24"/>
          <w:szCs w:val="24"/>
        </w:rPr>
        <w:t xml:space="preserve"> which raises concern that first responders</w:t>
      </w:r>
      <w:r w:rsidR="003E24A8">
        <w:rPr>
          <w:rFonts w:ascii="Times New Roman" w:hAnsi="Times New Roman"/>
          <w:sz w:val="24"/>
          <w:szCs w:val="24"/>
        </w:rPr>
        <w:t xml:space="preserve"> could be harmed</w:t>
      </w:r>
      <w:r w:rsidR="00BD366D" w:rsidRPr="00D813D7">
        <w:rPr>
          <w:rFonts w:ascii="Times New Roman" w:hAnsi="Times New Roman"/>
          <w:sz w:val="24"/>
          <w:szCs w:val="24"/>
        </w:rPr>
        <w:t xml:space="preserve"> if they cannot correctly identify which facilities are live and which have been </w:t>
      </w:r>
      <w:r w:rsidR="00D65CB3">
        <w:rPr>
          <w:rFonts w:ascii="Times New Roman" w:hAnsi="Times New Roman"/>
          <w:sz w:val="24"/>
          <w:szCs w:val="24"/>
        </w:rPr>
        <w:t>abandoned.</w:t>
      </w:r>
    </w:p>
    <w:p w:rsidR="00CF1019" w:rsidRPr="00D813D7" w:rsidRDefault="00CF1019" w:rsidP="00D65CB3">
      <w:pPr>
        <w:spacing w:after="0" w:line="480" w:lineRule="auto"/>
        <w:ind w:left="720" w:firstLine="720"/>
        <w:rPr>
          <w:rFonts w:ascii="Times New Roman" w:hAnsi="Times New Roman"/>
          <w:sz w:val="24"/>
          <w:szCs w:val="24"/>
        </w:rPr>
      </w:pPr>
      <w:r w:rsidRPr="00D813D7">
        <w:rPr>
          <w:rFonts w:ascii="Times New Roman" w:hAnsi="Times New Roman"/>
          <w:sz w:val="24"/>
          <w:szCs w:val="24"/>
        </w:rPr>
        <w:t xml:space="preserve">As a result, </w:t>
      </w:r>
      <w:r w:rsidR="003E24A8">
        <w:rPr>
          <w:rFonts w:ascii="Times New Roman" w:hAnsi="Times New Roman"/>
          <w:sz w:val="24"/>
          <w:szCs w:val="24"/>
        </w:rPr>
        <w:t>Pacific Power’s proposals</w:t>
      </w:r>
      <w:r w:rsidR="00BD366D" w:rsidRPr="00D813D7">
        <w:rPr>
          <w:rFonts w:ascii="Times New Roman" w:hAnsi="Times New Roman"/>
          <w:sz w:val="24"/>
          <w:szCs w:val="24"/>
        </w:rPr>
        <w:t xml:space="preserve"> are intended </w:t>
      </w:r>
      <w:r w:rsidRPr="00D813D7">
        <w:rPr>
          <w:rFonts w:ascii="Times New Roman" w:hAnsi="Times New Roman"/>
          <w:sz w:val="24"/>
          <w:szCs w:val="24"/>
        </w:rPr>
        <w:t>to provide additional safeguards requiring timely notice and compensation for stranded costs and facilities transferred, removed</w:t>
      </w:r>
      <w:r w:rsidR="00D65CB3">
        <w:rPr>
          <w:rFonts w:ascii="Times New Roman" w:hAnsi="Times New Roman"/>
          <w:sz w:val="24"/>
          <w:szCs w:val="24"/>
        </w:rPr>
        <w:t>,</w:t>
      </w:r>
      <w:r w:rsidRPr="00D813D7">
        <w:rPr>
          <w:rFonts w:ascii="Times New Roman" w:hAnsi="Times New Roman"/>
          <w:sz w:val="24"/>
          <w:szCs w:val="24"/>
        </w:rPr>
        <w:t xml:space="preserve"> or abandoned associated with a customer’s request to </w:t>
      </w:r>
      <w:r w:rsidR="00BD366D" w:rsidRPr="00D813D7">
        <w:rPr>
          <w:rFonts w:ascii="Times New Roman" w:hAnsi="Times New Roman"/>
          <w:sz w:val="24"/>
          <w:szCs w:val="24"/>
        </w:rPr>
        <w:t xml:space="preserve">permanently disconnect from the Company’s system to be served by a competitive </w:t>
      </w:r>
      <w:r w:rsidR="00D65CB3">
        <w:rPr>
          <w:rFonts w:ascii="Times New Roman" w:hAnsi="Times New Roman"/>
          <w:sz w:val="24"/>
          <w:szCs w:val="24"/>
        </w:rPr>
        <w:t xml:space="preserve">supplier. </w:t>
      </w:r>
    </w:p>
    <w:p w:rsidR="0061099F" w:rsidRPr="00D813D7" w:rsidRDefault="00D65CB3" w:rsidP="0061099F">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61099F" w:rsidRPr="00D813D7">
        <w:rPr>
          <w:rFonts w:ascii="Times New Roman" w:hAnsi="Times New Roman"/>
          <w:b/>
          <w:sz w:val="24"/>
          <w:szCs w:val="24"/>
        </w:rPr>
        <w:tab/>
        <w:t>Please describe your understanding of the current status of negotiatio</w:t>
      </w:r>
      <w:r>
        <w:rPr>
          <w:rFonts w:ascii="Times New Roman" w:hAnsi="Times New Roman"/>
          <w:b/>
          <w:sz w:val="24"/>
          <w:szCs w:val="24"/>
        </w:rPr>
        <w:t xml:space="preserve">ns between the Company and CREA.  </w:t>
      </w:r>
    </w:p>
    <w:p w:rsidR="0061099F" w:rsidRPr="00D813D7" w:rsidRDefault="00D65CB3" w:rsidP="002A39A1">
      <w:pPr>
        <w:spacing w:after="0" w:line="480" w:lineRule="auto"/>
        <w:ind w:left="720" w:hanging="720"/>
        <w:rPr>
          <w:rFonts w:ascii="Times New Roman" w:hAnsi="Times New Roman"/>
          <w:sz w:val="24"/>
          <w:szCs w:val="24"/>
        </w:rPr>
      </w:pPr>
      <w:r>
        <w:rPr>
          <w:rFonts w:ascii="Times New Roman" w:hAnsi="Times New Roman"/>
          <w:sz w:val="24"/>
          <w:szCs w:val="24"/>
        </w:rPr>
        <w:t>A:</w:t>
      </w:r>
      <w:r w:rsidR="0061099F" w:rsidRPr="00D813D7">
        <w:rPr>
          <w:rFonts w:ascii="Times New Roman" w:hAnsi="Times New Roman"/>
          <w:sz w:val="24"/>
          <w:szCs w:val="24"/>
        </w:rPr>
        <w:tab/>
        <w:t>My understanding is that talks have come to a standstill, with communication about the terms of such an agreement only by letter.</w:t>
      </w:r>
      <w:r w:rsidR="00790224" w:rsidRPr="00D813D7">
        <w:rPr>
          <w:rFonts w:ascii="Times New Roman" w:hAnsi="Times New Roman"/>
          <w:sz w:val="24"/>
          <w:szCs w:val="24"/>
        </w:rPr>
        <w:t xml:space="preserve"> </w:t>
      </w:r>
      <w:r>
        <w:rPr>
          <w:rFonts w:ascii="Times New Roman" w:hAnsi="Times New Roman"/>
          <w:sz w:val="24"/>
          <w:szCs w:val="24"/>
        </w:rPr>
        <w:t xml:space="preserve"> </w:t>
      </w:r>
      <w:r w:rsidR="0061099F" w:rsidRPr="00D813D7">
        <w:rPr>
          <w:rFonts w:ascii="Times New Roman" w:hAnsi="Times New Roman"/>
          <w:sz w:val="24"/>
          <w:szCs w:val="24"/>
        </w:rPr>
        <w:t>In response to discovery, CREA says they have sent two letters to Pacific Power’s CEO seeking to improve relations and coordination between the two companies</w:t>
      </w:r>
      <w:r>
        <w:rPr>
          <w:rFonts w:ascii="Times New Roman" w:hAnsi="Times New Roman"/>
          <w:sz w:val="24"/>
          <w:szCs w:val="24"/>
        </w:rPr>
        <w:t>,</w:t>
      </w:r>
      <w:r w:rsidR="0061099F" w:rsidRPr="00D813D7">
        <w:rPr>
          <w:rFonts w:ascii="Times New Roman" w:hAnsi="Times New Roman"/>
          <w:sz w:val="24"/>
          <w:szCs w:val="24"/>
        </w:rPr>
        <w:t xml:space="preserve"> but has yet to receive a response.</w:t>
      </w:r>
      <w:r w:rsidR="0061099F" w:rsidRPr="00D813D7">
        <w:rPr>
          <w:rStyle w:val="FootnoteReference"/>
          <w:rFonts w:ascii="Times New Roman" w:hAnsi="Times New Roman"/>
          <w:sz w:val="24"/>
          <w:szCs w:val="24"/>
        </w:rPr>
        <w:footnoteReference w:id="85"/>
      </w:r>
      <w:r w:rsidR="00790224" w:rsidRPr="00D813D7">
        <w:rPr>
          <w:rFonts w:ascii="Times New Roman" w:hAnsi="Times New Roman"/>
          <w:sz w:val="24"/>
          <w:szCs w:val="24"/>
        </w:rPr>
        <w:t xml:space="preserve"> </w:t>
      </w:r>
      <w:r>
        <w:rPr>
          <w:rFonts w:ascii="Times New Roman" w:hAnsi="Times New Roman"/>
          <w:sz w:val="24"/>
          <w:szCs w:val="24"/>
        </w:rPr>
        <w:t xml:space="preserve"> </w:t>
      </w:r>
      <w:r w:rsidR="0061099F" w:rsidRPr="00D813D7">
        <w:rPr>
          <w:rFonts w:ascii="Times New Roman" w:hAnsi="Times New Roman"/>
          <w:sz w:val="24"/>
          <w:szCs w:val="24"/>
        </w:rPr>
        <w:t xml:space="preserve">Pacific Power, for its part, </w:t>
      </w:r>
      <w:r w:rsidR="0026056C" w:rsidRPr="00D813D7">
        <w:rPr>
          <w:rFonts w:ascii="Times New Roman" w:hAnsi="Times New Roman"/>
          <w:sz w:val="24"/>
          <w:szCs w:val="24"/>
        </w:rPr>
        <w:t>observes that it has been unable to negotiate a service area agreement with CREA</w:t>
      </w:r>
      <w:r w:rsidR="003E24A8">
        <w:rPr>
          <w:rFonts w:ascii="Times New Roman" w:hAnsi="Times New Roman"/>
          <w:sz w:val="24"/>
          <w:szCs w:val="24"/>
        </w:rPr>
        <w:t>,</w:t>
      </w:r>
      <w:r w:rsidR="0026056C" w:rsidRPr="00D813D7">
        <w:rPr>
          <w:rFonts w:ascii="Times New Roman" w:hAnsi="Times New Roman"/>
          <w:sz w:val="24"/>
          <w:szCs w:val="24"/>
        </w:rPr>
        <w:t xml:space="preserve"> even with mediation services provided by a</w:t>
      </w:r>
      <w:r w:rsidR="00C027A1" w:rsidRPr="00D813D7">
        <w:rPr>
          <w:rFonts w:ascii="Times New Roman" w:hAnsi="Times New Roman"/>
          <w:sz w:val="24"/>
          <w:szCs w:val="24"/>
        </w:rPr>
        <w:t>n</w:t>
      </w:r>
      <w:r>
        <w:rPr>
          <w:rFonts w:ascii="Times New Roman" w:hAnsi="Times New Roman"/>
          <w:sz w:val="24"/>
          <w:szCs w:val="24"/>
        </w:rPr>
        <w:t xml:space="preserve"> Administrative Law </w:t>
      </w:r>
      <w:r w:rsidR="00B26E6C">
        <w:rPr>
          <w:rFonts w:ascii="Times New Roman" w:hAnsi="Times New Roman"/>
          <w:sz w:val="24"/>
          <w:szCs w:val="24"/>
        </w:rPr>
        <w:t>J</w:t>
      </w:r>
      <w:r w:rsidR="00B26E6C" w:rsidRPr="00D813D7">
        <w:rPr>
          <w:rFonts w:ascii="Times New Roman" w:hAnsi="Times New Roman"/>
          <w:sz w:val="24"/>
          <w:szCs w:val="24"/>
        </w:rPr>
        <w:t>udge</w:t>
      </w:r>
      <w:r w:rsidR="003E24A8">
        <w:rPr>
          <w:rFonts w:ascii="Times New Roman" w:hAnsi="Times New Roman"/>
          <w:sz w:val="24"/>
          <w:szCs w:val="24"/>
        </w:rPr>
        <w:t>,</w:t>
      </w:r>
      <w:r w:rsidR="0026056C" w:rsidRPr="00D813D7">
        <w:rPr>
          <w:rFonts w:ascii="Times New Roman" w:hAnsi="Times New Roman"/>
          <w:sz w:val="24"/>
          <w:szCs w:val="24"/>
        </w:rPr>
        <w:t xml:space="preserve"> and that the informal agreement was working adequately until a change in management at CREA.</w:t>
      </w:r>
      <w:r w:rsidR="00790224" w:rsidRPr="00D813D7">
        <w:rPr>
          <w:rFonts w:ascii="Times New Roman" w:hAnsi="Times New Roman"/>
          <w:sz w:val="24"/>
          <w:szCs w:val="24"/>
        </w:rPr>
        <w:t xml:space="preserve"> </w:t>
      </w:r>
    </w:p>
    <w:p w:rsidR="0026056C" w:rsidRPr="00D813D7" w:rsidRDefault="002A39A1" w:rsidP="0026056C">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26056C" w:rsidRPr="00D813D7">
        <w:rPr>
          <w:rFonts w:ascii="Times New Roman" w:hAnsi="Times New Roman"/>
          <w:b/>
          <w:sz w:val="24"/>
          <w:szCs w:val="24"/>
        </w:rPr>
        <w:tab/>
      </w:r>
      <w:r w:rsidR="003E24A8">
        <w:rPr>
          <w:rFonts w:ascii="Times New Roman" w:hAnsi="Times New Roman"/>
          <w:b/>
          <w:sz w:val="24"/>
          <w:szCs w:val="24"/>
        </w:rPr>
        <w:t>Would a service agreement provide benefits in this situation?</w:t>
      </w:r>
      <w:r w:rsidR="00790224" w:rsidRPr="00D813D7">
        <w:rPr>
          <w:rFonts w:ascii="Times New Roman" w:hAnsi="Times New Roman"/>
          <w:b/>
          <w:sz w:val="24"/>
          <w:szCs w:val="24"/>
        </w:rPr>
        <w:t xml:space="preserve"> </w:t>
      </w:r>
    </w:p>
    <w:p w:rsidR="009165B0" w:rsidRDefault="002A39A1" w:rsidP="009165B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26056C" w:rsidRPr="00D813D7">
        <w:rPr>
          <w:rFonts w:ascii="Times New Roman" w:hAnsi="Times New Roman"/>
          <w:sz w:val="24"/>
          <w:szCs w:val="24"/>
        </w:rPr>
        <w:tab/>
      </w:r>
      <w:r w:rsidR="009165B0">
        <w:rPr>
          <w:rFonts w:ascii="Times New Roman" w:hAnsi="Times New Roman"/>
          <w:sz w:val="24"/>
          <w:szCs w:val="24"/>
        </w:rPr>
        <w:t>Yes.  A robust service agreement that</w:t>
      </w:r>
      <w:r w:rsidR="009165B0" w:rsidRPr="009165B0">
        <w:rPr>
          <w:rFonts w:ascii="Times New Roman" w:hAnsi="Times New Roman"/>
          <w:sz w:val="24"/>
          <w:szCs w:val="24"/>
        </w:rPr>
        <w:t xml:space="preserve"> </w:t>
      </w:r>
      <w:r w:rsidR="009165B0" w:rsidRPr="00A3404F">
        <w:rPr>
          <w:rFonts w:ascii="Times New Roman" w:hAnsi="Times New Roman"/>
          <w:sz w:val="24"/>
          <w:szCs w:val="24"/>
        </w:rPr>
        <w:t xml:space="preserve">fully addresses terms that both parties can agree on, has mutually agreeable terms for handling exceptions, </w:t>
      </w:r>
      <w:r w:rsidR="009165B0">
        <w:rPr>
          <w:rFonts w:ascii="Times New Roman" w:hAnsi="Times New Roman"/>
          <w:sz w:val="24"/>
          <w:szCs w:val="24"/>
        </w:rPr>
        <w:t xml:space="preserve">and </w:t>
      </w:r>
      <w:r w:rsidR="009165B0" w:rsidRPr="00A3404F">
        <w:rPr>
          <w:rFonts w:ascii="Times New Roman" w:hAnsi="Times New Roman"/>
          <w:sz w:val="24"/>
          <w:szCs w:val="24"/>
        </w:rPr>
        <w:t>has terms that anticipate future</w:t>
      </w:r>
      <w:r w:rsidR="009165B0">
        <w:rPr>
          <w:rFonts w:ascii="Times New Roman" w:hAnsi="Times New Roman"/>
          <w:sz w:val="24"/>
          <w:szCs w:val="24"/>
        </w:rPr>
        <w:t xml:space="preserve"> </w:t>
      </w:r>
      <w:r w:rsidR="009165B0">
        <w:rPr>
          <w:rFonts w:ascii="Times New Roman" w:hAnsi="Times New Roman"/>
          <w:sz w:val="24"/>
          <w:szCs w:val="24"/>
        </w:rPr>
        <w:lastRenderedPageBreak/>
        <w:t>operating conditions or situations</w:t>
      </w:r>
      <w:r w:rsidR="009165B0" w:rsidRPr="00D813D7" w:rsidDel="009165B0">
        <w:rPr>
          <w:rFonts w:ascii="Times New Roman" w:hAnsi="Times New Roman"/>
          <w:sz w:val="24"/>
          <w:szCs w:val="24"/>
        </w:rPr>
        <w:t xml:space="preserve"> </w:t>
      </w:r>
      <w:r w:rsidR="009165B0">
        <w:rPr>
          <w:rFonts w:ascii="Times New Roman" w:hAnsi="Times New Roman"/>
          <w:sz w:val="24"/>
          <w:szCs w:val="24"/>
        </w:rPr>
        <w:t>would be beneficial in this situation.  One example of such an agreement is the Servic</w:t>
      </w:r>
      <w:r w:rsidR="00857B96">
        <w:rPr>
          <w:rFonts w:ascii="Times New Roman" w:hAnsi="Times New Roman"/>
          <w:sz w:val="24"/>
          <w:szCs w:val="24"/>
        </w:rPr>
        <w:t>e Area Agreement between PacifiC</w:t>
      </w:r>
      <w:r w:rsidR="009165B0">
        <w:rPr>
          <w:rFonts w:ascii="Times New Roman" w:hAnsi="Times New Roman"/>
          <w:sz w:val="24"/>
          <w:szCs w:val="24"/>
        </w:rPr>
        <w:t>orp and Benton Rural Electric Association (“Benton”).</w:t>
      </w:r>
      <w:r w:rsidR="00857B96">
        <w:rPr>
          <w:rFonts w:ascii="Times New Roman" w:hAnsi="Times New Roman"/>
          <w:sz w:val="24"/>
          <w:szCs w:val="24"/>
        </w:rPr>
        <w:t xml:space="preserve"> The PacifiC</w:t>
      </w:r>
      <w:r w:rsidR="009165B0">
        <w:rPr>
          <w:rFonts w:ascii="Times New Roman" w:hAnsi="Times New Roman"/>
          <w:sz w:val="24"/>
          <w:szCs w:val="24"/>
        </w:rPr>
        <w:t>orp-Benton Agreement meets these basic criteria because it states that its purpose is to avoid duplication of electric facilities by PacifiCorp and Benton, establish procedures for service to new customers, and to study whether services areas to be served exclusively by PacifiCorp or Benton should be established.</w:t>
      </w:r>
      <w:r w:rsidR="009165B0">
        <w:rPr>
          <w:rStyle w:val="FootnoteReference"/>
          <w:rFonts w:ascii="Times New Roman" w:hAnsi="Times New Roman"/>
          <w:sz w:val="24"/>
          <w:szCs w:val="24"/>
        </w:rPr>
        <w:footnoteReference w:id="86"/>
      </w:r>
      <w:r w:rsidR="009165B0">
        <w:rPr>
          <w:rFonts w:ascii="Times New Roman" w:hAnsi="Times New Roman"/>
          <w:sz w:val="24"/>
          <w:szCs w:val="24"/>
        </w:rPr>
        <w:t xml:space="preserve">  This Agreement states that service to any new customer or new load shall be provided by the party having existing electric distribution facilities closest to the service entrance on the date written application is made by the new customer or new load for such service, which meets the criterion of pre-existing mutually agreeable terms to prevent duplication of electric facilities.  This same provision also anticipates future needs by allowing for the closest utility to release the new customer tor new load to the other utility “for economic reasons.”</w:t>
      </w:r>
      <w:r w:rsidR="009165B0">
        <w:rPr>
          <w:rStyle w:val="FootnoteReference"/>
          <w:rFonts w:ascii="Times New Roman" w:hAnsi="Times New Roman"/>
          <w:sz w:val="24"/>
          <w:szCs w:val="24"/>
        </w:rPr>
        <w:footnoteReference w:id="87"/>
      </w:r>
      <w:r w:rsidR="009165B0">
        <w:rPr>
          <w:rFonts w:ascii="Times New Roman" w:hAnsi="Times New Roman"/>
          <w:sz w:val="24"/>
          <w:szCs w:val="24"/>
        </w:rPr>
        <w:t xml:space="preserve"> </w:t>
      </w:r>
      <w:r w:rsidR="009E70FF">
        <w:rPr>
          <w:rFonts w:ascii="Times New Roman" w:hAnsi="Times New Roman"/>
          <w:sz w:val="24"/>
          <w:szCs w:val="24"/>
        </w:rPr>
        <w:t xml:space="preserve"> </w:t>
      </w:r>
      <w:r w:rsidR="009165B0">
        <w:rPr>
          <w:rFonts w:ascii="Times New Roman" w:hAnsi="Times New Roman"/>
          <w:sz w:val="24"/>
          <w:szCs w:val="24"/>
        </w:rPr>
        <w:t>Finally, the term of this agreement extends to July 1, 2040 or until such time as this executed agreement has been declared unlawful or unenforceable by the Commission, court order, legislation, or regulatory action.</w:t>
      </w:r>
      <w:r w:rsidR="009165B0">
        <w:rPr>
          <w:rStyle w:val="FootnoteReference"/>
          <w:rFonts w:ascii="Times New Roman" w:hAnsi="Times New Roman"/>
          <w:sz w:val="24"/>
          <w:szCs w:val="24"/>
        </w:rPr>
        <w:footnoteReference w:id="88"/>
      </w:r>
      <w:r w:rsidR="009165B0">
        <w:rPr>
          <w:rFonts w:ascii="Times New Roman" w:hAnsi="Times New Roman"/>
          <w:sz w:val="24"/>
          <w:szCs w:val="24"/>
        </w:rPr>
        <w:t xml:space="preserve"> </w:t>
      </w:r>
    </w:p>
    <w:p w:rsidR="009165B0" w:rsidRPr="0049410F" w:rsidRDefault="009165B0" w:rsidP="009165B0">
      <w:pPr>
        <w:widowControl w:val="0"/>
        <w:spacing w:after="0" w:line="480" w:lineRule="auto"/>
        <w:ind w:left="720" w:hanging="720"/>
        <w:rPr>
          <w:rFonts w:ascii="Times New Roman" w:hAnsi="Times New Roman"/>
          <w:b/>
          <w:sz w:val="24"/>
          <w:szCs w:val="24"/>
        </w:rPr>
      </w:pPr>
      <w:r w:rsidRPr="0049410F">
        <w:rPr>
          <w:rFonts w:ascii="Times New Roman" w:hAnsi="Times New Roman"/>
          <w:b/>
          <w:sz w:val="24"/>
          <w:szCs w:val="24"/>
        </w:rPr>
        <w:t>Q</w:t>
      </w:r>
      <w:r w:rsidR="009E70FF">
        <w:rPr>
          <w:rFonts w:ascii="Times New Roman" w:hAnsi="Times New Roman"/>
          <w:b/>
          <w:sz w:val="24"/>
          <w:szCs w:val="24"/>
        </w:rPr>
        <w:t>:</w:t>
      </w:r>
      <w:r w:rsidRPr="0049410F">
        <w:rPr>
          <w:rFonts w:ascii="Times New Roman" w:hAnsi="Times New Roman"/>
          <w:b/>
          <w:sz w:val="24"/>
          <w:szCs w:val="24"/>
        </w:rPr>
        <w:tab/>
      </w:r>
      <w:r>
        <w:rPr>
          <w:rFonts w:ascii="Times New Roman" w:hAnsi="Times New Roman"/>
          <w:b/>
          <w:sz w:val="24"/>
          <w:szCs w:val="24"/>
        </w:rPr>
        <w:t xml:space="preserve">Does the PacifiCorp – Benton Agreement meet all of your requirements for being a robust service agreement? </w:t>
      </w:r>
    </w:p>
    <w:p w:rsidR="009165B0" w:rsidRDefault="001B6006" w:rsidP="009165B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9E70FF">
        <w:rPr>
          <w:rFonts w:ascii="Times New Roman" w:hAnsi="Times New Roman"/>
          <w:sz w:val="24"/>
          <w:szCs w:val="24"/>
        </w:rPr>
        <w:t>:</w:t>
      </w:r>
      <w:r>
        <w:rPr>
          <w:rFonts w:ascii="Times New Roman" w:hAnsi="Times New Roman"/>
          <w:sz w:val="24"/>
          <w:szCs w:val="24"/>
        </w:rPr>
        <w:tab/>
        <w:t>The PacifiCo</w:t>
      </w:r>
      <w:r w:rsidR="009165B0">
        <w:rPr>
          <w:rFonts w:ascii="Times New Roman" w:hAnsi="Times New Roman"/>
          <w:sz w:val="24"/>
          <w:szCs w:val="24"/>
        </w:rPr>
        <w:t xml:space="preserve">rp-Benton Agreement deals with the most immediate issues of establishing who should serve a new customer or new load by default and seeks to eliminate duplicative </w:t>
      </w:r>
      <w:r w:rsidR="009165B0">
        <w:rPr>
          <w:rFonts w:ascii="Times New Roman" w:hAnsi="Times New Roman"/>
          <w:sz w:val="24"/>
          <w:szCs w:val="24"/>
        </w:rPr>
        <w:lastRenderedPageBreak/>
        <w:t>facilities, which addresses the safety issue for first responders.  In my experience, however, there are two additional provisions that are missing from the PacifiCorp-Benton Agreement that would make it a robust service agreement:</w:t>
      </w:r>
    </w:p>
    <w:p w:rsidR="009165B0" w:rsidRPr="00354155" w:rsidRDefault="009165B0" w:rsidP="009165B0">
      <w:pPr>
        <w:pStyle w:val="ListParagraph"/>
        <w:widowControl w:val="0"/>
        <w:numPr>
          <w:ilvl w:val="0"/>
          <w:numId w:val="48"/>
        </w:numPr>
        <w:spacing w:after="0" w:line="480" w:lineRule="auto"/>
        <w:rPr>
          <w:rFonts w:ascii="Times New Roman" w:hAnsi="Times New Roman"/>
          <w:b/>
          <w:sz w:val="24"/>
          <w:szCs w:val="24"/>
        </w:rPr>
      </w:pPr>
      <w:r>
        <w:rPr>
          <w:rFonts w:ascii="Times New Roman" w:hAnsi="Times New Roman"/>
          <w:sz w:val="24"/>
          <w:szCs w:val="24"/>
        </w:rPr>
        <w:t>A term</w:t>
      </w:r>
      <w:r w:rsidRPr="00354155">
        <w:rPr>
          <w:rFonts w:ascii="Times New Roman" w:hAnsi="Times New Roman"/>
          <w:sz w:val="24"/>
          <w:szCs w:val="24"/>
        </w:rPr>
        <w:t xml:space="preserve"> that specifies how the transfer of existing facilities from one utility to the other utility by mutual agreement for economic reasons will be handled and who pays for related facilities or transaction costs.  </w:t>
      </w:r>
    </w:p>
    <w:p w:rsidR="009165B0" w:rsidRPr="00354155" w:rsidRDefault="009165B0" w:rsidP="009165B0">
      <w:pPr>
        <w:pStyle w:val="ListParagraph"/>
        <w:widowControl w:val="0"/>
        <w:numPr>
          <w:ilvl w:val="0"/>
          <w:numId w:val="48"/>
        </w:numPr>
        <w:spacing w:after="0" w:line="480" w:lineRule="auto"/>
        <w:rPr>
          <w:rFonts w:ascii="Times New Roman" w:hAnsi="Times New Roman"/>
          <w:b/>
          <w:sz w:val="24"/>
          <w:szCs w:val="24"/>
        </w:rPr>
      </w:pPr>
      <w:r>
        <w:rPr>
          <w:rFonts w:ascii="Times New Roman" w:hAnsi="Times New Roman"/>
          <w:sz w:val="24"/>
          <w:szCs w:val="24"/>
        </w:rPr>
        <w:t>A</w:t>
      </w:r>
      <w:r w:rsidRPr="00354155">
        <w:rPr>
          <w:rFonts w:ascii="Times New Roman" w:hAnsi="Times New Roman"/>
          <w:sz w:val="24"/>
          <w:szCs w:val="24"/>
        </w:rPr>
        <w:t xml:space="preserve">n early notice period for intent to renew or extend the term of the agreement by a </w:t>
      </w:r>
      <w:r>
        <w:rPr>
          <w:rFonts w:ascii="Times New Roman" w:hAnsi="Times New Roman"/>
          <w:sz w:val="24"/>
          <w:szCs w:val="24"/>
        </w:rPr>
        <w:t>specified</w:t>
      </w:r>
      <w:r w:rsidRPr="00354155">
        <w:rPr>
          <w:rFonts w:ascii="Times New Roman" w:hAnsi="Times New Roman"/>
          <w:sz w:val="24"/>
          <w:szCs w:val="24"/>
        </w:rPr>
        <w:t xml:space="preserve"> date and to allow for extension either on an annual basis or for a multi-year term.  The annual extension greatly enhances a service agreement because it provides for continued operation under the agreement even when negotiations hit a road block or are impacted by a change in management personnel at either utility.  </w:t>
      </w:r>
    </w:p>
    <w:p w:rsidR="0026056C" w:rsidRPr="00D813D7" w:rsidRDefault="009165B0" w:rsidP="009165B0">
      <w:pPr>
        <w:widowControl w:val="0"/>
        <w:spacing w:after="0" w:line="480" w:lineRule="auto"/>
        <w:ind w:left="720" w:hanging="720"/>
        <w:rPr>
          <w:rFonts w:ascii="Times New Roman" w:hAnsi="Times New Roman"/>
          <w:sz w:val="24"/>
          <w:szCs w:val="24"/>
        </w:rPr>
      </w:pPr>
      <w:r>
        <w:rPr>
          <w:rFonts w:ascii="Times New Roman" w:hAnsi="Times New Roman"/>
          <w:sz w:val="24"/>
          <w:szCs w:val="24"/>
        </w:rPr>
        <w:tab/>
        <w:t>T</w:t>
      </w:r>
      <w:r w:rsidRPr="00354155">
        <w:rPr>
          <w:rFonts w:ascii="Times New Roman" w:hAnsi="Times New Roman"/>
          <w:sz w:val="24"/>
          <w:szCs w:val="24"/>
        </w:rPr>
        <w:t>hese are features and protections that cannot be obtained by continuing to operate under an informal agreement</w:t>
      </w:r>
      <w:r>
        <w:rPr>
          <w:rFonts w:ascii="Times New Roman" w:hAnsi="Times New Roman"/>
          <w:sz w:val="24"/>
          <w:szCs w:val="24"/>
        </w:rPr>
        <w:t>.</w:t>
      </w:r>
      <w:r w:rsidR="002B3EDD" w:rsidRPr="00D813D7">
        <w:rPr>
          <w:rFonts w:ascii="Times New Roman" w:hAnsi="Times New Roman"/>
          <w:sz w:val="24"/>
          <w:szCs w:val="24"/>
        </w:rPr>
        <w:t xml:space="preserve"> </w:t>
      </w:r>
    </w:p>
    <w:p w:rsidR="003731D8" w:rsidRPr="00D813D7" w:rsidRDefault="002B3EDD" w:rsidP="0026056C">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3731D8" w:rsidRPr="00D813D7">
        <w:rPr>
          <w:rFonts w:ascii="Times New Roman" w:hAnsi="Times New Roman"/>
          <w:b/>
          <w:sz w:val="24"/>
          <w:szCs w:val="24"/>
        </w:rPr>
        <w:tab/>
        <w:t>What is your</w:t>
      </w:r>
      <w:r w:rsidR="00030242" w:rsidRPr="00D813D7">
        <w:rPr>
          <w:rFonts w:ascii="Times New Roman" w:hAnsi="Times New Roman"/>
          <w:b/>
          <w:sz w:val="24"/>
          <w:szCs w:val="24"/>
        </w:rPr>
        <w:t xml:space="preserve"> understanding of the state’s policy with regard to service area (or franchise) agreements</w:t>
      </w:r>
      <w:r w:rsidR="00E56C7E" w:rsidRPr="00D813D7">
        <w:rPr>
          <w:rFonts w:ascii="Times New Roman" w:hAnsi="Times New Roman"/>
          <w:b/>
          <w:sz w:val="24"/>
          <w:szCs w:val="24"/>
        </w:rPr>
        <w:t>?</w:t>
      </w:r>
      <w:r w:rsidR="00790224" w:rsidRPr="00D813D7">
        <w:rPr>
          <w:rFonts w:ascii="Times New Roman" w:hAnsi="Times New Roman"/>
          <w:b/>
          <w:sz w:val="24"/>
          <w:szCs w:val="24"/>
        </w:rPr>
        <w:t xml:space="preserve"> </w:t>
      </w:r>
    </w:p>
    <w:p w:rsidR="00030242" w:rsidRPr="00D813D7" w:rsidRDefault="002B3EDD" w:rsidP="00EF413A">
      <w:pPr>
        <w:spacing w:after="0" w:line="480" w:lineRule="auto"/>
        <w:ind w:left="720" w:hanging="720"/>
        <w:rPr>
          <w:rFonts w:ascii="Times New Roman" w:hAnsi="Times New Roman"/>
          <w:sz w:val="24"/>
          <w:szCs w:val="24"/>
        </w:rPr>
      </w:pPr>
      <w:r>
        <w:rPr>
          <w:rFonts w:ascii="Times New Roman" w:hAnsi="Times New Roman"/>
          <w:sz w:val="24"/>
          <w:szCs w:val="24"/>
        </w:rPr>
        <w:t>A:</w:t>
      </w:r>
      <w:r w:rsidR="003731D8" w:rsidRPr="00D813D7">
        <w:rPr>
          <w:rFonts w:ascii="Times New Roman" w:hAnsi="Times New Roman"/>
          <w:sz w:val="24"/>
          <w:szCs w:val="24"/>
        </w:rPr>
        <w:tab/>
      </w:r>
      <w:r w:rsidR="00030242" w:rsidRPr="00D813D7">
        <w:rPr>
          <w:rFonts w:ascii="Times New Roman" w:hAnsi="Times New Roman"/>
          <w:sz w:val="24"/>
          <w:szCs w:val="24"/>
        </w:rPr>
        <w:t xml:space="preserve">My understanding </w:t>
      </w:r>
      <w:r w:rsidR="003105CB" w:rsidRPr="00D813D7">
        <w:rPr>
          <w:rFonts w:ascii="Times New Roman" w:hAnsi="Times New Roman"/>
          <w:sz w:val="24"/>
          <w:szCs w:val="24"/>
        </w:rPr>
        <w:t>is that there is no requirement</w:t>
      </w:r>
      <w:r w:rsidR="00030242" w:rsidRPr="00D813D7">
        <w:rPr>
          <w:rFonts w:ascii="Times New Roman" w:hAnsi="Times New Roman"/>
          <w:sz w:val="24"/>
          <w:szCs w:val="24"/>
        </w:rPr>
        <w:t xml:space="preserve"> for a jurisdictional utility to have a service agreement in place with neighboring utilities.</w:t>
      </w:r>
      <w:r w:rsidR="00790224" w:rsidRPr="00D813D7">
        <w:rPr>
          <w:rFonts w:ascii="Times New Roman" w:hAnsi="Times New Roman"/>
          <w:sz w:val="24"/>
          <w:szCs w:val="24"/>
        </w:rPr>
        <w:t xml:space="preserve"> </w:t>
      </w:r>
      <w:r w:rsidR="00030242" w:rsidRPr="00D813D7">
        <w:rPr>
          <w:rFonts w:ascii="Times New Roman" w:hAnsi="Times New Roman"/>
          <w:sz w:val="24"/>
          <w:szCs w:val="24"/>
        </w:rPr>
        <w:t xml:space="preserve">According to Washington </w:t>
      </w:r>
      <w:r w:rsidR="00EC62DE">
        <w:rPr>
          <w:rFonts w:ascii="Times New Roman" w:hAnsi="Times New Roman"/>
          <w:sz w:val="24"/>
          <w:szCs w:val="24"/>
        </w:rPr>
        <w:t>s</w:t>
      </w:r>
      <w:r w:rsidR="00030242" w:rsidRPr="00D813D7">
        <w:rPr>
          <w:rFonts w:ascii="Times New Roman" w:hAnsi="Times New Roman"/>
          <w:sz w:val="24"/>
          <w:szCs w:val="24"/>
        </w:rPr>
        <w:t>tate statute</w:t>
      </w:r>
      <w:r w:rsidR="00E555CF">
        <w:rPr>
          <w:rFonts w:ascii="Times New Roman" w:hAnsi="Times New Roman"/>
          <w:sz w:val="24"/>
          <w:szCs w:val="24"/>
        </w:rPr>
        <w:t>,</w:t>
      </w:r>
      <w:r w:rsidR="00030242" w:rsidRPr="00D813D7">
        <w:rPr>
          <w:rFonts w:ascii="Times New Roman" w:hAnsi="Times New Roman"/>
          <w:sz w:val="24"/>
          <w:szCs w:val="24"/>
        </w:rPr>
        <w:t xml:space="preserve"> utilities are “enabled” to enter into such agreements</w:t>
      </w:r>
      <w:r w:rsidR="00E555CF">
        <w:rPr>
          <w:rFonts w:ascii="Times New Roman" w:hAnsi="Times New Roman"/>
          <w:sz w:val="24"/>
          <w:szCs w:val="24"/>
        </w:rPr>
        <w:t>,</w:t>
      </w:r>
      <w:r w:rsidR="00030242" w:rsidRPr="00D813D7">
        <w:rPr>
          <w:rFonts w:ascii="Times New Roman" w:hAnsi="Times New Roman"/>
          <w:sz w:val="24"/>
          <w:szCs w:val="24"/>
        </w:rPr>
        <w:t xml:space="preserve"> but neither party to the agreement is required to successfully negotiate a service agreement to have exclusive right to serve customers in a specific geographic area.</w:t>
      </w:r>
      <w:r w:rsidR="00790224" w:rsidRPr="00D813D7">
        <w:rPr>
          <w:rFonts w:ascii="Times New Roman" w:hAnsi="Times New Roman"/>
          <w:sz w:val="24"/>
          <w:szCs w:val="24"/>
        </w:rPr>
        <w:t xml:space="preserve"> </w:t>
      </w:r>
      <w:r w:rsidR="00EF413A">
        <w:rPr>
          <w:rFonts w:ascii="Times New Roman" w:hAnsi="Times New Roman"/>
          <w:sz w:val="24"/>
          <w:szCs w:val="24"/>
        </w:rPr>
        <w:t xml:space="preserve"> </w:t>
      </w:r>
    </w:p>
    <w:p w:rsidR="003731D8" w:rsidRPr="00D813D7" w:rsidRDefault="00E56C7E" w:rsidP="000861D5">
      <w:pPr>
        <w:spacing w:after="240" w:line="240" w:lineRule="auto"/>
        <w:ind w:left="1440" w:right="720"/>
        <w:jc w:val="both"/>
        <w:rPr>
          <w:rFonts w:ascii="Times New Roman" w:hAnsi="Times New Roman"/>
          <w:sz w:val="24"/>
          <w:szCs w:val="24"/>
        </w:rPr>
      </w:pPr>
      <w:r w:rsidRPr="00D813D7">
        <w:rPr>
          <w:rFonts w:ascii="Times New Roman" w:hAnsi="Times New Roman"/>
          <w:sz w:val="24"/>
          <w:szCs w:val="24"/>
        </w:rPr>
        <w:t xml:space="preserve">In aid of the foregoing declaration of policy, any public utility and any cooperative is hereby authorized to enter into agreements with any one or more other public utility or one or more other cooperative for the designation of the boundaries of adjoining service areas which each such public utility or each such cooperative shall observe, for the establishment of procedures for </w:t>
      </w:r>
      <w:r w:rsidRPr="00D813D7">
        <w:rPr>
          <w:rFonts w:ascii="Times New Roman" w:hAnsi="Times New Roman"/>
          <w:sz w:val="24"/>
          <w:szCs w:val="24"/>
        </w:rPr>
        <w:lastRenderedPageBreak/>
        <w:t>orderly extension of service in adjoining areas not currently served by any such public utility or any such cooperative and for the acquisition or disposal by purchase or sale by any such public utility or any such cooperative of duplicating utility facilities, which agreements shall be for a reasonable period of time not in excess of twenty-five years: PROVIDED, That the participation in such agreement of any public utility which is an electrical company under RCW 80.04.010, excepting cities and towns, shall be approved by the Washington utilities and transportation commission.</w:t>
      </w:r>
      <w:r w:rsidR="0003626C" w:rsidRPr="00D813D7">
        <w:rPr>
          <w:rStyle w:val="FootnoteReference"/>
          <w:rFonts w:ascii="Times New Roman" w:hAnsi="Times New Roman"/>
          <w:sz w:val="24"/>
          <w:szCs w:val="24"/>
        </w:rPr>
        <w:footnoteReference w:id="89"/>
      </w:r>
    </w:p>
    <w:p w:rsidR="0003626C" w:rsidRPr="00D813D7" w:rsidRDefault="000861D5" w:rsidP="0003626C">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03626C" w:rsidRPr="00D813D7">
        <w:rPr>
          <w:rFonts w:ascii="Times New Roman" w:hAnsi="Times New Roman"/>
          <w:b/>
          <w:sz w:val="24"/>
          <w:szCs w:val="24"/>
        </w:rPr>
        <w:tab/>
        <w:t>What is your understanding of the state’s policy with regard to duplication of electric service fa</w:t>
      </w:r>
      <w:r w:rsidR="00E56C7E" w:rsidRPr="00D813D7">
        <w:rPr>
          <w:rFonts w:ascii="Times New Roman" w:hAnsi="Times New Roman"/>
          <w:b/>
          <w:sz w:val="24"/>
          <w:szCs w:val="24"/>
        </w:rPr>
        <w:t>cilities at a customer location?</w:t>
      </w:r>
      <w:r w:rsidR="00790224" w:rsidRPr="00D813D7">
        <w:rPr>
          <w:rFonts w:ascii="Times New Roman" w:hAnsi="Times New Roman"/>
          <w:b/>
          <w:sz w:val="24"/>
          <w:szCs w:val="24"/>
        </w:rPr>
        <w:t xml:space="preserve"> </w:t>
      </w:r>
    </w:p>
    <w:p w:rsidR="00E56C7E" w:rsidRPr="00D813D7" w:rsidRDefault="0003626C" w:rsidP="00A9764C">
      <w:pPr>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0861D5">
        <w:rPr>
          <w:rFonts w:ascii="Times New Roman" w:hAnsi="Times New Roman"/>
          <w:sz w:val="24"/>
          <w:szCs w:val="24"/>
        </w:rPr>
        <w:t>:</w:t>
      </w:r>
      <w:r w:rsidR="00E56C7E" w:rsidRPr="00D813D7">
        <w:rPr>
          <w:rFonts w:ascii="Times New Roman" w:hAnsi="Times New Roman"/>
          <w:sz w:val="24"/>
          <w:szCs w:val="24"/>
        </w:rPr>
        <w:tab/>
        <w:t>My understanding is that the Washington State Legislature policy discourages the duplication of electric lines and services of public utilities and cooperatives for economic, safety</w:t>
      </w:r>
      <w:r w:rsidR="00E555CF">
        <w:rPr>
          <w:rFonts w:ascii="Times New Roman" w:hAnsi="Times New Roman"/>
          <w:sz w:val="24"/>
          <w:szCs w:val="24"/>
        </w:rPr>
        <w:t>,</w:t>
      </w:r>
      <w:r w:rsidR="00E56C7E" w:rsidRPr="00D813D7">
        <w:rPr>
          <w:rFonts w:ascii="Times New Roman" w:hAnsi="Times New Roman"/>
          <w:sz w:val="24"/>
          <w:szCs w:val="24"/>
        </w:rPr>
        <w:t xml:space="preserve"> and public interest reasons, but does not prohibit the practice.</w:t>
      </w:r>
      <w:r w:rsidR="00790224" w:rsidRPr="00D813D7">
        <w:rPr>
          <w:rFonts w:ascii="Times New Roman" w:hAnsi="Times New Roman"/>
          <w:sz w:val="24"/>
          <w:szCs w:val="24"/>
        </w:rPr>
        <w:t xml:space="preserve"> </w:t>
      </w:r>
      <w:r w:rsidR="000861D5">
        <w:rPr>
          <w:rFonts w:ascii="Times New Roman" w:hAnsi="Times New Roman"/>
          <w:sz w:val="24"/>
          <w:szCs w:val="24"/>
        </w:rPr>
        <w:t xml:space="preserve"> </w:t>
      </w:r>
    </w:p>
    <w:p w:rsidR="00E56C7E" w:rsidRPr="00A9764C" w:rsidRDefault="00E56C7E" w:rsidP="00442C72">
      <w:pPr>
        <w:spacing w:after="240" w:line="240" w:lineRule="auto"/>
        <w:ind w:left="1440" w:right="738"/>
        <w:jc w:val="both"/>
        <w:rPr>
          <w:rFonts w:ascii="Times New Roman" w:hAnsi="Times New Roman"/>
          <w:sz w:val="24"/>
          <w:szCs w:val="24"/>
        </w:rPr>
      </w:pPr>
      <w:r w:rsidRPr="00D813D7">
        <w:rPr>
          <w:rFonts w:ascii="Times New Roman" w:hAnsi="Times New Roman"/>
          <w:sz w:val="24"/>
          <w:szCs w:val="24"/>
        </w:rPr>
        <w:t>The legislature hereby declares that the duplication of the electric lines and service of public utilities and cooperatives is uneconomical, may create unnecessary hazards to the public safety, discourages investment in permanent underground facilities, and is unattractive, and thus is contrary to the public interest and further declares that it is in the public interest for public utilities and cooperatives to enter into agreements for the purpose of avoiding o</w:t>
      </w:r>
      <w:r w:rsidR="00A9764C">
        <w:rPr>
          <w:rFonts w:ascii="Times New Roman" w:hAnsi="Times New Roman"/>
          <w:sz w:val="24"/>
          <w:szCs w:val="24"/>
        </w:rPr>
        <w:t>r eliminating such duplication.</w:t>
      </w:r>
      <w:r w:rsidR="0003626C" w:rsidRPr="00D813D7">
        <w:rPr>
          <w:rStyle w:val="FootnoteReference"/>
          <w:rFonts w:ascii="Times New Roman" w:hAnsi="Times New Roman"/>
          <w:sz w:val="24"/>
          <w:szCs w:val="24"/>
        </w:rPr>
        <w:footnoteReference w:id="90"/>
      </w:r>
    </w:p>
    <w:p w:rsidR="00E56C7E" w:rsidRPr="00D813D7" w:rsidRDefault="00A9764C" w:rsidP="00E56C7E">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E56C7E" w:rsidRPr="00D813D7">
        <w:rPr>
          <w:rFonts w:ascii="Times New Roman" w:hAnsi="Times New Roman"/>
          <w:b/>
          <w:sz w:val="24"/>
          <w:szCs w:val="24"/>
        </w:rPr>
        <w:tab/>
        <w:t xml:space="preserve">What do you conclude about the impact on stranded cost recovery of the two </w:t>
      </w:r>
      <w:r w:rsidR="00CA4872">
        <w:rPr>
          <w:rFonts w:ascii="Times New Roman" w:hAnsi="Times New Roman"/>
          <w:b/>
          <w:sz w:val="24"/>
          <w:szCs w:val="24"/>
        </w:rPr>
        <w:t>statutes</w:t>
      </w:r>
      <w:r w:rsidR="00CA4872" w:rsidRPr="00D813D7">
        <w:rPr>
          <w:rFonts w:ascii="Times New Roman" w:hAnsi="Times New Roman"/>
          <w:b/>
          <w:sz w:val="24"/>
          <w:szCs w:val="24"/>
        </w:rPr>
        <w:t xml:space="preserve"> </w:t>
      </w:r>
      <w:r w:rsidR="00E56C7E" w:rsidRPr="00D813D7">
        <w:rPr>
          <w:rFonts w:ascii="Times New Roman" w:hAnsi="Times New Roman"/>
          <w:b/>
          <w:sz w:val="24"/>
          <w:szCs w:val="24"/>
        </w:rPr>
        <w:t>cited above?</w:t>
      </w:r>
      <w:r w:rsidR="00790224" w:rsidRPr="00D813D7">
        <w:rPr>
          <w:rFonts w:ascii="Times New Roman" w:hAnsi="Times New Roman"/>
          <w:b/>
          <w:sz w:val="24"/>
          <w:szCs w:val="24"/>
        </w:rPr>
        <w:t xml:space="preserve"> </w:t>
      </w:r>
    </w:p>
    <w:p w:rsidR="00715D9B" w:rsidRPr="00D813D7" w:rsidRDefault="00E56C7E" w:rsidP="00E56C7E">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E37A31">
        <w:rPr>
          <w:rFonts w:ascii="Times New Roman" w:hAnsi="Times New Roman"/>
          <w:sz w:val="24"/>
          <w:szCs w:val="24"/>
        </w:rPr>
        <w:t>:</w:t>
      </w:r>
      <w:r w:rsidRPr="00D813D7">
        <w:rPr>
          <w:rFonts w:ascii="Times New Roman" w:hAnsi="Times New Roman"/>
          <w:sz w:val="24"/>
          <w:szCs w:val="24"/>
        </w:rPr>
        <w:tab/>
        <w:t xml:space="preserve">I conclude that </w:t>
      </w:r>
      <w:r w:rsidR="00715D9B" w:rsidRPr="00D813D7">
        <w:rPr>
          <w:rFonts w:ascii="Times New Roman" w:hAnsi="Times New Roman"/>
          <w:sz w:val="24"/>
          <w:szCs w:val="24"/>
        </w:rPr>
        <w:t>customers in Washington who are served by utilities without the benefit of an effective robust service area agreement in place, such as Pacific Power customers located in Columbia and Walla Walla Counties, will continue to bear the burden of cost shifting due to customer migration to neighboring utilities to some significant degree.</w:t>
      </w:r>
      <w:r w:rsidR="00790224" w:rsidRPr="00D813D7">
        <w:rPr>
          <w:rFonts w:ascii="Times New Roman" w:hAnsi="Times New Roman"/>
          <w:sz w:val="24"/>
          <w:szCs w:val="24"/>
        </w:rPr>
        <w:t xml:space="preserve"> </w:t>
      </w:r>
      <w:r w:rsidR="00125305">
        <w:rPr>
          <w:rFonts w:ascii="Times New Roman" w:hAnsi="Times New Roman"/>
          <w:sz w:val="24"/>
          <w:szCs w:val="24"/>
        </w:rPr>
        <w:t xml:space="preserve"> </w:t>
      </w:r>
      <w:r w:rsidR="00715D9B" w:rsidRPr="00D813D7">
        <w:rPr>
          <w:rFonts w:ascii="Times New Roman" w:hAnsi="Times New Roman"/>
          <w:sz w:val="24"/>
          <w:szCs w:val="24"/>
        </w:rPr>
        <w:t>This may be expected to continue so long as three conditions persist:</w:t>
      </w:r>
    </w:p>
    <w:p w:rsidR="00715D9B" w:rsidRPr="00D813D7" w:rsidRDefault="00715D9B" w:rsidP="00715D9B">
      <w:pPr>
        <w:pStyle w:val="ListParagraph"/>
        <w:widowControl w:val="0"/>
        <w:numPr>
          <w:ilvl w:val="0"/>
          <w:numId w:val="39"/>
        </w:numPr>
        <w:tabs>
          <w:tab w:val="left" w:pos="6960"/>
        </w:tabs>
        <w:spacing w:after="0" w:line="480" w:lineRule="auto"/>
        <w:rPr>
          <w:rFonts w:ascii="Times New Roman" w:hAnsi="Times New Roman"/>
          <w:sz w:val="24"/>
          <w:szCs w:val="24"/>
        </w:rPr>
      </w:pPr>
      <w:r w:rsidRPr="00D813D7">
        <w:rPr>
          <w:rFonts w:ascii="Times New Roman" w:hAnsi="Times New Roman"/>
          <w:sz w:val="24"/>
          <w:szCs w:val="24"/>
        </w:rPr>
        <w:t xml:space="preserve">The Company’s expectation of flat growth in customer count and load remains true </w:t>
      </w:r>
      <w:r w:rsidRPr="00D813D7">
        <w:rPr>
          <w:rFonts w:ascii="Times New Roman" w:hAnsi="Times New Roman"/>
          <w:sz w:val="24"/>
          <w:szCs w:val="24"/>
        </w:rPr>
        <w:lastRenderedPageBreak/>
        <w:t xml:space="preserve">over time; </w:t>
      </w:r>
    </w:p>
    <w:p w:rsidR="00715D9B" w:rsidRPr="00D813D7" w:rsidRDefault="00715D9B" w:rsidP="00715D9B">
      <w:pPr>
        <w:pStyle w:val="ListParagraph"/>
        <w:widowControl w:val="0"/>
        <w:numPr>
          <w:ilvl w:val="0"/>
          <w:numId w:val="39"/>
        </w:numPr>
        <w:tabs>
          <w:tab w:val="left" w:pos="6960"/>
        </w:tabs>
        <w:spacing w:after="0" w:line="480" w:lineRule="auto"/>
        <w:rPr>
          <w:rFonts w:ascii="Times New Roman" w:hAnsi="Times New Roman"/>
          <w:sz w:val="24"/>
          <w:szCs w:val="24"/>
        </w:rPr>
      </w:pPr>
      <w:r w:rsidRPr="00D813D7">
        <w:rPr>
          <w:rFonts w:ascii="Times New Roman" w:hAnsi="Times New Roman"/>
          <w:sz w:val="24"/>
          <w:szCs w:val="24"/>
        </w:rPr>
        <w:t xml:space="preserve">The neighboring non-jurisdictional providers continue to have access to cheaper sources of wholesale electric power; and </w:t>
      </w:r>
    </w:p>
    <w:p w:rsidR="00715D9B" w:rsidRPr="00647FF4" w:rsidRDefault="00715D9B" w:rsidP="00647FF4">
      <w:pPr>
        <w:pStyle w:val="ListParagraph"/>
        <w:widowControl w:val="0"/>
        <w:numPr>
          <w:ilvl w:val="0"/>
          <w:numId w:val="39"/>
        </w:numPr>
        <w:tabs>
          <w:tab w:val="left" w:pos="6960"/>
        </w:tabs>
        <w:spacing w:after="0" w:line="480" w:lineRule="auto"/>
        <w:rPr>
          <w:rFonts w:ascii="Times New Roman" w:hAnsi="Times New Roman"/>
          <w:sz w:val="24"/>
          <w:szCs w:val="24"/>
        </w:rPr>
      </w:pPr>
      <w:r w:rsidRPr="00D813D7">
        <w:rPr>
          <w:rFonts w:ascii="Times New Roman" w:hAnsi="Times New Roman"/>
          <w:sz w:val="24"/>
          <w:szCs w:val="24"/>
        </w:rPr>
        <w:t xml:space="preserve">The Legislature leaves in place regulations that only enable rather than mandate service agreements between jurisdictional utilities and rural electric associations and cooperatives. </w:t>
      </w:r>
    </w:p>
    <w:p w:rsidR="00A721D5" w:rsidRPr="00D813D7" w:rsidRDefault="00FC7EF9" w:rsidP="00A721D5">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A721D5" w:rsidRPr="00D813D7">
        <w:rPr>
          <w:rFonts w:ascii="Times New Roman" w:hAnsi="Times New Roman"/>
          <w:b/>
          <w:sz w:val="24"/>
          <w:szCs w:val="24"/>
        </w:rPr>
        <w:tab/>
      </w:r>
      <w:r w:rsidR="00CA4872">
        <w:rPr>
          <w:rFonts w:ascii="Times New Roman" w:hAnsi="Times New Roman"/>
          <w:b/>
          <w:sz w:val="24"/>
          <w:szCs w:val="24"/>
        </w:rPr>
        <w:t>Turning your attention to low-income rate assistance and energy-efficiency programs, d</w:t>
      </w:r>
      <w:r w:rsidR="00A721D5" w:rsidRPr="00D813D7">
        <w:rPr>
          <w:rFonts w:ascii="Times New Roman" w:hAnsi="Times New Roman"/>
          <w:b/>
          <w:sz w:val="24"/>
          <w:szCs w:val="24"/>
        </w:rPr>
        <w:t>o you know if rural electric cooperatives,</w:t>
      </w:r>
      <w:r>
        <w:rPr>
          <w:rFonts w:ascii="Times New Roman" w:hAnsi="Times New Roman"/>
          <w:b/>
          <w:sz w:val="24"/>
          <w:szCs w:val="24"/>
        </w:rPr>
        <w:t xml:space="preserve"> such as CREA, offer </w:t>
      </w:r>
      <w:r w:rsidR="00CA4872">
        <w:rPr>
          <w:rFonts w:ascii="Times New Roman" w:hAnsi="Times New Roman"/>
          <w:b/>
          <w:sz w:val="24"/>
          <w:szCs w:val="24"/>
        </w:rPr>
        <w:t>such</w:t>
      </w:r>
      <w:r w:rsidR="00A721D5" w:rsidRPr="00D813D7">
        <w:rPr>
          <w:rFonts w:ascii="Times New Roman" w:hAnsi="Times New Roman"/>
          <w:b/>
          <w:sz w:val="24"/>
          <w:szCs w:val="24"/>
        </w:rPr>
        <w:t xml:space="preserve"> programs to their customers?</w:t>
      </w:r>
      <w:r w:rsidR="00790224" w:rsidRPr="00D813D7">
        <w:rPr>
          <w:rFonts w:ascii="Times New Roman" w:hAnsi="Times New Roman"/>
          <w:b/>
          <w:sz w:val="24"/>
          <w:szCs w:val="24"/>
        </w:rPr>
        <w:t xml:space="preserve"> </w:t>
      </w:r>
    </w:p>
    <w:p w:rsidR="00A721D5" w:rsidRPr="00FC7EF9" w:rsidRDefault="00A721D5" w:rsidP="00FC7EF9">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FC7EF9">
        <w:rPr>
          <w:rFonts w:ascii="Times New Roman" w:hAnsi="Times New Roman"/>
          <w:sz w:val="24"/>
          <w:szCs w:val="24"/>
        </w:rPr>
        <w:t>:</w:t>
      </w:r>
      <w:r w:rsidRPr="00D813D7">
        <w:rPr>
          <w:rFonts w:ascii="Times New Roman" w:hAnsi="Times New Roman"/>
          <w:sz w:val="24"/>
          <w:szCs w:val="24"/>
        </w:rPr>
        <w:tab/>
        <w:t>While I am not familiar with all rural electric associations and cooperatives in Washington, I am aware of municipals elsewhere that offer such programs.</w:t>
      </w:r>
      <w:r w:rsidR="00790224" w:rsidRPr="00D813D7">
        <w:rPr>
          <w:rFonts w:ascii="Times New Roman" w:hAnsi="Times New Roman"/>
          <w:sz w:val="24"/>
          <w:szCs w:val="24"/>
        </w:rPr>
        <w:t xml:space="preserve"> </w:t>
      </w:r>
      <w:r w:rsidR="00FC7EF9">
        <w:rPr>
          <w:rFonts w:ascii="Times New Roman" w:hAnsi="Times New Roman"/>
          <w:sz w:val="24"/>
          <w:szCs w:val="24"/>
        </w:rPr>
        <w:t xml:space="preserve"> </w:t>
      </w:r>
      <w:r w:rsidRPr="00D813D7">
        <w:rPr>
          <w:rFonts w:ascii="Times New Roman" w:hAnsi="Times New Roman"/>
          <w:sz w:val="24"/>
          <w:szCs w:val="24"/>
        </w:rPr>
        <w:t>I have specific knowledge from responses to discovery in this proceeding that CREA does not offer such programs</w:t>
      </w:r>
      <w:r w:rsidR="00CA4872">
        <w:rPr>
          <w:rFonts w:ascii="Times New Roman" w:hAnsi="Times New Roman"/>
          <w:sz w:val="24"/>
          <w:szCs w:val="24"/>
        </w:rPr>
        <w:t>,</w:t>
      </w:r>
      <w:r w:rsidRPr="00D813D7">
        <w:rPr>
          <w:rFonts w:ascii="Times New Roman" w:hAnsi="Times New Roman"/>
          <w:sz w:val="24"/>
          <w:szCs w:val="24"/>
        </w:rPr>
        <w:t xml:space="preserve"> but customers </w:t>
      </w:r>
      <w:r w:rsidR="00EA4C8A" w:rsidRPr="00D813D7">
        <w:rPr>
          <w:rFonts w:ascii="Times New Roman" w:hAnsi="Times New Roman"/>
          <w:sz w:val="24"/>
          <w:szCs w:val="24"/>
        </w:rPr>
        <w:t>are able to</w:t>
      </w:r>
      <w:r w:rsidRPr="00D813D7">
        <w:rPr>
          <w:rFonts w:ascii="Times New Roman" w:hAnsi="Times New Roman"/>
          <w:sz w:val="24"/>
          <w:szCs w:val="24"/>
        </w:rPr>
        <w:t xml:space="preserve"> obtain </w:t>
      </w:r>
      <w:r w:rsidR="00EA4C8A" w:rsidRPr="00D813D7">
        <w:rPr>
          <w:rFonts w:ascii="Times New Roman" w:hAnsi="Times New Roman"/>
          <w:sz w:val="24"/>
          <w:szCs w:val="24"/>
        </w:rPr>
        <w:t xml:space="preserve">similar </w:t>
      </w:r>
      <w:r w:rsidRPr="00D813D7">
        <w:rPr>
          <w:rFonts w:ascii="Times New Roman" w:hAnsi="Times New Roman"/>
          <w:sz w:val="24"/>
          <w:szCs w:val="24"/>
        </w:rPr>
        <w:t xml:space="preserve">assistance </w:t>
      </w:r>
      <w:r w:rsidR="00EA4C8A" w:rsidRPr="00D813D7">
        <w:rPr>
          <w:rFonts w:ascii="Times New Roman" w:hAnsi="Times New Roman"/>
          <w:sz w:val="24"/>
          <w:szCs w:val="24"/>
        </w:rPr>
        <w:t xml:space="preserve">and benefits </w:t>
      </w:r>
      <w:r w:rsidRPr="00D813D7">
        <w:rPr>
          <w:rFonts w:ascii="Times New Roman" w:hAnsi="Times New Roman"/>
          <w:sz w:val="24"/>
          <w:szCs w:val="24"/>
        </w:rPr>
        <w:t>through other organizations.</w:t>
      </w:r>
      <w:r w:rsidR="00EA4C8A" w:rsidRPr="00D813D7">
        <w:rPr>
          <w:rStyle w:val="FootnoteReference"/>
          <w:rFonts w:ascii="Times New Roman" w:hAnsi="Times New Roman"/>
          <w:sz w:val="24"/>
          <w:szCs w:val="24"/>
        </w:rPr>
        <w:footnoteReference w:id="91"/>
      </w:r>
      <w:r w:rsidR="00790224" w:rsidRPr="00D813D7">
        <w:rPr>
          <w:rFonts w:ascii="Times New Roman" w:hAnsi="Times New Roman"/>
          <w:sz w:val="24"/>
          <w:szCs w:val="24"/>
        </w:rPr>
        <w:t xml:space="preserve"> </w:t>
      </w:r>
      <w:r w:rsidR="00CA4872">
        <w:rPr>
          <w:rFonts w:ascii="Times New Roman" w:hAnsi="Times New Roman"/>
          <w:sz w:val="24"/>
          <w:szCs w:val="24"/>
        </w:rPr>
        <w:t xml:space="preserve"> </w:t>
      </w:r>
      <w:r w:rsidR="00F67A51">
        <w:rPr>
          <w:rFonts w:ascii="Times New Roman" w:hAnsi="Times New Roman"/>
          <w:sz w:val="24"/>
          <w:szCs w:val="24"/>
        </w:rPr>
        <w:t>I am also aware that Yakama Power offers its customers access to the energy efficiency programs proposed by the Bonneville Power Administration.</w:t>
      </w:r>
      <w:r w:rsidR="00F67A51">
        <w:rPr>
          <w:rStyle w:val="FootnoteReference"/>
          <w:rFonts w:ascii="Times New Roman" w:hAnsi="Times New Roman"/>
          <w:sz w:val="24"/>
          <w:szCs w:val="24"/>
        </w:rPr>
        <w:footnoteReference w:id="92"/>
      </w:r>
    </w:p>
    <w:p w:rsidR="00EA4C8A" w:rsidRPr="00D813D7" w:rsidRDefault="00FC7EF9" w:rsidP="00EA4C8A">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EA4C8A" w:rsidRPr="00D813D7">
        <w:rPr>
          <w:rFonts w:ascii="Times New Roman" w:hAnsi="Times New Roman"/>
          <w:b/>
          <w:sz w:val="24"/>
          <w:szCs w:val="24"/>
        </w:rPr>
        <w:tab/>
        <w:t>Do you know have any concerns with CREA’s acknowledgement that its customers receive l</w:t>
      </w:r>
      <w:r w:rsidR="00D55060">
        <w:rPr>
          <w:rFonts w:ascii="Times New Roman" w:hAnsi="Times New Roman"/>
          <w:b/>
          <w:sz w:val="24"/>
          <w:szCs w:val="24"/>
        </w:rPr>
        <w:t>ow-income</w:t>
      </w:r>
      <w:r w:rsidR="00A13972">
        <w:rPr>
          <w:rFonts w:ascii="Times New Roman" w:hAnsi="Times New Roman"/>
          <w:b/>
          <w:sz w:val="24"/>
          <w:szCs w:val="24"/>
        </w:rPr>
        <w:t xml:space="preserve"> rate</w:t>
      </w:r>
      <w:r w:rsidR="00D55060">
        <w:rPr>
          <w:rFonts w:ascii="Times New Roman" w:hAnsi="Times New Roman"/>
          <w:b/>
          <w:sz w:val="24"/>
          <w:szCs w:val="24"/>
        </w:rPr>
        <w:t xml:space="preserve"> assistance and energy-</w:t>
      </w:r>
      <w:r w:rsidR="00EA4C8A" w:rsidRPr="00D813D7">
        <w:rPr>
          <w:rFonts w:ascii="Times New Roman" w:hAnsi="Times New Roman"/>
          <w:b/>
          <w:sz w:val="24"/>
          <w:szCs w:val="24"/>
        </w:rPr>
        <w:t>efficiency benefits by other means?</w:t>
      </w:r>
      <w:r w:rsidR="00790224" w:rsidRPr="00D813D7">
        <w:rPr>
          <w:rFonts w:ascii="Times New Roman" w:hAnsi="Times New Roman"/>
          <w:b/>
          <w:sz w:val="24"/>
          <w:szCs w:val="24"/>
        </w:rPr>
        <w:t xml:space="preserve"> </w:t>
      </w:r>
    </w:p>
    <w:p w:rsidR="00EA4C8A" w:rsidRPr="00FC7EF9" w:rsidRDefault="00EA4C8A" w:rsidP="00FC7EF9">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FC7EF9">
        <w:rPr>
          <w:rFonts w:ascii="Times New Roman" w:hAnsi="Times New Roman"/>
          <w:sz w:val="24"/>
          <w:szCs w:val="24"/>
        </w:rPr>
        <w:t>:</w:t>
      </w:r>
      <w:r w:rsidRPr="00D813D7">
        <w:rPr>
          <w:rFonts w:ascii="Times New Roman" w:hAnsi="Times New Roman"/>
          <w:sz w:val="24"/>
          <w:szCs w:val="24"/>
        </w:rPr>
        <w:tab/>
        <w:t>Yes</w:t>
      </w:r>
      <w:r w:rsidR="00A13972">
        <w:rPr>
          <w:rFonts w:ascii="Times New Roman" w:hAnsi="Times New Roman"/>
          <w:sz w:val="24"/>
          <w:szCs w:val="24"/>
        </w:rPr>
        <w:t>.  Low-income rate assistance programs or energy-efficiency benefits achieved through</w:t>
      </w:r>
      <w:r w:rsidRPr="00D813D7">
        <w:rPr>
          <w:rFonts w:ascii="Times New Roman" w:hAnsi="Times New Roman"/>
          <w:sz w:val="24"/>
          <w:szCs w:val="24"/>
        </w:rPr>
        <w:t xml:space="preserve"> other means are not within CREA</w:t>
      </w:r>
      <w:r w:rsidR="00A13972">
        <w:rPr>
          <w:rFonts w:ascii="Times New Roman" w:hAnsi="Times New Roman"/>
          <w:sz w:val="24"/>
          <w:szCs w:val="24"/>
        </w:rPr>
        <w:t>’</w:t>
      </w:r>
      <w:r w:rsidRPr="00D813D7">
        <w:rPr>
          <w:rFonts w:ascii="Times New Roman" w:hAnsi="Times New Roman"/>
          <w:sz w:val="24"/>
          <w:szCs w:val="24"/>
        </w:rPr>
        <w:t>s control</w:t>
      </w:r>
      <w:r w:rsidR="00A13972">
        <w:rPr>
          <w:rFonts w:ascii="Times New Roman" w:hAnsi="Times New Roman"/>
          <w:sz w:val="24"/>
          <w:szCs w:val="24"/>
        </w:rPr>
        <w:t>.  Additionally, they</w:t>
      </w:r>
      <w:r w:rsidRPr="00D813D7">
        <w:rPr>
          <w:rFonts w:ascii="Times New Roman" w:hAnsi="Times New Roman"/>
          <w:sz w:val="24"/>
          <w:szCs w:val="24"/>
        </w:rPr>
        <w:t xml:space="preserve"> cannot be compared to the effort made by jurisdictional facilities of similar size to determine a greater effort could be </w:t>
      </w:r>
      <w:r w:rsidRPr="00D813D7">
        <w:rPr>
          <w:rFonts w:ascii="Times New Roman" w:hAnsi="Times New Roman"/>
          <w:sz w:val="24"/>
          <w:szCs w:val="24"/>
        </w:rPr>
        <w:lastRenderedPageBreak/>
        <w:t>made to help meet a statewide goal.</w:t>
      </w:r>
      <w:r w:rsidR="00790224" w:rsidRPr="00D813D7">
        <w:rPr>
          <w:rFonts w:ascii="Times New Roman" w:hAnsi="Times New Roman"/>
          <w:sz w:val="24"/>
          <w:szCs w:val="24"/>
        </w:rPr>
        <w:t xml:space="preserve"> </w:t>
      </w:r>
      <w:r w:rsidR="00D55060">
        <w:rPr>
          <w:rFonts w:ascii="Times New Roman" w:hAnsi="Times New Roman"/>
          <w:sz w:val="24"/>
          <w:szCs w:val="24"/>
        </w:rPr>
        <w:t xml:space="preserve"> </w:t>
      </w:r>
      <w:r w:rsidRPr="00D813D7">
        <w:rPr>
          <w:rFonts w:ascii="Times New Roman" w:hAnsi="Times New Roman"/>
          <w:sz w:val="24"/>
          <w:szCs w:val="24"/>
        </w:rPr>
        <w:t>For example, CREA acknowledges that it receives payments from Blue Mountain Action Council (“BMAC”) to cover low-income members</w:t>
      </w:r>
      <w:r w:rsidR="008D4D68" w:rsidRPr="00D813D7">
        <w:rPr>
          <w:rFonts w:ascii="Times New Roman" w:hAnsi="Times New Roman"/>
          <w:sz w:val="24"/>
          <w:szCs w:val="24"/>
        </w:rPr>
        <w:t>’</w:t>
      </w:r>
      <w:r w:rsidRPr="00D813D7">
        <w:rPr>
          <w:rFonts w:ascii="Times New Roman" w:hAnsi="Times New Roman"/>
          <w:sz w:val="24"/>
          <w:szCs w:val="24"/>
        </w:rPr>
        <w:t xml:space="preserve"> bills.</w:t>
      </w:r>
      <w:r w:rsidR="0061099F" w:rsidRPr="00D813D7">
        <w:rPr>
          <w:rStyle w:val="FootnoteReference"/>
          <w:rFonts w:ascii="Times New Roman" w:hAnsi="Times New Roman"/>
          <w:sz w:val="24"/>
          <w:szCs w:val="24"/>
        </w:rPr>
        <w:footnoteReference w:id="93"/>
      </w:r>
      <w:r w:rsidR="00790224" w:rsidRPr="00D813D7">
        <w:rPr>
          <w:rFonts w:ascii="Times New Roman" w:hAnsi="Times New Roman"/>
          <w:sz w:val="24"/>
          <w:szCs w:val="24"/>
        </w:rPr>
        <w:t xml:space="preserve"> </w:t>
      </w:r>
      <w:r w:rsidR="00D55060">
        <w:rPr>
          <w:rFonts w:ascii="Times New Roman" w:hAnsi="Times New Roman"/>
          <w:sz w:val="24"/>
          <w:szCs w:val="24"/>
        </w:rPr>
        <w:t xml:space="preserve"> </w:t>
      </w:r>
      <w:r w:rsidR="00A1778D">
        <w:rPr>
          <w:rFonts w:ascii="Times New Roman" w:hAnsi="Times New Roman"/>
          <w:sz w:val="24"/>
          <w:szCs w:val="24"/>
        </w:rPr>
        <w:t>It is not clear, however,</w:t>
      </w:r>
      <w:r w:rsidRPr="00D55060">
        <w:rPr>
          <w:rFonts w:ascii="Times New Roman" w:hAnsi="Times New Roman"/>
          <w:sz w:val="24"/>
          <w:szCs w:val="24"/>
        </w:rPr>
        <w:t xml:space="preserve"> what selection process is used to determine eligibility or how BMAC’s total qu</w:t>
      </w:r>
      <w:r w:rsidR="0061099F" w:rsidRPr="00D55060">
        <w:rPr>
          <w:rFonts w:ascii="Times New Roman" w:hAnsi="Times New Roman"/>
          <w:sz w:val="24"/>
          <w:szCs w:val="24"/>
        </w:rPr>
        <w:t>antity available for assistance</w:t>
      </w:r>
      <w:r w:rsidRPr="00D55060">
        <w:rPr>
          <w:rFonts w:ascii="Times New Roman" w:hAnsi="Times New Roman"/>
          <w:sz w:val="24"/>
          <w:szCs w:val="24"/>
        </w:rPr>
        <w:t xml:space="preserve"> is allocated across all eligible customers, and </w:t>
      </w:r>
      <w:r w:rsidR="008D4D68" w:rsidRPr="00D55060">
        <w:rPr>
          <w:rFonts w:ascii="Times New Roman" w:hAnsi="Times New Roman"/>
          <w:sz w:val="24"/>
          <w:szCs w:val="24"/>
        </w:rPr>
        <w:t>there is no guarantee that</w:t>
      </w:r>
      <w:r w:rsidRPr="00D55060">
        <w:rPr>
          <w:rFonts w:ascii="Times New Roman" w:hAnsi="Times New Roman"/>
          <w:sz w:val="24"/>
          <w:szCs w:val="24"/>
        </w:rPr>
        <w:t xml:space="preserve"> BMAC funding will continue into the future.</w:t>
      </w:r>
    </w:p>
    <w:p w:rsidR="009029D2" w:rsidRPr="00D813D7" w:rsidRDefault="00FC7EF9" w:rsidP="009029D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F3283" w:rsidRPr="00D813D7">
        <w:rPr>
          <w:rFonts w:ascii="Times New Roman" w:hAnsi="Times New Roman"/>
          <w:b/>
          <w:sz w:val="24"/>
          <w:szCs w:val="24"/>
        </w:rPr>
        <w:tab/>
        <w:t>Do Pacific Power’s customers receive low-income</w:t>
      </w:r>
      <w:r w:rsidR="00A1778D">
        <w:rPr>
          <w:rFonts w:ascii="Times New Roman" w:hAnsi="Times New Roman"/>
          <w:b/>
          <w:sz w:val="24"/>
          <w:szCs w:val="24"/>
        </w:rPr>
        <w:t xml:space="preserve"> rate</w:t>
      </w:r>
      <w:r w:rsidR="009F3283" w:rsidRPr="00D813D7">
        <w:rPr>
          <w:rFonts w:ascii="Times New Roman" w:hAnsi="Times New Roman"/>
          <w:b/>
          <w:sz w:val="24"/>
          <w:szCs w:val="24"/>
        </w:rPr>
        <w:t xml:space="preserve"> assistance through BMAC</w:t>
      </w:r>
      <w:r w:rsidR="009029D2" w:rsidRPr="00D813D7">
        <w:rPr>
          <w:rFonts w:ascii="Times New Roman" w:hAnsi="Times New Roman"/>
          <w:b/>
          <w:sz w:val="24"/>
          <w:szCs w:val="24"/>
        </w:rPr>
        <w:t xml:space="preserve">?  </w:t>
      </w:r>
    </w:p>
    <w:p w:rsidR="009F3283" w:rsidRPr="00D55060" w:rsidRDefault="009029D2" w:rsidP="00D55060">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D55060">
        <w:rPr>
          <w:rFonts w:ascii="Times New Roman" w:hAnsi="Times New Roman"/>
          <w:sz w:val="24"/>
          <w:szCs w:val="24"/>
        </w:rPr>
        <w:t>:</w:t>
      </w:r>
      <w:r w:rsidRPr="00D813D7">
        <w:rPr>
          <w:rFonts w:ascii="Times New Roman" w:hAnsi="Times New Roman"/>
          <w:sz w:val="24"/>
          <w:szCs w:val="24"/>
        </w:rPr>
        <w:tab/>
      </w:r>
      <w:r w:rsidR="009F3283" w:rsidRPr="00D813D7">
        <w:rPr>
          <w:rFonts w:ascii="Times New Roman" w:hAnsi="Times New Roman"/>
          <w:sz w:val="24"/>
          <w:szCs w:val="24"/>
        </w:rPr>
        <w:t>Yes, Pacific Power</w:t>
      </w:r>
      <w:r w:rsidR="00A1778D">
        <w:rPr>
          <w:rFonts w:ascii="Times New Roman" w:hAnsi="Times New Roman"/>
          <w:sz w:val="24"/>
          <w:szCs w:val="24"/>
        </w:rPr>
        <w:t>’s</w:t>
      </w:r>
      <w:r w:rsidR="009F3283" w:rsidRPr="00D813D7">
        <w:rPr>
          <w:rFonts w:ascii="Times New Roman" w:hAnsi="Times New Roman"/>
          <w:sz w:val="24"/>
          <w:szCs w:val="24"/>
        </w:rPr>
        <w:t xml:space="preserve"> federally funded Low-Income Home Energy Assistance Program (LIHEAP) is administered by </w:t>
      </w:r>
      <w:r w:rsidRPr="00D813D7">
        <w:rPr>
          <w:rFonts w:ascii="Times New Roman" w:hAnsi="Times New Roman"/>
          <w:sz w:val="24"/>
          <w:szCs w:val="24"/>
        </w:rPr>
        <w:t>BMAC</w:t>
      </w:r>
      <w:r w:rsidR="00B26E6C">
        <w:rPr>
          <w:rFonts w:ascii="Times New Roman" w:hAnsi="Times New Roman"/>
          <w:sz w:val="24"/>
          <w:szCs w:val="24"/>
        </w:rPr>
        <w:t xml:space="preserve"> </w:t>
      </w:r>
      <w:r w:rsidR="009F3283" w:rsidRPr="00D813D7">
        <w:rPr>
          <w:rFonts w:ascii="Times New Roman" w:hAnsi="Times New Roman"/>
          <w:sz w:val="24"/>
          <w:szCs w:val="24"/>
        </w:rPr>
        <w:t>in Walla Walla, Northwest Community Action Center in Toppenish</w:t>
      </w:r>
      <w:r w:rsidR="00A1778D">
        <w:rPr>
          <w:rFonts w:ascii="Times New Roman" w:hAnsi="Times New Roman"/>
          <w:sz w:val="24"/>
          <w:szCs w:val="24"/>
        </w:rPr>
        <w:t>,</w:t>
      </w:r>
      <w:r w:rsidR="009F3283" w:rsidRPr="00D813D7">
        <w:rPr>
          <w:rFonts w:ascii="Times New Roman" w:hAnsi="Times New Roman"/>
          <w:sz w:val="24"/>
          <w:szCs w:val="24"/>
        </w:rPr>
        <w:t xml:space="preserve"> and the Opportunities Industrialization Center of </w:t>
      </w:r>
      <w:r w:rsidR="00B26E6C" w:rsidRPr="00D813D7">
        <w:rPr>
          <w:rFonts w:ascii="Times New Roman" w:hAnsi="Times New Roman"/>
          <w:sz w:val="24"/>
          <w:szCs w:val="24"/>
        </w:rPr>
        <w:t>Washington</w:t>
      </w:r>
      <w:r w:rsidR="009F3283" w:rsidRPr="00D813D7">
        <w:rPr>
          <w:rFonts w:ascii="Times New Roman" w:hAnsi="Times New Roman"/>
          <w:sz w:val="24"/>
          <w:szCs w:val="24"/>
        </w:rPr>
        <w:t xml:space="preserve"> in Yakima</w:t>
      </w:r>
      <w:r w:rsidR="00A1778D">
        <w:rPr>
          <w:rFonts w:ascii="Times New Roman" w:hAnsi="Times New Roman"/>
          <w:sz w:val="24"/>
          <w:szCs w:val="24"/>
        </w:rPr>
        <w:t>.  I</w:t>
      </w:r>
      <w:r w:rsidR="009F3283" w:rsidRPr="00D813D7">
        <w:rPr>
          <w:rFonts w:ascii="Times New Roman" w:hAnsi="Times New Roman"/>
          <w:sz w:val="24"/>
          <w:szCs w:val="24"/>
        </w:rPr>
        <w:t>n total</w:t>
      </w:r>
      <w:r w:rsidR="00A1778D">
        <w:rPr>
          <w:rFonts w:ascii="Times New Roman" w:hAnsi="Times New Roman"/>
          <w:sz w:val="24"/>
          <w:szCs w:val="24"/>
        </w:rPr>
        <w:t>,</w:t>
      </w:r>
      <w:r w:rsidR="009F3283" w:rsidRPr="00D813D7">
        <w:rPr>
          <w:rFonts w:ascii="Times New Roman" w:hAnsi="Times New Roman"/>
          <w:sz w:val="24"/>
          <w:szCs w:val="24"/>
        </w:rPr>
        <w:t xml:space="preserve"> Pacific Power has distributed over $2 million </w:t>
      </w:r>
      <w:r w:rsidR="00A1778D">
        <w:rPr>
          <w:rFonts w:ascii="Times New Roman" w:hAnsi="Times New Roman"/>
          <w:sz w:val="24"/>
          <w:szCs w:val="24"/>
        </w:rPr>
        <w:t>of energy rate assistance</w:t>
      </w:r>
      <w:r w:rsidR="006267C6">
        <w:rPr>
          <w:rFonts w:ascii="Times New Roman" w:hAnsi="Times New Roman"/>
          <w:sz w:val="24"/>
          <w:szCs w:val="24"/>
        </w:rPr>
        <w:t xml:space="preserve"> </w:t>
      </w:r>
      <w:r w:rsidR="009F3283" w:rsidRPr="00D813D7">
        <w:rPr>
          <w:rFonts w:ascii="Times New Roman" w:hAnsi="Times New Roman"/>
          <w:sz w:val="24"/>
          <w:szCs w:val="24"/>
        </w:rPr>
        <w:t xml:space="preserve">to its customers for the period 2014-2016.  </w:t>
      </w:r>
      <w:r w:rsidR="00D55060">
        <w:rPr>
          <w:rFonts w:ascii="Times New Roman" w:hAnsi="Times New Roman"/>
          <w:sz w:val="24"/>
          <w:szCs w:val="24"/>
        </w:rPr>
        <w:t xml:space="preserve">    </w:t>
      </w:r>
    </w:p>
    <w:p w:rsidR="009F3283" w:rsidRPr="00D813D7" w:rsidRDefault="009F3283" w:rsidP="00D55060">
      <w:pPr>
        <w:widowControl w:val="0"/>
        <w:spacing w:after="0" w:line="480" w:lineRule="auto"/>
        <w:ind w:left="720" w:hanging="720"/>
        <w:rPr>
          <w:rFonts w:ascii="Times New Roman" w:hAnsi="Times New Roman"/>
          <w:b/>
          <w:sz w:val="24"/>
          <w:szCs w:val="24"/>
        </w:rPr>
      </w:pPr>
      <w:r w:rsidRPr="00D813D7">
        <w:rPr>
          <w:rFonts w:ascii="Times New Roman" w:hAnsi="Times New Roman"/>
          <w:sz w:val="24"/>
          <w:szCs w:val="24"/>
        </w:rPr>
        <w:tab/>
      </w:r>
      <w:r w:rsidR="00D55060">
        <w:rPr>
          <w:rFonts w:ascii="Times New Roman" w:hAnsi="Times New Roman"/>
          <w:sz w:val="24"/>
          <w:szCs w:val="24"/>
        </w:rPr>
        <w:tab/>
      </w:r>
      <w:r w:rsidRPr="00D813D7">
        <w:rPr>
          <w:rFonts w:ascii="Times New Roman" w:hAnsi="Times New Roman"/>
          <w:sz w:val="24"/>
          <w:szCs w:val="24"/>
        </w:rPr>
        <w:t xml:space="preserve">Jurisdictional utilities </w:t>
      </w:r>
      <w:r w:rsidR="00E463B6" w:rsidRPr="00D813D7">
        <w:rPr>
          <w:rFonts w:ascii="Times New Roman" w:hAnsi="Times New Roman"/>
          <w:sz w:val="24"/>
          <w:szCs w:val="24"/>
        </w:rPr>
        <w:t xml:space="preserve">receive and </w:t>
      </w:r>
      <w:r w:rsidRPr="00D813D7">
        <w:rPr>
          <w:rFonts w:ascii="Times New Roman" w:hAnsi="Times New Roman"/>
          <w:sz w:val="24"/>
          <w:szCs w:val="24"/>
        </w:rPr>
        <w:t xml:space="preserve">distribute </w:t>
      </w:r>
      <w:r w:rsidR="00E463B6" w:rsidRPr="00D813D7">
        <w:rPr>
          <w:rFonts w:ascii="Times New Roman" w:hAnsi="Times New Roman"/>
          <w:sz w:val="24"/>
          <w:szCs w:val="24"/>
        </w:rPr>
        <w:t xml:space="preserve">funding for </w:t>
      </w:r>
      <w:r w:rsidRPr="00D813D7">
        <w:rPr>
          <w:rFonts w:ascii="Times New Roman" w:hAnsi="Times New Roman"/>
          <w:sz w:val="24"/>
          <w:szCs w:val="24"/>
        </w:rPr>
        <w:t>low-income assistance from a variety of sources</w:t>
      </w:r>
      <w:r w:rsidR="00A1778D">
        <w:rPr>
          <w:rFonts w:ascii="Times New Roman" w:hAnsi="Times New Roman"/>
          <w:sz w:val="24"/>
          <w:szCs w:val="24"/>
        </w:rPr>
        <w:t>, and eligibility to participate in assistance programs is often determined under federal assistance programs and utility programs under the Commission’s jurisdiction</w:t>
      </w:r>
      <w:r w:rsidRPr="00D813D7">
        <w:rPr>
          <w:rFonts w:ascii="Times New Roman" w:hAnsi="Times New Roman"/>
          <w:sz w:val="24"/>
          <w:szCs w:val="24"/>
        </w:rPr>
        <w:t>.</w:t>
      </w:r>
      <w:r w:rsidR="00D968DD">
        <w:rPr>
          <w:rFonts w:ascii="Times New Roman" w:hAnsi="Times New Roman"/>
          <w:sz w:val="24"/>
          <w:szCs w:val="24"/>
        </w:rPr>
        <w:t xml:space="preserve">  Further Commission oversight of jurisdictional utilities occurs through requiring rates that fund utility programs to be collected pursuant to tariff, which defines the rates charged to customers and eligibility requirements of recipients.</w:t>
      </w:r>
      <w:r w:rsidRPr="00D813D7">
        <w:rPr>
          <w:rFonts w:ascii="Times New Roman" w:hAnsi="Times New Roman"/>
          <w:sz w:val="24"/>
          <w:szCs w:val="24"/>
        </w:rPr>
        <w:t xml:space="preserve">  </w:t>
      </w:r>
      <w:r w:rsidR="00E463B6" w:rsidRPr="00D813D7">
        <w:rPr>
          <w:rFonts w:ascii="Times New Roman" w:hAnsi="Times New Roman"/>
          <w:sz w:val="24"/>
          <w:szCs w:val="24"/>
        </w:rPr>
        <w:t xml:space="preserve">By contrast, CREA </w:t>
      </w:r>
      <w:r w:rsidR="00A1778D">
        <w:rPr>
          <w:rFonts w:ascii="Times New Roman" w:hAnsi="Times New Roman"/>
          <w:sz w:val="24"/>
          <w:szCs w:val="24"/>
        </w:rPr>
        <w:t>receives</w:t>
      </w:r>
      <w:r w:rsidR="00E463B6" w:rsidRPr="00D813D7">
        <w:rPr>
          <w:rFonts w:ascii="Times New Roman" w:hAnsi="Times New Roman"/>
          <w:sz w:val="24"/>
          <w:szCs w:val="24"/>
        </w:rPr>
        <w:t xml:space="preserve"> payment only from BMAC, and </w:t>
      </w:r>
      <w:r w:rsidRPr="00D813D7">
        <w:rPr>
          <w:rFonts w:ascii="Times New Roman" w:hAnsi="Times New Roman"/>
          <w:sz w:val="24"/>
          <w:szCs w:val="24"/>
        </w:rPr>
        <w:t xml:space="preserve">is not obligated to account </w:t>
      </w:r>
      <w:r w:rsidR="00E463B6" w:rsidRPr="00D813D7">
        <w:rPr>
          <w:rFonts w:ascii="Times New Roman" w:hAnsi="Times New Roman"/>
          <w:sz w:val="24"/>
          <w:szCs w:val="24"/>
        </w:rPr>
        <w:t xml:space="preserve">to the Commission </w:t>
      </w:r>
      <w:r w:rsidRPr="00D813D7">
        <w:rPr>
          <w:rFonts w:ascii="Times New Roman" w:hAnsi="Times New Roman"/>
          <w:sz w:val="24"/>
          <w:szCs w:val="24"/>
        </w:rPr>
        <w:t xml:space="preserve">for assistance provided to low-income customers.    </w:t>
      </w:r>
    </w:p>
    <w:p w:rsidR="009029D2" w:rsidRPr="00D813D7" w:rsidRDefault="00E456B6" w:rsidP="009029D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029D2" w:rsidRPr="00D813D7">
        <w:rPr>
          <w:rFonts w:ascii="Times New Roman" w:hAnsi="Times New Roman"/>
          <w:b/>
          <w:sz w:val="24"/>
          <w:szCs w:val="24"/>
        </w:rPr>
        <w:tab/>
        <w:t>Are public utility entities r</w:t>
      </w:r>
      <w:r>
        <w:rPr>
          <w:rFonts w:ascii="Times New Roman" w:hAnsi="Times New Roman"/>
          <w:b/>
          <w:sz w:val="24"/>
          <w:szCs w:val="24"/>
        </w:rPr>
        <w:t>equired to meet the same energy-efficiency goals as investor-</w:t>
      </w:r>
      <w:r w:rsidR="009029D2" w:rsidRPr="00D813D7">
        <w:rPr>
          <w:rFonts w:ascii="Times New Roman" w:hAnsi="Times New Roman"/>
          <w:b/>
          <w:sz w:val="24"/>
          <w:szCs w:val="24"/>
        </w:rPr>
        <w:t xml:space="preserve">owned utilities in Washington?  </w:t>
      </w:r>
    </w:p>
    <w:p w:rsidR="009029D2" w:rsidRPr="00D813D7" w:rsidRDefault="009029D2" w:rsidP="009029D2">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E456B6">
        <w:rPr>
          <w:rFonts w:ascii="Times New Roman" w:hAnsi="Times New Roman"/>
          <w:sz w:val="24"/>
          <w:szCs w:val="24"/>
        </w:rPr>
        <w:t>:</w:t>
      </w:r>
      <w:r w:rsidRPr="00D813D7">
        <w:rPr>
          <w:rFonts w:ascii="Times New Roman" w:hAnsi="Times New Roman"/>
          <w:sz w:val="24"/>
          <w:szCs w:val="24"/>
        </w:rPr>
        <w:tab/>
        <w:t>It is my understanding that Washington has no public ben</w:t>
      </w:r>
      <w:r w:rsidR="00E456B6">
        <w:rPr>
          <w:rFonts w:ascii="Times New Roman" w:hAnsi="Times New Roman"/>
          <w:sz w:val="24"/>
          <w:szCs w:val="24"/>
        </w:rPr>
        <w:t>efits funding to support energy-</w:t>
      </w:r>
      <w:r w:rsidRPr="00D813D7">
        <w:rPr>
          <w:rFonts w:ascii="Times New Roman" w:hAnsi="Times New Roman"/>
          <w:sz w:val="24"/>
          <w:szCs w:val="24"/>
        </w:rPr>
        <w:lastRenderedPageBreak/>
        <w:t>effi</w:t>
      </w:r>
      <w:r w:rsidR="00E456B6">
        <w:rPr>
          <w:rFonts w:ascii="Times New Roman" w:hAnsi="Times New Roman"/>
          <w:sz w:val="24"/>
          <w:szCs w:val="24"/>
        </w:rPr>
        <w:t>ciency programs.  Investor-</w:t>
      </w:r>
      <w:r w:rsidRPr="00D813D7">
        <w:rPr>
          <w:rFonts w:ascii="Times New Roman" w:hAnsi="Times New Roman"/>
          <w:sz w:val="24"/>
          <w:szCs w:val="24"/>
        </w:rPr>
        <w:t>owned utilit</w:t>
      </w:r>
      <w:r w:rsidR="00E456B6">
        <w:rPr>
          <w:rFonts w:ascii="Times New Roman" w:hAnsi="Times New Roman"/>
          <w:sz w:val="24"/>
          <w:szCs w:val="24"/>
        </w:rPr>
        <w:t>ies recover the costs of energy</w:t>
      </w:r>
      <w:r w:rsidR="00E456B6">
        <w:rPr>
          <w:rFonts w:ascii="Times New Roman" w:hAnsi="Times New Roman"/>
          <w:sz w:val="24"/>
          <w:szCs w:val="24"/>
        </w:rPr>
        <w:noBreakHyphen/>
      </w:r>
      <w:r w:rsidRPr="00D813D7">
        <w:rPr>
          <w:rFonts w:ascii="Times New Roman" w:hAnsi="Times New Roman"/>
          <w:sz w:val="24"/>
          <w:szCs w:val="24"/>
        </w:rPr>
        <w:t>efficiency programs through tariff riders and program costs are reviewed annually before the Commission.</w:t>
      </w:r>
      <w:r w:rsidRPr="00D813D7">
        <w:rPr>
          <w:rStyle w:val="FootnoteReference"/>
          <w:rFonts w:ascii="Times New Roman" w:hAnsi="Times New Roman"/>
          <w:sz w:val="24"/>
          <w:szCs w:val="24"/>
        </w:rPr>
        <w:footnoteReference w:id="94"/>
      </w:r>
      <w:r w:rsidR="00E456B6">
        <w:rPr>
          <w:rFonts w:ascii="Times New Roman" w:hAnsi="Times New Roman"/>
          <w:sz w:val="24"/>
          <w:szCs w:val="24"/>
        </w:rPr>
        <w:t xml:space="preserve">  Most publicly-</w:t>
      </w:r>
      <w:r w:rsidRPr="00D813D7">
        <w:rPr>
          <w:rFonts w:ascii="Times New Roman" w:hAnsi="Times New Roman"/>
          <w:sz w:val="24"/>
          <w:szCs w:val="24"/>
        </w:rPr>
        <w:t xml:space="preserve">owned utilities in Washington provide some funding for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Pr="00D813D7">
        <w:rPr>
          <w:rFonts w:ascii="Times New Roman" w:hAnsi="Times New Roman"/>
          <w:sz w:val="24"/>
          <w:szCs w:val="24"/>
        </w:rPr>
        <w:t>programs and services.  Washington law as codified in Chapter 19.285 RCW requires each qualifying utility (those with more than 25,000 customers in Washington) to pursue all available conservation that is cost-effective, reliable</w:t>
      </w:r>
      <w:r w:rsidR="00E456B6">
        <w:rPr>
          <w:rFonts w:ascii="Times New Roman" w:hAnsi="Times New Roman"/>
          <w:sz w:val="24"/>
          <w:szCs w:val="24"/>
        </w:rPr>
        <w:t>,</w:t>
      </w:r>
      <w:r w:rsidRPr="00D813D7">
        <w:rPr>
          <w:rFonts w:ascii="Times New Roman" w:hAnsi="Times New Roman"/>
          <w:sz w:val="24"/>
          <w:szCs w:val="24"/>
        </w:rPr>
        <w:t xml:space="preserve"> and feasible. </w:t>
      </w:r>
      <w:r w:rsidR="00E456B6">
        <w:rPr>
          <w:rFonts w:ascii="Times New Roman" w:hAnsi="Times New Roman"/>
          <w:sz w:val="24"/>
          <w:szCs w:val="24"/>
        </w:rPr>
        <w:t xml:space="preserve"> Some publicly-</w:t>
      </w:r>
      <w:r w:rsidRPr="00D813D7">
        <w:rPr>
          <w:rFonts w:ascii="Times New Roman" w:hAnsi="Times New Roman"/>
          <w:sz w:val="24"/>
          <w:szCs w:val="24"/>
        </w:rPr>
        <w:t>owned utilities in Washington are qualifying utilities under this law.  The Commission has substantial</w:t>
      </w:r>
      <w:r w:rsidR="00E456B6">
        <w:rPr>
          <w:rFonts w:ascii="Times New Roman" w:hAnsi="Times New Roman"/>
          <w:sz w:val="24"/>
          <w:szCs w:val="24"/>
        </w:rPr>
        <w:t xml:space="preserve"> oversight over energy</w:t>
      </w:r>
      <w:r w:rsidR="00E456B6">
        <w:rPr>
          <w:rFonts w:ascii="Times New Roman" w:hAnsi="Times New Roman"/>
          <w:sz w:val="24"/>
          <w:szCs w:val="24"/>
        </w:rPr>
        <w:noBreakHyphen/>
      </w:r>
      <w:r w:rsidRPr="00D813D7">
        <w:rPr>
          <w:rFonts w:ascii="Times New Roman" w:hAnsi="Times New Roman"/>
          <w:sz w:val="24"/>
          <w:szCs w:val="24"/>
        </w:rPr>
        <w:t>e</w:t>
      </w:r>
      <w:r w:rsidR="00E456B6">
        <w:rPr>
          <w:rFonts w:ascii="Times New Roman" w:hAnsi="Times New Roman"/>
          <w:sz w:val="24"/>
          <w:szCs w:val="24"/>
        </w:rPr>
        <w:t>fficiency programs for investor-</w:t>
      </w:r>
      <w:r w:rsidRPr="00D813D7">
        <w:rPr>
          <w:rFonts w:ascii="Times New Roman" w:hAnsi="Times New Roman"/>
          <w:sz w:val="24"/>
          <w:szCs w:val="24"/>
        </w:rPr>
        <w:t>owned utilities through the IRP process.</w:t>
      </w:r>
    </w:p>
    <w:p w:rsidR="009029D2" w:rsidRPr="00D813D7" w:rsidRDefault="009029D2" w:rsidP="007F14A0">
      <w:pPr>
        <w:widowControl w:val="0"/>
        <w:spacing w:after="240" w:line="240" w:lineRule="auto"/>
        <w:ind w:left="1440" w:right="720"/>
        <w:jc w:val="both"/>
        <w:rPr>
          <w:rFonts w:ascii="Times New Roman" w:hAnsi="Times New Roman"/>
          <w:sz w:val="24"/>
          <w:szCs w:val="24"/>
        </w:rPr>
      </w:pPr>
      <w:r w:rsidRPr="00D813D7">
        <w:rPr>
          <w:rFonts w:ascii="Times New Roman" w:hAnsi="Times New Roman"/>
          <w:sz w:val="24"/>
          <w:szCs w:val="24"/>
        </w:rPr>
        <w:t>These rules require that the plan identify “the mix of energy supply resources and conservation that will meet current and future needs at the lowest reasonable cost to the utility and its ratepayers,” where lowest reasonable cost means “the lowest cost mix of resources determined through a detailed and consistent analysis of a wide range of commercially available sources. At a minimum, this analysis must consider resource cost, market-volatility risks, demand-side resource uncertainties, resource dispatchability, resource effect on system operation, the risks imposed on ratepayers, public policies regarding resource preference adopted by Washington state or the federal government and the cost of risks associated with environmental effects includi</w:t>
      </w:r>
      <w:r w:rsidR="00E456B6">
        <w:rPr>
          <w:rFonts w:ascii="Times New Roman" w:hAnsi="Times New Roman"/>
          <w:sz w:val="24"/>
          <w:szCs w:val="24"/>
        </w:rPr>
        <w:t>ng emissions of carbon dioxide.</w:t>
      </w:r>
      <w:r w:rsidRPr="00D813D7">
        <w:rPr>
          <w:rStyle w:val="FootnoteReference"/>
          <w:rFonts w:ascii="Times New Roman" w:hAnsi="Times New Roman"/>
          <w:sz w:val="24"/>
          <w:szCs w:val="24"/>
        </w:rPr>
        <w:footnoteReference w:id="95"/>
      </w:r>
    </w:p>
    <w:p w:rsidR="009029D2" w:rsidRPr="00D813D7" w:rsidRDefault="009029D2" w:rsidP="00401A33">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b/>
      </w:r>
      <w:r w:rsidR="00B57F1D">
        <w:rPr>
          <w:rFonts w:ascii="Times New Roman" w:hAnsi="Times New Roman"/>
          <w:sz w:val="24"/>
          <w:szCs w:val="24"/>
        </w:rPr>
        <w:t>T</w:t>
      </w:r>
      <w:r w:rsidRPr="00D813D7">
        <w:rPr>
          <w:rFonts w:ascii="Times New Roman" w:hAnsi="Times New Roman"/>
          <w:sz w:val="24"/>
          <w:szCs w:val="24"/>
        </w:rPr>
        <w:t>he Commission</w:t>
      </w:r>
      <w:r w:rsidR="00B57F1D">
        <w:rPr>
          <w:rFonts w:ascii="Times New Roman" w:hAnsi="Times New Roman"/>
          <w:sz w:val="24"/>
          <w:szCs w:val="24"/>
        </w:rPr>
        <w:t xml:space="preserve"> does not exercise any</w:t>
      </w:r>
      <w:r w:rsidRPr="00D813D7">
        <w:rPr>
          <w:rFonts w:ascii="Times New Roman" w:hAnsi="Times New Roman"/>
          <w:sz w:val="24"/>
          <w:szCs w:val="24"/>
        </w:rPr>
        <w:t xml:space="preserve"> oversight</w:t>
      </w:r>
      <w:r w:rsidR="00B57F1D">
        <w:rPr>
          <w:rFonts w:ascii="Times New Roman" w:hAnsi="Times New Roman"/>
          <w:sz w:val="24"/>
          <w:szCs w:val="24"/>
        </w:rPr>
        <w:t xml:space="preserve"> in relation to</w:t>
      </w:r>
      <w:r w:rsidRPr="00D813D7">
        <w:rPr>
          <w:rFonts w:ascii="Times New Roman" w:hAnsi="Times New Roman"/>
          <w:sz w:val="24"/>
          <w:szCs w:val="24"/>
        </w:rPr>
        <w:t xml:space="preserve"> non-investor owned utilities’ conservation programs</w:t>
      </w:r>
      <w:r w:rsidR="00B57F1D">
        <w:rPr>
          <w:rFonts w:ascii="Times New Roman" w:hAnsi="Times New Roman"/>
          <w:sz w:val="24"/>
          <w:szCs w:val="24"/>
        </w:rPr>
        <w:t>, while the Commission retains</w:t>
      </w:r>
      <w:r w:rsidRPr="00D813D7">
        <w:rPr>
          <w:rFonts w:ascii="Times New Roman" w:hAnsi="Times New Roman"/>
          <w:sz w:val="24"/>
          <w:szCs w:val="24"/>
        </w:rPr>
        <w:t xml:space="preserve"> review and approval</w:t>
      </w:r>
      <w:r w:rsidR="00ED4F95">
        <w:rPr>
          <w:rFonts w:ascii="Times New Roman" w:hAnsi="Times New Roman"/>
          <w:sz w:val="24"/>
          <w:szCs w:val="24"/>
        </w:rPr>
        <w:t xml:space="preserve"> authority over investor</w:t>
      </w:r>
      <w:r w:rsidR="00ED4F95">
        <w:rPr>
          <w:rFonts w:ascii="Times New Roman" w:hAnsi="Times New Roman"/>
          <w:sz w:val="24"/>
          <w:szCs w:val="24"/>
        </w:rPr>
        <w:noBreakHyphen/>
      </w:r>
      <w:r w:rsidRPr="00D813D7">
        <w:rPr>
          <w:rFonts w:ascii="Times New Roman" w:hAnsi="Times New Roman"/>
          <w:sz w:val="24"/>
          <w:szCs w:val="24"/>
        </w:rPr>
        <w:t>owned utilities.</w:t>
      </w:r>
      <w:r w:rsidRPr="00D813D7">
        <w:rPr>
          <w:rStyle w:val="FootnoteReference"/>
          <w:rFonts w:ascii="Times New Roman" w:hAnsi="Times New Roman"/>
          <w:sz w:val="24"/>
          <w:szCs w:val="24"/>
        </w:rPr>
        <w:footnoteReference w:id="96"/>
      </w:r>
    </w:p>
    <w:p w:rsidR="009029D2" w:rsidRPr="00D813D7" w:rsidRDefault="00401A33" w:rsidP="009029D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029D2" w:rsidRPr="00D813D7">
        <w:rPr>
          <w:rFonts w:ascii="Times New Roman" w:hAnsi="Times New Roman"/>
          <w:b/>
          <w:sz w:val="24"/>
          <w:szCs w:val="24"/>
        </w:rPr>
        <w:tab/>
        <w:t xml:space="preserve">Please describe the </w:t>
      </w:r>
      <w:r w:rsidR="00E03894">
        <w:rPr>
          <w:rFonts w:ascii="Times New Roman" w:hAnsi="Times New Roman"/>
          <w:b/>
          <w:sz w:val="24"/>
          <w:szCs w:val="24"/>
        </w:rPr>
        <w:t>energy-efficiency</w:t>
      </w:r>
      <w:r w:rsidR="00E03894" w:rsidRPr="00D813D7">
        <w:rPr>
          <w:rFonts w:ascii="Times New Roman" w:hAnsi="Times New Roman"/>
          <w:b/>
          <w:sz w:val="24"/>
          <w:szCs w:val="24"/>
        </w:rPr>
        <w:t xml:space="preserve"> </w:t>
      </w:r>
      <w:r w:rsidR="009029D2" w:rsidRPr="00D813D7">
        <w:rPr>
          <w:rFonts w:ascii="Times New Roman" w:hAnsi="Times New Roman"/>
          <w:b/>
          <w:sz w:val="24"/>
          <w:szCs w:val="24"/>
        </w:rPr>
        <w:t xml:space="preserve">programs offered by CREA?  </w:t>
      </w:r>
    </w:p>
    <w:p w:rsidR="009029D2" w:rsidRPr="00ED4F95" w:rsidRDefault="009029D2" w:rsidP="00ED4F95">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lastRenderedPageBreak/>
        <w:t>A</w:t>
      </w:r>
      <w:r w:rsidR="00401A33">
        <w:rPr>
          <w:rFonts w:ascii="Times New Roman" w:hAnsi="Times New Roman"/>
          <w:sz w:val="24"/>
          <w:szCs w:val="24"/>
        </w:rPr>
        <w:t>:</w:t>
      </w:r>
      <w:r w:rsidRPr="00D813D7">
        <w:rPr>
          <w:rFonts w:ascii="Times New Roman" w:hAnsi="Times New Roman"/>
          <w:sz w:val="24"/>
          <w:szCs w:val="24"/>
        </w:rPr>
        <w:tab/>
        <w:t>CREA offers a range of rebates for customers who invest in or upgrade to more efficient lighting fixtures and appliances and for weatherization f</w:t>
      </w:r>
      <w:r w:rsidR="00F71F18">
        <w:rPr>
          <w:rFonts w:ascii="Times New Roman" w:hAnsi="Times New Roman"/>
          <w:sz w:val="24"/>
          <w:szCs w:val="24"/>
        </w:rPr>
        <w:t>or residential customers.  For c</w:t>
      </w:r>
      <w:r w:rsidRPr="00D813D7">
        <w:rPr>
          <w:rFonts w:ascii="Times New Roman" w:hAnsi="Times New Roman"/>
          <w:sz w:val="24"/>
          <w:szCs w:val="24"/>
        </w:rPr>
        <w:t>ommerc</w:t>
      </w:r>
      <w:r w:rsidR="00F71F18">
        <w:rPr>
          <w:rFonts w:ascii="Times New Roman" w:hAnsi="Times New Roman"/>
          <w:sz w:val="24"/>
          <w:szCs w:val="24"/>
        </w:rPr>
        <w:t>ial and industrial, as well as a</w:t>
      </w:r>
      <w:r w:rsidRPr="00D813D7">
        <w:rPr>
          <w:rFonts w:ascii="Times New Roman" w:hAnsi="Times New Roman"/>
          <w:sz w:val="24"/>
          <w:szCs w:val="24"/>
        </w:rPr>
        <w:t>gricultural customers, CREA offers rebates for lighting programs plus investment in more efficient drives and motors, plus irrigation systems.</w:t>
      </w:r>
      <w:r w:rsidRPr="00D813D7">
        <w:rPr>
          <w:rStyle w:val="FootnoteReference"/>
          <w:rFonts w:ascii="Times New Roman" w:hAnsi="Times New Roman"/>
          <w:sz w:val="24"/>
          <w:szCs w:val="24"/>
        </w:rPr>
        <w:footnoteReference w:id="97"/>
      </w:r>
      <w:r w:rsidRPr="00D813D7">
        <w:rPr>
          <w:rFonts w:ascii="Times New Roman" w:hAnsi="Times New Roman"/>
          <w:sz w:val="24"/>
          <w:szCs w:val="24"/>
        </w:rPr>
        <w:t xml:space="preserve">  In response to discovery</w:t>
      </w:r>
      <w:r w:rsidR="00F71F18">
        <w:rPr>
          <w:rFonts w:ascii="Times New Roman" w:hAnsi="Times New Roman"/>
          <w:sz w:val="24"/>
          <w:szCs w:val="24"/>
        </w:rPr>
        <w:t>,</w:t>
      </w:r>
      <w:r w:rsidRPr="00D813D7">
        <w:rPr>
          <w:rFonts w:ascii="Times New Roman" w:hAnsi="Times New Roman"/>
          <w:sz w:val="24"/>
          <w:szCs w:val="24"/>
        </w:rPr>
        <w:t xml:space="preserve"> CREA acknowledged that it spent $793,028 on conservation (including </w:t>
      </w:r>
      <w:r w:rsidR="00E03894">
        <w:rPr>
          <w:rFonts w:ascii="Times New Roman" w:hAnsi="Times New Roman"/>
          <w:sz w:val="24"/>
          <w:szCs w:val="24"/>
        </w:rPr>
        <w:t>energy-efficiency</w:t>
      </w:r>
      <w:r w:rsidRPr="00D813D7">
        <w:rPr>
          <w:rFonts w:ascii="Times New Roman" w:hAnsi="Times New Roman"/>
          <w:sz w:val="24"/>
          <w:szCs w:val="24"/>
        </w:rPr>
        <w:t>) and achieved 28,576,106 kWhs in energy savings over the last three years (2014 through 2016).</w:t>
      </w:r>
      <w:r w:rsidRPr="00D813D7">
        <w:rPr>
          <w:rStyle w:val="FootnoteReference"/>
          <w:rFonts w:ascii="Times New Roman" w:hAnsi="Times New Roman"/>
          <w:sz w:val="24"/>
          <w:szCs w:val="24"/>
        </w:rPr>
        <w:footnoteReference w:id="98"/>
      </w:r>
      <w:r w:rsidR="00ED4F95">
        <w:rPr>
          <w:rFonts w:ascii="Times New Roman" w:hAnsi="Times New Roman"/>
          <w:sz w:val="24"/>
          <w:szCs w:val="24"/>
        </w:rPr>
        <w:t xml:space="preserve"> </w:t>
      </w:r>
    </w:p>
    <w:p w:rsidR="009029D2" w:rsidRPr="00D813D7" w:rsidRDefault="00F71F18" w:rsidP="009029D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9029D2" w:rsidRPr="00D813D7">
        <w:rPr>
          <w:rFonts w:ascii="Times New Roman" w:hAnsi="Times New Roman"/>
          <w:b/>
          <w:sz w:val="24"/>
          <w:szCs w:val="24"/>
        </w:rPr>
        <w:tab/>
        <w:t>What concerns</w:t>
      </w:r>
      <w:r>
        <w:rPr>
          <w:rFonts w:ascii="Times New Roman" w:hAnsi="Times New Roman"/>
          <w:b/>
          <w:sz w:val="24"/>
          <w:szCs w:val="24"/>
        </w:rPr>
        <w:t xml:space="preserve"> do you have with CREA’s energy-</w:t>
      </w:r>
      <w:r w:rsidR="009029D2" w:rsidRPr="00D813D7">
        <w:rPr>
          <w:rFonts w:ascii="Times New Roman" w:hAnsi="Times New Roman"/>
          <w:b/>
          <w:sz w:val="24"/>
          <w:szCs w:val="24"/>
        </w:rPr>
        <w:t xml:space="preserve">efficiency programs as it relates to the customers who migrate from Pacific Power?  </w:t>
      </w:r>
    </w:p>
    <w:p w:rsidR="009029D2" w:rsidRPr="00D813D7" w:rsidRDefault="009029D2" w:rsidP="0021038D">
      <w:pPr>
        <w:widowControl w:val="0"/>
        <w:tabs>
          <w:tab w:val="left" w:pos="6960"/>
        </w:tabs>
        <w:spacing w:after="0" w:line="480" w:lineRule="auto"/>
        <w:ind w:left="720" w:hanging="720"/>
        <w:rPr>
          <w:rFonts w:ascii="Times New Roman" w:hAnsi="Times New Roman"/>
          <w:sz w:val="24"/>
          <w:szCs w:val="24"/>
        </w:rPr>
      </w:pPr>
      <w:r w:rsidRPr="00D813D7">
        <w:rPr>
          <w:rFonts w:ascii="Times New Roman" w:hAnsi="Times New Roman"/>
          <w:sz w:val="24"/>
          <w:szCs w:val="24"/>
        </w:rPr>
        <w:t>A</w:t>
      </w:r>
      <w:r w:rsidR="00F71F18">
        <w:rPr>
          <w:rFonts w:ascii="Times New Roman" w:hAnsi="Times New Roman"/>
          <w:sz w:val="24"/>
          <w:szCs w:val="24"/>
        </w:rPr>
        <w:t>:</w:t>
      </w:r>
      <w:r w:rsidRPr="00D813D7">
        <w:rPr>
          <w:rFonts w:ascii="Times New Roman" w:hAnsi="Times New Roman"/>
          <w:sz w:val="24"/>
          <w:szCs w:val="24"/>
        </w:rPr>
        <w:tab/>
        <w:t xml:space="preserve">I am concerned for two </w:t>
      </w:r>
      <w:r w:rsidR="00F71F18">
        <w:rPr>
          <w:rFonts w:ascii="Times New Roman" w:hAnsi="Times New Roman"/>
          <w:sz w:val="24"/>
          <w:szCs w:val="24"/>
        </w:rPr>
        <w:t>reasons.  First, since publicly-</w:t>
      </w:r>
      <w:r w:rsidRPr="00D813D7">
        <w:rPr>
          <w:rFonts w:ascii="Times New Roman" w:hAnsi="Times New Roman"/>
          <w:sz w:val="24"/>
          <w:szCs w:val="24"/>
        </w:rPr>
        <w:t xml:space="preserve">owned utility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Pr="00D813D7">
        <w:rPr>
          <w:rFonts w:ascii="Times New Roman" w:hAnsi="Times New Roman"/>
          <w:sz w:val="24"/>
          <w:szCs w:val="24"/>
        </w:rPr>
        <w:t xml:space="preserve">programs receive limited oversight, it is difficult to be assured that CREA will continue to offer the same or a larger size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Pr="00D813D7">
        <w:rPr>
          <w:rFonts w:ascii="Times New Roman" w:hAnsi="Times New Roman"/>
          <w:sz w:val="24"/>
          <w:szCs w:val="24"/>
        </w:rPr>
        <w:t>program going forward.  In fact, we do not know from CREA’s response to dis</w:t>
      </w:r>
      <w:r w:rsidR="00F71F18">
        <w:rPr>
          <w:rFonts w:ascii="Times New Roman" w:hAnsi="Times New Roman"/>
          <w:sz w:val="24"/>
          <w:szCs w:val="24"/>
        </w:rPr>
        <w:t>covery whether the savings ramp</w:t>
      </w:r>
      <w:r w:rsidRPr="00D813D7">
        <w:rPr>
          <w:rFonts w:ascii="Times New Roman" w:hAnsi="Times New Roman"/>
          <w:sz w:val="24"/>
          <w:szCs w:val="24"/>
        </w:rPr>
        <w:t xml:space="preserve"> up or down over time and we do not have a comparison of budget</w:t>
      </w:r>
      <w:r w:rsidR="006267C6">
        <w:rPr>
          <w:rFonts w:ascii="Times New Roman" w:hAnsi="Times New Roman"/>
          <w:sz w:val="24"/>
          <w:szCs w:val="24"/>
        </w:rPr>
        <w:t>-</w:t>
      </w:r>
      <w:r w:rsidRPr="00D813D7">
        <w:rPr>
          <w:rFonts w:ascii="Times New Roman" w:hAnsi="Times New Roman"/>
          <w:sz w:val="24"/>
          <w:szCs w:val="24"/>
        </w:rPr>
        <w:t>to</w:t>
      </w:r>
      <w:r w:rsidR="006267C6">
        <w:rPr>
          <w:rFonts w:ascii="Times New Roman" w:hAnsi="Times New Roman"/>
          <w:sz w:val="24"/>
          <w:szCs w:val="24"/>
        </w:rPr>
        <w:t>-</w:t>
      </w:r>
      <w:r w:rsidRPr="00D813D7">
        <w:rPr>
          <w:rFonts w:ascii="Times New Roman" w:hAnsi="Times New Roman"/>
          <w:sz w:val="24"/>
          <w:szCs w:val="24"/>
        </w:rPr>
        <w:t>actual spending and savings to evaluate whether CREA’s program design is effective.</w:t>
      </w:r>
      <w:r w:rsidR="0021038D">
        <w:rPr>
          <w:rFonts w:ascii="Times New Roman" w:hAnsi="Times New Roman"/>
          <w:sz w:val="24"/>
          <w:szCs w:val="24"/>
        </w:rPr>
        <w:t xml:space="preserve">  As an example, CREA states that over the past five years it h</w:t>
      </w:r>
      <w:r w:rsidR="0021038D" w:rsidRPr="00E95DF9">
        <w:rPr>
          <w:rFonts w:ascii="Times New Roman" w:hAnsi="Times New Roman"/>
          <w:sz w:val="24"/>
          <w:szCs w:val="24"/>
        </w:rPr>
        <w:t xml:space="preserve">as </w:t>
      </w:r>
      <w:r w:rsidR="0021038D">
        <w:rPr>
          <w:rFonts w:ascii="Times New Roman" w:hAnsi="Times New Roman"/>
          <w:sz w:val="24"/>
          <w:szCs w:val="24"/>
        </w:rPr>
        <w:t>“</w:t>
      </w:r>
      <w:r w:rsidR="0021038D" w:rsidRPr="00E95DF9">
        <w:rPr>
          <w:rFonts w:ascii="Times New Roman" w:hAnsi="Times New Roman"/>
          <w:sz w:val="24"/>
          <w:szCs w:val="24"/>
        </w:rPr>
        <w:t>paid out</w:t>
      </w:r>
      <w:r w:rsidR="0021038D">
        <w:rPr>
          <w:rFonts w:ascii="Times New Roman" w:hAnsi="Times New Roman"/>
          <w:sz w:val="24"/>
          <w:szCs w:val="24"/>
        </w:rPr>
        <w:t>”</w:t>
      </w:r>
      <w:r w:rsidR="0021038D" w:rsidRPr="00E95DF9">
        <w:rPr>
          <w:rFonts w:ascii="Times New Roman" w:hAnsi="Times New Roman"/>
          <w:sz w:val="24"/>
          <w:szCs w:val="24"/>
        </w:rPr>
        <w:t xml:space="preserve"> an annual average of $288,820 for energy efficiency.</w:t>
      </w:r>
      <w:r w:rsidR="0021038D">
        <w:rPr>
          <w:rStyle w:val="FootnoteReference"/>
          <w:rFonts w:ascii="Times New Roman" w:hAnsi="Times New Roman"/>
          <w:sz w:val="24"/>
          <w:szCs w:val="24"/>
        </w:rPr>
        <w:footnoteReference w:id="99"/>
      </w:r>
      <w:r w:rsidR="0021038D">
        <w:rPr>
          <w:rFonts w:ascii="Times New Roman" w:hAnsi="Times New Roman"/>
          <w:sz w:val="24"/>
          <w:szCs w:val="24"/>
        </w:rPr>
        <w:t xml:space="preserve">  It is not clear whether these expenditures were cost effective or related to a specified conservation target.</w:t>
      </w:r>
      <w:r w:rsidRPr="00D813D7">
        <w:rPr>
          <w:rFonts w:ascii="Times New Roman" w:hAnsi="Times New Roman"/>
          <w:sz w:val="24"/>
          <w:szCs w:val="24"/>
        </w:rPr>
        <w:t xml:space="preserve">  Further we do not </w:t>
      </w:r>
      <w:r w:rsidR="00885891">
        <w:rPr>
          <w:rFonts w:ascii="Times New Roman" w:hAnsi="Times New Roman"/>
          <w:sz w:val="24"/>
          <w:szCs w:val="24"/>
        </w:rPr>
        <w:t>know</w:t>
      </w:r>
      <w:r w:rsidR="00885891" w:rsidRPr="00D813D7">
        <w:rPr>
          <w:rFonts w:ascii="Times New Roman" w:hAnsi="Times New Roman"/>
          <w:sz w:val="24"/>
          <w:szCs w:val="24"/>
        </w:rPr>
        <w:t xml:space="preserve"> </w:t>
      </w:r>
      <w:r w:rsidRPr="00D813D7">
        <w:rPr>
          <w:rFonts w:ascii="Times New Roman" w:hAnsi="Times New Roman"/>
          <w:sz w:val="24"/>
          <w:szCs w:val="24"/>
        </w:rPr>
        <w:t>the bill impact on CREA’s customers</w:t>
      </w:r>
      <w:r w:rsidR="00885891">
        <w:rPr>
          <w:rFonts w:ascii="Times New Roman" w:hAnsi="Times New Roman"/>
          <w:sz w:val="24"/>
          <w:szCs w:val="24"/>
        </w:rPr>
        <w:t>.  The concern is that, without transparency and oversight, customers may pay</w:t>
      </w:r>
      <w:r w:rsidRPr="00D813D7">
        <w:rPr>
          <w:rFonts w:ascii="Times New Roman" w:hAnsi="Times New Roman"/>
          <w:sz w:val="24"/>
          <w:szCs w:val="24"/>
        </w:rPr>
        <w:t xml:space="preserve"> a significant premium for program</w:t>
      </w:r>
      <w:r w:rsidR="00885891">
        <w:rPr>
          <w:rFonts w:ascii="Times New Roman" w:hAnsi="Times New Roman"/>
          <w:sz w:val="24"/>
          <w:szCs w:val="24"/>
        </w:rPr>
        <w:t>s</w:t>
      </w:r>
      <w:r w:rsidRPr="00D813D7">
        <w:rPr>
          <w:rFonts w:ascii="Times New Roman" w:hAnsi="Times New Roman"/>
          <w:sz w:val="24"/>
          <w:szCs w:val="24"/>
        </w:rPr>
        <w:t xml:space="preserve"> that may not be</w:t>
      </w:r>
      <w:r w:rsidR="00885891">
        <w:rPr>
          <w:rFonts w:ascii="Times New Roman" w:hAnsi="Times New Roman"/>
          <w:sz w:val="24"/>
          <w:szCs w:val="24"/>
        </w:rPr>
        <w:t xml:space="preserve"> cost</w:t>
      </w:r>
      <w:r w:rsidRPr="00D813D7">
        <w:rPr>
          <w:rFonts w:ascii="Times New Roman" w:hAnsi="Times New Roman"/>
          <w:sz w:val="24"/>
          <w:szCs w:val="24"/>
        </w:rPr>
        <w:t xml:space="preserve"> effective.</w:t>
      </w:r>
      <w:r w:rsidR="00885891">
        <w:rPr>
          <w:rFonts w:ascii="Times New Roman" w:hAnsi="Times New Roman"/>
          <w:sz w:val="24"/>
          <w:szCs w:val="24"/>
        </w:rPr>
        <w:t xml:space="preserve">  We do not know whether that is the case with CREA’s customers, but these</w:t>
      </w:r>
      <w:r w:rsidRPr="00D813D7">
        <w:rPr>
          <w:rFonts w:ascii="Times New Roman" w:hAnsi="Times New Roman"/>
          <w:sz w:val="24"/>
          <w:szCs w:val="24"/>
        </w:rPr>
        <w:t xml:space="preserve"> are metrics that are</w:t>
      </w:r>
      <w:r w:rsidR="00565822">
        <w:rPr>
          <w:rFonts w:ascii="Times New Roman" w:hAnsi="Times New Roman"/>
          <w:sz w:val="24"/>
          <w:szCs w:val="24"/>
        </w:rPr>
        <w:t xml:space="preserve"> readily available for investor-</w:t>
      </w:r>
      <w:r w:rsidRPr="00D813D7">
        <w:rPr>
          <w:rFonts w:ascii="Times New Roman" w:hAnsi="Times New Roman"/>
          <w:sz w:val="24"/>
          <w:szCs w:val="24"/>
        </w:rPr>
        <w:lastRenderedPageBreak/>
        <w:t xml:space="preserve">owned utilities </w:t>
      </w:r>
      <w:r w:rsidR="00B26E6C" w:rsidRPr="00D813D7">
        <w:rPr>
          <w:rFonts w:ascii="Times New Roman" w:hAnsi="Times New Roman"/>
          <w:sz w:val="24"/>
          <w:szCs w:val="24"/>
        </w:rPr>
        <w:t>that</w:t>
      </w:r>
      <w:r w:rsidRPr="00D813D7">
        <w:rPr>
          <w:rFonts w:ascii="Times New Roman" w:hAnsi="Times New Roman"/>
          <w:sz w:val="24"/>
          <w:szCs w:val="24"/>
        </w:rPr>
        <w:t xml:space="preserve"> are subject to greater oversight by the Commission.</w:t>
      </w:r>
    </w:p>
    <w:p w:rsidR="009029D2" w:rsidRPr="00D813D7" w:rsidRDefault="009029D2" w:rsidP="00565822">
      <w:pPr>
        <w:widowControl w:val="0"/>
        <w:spacing w:after="0" w:line="480" w:lineRule="auto"/>
        <w:ind w:left="720" w:hanging="720"/>
        <w:rPr>
          <w:rFonts w:ascii="Times New Roman" w:hAnsi="Times New Roman"/>
          <w:sz w:val="24"/>
          <w:szCs w:val="24"/>
        </w:rPr>
      </w:pPr>
      <w:r w:rsidRPr="00D813D7">
        <w:rPr>
          <w:rFonts w:ascii="Times New Roman" w:hAnsi="Times New Roman"/>
          <w:sz w:val="24"/>
          <w:szCs w:val="24"/>
        </w:rPr>
        <w:tab/>
      </w:r>
      <w:r w:rsidR="00565822">
        <w:rPr>
          <w:rFonts w:ascii="Times New Roman" w:hAnsi="Times New Roman"/>
          <w:sz w:val="24"/>
          <w:szCs w:val="24"/>
        </w:rPr>
        <w:tab/>
      </w:r>
      <w:r w:rsidRPr="00D813D7">
        <w:rPr>
          <w:rFonts w:ascii="Times New Roman" w:hAnsi="Times New Roman"/>
          <w:sz w:val="24"/>
          <w:szCs w:val="24"/>
        </w:rPr>
        <w:t>Second, I am concerned that continued migration</w:t>
      </w:r>
      <w:r w:rsidR="00885891">
        <w:rPr>
          <w:rFonts w:ascii="Times New Roman" w:hAnsi="Times New Roman"/>
          <w:sz w:val="24"/>
          <w:szCs w:val="24"/>
        </w:rPr>
        <w:t xml:space="preserve"> of customers</w:t>
      </w:r>
      <w:r w:rsidRPr="00D813D7">
        <w:rPr>
          <w:rFonts w:ascii="Times New Roman" w:hAnsi="Times New Roman"/>
          <w:sz w:val="24"/>
          <w:szCs w:val="24"/>
        </w:rPr>
        <w:t xml:space="preserve"> from Pacific Power to CREA, in the absence of a service agreement, will erode support for Pacific Power’s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Pr="00D813D7">
        <w:rPr>
          <w:rFonts w:ascii="Times New Roman" w:hAnsi="Times New Roman"/>
          <w:sz w:val="24"/>
          <w:szCs w:val="24"/>
        </w:rPr>
        <w:t xml:space="preserve">program, which is paid for through rate riders, and the magnitude of the rider will increase as the burden to pay for the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Pr="00D813D7">
        <w:rPr>
          <w:rFonts w:ascii="Times New Roman" w:hAnsi="Times New Roman"/>
          <w:sz w:val="24"/>
          <w:szCs w:val="24"/>
        </w:rPr>
        <w:t>program falls on the remaining customers.</w:t>
      </w:r>
    </w:p>
    <w:p w:rsidR="00F92B25" w:rsidRPr="00017602" w:rsidRDefault="00C02F76" w:rsidP="00017602">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A721D5" w:rsidRPr="00D813D7">
        <w:rPr>
          <w:rFonts w:ascii="Times New Roman" w:hAnsi="Times New Roman"/>
          <w:b/>
          <w:sz w:val="24"/>
          <w:szCs w:val="24"/>
        </w:rPr>
        <w:tab/>
      </w:r>
      <w:r w:rsidR="00AB7430" w:rsidRPr="00D813D7">
        <w:rPr>
          <w:rFonts w:ascii="Times New Roman" w:hAnsi="Times New Roman"/>
          <w:b/>
          <w:sz w:val="24"/>
          <w:szCs w:val="24"/>
        </w:rPr>
        <w:t xml:space="preserve">What benefits do you see accruing to customers from </w:t>
      </w:r>
      <w:r w:rsidR="007F0969">
        <w:rPr>
          <w:rFonts w:ascii="Times New Roman" w:hAnsi="Times New Roman"/>
          <w:b/>
          <w:sz w:val="24"/>
          <w:szCs w:val="24"/>
        </w:rPr>
        <w:t>Pacific Power</w:t>
      </w:r>
      <w:r w:rsidR="00AB7430" w:rsidRPr="00D813D7">
        <w:rPr>
          <w:rFonts w:ascii="Times New Roman" w:hAnsi="Times New Roman"/>
          <w:b/>
          <w:sz w:val="24"/>
          <w:szCs w:val="24"/>
        </w:rPr>
        <w:t xml:space="preserve"> successfully completing its negotiations for a service agreement with CREA?</w:t>
      </w:r>
    </w:p>
    <w:p w:rsidR="00F92B25" w:rsidRPr="00450120" w:rsidRDefault="00C02F76" w:rsidP="006C39BD">
      <w:pPr>
        <w:widowControl w:val="0"/>
        <w:spacing w:after="0" w:line="480" w:lineRule="auto"/>
        <w:ind w:left="720" w:hanging="720"/>
        <w:rPr>
          <w:rFonts w:ascii="Times New Roman" w:hAnsi="Times New Roman"/>
          <w:b/>
          <w:sz w:val="24"/>
          <w:szCs w:val="24"/>
        </w:rPr>
      </w:pPr>
      <w:r>
        <w:rPr>
          <w:rFonts w:ascii="Times New Roman" w:hAnsi="Times New Roman"/>
          <w:sz w:val="24"/>
          <w:szCs w:val="24"/>
        </w:rPr>
        <w:t>A:</w:t>
      </w:r>
      <w:r w:rsidR="00F92B25" w:rsidRPr="00D813D7">
        <w:rPr>
          <w:rFonts w:ascii="Times New Roman" w:hAnsi="Times New Roman"/>
          <w:sz w:val="24"/>
          <w:szCs w:val="24"/>
        </w:rPr>
        <w:tab/>
      </w:r>
      <w:r w:rsidR="00017602">
        <w:rPr>
          <w:rFonts w:ascii="Times New Roman" w:hAnsi="Times New Roman"/>
          <w:sz w:val="24"/>
          <w:szCs w:val="24"/>
        </w:rPr>
        <w:tab/>
      </w:r>
      <w:r w:rsidR="0003724F" w:rsidRPr="00D813D7">
        <w:rPr>
          <w:rFonts w:ascii="Times New Roman" w:hAnsi="Times New Roman"/>
          <w:sz w:val="24"/>
          <w:szCs w:val="24"/>
        </w:rPr>
        <w:t xml:space="preserve">The benefits to all customers comes from reduced shifting of stranded costs to remaining customers, who </w:t>
      </w:r>
      <w:r w:rsidR="002A327F" w:rsidRPr="00D813D7">
        <w:rPr>
          <w:rFonts w:ascii="Times New Roman" w:hAnsi="Times New Roman"/>
          <w:sz w:val="24"/>
          <w:szCs w:val="24"/>
        </w:rPr>
        <w:t xml:space="preserve">in this case </w:t>
      </w:r>
      <w:r w:rsidR="0003724F" w:rsidRPr="00D813D7">
        <w:rPr>
          <w:rFonts w:ascii="Times New Roman" w:hAnsi="Times New Roman"/>
          <w:sz w:val="24"/>
          <w:szCs w:val="24"/>
        </w:rPr>
        <w:t>are mostly residential, including low-income customers.</w:t>
      </w:r>
      <w:r w:rsidR="00790224" w:rsidRPr="00D813D7">
        <w:rPr>
          <w:rFonts w:ascii="Times New Roman" w:hAnsi="Times New Roman"/>
          <w:sz w:val="24"/>
          <w:szCs w:val="24"/>
        </w:rPr>
        <w:t xml:space="preserve"> </w:t>
      </w:r>
      <w:r w:rsidR="00450120">
        <w:rPr>
          <w:rFonts w:ascii="Times New Roman" w:hAnsi="Times New Roman"/>
          <w:sz w:val="24"/>
          <w:szCs w:val="24"/>
        </w:rPr>
        <w:t xml:space="preserve"> </w:t>
      </w:r>
      <w:r w:rsidR="006C39BD">
        <w:rPr>
          <w:rFonts w:ascii="Times New Roman" w:hAnsi="Times New Roman"/>
          <w:sz w:val="24"/>
          <w:szCs w:val="24"/>
        </w:rPr>
        <w:t>T</w:t>
      </w:r>
      <w:r w:rsidR="00F92B25" w:rsidRPr="00D813D7">
        <w:rPr>
          <w:rFonts w:ascii="Times New Roman" w:hAnsi="Times New Roman"/>
          <w:sz w:val="24"/>
          <w:szCs w:val="24"/>
        </w:rPr>
        <w:t>he continued funding of energy efficiency programs at current levels that offer benefits to both participants and non-participants</w:t>
      </w:r>
      <w:r w:rsidR="006C39BD">
        <w:rPr>
          <w:rFonts w:ascii="Times New Roman" w:hAnsi="Times New Roman"/>
          <w:sz w:val="24"/>
          <w:szCs w:val="24"/>
        </w:rPr>
        <w:t xml:space="preserve"> is a public interest benefit that would be realized as well</w:t>
      </w:r>
      <w:r w:rsidR="00F92B25" w:rsidRPr="00D813D7">
        <w:rPr>
          <w:rFonts w:ascii="Times New Roman" w:hAnsi="Times New Roman"/>
          <w:sz w:val="24"/>
          <w:szCs w:val="24"/>
        </w:rPr>
        <w:t>.</w:t>
      </w:r>
      <w:r w:rsidR="006C39BD">
        <w:rPr>
          <w:rFonts w:ascii="Times New Roman" w:hAnsi="Times New Roman"/>
          <w:sz w:val="24"/>
          <w:szCs w:val="24"/>
        </w:rPr>
        <w:t xml:space="preserve">  F</w:t>
      </w:r>
      <w:r w:rsidR="009029D2" w:rsidRPr="00D813D7">
        <w:rPr>
          <w:rFonts w:ascii="Times New Roman" w:hAnsi="Times New Roman"/>
          <w:sz w:val="24"/>
          <w:szCs w:val="24"/>
        </w:rPr>
        <w:t xml:space="preserve">urther erosion </w:t>
      </w:r>
      <w:r w:rsidR="006C39BD">
        <w:rPr>
          <w:rFonts w:ascii="Times New Roman" w:hAnsi="Times New Roman"/>
          <w:sz w:val="24"/>
          <w:szCs w:val="24"/>
        </w:rPr>
        <w:t>of</w:t>
      </w:r>
      <w:r w:rsidR="009029D2" w:rsidRPr="00D813D7">
        <w:rPr>
          <w:rFonts w:ascii="Times New Roman" w:hAnsi="Times New Roman"/>
          <w:sz w:val="24"/>
          <w:szCs w:val="24"/>
        </w:rPr>
        <w:t xml:space="preserve">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009029D2" w:rsidRPr="00D813D7">
        <w:rPr>
          <w:rFonts w:ascii="Times New Roman" w:hAnsi="Times New Roman"/>
          <w:sz w:val="24"/>
          <w:szCs w:val="24"/>
        </w:rPr>
        <w:t xml:space="preserve">programs and increases in </w:t>
      </w:r>
      <w:r w:rsidR="00E03894">
        <w:rPr>
          <w:rFonts w:ascii="Times New Roman" w:hAnsi="Times New Roman"/>
          <w:sz w:val="24"/>
          <w:szCs w:val="24"/>
        </w:rPr>
        <w:t>energy-efficiency</w:t>
      </w:r>
      <w:r w:rsidR="00E03894" w:rsidRPr="00D813D7">
        <w:rPr>
          <w:rFonts w:ascii="Times New Roman" w:hAnsi="Times New Roman"/>
          <w:sz w:val="24"/>
          <w:szCs w:val="24"/>
        </w:rPr>
        <w:t xml:space="preserve"> </w:t>
      </w:r>
      <w:r w:rsidR="009029D2" w:rsidRPr="00D813D7">
        <w:rPr>
          <w:rFonts w:ascii="Times New Roman" w:hAnsi="Times New Roman"/>
          <w:sz w:val="24"/>
          <w:szCs w:val="24"/>
        </w:rPr>
        <w:t>rate riders should be minimized.</w:t>
      </w:r>
    </w:p>
    <w:p w:rsidR="00D96CF0" w:rsidRPr="00450120" w:rsidRDefault="00A721D5" w:rsidP="00450120">
      <w:pPr>
        <w:pStyle w:val="Heading2"/>
      </w:pPr>
      <w:bookmarkStart w:id="25" w:name="_Toc479329371"/>
      <w:bookmarkStart w:id="26" w:name="_Toc480530027"/>
      <w:r w:rsidRPr="00D813D7">
        <w:t>Safety Issues</w:t>
      </w:r>
      <w:r w:rsidR="00D96CF0" w:rsidRPr="00D813D7">
        <w:t xml:space="preserve"> Raised by the Proposed Stranded Cost Recovery Fee</w:t>
      </w:r>
      <w:bookmarkEnd w:id="25"/>
      <w:r w:rsidR="00450120">
        <w:t>.</w:t>
      </w:r>
      <w:bookmarkEnd w:id="26"/>
    </w:p>
    <w:p w:rsidR="00D96CF0" w:rsidRPr="00D813D7" w:rsidRDefault="00450120" w:rsidP="00D96CF0">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D96CF0" w:rsidRPr="00D813D7">
        <w:rPr>
          <w:rFonts w:ascii="Times New Roman" w:hAnsi="Times New Roman"/>
          <w:b/>
          <w:sz w:val="24"/>
          <w:szCs w:val="24"/>
        </w:rPr>
        <w:tab/>
        <w:t xml:space="preserve">Please </w:t>
      </w:r>
      <w:r w:rsidR="00150029">
        <w:rPr>
          <w:rFonts w:ascii="Times New Roman" w:hAnsi="Times New Roman"/>
          <w:b/>
          <w:sz w:val="24"/>
          <w:szCs w:val="24"/>
        </w:rPr>
        <w:t>describe your understanding of the safety issue related to abandoned facilities</w:t>
      </w:r>
      <w:r w:rsidR="00A721D5" w:rsidRPr="00D813D7">
        <w:rPr>
          <w:rFonts w:ascii="Times New Roman" w:hAnsi="Times New Roman"/>
          <w:b/>
          <w:sz w:val="24"/>
          <w:szCs w:val="24"/>
        </w:rPr>
        <w:t xml:space="preserve"> arising from a request for permanent disconnection.</w:t>
      </w:r>
    </w:p>
    <w:p w:rsidR="00D96CF0" w:rsidRPr="00D813D7" w:rsidRDefault="00450120" w:rsidP="00450120">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D96CF0" w:rsidRPr="00D813D7">
        <w:rPr>
          <w:rFonts w:ascii="Times New Roman" w:hAnsi="Times New Roman"/>
          <w:sz w:val="24"/>
          <w:szCs w:val="24"/>
        </w:rPr>
        <w:tab/>
      </w:r>
      <w:r w:rsidR="00150029">
        <w:rPr>
          <w:rFonts w:ascii="Times New Roman" w:hAnsi="Times New Roman"/>
          <w:sz w:val="24"/>
          <w:szCs w:val="24"/>
        </w:rPr>
        <w:t>The informal arrangement between Pacific Power and CREA to serve</w:t>
      </w:r>
      <w:r w:rsidR="00504B71">
        <w:rPr>
          <w:rFonts w:ascii="Times New Roman" w:hAnsi="Times New Roman"/>
          <w:sz w:val="24"/>
          <w:szCs w:val="24"/>
        </w:rPr>
        <w:t xml:space="preserve"> customers based on </w:t>
      </w:r>
      <w:r w:rsidR="00DC2FBF" w:rsidRPr="00D813D7">
        <w:rPr>
          <w:rFonts w:ascii="Times New Roman" w:hAnsi="Times New Roman"/>
          <w:sz w:val="24"/>
          <w:szCs w:val="24"/>
        </w:rPr>
        <w:t>whichever utility’s facilities were closer prevented</w:t>
      </w:r>
      <w:r w:rsidR="00504B71">
        <w:rPr>
          <w:rFonts w:ascii="Times New Roman" w:hAnsi="Times New Roman"/>
          <w:sz w:val="24"/>
          <w:szCs w:val="24"/>
        </w:rPr>
        <w:t xml:space="preserve"> safety and operational concerns and</w:t>
      </w:r>
      <w:r w:rsidR="00DC2FBF" w:rsidRPr="00D813D7">
        <w:rPr>
          <w:rFonts w:ascii="Times New Roman" w:hAnsi="Times New Roman"/>
          <w:sz w:val="24"/>
          <w:szCs w:val="24"/>
        </w:rPr>
        <w:t xml:space="preserve"> duplication of facilities. </w:t>
      </w:r>
      <w:r>
        <w:rPr>
          <w:rFonts w:ascii="Times New Roman" w:hAnsi="Times New Roman"/>
          <w:sz w:val="24"/>
          <w:szCs w:val="24"/>
        </w:rPr>
        <w:t xml:space="preserve"> </w:t>
      </w:r>
      <w:r w:rsidR="00DC2FBF" w:rsidRPr="00D813D7">
        <w:rPr>
          <w:rFonts w:ascii="Times New Roman" w:hAnsi="Times New Roman"/>
          <w:sz w:val="24"/>
          <w:szCs w:val="24"/>
        </w:rPr>
        <w:t xml:space="preserve">Currently, </w:t>
      </w:r>
      <w:r w:rsidR="00504B71">
        <w:rPr>
          <w:rFonts w:ascii="Times New Roman" w:hAnsi="Times New Roman"/>
          <w:sz w:val="24"/>
          <w:szCs w:val="24"/>
        </w:rPr>
        <w:t>Pacific Power</w:t>
      </w:r>
      <w:r w:rsidR="00DC2FBF" w:rsidRPr="00D813D7">
        <w:rPr>
          <w:rFonts w:ascii="Times New Roman" w:hAnsi="Times New Roman"/>
          <w:sz w:val="24"/>
          <w:szCs w:val="24"/>
        </w:rPr>
        <w:t xml:space="preserve"> believes that redundant facilities resulting from </w:t>
      </w:r>
      <w:r w:rsidR="00504B71">
        <w:rPr>
          <w:rFonts w:ascii="Times New Roman" w:hAnsi="Times New Roman"/>
          <w:sz w:val="24"/>
          <w:szCs w:val="24"/>
        </w:rPr>
        <w:t>customers disconnecting and taking service from</w:t>
      </w:r>
      <w:r w:rsidR="00DC2FBF" w:rsidRPr="00D813D7">
        <w:rPr>
          <w:rFonts w:ascii="Times New Roman" w:hAnsi="Times New Roman"/>
          <w:sz w:val="24"/>
          <w:szCs w:val="24"/>
        </w:rPr>
        <w:t xml:space="preserve"> CREA presents a major safety concern</w:t>
      </w:r>
      <w:r w:rsidR="00504B71">
        <w:rPr>
          <w:rFonts w:ascii="Times New Roman" w:hAnsi="Times New Roman"/>
          <w:sz w:val="24"/>
          <w:szCs w:val="24"/>
        </w:rPr>
        <w:t xml:space="preserve"> and confusion</w:t>
      </w:r>
      <w:r w:rsidR="00DC2FBF" w:rsidRPr="00D813D7">
        <w:rPr>
          <w:rFonts w:ascii="Times New Roman" w:hAnsi="Times New Roman"/>
          <w:sz w:val="24"/>
          <w:szCs w:val="24"/>
        </w:rPr>
        <w:t xml:space="preserve">. </w:t>
      </w:r>
      <w:r>
        <w:rPr>
          <w:rFonts w:ascii="Times New Roman" w:hAnsi="Times New Roman"/>
          <w:sz w:val="24"/>
          <w:szCs w:val="24"/>
        </w:rPr>
        <w:t xml:space="preserve"> </w:t>
      </w:r>
    </w:p>
    <w:p w:rsidR="00A721D5" w:rsidRPr="00D813D7" w:rsidRDefault="00450120" w:rsidP="00A721D5">
      <w:pPr>
        <w:widowControl w:val="0"/>
        <w:spacing w:after="0" w:line="480" w:lineRule="auto"/>
        <w:ind w:left="720" w:hanging="720"/>
        <w:rPr>
          <w:rFonts w:ascii="Times New Roman" w:hAnsi="Times New Roman"/>
          <w:b/>
          <w:sz w:val="24"/>
          <w:szCs w:val="24"/>
        </w:rPr>
      </w:pPr>
      <w:r>
        <w:rPr>
          <w:rFonts w:ascii="Times New Roman" w:hAnsi="Times New Roman"/>
          <w:b/>
          <w:sz w:val="24"/>
          <w:szCs w:val="24"/>
        </w:rPr>
        <w:t>Q:</w:t>
      </w:r>
      <w:r w:rsidR="00A721D5" w:rsidRPr="00D813D7">
        <w:rPr>
          <w:rFonts w:ascii="Times New Roman" w:hAnsi="Times New Roman"/>
          <w:b/>
          <w:sz w:val="24"/>
          <w:szCs w:val="24"/>
        </w:rPr>
        <w:tab/>
        <w:t xml:space="preserve">Do you agree with Pacific Power’s proposal for assessing safety conditions and </w:t>
      </w:r>
      <w:r w:rsidR="00A721D5" w:rsidRPr="00D813D7">
        <w:rPr>
          <w:rFonts w:ascii="Times New Roman" w:hAnsi="Times New Roman"/>
          <w:b/>
          <w:sz w:val="24"/>
          <w:szCs w:val="24"/>
        </w:rPr>
        <w:lastRenderedPageBreak/>
        <w:t>imposing liability on the departing customer and the replacement provider?</w:t>
      </w:r>
    </w:p>
    <w:p w:rsidR="00DC2FBF" w:rsidRPr="00D813D7" w:rsidRDefault="00450120" w:rsidP="00060067">
      <w:pPr>
        <w:widowControl w:val="0"/>
        <w:spacing w:after="0" w:line="480" w:lineRule="auto"/>
        <w:ind w:left="720" w:hanging="720"/>
        <w:rPr>
          <w:rFonts w:ascii="Times New Roman" w:hAnsi="Times New Roman"/>
          <w:sz w:val="24"/>
          <w:szCs w:val="24"/>
        </w:rPr>
      </w:pPr>
      <w:r>
        <w:rPr>
          <w:rFonts w:ascii="Times New Roman" w:hAnsi="Times New Roman"/>
          <w:sz w:val="24"/>
          <w:szCs w:val="24"/>
        </w:rPr>
        <w:t>A:</w:t>
      </w:r>
      <w:r w:rsidR="00A721D5" w:rsidRPr="00D813D7">
        <w:rPr>
          <w:rFonts w:ascii="Times New Roman" w:hAnsi="Times New Roman"/>
          <w:sz w:val="24"/>
          <w:szCs w:val="24"/>
        </w:rPr>
        <w:tab/>
      </w:r>
      <w:r w:rsidR="00DC2FBF" w:rsidRPr="00D813D7">
        <w:rPr>
          <w:rFonts w:ascii="Times New Roman" w:hAnsi="Times New Roman"/>
          <w:sz w:val="24"/>
          <w:szCs w:val="24"/>
        </w:rPr>
        <w:t>No,</w:t>
      </w:r>
      <w:r w:rsidR="00504B71">
        <w:rPr>
          <w:rFonts w:ascii="Times New Roman" w:hAnsi="Times New Roman"/>
          <w:sz w:val="24"/>
          <w:szCs w:val="24"/>
        </w:rPr>
        <w:t xml:space="preserve"> I do not.  </w:t>
      </w:r>
      <w:r w:rsidR="00DC2FBF" w:rsidRPr="00D813D7">
        <w:rPr>
          <w:rFonts w:ascii="Times New Roman" w:hAnsi="Times New Roman"/>
          <w:sz w:val="24"/>
          <w:szCs w:val="24"/>
        </w:rPr>
        <w:t>Pacific Power’s proposal is too broad</w:t>
      </w:r>
      <w:r w:rsidR="00504B71">
        <w:rPr>
          <w:rFonts w:ascii="Times New Roman" w:hAnsi="Times New Roman"/>
          <w:sz w:val="24"/>
          <w:szCs w:val="24"/>
        </w:rPr>
        <w:t>,</w:t>
      </w:r>
      <w:r w:rsidR="00DC2FBF" w:rsidRPr="00D813D7">
        <w:rPr>
          <w:rFonts w:ascii="Times New Roman" w:hAnsi="Times New Roman"/>
          <w:sz w:val="24"/>
          <w:szCs w:val="24"/>
        </w:rPr>
        <w:t xml:space="preserve"> and I believe</w:t>
      </w:r>
      <w:r w:rsidR="00504B71">
        <w:rPr>
          <w:rFonts w:ascii="Times New Roman" w:hAnsi="Times New Roman"/>
          <w:sz w:val="24"/>
          <w:szCs w:val="24"/>
        </w:rPr>
        <w:t xml:space="preserve"> it</w:t>
      </w:r>
      <w:r w:rsidR="00DC2FBF" w:rsidRPr="00D813D7">
        <w:rPr>
          <w:rFonts w:ascii="Times New Roman" w:hAnsi="Times New Roman"/>
          <w:sz w:val="24"/>
          <w:szCs w:val="24"/>
        </w:rPr>
        <w:t xml:space="preserve"> will not address the primary safety concern</w:t>
      </w:r>
      <w:r w:rsidR="00060067">
        <w:rPr>
          <w:rFonts w:ascii="Times New Roman" w:hAnsi="Times New Roman"/>
          <w:sz w:val="24"/>
          <w:szCs w:val="24"/>
        </w:rPr>
        <w:t>,</w:t>
      </w:r>
      <w:r w:rsidR="00DC2FBF" w:rsidRPr="00D813D7">
        <w:rPr>
          <w:rFonts w:ascii="Times New Roman" w:hAnsi="Times New Roman"/>
          <w:sz w:val="24"/>
          <w:szCs w:val="24"/>
        </w:rPr>
        <w:t xml:space="preserve"> which is the construction of redundant facilities. </w:t>
      </w:r>
      <w:r w:rsidR="00060067">
        <w:rPr>
          <w:rFonts w:ascii="Times New Roman" w:hAnsi="Times New Roman"/>
          <w:sz w:val="24"/>
          <w:szCs w:val="24"/>
        </w:rPr>
        <w:t xml:space="preserve"> </w:t>
      </w:r>
      <w:r w:rsidR="00DC2FBF" w:rsidRPr="00D813D7">
        <w:rPr>
          <w:rFonts w:ascii="Times New Roman" w:hAnsi="Times New Roman"/>
          <w:sz w:val="24"/>
          <w:szCs w:val="24"/>
        </w:rPr>
        <w:t>The Company</w:t>
      </w:r>
      <w:r w:rsidR="00060067">
        <w:rPr>
          <w:rFonts w:ascii="Times New Roman" w:hAnsi="Times New Roman"/>
          <w:sz w:val="24"/>
          <w:szCs w:val="24"/>
        </w:rPr>
        <w:t>’s</w:t>
      </w:r>
      <w:r w:rsidR="00DC2FBF" w:rsidRPr="00D813D7">
        <w:rPr>
          <w:rFonts w:ascii="Times New Roman" w:hAnsi="Times New Roman"/>
          <w:sz w:val="24"/>
          <w:szCs w:val="24"/>
        </w:rPr>
        <w:t xml:space="preserve"> proposed revisions seek only to transfer liability for abandoned facilities to disconnecting customers at the Company’s sole discretion. </w:t>
      </w:r>
      <w:r w:rsidR="00060067">
        <w:rPr>
          <w:rFonts w:ascii="Times New Roman" w:hAnsi="Times New Roman"/>
          <w:sz w:val="24"/>
          <w:szCs w:val="24"/>
        </w:rPr>
        <w:t xml:space="preserve"> </w:t>
      </w:r>
      <w:r w:rsidR="00DC2FBF" w:rsidRPr="00D813D7">
        <w:rPr>
          <w:rFonts w:ascii="Times New Roman" w:hAnsi="Times New Roman"/>
          <w:sz w:val="24"/>
          <w:szCs w:val="24"/>
        </w:rPr>
        <w:t>Specifically, “the Company may abandon some or all of the Facilities when, in the Company’s sole discretion, service may be negatively impacted or safety issues may arise as a result of removal or purchase by the departing customer.”</w:t>
      </w:r>
      <w:r w:rsidR="00DC2FBF" w:rsidRPr="00D813D7">
        <w:rPr>
          <w:rStyle w:val="FootnoteReference"/>
          <w:rFonts w:ascii="Times New Roman" w:hAnsi="Times New Roman"/>
          <w:sz w:val="24"/>
          <w:szCs w:val="24"/>
        </w:rPr>
        <w:footnoteReference w:id="100"/>
      </w:r>
      <w:r w:rsidR="00790224" w:rsidRPr="00D813D7">
        <w:rPr>
          <w:rFonts w:ascii="Times New Roman" w:hAnsi="Times New Roman"/>
          <w:sz w:val="24"/>
          <w:szCs w:val="24"/>
        </w:rPr>
        <w:t xml:space="preserve"> </w:t>
      </w:r>
      <w:r w:rsidR="00DC2FBF" w:rsidRPr="00D813D7">
        <w:rPr>
          <w:rFonts w:ascii="Times New Roman" w:hAnsi="Times New Roman"/>
          <w:sz w:val="24"/>
          <w:szCs w:val="24"/>
        </w:rPr>
        <w:t xml:space="preserve"> </w:t>
      </w:r>
    </w:p>
    <w:p w:rsidR="00DC2FBF" w:rsidRPr="00D813D7" w:rsidRDefault="00060067" w:rsidP="00060067">
      <w:pPr>
        <w:widowControl w:val="0"/>
        <w:spacing w:after="0" w:line="480" w:lineRule="auto"/>
        <w:ind w:left="720"/>
        <w:rPr>
          <w:rFonts w:ascii="Times New Roman" w:hAnsi="Times New Roman"/>
          <w:sz w:val="24"/>
          <w:szCs w:val="24"/>
        </w:rPr>
      </w:pPr>
      <w:r>
        <w:rPr>
          <w:rFonts w:ascii="Times New Roman" w:hAnsi="Times New Roman"/>
          <w:sz w:val="24"/>
          <w:szCs w:val="24"/>
        </w:rPr>
        <w:tab/>
      </w:r>
      <w:r w:rsidR="00DC2FBF" w:rsidRPr="00D813D7">
        <w:rPr>
          <w:rFonts w:ascii="Times New Roman" w:hAnsi="Times New Roman"/>
          <w:sz w:val="24"/>
          <w:szCs w:val="24"/>
        </w:rPr>
        <w:t>I agree with the Company that redu</w:t>
      </w:r>
      <w:r>
        <w:rPr>
          <w:rFonts w:ascii="Times New Roman" w:hAnsi="Times New Roman"/>
          <w:sz w:val="24"/>
          <w:szCs w:val="24"/>
        </w:rPr>
        <w:t xml:space="preserve">ndant facilities are a problem; </w:t>
      </w:r>
      <w:r w:rsidR="00DC2FBF" w:rsidRPr="00D813D7">
        <w:rPr>
          <w:rFonts w:ascii="Times New Roman" w:hAnsi="Times New Roman"/>
          <w:sz w:val="24"/>
          <w:szCs w:val="24"/>
        </w:rPr>
        <w:t>at best</w:t>
      </w:r>
      <w:r>
        <w:rPr>
          <w:rFonts w:ascii="Times New Roman" w:hAnsi="Times New Roman"/>
          <w:sz w:val="24"/>
          <w:szCs w:val="24"/>
        </w:rPr>
        <w:t>,</w:t>
      </w:r>
      <w:r w:rsidR="00DC2FBF" w:rsidRPr="00D813D7">
        <w:rPr>
          <w:rFonts w:ascii="Times New Roman" w:hAnsi="Times New Roman"/>
          <w:sz w:val="24"/>
          <w:szCs w:val="24"/>
        </w:rPr>
        <w:t xml:space="preserve"> they are a was</w:t>
      </w:r>
      <w:r>
        <w:rPr>
          <w:rFonts w:ascii="Times New Roman" w:hAnsi="Times New Roman"/>
          <w:sz w:val="24"/>
          <w:szCs w:val="24"/>
        </w:rPr>
        <w:t>te of resources and an eye sore</w:t>
      </w:r>
      <w:r w:rsidR="00DC2FBF" w:rsidRPr="00D813D7">
        <w:rPr>
          <w:rFonts w:ascii="Times New Roman" w:hAnsi="Times New Roman"/>
          <w:sz w:val="24"/>
          <w:szCs w:val="24"/>
        </w:rPr>
        <w:t xml:space="preserve"> </w:t>
      </w:r>
      <w:r>
        <w:rPr>
          <w:rFonts w:ascii="Times New Roman" w:hAnsi="Times New Roman"/>
          <w:sz w:val="24"/>
          <w:szCs w:val="24"/>
        </w:rPr>
        <w:t xml:space="preserve">and, </w:t>
      </w:r>
      <w:r w:rsidR="00DC2FBF" w:rsidRPr="00D813D7">
        <w:rPr>
          <w:rFonts w:ascii="Times New Roman" w:hAnsi="Times New Roman"/>
          <w:sz w:val="24"/>
          <w:szCs w:val="24"/>
        </w:rPr>
        <w:t>at worst</w:t>
      </w:r>
      <w:r>
        <w:rPr>
          <w:rFonts w:ascii="Times New Roman" w:hAnsi="Times New Roman"/>
          <w:sz w:val="24"/>
          <w:szCs w:val="24"/>
        </w:rPr>
        <w:t>,</w:t>
      </w:r>
      <w:r w:rsidR="00DC2FBF" w:rsidRPr="00D813D7">
        <w:rPr>
          <w:rFonts w:ascii="Times New Roman" w:hAnsi="Times New Roman"/>
          <w:sz w:val="24"/>
          <w:szCs w:val="24"/>
        </w:rPr>
        <w:t xml:space="preserve"> they present safety concerns driven by confusion, especially to first responders to a fire seeking to disconnect electric service.</w:t>
      </w:r>
      <w:r w:rsidR="00790224" w:rsidRPr="00D813D7">
        <w:rPr>
          <w:rFonts w:ascii="Times New Roman" w:hAnsi="Times New Roman"/>
          <w:sz w:val="24"/>
          <w:szCs w:val="24"/>
        </w:rPr>
        <w:t xml:space="preserve"> </w:t>
      </w:r>
      <w:r>
        <w:rPr>
          <w:rFonts w:ascii="Times New Roman" w:hAnsi="Times New Roman"/>
          <w:sz w:val="24"/>
          <w:szCs w:val="24"/>
        </w:rPr>
        <w:t xml:space="preserve"> </w:t>
      </w:r>
      <w:r w:rsidR="00DC2FBF" w:rsidRPr="00D813D7">
        <w:rPr>
          <w:rFonts w:ascii="Times New Roman" w:hAnsi="Times New Roman"/>
          <w:sz w:val="24"/>
          <w:szCs w:val="24"/>
        </w:rPr>
        <w:t xml:space="preserve">However, it is unclear how preventing a departing customer from removing or purchasing existing facilities eliminates the concern of redundant facilities. </w:t>
      </w:r>
      <w:r>
        <w:rPr>
          <w:rFonts w:ascii="Times New Roman" w:hAnsi="Times New Roman"/>
          <w:sz w:val="24"/>
          <w:szCs w:val="24"/>
        </w:rPr>
        <w:t xml:space="preserve"> </w:t>
      </w:r>
      <w:r w:rsidR="00DC2FBF" w:rsidRPr="00D813D7">
        <w:rPr>
          <w:rFonts w:ascii="Times New Roman" w:hAnsi="Times New Roman"/>
          <w:sz w:val="24"/>
          <w:szCs w:val="24"/>
        </w:rPr>
        <w:t>This revision appears rather to be incenting their creation and perpetuating the problem.</w:t>
      </w:r>
      <w:r w:rsidR="00790224" w:rsidRPr="00D813D7">
        <w:rPr>
          <w:rFonts w:ascii="Times New Roman" w:hAnsi="Times New Roman"/>
          <w:sz w:val="24"/>
          <w:szCs w:val="24"/>
        </w:rPr>
        <w:t xml:space="preserve"> </w:t>
      </w:r>
    </w:p>
    <w:p w:rsidR="0003724F" w:rsidRPr="00D813D7" w:rsidRDefault="00060067" w:rsidP="00D43A98">
      <w:pPr>
        <w:widowControl w:val="0"/>
        <w:spacing w:after="0" w:line="480" w:lineRule="auto"/>
        <w:ind w:left="720"/>
        <w:rPr>
          <w:rFonts w:ascii="Times New Roman" w:hAnsi="Times New Roman"/>
          <w:sz w:val="24"/>
          <w:szCs w:val="24"/>
        </w:rPr>
      </w:pPr>
      <w:r>
        <w:rPr>
          <w:rFonts w:ascii="Times New Roman" w:hAnsi="Times New Roman"/>
          <w:sz w:val="24"/>
          <w:szCs w:val="24"/>
        </w:rPr>
        <w:tab/>
      </w:r>
      <w:r w:rsidR="00D96085">
        <w:rPr>
          <w:rFonts w:ascii="Times New Roman" w:hAnsi="Times New Roman"/>
          <w:sz w:val="24"/>
          <w:szCs w:val="24"/>
        </w:rPr>
        <w:t>While shifting the liability to the departing customer may not resolve this issue, appropriate policies may mitigate the concerns.  Such policies include:</w:t>
      </w:r>
    </w:p>
    <w:p w:rsidR="00A721D5" w:rsidRPr="00D813D7" w:rsidRDefault="00735D2F" w:rsidP="00D43A98">
      <w:pPr>
        <w:pStyle w:val="ListParagraph"/>
        <w:widowControl w:val="0"/>
        <w:numPr>
          <w:ilvl w:val="0"/>
          <w:numId w:val="40"/>
        </w:numPr>
        <w:spacing w:line="480" w:lineRule="auto"/>
        <w:ind w:left="1440"/>
        <w:rPr>
          <w:rFonts w:ascii="Times New Roman" w:hAnsi="Times New Roman"/>
          <w:sz w:val="24"/>
          <w:szCs w:val="24"/>
        </w:rPr>
      </w:pPr>
      <w:r w:rsidRPr="00D813D7">
        <w:rPr>
          <w:rFonts w:ascii="Times New Roman" w:hAnsi="Times New Roman"/>
          <w:sz w:val="24"/>
          <w:szCs w:val="24"/>
        </w:rPr>
        <w:t>E</w:t>
      </w:r>
      <w:r w:rsidR="00A721D5" w:rsidRPr="00D813D7">
        <w:rPr>
          <w:rFonts w:ascii="Times New Roman" w:hAnsi="Times New Roman"/>
          <w:sz w:val="24"/>
          <w:szCs w:val="24"/>
        </w:rPr>
        <w:t>valuat</w:t>
      </w:r>
      <w:r w:rsidR="00D96085">
        <w:rPr>
          <w:rFonts w:ascii="Times New Roman" w:hAnsi="Times New Roman"/>
          <w:sz w:val="24"/>
          <w:szCs w:val="24"/>
        </w:rPr>
        <w:t>ion</w:t>
      </w:r>
      <w:r w:rsidR="00A721D5" w:rsidRPr="00D813D7">
        <w:rPr>
          <w:rFonts w:ascii="Times New Roman" w:hAnsi="Times New Roman"/>
          <w:sz w:val="24"/>
          <w:szCs w:val="24"/>
        </w:rPr>
        <w:t xml:space="preserve"> the safety of </w:t>
      </w:r>
      <w:r w:rsidR="0003724F" w:rsidRPr="00D813D7">
        <w:rPr>
          <w:rFonts w:ascii="Times New Roman" w:hAnsi="Times New Roman"/>
          <w:sz w:val="24"/>
          <w:szCs w:val="24"/>
        </w:rPr>
        <w:t>service installations and subsequent removal or abandonment in place</w:t>
      </w:r>
      <w:r w:rsidR="00D96085">
        <w:rPr>
          <w:rFonts w:ascii="Times New Roman" w:hAnsi="Times New Roman"/>
          <w:sz w:val="24"/>
          <w:szCs w:val="24"/>
        </w:rPr>
        <w:t>.</w:t>
      </w:r>
    </w:p>
    <w:p w:rsidR="0003724F" w:rsidRPr="00D813D7" w:rsidRDefault="00D96085" w:rsidP="00D43A98">
      <w:pPr>
        <w:pStyle w:val="ListParagraph"/>
        <w:widowControl w:val="0"/>
        <w:numPr>
          <w:ilvl w:val="0"/>
          <w:numId w:val="41"/>
        </w:numPr>
        <w:spacing w:line="480" w:lineRule="auto"/>
        <w:ind w:left="1440"/>
        <w:rPr>
          <w:rFonts w:ascii="Times New Roman" w:hAnsi="Times New Roman"/>
          <w:sz w:val="24"/>
          <w:szCs w:val="24"/>
        </w:rPr>
      </w:pPr>
      <w:r>
        <w:rPr>
          <w:rFonts w:ascii="Times New Roman" w:hAnsi="Times New Roman"/>
          <w:sz w:val="24"/>
          <w:szCs w:val="24"/>
        </w:rPr>
        <w:t>Consistency</w:t>
      </w:r>
      <w:r w:rsidR="0003724F" w:rsidRPr="00D813D7">
        <w:rPr>
          <w:rFonts w:ascii="Times New Roman" w:hAnsi="Times New Roman"/>
          <w:sz w:val="24"/>
          <w:szCs w:val="24"/>
        </w:rPr>
        <w:t xml:space="preserve"> with N</w:t>
      </w:r>
      <w:r w:rsidR="00504B71">
        <w:rPr>
          <w:rFonts w:ascii="Times New Roman" w:hAnsi="Times New Roman"/>
          <w:sz w:val="24"/>
          <w:szCs w:val="24"/>
        </w:rPr>
        <w:t xml:space="preserve">ational </w:t>
      </w:r>
      <w:r w:rsidR="00504B71" w:rsidRPr="00D813D7">
        <w:rPr>
          <w:rFonts w:ascii="Times New Roman" w:hAnsi="Times New Roman"/>
          <w:sz w:val="24"/>
          <w:szCs w:val="24"/>
        </w:rPr>
        <w:t>E</w:t>
      </w:r>
      <w:r w:rsidR="00504B71">
        <w:rPr>
          <w:rFonts w:ascii="Times New Roman" w:hAnsi="Times New Roman"/>
          <w:sz w:val="24"/>
          <w:szCs w:val="24"/>
        </w:rPr>
        <w:t xml:space="preserve">lectrical </w:t>
      </w:r>
      <w:r w:rsidR="0003724F" w:rsidRPr="00D813D7">
        <w:rPr>
          <w:rFonts w:ascii="Times New Roman" w:hAnsi="Times New Roman"/>
          <w:sz w:val="24"/>
          <w:szCs w:val="24"/>
        </w:rPr>
        <w:t>S</w:t>
      </w:r>
      <w:r>
        <w:rPr>
          <w:rFonts w:ascii="Times New Roman" w:hAnsi="Times New Roman"/>
          <w:sz w:val="24"/>
          <w:szCs w:val="24"/>
        </w:rPr>
        <w:t xml:space="preserve">afety </w:t>
      </w:r>
      <w:r w:rsidR="0003724F" w:rsidRPr="00D813D7">
        <w:rPr>
          <w:rFonts w:ascii="Times New Roman" w:hAnsi="Times New Roman"/>
          <w:sz w:val="24"/>
          <w:szCs w:val="24"/>
        </w:rPr>
        <w:t>C</w:t>
      </w:r>
      <w:r>
        <w:rPr>
          <w:rFonts w:ascii="Times New Roman" w:hAnsi="Times New Roman"/>
          <w:sz w:val="24"/>
          <w:szCs w:val="24"/>
        </w:rPr>
        <w:t>ode</w:t>
      </w:r>
      <w:r w:rsidR="0003724F" w:rsidRPr="00D813D7">
        <w:rPr>
          <w:rFonts w:ascii="Times New Roman" w:hAnsi="Times New Roman"/>
          <w:sz w:val="24"/>
          <w:szCs w:val="24"/>
        </w:rPr>
        <w:t xml:space="preserve"> and industry best practices</w:t>
      </w:r>
      <w:r>
        <w:rPr>
          <w:rFonts w:ascii="Times New Roman" w:hAnsi="Times New Roman"/>
          <w:sz w:val="24"/>
          <w:szCs w:val="24"/>
        </w:rPr>
        <w:t>.</w:t>
      </w:r>
    </w:p>
    <w:p w:rsidR="0003724F" w:rsidRPr="00D813D7" w:rsidRDefault="00D96085" w:rsidP="00D43A98">
      <w:pPr>
        <w:pStyle w:val="ListParagraph"/>
        <w:widowControl w:val="0"/>
        <w:numPr>
          <w:ilvl w:val="0"/>
          <w:numId w:val="42"/>
        </w:numPr>
        <w:spacing w:line="480" w:lineRule="auto"/>
        <w:ind w:left="1440"/>
        <w:rPr>
          <w:rFonts w:ascii="Times New Roman" w:hAnsi="Times New Roman"/>
          <w:sz w:val="24"/>
          <w:szCs w:val="24"/>
        </w:rPr>
      </w:pPr>
      <w:r>
        <w:rPr>
          <w:rFonts w:ascii="Times New Roman" w:hAnsi="Times New Roman"/>
          <w:sz w:val="24"/>
          <w:szCs w:val="24"/>
        </w:rPr>
        <w:t>Assuring</w:t>
      </w:r>
      <w:r w:rsidRPr="00D813D7">
        <w:rPr>
          <w:rFonts w:ascii="Times New Roman" w:hAnsi="Times New Roman"/>
          <w:sz w:val="24"/>
          <w:szCs w:val="24"/>
        </w:rPr>
        <w:t xml:space="preserve"> </w:t>
      </w:r>
      <w:r w:rsidR="0003724F" w:rsidRPr="00D813D7">
        <w:rPr>
          <w:rFonts w:ascii="Times New Roman" w:hAnsi="Times New Roman"/>
          <w:sz w:val="24"/>
          <w:szCs w:val="24"/>
        </w:rPr>
        <w:t>the safety of first responders</w:t>
      </w:r>
      <w:r>
        <w:rPr>
          <w:rFonts w:ascii="Times New Roman" w:hAnsi="Times New Roman"/>
          <w:sz w:val="24"/>
          <w:szCs w:val="24"/>
        </w:rPr>
        <w:t>.</w:t>
      </w:r>
    </w:p>
    <w:p w:rsidR="0003724F" w:rsidRPr="00D813D7" w:rsidRDefault="007102B0" w:rsidP="00D43A98">
      <w:pPr>
        <w:pStyle w:val="ListParagraph"/>
        <w:widowControl w:val="0"/>
        <w:numPr>
          <w:ilvl w:val="0"/>
          <w:numId w:val="43"/>
        </w:numPr>
        <w:spacing w:after="0" w:line="480" w:lineRule="auto"/>
        <w:ind w:left="1440"/>
        <w:rPr>
          <w:rFonts w:ascii="Times New Roman" w:hAnsi="Times New Roman"/>
          <w:sz w:val="24"/>
          <w:szCs w:val="24"/>
        </w:rPr>
      </w:pPr>
      <w:r>
        <w:rPr>
          <w:rFonts w:ascii="Times New Roman" w:hAnsi="Times New Roman"/>
          <w:sz w:val="24"/>
          <w:szCs w:val="24"/>
        </w:rPr>
        <w:t>Confirming</w:t>
      </w:r>
      <w:r w:rsidR="00D96085">
        <w:rPr>
          <w:rFonts w:ascii="Times New Roman" w:hAnsi="Times New Roman"/>
          <w:sz w:val="24"/>
          <w:szCs w:val="24"/>
        </w:rPr>
        <w:t xml:space="preserve"> that each participant has complied with processes that ensure that the change in service due to permanent disconnection </w:t>
      </w:r>
      <w:r>
        <w:rPr>
          <w:rFonts w:ascii="Times New Roman" w:hAnsi="Times New Roman"/>
          <w:sz w:val="24"/>
          <w:szCs w:val="24"/>
        </w:rPr>
        <w:t xml:space="preserve">has been rendered safe. </w:t>
      </w:r>
      <w:r w:rsidR="005A3219" w:rsidRPr="00D813D7">
        <w:rPr>
          <w:rFonts w:ascii="Times New Roman" w:hAnsi="Times New Roman"/>
          <w:sz w:val="24"/>
          <w:szCs w:val="24"/>
        </w:rPr>
        <w:t xml:space="preserve">It may be </w:t>
      </w:r>
      <w:r w:rsidR="005A3219" w:rsidRPr="00D813D7">
        <w:rPr>
          <w:rFonts w:ascii="Times New Roman" w:hAnsi="Times New Roman"/>
          <w:sz w:val="24"/>
          <w:szCs w:val="24"/>
        </w:rPr>
        <w:lastRenderedPageBreak/>
        <w:t xml:space="preserve">necessary to include a meeting and signoff of the resulting </w:t>
      </w:r>
      <w:r>
        <w:rPr>
          <w:rFonts w:ascii="Times New Roman" w:hAnsi="Times New Roman"/>
          <w:sz w:val="24"/>
          <w:szCs w:val="24"/>
        </w:rPr>
        <w:t xml:space="preserve">disconnection </w:t>
      </w:r>
      <w:r w:rsidR="005A3219" w:rsidRPr="00D813D7">
        <w:rPr>
          <w:rFonts w:ascii="Times New Roman" w:hAnsi="Times New Roman"/>
          <w:sz w:val="24"/>
          <w:szCs w:val="24"/>
        </w:rPr>
        <w:t>to ensure all parties have participated.</w:t>
      </w:r>
    </w:p>
    <w:p w:rsidR="00D96CF0" w:rsidRPr="00D813D7" w:rsidRDefault="0003724F" w:rsidP="00060067">
      <w:pPr>
        <w:widowControl w:val="0"/>
        <w:spacing w:after="0" w:line="480" w:lineRule="auto"/>
        <w:ind w:left="720"/>
        <w:rPr>
          <w:rFonts w:ascii="Times New Roman" w:hAnsi="Times New Roman"/>
          <w:sz w:val="24"/>
          <w:szCs w:val="24"/>
        </w:rPr>
      </w:pPr>
      <w:r w:rsidRPr="00D813D7">
        <w:rPr>
          <w:rFonts w:ascii="Times New Roman" w:hAnsi="Times New Roman"/>
          <w:sz w:val="24"/>
          <w:szCs w:val="24"/>
        </w:rPr>
        <w:t xml:space="preserve">If these policies are followed then the liability that must be borne by the departing customer and replacement provider should be no greater than they bore </w:t>
      </w:r>
      <w:r w:rsidR="00AB7430" w:rsidRPr="00D813D7">
        <w:rPr>
          <w:rFonts w:ascii="Times New Roman" w:hAnsi="Times New Roman"/>
          <w:sz w:val="24"/>
          <w:szCs w:val="24"/>
        </w:rPr>
        <w:t>prior to the departure</w:t>
      </w:r>
      <w:r w:rsidRPr="00D813D7">
        <w:rPr>
          <w:rFonts w:ascii="Times New Roman" w:hAnsi="Times New Roman"/>
          <w:sz w:val="24"/>
          <w:szCs w:val="24"/>
        </w:rPr>
        <w:t>.</w:t>
      </w:r>
      <w:r w:rsidR="00790224" w:rsidRPr="00D813D7">
        <w:rPr>
          <w:rFonts w:ascii="Times New Roman" w:hAnsi="Times New Roman"/>
          <w:sz w:val="24"/>
          <w:szCs w:val="24"/>
        </w:rPr>
        <w:t xml:space="preserve"> </w:t>
      </w:r>
    </w:p>
    <w:p w:rsidR="00336F9E" w:rsidRPr="00D813D7" w:rsidRDefault="00336F9E" w:rsidP="00336F9E">
      <w:pPr>
        <w:pStyle w:val="Heading1"/>
      </w:pPr>
      <w:bookmarkStart w:id="27" w:name="_Toc474930769"/>
      <w:bookmarkStart w:id="28" w:name="_Toc474930770"/>
      <w:bookmarkStart w:id="29" w:name="_Toc474930771"/>
      <w:bookmarkStart w:id="30" w:name="_Toc474930772"/>
      <w:bookmarkStart w:id="31" w:name="_Toc479329372"/>
      <w:bookmarkStart w:id="32" w:name="_Toc480530028"/>
      <w:bookmarkEnd w:id="27"/>
      <w:bookmarkEnd w:id="28"/>
      <w:bookmarkEnd w:id="29"/>
      <w:bookmarkEnd w:id="30"/>
      <w:r w:rsidRPr="00D813D7">
        <w:t>SUMMARY OF FINDINGS</w:t>
      </w:r>
      <w:bookmarkEnd w:id="31"/>
      <w:bookmarkEnd w:id="32"/>
    </w:p>
    <w:p w:rsidR="00336F9E" w:rsidRPr="00D813D7" w:rsidRDefault="00060067" w:rsidP="00336F9E">
      <w:pPr>
        <w:keepNext/>
        <w:tabs>
          <w:tab w:val="left" w:pos="-1440"/>
          <w:tab w:val="left" w:pos="-720"/>
          <w:tab w:val="left" w:pos="9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ascii="Times New Roman" w:hAnsi="Times New Roman"/>
          <w:b/>
          <w:sz w:val="24"/>
          <w:szCs w:val="24"/>
        </w:rPr>
      </w:pPr>
      <w:r>
        <w:rPr>
          <w:rFonts w:ascii="Times New Roman" w:hAnsi="Times New Roman"/>
          <w:b/>
          <w:sz w:val="24"/>
          <w:szCs w:val="24"/>
        </w:rPr>
        <w:t>Q:</w:t>
      </w:r>
      <w:r w:rsidR="00336F9E" w:rsidRPr="00D813D7">
        <w:rPr>
          <w:rFonts w:ascii="Times New Roman" w:hAnsi="Times New Roman"/>
          <w:b/>
          <w:sz w:val="24"/>
          <w:szCs w:val="24"/>
        </w:rPr>
        <w:tab/>
        <w:t>Please briefly summarize your findings.</w:t>
      </w:r>
    </w:p>
    <w:p w:rsidR="00336F9E" w:rsidRPr="00D813D7" w:rsidRDefault="00060067" w:rsidP="00060067">
      <w:pPr>
        <w:tabs>
          <w:tab w:val="left" w:pos="90"/>
        </w:tabs>
        <w:spacing w:after="0" w:line="480" w:lineRule="auto"/>
        <w:ind w:left="720" w:hanging="720"/>
        <w:rPr>
          <w:rFonts w:ascii="Times New Roman" w:hAnsi="Times New Roman"/>
          <w:sz w:val="24"/>
          <w:szCs w:val="24"/>
        </w:rPr>
      </w:pPr>
      <w:r>
        <w:rPr>
          <w:rFonts w:ascii="Times New Roman" w:hAnsi="Times New Roman"/>
          <w:sz w:val="24"/>
          <w:szCs w:val="24"/>
        </w:rPr>
        <w:t>A:</w:t>
      </w:r>
      <w:r w:rsidR="00336F9E" w:rsidRPr="00D813D7">
        <w:rPr>
          <w:rFonts w:ascii="Times New Roman" w:hAnsi="Times New Roman"/>
          <w:sz w:val="24"/>
          <w:szCs w:val="24"/>
        </w:rPr>
        <w:tab/>
      </w:r>
      <w:r w:rsidR="00E53CAC" w:rsidRPr="00D813D7">
        <w:rPr>
          <w:rFonts w:ascii="Times New Roman" w:hAnsi="Times New Roman"/>
          <w:sz w:val="24"/>
          <w:szCs w:val="24"/>
        </w:rPr>
        <w:t xml:space="preserve">Pacific Power’s proposed methodology to support a Stranded Cost Recovery Fee is </w:t>
      </w:r>
      <w:r w:rsidR="00EB4BA1" w:rsidRPr="00D813D7">
        <w:rPr>
          <w:rFonts w:ascii="Times New Roman" w:hAnsi="Times New Roman"/>
          <w:sz w:val="24"/>
          <w:szCs w:val="24"/>
        </w:rPr>
        <w:t>not just and reasonable.</w:t>
      </w:r>
      <w:r w:rsidR="00790224" w:rsidRPr="00D813D7">
        <w:rPr>
          <w:rFonts w:ascii="Times New Roman" w:hAnsi="Times New Roman"/>
          <w:sz w:val="24"/>
          <w:szCs w:val="24"/>
        </w:rPr>
        <w:t xml:space="preserve"> </w:t>
      </w:r>
      <w:r>
        <w:rPr>
          <w:rFonts w:ascii="Times New Roman" w:hAnsi="Times New Roman"/>
          <w:sz w:val="24"/>
          <w:szCs w:val="24"/>
        </w:rPr>
        <w:t xml:space="preserve"> </w:t>
      </w:r>
      <w:r w:rsidR="00EB4BA1" w:rsidRPr="00D813D7">
        <w:rPr>
          <w:rFonts w:ascii="Times New Roman" w:hAnsi="Times New Roman"/>
          <w:sz w:val="24"/>
          <w:szCs w:val="24"/>
        </w:rPr>
        <w:t xml:space="preserve">Further, wording used in the proposed revisions to Rule 6, Section I.1 and I.2 are not consistent with principles of cost causation. </w:t>
      </w:r>
      <w:r>
        <w:rPr>
          <w:rFonts w:ascii="Times New Roman" w:hAnsi="Times New Roman"/>
          <w:sz w:val="24"/>
          <w:szCs w:val="24"/>
        </w:rPr>
        <w:t xml:space="preserve"> </w:t>
      </w:r>
      <w:r w:rsidR="00576E59">
        <w:rPr>
          <w:rFonts w:ascii="Times New Roman" w:hAnsi="Times New Roman"/>
          <w:sz w:val="24"/>
          <w:szCs w:val="24"/>
        </w:rPr>
        <w:t>T</w:t>
      </w:r>
      <w:r w:rsidR="00FD1078" w:rsidRPr="00D813D7">
        <w:rPr>
          <w:rFonts w:ascii="Times New Roman" w:hAnsi="Times New Roman"/>
          <w:sz w:val="24"/>
          <w:szCs w:val="24"/>
        </w:rPr>
        <w:t xml:space="preserve">he Company’s presumption to have sole discretion to determine Fair Market Value for facilities to be sold, and which facilities are to be cited for removal or raising safety concerns, is </w:t>
      </w:r>
      <w:r w:rsidR="00F94E52" w:rsidRPr="00D813D7">
        <w:rPr>
          <w:rFonts w:ascii="Times New Roman" w:hAnsi="Times New Roman"/>
          <w:sz w:val="24"/>
          <w:szCs w:val="24"/>
        </w:rPr>
        <w:t xml:space="preserve">also </w:t>
      </w:r>
      <w:r w:rsidR="00FD1078" w:rsidRPr="00D813D7">
        <w:rPr>
          <w:rFonts w:ascii="Times New Roman" w:hAnsi="Times New Roman"/>
          <w:sz w:val="24"/>
          <w:szCs w:val="24"/>
        </w:rPr>
        <w:t>inconsistent with the principle of cost causation.</w:t>
      </w:r>
      <w:r w:rsidR="00EB4BA1" w:rsidRPr="00D813D7">
        <w:rPr>
          <w:rFonts w:ascii="Times New Roman" w:hAnsi="Times New Roman"/>
          <w:sz w:val="24"/>
          <w:szCs w:val="24"/>
        </w:rPr>
        <w:t xml:space="preserve"> </w:t>
      </w:r>
      <w:r w:rsidR="00576E59">
        <w:rPr>
          <w:rFonts w:ascii="Times New Roman" w:hAnsi="Times New Roman"/>
          <w:sz w:val="24"/>
          <w:szCs w:val="24"/>
        </w:rPr>
        <w:t xml:space="preserve"> Pacific Power has not included contribution to low income rate assistance programs or energy efficiency programs in its calculation of stranded costs.</w:t>
      </w:r>
    </w:p>
    <w:p w:rsidR="00336F9E" w:rsidRPr="00D813D7" w:rsidRDefault="0081647A" w:rsidP="00336F9E">
      <w:pPr>
        <w:pStyle w:val="Heading1"/>
        <w:ind w:left="540"/>
      </w:pPr>
      <w:bookmarkStart w:id="33" w:name="_Toc479329373"/>
      <w:r>
        <w:tab/>
      </w:r>
      <w:bookmarkStart w:id="34" w:name="_Toc480530029"/>
      <w:r w:rsidR="00336F9E" w:rsidRPr="00D813D7">
        <w:t>SUMMARY OF RECOMMENDATIONS</w:t>
      </w:r>
      <w:bookmarkEnd w:id="33"/>
      <w:bookmarkEnd w:id="34"/>
    </w:p>
    <w:p w:rsidR="00336F9E" w:rsidRPr="00D813D7" w:rsidRDefault="0081647A" w:rsidP="00336F9E">
      <w:pPr>
        <w:keepNext/>
        <w:keepLines/>
        <w:spacing w:after="0" w:line="480" w:lineRule="auto"/>
        <w:ind w:left="720" w:hanging="720"/>
        <w:rPr>
          <w:rFonts w:ascii="Times New Roman" w:hAnsi="Times New Roman"/>
          <w:b/>
          <w:sz w:val="24"/>
          <w:szCs w:val="24"/>
        </w:rPr>
      </w:pPr>
      <w:r>
        <w:rPr>
          <w:rFonts w:ascii="Times New Roman" w:hAnsi="Times New Roman"/>
          <w:b/>
          <w:sz w:val="24"/>
          <w:szCs w:val="24"/>
        </w:rPr>
        <w:t>Q:</w:t>
      </w:r>
      <w:r w:rsidR="00336F9E" w:rsidRPr="00D813D7">
        <w:rPr>
          <w:rFonts w:ascii="Times New Roman" w:hAnsi="Times New Roman"/>
          <w:b/>
          <w:sz w:val="24"/>
          <w:szCs w:val="24"/>
        </w:rPr>
        <w:tab/>
        <w:t>Please summarize your recommendations.</w:t>
      </w:r>
    </w:p>
    <w:p w:rsidR="00336F9E" w:rsidRPr="00D813D7" w:rsidRDefault="0081647A" w:rsidP="00336F9E">
      <w:pPr>
        <w:keepNext/>
        <w:tabs>
          <w:tab w:val="left" w:pos="-1440"/>
          <w:tab w:val="left" w:pos="-720"/>
          <w:tab w:val="left" w:pos="90"/>
          <w:tab w:val="left" w:pos="720"/>
          <w:tab w:val="left" w:pos="1440"/>
          <w:tab w:val="left" w:pos="2160"/>
          <w:tab w:val="left" w:pos="2880"/>
          <w:tab w:val="left" w:pos="3510"/>
          <w:tab w:val="left" w:pos="3600"/>
          <w:tab w:val="left" w:pos="4320"/>
          <w:tab w:val="left" w:pos="5040"/>
          <w:tab w:val="left" w:pos="5760"/>
          <w:tab w:val="left" w:pos="6480"/>
          <w:tab w:val="left" w:pos="7200"/>
          <w:tab w:val="left" w:pos="7920"/>
          <w:tab w:val="left" w:pos="8640"/>
          <w:tab w:val="left" w:pos="9360"/>
        </w:tabs>
        <w:spacing w:after="0" w:line="480" w:lineRule="auto"/>
        <w:ind w:left="720" w:hanging="720"/>
        <w:jc w:val="both"/>
        <w:rPr>
          <w:rFonts w:ascii="Times New Roman" w:hAnsi="Times New Roman"/>
          <w:sz w:val="24"/>
          <w:szCs w:val="24"/>
        </w:rPr>
      </w:pPr>
      <w:r>
        <w:rPr>
          <w:rFonts w:ascii="Times New Roman" w:hAnsi="Times New Roman"/>
          <w:sz w:val="24"/>
          <w:szCs w:val="24"/>
        </w:rPr>
        <w:t>A:</w:t>
      </w:r>
      <w:r w:rsidR="00336F9E" w:rsidRPr="00D813D7">
        <w:rPr>
          <w:rFonts w:ascii="Times New Roman" w:hAnsi="Times New Roman"/>
          <w:sz w:val="24"/>
          <w:szCs w:val="24"/>
        </w:rPr>
        <w:t xml:space="preserve"> </w:t>
      </w:r>
      <w:r w:rsidR="00336F9E" w:rsidRPr="00D813D7">
        <w:rPr>
          <w:rFonts w:ascii="Times New Roman" w:hAnsi="Times New Roman"/>
          <w:sz w:val="24"/>
          <w:szCs w:val="24"/>
        </w:rPr>
        <w:tab/>
        <w:t xml:space="preserve">I recommend that the Commission </w:t>
      </w:r>
      <w:r w:rsidR="00FD1078" w:rsidRPr="00D813D7">
        <w:rPr>
          <w:rFonts w:ascii="Times New Roman" w:hAnsi="Times New Roman"/>
          <w:sz w:val="24"/>
          <w:szCs w:val="24"/>
        </w:rPr>
        <w:t xml:space="preserve">deny </w:t>
      </w:r>
      <w:r w:rsidR="007102B0">
        <w:rPr>
          <w:rFonts w:ascii="Times New Roman" w:hAnsi="Times New Roman"/>
          <w:sz w:val="24"/>
          <w:szCs w:val="24"/>
        </w:rPr>
        <w:t>Pacific Power’s</w:t>
      </w:r>
      <w:r w:rsidR="00FD1078" w:rsidRPr="00D813D7">
        <w:rPr>
          <w:rFonts w:ascii="Times New Roman" w:hAnsi="Times New Roman"/>
          <w:sz w:val="24"/>
          <w:szCs w:val="24"/>
        </w:rPr>
        <w:t xml:space="preserve"> proposed revision to Rule 6 and Schedule 300 </w:t>
      </w:r>
      <w:r w:rsidR="007102B0">
        <w:rPr>
          <w:rFonts w:ascii="Times New Roman" w:hAnsi="Times New Roman"/>
          <w:sz w:val="24"/>
          <w:szCs w:val="24"/>
        </w:rPr>
        <w:t>as filed</w:t>
      </w:r>
      <w:r w:rsidR="00FD1078" w:rsidRPr="00D813D7">
        <w:rPr>
          <w:rFonts w:ascii="Times New Roman" w:hAnsi="Times New Roman"/>
          <w:sz w:val="24"/>
          <w:szCs w:val="24"/>
        </w:rPr>
        <w:t>.</w:t>
      </w:r>
      <w:r w:rsidR="00883CED">
        <w:rPr>
          <w:rFonts w:ascii="Times New Roman" w:hAnsi="Times New Roman"/>
          <w:sz w:val="24"/>
          <w:szCs w:val="24"/>
        </w:rPr>
        <w:t xml:space="preserve"> </w:t>
      </w:r>
      <w:r w:rsidR="00790224" w:rsidRPr="00D813D7">
        <w:rPr>
          <w:rFonts w:ascii="Times New Roman" w:hAnsi="Times New Roman"/>
          <w:sz w:val="24"/>
          <w:szCs w:val="24"/>
        </w:rPr>
        <w:t xml:space="preserve"> </w:t>
      </w:r>
      <w:r w:rsidR="007102B0">
        <w:rPr>
          <w:rFonts w:ascii="Times New Roman" w:hAnsi="Times New Roman"/>
          <w:sz w:val="24"/>
          <w:szCs w:val="24"/>
        </w:rPr>
        <w:t xml:space="preserve">If the Commission approves revisions to Rule 6 and Schedule 300, I </w:t>
      </w:r>
      <w:r w:rsidR="00565F4D" w:rsidRPr="00D813D7">
        <w:rPr>
          <w:rFonts w:ascii="Times New Roman" w:hAnsi="Times New Roman"/>
          <w:sz w:val="24"/>
          <w:szCs w:val="24"/>
        </w:rPr>
        <w:t>recommend that the Commission approve a different methodology to calculate the Stranded Cost Recovery Fee based on:</w:t>
      </w:r>
    </w:p>
    <w:p w:rsidR="00565F4D" w:rsidRPr="00D813D7" w:rsidRDefault="00565F4D" w:rsidP="0081647A">
      <w:pPr>
        <w:pStyle w:val="ListParagraph"/>
        <w:widowControl w:val="0"/>
        <w:numPr>
          <w:ilvl w:val="0"/>
          <w:numId w:val="38"/>
        </w:numPr>
        <w:spacing w:after="0" w:line="480" w:lineRule="auto"/>
        <w:ind w:left="1440"/>
        <w:rPr>
          <w:rFonts w:ascii="Times New Roman" w:hAnsi="Times New Roman"/>
          <w:sz w:val="24"/>
          <w:szCs w:val="24"/>
        </w:rPr>
      </w:pPr>
      <w:r w:rsidRPr="00D813D7">
        <w:rPr>
          <w:rFonts w:ascii="Times New Roman" w:hAnsi="Times New Roman"/>
          <w:sz w:val="24"/>
          <w:szCs w:val="24"/>
        </w:rPr>
        <w:t xml:space="preserve">Calculating the </w:t>
      </w:r>
      <w:r w:rsidR="00176232" w:rsidRPr="00D813D7">
        <w:rPr>
          <w:rFonts w:ascii="Times New Roman" w:hAnsi="Times New Roman"/>
          <w:sz w:val="24"/>
          <w:szCs w:val="24"/>
        </w:rPr>
        <w:t xml:space="preserve">net present value </w:t>
      </w:r>
      <w:r w:rsidRPr="00D813D7">
        <w:rPr>
          <w:rFonts w:ascii="Times New Roman" w:hAnsi="Times New Roman"/>
          <w:sz w:val="24"/>
          <w:szCs w:val="24"/>
        </w:rPr>
        <w:t>of non-net power c</w:t>
      </w:r>
      <w:r w:rsidR="00883CED">
        <w:rPr>
          <w:rFonts w:ascii="Times New Roman" w:hAnsi="Times New Roman"/>
          <w:sz w:val="24"/>
          <w:szCs w:val="24"/>
        </w:rPr>
        <w:t>osts over a six-year time frame;</w:t>
      </w:r>
      <w:r w:rsidRPr="00D813D7">
        <w:rPr>
          <w:rFonts w:ascii="Times New Roman" w:hAnsi="Times New Roman"/>
          <w:sz w:val="24"/>
          <w:szCs w:val="24"/>
        </w:rPr>
        <w:t xml:space="preserve"> </w:t>
      </w:r>
    </w:p>
    <w:p w:rsidR="00565F4D" w:rsidRPr="00D813D7" w:rsidRDefault="00565F4D" w:rsidP="0081647A">
      <w:pPr>
        <w:pStyle w:val="ListParagraph"/>
        <w:widowControl w:val="0"/>
        <w:numPr>
          <w:ilvl w:val="0"/>
          <w:numId w:val="38"/>
        </w:numPr>
        <w:spacing w:after="0" w:line="480" w:lineRule="auto"/>
        <w:ind w:left="1440"/>
        <w:rPr>
          <w:rFonts w:ascii="Times New Roman" w:hAnsi="Times New Roman"/>
          <w:sz w:val="24"/>
          <w:szCs w:val="24"/>
        </w:rPr>
      </w:pPr>
      <w:r w:rsidRPr="00D813D7">
        <w:rPr>
          <w:rFonts w:ascii="Times New Roman" w:hAnsi="Times New Roman"/>
          <w:sz w:val="24"/>
          <w:szCs w:val="24"/>
        </w:rPr>
        <w:t>Multiplying average revenue per customer times 3.0 for Residential customers and 4.5 for Non-Residential customers;</w:t>
      </w:r>
    </w:p>
    <w:p w:rsidR="00565F4D" w:rsidRPr="00D813D7" w:rsidRDefault="00565F4D" w:rsidP="0081647A">
      <w:pPr>
        <w:pStyle w:val="ListParagraph"/>
        <w:widowControl w:val="0"/>
        <w:numPr>
          <w:ilvl w:val="0"/>
          <w:numId w:val="38"/>
        </w:numPr>
        <w:spacing w:after="0" w:line="480" w:lineRule="auto"/>
        <w:ind w:left="1440"/>
        <w:rPr>
          <w:rFonts w:ascii="Times New Roman" w:hAnsi="Times New Roman"/>
          <w:sz w:val="24"/>
          <w:szCs w:val="24"/>
        </w:rPr>
      </w:pPr>
      <w:r w:rsidRPr="00D813D7">
        <w:rPr>
          <w:rFonts w:ascii="Times New Roman" w:hAnsi="Times New Roman"/>
          <w:sz w:val="24"/>
          <w:szCs w:val="24"/>
        </w:rPr>
        <w:t>Setting a cap on the Stranded Cost Recovery Fee for Resid</w:t>
      </w:r>
      <w:r w:rsidR="00766DD2" w:rsidRPr="00D813D7">
        <w:rPr>
          <w:rFonts w:ascii="Times New Roman" w:hAnsi="Times New Roman"/>
          <w:sz w:val="24"/>
          <w:szCs w:val="24"/>
        </w:rPr>
        <w:t xml:space="preserve">ential Customers equal to </w:t>
      </w:r>
      <w:r w:rsidR="00766DD2" w:rsidRPr="00D813D7">
        <w:rPr>
          <w:rFonts w:ascii="Times New Roman" w:hAnsi="Times New Roman"/>
          <w:sz w:val="24"/>
          <w:szCs w:val="24"/>
        </w:rPr>
        <w:lastRenderedPageBreak/>
        <w:t>$4,138;</w:t>
      </w:r>
    </w:p>
    <w:p w:rsidR="00336F9E" w:rsidRDefault="00565F4D" w:rsidP="00883CED">
      <w:pPr>
        <w:pStyle w:val="ListParagraph"/>
        <w:widowControl w:val="0"/>
        <w:numPr>
          <w:ilvl w:val="0"/>
          <w:numId w:val="38"/>
        </w:numPr>
        <w:spacing w:after="0" w:line="480" w:lineRule="auto"/>
        <w:ind w:left="1440"/>
        <w:rPr>
          <w:rFonts w:ascii="Times New Roman" w:hAnsi="Times New Roman"/>
          <w:sz w:val="24"/>
          <w:szCs w:val="24"/>
        </w:rPr>
      </w:pPr>
      <w:r w:rsidRPr="00D813D7">
        <w:rPr>
          <w:rFonts w:ascii="Times New Roman" w:hAnsi="Times New Roman"/>
          <w:sz w:val="24"/>
          <w:szCs w:val="24"/>
        </w:rPr>
        <w:t xml:space="preserve">Denying the Company’s presumption of having sole discretion in favor of requiring an independent review and appraisal of facilities being sold, transferred or abandoned with each </w:t>
      </w:r>
      <w:r w:rsidR="00735D2F" w:rsidRPr="00D813D7">
        <w:rPr>
          <w:rFonts w:ascii="Times New Roman" w:hAnsi="Times New Roman"/>
          <w:sz w:val="24"/>
          <w:szCs w:val="24"/>
        </w:rPr>
        <w:t>d</w:t>
      </w:r>
      <w:r w:rsidRPr="00D813D7">
        <w:rPr>
          <w:rFonts w:ascii="Times New Roman" w:hAnsi="Times New Roman"/>
          <w:sz w:val="24"/>
          <w:szCs w:val="24"/>
        </w:rPr>
        <w:t xml:space="preserve">isconnection and </w:t>
      </w:r>
      <w:r w:rsidR="00735D2F" w:rsidRPr="00D813D7">
        <w:rPr>
          <w:rFonts w:ascii="Times New Roman" w:hAnsi="Times New Roman"/>
          <w:sz w:val="24"/>
          <w:szCs w:val="24"/>
        </w:rPr>
        <w:t>r</w:t>
      </w:r>
      <w:r w:rsidRPr="00D813D7">
        <w:rPr>
          <w:rFonts w:ascii="Times New Roman" w:hAnsi="Times New Roman"/>
          <w:sz w:val="24"/>
          <w:szCs w:val="24"/>
        </w:rPr>
        <w:t>emoval request.</w:t>
      </w:r>
    </w:p>
    <w:p w:rsidR="00576E59" w:rsidRPr="00883CED" w:rsidRDefault="00576E59" w:rsidP="00883CED">
      <w:pPr>
        <w:pStyle w:val="ListParagraph"/>
        <w:widowControl w:val="0"/>
        <w:numPr>
          <w:ilvl w:val="0"/>
          <w:numId w:val="38"/>
        </w:numPr>
        <w:spacing w:after="0" w:line="480" w:lineRule="auto"/>
        <w:ind w:left="1440"/>
        <w:rPr>
          <w:rFonts w:ascii="Times New Roman" w:hAnsi="Times New Roman"/>
          <w:sz w:val="24"/>
          <w:szCs w:val="24"/>
        </w:rPr>
      </w:pPr>
      <w:r>
        <w:rPr>
          <w:rFonts w:ascii="Times New Roman" w:hAnsi="Times New Roman"/>
          <w:sz w:val="24"/>
          <w:szCs w:val="24"/>
        </w:rPr>
        <w:t>Further modifications based on capturing the impact of contributions to low-income rate assistance programs and energy efficiency programs would be appropriate.</w:t>
      </w:r>
    </w:p>
    <w:p w:rsidR="00336F9E" w:rsidRPr="00D813D7" w:rsidRDefault="00883CED" w:rsidP="00336F9E">
      <w:pPr>
        <w:tabs>
          <w:tab w:val="left" w:pos="90"/>
        </w:tabs>
        <w:spacing w:after="0" w:line="480" w:lineRule="auto"/>
        <w:ind w:left="720" w:hanging="720"/>
        <w:jc w:val="both"/>
        <w:rPr>
          <w:rFonts w:ascii="Times New Roman" w:hAnsi="Times New Roman"/>
          <w:b/>
          <w:sz w:val="24"/>
          <w:szCs w:val="24"/>
        </w:rPr>
      </w:pPr>
      <w:r>
        <w:rPr>
          <w:rFonts w:ascii="Times New Roman" w:hAnsi="Times New Roman"/>
          <w:b/>
          <w:sz w:val="24"/>
          <w:szCs w:val="24"/>
        </w:rPr>
        <w:t>Q:</w:t>
      </w:r>
      <w:r w:rsidR="00336F9E" w:rsidRPr="00D813D7">
        <w:rPr>
          <w:rFonts w:ascii="Times New Roman" w:hAnsi="Times New Roman"/>
          <w:b/>
          <w:sz w:val="24"/>
          <w:szCs w:val="24"/>
        </w:rPr>
        <w:tab/>
        <w:t>Does this conclude your testimony?</w:t>
      </w:r>
    </w:p>
    <w:p w:rsidR="00F57164" w:rsidRPr="00D813D7" w:rsidRDefault="00883CED" w:rsidP="00D43A98">
      <w:pPr>
        <w:spacing w:line="480" w:lineRule="auto"/>
        <w:ind w:left="720" w:hanging="720"/>
        <w:rPr>
          <w:rFonts w:ascii="Times New Roman" w:hAnsi="Times New Roman"/>
          <w:sz w:val="24"/>
          <w:szCs w:val="24"/>
        </w:rPr>
      </w:pPr>
      <w:r>
        <w:rPr>
          <w:rFonts w:ascii="Times New Roman" w:hAnsi="Times New Roman"/>
          <w:sz w:val="24"/>
          <w:szCs w:val="24"/>
        </w:rPr>
        <w:t>A:</w:t>
      </w:r>
      <w:r w:rsidR="00336F9E" w:rsidRPr="00D813D7">
        <w:rPr>
          <w:rFonts w:ascii="Times New Roman" w:hAnsi="Times New Roman"/>
          <w:sz w:val="24"/>
          <w:szCs w:val="24"/>
        </w:rPr>
        <w:tab/>
      </w:r>
      <w:r w:rsidR="00B05622" w:rsidRPr="00D813D7">
        <w:rPr>
          <w:rFonts w:ascii="Times New Roman" w:hAnsi="Times New Roman"/>
          <w:sz w:val="24"/>
          <w:szCs w:val="24"/>
        </w:rPr>
        <w:t>Yes</w:t>
      </w:r>
      <w:r w:rsidR="00BE1C41" w:rsidRPr="00D813D7">
        <w:rPr>
          <w:rFonts w:ascii="Times New Roman" w:hAnsi="Times New Roman"/>
          <w:sz w:val="24"/>
          <w:szCs w:val="24"/>
        </w:rPr>
        <w:t>, it does.</w:t>
      </w:r>
    </w:p>
    <w:sectPr w:rsidR="00F57164" w:rsidRPr="00D813D7" w:rsidSect="00900ADA">
      <w:headerReference w:type="default" r:id="rId14"/>
      <w:footerReference w:type="default" r:id="rId15"/>
      <w:pgSz w:w="12240" w:h="15840"/>
      <w:pgMar w:top="1296" w:right="1296" w:bottom="1296" w:left="1296"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7AFF51" w15:done="0"/>
  <w15:commentEx w15:paraId="2BF1B57C" w15:paraIdParent="097AFF51" w15:done="0"/>
  <w15:commentEx w15:paraId="62B30854" w15:done="0"/>
  <w15:commentEx w15:paraId="71C2EBEC" w15:done="0"/>
  <w15:commentEx w15:paraId="57E2A4FC" w15:done="1"/>
  <w15:commentEx w15:paraId="239A60DF" w15:done="0"/>
  <w15:commentEx w15:paraId="06A4F863" w15:done="0"/>
  <w15:commentEx w15:paraId="4D2C8CB4" w15:done="0"/>
  <w15:commentEx w15:paraId="63256117" w15:paraIdParent="4D2C8CB4" w15:done="0"/>
  <w15:commentEx w15:paraId="3841A942" w15:done="0"/>
  <w15:commentEx w15:paraId="403A1CE0" w15:done="0"/>
  <w15:commentEx w15:paraId="3789D6B9" w15:done="0"/>
  <w15:commentEx w15:paraId="2D43A20D" w15:done="0"/>
  <w15:commentEx w15:paraId="306A9B86" w15:paraIdParent="2D43A20D" w15:done="0"/>
  <w15:commentEx w15:paraId="24CCD0D2" w15:done="0"/>
  <w15:commentEx w15:paraId="1173C3A0" w15:done="0"/>
  <w15:commentEx w15:paraId="45A066E7" w15:done="0"/>
  <w15:commentEx w15:paraId="06308C31" w15:done="0"/>
  <w15:commentEx w15:paraId="5CC542B3" w15:done="0"/>
  <w15:commentEx w15:paraId="09F9AABA" w15:done="0"/>
  <w15:commentEx w15:paraId="2AE36F7D" w15:done="0"/>
  <w15:commentEx w15:paraId="5CC71B56" w15:done="0"/>
  <w15:commentEx w15:paraId="11945B79" w15:done="0"/>
  <w15:commentEx w15:paraId="28029224" w15:done="0"/>
  <w15:commentEx w15:paraId="042276BF" w15:done="0"/>
  <w15:commentEx w15:paraId="00B5AF29" w15:paraIdParent="042276BF" w15:done="0"/>
  <w15:commentEx w15:paraId="0408FA61" w15:done="1"/>
  <w15:commentEx w15:paraId="5EB0CEB9" w15:done="0"/>
  <w15:commentEx w15:paraId="5ED93A2C" w15:done="0"/>
  <w15:commentEx w15:paraId="0E30FFCF" w15:done="0"/>
  <w15:commentEx w15:paraId="0F4DE448" w15:paraIdParent="0E30FFCF" w15:done="0"/>
  <w15:commentEx w15:paraId="382FB9D4" w15:done="0"/>
  <w15:commentEx w15:paraId="564DFF26" w15:paraIdParent="382FB9D4" w15:done="0"/>
  <w15:commentEx w15:paraId="2A074989" w15:done="0"/>
  <w15:commentEx w15:paraId="4E2FA982" w15:paraIdParent="2A074989" w15:done="0"/>
  <w15:commentEx w15:paraId="7E731FAC" w15:done="0"/>
  <w15:commentEx w15:paraId="094A6CD9" w15:done="0"/>
  <w15:commentEx w15:paraId="4789DC0A" w15:paraIdParent="094A6CD9" w15:done="0"/>
  <w15:commentEx w15:paraId="60B88DE5" w15:done="0"/>
  <w15:commentEx w15:paraId="722E7EC4" w15:paraIdParent="60B88DE5" w15:done="0"/>
  <w15:commentEx w15:paraId="468853CA" w15:done="0"/>
  <w15:commentEx w15:paraId="773FC121" w15:paraIdParent="468853CA" w15:done="0"/>
  <w15:commentEx w15:paraId="000649D6" w15:done="0"/>
  <w15:commentEx w15:paraId="4FDCB466" w15:paraIdParent="000649D6" w15:done="0"/>
  <w15:commentEx w15:paraId="71650323" w15:done="0"/>
  <w15:commentEx w15:paraId="679CF1F5" w15:done="0"/>
  <w15:commentEx w15:paraId="52CF8206" w15:done="0"/>
  <w15:commentEx w15:paraId="7784CAEA" w15:paraIdParent="52CF8206" w15:done="0"/>
  <w15:commentEx w15:paraId="5578C077" w15:paraIdParent="52CF8206" w15:done="0"/>
  <w15:commentEx w15:paraId="11B35E7E" w15:done="0"/>
  <w15:commentEx w15:paraId="45002FE8" w15:done="0"/>
  <w15:commentEx w15:paraId="6E527287" w15:paraIdParent="45002FE8" w15:done="0"/>
  <w15:commentEx w15:paraId="0741D9E0" w15:done="0"/>
  <w15:commentEx w15:paraId="0824AA35" w15:done="0"/>
  <w15:commentEx w15:paraId="2B80FD7C" w15:done="0"/>
  <w15:commentEx w15:paraId="015F41FA" w15:done="0"/>
  <w15:commentEx w15:paraId="1684D83B" w15:done="0"/>
  <w15:commentEx w15:paraId="559153C0" w15:done="0"/>
  <w15:commentEx w15:paraId="42286D48" w15:done="0"/>
  <w15:commentEx w15:paraId="6DEA19A4" w15:paraIdParent="42286D48" w15:done="0"/>
  <w15:commentEx w15:paraId="7B851E70" w15:done="0"/>
  <w15:commentEx w15:paraId="26CF64F1" w15:done="0"/>
  <w15:commentEx w15:paraId="7572A2F6" w15:done="0"/>
  <w15:commentEx w15:paraId="748DA61A" w15:paraIdParent="7572A2F6" w15:done="0"/>
  <w15:commentEx w15:paraId="6F4FE019" w15:done="0"/>
  <w15:commentEx w15:paraId="20C19E67" w15:paraIdParent="6F4FE019" w15:done="0"/>
  <w15:commentEx w15:paraId="44A22758" w15:done="0"/>
  <w15:commentEx w15:paraId="4D7B088E" w15:done="0"/>
  <w15:commentEx w15:paraId="78F97887" w15:done="0"/>
  <w15:commentEx w15:paraId="21C77F32" w15:paraIdParent="78F97887" w15:done="0"/>
  <w15:commentEx w15:paraId="2CF665BA" w15:done="0"/>
  <w15:commentEx w15:paraId="6B45AE0C" w15:paraIdParent="2CF665BA" w15:done="0"/>
  <w15:commentEx w15:paraId="29F52F9E" w15:done="0"/>
  <w15:commentEx w15:paraId="7CD81CE7" w15:done="0"/>
  <w15:commentEx w15:paraId="72CCA20D" w15:done="0"/>
  <w15:commentEx w15:paraId="737170A8" w15:paraIdParent="72CCA20D" w15:done="0"/>
  <w15:commentEx w15:paraId="4D753BE4" w15:done="0"/>
  <w15:commentEx w15:paraId="79E10813" w15:paraIdParent="4D753BE4" w15:done="0"/>
  <w15:commentEx w15:paraId="6735D760" w15:done="0"/>
  <w15:commentEx w15:paraId="31A19B63" w15:done="0"/>
  <w15:commentEx w15:paraId="2A21BB6E" w15:paraIdParent="31A19B63" w15:done="0"/>
  <w15:commentEx w15:paraId="78797571" w15:done="0"/>
  <w15:commentEx w15:paraId="6A0367D4" w15:done="0"/>
  <w15:commentEx w15:paraId="5E935EB1" w15:done="0"/>
  <w15:commentEx w15:paraId="02516A72" w15:done="0"/>
  <w15:commentEx w15:paraId="4C159155" w15:done="0"/>
  <w15:commentEx w15:paraId="122910A8" w15:done="0"/>
  <w15:commentEx w15:paraId="69E787D0" w15:done="0"/>
  <w15:commentEx w15:paraId="25532E28" w15:done="0"/>
  <w15:commentEx w15:paraId="771EAF87" w15:done="0"/>
  <w15:commentEx w15:paraId="4E3F4D3A" w15:done="0"/>
  <w15:commentEx w15:paraId="06FE2710" w15:done="0"/>
  <w15:commentEx w15:paraId="7491B417" w15:paraIdParent="06FE2710" w15:done="0"/>
  <w15:commentEx w15:paraId="19F1A278" w15:done="0"/>
  <w15:commentEx w15:paraId="5DB2C6FD" w15:done="0"/>
  <w15:commentEx w15:paraId="7BFA26B1" w15:paraIdParent="5DB2C6FD" w15:done="0"/>
  <w15:commentEx w15:paraId="02E9E43C" w15:done="0"/>
  <w15:commentEx w15:paraId="2026A207" w15:done="0"/>
  <w15:commentEx w15:paraId="72732A73" w15:done="0"/>
  <w15:commentEx w15:paraId="0A1F0F7C" w15:done="0"/>
  <w15:commentEx w15:paraId="35974627" w15:paraIdParent="0A1F0F7C" w15:done="0"/>
  <w15:commentEx w15:paraId="6B1026B6" w15:done="0"/>
  <w15:commentEx w15:paraId="0E0F44B7" w15:paraIdParent="6B1026B6" w15:done="0"/>
  <w15:commentEx w15:paraId="3FBEED79" w15:done="0"/>
  <w15:commentEx w15:paraId="6E03CA96" w15:done="0"/>
  <w15:commentEx w15:paraId="132C9495" w15:done="0"/>
  <w15:commentEx w15:paraId="6CA9A138" w15:done="0"/>
  <w15:commentEx w15:paraId="18F3DECC" w15:done="0"/>
  <w15:commentEx w15:paraId="391B09B0" w15:done="0"/>
  <w15:commentEx w15:paraId="61D1F403" w15:done="0"/>
  <w15:commentEx w15:paraId="6AD27D14" w15:done="0"/>
  <w15:commentEx w15:paraId="16373A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D3" w:rsidRDefault="00C446D3" w:rsidP="00336F9E">
      <w:pPr>
        <w:spacing w:after="0" w:line="240" w:lineRule="auto"/>
      </w:pPr>
      <w:r>
        <w:separator/>
      </w:r>
    </w:p>
  </w:endnote>
  <w:endnote w:type="continuationSeparator" w:id="0">
    <w:p w:rsidR="00C446D3" w:rsidRDefault="00C446D3" w:rsidP="0033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etter Gothic">
    <w:altName w:val="Courier New"/>
    <w:charset w:val="00"/>
    <w:family w:val="modern"/>
    <w:pitch w:val="fixed"/>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D3" w:rsidRDefault="00C446D3">
    <w:pPr>
      <w:pStyle w:val="Footer"/>
      <w:jc w:val="center"/>
    </w:pPr>
  </w:p>
  <w:p w:rsidR="00C446D3" w:rsidRDefault="00C44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19219"/>
      <w:docPartObj>
        <w:docPartGallery w:val="Page Numbers (Bottom of Page)"/>
        <w:docPartUnique/>
      </w:docPartObj>
    </w:sdtPr>
    <w:sdtEndPr/>
    <w:sdtContent>
      <w:sdt>
        <w:sdtPr>
          <w:id w:val="-396664421"/>
          <w:docPartObj>
            <w:docPartGallery w:val="Page Numbers (Top of Page)"/>
            <w:docPartUnique/>
          </w:docPartObj>
        </w:sdtPr>
        <w:sdtEndPr/>
        <w:sdtContent>
          <w:p w:rsidR="00C446D3" w:rsidRDefault="00C446D3">
            <w:pPr>
              <w:pStyle w:val="Footer"/>
              <w:jc w:val="center"/>
            </w:pPr>
            <w:r w:rsidRPr="00454AA4">
              <w:rPr>
                <w:rFonts w:ascii="Times New Roman" w:hAnsi="Times New Roman"/>
                <w:sz w:val="20"/>
                <w:szCs w:val="20"/>
              </w:rPr>
              <w:fldChar w:fldCharType="begin"/>
            </w:r>
            <w:r w:rsidRPr="00454AA4">
              <w:rPr>
                <w:rFonts w:ascii="Times New Roman" w:hAnsi="Times New Roman"/>
                <w:sz w:val="20"/>
                <w:szCs w:val="20"/>
              </w:rPr>
              <w:instrText xml:space="preserve"> PAGE   \* MERGEFORMAT </w:instrText>
            </w:r>
            <w:r w:rsidRPr="00454AA4">
              <w:rPr>
                <w:rFonts w:ascii="Times New Roman" w:hAnsi="Times New Roman"/>
                <w:sz w:val="20"/>
                <w:szCs w:val="20"/>
              </w:rPr>
              <w:fldChar w:fldCharType="separate"/>
            </w:r>
            <w:r w:rsidR="00AC7CA6">
              <w:rPr>
                <w:rFonts w:ascii="Times New Roman" w:hAnsi="Times New Roman"/>
                <w:noProof/>
                <w:sz w:val="20"/>
                <w:szCs w:val="20"/>
              </w:rPr>
              <w:t>60</w:t>
            </w:r>
            <w:r w:rsidRPr="00454AA4">
              <w:rPr>
                <w:rFonts w:ascii="Times New Roman" w:hAnsi="Times New Roman"/>
                <w:noProof/>
                <w:sz w:val="20"/>
                <w:szCs w:val="20"/>
              </w:rPr>
              <w:fldChar w:fldCharType="end"/>
            </w:r>
          </w:p>
        </w:sdtContent>
      </w:sdt>
    </w:sdtContent>
  </w:sdt>
  <w:p w:rsidR="00C446D3" w:rsidRDefault="00C44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D3" w:rsidRDefault="00C446D3" w:rsidP="00336F9E">
      <w:pPr>
        <w:spacing w:after="0" w:line="240" w:lineRule="auto"/>
      </w:pPr>
      <w:r>
        <w:separator/>
      </w:r>
    </w:p>
  </w:footnote>
  <w:footnote w:type="continuationSeparator" w:id="0">
    <w:p w:rsidR="00C446D3" w:rsidRDefault="00C446D3" w:rsidP="00336F9E">
      <w:pPr>
        <w:spacing w:after="0" w:line="240" w:lineRule="auto"/>
      </w:pPr>
      <w:r>
        <w:continuationSeparator/>
      </w:r>
    </w:p>
  </w:footnote>
  <w:footnote w:id="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Direct Testimony of R. Bryce Dalley, Exhibit No. RBD-1T at 4:</w:t>
      </w:r>
      <w:r w:rsidRPr="00911D0D">
        <w:rPr>
          <w:rFonts w:ascii="Times New Roman" w:hAnsi="Times New Roman"/>
        </w:rPr>
        <w:t>11-19.</w:t>
      </w:r>
    </w:p>
  </w:footnote>
  <w:footnote w:id="2">
    <w:p w:rsidR="00C446D3" w:rsidRPr="00911D0D" w:rsidRDefault="00C446D3" w:rsidP="00D25B64">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215046">
        <w:rPr>
          <w:rFonts w:ascii="Times New Roman" w:hAnsi="Times New Roman"/>
          <w:i/>
        </w:rPr>
        <w:t>Walla Walla Country Club v. Pac. Power &amp; Light Co</w:t>
      </w:r>
      <w:r>
        <w:rPr>
          <w:rFonts w:ascii="Times New Roman" w:hAnsi="Times New Roman"/>
        </w:rPr>
        <w:t>., Docket</w:t>
      </w:r>
      <w:r w:rsidRPr="00911D0D">
        <w:rPr>
          <w:rFonts w:ascii="Times New Roman" w:hAnsi="Times New Roman"/>
        </w:rPr>
        <w:t xml:space="preserve"> UE-143932, Order 05, Final Order Denying Petition for R</w:t>
      </w:r>
      <w:r>
        <w:rPr>
          <w:rFonts w:ascii="Times New Roman" w:hAnsi="Times New Roman"/>
        </w:rPr>
        <w:t>eview; Clarifying Order 03 ¶ 8</w:t>
      </w:r>
      <w:r w:rsidRPr="00911D0D">
        <w:rPr>
          <w:rFonts w:ascii="Times New Roman" w:hAnsi="Times New Roman"/>
        </w:rPr>
        <w:t xml:space="preserve"> </w:t>
      </w:r>
      <w:r>
        <w:rPr>
          <w:rFonts w:ascii="Times New Roman" w:hAnsi="Times New Roman"/>
        </w:rPr>
        <w:t>(</w:t>
      </w:r>
      <w:r w:rsidRPr="00911D0D">
        <w:rPr>
          <w:rFonts w:ascii="Times New Roman" w:hAnsi="Times New Roman"/>
        </w:rPr>
        <w:t>May 5, 2016</w:t>
      </w:r>
      <w:r>
        <w:rPr>
          <w:rFonts w:ascii="Times New Roman" w:hAnsi="Times New Roman"/>
        </w:rPr>
        <w:t>)</w:t>
      </w:r>
      <w:r w:rsidRPr="00911D0D">
        <w:rPr>
          <w:rFonts w:ascii="Times New Roman" w:hAnsi="Times New Roman"/>
        </w:rPr>
        <w:t>.</w:t>
      </w:r>
    </w:p>
  </w:footnote>
  <w:footnote w:id="3">
    <w:p w:rsidR="00C446D3" w:rsidRPr="00911D0D" w:rsidRDefault="00C446D3" w:rsidP="00663AFE">
      <w:pPr>
        <w:pStyle w:val="FootnoteText"/>
        <w:rPr>
          <w:rFonts w:ascii="Times New Roman" w:hAnsi="Times New Roman"/>
        </w:rPr>
      </w:pPr>
      <w:r w:rsidRPr="00911D0D">
        <w:rPr>
          <w:rStyle w:val="FootnoteReference"/>
          <w:rFonts w:ascii="Times New Roman" w:hAnsi="Times New Roman"/>
        </w:rPr>
        <w:footnoteRef/>
      </w:r>
      <w:r>
        <w:rPr>
          <w:rFonts w:ascii="Times New Roman" w:hAnsi="Times New Roman"/>
        </w:rPr>
        <w:t xml:space="preserve"> Pacific Power Tariff WN</w:t>
      </w:r>
      <w:r w:rsidR="00A132B5">
        <w:rPr>
          <w:rFonts w:ascii="Times New Roman" w:hAnsi="Times New Roman"/>
        </w:rPr>
        <w:t xml:space="preserve"> </w:t>
      </w:r>
      <w:r>
        <w:rPr>
          <w:rFonts w:ascii="Times New Roman" w:hAnsi="Times New Roman"/>
        </w:rPr>
        <w:t>U-75, Rule 1, Sheet Nos. R1.1 through R1.3 [Version with track changes.  D</w:t>
      </w:r>
      <w:r w:rsidRPr="00911D0D">
        <w:rPr>
          <w:rFonts w:ascii="Times New Roman" w:hAnsi="Times New Roman"/>
        </w:rPr>
        <w:t>efinitions added besides Stranded Cost Recovery Fee include Actual Cost of Removal (including costs to investigate redundant services), Facilities, Fair Market Value, Net Book Value, and Salvag</w:t>
      </w:r>
      <w:r>
        <w:rPr>
          <w:rFonts w:ascii="Times New Roman" w:hAnsi="Times New Roman"/>
        </w:rPr>
        <w:t>e]</w:t>
      </w:r>
      <w:r w:rsidRPr="00911D0D">
        <w:rPr>
          <w:rFonts w:ascii="Times New Roman" w:hAnsi="Times New Roman"/>
        </w:rPr>
        <w:t>.</w:t>
      </w:r>
    </w:p>
  </w:footnote>
  <w:footnote w:id="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xml:space="preserve">, </w:t>
      </w:r>
      <w:r>
        <w:rPr>
          <w:rFonts w:ascii="Times New Roman" w:hAnsi="Times New Roman"/>
        </w:rPr>
        <w:t xml:space="preserve">Rule 6, </w:t>
      </w:r>
      <w:r w:rsidRPr="00911D0D">
        <w:rPr>
          <w:rFonts w:ascii="Times New Roman" w:hAnsi="Times New Roman"/>
        </w:rPr>
        <w:t>Sheet No. R6.2 – R6.3, Section I.</w:t>
      </w:r>
    </w:p>
  </w:footnote>
  <w:footnote w:id="5">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Pr>
          <w:rFonts w:ascii="Times New Roman" w:hAnsi="Times New Roman"/>
        </w:rPr>
        <w:t xml:space="preserve"> </w:t>
      </w:r>
      <w:r w:rsidRPr="00C446D3">
        <w:rPr>
          <w:rFonts w:ascii="Times New Roman" w:hAnsi="Times New Roman"/>
          <w:i/>
        </w:rPr>
        <w:t>Id</w:t>
      </w:r>
      <w:r>
        <w:rPr>
          <w:rFonts w:ascii="Times New Roman" w:hAnsi="Times New Roman"/>
        </w:rPr>
        <w:t>., Schedule 300, Sheet No. 300-1.</w:t>
      </w:r>
    </w:p>
  </w:footnote>
  <w:footnote w:id="6">
    <w:p w:rsidR="00C446D3" w:rsidRPr="00911D0D" w:rsidRDefault="00C446D3" w:rsidP="007204DF">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Schedule 300, Sheet No. 300-1</w:t>
      </w:r>
      <w:r>
        <w:rPr>
          <w:rFonts w:ascii="Times New Roman" w:hAnsi="Times New Roman"/>
        </w:rPr>
        <w:t>.</w:t>
      </w:r>
    </w:p>
  </w:footnote>
  <w:footnote w:id="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1, Sheet No. R1.2</w:t>
      </w:r>
      <w:r w:rsidR="00A132B5">
        <w:rPr>
          <w:rFonts w:ascii="Times New Roman" w:hAnsi="Times New Roman"/>
        </w:rPr>
        <w:t>.</w:t>
      </w:r>
    </w:p>
  </w:footnote>
  <w:footnote w:id="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1, Sheet No. R1.1</w:t>
      </w:r>
      <w:r w:rsidR="00A132B5">
        <w:rPr>
          <w:rFonts w:ascii="Times New Roman" w:hAnsi="Times New Roman"/>
        </w:rPr>
        <w:t>.</w:t>
      </w:r>
    </w:p>
  </w:footnote>
  <w:footnote w:id="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8C4A5B">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6, Sheet No. R6.3, Section I.1.b.</w:t>
      </w:r>
    </w:p>
  </w:footnote>
  <w:footnote w:id="1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6, Sheet No. R6.3, Section I.1.b</w:t>
      </w:r>
    </w:p>
  </w:footnote>
  <w:footnote w:id="1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6, Sheet No. R6.3, Section I.2.</w:t>
      </w:r>
    </w:p>
  </w:footnote>
  <w:footnote w:id="12">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sidRPr="00911D0D">
        <w:rPr>
          <w:rFonts w:ascii="Times New Roman" w:hAnsi="Times New Roman"/>
        </w:rPr>
        <w:t>.</w:t>
      </w:r>
    </w:p>
  </w:footnote>
  <w:footnote w:id="1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w:t>
      </w:r>
      <w:r>
        <w:rPr>
          <w:rFonts w:ascii="Times New Roman" w:hAnsi="Times New Roman"/>
        </w:rPr>
        <w:t xml:space="preserve"> Rule 1,</w:t>
      </w:r>
      <w:r w:rsidRPr="00911D0D">
        <w:rPr>
          <w:rFonts w:ascii="Times New Roman" w:hAnsi="Times New Roman"/>
        </w:rPr>
        <w:t xml:space="preserve"> Sheet No. R1.2, Permanent Disconnection and Removal definition.</w:t>
      </w:r>
    </w:p>
  </w:footnote>
  <w:footnote w:id="1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6, Sheet No. R6.3, Section I.3.  The Company’s revision does not affirmatively state that the departing customer would pay for facilities designated for removal from right of ways.  Instead this provision to Section 1.3 states</w:t>
      </w:r>
      <w:r>
        <w:rPr>
          <w:rFonts w:ascii="Times New Roman" w:hAnsi="Times New Roman"/>
        </w:rPr>
        <w:t xml:space="preserve">, </w:t>
      </w:r>
      <w:r w:rsidRPr="00911D0D">
        <w:rPr>
          <w:rFonts w:ascii="Times New Roman" w:hAnsi="Times New Roman"/>
        </w:rPr>
        <w:t>“No later than 90 days after removal of Facilities not purchased by the departing Customer or not abandoned and decommissioned by the Company, the Company will determine the Actual Cost of Removal and adjust the estimated bill to that amount.”  This adjustment could be due to a revision in the estimated cost of the Facilities purchased by the departing Customer or additional facilities in right of ways.  Because the Company has afforded itself sole discretion to determine such costs, it is more conservative to assume that the departing Customer will be responsible for paying for Facilities in both categories.</w:t>
      </w:r>
    </w:p>
  </w:footnote>
  <w:footnote w:id="15">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6, Sheet No. R6.3, Section I.4.</w:t>
      </w:r>
    </w:p>
  </w:footnote>
  <w:footnote w:id="16">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xml:space="preserve">, Schedule 300, </w:t>
      </w:r>
      <w:r>
        <w:rPr>
          <w:rFonts w:ascii="Times New Roman" w:hAnsi="Times New Roman"/>
        </w:rPr>
        <w:t>S</w:t>
      </w:r>
      <w:r w:rsidRPr="00911D0D">
        <w:rPr>
          <w:rFonts w:ascii="Times New Roman" w:hAnsi="Times New Roman"/>
        </w:rPr>
        <w:t>heet No. 300.1.</w:t>
      </w:r>
    </w:p>
  </w:footnote>
  <w:footnote w:id="1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xml:space="preserve">, </w:t>
      </w:r>
      <w:r>
        <w:rPr>
          <w:rFonts w:ascii="Times New Roman" w:hAnsi="Times New Roman"/>
        </w:rPr>
        <w:t xml:space="preserve">Rule 6, </w:t>
      </w:r>
      <w:r w:rsidRPr="00911D0D">
        <w:rPr>
          <w:rFonts w:ascii="Times New Roman" w:hAnsi="Times New Roman"/>
        </w:rPr>
        <w:t>Sheet No. R6.3, Section I.2.</w:t>
      </w:r>
    </w:p>
  </w:footnote>
  <w:footnote w:id="1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Id</w:t>
      </w:r>
      <w:r>
        <w:rPr>
          <w:rFonts w:ascii="Times New Roman" w:hAnsi="Times New Roman"/>
        </w:rPr>
        <w:t>.</w:t>
      </w:r>
      <w:r w:rsidRPr="00911D0D">
        <w:rPr>
          <w:rFonts w:ascii="Times New Roman" w:hAnsi="Times New Roman"/>
        </w:rPr>
        <w:t>, Rule 6, Sheet No. R6.3, Section I.3.</w:t>
      </w:r>
    </w:p>
  </w:footnote>
  <w:footnote w:id="1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This revision is consistent with the proposed stranded cost recovery fee allocation methodology in </w:t>
      </w:r>
      <w:r>
        <w:rPr>
          <w:rFonts w:ascii="Times New Roman" w:hAnsi="Times New Roman"/>
        </w:rPr>
        <w:t xml:space="preserve">Docket </w:t>
      </w:r>
      <w:r w:rsidRPr="00911D0D">
        <w:rPr>
          <w:rFonts w:ascii="Times New Roman" w:hAnsi="Times New Roman"/>
        </w:rPr>
        <w:t>UE</w:t>
      </w:r>
      <w:r>
        <w:rPr>
          <w:rFonts w:ascii="Times New Roman" w:hAnsi="Times New Roman"/>
        </w:rPr>
        <w:noBreakHyphen/>
      </w:r>
      <w:r w:rsidRPr="00911D0D">
        <w:rPr>
          <w:rFonts w:ascii="Times New Roman" w:hAnsi="Times New Roman"/>
        </w:rPr>
        <w:t xml:space="preserve">161123, as cited in this docket in </w:t>
      </w:r>
      <w:r>
        <w:rPr>
          <w:rFonts w:ascii="Times New Roman" w:hAnsi="Times New Roman"/>
        </w:rPr>
        <w:t xml:space="preserve">Dalley, </w:t>
      </w:r>
      <w:r w:rsidRPr="00911D0D">
        <w:rPr>
          <w:rFonts w:ascii="Times New Roman" w:hAnsi="Times New Roman"/>
        </w:rPr>
        <w:t>Exhibit</w:t>
      </w:r>
      <w:r>
        <w:rPr>
          <w:rFonts w:ascii="Times New Roman" w:hAnsi="Times New Roman"/>
        </w:rPr>
        <w:t xml:space="preserve"> No. RBD-1T at 7:</w:t>
      </w:r>
      <w:r w:rsidRPr="00911D0D">
        <w:rPr>
          <w:rFonts w:ascii="Times New Roman" w:hAnsi="Times New Roman"/>
        </w:rPr>
        <w:t>13-16.</w:t>
      </w:r>
    </w:p>
  </w:footnote>
  <w:footnote w:id="2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Exhibit</w:t>
      </w:r>
      <w:r>
        <w:rPr>
          <w:rFonts w:ascii="Times New Roman" w:hAnsi="Times New Roman"/>
        </w:rPr>
        <w:t xml:space="preserve"> No. RBD-1T at16:</w:t>
      </w:r>
      <w:r w:rsidRPr="00911D0D">
        <w:rPr>
          <w:rFonts w:ascii="Times New Roman" w:hAnsi="Times New Roman"/>
        </w:rPr>
        <w:t>12-14.</w:t>
      </w:r>
    </w:p>
  </w:footnote>
  <w:footnote w:id="21">
    <w:p w:rsidR="00C446D3"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5002C4">
        <w:rPr>
          <w:rFonts w:ascii="Times New Roman" w:hAnsi="Times New Roman"/>
          <w:i/>
        </w:rPr>
        <w:t>See</w:t>
      </w:r>
      <w:r>
        <w:rPr>
          <w:rFonts w:ascii="Times New Roman" w:hAnsi="Times New Roman"/>
          <w:i/>
        </w:rPr>
        <w:t>,</w:t>
      </w:r>
      <w:r w:rsidRPr="005002C4">
        <w:rPr>
          <w:rFonts w:ascii="Times New Roman" w:hAnsi="Times New Roman"/>
          <w:i/>
        </w:rPr>
        <w:t xml:space="preserve"> </w:t>
      </w:r>
      <w:r>
        <w:rPr>
          <w:rFonts w:ascii="Times New Roman" w:hAnsi="Times New Roman"/>
          <w:i/>
        </w:rPr>
        <w:t xml:space="preserve">In re:  Puget Sound Energy for an Accounting Order Approving the Allocation of Proceeds of the Sale of Certain Assets to Pub. Util. Dist. #1 of Jefferson Cty., </w:t>
      </w:r>
      <w:r>
        <w:rPr>
          <w:rFonts w:ascii="Times New Roman" w:hAnsi="Times New Roman"/>
        </w:rPr>
        <w:t>Docket UE-132027, Order 04 ¶ 42 (Sept. 11, 2004), which states:</w:t>
      </w:r>
    </w:p>
    <w:p w:rsidR="00C446D3" w:rsidRDefault="00C446D3">
      <w:pPr>
        <w:pStyle w:val="FootnoteText"/>
        <w:rPr>
          <w:rFonts w:ascii="Times New Roman" w:hAnsi="Times New Roman"/>
        </w:rPr>
      </w:pPr>
    </w:p>
    <w:p w:rsidR="00C446D3" w:rsidRDefault="00C446D3" w:rsidP="00A4004A">
      <w:pPr>
        <w:pStyle w:val="FootnoteText"/>
        <w:ind w:left="720" w:right="720"/>
        <w:jc w:val="both"/>
        <w:rPr>
          <w:rFonts w:ascii="Times New Roman" w:hAnsi="Times New Roman"/>
        </w:rPr>
      </w:pPr>
      <w:r w:rsidRPr="00911D0D">
        <w:rPr>
          <w:rFonts w:ascii="Times New Roman" w:hAnsi="Times New Roman"/>
        </w:rPr>
        <w:t xml:space="preserve">PSE would have us return to use of the much criticized and long discredited “fair value” or “fair market value” approach.  This is an appropriate concept of value in the context of a condemnation proceeding and, in fact, the measure of what a seller is entitled to receive when a municipality, PUD, or other public entity exercises its power of eminent domain. It is not an appropriate concept of value in the context of applying appropriate regulatory treatment to utility property that is subject to rate </w:t>
      </w:r>
      <w:r>
        <w:rPr>
          <w:rFonts w:ascii="Times New Roman" w:hAnsi="Times New Roman"/>
        </w:rPr>
        <w:t>base rate of return regulation.  (Footnote omitted.)</w:t>
      </w:r>
    </w:p>
    <w:p w:rsidR="00C446D3" w:rsidRPr="00911D0D" w:rsidRDefault="00C446D3" w:rsidP="00A4004A">
      <w:pPr>
        <w:pStyle w:val="FootnoteText"/>
        <w:ind w:left="720" w:right="720"/>
        <w:jc w:val="both"/>
        <w:rPr>
          <w:rFonts w:ascii="Times New Roman" w:hAnsi="Times New Roman"/>
        </w:rPr>
      </w:pPr>
      <w:r>
        <w:rPr>
          <w:rFonts w:ascii="Times New Roman" w:hAnsi="Times New Roman"/>
        </w:rPr>
        <w:t xml:space="preserve">  </w:t>
      </w:r>
      <w:r w:rsidRPr="00911D0D">
        <w:rPr>
          <w:rFonts w:ascii="Times New Roman" w:hAnsi="Times New Roman"/>
        </w:rPr>
        <w:t xml:space="preserve">  </w:t>
      </w:r>
    </w:p>
  </w:footnote>
  <w:footnote w:id="22">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Exhibit</w:t>
      </w:r>
      <w:r>
        <w:rPr>
          <w:rFonts w:ascii="Times New Roman" w:hAnsi="Times New Roman"/>
        </w:rPr>
        <w:t xml:space="preserve"> No.</w:t>
      </w:r>
      <w:r w:rsidRPr="00911D0D">
        <w:rPr>
          <w:rFonts w:ascii="Times New Roman" w:hAnsi="Times New Roman"/>
        </w:rPr>
        <w:t xml:space="preserve"> R</w:t>
      </w:r>
      <w:r>
        <w:rPr>
          <w:rFonts w:ascii="Times New Roman" w:hAnsi="Times New Roman"/>
        </w:rPr>
        <w:t>BD-1T at 9:</w:t>
      </w:r>
      <w:r w:rsidRPr="00911D0D">
        <w:rPr>
          <w:rFonts w:ascii="Times New Roman" w:hAnsi="Times New Roman"/>
        </w:rPr>
        <w:t>14-18.</w:t>
      </w:r>
    </w:p>
  </w:footnote>
  <w:footnote w:id="2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P</w:t>
      </w:r>
      <w:r>
        <w:rPr>
          <w:rFonts w:ascii="Times New Roman" w:hAnsi="Times New Roman"/>
        </w:rPr>
        <w:t>ress Release, P</w:t>
      </w:r>
      <w:r w:rsidRPr="00911D0D">
        <w:rPr>
          <w:rFonts w:ascii="Times New Roman" w:hAnsi="Times New Roman"/>
        </w:rPr>
        <w:t>acific Power</w:t>
      </w:r>
      <w:r>
        <w:rPr>
          <w:rFonts w:ascii="Times New Roman" w:hAnsi="Times New Roman"/>
        </w:rPr>
        <w:t>,</w:t>
      </w:r>
      <w:r w:rsidRPr="00911D0D">
        <w:rPr>
          <w:rFonts w:ascii="Times New Roman" w:hAnsi="Times New Roman"/>
        </w:rPr>
        <w:t xml:space="preserve"> “Pacific Power calls on Millersburg to fully disclose millions in stranded cost</w:t>
      </w:r>
      <w:r>
        <w:rPr>
          <w:rFonts w:ascii="Times New Roman" w:hAnsi="Times New Roman"/>
        </w:rPr>
        <w:t>s tied to MUD formation,” (Sept.</w:t>
      </w:r>
      <w:r w:rsidRPr="00911D0D">
        <w:rPr>
          <w:rFonts w:ascii="Times New Roman" w:hAnsi="Times New Roman"/>
        </w:rPr>
        <w:t xml:space="preserve"> 16, 2014</w:t>
      </w:r>
      <w:r>
        <w:rPr>
          <w:rFonts w:ascii="Times New Roman" w:hAnsi="Times New Roman"/>
        </w:rPr>
        <w:t>)</w:t>
      </w:r>
      <w:r w:rsidRPr="00911D0D">
        <w:rPr>
          <w:rFonts w:ascii="Times New Roman" w:hAnsi="Times New Roman"/>
        </w:rPr>
        <w:t xml:space="preserve">, </w:t>
      </w:r>
      <w:hyperlink r:id="rId1" w:history="1">
        <w:r w:rsidRPr="003A5544">
          <w:rPr>
            <w:rStyle w:val="Hyperlink"/>
            <w:rFonts w:ascii="Times New Roman" w:hAnsi="Times New Roman"/>
          </w:rPr>
          <w:t>https://www.pacificpower.net/content/dam/pacific_power/doc/About_Us/In_the_Community/Pacific%20Power%209-16-14%20Millersburg%20standed%20cost%20release.pdf</w:t>
        </w:r>
      </w:hyperlink>
      <w:r>
        <w:rPr>
          <w:rFonts w:ascii="Times New Roman" w:hAnsi="Times New Roman"/>
        </w:rPr>
        <w:t xml:space="preserve">. </w:t>
      </w:r>
    </w:p>
  </w:footnote>
  <w:footnote w:id="2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442CF5">
        <w:rPr>
          <w:rFonts w:ascii="Times New Roman" w:hAnsi="Times New Roman"/>
          <w:i/>
        </w:rPr>
        <w:t xml:space="preserve"> In re:  P.U.C. Instituting a Proceeding to Investigate Distributed Energy Res. Policies</w:t>
      </w:r>
      <w:r>
        <w:rPr>
          <w:rFonts w:ascii="Times New Roman" w:hAnsi="Times New Roman"/>
        </w:rPr>
        <w:t>, Haw. P.U.C. Docket</w:t>
      </w:r>
      <w:r w:rsidRPr="00442CF5">
        <w:rPr>
          <w:rFonts w:ascii="Times New Roman" w:hAnsi="Times New Roman"/>
        </w:rPr>
        <w:t xml:space="preserve"> </w:t>
      </w:r>
      <w:r>
        <w:rPr>
          <w:rFonts w:ascii="Times New Roman" w:hAnsi="Times New Roman"/>
        </w:rPr>
        <w:t xml:space="preserve">No. </w:t>
      </w:r>
      <w:r w:rsidRPr="00442CF5">
        <w:rPr>
          <w:rFonts w:ascii="Times New Roman" w:hAnsi="Times New Roman"/>
        </w:rPr>
        <w:t>2014-0192</w:t>
      </w:r>
      <w:r>
        <w:rPr>
          <w:rFonts w:ascii="Times New Roman" w:hAnsi="Times New Roman"/>
        </w:rPr>
        <w:t xml:space="preserve">.  </w:t>
      </w:r>
    </w:p>
  </w:footnote>
  <w:footnote w:id="25">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442CF5">
        <w:rPr>
          <w:rFonts w:ascii="Times New Roman" w:hAnsi="Times New Roman"/>
          <w:i/>
        </w:rPr>
        <w:t>Elec. Dist. Utils. – Dev. Of New Alt. Net Metering Tariffs and N.H. Pub. Serv. Comm’n NEM Proceeding</w:t>
      </w:r>
      <w:r>
        <w:rPr>
          <w:rFonts w:ascii="Times New Roman" w:hAnsi="Times New Roman"/>
        </w:rPr>
        <w:t>, Docket </w:t>
      </w:r>
      <w:r w:rsidRPr="00911D0D">
        <w:rPr>
          <w:rFonts w:ascii="Times New Roman" w:hAnsi="Times New Roman"/>
        </w:rPr>
        <w:t>No. DE 16-576</w:t>
      </w:r>
      <w:r>
        <w:rPr>
          <w:rFonts w:ascii="Times New Roman" w:hAnsi="Times New Roman"/>
        </w:rPr>
        <w:t xml:space="preserve">.  </w:t>
      </w:r>
    </w:p>
  </w:footnote>
  <w:footnote w:id="26">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442CF5">
        <w:rPr>
          <w:rFonts w:ascii="Times New Roman" w:hAnsi="Times New Roman"/>
          <w:i/>
        </w:rPr>
        <w:t xml:space="preserve"> See</w:t>
      </w:r>
      <w:r>
        <w:rPr>
          <w:rFonts w:ascii="Times New Roman" w:hAnsi="Times New Roman"/>
          <w:i/>
        </w:rPr>
        <w:t>,</w:t>
      </w:r>
      <w:r>
        <w:rPr>
          <w:rFonts w:ascii="Times New Roman" w:hAnsi="Times New Roman"/>
        </w:rPr>
        <w:t xml:space="preserve"> </w:t>
      </w:r>
      <w:r w:rsidRPr="00442CF5">
        <w:rPr>
          <w:rFonts w:ascii="Times New Roman" w:hAnsi="Times New Roman"/>
          <w:i/>
        </w:rPr>
        <w:t>People’s Nat.</w:t>
      </w:r>
      <w:r>
        <w:rPr>
          <w:rFonts w:ascii="Times New Roman" w:hAnsi="Times New Roman"/>
          <w:i/>
        </w:rPr>
        <w:t xml:space="preserve"> Gas v. Pa. P.U.C.</w:t>
      </w:r>
      <w:r w:rsidRPr="00911D0D">
        <w:rPr>
          <w:rFonts w:ascii="Times New Roman" w:hAnsi="Times New Roman"/>
        </w:rPr>
        <w:t>,</w:t>
      </w:r>
      <w:r>
        <w:rPr>
          <w:rFonts w:ascii="Times New Roman" w:hAnsi="Times New Roman"/>
        </w:rPr>
        <w:t xml:space="preserve"> Docket No. 2241 C.D. 1987, available at:    </w:t>
      </w:r>
      <w:hyperlink r:id="rId2" w:history="1">
        <w:r w:rsidRPr="003A5544">
          <w:rPr>
            <w:rStyle w:val="Hyperlink"/>
            <w:rFonts w:ascii="Times New Roman" w:hAnsi="Times New Roman"/>
          </w:rPr>
          <w:t>https://www.courtlistener.com/opinion/2101898/peoples-nat-gas-co-v-pa-puc/</w:t>
        </w:r>
      </w:hyperlink>
      <w:r>
        <w:rPr>
          <w:rFonts w:ascii="Times New Roman" w:hAnsi="Times New Roman"/>
        </w:rPr>
        <w:t xml:space="preserve">.   </w:t>
      </w:r>
    </w:p>
  </w:footnote>
  <w:footnote w:id="2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Definition of Farm Tap suggesting farm taps may be considered part of either a transmission or a gas utility distribution system:  </w:t>
      </w:r>
      <w:hyperlink r:id="rId3" w:history="1">
        <w:r w:rsidRPr="003A5544">
          <w:rPr>
            <w:rStyle w:val="Hyperlink"/>
            <w:rFonts w:ascii="Times New Roman" w:hAnsi="Times New Roman"/>
          </w:rPr>
          <w:t>https://viadata.wordpress.com/2011/05/26/farm-taps-clarification-for-dimp-%C2%A7192-1003/</w:t>
        </w:r>
      </w:hyperlink>
      <w:r>
        <w:rPr>
          <w:rFonts w:ascii="Times New Roman" w:hAnsi="Times New Roman"/>
        </w:rPr>
        <w:t xml:space="preserve">.  </w:t>
      </w:r>
    </w:p>
  </w:footnote>
  <w:footnote w:id="2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Pr>
          <w:rFonts w:ascii="Times New Roman" w:hAnsi="Times New Roman"/>
        </w:rPr>
        <w:t xml:space="preserve"> </w:t>
      </w:r>
      <w:r w:rsidRPr="00A132B5">
        <w:rPr>
          <w:rFonts w:ascii="Times New Roman" w:hAnsi="Times New Roman"/>
          <w:i/>
        </w:rPr>
        <w:t>Pa. P.U.C. v. Peoples TWP</w:t>
      </w:r>
      <w:r w:rsidRPr="00A132B5">
        <w:rPr>
          <w:rFonts w:ascii="Times New Roman" w:hAnsi="Times New Roman"/>
        </w:rPr>
        <w:t>, Pa. P.U.C. Docket No. R-2014-2399598, 1307(f) Purchased Gas C</w:t>
      </w:r>
      <w:r w:rsidR="009F4B60">
        <w:rPr>
          <w:rFonts w:ascii="Times New Roman" w:hAnsi="Times New Roman"/>
        </w:rPr>
        <w:t>ost, Statement No. </w:t>
      </w:r>
      <w:r w:rsidR="00A132B5" w:rsidRPr="00A132B5">
        <w:rPr>
          <w:rFonts w:ascii="Times New Roman" w:hAnsi="Times New Roman"/>
        </w:rPr>
        <w:t>2 at 38 (Jan. 31, 2014</w:t>
      </w:r>
      <w:r w:rsidRPr="00A132B5">
        <w:rPr>
          <w:rFonts w:ascii="Times New Roman" w:hAnsi="Times New Roman"/>
        </w:rPr>
        <w:t>).</w:t>
      </w:r>
    </w:p>
  </w:footnote>
  <w:footnote w:id="2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i/>
        </w:rPr>
        <w:t>Air Liquide Am. Corp. v. Puget Sound Energy</w:t>
      </w:r>
      <w:r w:rsidRPr="00C446D3">
        <w:rPr>
          <w:rFonts w:ascii="Times New Roman" w:hAnsi="Times New Roman"/>
        </w:rPr>
        <w:t xml:space="preserve">, </w:t>
      </w:r>
      <w:r w:rsidRPr="00C446D3">
        <w:rPr>
          <w:rFonts w:ascii="Times New Roman" w:hAnsi="Times New Roman"/>
          <w:i/>
        </w:rPr>
        <w:t>In re:  Petition of Puget Sound Energy for an Order Reallocating Lost Revenues Related to any Reduction in the Schedule 48 or G-P Special Contract Rates</w:t>
      </w:r>
      <w:r w:rsidRPr="00C446D3">
        <w:rPr>
          <w:rFonts w:ascii="Times New Roman" w:hAnsi="Times New Roman"/>
        </w:rPr>
        <w:t xml:space="preserve">, Dockets UE-001952 </w:t>
      </w:r>
      <w:r>
        <w:rPr>
          <w:rFonts w:ascii="Times New Roman" w:hAnsi="Times New Roman"/>
        </w:rPr>
        <w:t>&amp;</w:t>
      </w:r>
      <w:r w:rsidRPr="00C446D3">
        <w:rPr>
          <w:rFonts w:ascii="Times New Roman" w:hAnsi="Times New Roman"/>
        </w:rPr>
        <w:t xml:space="preserve"> UE-001959 (</w:t>
      </w:r>
      <w:r w:rsidRPr="00C446D3">
        <w:rPr>
          <w:rFonts w:ascii="Times New Roman" w:hAnsi="Times New Roman"/>
          <w:i/>
        </w:rPr>
        <w:t>Consolidated</w:t>
      </w:r>
      <w:r w:rsidRPr="00C446D3">
        <w:rPr>
          <w:rFonts w:ascii="Times New Roman" w:hAnsi="Times New Roman"/>
        </w:rPr>
        <w:t>), Eleventh Supplemental Order 14 n.8 (Apr. 5, 2001).</w:t>
      </w:r>
    </w:p>
  </w:footnote>
  <w:footnote w:id="30">
    <w:p w:rsidR="00C446D3" w:rsidRPr="00911D0D" w:rsidRDefault="00C446D3" w:rsidP="00C50E45">
      <w:pPr>
        <w:pStyle w:val="FootnoteText"/>
        <w:rPr>
          <w:rFonts w:ascii="Times New Roman" w:hAnsi="Times New Roman"/>
        </w:rPr>
      </w:pPr>
      <w:r w:rsidRPr="00C446D3">
        <w:rPr>
          <w:rStyle w:val="FootnoteReference"/>
          <w:rFonts w:ascii="Times New Roman" w:hAnsi="Times New Roman"/>
        </w:rPr>
        <w:footnoteRef/>
      </w:r>
      <w:r w:rsidRPr="00C446D3">
        <w:rPr>
          <w:rFonts w:ascii="Times New Roman" w:hAnsi="Times New Roman"/>
        </w:rPr>
        <w:t xml:space="preserve"> William D. Liggett et al.  Energy Info. Admin., </w:t>
      </w:r>
      <w:r w:rsidRPr="00C446D3">
        <w:rPr>
          <w:rFonts w:ascii="Times New Roman" w:hAnsi="Times New Roman"/>
          <w:smallCaps/>
        </w:rPr>
        <w:t xml:space="preserve">The Changing Structure Of The Electric Power Industry 2000:  An Update, </w:t>
      </w:r>
      <w:r w:rsidRPr="00C446D3">
        <w:rPr>
          <w:rFonts w:ascii="Times New Roman" w:hAnsi="Times New Roman"/>
        </w:rPr>
        <w:t xml:space="preserve">at 106 (2000), </w:t>
      </w:r>
      <w:r>
        <w:rPr>
          <w:rFonts w:ascii="Times New Roman" w:hAnsi="Times New Roman"/>
        </w:rPr>
        <w:t xml:space="preserve">  </w:t>
      </w:r>
      <w:r w:rsidRPr="00911D0D">
        <w:rPr>
          <w:rFonts w:ascii="Times New Roman" w:hAnsi="Times New Roman"/>
        </w:rPr>
        <w:t xml:space="preserve"> </w:t>
      </w:r>
      <w:hyperlink r:id="rId4" w:history="1">
        <w:r w:rsidRPr="003A5544">
          <w:rPr>
            <w:rStyle w:val="Hyperlink"/>
            <w:rFonts w:ascii="Times New Roman" w:hAnsi="Times New Roman"/>
          </w:rPr>
          <w:t>http://webapp1.dlib.indiana.edu/virtual_disk_library/index.cgi/4265704/FID1578/pdf/electric/056200.pdf</w:t>
        </w:r>
      </w:hyperlink>
      <w:r>
        <w:rPr>
          <w:rFonts w:ascii="Times New Roman" w:hAnsi="Times New Roman"/>
        </w:rPr>
        <w:t xml:space="preserve">). </w:t>
      </w:r>
    </w:p>
  </w:footnote>
  <w:footnote w:id="3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Per the proposed tariff, there could be distribution assets in place to serve the customer that are sold or retired, but the proposed Stranded Cost Recovery Fee in this proceeding is not directly related to such assets.</w:t>
      </w:r>
    </w:p>
  </w:footnote>
  <w:footnote w:id="32">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Changing modeling assumptions such as fuel prices, load in other areas, contingencies such as forced generation outages, and many others could all change the results of the analysis. </w:t>
      </w:r>
      <w:r>
        <w:rPr>
          <w:rFonts w:ascii="Times New Roman" w:hAnsi="Times New Roman"/>
        </w:rPr>
        <w:t xml:space="preserve"> </w:t>
      </w:r>
      <w:r w:rsidRPr="00911D0D">
        <w:rPr>
          <w:rFonts w:ascii="Times New Roman" w:hAnsi="Times New Roman"/>
        </w:rPr>
        <w:t>This means different generation assets would experience dispatch changes or different transmission assets would experience different power flows with and without the departing customer.</w:t>
      </w:r>
    </w:p>
  </w:footnote>
  <w:footnote w:id="3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Generation and transmission assets are typically sized in 10MW or 100MW or even larger size increments. </w:t>
      </w:r>
      <w:r>
        <w:rPr>
          <w:rFonts w:ascii="Times New Roman" w:hAnsi="Times New Roman"/>
        </w:rPr>
        <w:t xml:space="preserve"> </w:t>
      </w:r>
      <w:r w:rsidRPr="00911D0D">
        <w:rPr>
          <w:rFonts w:ascii="Times New Roman" w:hAnsi="Times New Roman"/>
        </w:rPr>
        <w:t>Distribution assets can be sized in smaller increments, but still larger than the order of magnitude of a small customer with 1 kW of demand.</w:t>
      </w:r>
    </w:p>
  </w:footnote>
  <w:footnote w:id="3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A942BA">
        <w:rPr>
          <w:rFonts w:ascii="Times New Roman" w:hAnsi="Times New Roman"/>
          <w:i/>
        </w:rPr>
        <w:t>Wash. Utils. &amp; Transp. Comm’n v. Puget Sound Energy</w:t>
      </w:r>
      <w:r>
        <w:rPr>
          <w:rFonts w:ascii="Times New Roman" w:hAnsi="Times New Roman"/>
        </w:rPr>
        <w:t>, Docket</w:t>
      </w:r>
      <w:r w:rsidRPr="00911D0D">
        <w:rPr>
          <w:rFonts w:ascii="Times New Roman" w:hAnsi="Times New Roman"/>
        </w:rPr>
        <w:t xml:space="preserve"> UE-161123.</w:t>
      </w:r>
    </w:p>
  </w:footnote>
  <w:footnote w:id="35">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Pr>
          <w:rFonts w:ascii="Times New Roman" w:hAnsi="Times New Roman"/>
        </w:rPr>
        <w:t xml:space="preserve"> Exhibit No. KAK-4,</w:t>
      </w:r>
      <w:r w:rsidRPr="00911D0D">
        <w:rPr>
          <w:rFonts w:ascii="Times New Roman" w:hAnsi="Times New Roman"/>
        </w:rPr>
        <w:t xml:space="preserve"> </w:t>
      </w:r>
      <w:r w:rsidRPr="00A942BA">
        <w:rPr>
          <w:rFonts w:ascii="Times New Roman" w:hAnsi="Times New Roman"/>
          <w:i/>
        </w:rPr>
        <w:t>Wash. Utils. &amp; Transp. Comm’n v. Puget Sound Energy</w:t>
      </w:r>
      <w:r>
        <w:rPr>
          <w:rFonts w:ascii="Times New Roman" w:hAnsi="Times New Roman"/>
        </w:rPr>
        <w:t>, Docket</w:t>
      </w:r>
      <w:r w:rsidRPr="00911D0D">
        <w:rPr>
          <w:rFonts w:ascii="Times New Roman" w:hAnsi="Times New Roman"/>
        </w:rPr>
        <w:t xml:space="preserve"> UE-161123</w:t>
      </w:r>
      <w:r>
        <w:rPr>
          <w:rFonts w:ascii="Times New Roman" w:hAnsi="Times New Roman"/>
        </w:rPr>
        <w:t xml:space="preserve">, Direct Testimony of </w:t>
      </w:r>
      <w:r w:rsidRPr="00911D0D">
        <w:rPr>
          <w:rFonts w:ascii="Times New Roman" w:hAnsi="Times New Roman"/>
        </w:rPr>
        <w:t>Jon A. Piliaris, Exhibit No. JAP-1CT</w:t>
      </w:r>
      <w:r>
        <w:rPr>
          <w:rFonts w:ascii="Times New Roman" w:hAnsi="Times New Roman"/>
        </w:rPr>
        <w:t xml:space="preserve"> (Dec. 15, 2016)</w:t>
      </w:r>
      <w:r w:rsidRPr="00911D0D">
        <w:rPr>
          <w:rFonts w:ascii="Times New Roman" w:hAnsi="Times New Roman"/>
        </w:rPr>
        <w:t xml:space="preserve">.  </w:t>
      </w:r>
    </w:p>
  </w:footnote>
  <w:footnote w:id="36">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KAK-4, </w:t>
      </w:r>
      <w:r w:rsidRPr="00A942BA">
        <w:rPr>
          <w:rFonts w:ascii="Times New Roman" w:hAnsi="Times New Roman"/>
          <w:i/>
        </w:rPr>
        <w:t>Wash. Utils. &amp; Transp. Comm’n v. Puget Sound Energy</w:t>
      </w:r>
      <w:r>
        <w:rPr>
          <w:rFonts w:ascii="Times New Roman" w:hAnsi="Times New Roman"/>
        </w:rPr>
        <w:t>, Docket</w:t>
      </w:r>
      <w:r w:rsidRPr="00911D0D">
        <w:rPr>
          <w:rFonts w:ascii="Times New Roman" w:hAnsi="Times New Roman"/>
        </w:rPr>
        <w:t xml:space="preserve"> UE-161123</w:t>
      </w:r>
      <w:r>
        <w:rPr>
          <w:rFonts w:ascii="Times New Roman" w:hAnsi="Times New Roman"/>
        </w:rPr>
        <w:t>, Piliaris, Exhibit No. JAP</w:t>
      </w:r>
      <w:r>
        <w:rPr>
          <w:rFonts w:ascii="Times New Roman" w:hAnsi="Times New Roman"/>
        </w:rPr>
        <w:noBreakHyphen/>
      </w:r>
      <w:r w:rsidRPr="00911D0D">
        <w:rPr>
          <w:rFonts w:ascii="Times New Roman" w:hAnsi="Times New Roman"/>
        </w:rPr>
        <w:t>1CT</w:t>
      </w:r>
      <w:r>
        <w:rPr>
          <w:rFonts w:ascii="Times New Roman" w:hAnsi="Times New Roman"/>
        </w:rPr>
        <w:t xml:space="preserve"> at 15, </w:t>
      </w:r>
      <w:r w:rsidRPr="006506F2">
        <w:rPr>
          <w:rFonts w:ascii="Times New Roman" w:hAnsi="Times New Roman"/>
          <w:i/>
        </w:rPr>
        <w:t>see</w:t>
      </w:r>
      <w:r>
        <w:rPr>
          <w:rFonts w:ascii="Times New Roman" w:hAnsi="Times New Roman"/>
        </w:rPr>
        <w:t xml:space="preserve"> Table.  </w:t>
      </w:r>
    </w:p>
  </w:footnote>
  <w:footnote w:id="3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 xml:space="preserve">Exhibit </w:t>
      </w:r>
      <w:r>
        <w:rPr>
          <w:rFonts w:ascii="Times New Roman" w:hAnsi="Times New Roman"/>
        </w:rPr>
        <w:t>No. RBD-1T at 9:</w:t>
      </w:r>
      <w:r w:rsidRPr="00911D0D">
        <w:rPr>
          <w:rFonts w:ascii="Times New Roman" w:hAnsi="Times New Roman"/>
        </w:rPr>
        <w:t>14-18.</w:t>
      </w:r>
    </w:p>
  </w:footnote>
  <w:footnote w:id="3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 xml:space="preserve">Exhibit </w:t>
      </w:r>
      <w:r>
        <w:rPr>
          <w:rFonts w:ascii="Times New Roman" w:hAnsi="Times New Roman"/>
        </w:rPr>
        <w:t xml:space="preserve">No. </w:t>
      </w:r>
      <w:r w:rsidRPr="00911D0D">
        <w:rPr>
          <w:rFonts w:ascii="Times New Roman" w:hAnsi="Times New Roman"/>
        </w:rPr>
        <w:t>RBD-1</w:t>
      </w:r>
      <w:r>
        <w:rPr>
          <w:rFonts w:ascii="Times New Roman" w:hAnsi="Times New Roman"/>
        </w:rPr>
        <w:t>T at 13:</w:t>
      </w:r>
      <w:r w:rsidRPr="00911D0D">
        <w:rPr>
          <w:rFonts w:ascii="Times New Roman" w:hAnsi="Times New Roman"/>
        </w:rPr>
        <w:t>13-18.</w:t>
      </w:r>
    </w:p>
  </w:footnote>
  <w:footnote w:id="3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 xml:space="preserve">Exhibit </w:t>
      </w:r>
      <w:r>
        <w:rPr>
          <w:rFonts w:ascii="Times New Roman" w:hAnsi="Times New Roman"/>
        </w:rPr>
        <w:t>No. RBD-1T at 6:</w:t>
      </w:r>
      <w:r w:rsidRPr="00911D0D">
        <w:rPr>
          <w:rFonts w:ascii="Times New Roman" w:hAnsi="Times New Roman"/>
        </w:rPr>
        <w:t>4.</w:t>
      </w:r>
    </w:p>
  </w:footnote>
  <w:footnote w:id="4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The Company does not provide a definition for it</w:t>
      </w:r>
      <w:r>
        <w:rPr>
          <w:rFonts w:ascii="Times New Roman" w:hAnsi="Times New Roman"/>
        </w:rPr>
        <w:t>s use of the term “high-margin.”  H</w:t>
      </w:r>
      <w:r w:rsidRPr="00911D0D">
        <w:rPr>
          <w:rFonts w:ascii="Times New Roman" w:hAnsi="Times New Roman"/>
        </w:rPr>
        <w:t>owever, I assume it refers to the margin that the utility or replacement provider can earn, i.e., the difference between gross revenue received from the customer and that provider’s cost to serve the customer.  Further</w:t>
      </w:r>
      <w:r>
        <w:rPr>
          <w:rFonts w:ascii="Times New Roman" w:hAnsi="Times New Roman"/>
        </w:rPr>
        <w:t>,</w:t>
      </w:r>
      <w:r w:rsidRPr="00911D0D">
        <w:rPr>
          <w:rFonts w:ascii="Times New Roman" w:hAnsi="Times New Roman"/>
        </w:rPr>
        <w:t xml:space="preserve"> I assume that the term refers to the total amount of margin over time, not just the margin per unit of electric energy delivered and sold.</w:t>
      </w:r>
    </w:p>
  </w:footnote>
  <w:footnote w:id="4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 xml:space="preserve">Exhibit </w:t>
      </w:r>
      <w:r>
        <w:rPr>
          <w:rFonts w:ascii="Times New Roman" w:hAnsi="Times New Roman"/>
        </w:rPr>
        <w:t xml:space="preserve">No. RBD-1T at </w:t>
      </w:r>
      <w:r w:rsidRPr="00911D0D">
        <w:rPr>
          <w:rFonts w:ascii="Times New Roman" w:hAnsi="Times New Roman"/>
        </w:rPr>
        <w:t>1</w:t>
      </w:r>
      <w:r>
        <w:rPr>
          <w:rFonts w:ascii="Times New Roman" w:hAnsi="Times New Roman"/>
        </w:rPr>
        <w:t>3:</w:t>
      </w:r>
      <w:r w:rsidRPr="00911D0D">
        <w:rPr>
          <w:rFonts w:ascii="Times New Roman" w:hAnsi="Times New Roman"/>
        </w:rPr>
        <w:t>13-18.</w:t>
      </w:r>
    </w:p>
  </w:footnote>
  <w:footnote w:id="42">
    <w:p w:rsidR="00C446D3" w:rsidRPr="00961A91" w:rsidRDefault="00C446D3">
      <w:pPr>
        <w:pStyle w:val="FootnoteText"/>
        <w:rPr>
          <w:rFonts w:ascii="Times New Roman" w:hAnsi="Times New Roman"/>
          <w:highlight w:val="yellow"/>
        </w:rPr>
      </w:pPr>
      <w:r w:rsidRPr="00911D0D">
        <w:rPr>
          <w:rStyle w:val="FootnoteReference"/>
          <w:rFonts w:ascii="Times New Roman" w:hAnsi="Times New Roman"/>
        </w:rPr>
        <w:footnoteRef/>
      </w:r>
      <w:r w:rsidRPr="00911D0D">
        <w:rPr>
          <w:rFonts w:ascii="Times New Roman" w:hAnsi="Times New Roman"/>
        </w:rPr>
        <w:t xml:space="preserve"> </w:t>
      </w:r>
      <w:r w:rsidRPr="00C446D3">
        <w:rPr>
          <w:rFonts w:ascii="Times New Roman" w:hAnsi="Times New Roman"/>
        </w:rPr>
        <w:t xml:space="preserve">Dalley, Exit Fee workpapers.xlsx, cells C12 and E12. </w:t>
      </w:r>
    </w:p>
  </w:footnote>
  <w:footnote w:id="43">
    <w:p w:rsidR="00C446D3" w:rsidRPr="00911D0D" w:rsidRDefault="00C446D3">
      <w:pPr>
        <w:pStyle w:val="FootnoteText"/>
        <w:rPr>
          <w:rFonts w:ascii="Times New Roman" w:hAnsi="Times New Roman"/>
        </w:rPr>
      </w:pPr>
      <w:r w:rsidRPr="00C446D3">
        <w:rPr>
          <w:rStyle w:val="FootnoteReference"/>
          <w:rFonts w:ascii="Times New Roman" w:hAnsi="Times New Roman"/>
        </w:rPr>
        <w:footnoteRef/>
      </w:r>
      <w:r w:rsidRPr="00C446D3">
        <w:rPr>
          <w:rFonts w:ascii="Times New Roman" w:hAnsi="Times New Roman"/>
        </w:rPr>
        <w:t xml:space="preserve"> Dalley, Exit Fee workpapers.xlsx, tab Summary Res-non Res yr1, Cell B14.</w:t>
      </w:r>
      <w:r>
        <w:rPr>
          <w:rFonts w:ascii="Times New Roman" w:hAnsi="Times New Roman"/>
        </w:rPr>
        <w:t xml:space="preserve"> </w:t>
      </w:r>
    </w:p>
  </w:footnote>
  <w:footnote w:id="4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 xml:space="preserve">Exhibit </w:t>
      </w:r>
      <w:r>
        <w:rPr>
          <w:rFonts w:ascii="Times New Roman" w:hAnsi="Times New Roman"/>
        </w:rPr>
        <w:t>No. RBD-1T at 15:</w:t>
      </w:r>
      <w:r w:rsidRPr="00911D0D">
        <w:rPr>
          <w:rFonts w:ascii="Times New Roman" w:hAnsi="Times New Roman"/>
        </w:rPr>
        <w:t>18-22.</w:t>
      </w:r>
    </w:p>
  </w:footnote>
  <w:footnote w:id="45">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w:t>
      </w:r>
      <w:r w:rsidRPr="00911D0D">
        <w:rPr>
          <w:rFonts w:ascii="Times New Roman" w:hAnsi="Times New Roman"/>
        </w:rPr>
        <w:t>, Exit Fee workpapers.xlsx.</w:t>
      </w:r>
      <w:r>
        <w:rPr>
          <w:rFonts w:ascii="Times New Roman" w:hAnsi="Times New Roman"/>
        </w:rPr>
        <w:t xml:space="preserve"> </w:t>
      </w:r>
    </w:p>
  </w:footnote>
  <w:footnote w:id="46">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Exhibit</w:t>
      </w:r>
      <w:r>
        <w:rPr>
          <w:rFonts w:ascii="Times New Roman" w:hAnsi="Times New Roman"/>
        </w:rPr>
        <w:t xml:space="preserve"> No. RBD-1T at 16:</w:t>
      </w:r>
      <w:r w:rsidRPr="00911D0D">
        <w:rPr>
          <w:rFonts w:ascii="Times New Roman" w:hAnsi="Times New Roman"/>
        </w:rPr>
        <w:t>3-9.</w:t>
      </w:r>
    </w:p>
  </w:footnote>
  <w:footnote w:id="4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Exhibit</w:t>
      </w:r>
      <w:r>
        <w:rPr>
          <w:rFonts w:ascii="Times New Roman" w:hAnsi="Times New Roman"/>
        </w:rPr>
        <w:t xml:space="preserve"> No. RBD-1T at 16:</w:t>
      </w:r>
      <w:r w:rsidRPr="00911D0D">
        <w:rPr>
          <w:rFonts w:ascii="Times New Roman" w:hAnsi="Times New Roman"/>
        </w:rPr>
        <w:t>12-14.</w:t>
      </w:r>
    </w:p>
  </w:footnote>
  <w:footnote w:id="48">
    <w:p w:rsidR="00C446D3" w:rsidRPr="00911D0D" w:rsidRDefault="00C446D3" w:rsidP="00204BC5">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Wheeling refers to the use of another utility’s transmission system to transmit power.</w:t>
      </w:r>
    </w:p>
  </w:footnote>
  <w:footnote w:id="49">
    <w:p w:rsidR="00C446D3" w:rsidRPr="00911D0D" w:rsidRDefault="00C446D3" w:rsidP="00204BC5">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KAK-5, </w:t>
      </w:r>
      <w:r w:rsidRPr="00911D0D">
        <w:rPr>
          <w:rFonts w:ascii="Times New Roman" w:hAnsi="Times New Roman"/>
        </w:rPr>
        <w:t xml:space="preserve">Pacific Power </w:t>
      </w:r>
      <w:r>
        <w:rPr>
          <w:rFonts w:ascii="Times New Roman" w:hAnsi="Times New Roman"/>
        </w:rPr>
        <w:t>R</w:t>
      </w:r>
      <w:r w:rsidRPr="00911D0D">
        <w:rPr>
          <w:rFonts w:ascii="Times New Roman" w:hAnsi="Times New Roman"/>
        </w:rPr>
        <w:t>esponse to Public Counsel Data Request No. 9, part b.</w:t>
      </w:r>
    </w:p>
  </w:footnote>
  <w:footnote w:id="50">
    <w:p w:rsidR="00C446D3" w:rsidRPr="00911D0D" w:rsidRDefault="00C446D3" w:rsidP="00204BC5">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KAK-5, </w:t>
      </w:r>
      <w:r w:rsidRPr="00911D0D">
        <w:rPr>
          <w:rFonts w:ascii="Times New Roman" w:hAnsi="Times New Roman"/>
        </w:rPr>
        <w:t xml:space="preserve">Pacific Power </w:t>
      </w:r>
      <w:r>
        <w:rPr>
          <w:rFonts w:ascii="Times New Roman" w:hAnsi="Times New Roman"/>
        </w:rPr>
        <w:t>R</w:t>
      </w:r>
      <w:r w:rsidRPr="00911D0D">
        <w:rPr>
          <w:rFonts w:ascii="Times New Roman" w:hAnsi="Times New Roman"/>
        </w:rPr>
        <w:t>esponse to Public Counsel Data Request No. 9, part e.</w:t>
      </w:r>
    </w:p>
  </w:footnote>
  <w:footnote w:id="51">
    <w:p w:rsidR="00C446D3" w:rsidRPr="00911D0D" w:rsidRDefault="00C446D3" w:rsidP="00406B1C">
      <w:pPr>
        <w:pStyle w:val="FootnoteText"/>
        <w:rPr>
          <w:rFonts w:ascii="Times New Roman" w:hAnsi="Times New Roman"/>
        </w:rPr>
      </w:pPr>
      <w:r w:rsidRPr="00911D0D">
        <w:rPr>
          <w:rStyle w:val="FootnoteReference"/>
          <w:rFonts w:ascii="Times New Roman" w:hAnsi="Times New Roman"/>
        </w:rPr>
        <w:footnoteRef/>
      </w:r>
      <w:r>
        <w:rPr>
          <w:rFonts w:ascii="Times New Roman" w:hAnsi="Times New Roman"/>
        </w:rPr>
        <w:t xml:space="preserve"> Dalley, Exhibit No. RBD-4 at</w:t>
      </w:r>
      <w:r w:rsidRPr="00911D0D">
        <w:rPr>
          <w:rFonts w:ascii="Times New Roman" w:hAnsi="Times New Roman"/>
        </w:rPr>
        <w:t xml:space="preserve"> 1.</w:t>
      </w:r>
    </w:p>
  </w:footnote>
  <w:footnote w:id="52">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Production costing models, such as AURORAxmp used by PSE, simulate the dispatch of the power grid and attempt to optimize the dispatch to minimize production costs. </w:t>
      </w:r>
      <w:r>
        <w:rPr>
          <w:rFonts w:ascii="Times New Roman" w:hAnsi="Times New Roman"/>
        </w:rPr>
        <w:t xml:space="preserve"> </w:t>
      </w:r>
      <w:r w:rsidRPr="00911D0D">
        <w:rPr>
          <w:rFonts w:ascii="Times New Roman" w:hAnsi="Times New Roman"/>
        </w:rPr>
        <w:t xml:space="preserve">The sophisticated optimization algorithms the models use are never perfectly optimized, however. </w:t>
      </w:r>
      <w:r>
        <w:rPr>
          <w:rFonts w:ascii="Times New Roman" w:hAnsi="Times New Roman"/>
        </w:rPr>
        <w:t xml:space="preserve"> </w:t>
      </w:r>
      <w:r w:rsidRPr="00911D0D">
        <w:rPr>
          <w:rFonts w:ascii="Times New Roman" w:hAnsi="Times New Roman"/>
        </w:rPr>
        <w:t xml:space="preserve">They are optimized only to within a certain band of uncertainty, or tolerance band. </w:t>
      </w:r>
      <w:r>
        <w:rPr>
          <w:rFonts w:ascii="Times New Roman" w:hAnsi="Times New Roman"/>
        </w:rPr>
        <w:t xml:space="preserve"> </w:t>
      </w:r>
      <w:r w:rsidRPr="00911D0D">
        <w:rPr>
          <w:rFonts w:ascii="Times New Roman" w:hAnsi="Times New Roman"/>
        </w:rPr>
        <w:t>Thus, small perturbations in the modeling inputs would be unlikely to change the optimization outcome in a logical way.</w:t>
      </w:r>
    </w:p>
  </w:footnote>
  <w:footnote w:id="5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Exhibit No. RBD-3.</w:t>
      </w:r>
    </w:p>
  </w:footnote>
  <w:footnote w:id="5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Pacific Power PDR Workpapers in support of Exhibit No RBD-3.</w:t>
      </w:r>
    </w:p>
  </w:footnote>
  <w:footnote w:id="55">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911D0D">
        <w:rPr>
          <w:rFonts w:ascii="Times New Roman" w:hAnsi="Times New Roman"/>
        </w:rPr>
        <w:t xml:space="preserve">Exhibit No. RBD-4. </w:t>
      </w:r>
      <w:r>
        <w:rPr>
          <w:rFonts w:ascii="Times New Roman" w:hAnsi="Times New Roman"/>
        </w:rPr>
        <w:t xml:space="preserve"> </w:t>
      </w:r>
      <w:r w:rsidRPr="00911D0D">
        <w:rPr>
          <w:rFonts w:ascii="Times New Roman" w:hAnsi="Times New Roman"/>
        </w:rPr>
        <w:t>Excludes lighting customers.</w:t>
      </w:r>
    </w:p>
  </w:footnote>
  <w:footnote w:id="56">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Load pattern refers to how a customer’s demand changes over time, especially when its demand peaks compared to other customers. Utility costs tend to be higher during times of peak system demands.</w:t>
      </w:r>
    </w:p>
  </w:footnote>
  <w:footnote w:id="5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KAK-6, </w:t>
      </w:r>
      <w:r w:rsidRPr="00911D0D">
        <w:rPr>
          <w:rFonts w:ascii="Times New Roman" w:hAnsi="Times New Roman"/>
        </w:rPr>
        <w:t>Pacific Power Response to CREA Data Request No. 39, part d</w:t>
      </w:r>
      <w:r>
        <w:rPr>
          <w:rFonts w:ascii="Times New Roman" w:hAnsi="Times New Roman"/>
        </w:rPr>
        <w:t>; Exhibit No. KAK-5,</w:t>
      </w:r>
      <w:r w:rsidRPr="00911D0D">
        <w:rPr>
          <w:rFonts w:ascii="Times New Roman" w:hAnsi="Times New Roman"/>
        </w:rPr>
        <w:t xml:space="preserve"> </w:t>
      </w:r>
      <w:r>
        <w:rPr>
          <w:rFonts w:ascii="Times New Roman" w:hAnsi="Times New Roman"/>
        </w:rPr>
        <w:t xml:space="preserve">Pacific Power Response to </w:t>
      </w:r>
      <w:r w:rsidRPr="00911D0D">
        <w:rPr>
          <w:rFonts w:ascii="Times New Roman" w:hAnsi="Times New Roman"/>
        </w:rPr>
        <w:t>Public Counsel Data Request No. 9, part c.</w:t>
      </w:r>
    </w:p>
  </w:footnote>
  <w:footnote w:id="5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KAK-7, </w:t>
      </w:r>
      <w:r w:rsidRPr="00911D0D">
        <w:rPr>
          <w:rFonts w:ascii="Times New Roman" w:hAnsi="Times New Roman"/>
        </w:rPr>
        <w:t>Pacific Power Response to Boise Data Request No. 34, part c.</w:t>
      </w:r>
    </w:p>
  </w:footnote>
  <w:footnote w:id="5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KAK-8, </w:t>
      </w:r>
      <w:r w:rsidRPr="00911D0D">
        <w:rPr>
          <w:rFonts w:ascii="Times New Roman" w:hAnsi="Times New Roman"/>
        </w:rPr>
        <w:t>Pacific Power Response to Boise Data Request No. 56.</w:t>
      </w:r>
    </w:p>
  </w:footnote>
  <w:footnote w:id="6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KAK-7, </w:t>
      </w:r>
      <w:r w:rsidRPr="00911D0D">
        <w:rPr>
          <w:rFonts w:ascii="Times New Roman" w:hAnsi="Times New Roman"/>
        </w:rPr>
        <w:t>Pacific Power Response to Boise Data Request No. 34</w:t>
      </w:r>
      <w:r>
        <w:rPr>
          <w:rFonts w:ascii="Times New Roman" w:hAnsi="Times New Roman"/>
        </w:rPr>
        <w:t>, Electronic Attachment</w:t>
      </w:r>
      <w:r w:rsidRPr="00911D0D">
        <w:rPr>
          <w:rFonts w:ascii="Times New Roman" w:hAnsi="Times New Roman"/>
        </w:rPr>
        <w:t>.</w:t>
      </w:r>
    </w:p>
  </w:footnote>
  <w:footnote w:id="61">
    <w:p w:rsidR="00C446D3" w:rsidRPr="00911D0D" w:rsidRDefault="00C446D3" w:rsidP="00161327">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Exhibit No. KAK-9</w:t>
      </w:r>
      <w:r w:rsidRPr="00911D0D">
        <w:rPr>
          <w:rFonts w:ascii="Times New Roman" w:hAnsi="Times New Roman"/>
        </w:rPr>
        <w:t>.</w:t>
      </w:r>
    </w:p>
  </w:footnote>
  <w:footnote w:id="62">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Exhibit No. RBD-1T at </w:t>
      </w:r>
      <w:r w:rsidRPr="00911D0D">
        <w:rPr>
          <w:rFonts w:ascii="Times New Roman" w:hAnsi="Times New Roman"/>
        </w:rPr>
        <w:t>15:19-22.</w:t>
      </w:r>
    </w:p>
  </w:footnote>
  <w:footnote w:id="6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Dalley, </w:t>
      </w:r>
      <w:r w:rsidRPr="00C446D3">
        <w:rPr>
          <w:rFonts w:ascii="Times New Roman" w:hAnsi="Times New Roman"/>
        </w:rPr>
        <w:t>Exhibit No. RBD-4, electronic spreadsheet tab “Exhibit No. RBD-4, pages 2-4.”</w:t>
      </w:r>
    </w:p>
  </w:footnote>
  <w:footnote w:id="6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This may include bilateral markets and California ISO markets, including the new energy imbalance market.</w:t>
      </w:r>
    </w:p>
  </w:footnote>
  <w:footnote w:id="65">
    <w:p w:rsidR="00C446D3" w:rsidRDefault="00C446D3" w:rsidP="00362706">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sidRPr="00677F2E">
        <w:rPr>
          <w:rFonts w:ascii="Times New Roman" w:hAnsi="Times New Roman"/>
          <w:i/>
        </w:rPr>
        <w:t>See</w:t>
      </w:r>
      <w:r>
        <w:rPr>
          <w:rFonts w:ascii="Times New Roman" w:hAnsi="Times New Roman"/>
        </w:rPr>
        <w:t xml:space="preserve">, e.g. Fla. Pub. Serv. Comm’n, </w:t>
      </w:r>
      <w:r w:rsidRPr="001A6905">
        <w:rPr>
          <w:rFonts w:ascii="Times New Roman" w:hAnsi="Times New Roman"/>
          <w:smallCaps/>
        </w:rPr>
        <w:t>Replacement Cost Method Of Valuing Utility Generation Assets</w:t>
      </w:r>
      <w:r>
        <w:rPr>
          <w:rFonts w:ascii="Times New Roman" w:hAnsi="Times New Roman"/>
        </w:rPr>
        <w:t xml:space="preserve"> </w:t>
      </w:r>
      <w:r w:rsidRPr="00911D0D">
        <w:rPr>
          <w:rFonts w:ascii="Times New Roman" w:hAnsi="Times New Roman"/>
        </w:rPr>
        <w:t>6</w:t>
      </w:r>
      <w:r>
        <w:rPr>
          <w:rFonts w:ascii="Times New Roman" w:hAnsi="Times New Roman"/>
        </w:rPr>
        <w:t xml:space="preserve"> (2001)</w:t>
      </w:r>
      <w:r w:rsidRPr="00911D0D">
        <w:rPr>
          <w:rFonts w:ascii="Times New Roman" w:hAnsi="Times New Roman"/>
        </w:rPr>
        <w:t>, which co</w:t>
      </w:r>
      <w:r>
        <w:rPr>
          <w:rFonts w:ascii="Times New Roman" w:hAnsi="Times New Roman"/>
        </w:rPr>
        <w:t>ncludes that u</w:t>
      </w:r>
      <w:r w:rsidRPr="00654ABD">
        <w:rPr>
          <w:rFonts w:ascii="Times New Roman" w:hAnsi="Times New Roman"/>
        </w:rPr>
        <w:t>se of a dispatch model can provide an es</w:t>
      </w:r>
      <w:r>
        <w:rPr>
          <w:rFonts w:ascii="Times New Roman" w:hAnsi="Times New Roman"/>
        </w:rPr>
        <w:t xml:space="preserve">timate of stranded asset value.  </w:t>
      </w:r>
    </w:p>
    <w:p w:rsidR="00C446D3" w:rsidRDefault="00C446D3" w:rsidP="00362706">
      <w:pPr>
        <w:pStyle w:val="FootnoteText"/>
        <w:rPr>
          <w:rFonts w:ascii="Times New Roman" w:hAnsi="Times New Roman"/>
        </w:rPr>
      </w:pPr>
    </w:p>
    <w:p w:rsidR="00C446D3" w:rsidRDefault="00C446D3" w:rsidP="00BD75A5">
      <w:pPr>
        <w:pStyle w:val="FootnoteText"/>
        <w:ind w:left="720" w:right="720"/>
        <w:jc w:val="both"/>
        <w:rPr>
          <w:rFonts w:ascii="Times New Roman" w:hAnsi="Times New Roman"/>
        </w:rPr>
      </w:pPr>
      <w:r w:rsidRPr="00911D0D">
        <w:rPr>
          <w:rFonts w:ascii="Times New Roman" w:hAnsi="Times New Roman"/>
        </w:rPr>
        <w:t>As mentioned earlier, it is the discounted revenue and profit produced by an asset that is the final arbitrator of value.</w:t>
      </w:r>
      <w:r>
        <w:rPr>
          <w:rFonts w:ascii="Times New Roman" w:hAnsi="Times New Roman"/>
        </w:rPr>
        <w:t xml:space="preserve"> </w:t>
      </w:r>
      <w:r w:rsidRPr="00911D0D">
        <w:rPr>
          <w:rFonts w:ascii="Times New Roman" w:hAnsi="Times New Roman"/>
        </w:rPr>
        <w:t xml:space="preserve"> This static analysis should be extended by performing a multi-year economic dispatch model for Florida under various natural gas price scenarios. </w:t>
      </w:r>
      <w:r>
        <w:rPr>
          <w:rFonts w:ascii="Times New Roman" w:hAnsi="Times New Roman"/>
        </w:rPr>
        <w:t xml:space="preserve"> </w:t>
      </w:r>
      <w:r w:rsidRPr="00911D0D">
        <w:rPr>
          <w:rFonts w:ascii="Times New Roman" w:hAnsi="Times New Roman"/>
        </w:rPr>
        <w:t>The difference between cost-based production and market clearing prices could be e</w:t>
      </w:r>
      <w:r>
        <w:rPr>
          <w:rFonts w:ascii="Times New Roman" w:hAnsi="Times New Roman"/>
        </w:rPr>
        <w:t xml:space="preserve">stimated given the current load </w:t>
      </w:r>
      <w:r w:rsidRPr="00911D0D">
        <w:rPr>
          <w:rFonts w:ascii="Times New Roman" w:hAnsi="Times New Roman"/>
        </w:rPr>
        <w:t xml:space="preserve">and energy projections. </w:t>
      </w:r>
      <w:r>
        <w:rPr>
          <w:rFonts w:ascii="Times New Roman" w:hAnsi="Times New Roman"/>
        </w:rPr>
        <w:t xml:space="preserve"> </w:t>
      </w:r>
      <w:r w:rsidRPr="00911D0D">
        <w:rPr>
          <w:rFonts w:ascii="Times New Roman" w:hAnsi="Times New Roman"/>
        </w:rPr>
        <w:t xml:space="preserve">By present valuing the difference between production and clearing prices and adjusting for the required after tax return on capital, one could begin to assign a specific market value to these units. </w:t>
      </w:r>
      <w:r>
        <w:rPr>
          <w:rFonts w:ascii="Times New Roman" w:hAnsi="Times New Roman"/>
        </w:rPr>
        <w:t xml:space="preserve"> </w:t>
      </w:r>
      <w:r w:rsidRPr="00911D0D">
        <w:rPr>
          <w:rFonts w:ascii="Times New Roman" w:hAnsi="Times New Roman"/>
        </w:rPr>
        <w:t>In addition to estimating the stranded value, this type of dynamic study would provide more reliable estimates of both production costs and the like</w:t>
      </w:r>
      <w:r>
        <w:rPr>
          <w:rFonts w:ascii="Times New Roman" w:hAnsi="Times New Roman"/>
        </w:rPr>
        <w:t>ly shift in costs to customers.</w:t>
      </w:r>
      <w:r w:rsidRPr="00911D0D">
        <w:rPr>
          <w:rFonts w:ascii="Times New Roman" w:hAnsi="Times New Roman"/>
        </w:rPr>
        <w:t xml:space="preserve">  </w:t>
      </w:r>
    </w:p>
    <w:p w:rsidR="00C446D3" w:rsidRDefault="00C446D3" w:rsidP="00BD75A5">
      <w:pPr>
        <w:pStyle w:val="FootnoteText"/>
        <w:ind w:left="720" w:right="720"/>
        <w:jc w:val="both"/>
        <w:rPr>
          <w:rFonts w:ascii="Times New Roman" w:hAnsi="Times New Roman"/>
        </w:rPr>
      </w:pPr>
    </w:p>
    <w:p w:rsidR="00C446D3" w:rsidRPr="00911D0D" w:rsidRDefault="00C446D3" w:rsidP="00BD75A5">
      <w:pPr>
        <w:pStyle w:val="FootnoteText"/>
        <w:ind w:right="720"/>
        <w:jc w:val="both"/>
        <w:rPr>
          <w:rFonts w:ascii="Times New Roman" w:hAnsi="Times New Roman"/>
        </w:rPr>
      </w:pPr>
      <w:r>
        <w:rPr>
          <w:rFonts w:ascii="Times New Roman" w:hAnsi="Times New Roman"/>
        </w:rPr>
        <w:t xml:space="preserve">Available at:  </w:t>
      </w:r>
      <w:hyperlink r:id="rId5" w:history="1">
        <w:r w:rsidRPr="007F77E9">
          <w:rPr>
            <w:rStyle w:val="Hyperlink"/>
            <w:rFonts w:ascii="Times New Roman" w:hAnsi="Times New Roman"/>
          </w:rPr>
          <w:t>http://www.psc.state.fl.us/Files/PDF/Publications/Reports/Electricgas/replcost.pdf</w:t>
        </w:r>
      </w:hyperlink>
      <w:r>
        <w:rPr>
          <w:rFonts w:ascii="Times New Roman" w:hAnsi="Times New Roman"/>
        </w:rPr>
        <w:t>.</w:t>
      </w:r>
    </w:p>
  </w:footnote>
  <w:footnote w:id="66">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KAK-10, </w:t>
      </w:r>
      <w:r w:rsidRPr="00911D0D">
        <w:rPr>
          <w:rFonts w:ascii="Times New Roman" w:hAnsi="Times New Roman"/>
        </w:rPr>
        <w:t>Pacific Power Response to Boise Data Request No. 54.</w:t>
      </w:r>
    </w:p>
  </w:footnote>
  <w:footnote w:id="6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KAK-11, </w:t>
      </w:r>
      <w:r w:rsidRPr="00911D0D">
        <w:rPr>
          <w:rFonts w:ascii="Times New Roman" w:hAnsi="Times New Roman"/>
        </w:rPr>
        <w:t>Pacific Power Response to Boise Data Request No. 55.</w:t>
      </w:r>
    </w:p>
  </w:footnote>
  <w:footnote w:id="6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Even though non-net power costs are a subset of tot</w:t>
      </w:r>
      <w:r>
        <w:rPr>
          <w:rFonts w:ascii="Times New Roman" w:hAnsi="Times New Roman"/>
        </w:rPr>
        <w:t>al revenue, when summed over 10</w:t>
      </w:r>
      <w:r w:rsidRPr="00911D0D">
        <w:rPr>
          <w:rFonts w:ascii="Times New Roman" w:hAnsi="Times New Roman"/>
        </w:rPr>
        <w:t xml:space="preserve"> years and used in the numerator, the result is a multiplier greater than one.</w:t>
      </w:r>
      <w:r w:rsidRPr="00911D0D">
        <w:rPr>
          <w:rStyle w:val="CommentReference"/>
          <w:rFonts w:ascii="Times New Roman" w:hAnsi="Times New Roman"/>
          <w:sz w:val="20"/>
          <w:szCs w:val="20"/>
        </w:rPr>
        <w:t xml:space="preserve"> </w:t>
      </w:r>
    </w:p>
  </w:footnote>
  <w:footnote w:id="6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KAK-6, </w:t>
      </w:r>
      <w:r w:rsidRPr="00911D0D">
        <w:rPr>
          <w:rFonts w:ascii="Times New Roman" w:hAnsi="Times New Roman"/>
        </w:rPr>
        <w:t>Pacific Power Response to CREA Data Request No. 39, part a.</w:t>
      </w:r>
    </w:p>
  </w:footnote>
  <w:footnote w:id="7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KAK-6, </w:t>
      </w:r>
      <w:r w:rsidRPr="00911D0D">
        <w:rPr>
          <w:rFonts w:ascii="Times New Roman" w:hAnsi="Times New Roman"/>
        </w:rPr>
        <w:t>Pacific Power Response to CREA Data Request No. 39, part b.</w:t>
      </w:r>
    </w:p>
  </w:footnote>
  <w:footnote w:id="7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KAK-6, </w:t>
      </w:r>
      <w:r w:rsidRPr="00911D0D">
        <w:rPr>
          <w:rFonts w:ascii="Times New Roman" w:hAnsi="Times New Roman"/>
        </w:rPr>
        <w:t>Pacific Power Response to CREA Data Request No. 39, part b.</w:t>
      </w:r>
    </w:p>
  </w:footnote>
  <w:footnote w:id="72">
    <w:p w:rsidR="00C446D3" w:rsidRPr="00911D0D" w:rsidRDefault="00C446D3" w:rsidP="000A1FE1">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KAK-12, </w:t>
      </w:r>
      <w:r w:rsidRPr="00911D0D">
        <w:rPr>
          <w:rFonts w:ascii="Times New Roman" w:hAnsi="Times New Roman"/>
        </w:rPr>
        <w:t>Pacific Power Response to Boise Data Request No. 1, part a.</w:t>
      </w:r>
    </w:p>
  </w:footnote>
  <w:footnote w:id="7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KAK-4, </w:t>
      </w:r>
      <w:r w:rsidRPr="00A942BA">
        <w:rPr>
          <w:rFonts w:ascii="Times New Roman" w:hAnsi="Times New Roman"/>
          <w:i/>
        </w:rPr>
        <w:t>Wash. Utils. &amp; Transp. Comm’n v. Puget Sound Energy</w:t>
      </w:r>
      <w:r>
        <w:rPr>
          <w:rFonts w:ascii="Times New Roman" w:hAnsi="Times New Roman"/>
        </w:rPr>
        <w:t>, Docket UE-161123, Exhibit No. JAP-1CT at</w:t>
      </w:r>
      <w:r w:rsidRPr="00911D0D">
        <w:rPr>
          <w:rFonts w:ascii="Times New Roman" w:hAnsi="Times New Roman"/>
        </w:rPr>
        <w:t xml:space="preserve"> 6:6-13.</w:t>
      </w:r>
    </w:p>
  </w:footnote>
  <w:footnote w:id="7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KAK-12, </w:t>
      </w:r>
      <w:r w:rsidRPr="00911D0D">
        <w:rPr>
          <w:rFonts w:ascii="Times New Roman" w:hAnsi="Times New Roman"/>
        </w:rPr>
        <w:t>Pacific Power Response to Boise Data Request No. 1, part b.</w:t>
      </w:r>
    </w:p>
  </w:footnote>
  <w:footnote w:id="75">
    <w:p w:rsidR="00C446D3" w:rsidRPr="00911D0D" w:rsidRDefault="00C446D3" w:rsidP="009C580B">
      <w:pPr>
        <w:rPr>
          <w:rFonts w:ascii="Times New Roman" w:hAnsi="Times New Roman"/>
          <w:sz w:val="20"/>
          <w:szCs w:val="20"/>
        </w:rPr>
      </w:pPr>
      <w:r w:rsidRPr="00911D0D">
        <w:rPr>
          <w:rStyle w:val="FootnoteReference"/>
          <w:rFonts w:ascii="Times New Roman" w:hAnsi="Times New Roman"/>
          <w:sz w:val="20"/>
          <w:szCs w:val="20"/>
        </w:rPr>
        <w:footnoteRef/>
      </w:r>
      <w:r w:rsidRPr="00911D0D">
        <w:rPr>
          <w:rFonts w:ascii="Times New Roman" w:hAnsi="Times New Roman"/>
          <w:sz w:val="20"/>
          <w:szCs w:val="20"/>
        </w:rPr>
        <w:t xml:space="preserve"> Pacific Power</w:t>
      </w:r>
      <w:r>
        <w:rPr>
          <w:rFonts w:ascii="Times New Roman" w:hAnsi="Times New Roman"/>
          <w:sz w:val="20"/>
          <w:szCs w:val="20"/>
        </w:rPr>
        <w:t>,</w:t>
      </w:r>
      <w:r w:rsidRPr="00911D0D">
        <w:rPr>
          <w:rFonts w:ascii="Times New Roman" w:hAnsi="Times New Roman"/>
          <w:sz w:val="20"/>
          <w:szCs w:val="20"/>
        </w:rPr>
        <w:t xml:space="preserve"> </w:t>
      </w:r>
      <w:r w:rsidRPr="001714C9">
        <w:rPr>
          <w:rFonts w:ascii="Times New Roman" w:hAnsi="Times New Roman"/>
          <w:smallCaps/>
          <w:sz w:val="20"/>
          <w:szCs w:val="20"/>
        </w:rPr>
        <w:t>2017 Integrated Resource Plan</w:t>
      </w:r>
      <w:r>
        <w:rPr>
          <w:rFonts w:ascii="Times New Roman" w:hAnsi="Times New Roman"/>
          <w:smallCaps/>
          <w:sz w:val="20"/>
          <w:szCs w:val="20"/>
        </w:rPr>
        <w:t xml:space="preserve"> Volume I</w:t>
      </w:r>
      <w:r>
        <w:rPr>
          <w:rFonts w:ascii="Times New Roman" w:hAnsi="Times New Roman"/>
          <w:sz w:val="20"/>
          <w:szCs w:val="20"/>
        </w:rPr>
        <w:t xml:space="preserve"> (Apr.</w:t>
      </w:r>
      <w:r w:rsidRPr="00911D0D">
        <w:rPr>
          <w:rFonts w:ascii="Times New Roman" w:hAnsi="Times New Roman"/>
          <w:sz w:val="20"/>
          <w:szCs w:val="20"/>
        </w:rPr>
        <w:t xml:space="preserve"> 4, 2016</w:t>
      </w:r>
      <w:r>
        <w:rPr>
          <w:rFonts w:ascii="Times New Roman" w:hAnsi="Times New Roman"/>
          <w:sz w:val="20"/>
          <w:szCs w:val="20"/>
        </w:rPr>
        <w:t xml:space="preserve">), </w:t>
      </w:r>
      <w:hyperlink r:id="rId6" w:history="1">
        <w:r w:rsidRPr="001714C9">
          <w:rPr>
            <w:rStyle w:val="Hyperlink"/>
            <w:rFonts w:ascii="Times New Roman" w:hAnsi="Times New Roman"/>
            <w:color w:val="000000" w:themeColor="text1"/>
            <w:sz w:val="20"/>
            <w:szCs w:val="20"/>
          </w:rPr>
          <w:t>https://www.pacificpower.net/content/dam/pacificorp/doc/Energy_Sources/Integrated_Resource_Plan/2017_IRP/2017_IRP_VolumeI_IRP_Final.pdf</w:t>
        </w:r>
      </w:hyperlink>
      <w:r w:rsidRPr="001714C9">
        <w:rPr>
          <w:rStyle w:val="Hyperlink"/>
          <w:rFonts w:ascii="Times New Roman" w:hAnsi="Times New Roman"/>
          <w:color w:val="000000" w:themeColor="text1"/>
          <w:sz w:val="20"/>
          <w:szCs w:val="20"/>
        </w:rPr>
        <w:t>.</w:t>
      </w:r>
      <w:r w:rsidRPr="001714C9">
        <w:rPr>
          <w:rFonts w:ascii="Times New Roman" w:hAnsi="Times New Roman"/>
          <w:color w:val="000000" w:themeColor="text1"/>
          <w:sz w:val="20"/>
          <w:szCs w:val="20"/>
        </w:rPr>
        <w:t xml:space="preserve">  </w:t>
      </w:r>
    </w:p>
    <w:p w:rsidR="00C446D3" w:rsidRPr="00911D0D" w:rsidRDefault="00C446D3">
      <w:pPr>
        <w:pStyle w:val="FootnoteText"/>
        <w:rPr>
          <w:rFonts w:ascii="Times New Roman" w:hAnsi="Times New Roman"/>
        </w:rPr>
      </w:pPr>
    </w:p>
  </w:footnote>
  <w:footnote w:id="76">
    <w:p w:rsidR="00C446D3" w:rsidRPr="00C46029" w:rsidRDefault="00C446D3" w:rsidP="008834F7">
      <w:pPr>
        <w:pStyle w:val="FootnoteText"/>
        <w:rPr>
          <w:rFonts w:ascii="Times New Roman" w:hAnsi="Times New Roman"/>
        </w:rPr>
      </w:pPr>
      <w:r w:rsidRPr="00C46029">
        <w:rPr>
          <w:rStyle w:val="FootnoteReference"/>
          <w:rFonts w:ascii="Times New Roman" w:hAnsi="Times New Roman"/>
        </w:rPr>
        <w:footnoteRef/>
      </w:r>
      <w:r w:rsidRPr="00C46029">
        <w:rPr>
          <w:rFonts w:ascii="Times New Roman" w:hAnsi="Times New Roman"/>
        </w:rPr>
        <w:t xml:space="preserve"> Exhibit No. KAK-5, Pacific Power Response to Public Counsel Data Request No. 9</w:t>
      </w:r>
      <w:r>
        <w:rPr>
          <w:rFonts w:ascii="Times New Roman" w:hAnsi="Times New Roman"/>
        </w:rPr>
        <w:t>, part</w:t>
      </w:r>
      <w:r w:rsidR="00647FF4">
        <w:rPr>
          <w:rFonts w:ascii="Times New Roman" w:hAnsi="Times New Roman"/>
        </w:rPr>
        <w:t xml:space="preserve"> </w:t>
      </w:r>
      <w:r w:rsidRPr="00C46029">
        <w:rPr>
          <w:rFonts w:ascii="Times New Roman" w:hAnsi="Times New Roman"/>
        </w:rPr>
        <w:t>e.</w:t>
      </w:r>
    </w:p>
  </w:footnote>
  <w:footnote w:id="77">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KAK-13, </w:t>
      </w:r>
      <w:r w:rsidRPr="00911D0D">
        <w:rPr>
          <w:rFonts w:ascii="Times New Roman" w:hAnsi="Times New Roman"/>
        </w:rPr>
        <w:t xml:space="preserve">Pacific Power </w:t>
      </w:r>
      <w:r>
        <w:rPr>
          <w:rFonts w:ascii="Times New Roman" w:hAnsi="Times New Roman"/>
        </w:rPr>
        <w:t>R</w:t>
      </w:r>
      <w:r w:rsidRPr="00911D0D">
        <w:rPr>
          <w:rFonts w:ascii="Times New Roman" w:hAnsi="Times New Roman"/>
        </w:rPr>
        <w:t>esponse to Public Counsel Data Request No. 16, part b.</w:t>
      </w:r>
    </w:p>
  </w:footnote>
  <w:footnote w:id="78">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 Exhibit No. RBD-1T at 2:</w:t>
      </w:r>
      <w:r w:rsidRPr="00911D0D">
        <w:rPr>
          <w:rFonts w:ascii="Times New Roman" w:hAnsi="Times New Roman"/>
        </w:rPr>
        <w:t>19-20.</w:t>
      </w:r>
    </w:p>
  </w:footnote>
  <w:footnote w:id="7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 Exhibit No. RBD-1T at 4:</w:t>
      </w:r>
      <w:r w:rsidRPr="00911D0D">
        <w:rPr>
          <w:rFonts w:ascii="Times New Roman" w:hAnsi="Times New Roman"/>
        </w:rPr>
        <w:t>6-9.</w:t>
      </w:r>
    </w:p>
  </w:footnote>
  <w:footnote w:id="8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Pr>
          <w:rFonts w:ascii="Times New Roman" w:hAnsi="Times New Roman"/>
        </w:rPr>
        <w:t xml:space="preserve"> Dalley, Exhibit No. RBD-1T at 4:</w:t>
      </w:r>
      <w:r w:rsidRPr="00911D0D">
        <w:rPr>
          <w:rFonts w:ascii="Times New Roman" w:hAnsi="Times New Roman"/>
        </w:rPr>
        <w:t>14-16.</w:t>
      </w:r>
    </w:p>
  </w:footnote>
  <w:footnote w:id="8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 Exhibit No. RBD-1T at</w:t>
      </w:r>
      <w:r w:rsidRPr="00911D0D">
        <w:rPr>
          <w:rFonts w:ascii="Times New Roman" w:hAnsi="Times New Roman"/>
        </w:rPr>
        <w:t xml:space="preserve"> 3</w:t>
      </w:r>
      <w:r>
        <w:rPr>
          <w:rFonts w:ascii="Times New Roman" w:hAnsi="Times New Roman"/>
        </w:rPr>
        <w:t>:</w:t>
      </w:r>
      <w:r w:rsidRPr="00911D0D">
        <w:rPr>
          <w:rFonts w:ascii="Times New Roman" w:hAnsi="Times New Roman"/>
        </w:rPr>
        <w:t>4-8</w:t>
      </w:r>
      <w:r>
        <w:rPr>
          <w:rFonts w:ascii="Times New Roman" w:hAnsi="Times New Roman"/>
        </w:rPr>
        <w:t>.</w:t>
      </w:r>
    </w:p>
  </w:footnote>
  <w:footnote w:id="82">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 Exhibit No. RBD-1T at 5:</w:t>
      </w:r>
      <w:r w:rsidRPr="00911D0D">
        <w:rPr>
          <w:rFonts w:ascii="Times New Roman" w:hAnsi="Times New Roman"/>
        </w:rPr>
        <w:t>16-18.</w:t>
      </w:r>
    </w:p>
  </w:footnote>
  <w:footnote w:id="8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 Exhibit No. RBD-1T at 5:</w:t>
      </w:r>
      <w:r w:rsidRPr="00911D0D">
        <w:rPr>
          <w:rFonts w:ascii="Times New Roman" w:hAnsi="Times New Roman"/>
        </w:rPr>
        <w:t>1-4.</w:t>
      </w:r>
    </w:p>
  </w:footnote>
  <w:footnote w:id="84">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Dalley, Exhibit No. RBD-1T at 13:</w:t>
      </w:r>
      <w:r w:rsidRPr="00911D0D">
        <w:rPr>
          <w:rFonts w:ascii="Times New Roman" w:hAnsi="Times New Roman"/>
        </w:rPr>
        <w:t>13-15.</w:t>
      </w:r>
    </w:p>
  </w:footnote>
  <w:footnote w:id="85">
    <w:p w:rsidR="00C446D3" w:rsidRPr="009E70FF" w:rsidRDefault="00C446D3">
      <w:pPr>
        <w:pStyle w:val="FootnoteText"/>
        <w:rPr>
          <w:rFonts w:ascii="Times New Roman" w:hAnsi="Times New Roman"/>
        </w:rPr>
      </w:pPr>
      <w:r w:rsidRPr="00D55CC9">
        <w:rPr>
          <w:rStyle w:val="FootnoteReference"/>
          <w:rFonts w:ascii="Times New Roman" w:hAnsi="Times New Roman"/>
        </w:rPr>
        <w:footnoteRef/>
      </w:r>
      <w:r w:rsidRPr="009E70FF">
        <w:rPr>
          <w:rFonts w:ascii="Times New Roman" w:hAnsi="Times New Roman"/>
        </w:rPr>
        <w:t xml:space="preserve"> Exhibit No. 14, CREA Response to Public Counsel Data Request No. 3</w:t>
      </w:r>
      <w:r>
        <w:rPr>
          <w:rFonts w:ascii="Times New Roman" w:hAnsi="Times New Roman"/>
        </w:rPr>
        <w:t>, part</w:t>
      </w:r>
      <w:r w:rsidR="00647FF4">
        <w:rPr>
          <w:rFonts w:ascii="Times New Roman" w:hAnsi="Times New Roman"/>
        </w:rPr>
        <w:t xml:space="preserve"> </w:t>
      </w:r>
      <w:r w:rsidRPr="009E70FF">
        <w:rPr>
          <w:rFonts w:ascii="Times New Roman" w:hAnsi="Times New Roman"/>
        </w:rPr>
        <w:t>a.</w:t>
      </w:r>
    </w:p>
  </w:footnote>
  <w:footnote w:id="86">
    <w:p w:rsidR="00C446D3" w:rsidRDefault="00C446D3" w:rsidP="009165B0">
      <w:pPr>
        <w:pStyle w:val="FootnoteText"/>
      </w:pPr>
      <w:r w:rsidRPr="00C446D3">
        <w:rPr>
          <w:rStyle w:val="FootnoteReference"/>
          <w:rFonts w:ascii="Times New Roman" w:hAnsi="Times New Roman"/>
        </w:rPr>
        <w:footnoteRef/>
      </w:r>
      <w:r w:rsidRPr="00C446D3">
        <w:rPr>
          <w:rFonts w:ascii="Times New Roman" w:hAnsi="Times New Roman"/>
        </w:rPr>
        <w:t xml:space="preserve"> Exhibit No. KAK-16, Pacific Power’s Response to Commission Staff Data Request No. 4, Attachment WUTC-4, Exhibit 1, “Agreement for the Prevention and Elimination of Duplicative Electric Facilities between PacifiCorp and Benton REA”, dated July 29, 2015, Section 1, Purpose, page 7 of 9.</w:t>
      </w:r>
    </w:p>
  </w:footnote>
  <w:footnote w:id="87">
    <w:p w:rsidR="00C446D3" w:rsidRPr="00C446D3" w:rsidRDefault="00C446D3" w:rsidP="009165B0">
      <w:pPr>
        <w:pStyle w:val="FootnoteText"/>
        <w:rPr>
          <w:rFonts w:ascii="Times New Roman" w:hAnsi="Times New Roman"/>
        </w:rPr>
      </w:pPr>
      <w:r w:rsidRPr="00C446D3">
        <w:rPr>
          <w:rStyle w:val="FootnoteReference"/>
          <w:rFonts w:ascii="Times New Roman" w:hAnsi="Times New Roman"/>
        </w:rPr>
        <w:footnoteRef/>
      </w:r>
      <w:r w:rsidRPr="00C446D3">
        <w:rPr>
          <w:rFonts w:ascii="Times New Roman" w:hAnsi="Times New Roman"/>
        </w:rPr>
        <w:t xml:space="preserve"> Exhibit No. KAK-16, Pacific Power’s Response to Commission Staff Data Request No. 4, Attachment WUTC-4, Exhibit 1, “Agreement for the Prevention and Elimination of Duplicative Electric Facilities between PacifiCorp and Benton REA”, dated July 29, 2015, Section 3, Service to New Customers, page 8 of 9.</w:t>
      </w:r>
    </w:p>
  </w:footnote>
  <w:footnote w:id="88">
    <w:p w:rsidR="00C446D3" w:rsidRDefault="00C446D3" w:rsidP="009165B0">
      <w:pPr>
        <w:pStyle w:val="FootnoteText"/>
      </w:pPr>
      <w:r w:rsidRPr="00C446D3">
        <w:rPr>
          <w:rStyle w:val="FootnoteReference"/>
          <w:rFonts w:ascii="Times New Roman" w:hAnsi="Times New Roman"/>
        </w:rPr>
        <w:footnoteRef/>
      </w:r>
      <w:r w:rsidRPr="00C446D3">
        <w:rPr>
          <w:rFonts w:ascii="Times New Roman" w:hAnsi="Times New Roman"/>
        </w:rPr>
        <w:t xml:space="preserve"> Exhibit No. KAK-16, Pacific Power’s Response to Commission Staff Data Request No. 4, Attachment WUTC-4, Exhibit 1, “Agreement for the Prevention and Elimination of Duplicative Electric Facilities between PacifiCorp and Benton REA”, dated July 29, 2015, Section 5, Term and Termination, page 8 of 9.</w:t>
      </w:r>
    </w:p>
  </w:footnote>
  <w:footnote w:id="89">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RCW 54.48.030.  </w:t>
      </w:r>
    </w:p>
  </w:footnote>
  <w:footnote w:id="90">
    <w:p w:rsidR="00C446D3" w:rsidRPr="00911D0D" w:rsidRDefault="00C446D3" w:rsidP="0003626C">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RCW 54.48.020.</w:t>
      </w:r>
    </w:p>
  </w:footnote>
  <w:footnote w:id="91">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KAK-15, </w:t>
      </w:r>
      <w:r w:rsidRPr="00911D0D">
        <w:rPr>
          <w:rFonts w:ascii="Times New Roman" w:hAnsi="Times New Roman"/>
        </w:rPr>
        <w:t xml:space="preserve">CREA Response to Public Counsel Data Request </w:t>
      </w:r>
      <w:r>
        <w:rPr>
          <w:rFonts w:ascii="Times New Roman" w:hAnsi="Times New Roman"/>
        </w:rPr>
        <w:t xml:space="preserve">No. </w:t>
      </w:r>
      <w:r w:rsidRPr="00911D0D">
        <w:rPr>
          <w:rFonts w:ascii="Times New Roman" w:hAnsi="Times New Roman"/>
        </w:rPr>
        <w:t xml:space="preserve">1, </w:t>
      </w:r>
      <w:r>
        <w:rPr>
          <w:rFonts w:ascii="Times New Roman" w:hAnsi="Times New Roman"/>
        </w:rPr>
        <w:t xml:space="preserve">CREA Response to </w:t>
      </w:r>
      <w:r w:rsidRPr="00911D0D">
        <w:rPr>
          <w:rFonts w:ascii="Times New Roman" w:hAnsi="Times New Roman"/>
        </w:rPr>
        <w:t xml:space="preserve">Pacific Power Data </w:t>
      </w:r>
      <w:r>
        <w:rPr>
          <w:rFonts w:ascii="Times New Roman" w:hAnsi="Times New Roman"/>
        </w:rPr>
        <w:t>R</w:t>
      </w:r>
      <w:r w:rsidRPr="00911D0D">
        <w:rPr>
          <w:rFonts w:ascii="Times New Roman" w:hAnsi="Times New Roman"/>
        </w:rPr>
        <w:t>equest</w:t>
      </w:r>
      <w:r>
        <w:rPr>
          <w:rFonts w:ascii="Times New Roman" w:hAnsi="Times New Roman"/>
        </w:rPr>
        <w:t xml:space="preserve"> No.</w:t>
      </w:r>
      <w:r w:rsidRPr="00911D0D">
        <w:rPr>
          <w:rFonts w:ascii="Times New Roman" w:hAnsi="Times New Roman"/>
        </w:rPr>
        <w:t xml:space="preserve"> 18</w:t>
      </w:r>
      <w:r w:rsidR="00FF6D95">
        <w:rPr>
          <w:rFonts w:ascii="Times New Roman" w:hAnsi="Times New Roman"/>
        </w:rPr>
        <w:t>;</w:t>
      </w:r>
      <w:r w:rsidRPr="000D3F79">
        <w:rPr>
          <w:rFonts w:ascii="Times New Roman" w:hAnsi="Times New Roman"/>
        </w:rPr>
        <w:t xml:space="preserve"> </w:t>
      </w:r>
      <w:r>
        <w:rPr>
          <w:rFonts w:ascii="Times New Roman" w:hAnsi="Times New Roman"/>
        </w:rPr>
        <w:t xml:space="preserve"> </w:t>
      </w:r>
      <w:r w:rsidRPr="00C446D3">
        <w:rPr>
          <w:rFonts w:ascii="Times New Roman" w:hAnsi="Times New Roman"/>
        </w:rPr>
        <w:t>http://columbiarea.coop/content/rebate-offers</w:t>
      </w:r>
      <w:r w:rsidRPr="000D3F79">
        <w:rPr>
          <w:rFonts w:ascii="Times New Roman" w:hAnsi="Times New Roman"/>
        </w:rPr>
        <w:t>.</w:t>
      </w:r>
      <w:r w:rsidRPr="00911D0D">
        <w:rPr>
          <w:rFonts w:ascii="Times New Roman" w:hAnsi="Times New Roman"/>
        </w:rPr>
        <w:t xml:space="preserve"> </w:t>
      </w:r>
    </w:p>
  </w:footnote>
  <w:footnote w:id="92">
    <w:p w:rsidR="00C446D3" w:rsidRPr="000D3F79" w:rsidRDefault="00C446D3" w:rsidP="00F67A51">
      <w:pPr>
        <w:pStyle w:val="FootnoteText"/>
        <w:rPr>
          <w:rFonts w:ascii="Times New Roman" w:hAnsi="Times New Roman"/>
        </w:rPr>
      </w:pPr>
      <w:r w:rsidRPr="00C446D3">
        <w:rPr>
          <w:rStyle w:val="FootnoteReference"/>
          <w:rFonts w:ascii="Times New Roman" w:hAnsi="Times New Roman"/>
        </w:rPr>
        <w:footnoteRef/>
      </w:r>
      <w:r w:rsidRPr="00C446D3">
        <w:rPr>
          <w:rFonts w:ascii="Times New Roman" w:hAnsi="Times New Roman"/>
        </w:rPr>
        <w:t xml:space="preserve"> </w:t>
      </w:r>
      <w:r>
        <w:rPr>
          <w:rFonts w:ascii="Times New Roman" w:hAnsi="Times New Roman"/>
        </w:rPr>
        <w:t>Exhibit No. KAK-17,</w:t>
      </w:r>
      <w:r w:rsidRPr="00C446D3">
        <w:rPr>
          <w:rFonts w:ascii="Times New Roman" w:hAnsi="Times New Roman"/>
        </w:rPr>
        <w:t xml:space="preserve"> Yakama Power Response to Public Counsel Data Request No. 1, page 2, https://www.bpa.gov/EE/Policy/EEPlan/Pages/</w:t>
      </w:r>
      <w:r w:rsidR="006572F8" w:rsidRPr="00C446D3">
        <w:rPr>
          <w:rFonts w:ascii="Times New Roman" w:hAnsi="Times New Roman"/>
        </w:rPr>
        <w:t>default.aspx</w:t>
      </w:r>
      <w:r w:rsidR="006572F8" w:rsidRPr="000D3F79">
        <w:rPr>
          <w:rFonts w:ascii="Times New Roman" w:hAnsi="Times New Roman"/>
        </w:rPr>
        <w:t xml:space="preserve"> </w:t>
      </w:r>
      <w:r w:rsidR="006572F8">
        <w:rPr>
          <w:rFonts w:ascii="Times New Roman" w:hAnsi="Times New Roman"/>
        </w:rPr>
        <w:t>(</w:t>
      </w:r>
      <w:r w:rsidRPr="000D3F79">
        <w:rPr>
          <w:rFonts w:ascii="Times New Roman" w:hAnsi="Times New Roman"/>
        </w:rPr>
        <w:t>B</w:t>
      </w:r>
      <w:r>
        <w:rPr>
          <w:rFonts w:ascii="Times New Roman" w:hAnsi="Times New Roman"/>
        </w:rPr>
        <w:t xml:space="preserve">onneville </w:t>
      </w:r>
      <w:r w:rsidRPr="00F94349">
        <w:rPr>
          <w:rFonts w:ascii="Times New Roman" w:hAnsi="Times New Roman"/>
        </w:rPr>
        <w:t>P</w:t>
      </w:r>
      <w:r>
        <w:rPr>
          <w:rFonts w:ascii="Times New Roman" w:hAnsi="Times New Roman"/>
        </w:rPr>
        <w:t xml:space="preserve">ower </w:t>
      </w:r>
      <w:r w:rsidRPr="00F94349">
        <w:rPr>
          <w:rFonts w:ascii="Times New Roman" w:hAnsi="Times New Roman"/>
        </w:rPr>
        <w:t>A</w:t>
      </w:r>
      <w:r>
        <w:rPr>
          <w:rFonts w:ascii="Times New Roman" w:hAnsi="Times New Roman"/>
        </w:rPr>
        <w:t>ssociation</w:t>
      </w:r>
      <w:r w:rsidRPr="00F94349">
        <w:rPr>
          <w:rFonts w:ascii="Times New Roman" w:hAnsi="Times New Roman"/>
        </w:rPr>
        <w:t>’s description of their current plan and their proposed plan for 2016-2021</w:t>
      </w:r>
      <w:r>
        <w:rPr>
          <w:rFonts w:ascii="Times New Roman" w:hAnsi="Times New Roman"/>
        </w:rPr>
        <w:t>).</w:t>
      </w:r>
    </w:p>
  </w:footnote>
  <w:footnote w:id="93">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KAK-15, </w:t>
      </w:r>
      <w:r w:rsidRPr="00911D0D">
        <w:rPr>
          <w:rFonts w:ascii="Times New Roman" w:hAnsi="Times New Roman"/>
        </w:rPr>
        <w:t>CREA Response to Public Counsel Data Request</w:t>
      </w:r>
      <w:r>
        <w:rPr>
          <w:rFonts w:ascii="Times New Roman" w:hAnsi="Times New Roman"/>
        </w:rPr>
        <w:t xml:space="preserve"> No.</w:t>
      </w:r>
      <w:r w:rsidRPr="00911D0D">
        <w:rPr>
          <w:rFonts w:ascii="Times New Roman" w:hAnsi="Times New Roman"/>
        </w:rPr>
        <w:t xml:space="preserve"> 1</w:t>
      </w:r>
      <w:r>
        <w:rPr>
          <w:rFonts w:ascii="Times New Roman" w:hAnsi="Times New Roman"/>
        </w:rPr>
        <w:t>, part</w:t>
      </w:r>
      <w:r w:rsidR="00647FF4">
        <w:rPr>
          <w:rFonts w:ascii="Times New Roman" w:hAnsi="Times New Roman"/>
        </w:rPr>
        <w:t xml:space="preserve"> </w:t>
      </w:r>
      <w:r w:rsidRPr="00911D0D">
        <w:rPr>
          <w:rFonts w:ascii="Times New Roman" w:hAnsi="Times New Roman"/>
        </w:rPr>
        <w:t>a.</w:t>
      </w:r>
    </w:p>
  </w:footnote>
  <w:footnote w:id="94">
    <w:p w:rsidR="00C446D3" w:rsidRPr="00911D0D" w:rsidRDefault="00C446D3" w:rsidP="009029D2">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American Council for Energy Efficiency Economy (</w:t>
      </w:r>
      <w:r w:rsidRPr="00911D0D">
        <w:rPr>
          <w:rFonts w:ascii="Times New Roman" w:hAnsi="Times New Roman"/>
        </w:rPr>
        <w:t>ACEEE</w:t>
      </w:r>
      <w:r>
        <w:rPr>
          <w:rFonts w:ascii="Times New Roman" w:hAnsi="Times New Roman"/>
        </w:rPr>
        <w:t xml:space="preserve">), </w:t>
      </w:r>
      <w:r w:rsidRPr="005E2E26">
        <w:rPr>
          <w:rFonts w:ascii="Times New Roman" w:hAnsi="Times New Roman"/>
          <w:smallCaps/>
        </w:rPr>
        <w:t>Washington State Utilities, Customer Energy Efficiency Programs, Energy Efficiency Resource Standards</w:t>
      </w:r>
      <w:r w:rsidRPr="00911D0D">
        <w:rPr>
          <w:rFonts w:ascii="Times New Roman" w:hAnsi="Times New Roman"/>
        </w:rPr>
        <w:t xml:space="preserve">, </w:t>
      </w:r>
      <w:hyperlink r:id="rId7" w:history="1">
        <w:r w:rsidRPr="001944B9">
          <w:rPr>
            <w:rStyle w:val="Hyperlink"/>
            <w:rFonts w:ascii="Times New Roman" w:hAnsi="Times New Roman"/>
          </w:rPr>
          <w:t>http://database.aceee.org/state/washington</w:t>
        </w:r>
      </w:hyperlink>
      <w:r>
        <w:rPr>
          <w:rFonts w:ascii="Times New Roman" w:hAnsi="Times New Roman"/>
        </w:rPr>
        <w:t xml:space="preserve"> (last updated July 2016).   </w:t>
      </w:r>
    </w:p>
  </w:footnote>
  <w:footnote w:id="95">
    <w:p w:rsidR="00C446D3" w:rsidRPr="00911D0D" w:rsidRDefault="00C446D3" w:rsidP="009029D2">
      <w:pPr>
        <w:pStyle w:val="FootnoteText"/>
        <w:ind w:right="-180"/>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ACEEE, </w:t>
      </w:r>
      <w:r w:rsidRPr="005E2E26">
        <w:rPr>
          <w:rFonts w:ascii="Times New Roman" w:hAnsi="Times New Roman"/>
          <w:smallCaps/>
        </w:rPr>
        <w:t>Washington State Utilities, Customer Energy Efficiency, Energy Efficiency As A Resource</w:t>
      </w:r>
      <w:r w:rsidRPr="00911D0D">
        <w:rPr>
          <w:rFonts w:ascii="Times New Roman" w:hAnsi="Times New Roman"/>
        </w:rPr>
        <w:t xml:space="preserve">, </w:t>
      </w:r>
      <w:hyperlink r:id="rId8" w:history="1">
        <w:r w:rsidRPr="001944B9">
          <w:rPr>
            <w:rStyle w:val="Hyperlink"/>
            <w:rFonts w:ascii="Times New Roman" w:hAnsi="Times New Roman"/>
          </w:rPr>
          <w:t>http://database.aceee.org/state/washington</w:t>
        </w:r>
      </w:hyperlink>
      <w:r>
        <w:rPr>
          <w:rFonts w:ascii="Times New Roman" w:hAnsi="Times New Roman"/>
        </w:rPr>
        <w:t xml:space="preserve"> (last updated July 2016).   </w:t>
      </w:r>
    </w:p>
  </w:footnote>
  <w:footnote w:id="96">
    <w:p w:rsidR="00C446D3" w:rsidRPr="00911D0D" w:rsidRDefault="00C446D3" w:rsidP="009029D2">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The department shall adopt rules concerning only process, timelines, and documentation to ensure the proper implementation of this chapter as it applies to qualifying utilities that are not</w:t>
      </w:r>
      <w:r w:rsidR="00647FF4">
        <w:rPr>
          <w:rFonts w:ascii="Times New Roman" w:hAnsi="Times New Roman"/>
        </w:rPr>
        <w:t xml:space="preserve"> investor-owned utilities.  RCW </w:t>
      </w:r>
      <w:r w:rsidRPr="00911D0D">
        <w:rPr>
          <w:rFonts w:ascii="Times New Roman" w:hAnsi="Times New Roman"/>
        </w:rPr>
        <w:t>19.285.080</w:t>
      </w:r>
      <w:r>
        <w:rPr>
          <w:rFonts w:ascii="Times New Roman" w:hAnsi="Times New Roman"/>
        </w:rPr>
        <w:t>(2).</w:t>
      </w:r>
    </w:p>
  </w:footnote>
  <w:footnote w:id="97">
    <w:p w:rsidR="00C446D3" w:rsidRPr="00911D0D" w:rsidRDefault="00C446D3" w:rsidP="009029D2">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Columbia REA, </w:t>
      </w:r>
      <w:r w:rsidRPr="005E2E26">
        <w:rPr>
          <w:rFonts w:ascii="Times New Roman" w:hAnsi="Times New Roman"/>
          <w:smallCaps/>
        </w:rPr>
        <w:t>Rebate Offers,</w:t>
      </w:r>
      <w:r w:rsidRPr="00911D0D">
        <w:rPr>
          <w:rFonts w:ascii="Times New Roman" w:hAnsi="Times New Roman"/>
        </w:rPr>
        <w:t xml:space="preserve"> </w:t>
      </w:r>
      <w:hyperlink r:id="rId9" w:history="1">
        <w:r w:rsidRPr="001944B9">
          <w:rPr>
            <w:rStyle w:val="Hyperlink"/>
            <w:rFonts w:ascii="Times New Roman" w:hAnsi="Times New Roman"/>
          </w:rPr>
          <w:t>http://www.columbiarea.com/content/rebate-offers</w:t>
        </w:r>
      </w:hyperlink>
      <w:r>
        <w:rPr>
          <w:rFonts w:ascii="Times New Roman" w:hAnsi="Times New Roman"/>
        </w:rPr>
        <w:t xml:space="preserve">.  </w:t>
      </w:r>
    </w:p>
  </w:footnote>
  <w:footnote w:id="98">
    <w:p w:rsidR="00C446D3" w:rsidRPr="00911D0D" w:rsidRDefault="00C446D3" w:rsidP="009029D2">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Exhibit No. KAK-15, CREA </w:t>
      </w:r>
      <w:r w:rsidRPr="00911D0D">
        <w:rPr>
          <w:rFonts w:ascii="Times New Roman" w:hAnsi="Times New Roman"/>
        </w:rPr>
        <w:t>Response to Public Counsel Data Request</w:t>
      </w:r>
      <w:r>
        <w:rPr>
          <w:rFonts w:ascii="Times New Roman" w:hAnsi="Times New Roman"/>
        </w:rPr>
        <w:t xml:space="preserve"> No.</w:t>
      </w:r>
      <w:r w:rsidRPr="00911D0D">
        <w:rPr>
          <w:rFonts w:ascii="Times New Roman" w:hAnsi="Times New Roman"/>
        </w:rPr>
        <w:t xml:space="preserve"> 1</w:t>
      </w:r>
      <w:r>
        <w:rPr>
          <w:rFonts w:ascii="Times New Roman" w:hAnsi="Times New Roman"/>
        </w:rPr>
        <w:t>, parts</w:t>
      </w:r>
      <w:r w:rsidR="00647FF4">
        <w:rPr>
          <w:rFonts w:ascii="Times New Roman" w:hAnsi="Times New Roman"/>
        </w:rPr>
        <w:t xml:space="preserve"> b</w:t>
      </w:r>
      <w:r w:rsidRPr="00911D0D">
        <w:rPr>
          <w:rFonts w:ascii="Times New Roman" w:hAnsi="Times New Roman"/>
        </w:rPr>
        <w:t xml:space="preserve"> and c.  CREA notes that it does not distinguish </w:t>
      </w:r>
      <w:r>
        <w:rPr>
          <w:rFonts w:ascii="Times New Roman" w:hAnsi="Times New Roman"/>
        </w:rPr>
        <w:t>between conservation and energy-</w:t>
      </w:r>
      <w:r w:rsidRPr="00911D0D">
        <w:rPr>
          <w:rFonts w:ascii="Times New Roman" w:hAnsi="Times New Roman"/>
        </w:rPr>
        <w:t>efficiency.</w:t>
      </w:r>
    </w:p>
  </w:footnote>
  <w:footnote w:id="99">
    <w:p w:rsidR="00C446D3" w:rsidRDefault="00C446D3" w:rsidP="0021038D">
      <w:pPr>
        <w:pStyle w:val="FootnoteText"/>
      </w:pPr>
      <w:r>
        <w:rPr>
          <w:rStyle w:val="FootnoteReference"/>
        </w:rPr>
        <w:footnoteRef/>
      </w:r>
      <w:r>
        <w:t xml:space="preserve"> </w:t>
      </w:r>
      <w:r w:rsidRPr="00C446D3">
        <w:rPr>
          <w:rFonts w:ascii="Times New Roman" w:hAnsi="Times New Roman"/>
        </w:rPr>
        <w:t xml:space="preserve">Exhibit No. KAK-18, </w:t>
      </w:r>
      <w:r w:rsidRPr="00C46029">
        <w:rPr>
          <w:rFonts w:ascii="Times New Roman" w:hAnsi="Times New Roman"/>
        </w:rPr>
        <w:t>CREA</w:t>
      </w:r>
      <w:r>
        <w:rPr>
          <w:rFonts w:ascii="Times New Roman" w:hAnsi="Times New Roman"/>
        </w:rPr>
        <w:t xml:space="preserve"> R</w:t>
      </w:r>
      <w:r w:rsidRPr="00C446D3">
        <w:rPr>
          <w:rFonts w:ascii="Times New Roman" w:hAnsi="Times New Roman"/>
        </w:rPr>
        <w:t>esponse to Pacific Power Data Request No. 12.</w:t>
      </w:r>
    </w:p>
  </w:footnote>
  <w:footnote w:id="100">
    <w:p w:rsidR="00C446D3" w:rsidRPr="00911D0D" w:rsidRDefault="00C446D3">
      <w:pPr>
        <w:pStyle w:val="FootnoteText"/>
        <w:rPr>
          <w:rFonts w:ascii="Times New Roman" w:hAnsi="Times New Roman"/>
        </w:rPr>
      </w:pPr>
      <w:r w:rsidRPr="00911D0D">
        <w:rPr>
          <w:rStyle w:val="FootnoteReference"/>
          <w:rFonts w:ascii="Times New Roman" w:hAnsi="Times New Roman"/>
        </w:rPr>
        <w:footnoteRef/>
      </w:r>
      <w:r w:rsidRPr="00911D0D">
        <w:rPr>
          <w:rFonts w:ascii="Times New Roman" w:hAnsi="Times New Roman"/>
        </w:rPr>
        <w:t xml:space="preserve"> </w:t>
      </w:r>
      <w:r>
        <w:rPr>
          <w:rFonts w:ascii="Times New Roman" w:hAnsi="Times New Roman"/>
        </w:rPr>
        <w:t xml:space="preserve">Pacific Power Tariff WN-U-75, Rule 6, Sheet No. R6.3.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D3" w:rsidRDefault="00C446D3" w:rsidP="00C446D3">
    <w:pPr>
      <w:pStyle w:val="Header"/>
      <w:jc w:val="right"/>
      <w:rPr>
        <w:rFonts w:ascii="Times New Roman" w:hAnsi="Times New Roman"/>
        <w:sz w:val="20"/>
        <w:szCs w:val="20"/>
      </w:rPr>
    </w:pPr>
    <w:r>
      <w:rPr>
        <w:rFonts w:ascii="Times New Roman" w:hAnsi="Times New Roman"/>
        <w:sz w:val="20"/>
        <w:szCs w:val="20"/>
      </w:rPr>
      <w:t>Docket UE-161204</w:t>
    </w:r>
  </w:p>
  <w:p w:rsidR="00C446D3" w:rsidRDefault="00C446D3" w:rsidP="00C446D3">
    <w:pPr>
      <w:pStyle w:val="Header"/>
      <w:jc w:val="right"/>
      <w:rPr>
        <w:rFonts w:ascii="Times New Roman" w:hAnsi="Times New Roman"/>
        <w:sz w:val="20"/>
        <w:szCs w:val="20"/>
      </w:rPr>
    </w:pPr>
    <w:r>
      <w:rPr>
        <w:rFonts w:ascii="Times New Roman" w:hAnsi="Times New Roman"/>
        <w:sz w:val="20"/>
        <w:szCs w:val="20"/>
      </w:rPr>
      <w:t>Responsive Testimony of KATHLEEN A. KELLY</w:t>
    </w:r>
  </w:p>
  <w:p w:rsidR="00C446D3" w:rsidRDefault="00C446D3" w:rsidP="00C446D3">
    <w:pPr>
      <w:pStyle w:val="Header"/>
      <w:jc w:val="right"/>
      <w:rPr>
        <w:rFonts w:ascii="Times New Roman" w:hAnsi="Times New Roman"/>
        <w:sz w:val="20"/>
        <w:szCs w:val="20"/>
      </w:rPr>
    </w:pPr>
    <w:r>
      <w:rPr>
        <w:rFonts w:ascii="Times New Roman" w:hAnsi="Times New Roman"/>
        <w:sz w:val="20"/>
        <w:szCs w:val="20"/>
      </w:rPr>
      <w:t>Exhibit No. KAK-1T</w:t>
    </w:r>
  </w:p>
  <w:p w:rsidR="00C446D3" w:rsidRDefault="00C446D3" w:rsidP="00C446D3">
    <w:pPr>
      <w:pStyle w:val="Header"/>
      <w:jc w:val="right"/>
      <w:rPr>
        <w:rFonts w:ascii="Times New Roman" w:hAnsi="Times New Roman"/>
        <w:sz w:val="20"/>
        <w:szCs w:val="20"/>
      </w:rPr>
    </w:pPr>
  </w:p>
  <w:p w:rsidR="00C446D3" w:rsidRPr="00C446D3" w:rsidRDefault="00C446D3" w:rsidP="00C446D3">
    <w:pPr>
      <w:pStyle w:val="Header"/>
      <w:jc w:val="righ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513"/>
    <w:multiLevelType w:val="hybridMultilevel"/>
    <w:tmpl w:val="6FF8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6C0ED6"/>
    <w:multiLevelType w:val="hybridMultilevel"/>
    <w:tmpl w:val="BEF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17F0"/>
    <w:multiLevelType w:val="hybridMultilevel"/>
    <w:tmpl w:val="3464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B7641"/>
    <w:multiLevelType w:val="hybridMultilevel"/>
    <w:tmpl w:val="F716A1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2E226D"/>
    <w:multiLevelType w:val="hybridMultilevel"/>
    <w:tmpl w:val="5B449E84"/>
    <w:lvl w:ilvl="0" w:tplc="B7F4B39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CE2DEB"/>
    <w:multiLevelType w:val="hybridMultilevel"/>
    <w:tmpl w:val="00425142"/>
    <w:lvl w:ilvl="0" w:tplc="B7F4B39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FF661C"/>
    <w:multiLevelType w:val="hybridMultilevel"/>
    <w:tmpl w:val="FAA8B298"/>
    <w:lvl w:ilvl="0" w:tplc="2C8C59D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755F3"/>
    <w:multiLevelType w:val="hybridMultilevel"/>
    <w:tmpl w:val="16C83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F85005"/>
    <w:multiLevelType w:val="hybridMultilevel"/>
    <w:tmpl w:val="4F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41EFF"/>
    <w:multiLevelType w:val="hybridMultilevel"/>
    <w:tmpl w:val="BD227A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F6A1F06"/>
    <w:multiLevelType w:val="hybridMultilevel"/>
    <w:tmpl w:val="CC9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55270"/>
    <w:multiLevelType w:val="hybridMultilevel"/>
    <w:tmpl w:val="91AE2D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1DC0ADB"/>
    <w:multiLevelType w:val="hybridMultilevel"/>
    <w:tmpl w:val="2EB071E0"/>
    <w:lvl w:ilvl="0" w:tplc="BCC2EA4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960DD"/>
    <w:multiLevelType w:val="hybridMultilevel"/>
    <w:tmpl w:val="AF784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7312B8"/>
    <w:multiLevelType w:val="hybridMultilevel"/>
    <w:tmpl w:val="7BC6D3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A4733"/>
    <w:multiLevelType w:val="hybridMultilevel"/>
    <w:tmpl w:val="B88C8B2C"/>
    <w:lvl w:ilvl="0" w:tplc="9F6439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440114A"/>
    <w:multiLevelType w:val="hybridMultilevel"/>
    <w:tmpl w:val="F1D290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107A8"/>
    <w:multiLevelType w:val="hybridMultilevel"/>
    <w:tmpl w:val="B96CDA84"/>
    <w:lvl w:ilvl="0" w:tplc="F6B072A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345190"/>
    <w:multiLevelType w:val="hybridMultilevel"/>
    <w:tmpl w:val="72545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B85138"/>
    <w:multiLevelType w:val="hybridMultilevel"/>
    <w:tmpl w:val="21A4DF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E22FC8"/>
    <w:multiLevelType w:val="hybridMultilevel"/>
    <w:tmpl w:val="6C44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153ED"/>
    <w:multiLevelType w:val="hybridMultilevel"/>
    <w:tmpl w:val="7BC8365A"/>
    <w:lvl w:ilvl="0" w:tplc="B7F4B39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B857E17"/>
    <w:multiLevelType w:val="hybridMultilevel"/>
    <w:tmpl w:val="3796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44EBB"/>
    <w:multiLevelType w:val="hybridMultilevel"/>
    <w:tmpl w:val="EFCE522C"/>
    <w:lvl w:ilvl="0" w:tplc="F6B072A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23670C"/>
    <w:multiLevelType w:val="hybridMultilevel"/>
    <w:tmpl w:val="E7401E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EC93FAE"/>
    <w:multiLevelType w:val="hybridMultilevel"/>
    <w:tmpl w:val="E9E6D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D3379F"/>
    <w:multiLevelType w:val="hybridMultilevel"/>
    <w:tmpl w:val="FA30B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1D0FF7"/>
    <w:multiLevelType w:val="hybridMultilevel"/>
    <w:tmpl w:val="383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36492"/>
    <w:multiLevelType w:val="hybridMultilevel"/>
    <w:tmpl w:val="46D0E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892A9C"/>
    <w:multiLevelType w:val="hybridMultilevel"/>
    <w:tmpl w:val="99A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13592"/>
    <w:multiLevelType w:val="hybridMultilevel"/>
    <w:tmpl w:val="E0D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427F0"/>
    <w:multiLevelType w:val="hybridMultilevel"/>
    <w:tmpl w:val="9498F36A"/>
    <w:lvl w:ilvl="0" w:tplc="B7F4B39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6243588"/>
    <w:multiLevelType w:val="hybridMultilevel"/>
    <w:tmpl w:val="54C6B4B8"/>
    <w:lvl w:ilvl="0" w:tplc="04090011">
      <w:start w:val="1"/>
      <w:numFmt w:val="decimal"/>
      <w:lvlText w:val="%1)"/>
      <w:lvlJc w:val="left"/>
      <w:pPr>
        <w:ind w:left="1080" w:hanging="360"/>
      </w:pPr>
      <w:rPr>
        <w:rFonts w:hint="default"/>
      </w:rPr>
    </w:lvl>
    <w:lvl w:ilvl="1" w:tplc="911EAF72">
      <w:numFmt w:val="bullet"/>
      <w:lvlText w:val="-"/>
      <w:lvlJc w:val="left"/>
      <w:pPr>
        <w:ind w:left="2220" w:hanging="78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E32A2D"/>
    <w:multiLevelType w:val="hybridMultilevel"/>
    <w:tmpl w:val="B4745A8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nsid w:val="6BFE3F21"/>
    <w:multiLevelType w:val="hybridMultilevel"/>
    <w:tmpl w:val="0A2A3954"/>
    <w:lvl w:ilvl="0" w:tplc="809E8B9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B5714"/>
    <w:multiLevelType w:val="hybridMultilevel"/>
    <w:tmpl w:val="E25EEE2C"/>
    <w:lvl w:ilvl="0" w:tplc="B7F4B39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AE4826"/>
    <w:multiLevelType w:val="hybridMultilevel"/>
    <w:tmpl w:val="1E48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86853"/>
    <w:multiLevelType w:val="hybridMultilevel"/>
    <w:tmpl w:val="FD7C3978"/>
    <w:lvl w:ilvl="0" w:tplc="D76E5212">
      <w:start w:val="1"/>
      <w:numFmt w:val="upperRoman"/>
      <w:lvlText w:val="%1."/>
      <w:lvlJc w:val="right"/>
      <w:pPr>
        <w:ind w:left="1080" w:hanging="360"/>
      </w:pPr>
      <w:rPr>
        <w:rFonts w:cs="Times New Roman"/>
      </w:rPr>
    </w:lvl>
    <w:lvl w:ilvl="1" w:tplc="B7F4B392">
      <w:start w:val="1"/>
      <w:numFmt w:val="upperLetter"/>
      <w:lvlText w:val="%2."/>
      <w:lvlJc w:val="left"/>
      <w:pPr>
        <w:ind w:left="-2700" w:hanging="450"/>
      </w:pPr>
      <w:rPr>
        <w:rFonts w:cs="Times New Roman" w:hint="default"/>
      </w:rPr>
    </w:lvl>
    <w:lvl w:ilvl="2" w:tplc="B7F4B392">
      <w:start w:val="1"/>
      <w:numFmt w:val="upperLetter"/>
      <w:lvlText w:val="%3."/>
      <w:lvlJc w:val="left"/>
      <w:pPr>
        <w:ind w:left="-2070" w:hanging="180"/>
      </w:pPr>
      <w:rPr>
        <w:rFonts w:cs="Times New Roman" w:hint="default"/>
      </w:rPr>
    </w:lvl>
    <w:lvl w:ilvl="3" w:tplc="0409000F">
      <w:start w:val="1"/>
      <w:numFmt w:val="decimal"/>
      <w:lvlText w:val="%4."/>
      <w:lvlJc w:val="left"/>
      <w:pPr>
        <w:ind w:left="-1350" w:hanging="360"/>
      </w:pPr>
      <w:rPr>
        <w:rFonts w:cs="Times New Roman"/>
      </w:rPr>
    </w:lvl>
    <w:lvl w:ilvl="4" w:tplc="04090019">
      <w:start w:val="1"/>
      <w:numFmt w:val="lowerLetter"/>
      <w:lvlText w:val="%5."/>
      <w:lvlJc w:val="left"/>
      <w:pPr>
        <w:ind w:left="-630" w:hanging="360"/>
      </w:pPr>
      <w:rPr>
        <w:rFonts w:cs="Times New Roman"/>
      </w:rPr>
    </w:lvl>
    <w:lvl w:ilvl="5" w:tplc="0409001B">
      <w:start w:val="1"/>
      <w:numFmt w:val="lowerRoman"/>
      <w:lvlText w:val="%6."/>
      <w:lvlJc w:val="right"/>
      <w:pPr>
        <w:ind w:left="90" w:hanging="180"/>
      </w:pPr>
      <w:rPr>
        <w:rFonts w:cs="Times New Roman"/>
      </w:rPr>
    </w:lvl>
    <w:lvl w:ilvl="6" w:tplc="0409000F">
      <w:start w:val="1"/>
      <w:numFmt w:val="decimal"/>
      <w:lvlText w:val="%7."/>
      <w:lvlJc w:val="left"/>
      <w:pPr>
        <w:ind w:left="810" w:hanging="360"/>
      </w:pPr>
      <w:rPr>
        <w:rFonts w:cs="Times New Roman"/>
      </w:rPr>
    </w:lvl>
    <w:lvl w:ilvl="7" w:tplc="B7F4B392">
      <w:start w:val="1"/>
      <w:numFmt w:val="upperLetter"/>
      <w:lvlText w:val="%8."/>
      <w:lvlJc w:val="left"/>
      <w:pPr>
        <w:ind w:left="1530" w:hanging="360"/>
      </w:pPr>
      <w:rPr>
        <w:rFonts w:cs="Times New Roman" w:hint="default"/>
      </w:rPr>
    </w:lvl>
    <w:lvl w:ilvl="8" w:tplc="0409001B" w:tentative="1">
      <w:start w:val="1"/>
      <w:numFmt w:val="lowerRoman"/>
      <w:lvlText w:val="%9."/>
      <w:lvlJc w:val="right"/>
      <w:pPr>
        <w:ind w:left="2250" w:hanging="180"/>
      </w:pPr>
      <w:rPr>
        <w:rFonts w:cs="Times New Roman"/>
      </w:rPr>
    </w:lvl>
  </w:abstractNum>
  <w:abstractNum w:abstractNumId="38">
    <w:nsid w:val="6F532182"/>
    <w:multiLevelType w:val="hybridMultilevel"/>
    <w:tmpl w:val="52223D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4A82BBD"/>
    <w:multiLevelType w:val="hybridMultilevel"/>
    <w:tmpl w:val="B88C8B2C"/>
    <w:lvl w:ilvl="0" w:tplc="9F6439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69040C1"/>
    <w:multiLevelType w:val="hybridMultilevel"/>
    <w:tmpl w:val="FDDA2348"/>
    <w:lvl w:ilvl="0" w:tplc="004487FA">
      <w:start w:val="2"/>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0424AE"/>
    <w:multiLevelType w:val="hybridMultilevel"/>
    <w:tmpl w:val="DEEEDB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81E9C"/>
    <w:multiLevelType w:val="hybridMultilevel"/>
    <w:tmpl w:val="E47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15"/>
  </w:num>
  <w:num w:numId="4">
    <w:abstractNumId w:val="23"/>
  </w:num>
  <w:num w:numId="5">
    <w:abstractNumId w:val="3"/>
  </w:num>
  <w:num w:numId="6">
    <w:abstractNumId w:val="8"/>
  </w:num>
  <w:num w:numId="7">
    <w:abstractNumId w:val="7"/>
  </w:num>
  <w:num w:numId="8">
    <w:abstractNumId w:val="27"/>
  </w:num>
  <w:num w:numId="9">
    <w:abstractNumId w:val="41"/>
  </w:num>
  <w:num w:numId="10">
    <w:abstractNumId w:val="14"/>
  </w:num>
  <w:num w:numId="11">
    <w:abstractNumId w:val="40"/>
  </w:num>
  <w:num w:numId="12">
    <w:abstractNumId w:val="16"/>
  </w:num>
  <w:num w:numId="13">
    <w:abstractNumId w:val="33"/>
  </w:num>
  <w:num w:numId="14">
    <w:abstractNumId w:val="20"/>
  </w:num>
  <w:num w:numId="15">
    <w:abstractNumId w:val="30"/>
  </w:num>
  <w:num w:numId="16">
    <w:abstractNumId w:val="1"/>
  </w:num>
  <w:num w:numId="17">
    <w:abstractNumId w:val="36"/>
  </w:num>
  <w:num w:numId="18">
    <w:abstractNumId w:val="29"/>
  </w:num>
  <w:num w:numId="19">
    <w:abstractNumId w:val="2"/>
  </w:num>
  <w:num w:numId="20">
    <w:abstractNumId w:val="22"/>
  </w:num>
  <w:num w:numId="21">
    <w:abstractNumId w:val="42"/>
  </w:num>
  <w:num w:numId="22">
    <w:abstractNumId w:val="0"/>
  </w:num>
  <w:num w:numId="23">
    <w:abstractNumId w:val="10"/>
  </w:num>
  <w:num w:numId="24">
    <w:abstractNumId w:val="37"/>
    <w:lvlOverride w:ilvl="0">
      <w:startOverride w:val="1"/>
    </w:lvlOverride>
  </w:num>
  <w:num w:numId="25">
    <w:abstractNumId w:val="37"/>
    <w:lvlOverride w:ilvl="0">
      <w:startOverride w:val="1"/>
    </w:lvlOverride>
  </w:num>
  <w:num w:numId="26">
    <w:abstractNumId w:val="37"/>
    <w:lvlOverride w:ilvl="0">
      <w:startOverride w:val="1"/>
    </w:lvlOverride>
  </w:num>
  <w:num w:numId="27">
    <w:abstractNumId w:val="31"/>
  </w:num>
  <w:num w:numId="28">
    <w:abstractNumId w:val="5"/>
  </w:num>
  <w:num w:numId="29">
    <w:abstractNumId w:val="21"/>
  </w:num>
  <w:num w:numId="30">
    <w:abstractNumId w:val="28"/>
  </w:num>
  <w:num w:numId="31">
    <w:abstractNumId w:val="37"/>
    <w:lvlOverride w:ilvl="0">
      <w:startOverride w:val="1"/>
    </w:lvlOverride>
  </w:num>
  <w:num w:numId="32">
    <w:abstractNumId w:val="32"/>
  </w:num>
  <w:num w:numId="33">
    <w:abstractNumId w:val="26"/>
  </w:num>
  <w:num w:numId="34">
    <w:abstractNumId w:val="13"/>
  </w:num>
  <w:num w:numId="35">
    <w:abstractNumId w:val="4"/>
  </w:num>
  <w:num w:numId="36">
    <w:abstractNumId w:val="35"/>
  </w:num>
  <w:num w:numId="37">
    <w:abstractNumId w:val="25"/>
  </w:num>
  <w:num w:numId="38">
    <w:abstractNumId w:val="18"/>
  </w:num>
  <w:num w:numId="39">
    <w:abstractNumId w:val="19"/>
  </w:num>
  <w:num w:numId="40">
    <w:abstractNumId w:val="11"/>
  </w:num>
  <w:num w:numId="41">
    <w:abstractNumId w:val="24"/>
  </w:num>
  <w:num w:numId="42">
    <w:abstractNumId w:val="9"/>
  </w:num>
  <w:num w:numId="43">
    <w:abstractNumId w:val="38"/>
  </w:num>
  <w:num w:numId="44">
    <w:abstractNumId w:val="6"/>
  </w:num>
  <w:num w:numId="45">
    <w:abstractNumId w:val="12"/>
  </w:num>
  <w:num w:numId="46">
    <w:abstractNumId w:val="34"/>
  </w:num>
  <w:num w:numId="47">
    <w:abstractNumId w:val="34"/>
    <w:lvlOverride w:ilvl="0">
      <w:startOverride w:val="1"/>
    </w:lvlOverride>
  </w:num>
  <w:num w:numId="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Whitten">
    <w15:presenceInfo w15:providerId="AD" w15:userId="S-1-5-21-1827941530-14994667-3058911034-2493"/>
  </w15:person>
  <w15:person w15:author="Lisa Gafken">
    <w15:presenceInfo w15:providerId="Windows Live" w15:userId="a5fdbbe344c4a2b6"/>
  </w15:person>
  <w15:person w15:author="Melissa Whitten [2]">
    <w15:presenceInfo w15:providerId="Windows Live" w15:userId="82c8e50725200b3f"/>
  </w15:person>
  <w15:person w15:author="Kathy Kelly">
    <w15:presenceInfo w15:providerId="AD" w15:userId="S-1-5-21-1827941530-14994667-3058911034-4672"/>
  </w15:person>
  <w15:person w15:author="Mary Neal">
    <w15:presenceInfo w15:providerId="AD" w15:userId="S-1-5-21-1827941530-14994667-3058911034-3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9E"/>
    <w:rsid w:val="00000434"/>
    <w:rsid w:val="000034C0"/>
    <w:rsid w:val="00005272"/>
    <w:rsid w:val="00007BFC"/>
    <w:rsid w:val="00010BFE"/>
    <w:rsid w:val="00012A6E"/>
    <w:rsid w:val="00012C53"/>
    <w:rsid w:val="00017602"/>
    <w:rsid w:val="00024C2F"/>
    <w:rsid w:val="00027D57"/>
    <w:rsid w:val="00027F40"/>
    <w:rsid w:val="00030242"/>
    <w:rsid w:val="0003626C"/>
    <w:rsid w:val="0003724F"/>
    <w:rsid w:val="0004006A"/>
    <w:rsid w:val="00041EF8"/>
    <w:rsid w:val="0004523B"/>
    <w:rsid w:val="00050DD7"/>
    <w:rsid w:val="000539F5"/>
    <w:rsid w:val="00060067"/>
    <w:rsid w:val="00062C1F"/>
    <w:rsid w:val="00063042"/>
    <w:rsid w:val="000643F3"/>
    <w:rsid w:val="0006741C"/>
    <w:rsid w:val="0007323E"/>
    <w:rsid w:val="00073E5E"/>
    <w:rsid w:val="000861D5"/>
    <w:rsid w:val="00087BA0"/>
    <w:rsid w:val="00091562"/>
    <w:rsid w:val="00093BDB"/>
    <w:rsid w:val="00096247"/>
    <w:rsid w:val="00096733"/>
    <w:rsid w:val="00096873"/>
    <w:rsid w:val="000A1034"/>
    <w:rsid w:val="000A1FE1"/>
    <w:rsid w:val="000A36BA"/>
    <w:rsid w:val="000A3B83"/>
    <w:rsid w:val="000A4C8E"/>
    <w:rsid w:val="000A7A2B"/>
    <w:rsid w:val="000B3F48"/>
    <w:rsid w:val="000C01FE"/>
    <w:rsid w:val="000C18A7"/>
    <w:rsid w:val="000C6F18"/>
    <w:rsid w:val="000C7C1B"/>
    <w:rsid w:val="000D16E4"/>
    <w:rsid w:val="000D3F79"/>
    <w:rsid w:val="000D589C"/>
    <w:rsid w:val="000E2473"/>
    <w:rsid w:val="000E432A"/>
    <w:rsid w:val="000E5213"/>
    <w:rsid w:val="000E5811"/>
    <w:rsid w:val="000E6A1C"/>
    <w:rsid w:val="000F0EEC"/>
    <w:rsid w:val="000F1893"/>
    <w:rsid w:val="000F1AC0"/>
    <w:rsid w:val="000F3AD3"/>
    <w:rsid w:val="000F5616"/>
    <w:rsid w:val="0011017A"/>
    <w:rsid w:val="001205A4"/>
    <w:rsid w:val="0012108B"/>
    <w:rsid w:val="001244F7"/>
    <w:rsid w:val="00124DAA"/>
    <w:rsid w:val="00125305"/>
    <w:rsid w:val="00130523"/>
    <w:rsid w:val="00130819"/>
    <w:rsid w:val="00132735"/>
    <w:rsid w:val="00133060"/>
    <w:rsid w:val="001334BF"/>
    <w:rsid w:val="0013543B"/>
    <w:rsid w:val="00136BEA"/>
    <w:rsid w:val="001413C7"/>
    <w:rsid w:val="00150029"/>
    <w:rsid w:val="001502CE"/>
    <w:rsid w:val="00150952"/>
    <w:rsid w:val="0015341D"/>
    <w:rsid w:val="001537CB"/>
    <w:rsid w:val="00154B60"/>
    <w:rsid w:val="00156349"/>
    <w:rsid w:val="00160577"/>
    <w:rsid w:val="00161327"/>
    <w:rsid w:val="001714C9"/>
    <w:rsid w:val="00174D96"/>
    <w:rsid w:val="00176232"/>
    <w:rsid w:val="00176965"/>
    <w:rsid w:val="00183555"/>
    <w:rsid w:val="00186C97"/>
    <w:rsid w:val="00191DBE"/>
    <w:rsid w:val="00194C44"/>
    <w:rsid w:val="00196DCF"/>
    <w:rsid w:val="001A2E3C"/>
    <w:rsid w:val="001A3F86"/>
    <w:rsid w:val="001A4255"/>
    <w:rsid w:val="001A6905"/>
    <w:rsid w:val="001A69DC"/>
    <w:rsid w:val="001A7F1C"/>
    <w:rsid w:val="001B0CC8"/>
    <w:rsid w:val="001B4A50"/>
    <w:rsid w:val="001B6006"/>
    <w:rsid w:val="001B7E02"/>
    <w:rsid w:val="001C2464"/>
    <w:rsid w:val="001C4C11"/>
    <w:rsid w:val="001C6CDE"/>
    <w:rsid w:val="001C7FBD"/>
    <w:rsid w:val="001D0BE0"/>
    <w:rsid w:val="001D3636"/>
    <w:rsid w:val="001D697E"/>
    <w:rsid w:val="001E64F8"/>
    <w:rsid w:val="001E67A8"/>
    <w:rsid w:val="001E750D"/>
    <w:rsid w:val="001E7E00"/>
    <w:rsid w:val="001F0D75"/>
    <w:rsid w:val="001F5BC6"/>
    <w:rsid w:val="00200E9E"/>
    <w:rsid w:val="0020248C"/>
    <w:rsid w:val="00204BC5"/>
    <w:rsid w:val="002057AC"/>
    <w:rsid w:val="00205AF1"/>
    <w:rsid w:val="0021038D"/>
    <w:rsid w:val="002117DA"/>
    <w:rsid w:val="00211A1B"/>
    <w:rsid w:val="002128E2"/>
    <w:rsid w:val="00212F1C"/>
    <w:rsid w:val="0021446B"/>
    <w:rsid w:val="00214849"/>
    <w:rsid w:val="00215046"/>
    <w:rsid w:val="00217E82"/>
    <w:rsid w:val="00221066"/>
    <w:rsid w:val="002212A8"/>
    <w:rsid w:val="00225635"/>
    <w:rsid w:val="002302CF"/>
    <w:rsid w:val="00230C63"/>
    <w:rsid w:val="00230E20"/>
    <w:rsid w:val="002326ED"/>
    <w:rsid w:val="00232E2F"/>
    <w:rsid w:val="002357F3"/>
    <w:rsid w:val="00237769"/>
    <w:rsid w:val="002478B9"/>
    <w:rsid w:val="00250D43"/>
    <w:rsid w:val="00253672"/>
    <w:rsid w:val="0026056C"/>
    <w:rsid w:val="00266E96"/>
    <w:rsid w:val="00272584"/>
    <w:rsid w:val="00275383"/>
    <w:rsid w:val="00275874"/>
    <w:rsid w:val="0027649B"/>
    <w:rsid w:val="00283F74"/>
    <w:rsid w:val="0028411E"/>
    <w:rsid w:val="0028485E"/>
    <w:rsid w:val="00287726"/>
    <w:rsid w:val="00290A2B"/>
    <w:rsid w:val="00291E50"/>
    <w:rsid w:val="00293E41"/>
    <w:rsid w:val="002953B0"/>
    <w:rsid w:val="00295502"/>
    <w:rsid w:val="00296414"/>
    <w:rsid w:val="00296CEA"/>
    <w:rsid w:val="002A11C1"/>
    <w:rsid w:val="002A327F"/>
    <w:rsid w:val="002A39A1"/>
    <w:rsid w:val="002B12B8"/>
    <w:rsid w:val="002B1950"/>
    <w:rsid w:val="002B2A23"/>
    <w:rsid w:val="002B31B7"/>
    <w:rsid w:val="002B3EDD"/>
    <w:rsid w:val="002B4D95"/>
    <w:rsid w:val="002B5DA0"/>
    <w:rsid w:val="002C7F14"/>
    <w:rsid w:val="002D1646"/>
    <w:rsid w:val="002D44C5"/>
    <w:rsid w:val="002D4DF5"/>
    <w:rsid w:val="002D65C1"/>
    <w:rsid w:val="002E258B"/>
    <w:rsid w:val="002E2EDC"/>
    <w:rsid w:val="002E4F38"/>
    <w:rsid w:val="002E54E8"/>
    <w:rsid w:val="002F77C3"/>
    <w:rsid w:val="002F7C2A"/>
    <w:rsid w:val="00303310"/>
    <w:rsid w:val="00305E37"/>
    <w:rsid w:val="00307F39"/>
    <w:rsid w:val="003105CB"/>
    <w:rsid w:val="00311A83"/>
    <w:rsid w:val="00316765"/>
    <w:rsid w:val="00320985"/>
    <w:rsid w:val="003253E6"/>
    <w:rsid w:val="0032717B"/>
    <w:rsid w:val="003272DB"/>
    <w:rsid w:val="003317D5"/>
    <w:rsid w:val="00331C21"/>
    <w:rsid w:val="00333551"/>
    <w:rsid w:val="003359ED"/>
    <w:rsid w:val="00336374"/>
    <w:rsid w:val="00336F9E"/>
    <w:rsid w:val="00340081"/>
    <w:rsid w:val="00345178"/>
    <w:rsid w:val="003479C0"/>
    <w:rsid w:val="0035107F"/>
    <w:rsid w:val="003564D2"/>
    <w:rsid w:val="003608BB"/>
    <w:rsid w:val="00362180"/>
    <w:rsid w:val="00362706"/>
    <w:rsid w:val="003679ED"/>
    <w:rsid w:val="003731D8"/>
    <w:rsid w:val="00375F11"/>
    <w:rsid w:val="003813B8"/>
    <w:rsid w:val="003819CA"/>
    <w:rsid w:val="00382E3D"/>
    <w:rsid w:val="00390C10"/>
    <w:rsid w:val="00391D46"/>
    <w:rsid w:val="00391DF8"/>
    <w:rsid w:val="003965E1"/>
    <w:rsid w:val="00396C3E"/>
    <w:rsid w:val="0039724E"/>
    <w:rsid w:val="003A0E52"/>
    <w:rsid w:val="003A5D94"/>
    <w:rsid w:val="003A6CBC"/>
    <w:rsid w:val="003A7219"/>
    <w:rsid w:val="003B4B8B"/>
    <w:rsid w:val="003B7305"/>
    <w:rsid w:val="003C016D"/>
    <w:rsid w:val="003C0427"/>
    <w:rsid w:val="003D1B1E"/>
    <w:rsid w:val="003D7B0F"/>
    <w:rsid w:val="003E24A8"/>
    <w:rsid w:val="003E4CA9"/>
    <w:rsid w:val="003F3729"/>
    <w:rsid w:val="003F3A17"/>
    <w:rsid w:val="003F4E7D"/>
    <w:rsid w:val="00401A33"/>
    <w:rsid w:val="00402DE8"/>
    <w:rsid w:val="00404F8B"/>
    <w:rsid w:val="00406159"/>
    <w:rsid w:val="00406B1C"/>
    <w:rsid w:val="00406D7B"/>
    <w:rsid w:val="00407052"/>
    <w:rsid w:val="00407D19"/>
    <w:rsid w:val="004106F6"/>
    <w:rsid w:val="00411CF1"/>
    <w:rsid w:val="00412731"/>
    <w:rsid w:val="00414FFD"/>
    <w:rsid w:val="0041529E"/>
    <w:rsid w:val="004167ED"/>
    <w:rsid w:val="0041792A"/>
    <w:rsid w:val="004211F7"/>
    <w:rsid w:val="00424240"/>
    <w:rsid w:val="0042694D"/>
    <w:rsid w:val="004277E2"/>
    <w:rsid w:val="00434C6D"/>
    <w:rsid w:val="00442C72"/>
    <w:rsid w:val="00442CF5"/>
    <w:rsid w:val="004454AB"/>
    <w:rsid w:val="00450120"/>
    <w:rsid w:val="00450378"/>
    <w:rsid w:val="00454AA4"/>
    <w:rsid w:val="004565B9"/>
    <w:rsid w:val="0045735C"/>
    <w:rsid w:val="00461AFB"/>
    <w:rsid w:val="00476603"/>
    <w:rsid w:val="0047751E"/>
    <w:rsid w:val="00483424"/>
    <w:rsid w:val="00485771"/>
    <w:rsid w:val="0049177E"/>
    <w:rsid w:val="0049410F"/>
    <w:rsid w:val="00495261"/>
    <w:rsid w:val="004977DA"/>
    <w:rsid w:val="004A3D40"/>
    <w:rsid w:val="004A41BF"/>
    <w:rsid w:val="004A57E1"/>
    <w:rsid w:val="004A7B61"/>
    <w:rsid w:val="004B5103"/>
    <w:rsid w:val="004B7B4E"/>
    <w:rsid w:val="004C1087"/>
    <w:rsid w:val="004C640C"/>
    <w:rsid w:val="004D0EE8"/>
    <w:rsid w:val="004D5298"/>
    <w:rsid w:val="004E2177"/>
    <w:rsid w:val="004F1177"/>
    <w:rsid w:val="004F18C2"/>
    <w:rsid w:val="004F3B67"/>
    <w:rsid w:val="004F5386"/>
    <w:rsid w:val="004F5D3B"/>
    <w:rsid w:val="004F78F9"/>
    <w:rsid w:val="005002C4"/>
    <w:rsid w:val="005020BA"/>
    <w:rsid w:val="005040B1"/>
    <w:rsid w:val="00504B71"/>
    <w:rsid w:val="005068DD"/>
    <w:rsid w:val="005072FB"/>
    <w:rsid w:val="005111DA"/>
    <w:rsid w:val="00512F12"/>
    <w:rsid w:val="00522632"/>
    <w:rsid w:val="005245EE"/>
    <w:rsid w:val="00524657"/>
    <w:rsid w:val="00525D49"/>
    <w:rsid w:val="00527D5A"/>
    <w:rsid w:val="00531DC1"/>
    <w:rsid w:val="00531E52"/>
    <w:rsid w:val="00531F31"/>
    <w:rsid w:val="0053373D"/>
    <w:rsid w:val="00535905"/>
    <w:rsid w:val="0053600B"/>
    <w:rsid w:val="00540626"/>
    <w:rsid w:val="00540FA2"/>
    <w:rsid w:val="00545AFC"/>
    <w:rsid w:val="00546B4D"/>
    <w:rsid w:val="0055113A"/>
    <w:rsid w:val="00554B95"/>
    <w:rsid w:val="005645FB"/>
    <w:rsid w:val="00565822"/>
    <w:rsid w:val="00565F4D"/>
    <w:rsid w:val="005679A5"/>
    <w:rsid w:val="00575A4C"/>
    <w:rsid w:val="00576E59"/>
    <w:rsid w:val="00597C04"/>
    <w:rsid w:val="005A1613"/>
    <w:rsid w:val="005A31B5"/>
    <w:rsid w:val="005A3219"/>
    <w:rsid w:val="005A526B"/>
    <w:rsid w:val="005A6A83"/>
    <w:rsid w:val="005B07A3"/>
    <w:rsid w:val="005B1E55"/>
    <w:rsid w:val="005B21C2"/>
    <w:rsid w:val="005B355E"/>
    <w:rsid w:val="005C4BD8"/>
    <w:rsid w:val="005D009C"/>
    <w:rsid w:val="005D6562"/>
    <w:rsid w:val="005D6FD2"/>
    <w:rsid w:val="005D739B"/>
    <w:rsid w:val="005E2E23"/>
    <w:rsid w:val="005E2E26"/>
    <w:rsid w:val="005E7983"/>
    <w:rsid w:val="005F31C9"/>
    <w:rsid w:val="005F3A0F"/>
    <w:rsid w:val="00600A2A"/>
    <w:rsid w:val="00601484"/>
    <w:rsid w:val="00606A51"/>
    <w:rsid w:val="0061099F"/>
    <w:rsid w:val="00614BC0"/>
    <w:rsid w:val="00616728"/>
    <w:rsid w:val="00622C4A"/>
    <w:rsid w:val="00624DA6"/>
    <w:rsid w:val="006267C6"/>
    <w:rsid w:val="006331E3"/>
    <w:rsid w:val="006337BA"/>
    <w:rsid w:val="006352A8"/>
    <w:rsid w:val="00637780"/>
    <w:rsid w:val="00642ACB"/>
    <w:rsid w:val="00647A33"/>
    <w:rsid w:val="00647F7D"/>
    <w:rsid w:val="00647FF4"/>
    <w:rsid w:val="006506F2"/>
    <w:rsid w:val="00653230"/>
    <w:rsid w:val="00654ABD"/>
    <w:rsid w:val="006550CD"/>
    <w:rsid w:val="006572F8"/>
    <w:rsid w:val="00660CD3"/>
    <w:rsid w:val="006622C6"/>
    <w:rsid w:val="00663AFE"/>
    <w:rsid w:val="0067514D"/>
    <w:rsid w:val="00677F2E"/>
    <w:rsid w:val="006802DD"/>
    <w:rsid w:val="00682443"/>
    <w:rsid w:val="00682552"/>
    <w:rsid w:val="00685ACE"/>
    <w:rsid w:val="00690272"/>
    <w:rsid w:val="006A1B84"/>
    <w:rsid w:val="006A40E5"/>
    <w:rsid w:val="006B36CB"/>
    <w:rsid w:val="006B3BF7"/>
    <w:rsid w:val="006B6400"/>
    <w:rsid w:val="006B6744"/>
    <w:rsid w:val="006B68D4"/>
    <w:rsid w:val="006B7A70"/>
    <w:rsid w:val="006C3377"/>
    <w:rsid w:val="006C39BD"/>
    <w:rsid w:val="006C4699"/>
    <w:rsid w:val="006C7322"/>
    <w:rsid w:val="006D3888"/>
    <w:rsid w:val="006D5A6C"/>
    <w:rsid w:val="006D69C0"/>
    <w:rsid w:val="006D7D7F"/>
    <w:rsid w:val="006E28D8"/>
    <w:rsid w:val="006E39E7"/>
    <w:rsid w:val="006E3B35"/>
    <w:rsid w:val="00701B31"/>
    <w:rsid w:val="00707026"/>
    <w:rsid w:val="007102B0"/>
    <w:rsid w:val="00711DE5"/>
    <w:rsid w:val="00714B56"/>
    <w:rsid w:val="007157C3"/>
    <w:rsid w:val="00715D9B"/>
    <w:rsid w:val="00715F96"/>
    <w:rsid w:val="007204DF"/>
    <w:rsid w:val="007209E9"/>
    <w:rsid w:val="00723DDF"/>
    <w:rsid w:val="00732D77"/>
    <w:rsid w:val="00735430"/>
    <w:rsid w:val="00735D2F"/>
    <w:rsid w:val="00740200"/>
    <w:rsid w:val="0074179E"/>
    <w:rsid w:val="00742AD5"/>
    <w:rsid w:val="00743C24"/>
    <w:rsid w:val="0074627E"/>
    <w:rsid w:val="0075212F"/>
    <w:rsid w:val="0075374B"/>
    <w:rsid w:val="007604A0"/>
    <w:rsid w:val="00762C9A"/>
    <w:rsid w:val="0076332B"/>
    <w:rsid w:val="00763AEA"/>
    <w:rsid w:val="00766DD2"/>
    <w:rsid w:val="00770374"/>
    <w:rsid w:val="0077168C"/>
    <w:rsid w:val="007738CF"/>
    <w:rsid w:val="00780F2E"/>
    <w:rsid w:val="00785500"/>
    <w:rsid w:val="00787374"/>
    <w:rsid w:val="0078784A"/>
    <w:rsid w:val="00787970"/>
    <w:rsid w:val="00790224"/>
    <w:rsid w:val="007944C7"/>
    <w:rsid w:val="007A1234"/>
    <w:rsid w:val="007A18A4"/>
    <w:rsid w:val="007A19EC"/>
    <w:rsid w:val="007A5F92"/>
    <w:rsid w:val="007A656A"/>
    <w:rsid w:val="007A7E78"/>
    <w:rsid w:val="007B3F9A"/>
    <w:rsid w:val="007B6B3B"/>
    <w:rsid w:val="007B7632"/>
    <w:rsid w:val="007C399A"/>
    <w:rsid w:val="007C5CED"/>
    <w:rsid w:val="007D1554"/>
    <w:rsid w:val="007D1FA2"/>
    <w:rsid w:val="007D366A"/>
    <w:rsid w:val="007E0B27"/>
    <w:rsid w:val="007E51F7"/>
    <w:rsid w:val="007E5EE4"/>
    <w:rsid w:val="007F0969"/>
    <w:rsid w:val="007F0F6E"/>
    <w:rsid w:val="007F14A0"/>
    <w:rsid w:val="007F17B8"/>
    <w:rsid w:val="007F5A4C"/>
    <w:rsid w:val="0080286E"/>
    <w:rsid w:val="00802C57"/>
    <w:rsid w:val="00807D29"/>
    <w:rsid w:val="00810892"/>
    <w:rsid w:val="0081364E"/>
    <w:rsid w:val="0081647A"/>
    <w:rsid w:val="008201B7"/>
    <w:rsid w:val="00821F62"/>
    <w:rsid w:val="00823FF3"/>
    <w:rsid w:val="0082456F"/>
    <w:rsid w:val="00824D08"/>
    <w:rsid w:val="008276B7"/>
    <w:rsid w:val="00831387"/>
    <w:rsid w:val="00837AA3"/>
    <w:rsid w:val="00840C6D"/>
    <w:rsid w:val="00843A47"/>
    <w:rsid w:val="008547EC"/>
    <w:rsid w:val="00857B96"/>
    <w:rsid w:val="00861B6F"/>
    <w:rsid w:val="0087061D"/>
    <w:rsid w:val="008732B5"/>
    <w:rsid w:val="00874BD5"/>
    <w:rsid w:val="00875720"/>
    <w:rsid w:val="00881380"/>
    <w:rsid w:val="00881ABD"/>
    <w:rsid w:val="00881F65"/>
    <w:rsid w:val="008834F7"/>
    <w:rsid w:val="00883CED"/>
    <w:rsid w:val="00885891"/>
    <w:rsid w:val="00894C4F"/>
    <w:rsid w:val="00896234"/>
    <w:rsid w:val="00897EFD"/>
    <w:rsid w:val="008A0EE7"/>
    <w:rsid w:val="008A4B57"/>
    <w:rsid w:val="008A671E"/>
    <w:rsid w:val="008B02CA"/>
    <w:rsid w:val="008B5A83"/>
    <w:rsid w:val="008C272E"/>
    <w:rsid w:val="008C37CC"/>
    <w:rsid w:val="008C3E72"/>
    <w:rsid w:val="008C4A5B"/>
    <w:rsid w:val="008C7218"/>
    <w:rsid w:val="008D1B2F"/>
    <w:rsid w:val="008D3AA3"/>
    <w:rsid w:val="008D484D"/>
    <w:rsid w:val="008D4D68"/>
    <w:rsid w:val="008E5234"/>
    <w:rsid w:val="008E56CB"/>
    <w:rsid w:val="008E5EE7"/>
    <w:rsid w:val="008F09B8"/>
    <w:rsid w:val="008F15E4"/>
    <w:rsid w:val="008F1A56"/>
    <w:rsid w:val="008F1B6B"/>
    <w:rsid w:val="008F2225"/>
    <w:rsid w:val="008F298B"/>
    <w:rsid w:val="008F2BA5"/>
    <w:rsid w:val="008F544A"/>
    <w:rsid w:val="008F5F6F"/>
    <w:rsid w:val="0090046A"/>
    <w:rsid w:val="00900ADA"/>
    <w:rsid w:val="009011D3"/>
    <w:rsid w:val="009029D2"/>
    <w:rsid w:val="00910414"/>
    <w:rsid w:val="00910F2B"/>
    <w:rsid w:val="00911D0D"/>
    <w:rsid w:val="0091657C"/>
    <w:rsid w:val="009165B0"/>
    <w:rsid w:val="0092179D"/>
    <w:rsid w:val="00921DD6"/>
    <w:rsid w:val="009257F8"/>
    <w:rsid w:val="0092753D"/>
    <w:rsid w:val="0093283F"/>
    <w:rsid w:val="00932AD4"/>
    <w:rsid w:val="00933A43"/>
    <w:rsid w:val="00934722"/>
    <w:rsid w:val="009352CB"/>
    <w:rsid w:val="00936664"/>
    <w:rsid w:val="00940F29"/>
    <w:rsid w:val="00941BB3"/>
    <w:rsid w:val="009538A7"/>
    <w:rsid w:val="00961A91"/>
    <w:rsid w:val="009653C7"/>
    <w:rsid w:val="00965EE7"/>
    <w:rsid w:val="00970DAF"/>
    <w:rsid w:val="0097116C"/>
    <w:rsid w:val="00974327"/>
    <w:rsid w:val="00987C1B"/>
    <w:rsid w:val="00991ACB"/>
    <w:rsid w:val="00991BBA"/>
    <w:rsid w:val="00996C6E"/>
    <w:rsid w:val="00997194"/>
    <w:rsid w:val="009A2AA5"/>
    <w:rsid w:val="009A5549"/>
    <w:rsid w:val="009A60CC"/>
    <w:rsid w:val="009C2A7A"/>
    <w:rsid w:val="009C3E5E"/>
    <w:rsid w:val="009C4BC9"/>
    <w:rsid w:val="009C580B"/>
    <w:rsid w:val="009C76EF"/>
    <w:rsid w:val="009D06DF"/>
    <w:rsid w:val="009D6F6B"/>
    <w:rsid w:val="009D787B"/>
    <w:rsid w:val="009E19B4"/>
    <w:rsid w:val="009E21FA"/>
    <w:rsid w:val="009E4D89"/>
    <w:rsid w:val="009E70FF"/>
    <w:rsid w:val="009F3283"/>
    <w:rsid w:val="009F3E66"/>
    <w:rsid w:val="009F4B60"/>
    <w:rsid w:val="00A132B5"/>
    <w:rsid w:val="00A13972"/>
    <w:rsid w:val="00A13A4D"/>
    <w:rsid w:val="00A13AFC"/>
    <w:rsid w:val="00A13E97"/>
    <w:rsid w:val="00A14D9A"/>
    <w:rsid w:val="00A15BE3"/>
    <w:rsid w:val="00A15CE1"/>
    <w:rsid w:val="00A1778D"/>
    <w:rsid w:val="00A17CC4"/>
    <w:rsid w:val="00A228A1"/>
    <w:rsid w:val="00A246E7"/>
    <w:rsid w:val="00A2471F"/>
    <w:rsid w:val="00A26AC2"/>
    <w:rsid w:val="00A30337"/>
    <w:rsid w:val="00A30A26"/>
    <w:rsid w:val="00A3404F"/>
    <w:rsid w:val="00A35431"/>
    <w:rsid w:val="00A4004A"/>
    <w:rsid w:val="00A405BB"/>
    <w:rsid w:val="00A4219E"/>
    <w:rsid w:val="00A444D0"/>
    <w:rsid w:val="00A52096"/>
    <w:rsid w:val="00A52E96"/>
    <w:rsid w:val="00A546E2"/>
    <w:rsid w:val="00A60D7C"/>
    <w:rsid w:val="00A621CA"/>
    <w:rsid w:val="00A65FAF"/>
    <w:rsid w:val="00A6626D"/>
    <w:rsid w:val="00A721D5"/>
    <w:rsid w:val="00A72415"/>
    <w:rsid w:val="00A72F28"/>
    <w:rsid w:val="00A81F0A"/>
    <w:rsid w:val="00A842F1"/>
    <w:rsid w:val="00A942BA"/>
    <w:rsid w:val="00A94D58"/>
    <w:rsid w:val="00A96AB9"/>
    <w:rsid w:val="00A9763D"/>
    <w:rsid w:val="00A9764C"/>
    <w:rsid w:val="00A979A6"/>
    <w:rsid w:val="00AA2B0F"/>
    <w:rsid w:val="00AA3BC3"/>
    <w:rsid w:val="00AA4247"/>
    <w:rsid w:val="00AA6F9E"/>
    <w:rsid w:val="00AB0266"/>
    <w:rsid w:val="00AB1C60"/>
    <w:rsid w:val="00AB5427"/>
    <w:rsid w:val="00AB5D36"/>
    <w:rsid w:val="00AB7430"/>
    <w:rsid w:val="00AC03F4"/>
    <w:rsid w:val="00AC3BB0"/>
    <w:rsid w:val="00AC53D4"/>
    <w:rsid w:val="00AC59CE"/>
    <w:rsid w:val="00AC7CA6"/>
    <w:rsid w:val="00AD0CC0"/>
    <w:rsid w:val="00AD0FEE"/>
    <w:rsid w:val="00AD659D"/>
    <w:rsid w:val="00AE1DB5"/>
    <w:rsid w:val="00AE2527"/>
    <w:rsid w:val="00AE2D16"/>
    <w:rsid w:val="00AE31FC"/>
    <w:rsid w:val="00AE4237"/>
    <w:rsid w:val="00AF1966"/>
    <w:rsid w:val="00AF1D52"/>
    <w:rsid w:val="00AF23BE"/>
    <w:rsid w:val="00AF360C"/>
    <w:rsid w:val="00AF4D95"/>
    <w:rsid w:val="00AF67BD"/>
    <w:rsid w:val="00B02218"/>
    <w:rsid w:val="00B05622"/>
    <w:rsid w:val="00B12CC3"/>
    <w:rsid w:val="00B238BF"/>
    <w:rsid w:val="00B23E75"/>
    <w:rsid w:val="00B26E6C"/>
    <w:rsid w:val="00B32157"/>
    <w:rsid w:val="00B415B1"/>
    <w:rsid w:val="00B45031"/>
    <w:rsid w:val="00B465F1"/>
    <w:rsid w:val="00B47168"/>
    <w:rsid w:val="00B501E0"/>
    <w:rsid w:val="00B510D9"/>
    <w:rsid w:val="00B5204C"/>
    <w:rsid w:val="00B52D27"/>
    <w:rsid w:val="00B536C8"/>
    <w:rsid w:val="00B539FF"/>
    <w:rsid w:val="00B54D7D"/>
    <w:rsid w:val="00B54F23"/>
    <w:rsid w:val="00B550A4"/>
    <w:rsid w:val="00B56413"/>
    <w:rsid w:val="00B57F1D"/>
    <w:rsid w:val="00B57F45"/>
    <w:rsid w:val="00B57F56"/>
    <w:rsid w:val="00B6142D"/>
    <w:rsid w:val="00B65A05"/>
    <w:rsid w:val="00B67115"/>
    <w:rsid w:val="00B67E9E"/>
    <w:rsid w:val="00B70352"/>
    <w:rsid w:val="00B75A4C"/>
    <w:rsid w:val="00B7793B"/>
    <w:rsid w:val="00B800F6"/>
    <w:rsid w:val="00B86632"/>
    <w:rsid w:val="00B90117"/>
    <w:rsid w:val="00B909B0"/>
    <w:rsid w:val="00B90B37"/>
    <w:rsid w:val="00B946AA"/>
    <w:rsid w:val="00B96376"/>
    <w:rsid w:val="00B9669E"/>
    <w:rsid w:val="00B97CA9"/>
    <w:rsid w:val="00B97F1A"/>
    <w:rsid w:val="00BA29B6"/>
    <w:rsid w:val="00BA53D8"/>
    <w:rsid w:val="00BB095E"/>
    <w:rsid w:val="00BB0ED6"/>
    <w:rsid w:val="00BB4D08"/>
    <w:rsid w:val="00BB5881"/>
    <w:rsid w:val="00BB6680"/>
    <w:rsid w:val="00BB69DD"/>
    <w:rsid w:val="00BB76E8"/>
    <w:rsid w:val="00BC4A83"/>
    <w:rsid w:val="00BC791F"/>
    <w:rsid w:val="00BD366D"/>
    <w:rsid w:val="00BD37F8"/>
    <w:rsid w:val="00BD547E"/>
    <w:rsid w:val="00BD668B"/>
    <w:rsid w:val="00BD7007"/>
    <w:rsid w:val="00BD75A5"/>
    <w:rsid w:val="00BE0F0F"/>
    <w:rsid w:val="00BE1416"/>
    <w:rsid w:val="00BE1C41"/>
    <w:rsid w:val="00BE37BF"/>
    <w:rsid w:val="00BE6DB3"/>
    <w:rsid w:val="00BF4C3F"/>
    <w:rsid w:val="00BF5BD0"/>
    <w:rsid w:val="00C020E3"/>
    <w:rsid w:val="00C027A1"/>
    <w:rsid w:val="00C02F76"/>
    <w:rsid w:val="00C050C4"/>
    <w:rsid w:val="00C057B8"/>
    <w:rsid w:val="00C14760"/>
    <w:rsid w:val="00C2045A"/>
    <w:rsid w:val="00C211DA"/>
    <w:rsid w:val="00C239CC"/>
    <w:rsid w:val="00C23F87"/>
    <w:rsid w:val="00C24AA9"/>
    <w:rsid w:val="00C40F85"/>
    <w:rsid w:val="00C418C8"/>
    <w:rsid w:val="00C4427F"/>
    <w:rsid w:val="00C446D3"/>
    <w:rsid w:val="00C46029"/>
    <w:rsid w:val="00C468AD"/>
    <w:rsid w:val="00C50E45"/>
    <w:rsid w:val="00C520FA"/>
    <w:rsid w:val="00C52468"/>
    <w:rsid w:val="00C52618"/>
    <w:rsid w:val="00C52853"/>
    <w:rsid w:val="00C60DF8"/>
    <w:rsid w:val="00C640DB"/>
    <w:rsid w:val="00C73274"/>
    <w:rsid w:val="00C749F1"/>
    <w:rsid w:val="00C822C8"/>
    <w:rsid w:val="00C8580F"/>
    <w:rsid w:val="00C85BF9"/>
    <w:rsid w:val="00C91BC8"/>
    <w:rsid w:val="00C96C3F"/>
    <w:rsid w:val="00CA0293"/>
    <w:rsid w:val="00CA4648"/>
    <w:rsid w:val="00CA4872"/>
    <w:rsid w:val="00CB0845"/>
    <w:rsid w:val="00CC23EC"/>
    <w:rsid w:val="00CC46A8"/>
    <w:rsid w:val="00CC4BA3"/>
    <w:rsid w:val="00CC61E1"/>
    <w:rsid w:val="00CC6FAE"/>
    <w:rsid w:val="00CD0C87"/>
    <w:rsid w:val="00CD0E8C"/>
    <w:rsid w:val="00CD125A"/>
    <w:rsid w:val="00CD3DB9"/>
    <w:rsid w:val="00CD6FDC"/>
    <w:rsid w:val="00CD7684"/>
    <w:rsid w:val="00CD77C0"/>
    <w:rsid w:val="00CE1365"/>
    <w:rsid w:val="00CE23C5"/>
    <w:rsid w:val="00CE5AF4"/>
    <w:rsid w:val="00CE64EF"/>
    <w:rsid w:val="00CF1019"/>
    <w:rsid w:val="00CF16A9"/>
    <w:rsid w:val="00CF6983"/>
    <w:rsid w:val="00D02C65"/>
    <w:rsid w:val="00D03C26"/>
    <w:rsid w:val="00D10B14"/>
    <w:rsid w:val="00D10DAE"/>
    <w:rsid w:val="00D1221A"/>
    <w:rsid w:val="00D13733"/>
    <w:rsid w:val="00D143EA"/>
    <w:rsid w:val="00D1565B"/>
    <w:rsid w:val="00D1693D"/>
    <w:rsid w:val="00D17CE4"/>
    <w:rsid w:val="00D21D6D"/>
    <w:rsid w:val="00D25B64"/>
    <w:rsid w:val="00D2736C"/>
    <w:rsid w:val="00D31716"/>
    <w:rsid w:val="00D3524C"/>
    <w:rsid w:val="00D37158"/>
    <w:rsid w:val="00D37197"/>
    <w:rsid w:val="00D401D2"/>
    <w:rsid w:val="00D43A98"/>
    <w:rsid w:val="00D45D76"/>
    <w:rsid w:val="00D504AC"/>
    <w:rsid w:val="00D50D65"/>
    <w:rsid w:val="00D5447D"/>
    <w:rsid w:val="00D544F5"/>
    <w:rsid w:val="00D55060"/>
    <w:rsid w:val="00D55BF5"/>
    <w:rsid w:val="00D55CC9"/>
    <w:rsid w:val="00D57163"/>
    <w:rsid w:val="00D60AB6"/>
    <w:rsid w:val="00D60ED9"/>
    <w:rsid w:val="00D62C6E"/>
    <w:rsid w:val="00D650B3"/>
    <w:rsid w:val="00D65CB3"/>
    <w:rsid w:val="00D6609A"/>
    <w:rsid w:val="00D72613"/>
    <w:rsid w:val="00D72CCC"/>
    <w:rsid w:val="00D73669"/>
    <w:rsid w:val="00D813D7"/>
    <w:rsid w:val="00D84C14"/>
    <w:rsid w:val="00D8501D"/>
    <w:rsid w:val="00D93E47"/>
    <w:rsid w:val="00D96085"/>
    <w:rsid w:val="00D9612F"/>
    <w:rsid w:val="00D968DD"/>
    <w:rsid w:val="00D96CF0"/>
    <w:rsid w:val="00DA0ED5"/>
    <w:rsid w:val="00DA4DA1"/>
    <w:rsid w:val="00DA6AC1"/>
    <w:rsid w:val="00DB231C"/>
    <w:rsid w:val="00DB49B3"/>
    <w:rsid w:val="00DC2FBF"/>
    <w:rsid w:val="00DC34B0"/>
    <w:rsid w:val="00DC6928"/>
    <w:rsid w:val="00DD01E0"/>
    <w:rsid w:val="00DD1775"/>
    <w:rsid w:val="00DD2340"/>
    <w:rsid w:val="00DD672F"/>
    <w:rsid w:val="00DE1E77"/>
    <w:rsid w:val="00DE1F8D"/>
    <w:rsid w:val="00DE6E6B"/>
    <w:rsid w:val="00DF0696"/>
    <w:rsid w:val="00DF12B4"/>
    <w:rsid w:val="00DF2262"/>
    <w:rsid w:val="00DF32D9"/>
    <w:rsid w:val="00DF5F2A"/>
    <w:rsid w:val="00DF6D4D"/>
    <w:rsid w:val="00E020F8"/>
    <w:rsid w:val="00E0275B"/>
    <w:rsid w:val="00E02FC8"/>
    <w:rsid w:val="00E03894"/>
    <w:rsid w:val="00E054EE"/>
    <w:rsid w:val="00E2122B"/>
    <w:rsid w:val="00E2349C"/>
    <w:rsid w:val="00E31630"/>
    <w:rsid w:val="00E32D62"/>
    <w:rsid w:val="00E34591"/>
    <w:rsid w:val="00E37A31"/>
    <w:rsid w:val="00E41A9A"/>
    <w:rsid w:val="00E44143"/>
    <w:rsid w:val="00E44F81"/>
    <w:rsid w:val="00E44FE1"/>
    <w:rsid w:val="00E456B6"/>
    <w:rsid w:val="00E463B6"/>
    <w:rsid w:val="00E515EC"/>
    <w:rsid w:val="00E51976"/>
    <w:rsid w:val="00E53CAC"/>
    <w:rsid w:val="00E53DB2"/>
    <w:rsid w:val="00E555CF"/>
    <w:rsid w:val="00E56C7E"/>
    <w:rsid w:val="00E60476"/>
    <w:rsid w:val="00E61249"/>
    <w:rsid w:val="00E63E38"/>
    <w:rsid w:val="00E67226"/>
    <w:rsid w:val="00E6723B"/>
    <w:rsid w:val="00E73DF0"/>
    <w:rsid w:val="00E73FA9"/>
    <w:rsid w:val="00E745B5"/>
    <w:rsid w:val="00E74650"/>
    <w:rsid w:val="00E80F01"/>
    <w:rsid w:val="00E838E5"/>
    <w:rsid w:val="00E85C6F"/>
    <w:rsid w:val="00E87088"/>
    <w:rsid w:val="00E971D9"/>
    <w:rsid w:val="00EA4539"/>
    <w:rsid w:val="00EA4C8A"/>
    <w:rsid w:val="00EA62FF"/>
    <w:rsid w:val="00EA6657"/>
    <w:rsid w:val="00EA7CA3"/>
    <w:rsid w:val="00EB110E"/>
    <w:rsid w:val="00EB2B25"/>
    <w:rsid w:val="00EB3A5A"/>
    <w:rsid w:val="00EB4BA1"/>
    <w:rsid w:val="00EB62F7"/>
    <w:rsid w:val="00EC0775"/>
    <w:rsid w:val="00EC089E"/>
    <w:rsid w:val="00EC0D8E"/>
    <w:rsid w:val="00EC23C8"/>
    <w:rsid w:val="00EC38DE"/>
    <w:rsid w:val="00EC62DE"/>
    <w:rsid w:val="00ED425C"/>
    <w:rsid w:val="00ED4F95"/>
    <w:rsid w:val="00ED6A70"/>
    <w:rsid w:val="00EE1B6F"/>
    <w:rsid w:val="00EE78FC"/>
    <w:rsid w:val="00EF05A4"/>
    <w:rsid w:val="00EF413A"/>
    <w:rsid w:val="00F04C9F"/>
    <w:rsid w:val="00F06A6D"/>
    <w:rsid w:val="00F11028"/>
    <w:rsid w:val="00F12ED9"/>
    <w:rsid w:val="00F14445"/>
    <w:rsid w:val="00F15848"/>
    <w:rsid w:val="00F1713A"/>
    <w:rsid w:val="00F178B3"/>
    <w:rsid w:val="00F17F2E"/>
    <w:rsid w:val="00F23DAD"/>
    <w:rsid w:val="00F354D2"/>
    <w:rsid w:val="00F40155"/>
    <w:rsid w:val="00F45613"/>
    <w:rsid w:val="00F467A1"/>
    <w:rsid w:val="00F4684D"/>
    <w:rsid w:val="00F52911"/>
    <w:rsid w:val="00F54A34"/>
    <w:rsid w:val="00F55191"/>
    <w:rsid w:val="00F57164"/>
    <w:rsid w:val="00F6499D"/>
    <w:rsid w:val="00F66A6C"/>
    <w:rsid w:val="00F67719"/>
    <w:rsid w:val="00F67762"/>
    <w:rsid w:val="00F67A51"/>
    <w:rsid w:val="00F71B87"/>
    <w:rsid w:val="00F71F18"/>
    <w:rsid w:val="00F73125"/>
    <w:rsid w:val="00F83A7F"/>
    <w:rsid w:val="00F84B1F"/>
    <w:rsid w:val="00F907C6"/>
    <w:rsid w:val="00F92B25"/>
    <w:rsid w:val="00F94E52"/>
    <w:rsid w:val="00F96BB6"/>
    <w:rsid w:val="00FB1204"/>
    <w:rsid w:val="00FB303B"/>
    <w:rsid w:val="00FB311E"/>
    <w:rsid w:val="00FB4557"/>
    <w:rsid w:val="00FC6970"/>
    <w:rsid w:val="00FC7EF9"/>
    <w:rsid w:val="00FD104F"/>
    <w:rsid w:val="00FD1078"/>
    <w:rsid w:val="00FD24B0"/>
    <w:rsid w:val="00FE42F8"/>
    <w:rsid w:val="00FE62A9"/>
    <w:rsid w:val="00FE6328"/>
    <w:rsid w:val="00FE712E"/>
    <w:rsid w:val="00FF31E1"/>
    <w:rsid w:val="00F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9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454AA4"/>
    <w:pPr>
      <w:keepNext/>
      <w:numPr>
        <w:numId w:val="44"/>
      </w:numPr>
      <w:spacing w:after="0" w:line="480" w:lineRule="auto"/>
      <w:ind w:right="-547"/>
      <w:jc w:val="center"/>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C211DA"/>
    <w:pPr>
      <w:keepNext/>
      <w:keepLines/>
      <w:numPr>
        <w:numId w:val="46"/>
      </w:numPr>
      <w:spacing w:after="0" w:line="480" w:lineRule="auto"/>
      <w:outlineLvl w:val="1"/>
    </w:pPr>
    <w:rPr>
      <w:rFonts w:ascii="Times New Roman Bold" w:eastAsiaTheme="majorEastAsia" w:hAnsi="Times New Roman Bol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AA4"/>
    <w:rPr>
      <w:rFonts w:ascii="Times New Roman" w:eastAsia="Times New Roman" w:hAnsi="Times New Roman" w:cs="Times New Roman"/>
      <w:b/>
      <w:bCs/>
      <w:sz w:val="24"/>
      <w:szCs w:val="24"/>
    </w:rPr>
  </w:style>
  <w:style w:type="paragraph" w:customStyle="1" w:styleId="a">
    <w:name w:val="_"/>
    <w:basedOn w:val="Normal"/>
    <w:uiPriority w:val="99"/>
    <w:rsid w:val="00336F9E"/>
    <w:pPr>
      <w:widowControl w:val="0"/>
      <w:spacing w:after="0" w:line="240" w:lineRule="auto"/>
      <w:ind w:left="720" w:hanging="720"/>
    </w:pPr>
    <w:rPr>
      <w:rFonts w:ascii="Letter Gothic" w:hAnsi="Letter Gothic"/>
      <w:sz w:val="24"/>
      <w:szCs w:val="20"/>
    </w:rPr>
  </w:style>
  <w:style w:type="character" w:styleId="LineNumber">
    <w:name w:val="line number"/>
    <w:aliases w:val="Style 13"/>
    <w:basedOn w:val="DefaultParagraphFont"/>
    <w:uiPriority w:val="99"/>
    <w:unhideWhenUsed/>
    <w:rsid w:val="00336F9E"/>
    <w:rPr>
      <w:rFonts w:ascii="Times New Roman" w:hAnsi="Times New Roman" w:cs="Times New Roman"/>
      <w:sz w:val="24"/>
    </w:rPr>
  </w:style>
  <w:style w:type="paragraph" w:styleId="ListParagraph">
    <w:name w:val="List Paragraph"/>
    <w:basedOn w:val="Normal"/>
    <w:uiPriority w:val="34"/>
    <w:qFormat/>
    <w:rsid w:val="00336F9E"/>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336F9E"/>
    <w:rPr>
      <w:rFonts w:cs="Times New Roman"/>
      <w:sz w:val="16"/>
      <w:szCs w:val="16"/>
    </w:rPr>
  </w:style>
  <w:style w:type="paragraph" w:styleId="CommentText">
    <w:name w:val="annotation text"/>
    <w:basedOn w:val="Normal"/>
    <w:link w:val="CommentTextChar"/>
    <w:uiPriority w:val="99"/>
    <w:semiHidden/>
    <w:unhideWhenUsed/>
    <w:rsid w:val="00336F9E"/>
    <w:pPr>
      <w:spacing w:line="240" w:lineRule="auto"/>
    </w:pPr>
    <w:rPr>
      <w:sz w:val="20"/>
      <w:szCs w:val="20"/>
    </w:rPr>
  </w:style>
  <w:style w:type="character" w:customStyle="1" w:styleId="CommentTextChar">
    <w:name w:val="Comment Text Char"/>
    <w:basedOn w:val="DefaultParagraphFont"/>
    <w:link w:val="CommentText"/>
    <w:uiPriority w:val="99"/>
    <w:semiHidden/>
    <w:rsid w:val="00336F9E"/>
    <w:rPr>
      <w:rFonts w:ascii="Calibri" w:eastAsia="Times New Roman" w:hAnsi="Calibri" w:cs="Times New Roman"/>
      <w:sz w:val="20"/>
      <w:szCs w:val="20"/>
    </w:rPr>
  </w:style>
  <w:style w:type="paragraph" w:styleId="FootnoteText">
    <w:name w:val="footnote text"/>
    <w:aliases w:val="(NECG) Footnote Text,ALTS FOOTNOTE,AR Footnote Text,fn,Footnote Text Char1 Char,Footnote Text Char Char Char,Footnote Text Char1 Char Char Char,Footnote Text Char Char Char Char Char,Footnote Text Char Char1 Char,Footnote Text Char1"/>
    <w:basedOn w:val="Normal"/>
    <w:link w:val="FootnoteTextChar"/>
    <w:uiPriority w:val="99"/>
    <w:unhideWhenUsed/>
    <w:rsid w:val="00336F9E"/>
    <w:pPr>
      <w:spacing w:after="0" w:line="240" w:lineRule="auto"/>
    </w:pPr>
    <w:rPr>
      <w:sz w:val="20"/>
      <w:szCs w:val="20"/>
    </w:rPr>
  </w:style>
  <w:style w:type="character" w:customStyle="1" w:styleId="FootnoteTextChar">
    <w:name w:val="Footnote Text Char"/>
    <w:aliases w:val="(NECG) Footnote Text Char,ALTS FOOTNOTE Char,AR Footnote Text Char,fn Char,Footnote Text Char1 Char Char,Footnote Text Char Char Char Char,Footnote Text Char1 Char Char Char Char,Footnote Text Char Char Char Char Char Char"/>
    <w:basedOn w:val="DefaultParagraphFont"/>
    <w:link w:val="FootnoteText"/>
    <w:uiPriority w:val="99"/>
    <w:rsid w:val="00336F9E"/>
    <w:rPr>
      <w:rFonts w:ascii="Calibri" w:eastAsia="Times New Roman" w:hAnsi="Calibri" w:cs="Times New Roman"/>
      <w:sz w:val="20"/>
      <w:szCs w:val="20"/>
    </w:rPr>
  </w:style>
  <w:style w:type="character" w:styleId="FootnoteReference">
    <w:name w:val="footnote reference"/>
    <w:aliases w:val="(NECG) Footnote Reference,Style 11"/>
    <w:basedOn w:val="DefaultParagraphFont"/>
    <w:uiPriority w:val="99"/>
    <w:unhideWhenUsed/>
    <w:rsid w:val="00336F9E"/>
    <w:rPr>
      <w:rFonts w:cs="Times New Roman"/>
      <w:vertAlign w:val="superscript"/>
    </w:rPr>
  </w:style>
  <w:style w:type="paragraph" w:styleId="Footer">
    <w:name w:val="footer"/>
    <w:basedOn w:val="Normal"/>
    <w:link w:val="FooterChar"/>
    <w:uiPriority w:val="99"/>
    <w:unhideWhenUsed/>
    <w:rsid w:val="0033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9E"/>
    <w:rPr>
      <w:rFonts w:ascii="Calibri" w:eastAsia="Times New Roman" w:hAnsi="Calibri" w:cs="Times New Roman"/>
    </w:rPr>
  </w:style>
  <w:style w:type="character" w:styleId="Hyperlink">
    <w:name w:val="Hyperlink"/>
    <w:basedOn w:val="DefaultParagraphFont"/>
    <w:uiPriority w:val="99"/>
    <w:unhideWhenUsed/>
    <w:rsid w:val="00336F9E"/>
    <w:rPr>
      <w:rFonts w:cs="Times New Roman"/>
      <w:color w:val="0563C1" w:themeColor="hyperlink"/>
      <w:u w:val="single"/>
    </w:rPr>
  </w:style>
  <w:style w:type="paragraph" w:styleId="TOC1">
    <w:name w:val="toc 1"/>
    <w:basedOn w:val="Normal"/>
    <w:next w:val="Normal"/>
    <w:autoRedefine/>
    <w:uiPriority w:val="39"/>
    <w:unhideWhenUsed/>
    <w:qFormat/>
    <w:rsid w:val="006B6744"/>
    <w:pPr>
      <w:tabs>
        <w:tab w:val="left" w:pos="660"/>
        <w:tab w:val="right" w:leader="dot" w:pos="9360"/>
      </w:tabs>
      <w:spacing w:after="100"/>
      <w:ind w:left="720" w:hanging="720"/>
    </w:pPr>
    <w:rPr>
      <w:rFonts w:ascii="Times New Roman" w:hAnsi="Times New Roman"/>
    </w:rPr>
  </w:style>
  <w:style w:type="paragraph" w:styleId="TOCHeading">
    <w:name w:val="TOC Heading"/>
    <w:basedOn w:val="Heading1"/>
    <w:next w:val="Normal"/>
    <w:uiPriority w:val="39"/>
    <w:unhideWhenUsed/>
    <w:qFormat/>
    <w:rsid w:val="00336F9E"/>
    <w:pPr>
      <w:keepLines/>
      <w:numPr>
        <w:numId w:val="0"/>
      </w:numPr>
      <w:spacing w:before="480" w:line="276" w:lineRule="auto"/>
      <w:outlineLvl w:val="9"/>
    </w:pPr>
    <w:rPr>
      <w:rFonts w:asciiTheme="majorHAnsi" w:eastAsiaTheme="majorEastAsia" w:hAnsiTheme="majorHAnsi"/>
      <w:color w:val="2F5496" w:themeColor="accent1" w:themeShade="BF"/>
      <w:sz w:val="28"/>
      <w:szCs w:val="28"/>
    </w:rPr>
  </w:style>
  <w:style w:type="paragraph" w:styleId="BalloonText">
    <w:name w:val="Balloon Text"/>
    <w:basedOn w:val="Normal"/>
    <w:link w:val="BalloonTextChar"/>
    <w:uiPriority w:val="99"/>
    <w:semiHidden/>
    <w:unhideWhenUsed/>
    <w:rsid w:val="00336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0E45"/>
    <w:rPr>
      <w:b/>
      <w:bCs/>
    </w:rPr>
  </w:style>
  <w:style w:type="character" w:customStyle="1" w:styleId="CommentSubjectChar">
    <w:name w:val="Comment Subject Char"/>
    <w:basedOn w:val="CommentTextChar"/>
    <w:link w:val="CommentSubject"/>
    <w:uiPriority w:val="99"/>
    <w:semiHidden/>
    <w:rsid w:val="00C50E45"/>
    <w:rPr>
      <w:rFonts w:ascii="Calibri" w:eastAsia="Times New Roman" w:hAnsi="Calibri" w:cs="Times New Roman"/>
      <w:b/>
      <w:bCs/>
      <w:sz w:val="20"/>
      <w:szCs w:val="20"/>
    </w:rPr>
  </w:style>
  <w:style w:type="table" w:styleId="TableGrid">
    <w:name w:val="Table Grid"/>
    <w:basedOn w:val="TableNormal"/>
    <w:uiPriority w:val="39"/>
    <w:rsid w:val="000E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E5811"/>
    <w:pPr>
      <w:spacing w:line="240" w:lineRule="auto"/>
    </w:pPr>
    <w:rPr>
      <w:i/>
      <w:iCs/>
      <w:color w:val="44546A" w:themeColor="text2"/>
      <w:sz w:val="18"/>
      <w:szCs w:val="18"/>
    </w:rPr>
  </w:style>
  <w:style w:type="character" w:customStyle="1" w:styleId="Mention1">
    <w:name w:val="Mention1"/>
    <w:basedOn w:val="DefaultParagraphFont"/>
    <w:uiPriority w:val="99"/>
    <w:semiHidden/>
    <w:unhideWhenUsed/>
    <w:rsid w:val="0003626C"/>
    <w:rPr>
      <w:color w:val="2B579A"/>
      <w:shd w:val="clear" w:color="auto" w:fill="E6E6E6"/>
    </w:rPr>
  </w:style>
  <w:style w:type="paragraph" w:styleId="TOC2">
    <w:name w:val="toc 2"/>
    <w:basedOn w:val="Normal"/>
    <w:next w:val="Normal"/>
    <w:autoRedefine/>
    <w:uiPriority w:val="39"/>
    <w:unhideWhenUsed/>
    <w:qFormat/>
    <w:rsid w:val="008F544A"/>
    <w:pPr>
      <w:spacing w:after="100"/>
      <w:ind w:left="220"/>
    </w:pPr>
  </w:style>
  <w:style w:type="paragraph" w:styleId="Header">
    <w:name w:val="header"/>
    <w:basedOn w:val="Normal"/>
    <w:link w:val="HeaderChar"/>
    <w:uiPriority w:val="99"/>
    <w:unhideWhenUsed/>
    <w:rsid w:val="00160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77"/>
    <w:rPr>
      <w:rFonts w:ascii="Calibri" w:eastAsia="Times New Roman" w:hAnsi="Calibri" w:cs="Times New Roman"/>
    </w:rPr>
  </w:style>
  <w:style w:type="paragraph" w:styleId="Revision">
    <w:name w:val="Revision"/>
    <w:hidden/>
    <w:uiPriority w:val="99"/>
    <w:semiHidden/>
    <w:rsid w:val="008E56CB"/>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E63E38"/>
    <w:rPr>
      <w:color w:val="954F72" w:themeColor="followedHyperlink"/>
      <w:u w:val="single"/>
    </w:rPr>
  </w:style>
  <w:style w:type="character" w:customStyle="1" w:styleId="Heading2Char">
    <w:name w:val="Heading 2 Char"/>
    <w:basedOn w:val="DefaultParagraphFont"/>
    <w:link w:val="Heading2"/>
    <w:uiPriority w:val="9"/>
    <w:rsid w:val="00C211DA"/>
    <w:rPr>
      <w:rFonts w:ascii="Times New Roman Bold" w:eastAsiaTheme="majorEastAsia" w:hAnsi="Times New Roman Bold" w:cstheme="majorBidi"/>
      <w:b/>
      <w:bCs/>
      <w:sz w:val="24"/>
      <w:szCs w:val="26"/>
    </w:rPr>
  </w:style>
  <w:style w:type="paragraph" w:styleId="Index1">
    <w:name w:val="index 1"/>
    <w:basedOn w:val="Normal"/>
    <w:next w:val="Normal"/>
    <w:autoRedefine/>
    <w:uiPriority w:val="99"/>
    <w:unhideWhenUsed/>
    <w:rsid w:val="00476603"/>
    <w:pPr>
      <w:tabs>
        <w:tab w:val="left" w:pos="900"/>
        <w:tab w:val="right" w:leader="dot" w:pos="9350"/>
      </w:tabs>
      <w:spacing w:after="0" w:line="480" w:lineRule="auto"/>
      <w:ind w:left="900" w:hanging="900"/>
    </w:pPr>
    <w:rPr>
      <w:rFonts w:ascii="Times New Roman" w:hAnsi="Times New Roman"/>
      <w:noProof/>
      <w:sz w:val="24"/>
      <w:szCs w:val="24"/>
    </w:rPr>
  </w:style>
  <w:style w:type="paragraph" w:styleId="TOC3">
    <w:name w:val="toc 3"/>
    <w:basedOn w:val="Normal"/>
    <w:next w:val="Normal"/>
    <w:autoRedefine/>
    <w:uiPriority w:val="39"/>
    <w:semiHidden/>
    <w:unhideWhenUsed/>
    <w:qFormat/>
    <w:rsid w:val="00A60D7C"/>
    <w:pPr>
      <w:spacing w:after="100"/>
      <w:ind w:left="440"/>
    </w:pPr>
    <w:rPr>
      <w:rFonts w:asciiTheme="minorHAnsi" w:eastAsiaTheme="minorEastAsia" w:hAnsiTheme="minorHAnsi" w:cstheme="minorBid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9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454AA4"/>
    <w:pPr>
      <w:keepNext/>
      <w:numPr>
        <w:numId w:val="44"/>
      </w:numPr>
      <w:spacing w:after="0" w:line="480" w:lineRule="auto"/>
      <w:ind w:right="-547"/>
      <w:jc w:val="center"/>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C211DA"/>
    <w:pPr>
      <w:keepNext/>
      <w:keepLines/>
      <w:numPr>
        <w:numId w:val="46"/>
      </w:numPr>
      <w:spacing w:after="0" w:line="480" w:lineRule="auto"/>
      <w:outlineLvl w:val="1"/>
    </w:pPr>
    <w:rPr>
      <w:rFonts w:ascii="Times New Roman Bold" w:eastAsiaTheme="majorEastAsia" w:hAnsi="Times New Roman Bold"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AA4"/>
    <w:rPr>
      <w:rFonts w:ascii="Times New Roman" w:eastAsia="Times New Roman" w:hAnsi="Times New Roman" w:cs="Times New Roman"/>
      <w:b/>
      <w:bCs/>
      <w:sz w:val="24"/>
      <w:szCs w:val="24"/>
    </w:rPr>
  </w:style>
  <w:style w:type="paragraph" w:customStyle="1" w:styleId="a">
    <w:name w:val="_"/>
    <w:basedOn w:val="Normal"/>
    <w:uiPriority w:val="99"/>
    <w:rsid w:val="00336F9E"/>
    <w:pPr>
      <w:widowControl w:val="0"/>
      <w:spacing w:after="0" w:line="240" w:lineRule="auto"/>
      <w:ind w:left="720" w:hanging="720"/>
    </w:pPr>
    <w:rPr>
      <w:rFonts w:ascii="Letter Gothic" w:hAnsi="Letter Gothic"/>
      <w:sz w:val="24"/>
      <w:szCs w:val="20"/>
    </w:rPr>
  </w:style>
  <w:style w:type="character" w:styleId="LineNumber">
    <w:name w:val="line number"/>
    <w:aliases w:val="Style 13"/>
    <w:basedOn w:val="DefaultParagraphFont"/>
    <w:uiPriority w:val="99"/>
    <w:unhideWhenUsed/>
    <w:rsid w:val="00336F9E"/>
    <w:rPr>
      <w:rFonts w:ascii="Times New Roman" w:hAnsi="Times New Roman" w:cs="Times New Roman"/>
      <w:sz w:val="24"/>
    </w:rPr>
  </w:style>
  <w:style w:type="paragraph" w:styleId="ListParagraph">
    <w:name w:val="List Paragraph"/>
    <w:basedOn w:val="Normal"/>
    <w:uiPriority w:val="34"/>
    <w:qFormat/>
    <w:rsid w:val="00336F9E"/>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336F9E"/>
    <w:rPr>
      <w:rFonts w:cs="Times New Roman"/>
      <w:sz w:val="16"/>
      <w:szCs w:val="16"/>
    </w:rPr>
  </w:style>
  <w:style w:type="paragraph" w:styleId="CommentText">
    <w:name w:val="annotation text"/>
    <w:basedOn w:val="Normal"/>
    <w:link w:val="CommentTextChar"/>
    <w:uiPriority w:val="99"/>
    <w:semiHidden/>
    <w:unhideWhenUsed/>
    <w:rsid w:val="00336F9E"/>
    <w:pPr>
      <w:spacing w:line="240" w:lineRule="auto"/>
    </w:pPr>
    <w:rPr>
      <w:sz w:val="20"/>
      <w:szCs w:val="20"/>
    </w:rPr>
  </w:style>
  <w:style w:type="character" w:customStyle="1" w:styleId="CommentTextChar">
    <w:name w:val="Comment Text Char"/>
    <w:basedOn w:val="DefaultParagraphFont"/>
    <w:link w:val="CommentText"/>
    <w:uiPriority w:val="99"/>
    <w:semiHidden/>
    <w:rsid w:val="00336F9E"/>
    <w:rPr>
      <w:rFonts w:ascii="Calibri" w:eastAsia="Times New Roman" w:hAnsi="Calibri" w:cs="Times New Roman"/>
      <w:sz w:val="20"/>
      <w:szCs w:val="20"/>
    </w:rPr>
  </w:style>
  <w:style w:type="paragraph" w:styleId="FootnoteText">
    <w:name w:val="footnote text"/>
    <w:aliases w:val="(NECG) Footnote Text,ALTS FOOTNOTE,AR Footnote Text,fn,Footnote Text Char1 Char,Footnote Text Char Char Char,Footnote Text Char1 Char Char Char,Footnote Text Char Char Char Char Char,Footnote Text Char Char1 Char,Footnote Text Char1"/>
    <w:basedOn w:val="Normal"/>
    <w:link w:val="FootnoteTextChar"/>
    <w:uiPriority w:val="99"/>
    <w:unhideWhenUsed/>
    <w:rsid w:val="00336F9E"/>
    <w:pPr>
      <w:spacing w:after="0" w:line="240" w:lineRule="auto"/>
    </w:pPr>
    <w:rPr>
      <w:sz w:val="20"/>
      <w:szCs w:val="20"/>
    </w:rPr>
  </w:style>
  <w:style w:type="character" w:customStyle="1" w:styleId="FootnoteTextChar">
    <w:name w:val="Footnote Text Char"/>
    <w:aliases w:val="(NECG) Footnote Text Char,ALTS FOOTNOTE Char,AR Footnote Text Char,fn Char,Footnote Text Char1 Char Char,Footnote Text Char Char Char Char,Footnote Text Char1 Char Char Char Char,Footnote Text Char Char Char Char Char Char"/>
    <w:basedOn w:val="DefaultParagraphFont"/>
    <w:link w:val="FootnoteText"/>
    <w:uiPriority w:val="99"/>
    <w:rsid w:val="00336F9E"/>
    <w:rPr>
      <w:rFonts w:ascii="Calibri" w:eastAsia="Times New Roman" w:hAnsi="Calibri" w:cs="Times New Roman"/>
      <w:sz w:val="20"/>
      <w:szCs w:val="20"/>
    </w:rPr>
  </w:style>
  <w:style w:type="character" w:styleId="FootnoteReference">
    <w:name w:val="footnote reference"/>
    <w:aliases w:val="(NECG) Footnote Reference,Style 11"/>
    <w:basedOn w:val="DefaultParagraphFont"/>
    <w:uiPriority w:val="99"/>
    <w:unhideWhenUsed/>
    <w:rsid w:val="00336F9E"/>
    <w:rPr>
      <w:rFonts w:cs="Times New Roman"/>
      <w:vertAlign w:val="superscript"/>
    </w:rPr>
  </w:style>
  <w:style w:type="paragraph" w:styleId="Footer">
    <w:name w:val="footer"/>
    <w:basedOn w:val="Normal"/>
    <w:link w:val="FooterChar"/>
    <w:uiPriority w:val="99"/>
    <w:unhideWhenUsed/>
    <w:rsid w:val="0033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9E"/>
    <w:rPr>
      <w:rFonts w:ascii="Calibri" w:eastAsia="Times New Roman" w:hAnsi="Calibri" w:cs="Times New Roman"/>
    </w:rPr>
  </w:style>
  <w:style w:type="character" w:styleId="Hyperlink">
    <w:name w:val="Hyperlink"/>
    <w:basedOn w:val="DefaultParagraphFont"/>
    <w:uiPriority w:val="99"/>
    <w:unhideWhenUsed/>
    <w:rsid w:val="00336F9E"/>
    <w:rPr>
      <w:rFonts w:cs="Times New Roman"/>
      <w:color w:val="0563C1" w:themeColor="hyperlink"/>
      <w:u w:val="single"/>
    </w:rPr>
  </w:style>
  <w:style w:type="paragraph" w:styleId="TOC1">
    <w:name w:val="toc 1"/>
    <w:basedOn w:val="Normal"/>
    <w:next w:val="Normal"/>
    <w:autoRedefine/>
    <w:uiPriority w:val="39"/>
    <w:unhideWhenUsed/>
    <w:qFormat/>
    <w:rsid w:val="006B6744"/>
    <w:pPr>
      <w:tabs>
        <w:tab w:val="left" w:pos="660"/>
        <w:tab w:val="right" w:leader="dot" w:pos="9360"/>
      </w:tabs>
      <w:spacing w:after="100"/>
      <w:ind w:left="720" w:hanging="720"/>
    </w:pPr>
    <w:rPr>
      <w:rFonts w:ascii="Times New Roman" w:hAnsi="Times New Roman"/>
    </w:rPr>
  </w:style>
  <w:style w:type="paragraph" w:styleId="TOCHeading">
    <w:name w:val="TOC Heading"/>
    <w:basedOn w:val="Heading1"/>
    <w:next w:val="Normal"/>
    <w:uiPriority w:val="39"/>
    <w:unhideWhenUsed/>
    <w:qFormat/>
    <w:rsid w:val="00336F9E"/>
    <w:pPr>
      <w:keepLines/>
      <w:numPr>
        <w:numId w:val="0"/>
      </w:numPr>
      <w:spacing w:before="480" w:line="276" w:lineRule="auto"/>
      <w:outlineLvl w:val="9"/>
    </w:pPr>
    <w:rPr>
      <w:rFonts w:asciiTheme="majorHAnsi" w:eastAsiaTheme="majorEastAsia" w:hAnsiTheme="majorHAnsi"/>
      <w:color w:val="2F5496" w:themeColor="accent1" w:themeShade="BF"/>
      <w:sz w:val="28"/>
      <w:szCs w:val="28"/>
    </w:rPr>
  </w:style>
  <w:style w:type="paragraph" w:styleId="BalloonText">
    <w:name w:val="Balloon Text"/>
    <w:basedOn w:val="Normal"/>
    <w:link w:val="BalloonTextChar"/>
    <w:uiPriority w:val="99"/>
    <w:semiHidden/>
    <w:unhideWhenUsed/>
    <w:rsid w:val="00336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0E45"/>
    <w:rPr>
      <w:b/>
      <w:bCs/>
    </w:rPr>
  </w:style>
  <w:style w:type="character" w:customStyle="1" w:styleId="CommentSubjectChar">
    <w:name w:val="Comment Subject Char"/>
    <w:basedOn w:val="CommentTextChar"/>
    <w:link w:val="CommentSubject"/>
    <w:uiPriority w:val="99"/>
    <w:semiHidden/>
    <w:rsid w:val="00C50E45"/>
    <w:rPr>
      <w:rFonts w:ascii="Calibri" w:eastAsia="Times New Roman" w:hAnsi="Calibri" w:cs="Times New Roman"/>
      <w:b/>
      <w:bCs/>
      <w:sz w:val="20"/>
      <w:szCs w:val="20"/>
    </w:rPr>
  </w:style>
  <w:style w:type="table" w:styleId="TableGrid">
    <w:name w:val="Table Grid"/>
    <w:basedOn w:val="TableNormal"/>
    <w:uiPriority w:val="39"/>
    <w:rsid w:val="000E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E5811"/>
    <w:pPr>
      <w:spacing w:line="240" w:lineRule="auto"/>
    </w:pPr>
    <w:rPr>
      <w:i/>
      <w:iCs/>
      <w:color w:val="44546A" w:themeColor="text2"/>
      <w:sz w:val="18"/>
      <w:szCs w:val="18"/>
    </w:rPr>
  </w:style>
  <w:style w:type="character" w:customStyle="1" w:styleId="Mention1">
    <w:name w:val="Mention1"/>
    <w:basedOn w:val="DefaultParagraphFont"/>
    <w:uiPriority w:val="99"/>
    <w:semiHidden/>
    <w:unhideWhenUsed/>
    <w:rsid w:val="0003626C"/>
    <w:rPr>
      <w:color w:val="2B579A"/>
      <w:shd w:val="clear" w:color="auto" w:fill="E6E6E6"/>
    </w:rPr>
  </w:style>
  <w:style w:type="paragraph" w:styleId="TOC2">
    <w:name w:val="toc 2"/>
    <w:basedOn w:val="Normal"/>
    <w:next w:val="Normal"/>
    <w:autoRedefine/>
    <w:uiPriority w:val="39"/>
    <w:unhideWhenUsed/>
    <w:qFormat/>
    <w:rsid w:val="008F544A"/>
    <w:pPr>
      <w:spacing w:after="100"/>
      <w:ind w:left="220"/>
    </w:pPr>
  </w:style>
  <w:style w:type="paragraph" w:styleId="Header">
    <w:name w:val="header"/>
    <w:basedOn w:val="Normal"/>
    <w:link w:val="HeaderChar"/>
    <w:uiPriority w:val="99"/>
    <w:unhideWhenUsed/>
    <w:rsid w:val="00160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77"/>
    <w:rPr>
      <w:rFonts w:ascii="Calibri" w:eastAsia="Times New Roman" w:hAnsi="Calibri" w:cs="Times New Roman"/>
    </w:rPr>
  </w:style>
  <w:style w:type="paragraph" w:styleId="Revision">
    <w:name w:val="Revision"/>
    <w:hidden/>
    <w:uiPriority w:val="99"/>
    <w:semiHidden/>
    <w:rsid w:val="008E56CB"/>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E63E38"/>
    <w:rPr>
      <w:color w:val="954F72" w:themeColor="followedHyperlink"/>
      <w:u w:val="single"/>
    </w:rPr>
  </w:style>
  <w:style w:type="character" w:customStyle="1" w:styleId="Heading2Char">
    <w:name w:val="Heading 2 Char"/>
    <w:basedOn w:val="DefaultParagraphFont"/>
    <w:link w:val="Heading2"/>
    <w:uiPriority w:val="9"/>
    <w:rsid w:val="00C211DA"/>
    <w:rPr>
      <w:rFonts w:ascii="Times New Roman Bold" w:eastAsiaTheme="majorEastAsia" w:hAnsi="Times New Roman Bold" w:cstheme="majorBidi"/>
      <w:b/>
      <w:bCs/>
      <w:sz w:val="24"/>
      <w:szCs w:val="26"/>
    </w:rPr>
  </w:style>
  <w:style w:type="paragraph" w:styleId="Index1">
    <w:name w:val="index 1"/>
    <w:basedOn w:val="Normal"/>
    <w:next w:val="Normal"/>
    <w:autoRedefine/>
    <w:uiPriority w:val="99"/>
    <w:unhideWhenUsed/>
    <w:rsid w:val="00476603"/>
    <w:pPr>
      <w:tabs>
        <w:tab w:val="left" w:pos="900"/>
        <w:tab w:val="right" w:leader="dot" w:pos="9350"/>
      </w:tabs>
      <w:spacing w:after="0" w:line="480" w:lineRule="auto"/>
      <w:ind w:left="900" w:hanging="900"/>
    </w:pPr>
    <w:rPr>
      <w:rFonts w:ascii="Times New Roman" w:hAnsi="Times New Roman"/>
      <w:noProof/>
      <w:sz w:val="24"/>
      <w:szCs w:val="24"/>
    </w:rPr>
  </w:style>
  <w:style w:type="paragraph" w:styleId="TOC3">
    <w:name w:val="toc 3"/>
    <w:basedOn w:val="Normal"/>
    <w:next w:val="Normal"/>
    <w:autoRedefine/>
    <w:uiPriority w:val="39"/>
    <w:semiHidden/>
    <w:unhideWhenUsed/>
    <w:qFormat/>
    <w:rsid w:val="00A60D7C"/>
    <w:pPr>
      <w:spacing w:after="100"/>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1830">
      <w:bodyDiv w:val="1"/>
      <w:marLeft w:val="0"/>
      <w:marRight w:val="0"/>
      <w:marTop w:val="0"/>
      <w:marBottom w:val="0"/>
      <w:divBdr>
        <w:top w:val="none" w:sz="0" w:space="0" w:color="auto"/>
        <w:left w:val="none" w:sz="0" w:space="0" w:color="auto"/>
        <w:bottom w:val="none" w:sz="0" w:space="0" w:color="auto"/>
        <w:right w:val="none" w:sz="0" w:space="0" w:color="auto"/>
      </w:divBdr>
    </w:div>
    <w:div w:id="387147432">
      <w:bodyDiv w:val="1"/>
      <w:marLeft w:val="0"/>
      <w:marRight w:val="0"/>
      <w:marTop w:val="0"/>
      <w:marBottom w:val="0"/>
      <w:divBdr>
        <w:top w:val="none" w:sz="0" w:space="0" w:color="auto"/>
        <w:left w:val="none" w:sz="0" w:space="0" w:color="auto"/>
        <w:bottom w:val="none" w:sz="0" w:space="0" w:color="auto"/>
        <w:right w:val="none" w:sz="0" w:space="0" w:color="auto"/>
      </w:divBdr>
    </w:div>
    <w:div w:id="426921599">
      <w:bodyDiv w:val="1"/>
      <w:marLeft w:val="0"/>
      <w:marRight w:val="0"/>
      <w:marTop w:val="0"/>
      <w:marBottom w:val="0"/>
      <w:divBdr>
        <w:top w:val="none" w:sz="0" w:space="0" w:color="auto"/>
        <w:left w:val="none" w:sz="0" w:space="0" w:color="auto"/>
        <w:bottom w:val="none" w:sz="0" w:space="0" w:color="auto"/>
        <w:right w:val="none" w:sz="0" w:space="0" w:color="auto"/>
      </w:divBdr>
    </w:div>
    <w:div w:id="485324094">
      <w:bodyDiv w:val="1"/>
      <w:marLeft w:val="0"/>
      <w:marRight w:val="0"/>
      <w:marTop w:val="0"/>
      <w:marBottom w:val="0"/>
      <w:divBdr>
        <w:top w:val="none" w:sz="0" w:space="0" w:color="auto"/>
        <w:left w:val="none" w:sz="0" w:space="0" w:color="auto"/>
        <w:bottom w:val="none" w:sz="0" w:space="0" w:color="auto"/>
        <w:right w:val="none" w:sz="0" w:space="0" w:color="auto"/>
      </w:divBdr>
    </w:div>
    <w:div w:id="721094748">
      <w:bodyDiv w:val="1"/>
      <w:marLeft w:val="0"/>
      <w:marRight w:val="0"/>
      <w:marTop w:val="0"/>
      <w:marBottom w:val="0"/>
      <w:divBdr>
        <w:top w:val="none" w:sz="0" w:space="0" w:color="auto"/>
        <w:left w:val="none" w:sz="0" w:space="0" w:color="auto"/>
        <w:bottom w:val="none" w:sz="0" w:space="0" w:color="auto"/>
        <w:right w:val="none" w:sz="0" w:space="0" w:color="auto"/>
      </w:divBdr>
    </w:div>
    <w:div w:id="879708748">
      <w:bodyDiv w:val="1"/>
      <w:marLeft w:val="0"/>
      <w:marRight w:val="0"/>
      <w:marTop w:val="0"/>
      <w:marBottom w:val="0"/>
      <w:divBdr>
        <w:top w:val="none" w:sz="0" w:space="0" w:color="auto"/>
        <w:left w:val="none" w:sz="0" w:space="0" w:color="auto"/>
        <w:bottom w:val="none" w:sz="0" w:space="0" w:color="auto"/>
        <w:right w:val="none" w:sz="0" w:space="0" w:color="auto"/>
      </w:divBdr>
    </w:div>
    <w:div w:id="19183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database.aceee.org/state/washington" TargetMode="External"/><Relationship Id="rId3" Type="http://schemas.openxmlformats.org/officeDocument/2006/relationships/hyperlink" Target="https://viadata.wordpress.com/2011/05/26/farm-taps-clarification-for-dimp-%C2%A7192-1003/" TargetMode="External"/><Relationship Id="rId7" Type="http://schemas.openxmlformats.org/officeDocument/2006/relationships/hyperlink" Target="http://database.aceee.org/state/washington" TargetMode="External"/><Relationship Id="rId2" Type="http://schemas.openxmlformats.org/officeDocument/2006/relationships/hyperlink" Target="https://www.courtlistener.com/opinion/2101898/peoples-nat-gas-co-v-pa-puc/" TargetMode="External"/><Relationship Id="rId1" Type="http://schemas.openxmlformats.org/officeDocument/2006/relationships/hyperlink" Target="https://www.pacificpower.net/content/dam/pacific_power/doc/About_Us/In_the_Community/Pacific%20Power%209-16-14%20Millersburg%20standed%20cost%20release.pdf" TargetMode="External"/><Relationship Id="rId6" Type="http://schemas.openxmlformats.org/officeDocument/2006/relationships/hyperlink" Target="https://www.pacificpower.net/content/dam/pacificorp/doc/Energy_Sources/Integrated_Resource_Plan/2017_IRP/2017_IRP_VolumeI_IRP_Final.pdf" TargetMode="External"/><Relationship Id="rId5" Type="http://schemas.openxmlformats.org/officeDocument/2006/relationships/hyperlink" Target="http://www.psc.state.fl.us/Files/PDF/Publications/Reports/Electricgas/replcost.pdf" TargetMode="External"/><Relationship Id="rId4" Type="http://schemas.openxmlformats.org/officeDocument/2006/relationships/hyperlink" Target="http://webapp1.dlib.indiana.edu/virtual_disk_library/index.cgi/4265704/FID1578/pdf/electric/056200.pdf" TargetMode="External"/><Relationship Id="rId9" Type="http://schemas.openxmlformats.org/officeDocument/2006/relationships/hyperlink" Target="http://www.columbiarea.com/content/rebate-offer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92.168.111.25\fdrive\Projects\Washington%20ATG\UE-161204%20Pacifcorp%20Sched%20300\Analysis\Attach%20WUTC%201%20with%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11.25\fdrive\Projects\Washington%20ATG\UE-161204%20Pacifcorp%20Sched%20300\Analysis\Attach%20WUTC%201%20with%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11.25\fdrive\Projects\Washington%20ATG\UE-161204%20Pacifcorp%20Sched%20300\Analysis\Attach%20WUTC%201%20with%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elissa\AppData\Local\Microsoft\Windows\INetCache\Content.Outlook\AATYMFBJ\Attach%20WUTC%201%20with%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'Exhibit No. RBD-4 page 1'!$G$8</c:f>
              <c:strCache>
                <c:ptCount val="1"/>
                <c:pt idx="0">
                  <c:v>Net Power Costs - Variable Costs</c:v>
                </c:pt>
              </c:strCache>
            </c:strRef>
          </c:tx>
          <c:spPr>
            <a:solidFill>
              <a:schemeClr val="accent1"/>
            </a:solidFill>
            <a:ln>
              <a:noFill/>
            </a:ln>
            <a:effectLst/>
          </c:spPr>
          <c:invertIfNegative val="0"/>
          <c:cat>
            <c:strRef>
              <c:f>'Exhibit No. RBD-4 page 1'!$H$7:$I$7</c:f>
              <c:strCache>
                <c:ptCount val="2"/>
                <c:pt idx="0">
                  <c:v>Residential</c:v>
                </c:pt>
                <c:pt idx="1">
                  <c:v>Non Residential</c:v>
                </c:pt>
              </c:strCache>
            </c:strRef>
          </c:cat>
          <c:val>
            <c:numRef>
              <c:f>'Exhibit No. RBD-4 page 1'!$H$8:$I$8</c:f>
              <c:numCache>
                <c:formatCode>"$"#,##0_);\("$"#,##0\)</c:formatCode>
                <c:ptCount val="2"/>
                <c:pt idx="0">
                  <c:v>55772733.751642562</c:v>
                </c:pt>
                <c:pt idx="1">
                  <c:v>73666730.695818365</c:v>
                </c:pt>
              </c:numCache>
            </c:numRef>
          </c:val>
          <c:extLst xmlns:c16r2="http://schemas.microsoft.com/office/drawing/2015/06/chart">
            <c:ext xmlns:c16="http://schemas.microsoft.com/office/drawing/2014/chart" uri="{C3380CC4-5D6E-409C-BE32-E72D297353CC}">
              <c16:uniqueId val="{00000000-D3A4-4C4D-9812-6F3C16DA8596}"/>
            </c:ext>
          </c:extLst>
        </c:ser>
        <c:ser>
          <c:idx val="1"/>
          <c:order val="1"/>
          <c:tx>
            <c:strRef>
              <c:f>'Exhibit No. RBD-4 page 1'!$G$9</c:f>
              <c:strCache>
                <c:ptCount val="1"/>
                <c:pt idx="0">
                  <c:v>Non-Net Power Costs - Fixed Costs</c:v>
                </c:pt>
              </c:strCache>
            </c:strRef>
          </c:tx>
          <c:spPr>
            <a:solidFill>
              <a:schemeClr val="accent2"/>
            </a:solidFill>
            <a:ln>
              <a:noFill/>
            </a:ln>
            <a:effectLst/>
          </c:spPr>
          <c:invertIfNegative val="0"/>
          <c:cat>
            <c:strRef>
              <c:f>'Exhibit No. RBD-4 page 1'!$H$7:$I$7</c:f>
              <c:strCache>
                <c:ptCount val="2"/>
                <c:pt idx="0">
                  <c:v>Residential</c:v>
                </c:pt>
                <c:pt idx="1">
                  <c:v>Non Residential</c:v>
                </c:pt>
              </c:strCache>
            </c:strRef>
          </c:cat>
          <c:val>
            <c:numRef>
              <c:f>'Exhibit No. RBD-4 page 1'!$H$9:$I$9</c:f>
              <c:numCache>
                <c:formatCode>"$"#,##0_);\("$"#,##0\)</c:formatCode>
                <c:ptCount val="2"/>
                <c:pt idx="0">
                  <c:v>89582506.281090766</c:v>
                </c:pt>
                <c:pt idx="1">
                  <c:v>119531090.02971345</c:v>
                </c:pt>
              </c:numCache>
            </c:numRef>
          </c:val>
          <c:extLst xmlns:c16r2="http://schemas.microsoft.com/office/drawing/2015/06/chart">
            <c:ext xmlns:c16="http://schemas.microsoft.com/office/drawing/2014/chart" uri="{C3380CC4-5D6E-409C-BE32-E72D297353CC}">
              <c16:uniqueId val="{00000001-D3A4-4C4D-9812-6F3C16DA8596}"/>
            </c:ext>
          </c:extLst>
        </c:ser>
        <c:dLbls>
          <c:showLegendKey val="0"/>
          <c:showVal val="0"/>
          <c:showCatName val="0"/>
          <c:showSerName val="0"/>
          <c:showPercent val="0"/>
          <c:showBubbleSize val="0"/>
        </c:dLbls>
        <c:gapWidth val="150"/>
        <c:overlap val="100"/>
        <c:axId val="40780544"/>
        <c:axId val="40782080"/>
      </c:barChart>
      <c:catAx>
        <c:axId val="4078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0782080"/>
        <c:crosses val="autoZero"/>
        <c:auto val="1"/>
        <c:lblAlgn val="ctr"/>
        <c:lblOffset val="100"/>
        <c:noMultiLvlLbl val="0"/>
      </c:catAx>
      <c:valAx>
        <c:axId val="4078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Total Revenue Requirement</a:t>
                </a:r>
              </a:p>
              <a:p>
                <a:pPr>
                  <a:defRPr sz="1200" b="0" i="0" u="none" strike="noStrike" kern="1200" baseline="0">
                    <a:solidFill>
                      <a:schemeClr val="tx1">
                        <a:lumMod val="65000"/>
                        <a:lumOff val="35000"/>
                      </a:schemeClr>
                    </a:solidFill>
                    <a:latin typeface="+mn-lt"/>
                    <a:ea typeface="+mn-ea"/>
                    <a:cs typeface="+mn-cs"/>
                  </a:defRPr>
                </a:pPr>
                <a:r>
                  <a:rPr lang="en-US"/>
                  <a:t> </a:t>
                </a:r>
                <a:r>
                  <a:rPr lang="en-US" sz="1000"/>
                  <a:t>(Based on Rates Effective October 2016</a:t>
                </a:r>
                <a:r>
                  <a:rPr lang="en-US" sz="1000" baseline="0"/>
                  <a:t>)</a:t>
                </a:r>
                <a:endParaRPr lang="en-US"/>
              </a:p>
            </c:rich>
          </c:tx>
          <c:layout>
            <c:manualLayout>
              <c:xMode val="edge"/>
              <c:yMode val="edge"/>
              <c:x val="3.0555555555555555E-2"/>
              <c:y val="7.557888597258676E-2"/>
            </c:manualLayout>
          </c:layout>
          <c:overlay val="0"/>
          <c:spPr>
            <a:noFill/>
            <a:ln>
              <a:noFill/>
            </a:ln>
            <a:effectLst/>
          </c:spPr>
        </c:title>
        <c:numFmt formatCode="&quot;$&quot;#,##0_);\(&quot;$&quot;#,##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0780544"/>
        <c:crosses val="autoZero"/>
        <c:crossBetween val="between"/>
        <c:dispUnits>
          <c:builtInUnit val="millions"/>
          <c:dispUnitsLbl>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Func!$B$8</c:f>
              <c:strCache>
                <c:ptCount val="1"/>
                <c:pt idx="0">
                  <c:v>Generation (net of NPC)</c:v>
                </c:pt>
              </c:strCache>
            </c:strRef>
          </c:tx>
          <c:spPr>
            <a:solidFill>
              <a:schemeClr val="accent1"/>
            </a:solidFill>
            <a:ln>
              <a:solidFill>
                <a:schemeClr val="tx1">
                  <a:lumMod val="50000"/>
                  <a:lumOff val="50000"/>
                </a:schemeClr>
              </a:solid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Func!$D$8:$I$8</c:f>
              <c:numCache>
                <c:formatCode>_(* #,##0_);_(* \(#,##0\);_(* "-"??_);_(@_)</c:formatCode>
                <c:ptCount val="6"/>
                <c:pt idx="0">
                  <c:v>40598984.368676446</c:v>
                </c:pt>
                <c:pt idx="1">
                  <c:v>12679449.607818313</c:v>
                </c:pt>
                <c:pt idx="2">
                  <c:v>20179027.481437363</c:v>
                </c:pt>
                <c:pt idx="3">
                  <c:v>8230263.3252106626</c:v>
                </c:pt>
                <c:pt idx="4">
                  <c:v>9054923.8502519578</c:v>
                </c:pt>
                <c:pt idx="5">
                  <c:v>3326301.2994479705</c:v>
                </c:pt>
              </c:numCache>
            </c:numRef>
          </c:val>
          <c:extLst xmlns:c16r2="http://schemas.microsoft.com/office/drawing/2015/06/chart">
            <c:ext xmlns:c16="http://schemas.microsoft.com/office/drawing/2014/chart" uri="{C3380CC4-5D6E-409C-BE32-E72D297353CC}">
              <c16:uniqueId val="{00000000-7216-4541-BAA8-33DF7570A7BA}"/>
            </c:ext>
          </c:extLst>
        </c:ser>
        <c:ser>
          <c:idx val="1"/>
          <c:order val="1"/>
          <c:tx>
            <c:strRef>
              <c:f>Func!$B$9</c:f>
              <c:strCache>
                <c:ptCount val="1"/>
                <c:pt idx="0">
                  <c:v>Transmission</c:v>
                </c:pt>
              </c:strCache>
            </c:strRef>
          </c:tx>
          <c:spPr>
            <a:solidFill>
              <a:schemeClr val="accent2"/>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Func!$D$9:$I$9</c:f>
              <c:numCache>
                <c:formatCode>_(* #,##0_);_(* \(#,##0\);_(* "-"??_);_(@_)</c:formatCode>
                <c:ptCount val="6"/>
                <c:pt idx="0">
                  <c:v>24378159.284240931</c:v>
                </c:pt>
                <c:pt idx="1">
                  <c:v>7607593.9093938172</c:v>
                </c:pt>
                <c:pt idx="2">
                  <c:v>12166442.611438449</c:v>
                </c:pt>
                <c:pt idx="3">
                  <c:v>4962387.9134669658</c:v>
                </c:pt>
                <c:pt idx="4">
                  <c:v>5459581.281131031</c:v>
                </c:pt>
                <c:pt idx="5">
                  <c:v>1989846.1700388452</c:v>
                </c:pt>
              </c:numCache>
            </c:numRef>
          </c:val>
          <c:extLst xmlns:c16r2="http://schemas.microsoft.com/office/drawing/2015/06/chart">
            <c:ext xmlns:c16="http://schemas.microsoft.com/office/drawing/2014/chart" uri="{C3380CC4-5D6E-409C-BE32-E72D297353CC}">
              <c16:uniqueId val="{00000001-7216-4541-BAA8-33DF7570A7BA}"/>
            </c:ext>
          </c:extLst>
        </c:ser>
        <c:ser>
          <c:idx val="2"/>
          <c:order val="2"/>
          <c:tx>
            <c:strRef>
              <c:f>Func!$B$10</c:f>
              <c:strCache>
                <c:ptCount val="1"/>
                <c:pt idx="0">
                  <c:v>Distribution - Substation</c:v>
                </c:pt>
              </c:strCache>
            </c:strRef>
          </c:tx>
          <c:spPr>
            <a:solidFill>
              <a:schemeClr val="accent3"/>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Func!$D$10:$I$10</c:f>
              <c:numCache>
                <c:formatCode>_(* #,##0_);_(* \(#,##0\);_(* "-"??_);_(@_)</c:formatCode>
                <c:ptCount val="6"/>
                <c:pt idx="0">
                  <c:v>3997981.7533481042</c:v>
                </c:pt>
                <c:pt idx="1">
                  <c:v>934817.75774801197</c:v>
                </c:pt>
                <c:pt idx="2">
                  <c:v>1455131.5202072624</c:v>
                </c:pt>
                <c:pt idx="3">
                  <c:v>489657.49397182715</c:v>
                </c:pt>
                <c:pt idx="4">
                  <c:v>321025.34778963978</c:v>
                </c:pt>
                <c:pt idx="5">
                  <c:v>424927.30609677691</c:v>
                </c:pt>
              </c:numCache>
            </c:numRef>
          </c:val>
          <c:extLst xmlns:c16r2="http://schemas.microsoft.com/office/drawing/2015/06/chart">
            <c:ext xmlns:c16="http://schemas.microsoft.com/office/drawing/2014/chart" uri="{C3380CC4-5D6E-409C-BE32-E72D297353CC}">
              <c16:uniqueId val="{00000002-7216-4541-BAA8-33DF7570A7BA}"/>
            </c:ext>
          </c:extLst>
        </c:ser>
        <c:ser>
          <c:idx val="3"/>
          <c:order val="3"/>
          <c:tx>
            <c:strRef>
              <c:f>Func!$B$11</c:f>
              <c:strCache>
                <c:ptCount val="1"/>
                <c:pt idx="0">
                  <c:v>Distribution - P&amp;C</c:v>
                </c:pt>
              </c:strCache>
            </c:strRef>
          </c:tx>
          <c:spPr>
            <a:solidFill>
              <a:schemeClr val="accent4"/>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Func!$D$11:$I$11</c:f>
              <c:numCache>
                <c:formatCode>_(* #,##0_);_(* \(#,##0\);_(* "-"??_);_(@_)</c:formatCode>
                <c:ptCount val="6"/>
                <c:pt idx="0">
                  <c:v>16940841.681918733</c:v>
                </c:pt>
                <c:pt idx="1">
                  <c:v>3969104.5674327705</c:v>
                </c:pt>
                <c:pt idx="2">
                  <c:v>4274434.0131268883</c:v>
                </c:pt>
                <c:pt idx="3">
                  <c:v>1431253.8262366571</c:v>
                </c:pt>
                <c:pt idx="4">
                  <c:v>110765.22225109745</c:v>
                </c:pt>
                <c:pt idx="5">
                  <c:v>1226292.0730031654</c:v>
                </c:pt>
              </c:numCache>
            </c:numRef>
          </c:val>
          <c:extLst xmlns:c16r2="http://schemas.microsoft.com/office/drawing/2015/06/chart">
            <c:ext xmlns:c16="http://schemas.microsoft.com/office/drawing/2014/chart" uri="{C3380CC4-5D6E-409C-BE32-E72D297353CC}">
              <c16:uniqueId val="{00000003-7216-4541-BAA8-33DF7570A7BA}"/>
            </c:ext>
          </c:extLst>
        </c:ser>
        <c:ser>
          <c:idx val="4"/>
          <c:order val="4"/>
          <c:tx>
            <c:strRef>
              <c:f>Func!$B$12</c:f>
              <c:strCache>
                <c:ptCount val="1"/>
                <c:pt idx="0">
                  <c:v>Distribution - Transformers</c:v>
                </c:pt>
              </c:strCache>
            </c:strRef>
          </c:tx>
          <c:spPr>
            <a:solidFill>
              <a:schemeClr val="accent5"/>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Func!$D$12:$I$12</c:f>
              <c:numCache>
                <c:formatCode>_(* #,##0_);_(* \(#,##0\);_(* "-"??_);_(@_)</c:formatCode>
                <c:ptCount val="6"/>
                <c:pt idx="0">
                  <c:v>6154571.1814248329</c:v>
                </c:pt>
                <c:pt idx="1">
                  <c:v>1377426.5859570999</c:v>
                </c:pt>
                <c:pt idx="2">
                  <c:v>1461427.0800718148</c:v>
                </c:pt>
                <c:pt idx="3">
                  <c:v>447091.39521931071</c:v>
                </c:pt>
                <c:pt idx="4">
                  <c:v>16184.140868436078</c:v>
                </c:pt>
                <c:pt idx="5">
                  <c:v>492752.62767655717</c:v>
                </c:pt>
              </c:numCache>
            </c:numRef>
          </c:val>
          <c:extLst xmlns:c16r2="http://schemas.microsoft.com/office/drawing/2015/06/chart">
            <c:ext xmlns:c16="http://schemas.microsoft.com/office/drawing/2014/chart" uri="{C3380CC4-5D6E-409C-BE32-E72D297353CC}">
              <c16:uniqueId val="{00000004-7216-4541-BAA8-33DF7570A7BA}"/>
            </c:ext>
          </c:extLst>
        </c:ser>
        <c:ser>
          <c:idx val="5"/>
          <c:order val="5"/>
          <c:tx>
            <c:strRef>
              <c:f>Func!$B$13</c:f>
              <c:strCache>
                <c:ptCount val="1"/>
                <c:pt idx="0">
                  <c:v>Distribution - Meter</c:v>
                </c:pt>
              </c:strCache>
            </c:strRef>
          </c:tx>
          <c:spPr>
            <a:solidFill>
              <a:schemeClr val="accent6"/>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Func!$D$13:$I$13</c:f>
              <c:numCache>
                <c:formatCode>_(* #,##0_);_(* \(#,##0\);_(* "-"??_);_(@_)</c:formatCode>
                <c:ptCount val="6"/>
                <c:pt idx="0">
                  <c:v>1711108.0423778978</c:v>
                </c:pt>
                <c:pt idx="1">
                  <c:v>428360.36681956641</c:v>
                </c:pt>
                <c:pt idx="2">
                  <c:v>210722.25780650301</c:v>
                </c:pt>
                <c:pt idx="3">
                  <c:v>40541.015413557237</c:v>
                </c:pt>
                <c:pt idx="4">
                  <c:v>23648.189217308864</c:v>
                </c:pt>
                <c:pt idx="5">
                  <c:v>141149.28408297649</c:v>
                </c:pt>
              </c:numCache>
            </c:numRef>
          </c:val>
          <c:extLst xmlns:c16r2="http://schemas.microsoft.com/office/drawing/2015/06/chart">
            <c:ext xmlns:c16="http://schemas.microsoft.com/office/drawing/2014/chart" uri="{C3380CC4-5D6E-409C-BE32-E72D297353CC}">
              <c16:uniqueId val="{00000005-7216-4541-BAA8-33DF7570A7BA}"/>
            </c:ext>
          </c:extLst>
        </c:ser>
        <c:ser>
          <c:idx val="6"/>
          <c:order val="6"/>
          <c:tx>
            <c:strRef>
              <c:f>Func!$B$14</c:f>
              <c:strCache>
                <c:ptCount val="1"/>
                <c:pt idx="0">
                  <c:v>Distribution - Service</c:v>
                </c:pt>
              </c:strCache>
            </c:strRef>
          </c:tx>
          <c:spPr>
            <a:solidFill>
              <a:schemeClr val="accent1">
                <a:lumMod val="60000"/>
              </a:schemeClr>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Func!$D$14:$I$14</c:f>
              <c:numCache>
                <c:formatCode>_(* #,##0_);_(* \(#,##0\);_(* "-"??_);_(@_)</c:formatCode>
                <c:ptCount val="6"/>
                <c:pt idx="0">
                  <c:v>3973533.9811505326</c:v>
                </c:pt>
                <c:pt idx="1">
                  <c:v>1061756.6997174139</c:v>
                </c:pt>
                <c:pt idx="2">
                  <c:v>397923.91815150925</c:v>
                </c:pt>
                <c:pt idx="3">
                  <c:v>117708.12520306571</c:v>
                </c:pt>
                <c:pt idx="4">
                  <c:v>9459.3594386728328</c:v>
                </c:pt>
                <c:pt idx="5">
                  <c:v>28998.583481731766</c:v>
                </c:pt>
              </c:numCache>
            </c:numRef>
          </c:val>
          <c:extLst xmlns:c16r2="http://schemas.microsoft.com/office/drawing/2015/06/chart">
            <c:ext xmlns:c16="http://schemas.microsoft.com/office/drawing/2014/chart" uri="{C3380CC4-5D6E-409C-BE32-E72D297353CC}">
              <c16:uniqueId val="{00000006-7216-4541-BAA8-33DF7570A7BA}"/>
            </c:ext>
          </c:extLst>
        </c:ser>
        <c:ser>
          <c:idx val="7"/>
          <c:order val="7"/>
          <c:tx>
            <c:strRef>
              <c:f>Func!$B$15</c:f>
              <c:strCache>
                <c:ptCount val="1"/>
                <c:pt idx="0">
                  <c:v>Retail</c:v>
                </c:pt>
              </c:strCache>
            </c:strRef>
          </c:tx>
          <c:spPr>
            <a:solidFill>
              <a:schemeClr val="accent2">
                <a:lumMod val="60000"/>
              </a:schemeClr>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Func!$D$15:$I$15</c:f>
              <c:numCache>
                <c:formatCode>_(* #,##0_);_(* \(#,##0\);_(* "-"??_);_(@_)</c:formatCode>
                <c:ptCount val="6"/>
                <c:pt idx="0">
                  <c:v>5717957.9903396592</c:v>
                </c:pt>
                <c:pt idx="1">
                  <c:v>767852.25162666896</c:v>
                </c:pt>
                <c:pt idx="2">
                  <c:v>-196.1617454080988</c:v>
                </c:pt>
                <c:pt idx="3">
                  <c:v>29122.590153026162</c:v>
                </c:pt>
                <c:pt idx="4">
                  <c:v>14787.600314220783</c:v>
                </c:pt>
                <c:pt idx="5">
                  <c:v>131819.32518157552</c:v>
                </c:pt>
              </c:numCache>
            </c:numRef>
          </c:val>
          <c:extLst xmlns:c16r2="http://schemas.microsoft.com/office/drawing/2015/06/chart">
            <c:ext xmlns:c16="http://schemas.microsoft.com/office/drawing/2014/chart" uri="{C3380CC4-5D6E-409C-BE32-E72D297353CC}">
              <c16:uniqueId val="{00000007-7216-4541-BAA8-33DF7570A7BA}"/>
            </c:ext>
          </c:extLst>
        </c:ser>
        <c:ser>
          <c:idx val="8"/>
          <c:order val="8"/>
          <c:tx>
            <c:strRef>
              <c:f>Func!$B$16</c:f>
              <c:strCache>
                <c:ptCount val="1"/>
                <c:pt idx="0">
                  <c:v>Miscellaneous</c:v>
                </c:pt>
              </c:strCache>
            </c:strRef>
          </c:tx>
          <c:spPr>
            <a:solidFill>
              <a:schemeClr val="accent3">
                <a:lumMod val="60000"/>
              </a:schemeClr>
            </a:solidFill>
            <a:ln>
              <a:noFill/>
            </a:ln>
            <a:effectLst/>
          </c:spPr>
          <c:invertIfNegative val="0"/>
          <c:cat>
            <c:multiLvlStrRef>
              <c:f>Func!$D$3:$I$5</c:f>
              <c:multiLvlStrCache>
                <c:ptCount val="6"/>
                <c:lvl>
                  <c:pt idx="0">
                    <c:v>Schedule 16</c:v>
                  </c:pt>
                  <c:pt idx="1">
                    <c:v>Schedule 24</c:v>
                  </c:pt>
                  <c:pt idx="2">
                    <c:v>Schedule 36</c:v>
                  </c:pt>
                  <c:pt idx="3">
                    <c:v>Schedule 48T</c:v>
                  </c:pt>
                  <c:pt idx="4">
                    <c:v>Schedule 48T</c:v>
                  </c:pt>
                  <c:pt idx="5">
                    <c:v>Schedule 40</c:v>
                  </c:pt>
                </c:lvl>
                <c:lvl>
                  <c:pt idx="0">
                    <c:v>Residential</c:v>
                  </c:pt>
                  <c:pt idx="1">
                    <c:v>Service</c:v>
                  </c:pt>
                  <c:pt idx="2">
                    <c:v>Service &lt;1,000 kW</c:v>
                  </c:pt>
                  <c:pt idx="3">
                    <c:v>Service &gt;1,000 kW</c:v>
                  </c:pt>
                  <c:pt idx="4">
                    <c:v>Dedicated Facilities</c:v>
                  </c:pt>
                  <c:pt idx="5">
                    <c:v>Pumping</c:v>
                  </c:pt>
                </c:lvl>
                <c:lvl>
                  <c:pt idx="1">
                    <c:v>Small General</c:v>
                  </c:pt>
                  <c:pt idx="2">
                    <c:v>Large General</c:v>
                  </c:pt>
                  <c:pt idx="3">
                    <c:v>Large General</c:v>
                  </c:pt>
                  <c:pt idx="4">
                    <c:v>Large General</c:v>
                  </c:pt>
                  <c:pt idx="5">
                    <c:v>Agricultural</c:v>
                  </c:pt>
                </c:lvl>
              </c:multiLvlStrCache>
            </c:multiLvlStrRef>
          </c:cat>
          <c:val>
            <c:numRef>
              <c:f>Func!$D$16:$I$16</c:f>
              <c:numCache>
                <c:formatCode>_(* #,##0_);_(* \(#,##0\);_(* "-"??_);_(@_)</c:formatCode>
                <c:ptCount val="6"/>
                <c:pt idx="0">
                  <c:v>2517612.5636587441</c:v>
                </c:pt>
                <c:pt idx="1">
                  <c:v>835403.13293797267</c:v>
                </c:pt>
                <c:pt idx="2">
                  <c:v>1253598.2286252226</c:v>
                </c:pt>
                <c:pt idx="3">
                  <c:v>500631.62990203156</c:v>
                </c:pt>
                <c:pt idx="4">
                  <c:v>518592.71738437068</c:v>
                </c:pt>
                <c:pt idx="5">
                  <c:v>220306.86046970775</c:v>
                </c:pt>
              </c:numCache>
            </c:numRef>
          </c:val>
          <c:extLst xmlns:c16r2="http://schemas.microsoft.com/office/drawing/2015/06/chart">
            <c:ext xmlns:c16="http://schemas.microsoft.com/office/drawing/2014/chart" uri="{C3380CC4-5D6E-409C-BE32-E72D297353CC}">
              <c16:uniqueId val="{00000008-7216-4541-BAA8-33DF7570A7BA}"/>
            </c:ext>
          </c:extLst>
        </c:ser>
        <c:dLbls>
          <c:showLegendKey val="0"/>
          <c:showVal val="0"/>
          <c:showCatName val="0"/>
          <c:showSerName val="0"/>
          <c:showPercent val="0"/>
          <c:showBubbleSize val="0"/>
        </c:dLbls>
        <c:gapWidth val="150"/>
        <c:overlap val="100"/>
        <c:axId val="256344064"/>
        <c:axId val="256345600"/>
      </c:barChart>
      <c:catAx>
        <c:axId val="25634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56345600"/>
        <c:crosses val="autoZero"/>
        <c:auto val="1"/>
        <c:lblAlgn val="ctr"/>
        <c:lblOffset val="100"/>
        <c:noMultiLvlLbl val="0"/>
      </c:catAx>
      <c:valAx>
        <c:axId val="2563456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 of Non-Net Power Cost Revenue Requirement</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5634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'Exhibit No. RBD-4 page 1'!$C$22</c:f>
              <c:strCache>
                <c:ptCount val="1"/>
                <c:pt idx="0">
                  <c:v>Residential</c:v>
                </c:pt>
              </c:strCache>
            </c:strRef>
          </c:tx>
          <c:spPr>
            <a:ln w="28575" cap="rnd">
              <a:solidFill>
                <a:schemeClr val="accent1"/>
              </a:solidFill>
              <a:round/>
            </a:ln>
            <a:effectLst/>
          </c:spPr>
          <c:marker>
            <c:symbol val="none"/>
          </c:marker>
          <c:cat>
            <c:numRef>
              <c:f>'Exhibit No. RBD-4 page 1'!$B$23:$B$33</c:f>
              <c:numCache>
                <c:formatCode>0%</c:formatCode>
                <c:ptCount val="11"/>
                <c:pt idx="0">
                  <c:v>0</c:v>
                </c:pt>
                <c:pt idx="1">
                  <c:v>-0.01</c:v>
                </c:pt>
                <c:pt idx="2">
                  <c:v>-0.02</c:v>
                </c:pt>
                <c:pt idx="3">
                  <c:v>-0.03</c:v>
                </c:pt>
                <c:pt idx="4">
                  <c:v>-0.04</c:v>
                </c:pt>
                <c:pt idx="5">
                  <c:v>-0.05</c:v>
                </c:pt>
                <c:pt idx="6">
                  <c:v>-0.06</c:v>
                </c:pt>
                <c:pt idx="7">
                  <c:v>-7.0000000000000007E-2</c:v>
                </c:pt>
                <c:pt idx="8">
                  <c:v>-0.08</c:v>
                </c:pt>
                <c:pt idx="9">
                  <c:v>-0.09</c:v>
                </c:pt>
                <c:pt idx="10">
                  <c:v>-0.1</c:v>
                </c:pt>
              </c:numCache>
            </c:numRef>
          </c:cat>
          <c:val>
            <c:numRef>
              <c:f>'Exhibit No. RBD-4 page 1'!$C$23:$C$33</c:f>
              <c:numCache>
                <c:formatCode>"$"#,##0_);\("$"#,##0\)</c:formatCode>
                <c:ptCount val="11"/>
                <c:pt idx="0">
                  <c:v>6152.8494486566615</c:v>
                </c:pt>
                <c:pt idx="1">
                  <c:v>5913.2265906455441</c:v>
                </c:pt>
                <c:pt idx="2">
                  <c:v>5685.3291215895433</c:v>
                </c:pt>
                <c:pt idx="3">
                  <c:v>5468.575024881221</c:v>
                </c:pt>
                <c:pt idx="4">
                  <c:v>5262.4092351824966</c:v>
                </c:pt>
                <c:pt idx="5">
                  <c:v>5066.3025377255299</c:v>
                </c:pt>
                <c:pt idx="6">
                  <c:v>4879.7505051166518</c:v>
                </c:pt>
                <c:pt idx="7">
                  <c:v>4702.2724706524714</c:v>
                </c:pt>
                <c:pt idx="8">
                  <c:v>4533.4105371754385</c:v>
                </c:pt>
                <c:pt idx="9">
                  <c:v>4372.7286205137116</c:v>
                </c:pt>
                <c:pt idx="10">
                  <c:v>4219.8115265679508</c:v>
                </c:pt>
              </c:numCache>
            </c:numRef>
          </c:val>
          <c:smooth val="0"/>
          <c:extLst xmlns:c16r2="http://schemas.microsoft.com/office/drawing/2015/06/chart">
            <c:ext xmlns:c16="http://schemas.microsoft.com/office/drawing/2014/chart" uri="{C3380CC4-5D6E-409C-BE32-E72D297353CC}">
              <c16:uniqueId val="{00000000-0E35-42C1-8BE0-9E9E9F5A22A3}"/>
            </c:ext>
          </c:extLst>
        </c:ser>
        <c:dLbls>
          <c:showLegendKey val="0"/>
          <c:showVal val="0"/>
          <c:showCatName val="0"/>
          <c:showSerName val="0"/>
          <c:showPercent val="0"/>
          <c:showBubbleSize val="0"/>
        </c:dLbls>
        <c:marker val="1"/>
        <c:smooth val="0"/>
        <c:axId val="40698240"/>
        <c:axId val="40700160"/>
      </c:lineChart>
      <c:lineChart>
        <c:grouping val="standard"/>
        <c:varyColors val="0"/>
        <c:ser>
          <c:idx val="1"/>
          <c:order val="1"/>
          <c:tx>
            <c:strRef>
              <c:f>'Exhibit No. RBD-4 page 1'!$E$22</c:f>
              <c:strCache>
                <c:ptCount val="1"/>
                <c:pt idx="0">
                  <c:v>Non Residential</c:v>
                </c:pt>
              </c:strCache>
            </c:strRef>
          </c:tx>
          <c:spPr>
            <a:ln w="28575" cap="rnd">
              <a:solidFill>
                <a:schemeClr val="accent2"/>
              </a:solidFill>
              <a:round/>
            </a:ln>
            <a:effectLst/>
          </c:spPr>
          <c:marker>
            <c:symbol val="none"/>
          </c:marker>
          <c:val>
            <c:numRef>
              <c:f>'Exhibit No. RBD-4 page 1'!$E$23:$E$33</c:f>
              <c:numCache>
                <c:formatCode>_(* #,##0.0_);_(* \(#,##0.0\);_(* "-"??_);_(@_)</c:formatCode>
                <c:ptCount val="11"/>
                <c:pt idx="0">
                  <c:v>4.4729035285675609</c:v>
                </c:pt>
                <c:pt idx="1">
                  <c:v>4.2987062016108011</c:v>
                </c:pt>
                <c:pt idx="2">
                  <c:v>4.1330328169459492</c:v>
                </c:pt>
                <c:pt idx="3">
                  <c:v>3.9754602691226308</c:v>
                </c:pt>
                <c:pt idx="4">
                  <c:v>3.8255850453082925</c:v>
                </c:pt>
                <c:pt idx="5">
                  <c:v>3.6830224251189603</c:v>
                </c:pt>
                <c:pt idx="6">
                  <c:v>3.5474057077133527</c:v>
                </c:pt>
                <c:pt idx="7">
                  <c:v>3.4183854654301005</c:v>
                </c:pt>
                <c:pt idx="8">
                  <c:v>3.2956288232608264</c:v>
                </c:pt>
                <c:pt idx="9">
                  <c:v>3.1788187634648488</c:v>
                </c:pt>
                <c:pt idx="10">
                  <c:v>3.0676534546439687</c:v>
                </c:pt>
              </c:numCache>
            </c:numRef>
          </c:val>
          <c:smooth val="0"/>
          <c:extLst xmlns:c16r2="http://schemas.microsoft.com/office/drawing/2015/06/chart">
            <c:ext xmlns:c16="http://schemas.microsoft.com/office/drawing/2014/chart" uri="{C3380CC4-5D6E-409C-BE32-E72D297353CC}">
              <c16:uniqueId val="{00000001-0E35-42C1-8BE0-9E9E9F5A22A3}"/>
            </c:ext>
          </c:extLst>
        </c:ser>
        <c:dLbls>
          <c:showLegendKey val="0"/>
          <c:showVal val="0"/>
          <c:showCatName val="0"/>
          <c:showSerName val="0"/>
          <c:showPercent val="0"/>
          <c:showBubbleSize val="0"/>
        </c:dLbls>
        <c:marker val="1"/>
        <c:smooth val="0"/>
        <c:axId val="40708352"/>
        <c:axId val="40706432"/>
      </c:lineChart>
      <c:catAx>
        <c:axId val="4069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Cost Escalation Rate (over ten years)</a:t>
                </a:r>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160"/>
        <c:crosses val="autoZero"/>
        <c:auto val="1"/>
        <c:lblAlgn val="ctr"/>
        <c:lblOffset val="100"/>
        <c:noMultiLvlLbl val="0"/>
      </c:catAx>
      <c:valAx>
        <c:axId val="4070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Residential Stranded Cost Recovery Fee</a:t>
                </a:r>
              </a:p>
            </c:rich>
          </c:tx>
          <c:overlay val="0"/>
          <c:spPr>
            <a:noFill/>
            <a:ln>
              <a:noFill/>
            </a:ln>
            <a:effectLst/>
          </c:spPr>
        </c:title>
        <c:numFmt formatCode="&quot;$&quot;#,##0_);\(&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98240"/>
        <c:crosses val="autoZero"/>
        <c:crossBetween val="between"/>
      </c:valAx>
      <c:valAx>
        <c:axId val="40706432"/>
        <c:scaling>
          <c:orientation val="minMax"/>
          <c:max val="4.5"/>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Revenue Multipier</a:t>
                </a:r>
                <a:r>
                  <a:rPr lang="en-US" baseline="0"/>
                  <a:t> for Non-Residential Stranded Cost Recovery Fee</a:t>
                </a:r>
                <a:endParaRPr lang="en-US"/>
              </a:p>
            </c:rich>
          </c:tx>
          <c:overlay val="0"/>
          <c:spPr>
            <a:noFill/>
            <a:ln>
              <a:noFill/>
            </a:ln>
            <a:effectLst/>
          </c:spPr>
        </c:title>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8352"/>
        <c:crosses val="max"/>
        <c:crossBetween val="between"/>
      </c:valAx>
      <c:catAx>
        <c:axId val="40708352"/>
        <c:scaling>
          <c:orientation val="minMax"/>
        </c:scaling>
        <c:delete val="1"/>
        <c:axPos val="b"/>
        <c:majorTickMark val="out"/>
        <c:minorTickMark val="none"/>
        <c:tickLblPos val="nextTo"/>
        <c:crossAx val="407064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'Exhibit No. RBD-4 page 1'!$C$22</c:f>
              <c:strCache>
                <c:ptCount val="1"/>
                <c:pt idx="0">
                  <c:v>Residential 10-year NPV</c:v>
                </c:pt>
              </c:strCache>
            </c:strRef>
          </c:tx>
          <c:spPr>
            <a:ln w="28575" cap="rnd">
              <a:solidFill>
                <a:schemeClr val="accent1"/>
              </a:solidFill>
              <a:round/>
            </a:ln>
            <a:effectLst/>
          </c:spPr>
          <c:marker>
            <c:symbol val="none"/>
          </c:marker>
          <c:cat>
            <c:numRef>
              <c:f>'Exhibit No. RBD-4 page 1'!$B$23:$B$33</c:f>
              <c:numCache>
                <c:formatCode>0%</c:formatCode>
                <c:ptCount val="11"/>
                <c:pt idx="0">
                  <c:v>0</c:v>
                </c:pt>
                <c:pt idx="1">
                  <c:v>-0.01</c:v>
                </c:pt>
                <c:pt idx="2">
                  <c:v>-0.02</c:v>
                </c:pt>
                <c:pt idx="3">
                  <c:v>-0.03</c:v>
                </c:pt>
                <c:pt idx="4">
                  <c:v>-0.04</c:v>
                </c:pt>
                <c:pt idx="5">
                  <c:v>-0.05</c:v>
                </c:pt>
                <c:pt idx="6">
                  <c:v>-0.06</c:v>
                </c:pt>
                <c:pt idx="7">
                  <c:v>-7.0000000000000007E-2</c:v>
                </c:pt>
                <c:pt idx="8">
                  <c:v>-0.08</c:v>
                </c:pt>
                <c:pt idx="9">
                  <c:v>-0.09</c:v>
                </c:pt>
                <c:pt idx="10">
                  <c:v>-0.1</c:v>
                </c:pt>
              </c:numCache>
            </c:numRef>
          </c:cat>
          <c:val>
            <c:numRef>
              <c:f>'Exhibit No. RBD-4 page 1'!$C$23:$C$33</c:f>
              <c:numCache>
                <c:formatCode>"$"#,##0_);\("$"#,##0\)</c:formatCode>
                <c:ptCount val="11"/>
                <c:pt idx="0">
                  <c:v>6152.8494486566615</c:v>
                </c:pt>
                <c:pt idx="1">
                  <c:v>5913.2265906455441</c:v>
                </c:pt>
                <c:pt idx="2">
                  <c:v>5685.3291215895433</c:v>
                </c:pt>
                <c:pt idx="3">
                  <c:v>5468.575024881221</c:v>
                </c:pt>
                <c:pt idx="4">
                  <c:v>5262.4092351824966</c:v>
                </c:pt>
                <c:pt idx="5">
                  <c:v>5066.3025377255299</c:v>
                </c:pt>
                <c:pt idx="6">
                  <c:v>4879.7505051166518</c:v>
                </c:pt>
                <c:pt idx="7">
                  <c:v>4702.2724706524714</c:v>
                </c:pt>
                <c:pt idx="8">
                  <c:v>4533.4105371754385</c:v>
                </c:pt>
                <c:pt idx="9">
                  <c:v>4372.7286205137116</c:v>
                </c:pt>
                <c:pt idx="10">
                  <c:v>4219.8115265679508</c:v>
                </c:pt>
              </c:numCache>
            </c:numRef>
          </c:val>
          <c:smooth val="0"/>
          <c:extLst xmlns:c16r2="http://schemas.microsoft.com/office/drawing/2015/06/chart">
            <c:ext xmlns:c16="http://schemas.microsoft.com/office/drawing/2014/chart" uri="{C3380CC4-5D6E-409C-BE32-E72D297353CC}">
              <c16:uniqueId val="{00000000-279F-4C24-A1E3-A387DD9AFEB8}"/>
            </c:ext>
          </c:extLst>
        </c:ser>
        <c:ser>
          <c:idx val="2"/>
          <c:order val="2"/>
          <c:tx>
            <c:strRef>
              <c:f>'Exhibit No. RBD-4 page 1'!$G$22</c:f>
              <c:strCache>
                <c:ptCount val="1"/>
                <c:pt idx="0">
                  <c:v>Residential 6-year NPV</c:v>
                </c:pt>
              </c:strCache>
            </c:strRef>
          </c:tx>
          <c:spPr>
            <a:ln w="28575" cap="rnd">
              <a:solidFill>
                <a:schemeClr val="accent3"/>
              </a:solidFill>
              <a:round/>
            </a:ln>
            <a:effectLst/>
          </c:spPr>
          <c:marker>
            <c:symbol val="none"/>
          </c:marker>
          <c:val>
            <c:numRef>
              <c:f>'Exhibit No. RBD-4 page 1'!$G$23:$G$33</c:f>
              <c:numCache>
                <c:formatCode>"$"#,##0_);\("$"#,##0\)</c:formatCode>
                <c:ptCount val="11"/>
                <c:pt idx="0">
                  <c:v>4136</c:v>
                </c:pt>
                <c:pt idx="1">
                  <c:v>4041</c:v>
                </c:pt>
                <c:pt idx="2">
                  <c:v>3949</c:v>
                </c:pt>
                <c:pt idx="3">
                  <c:v>3859</c:v>
                </c:pt>
                <c:pt idx="4">
                  <c:v>3771</c:v>
                </c:pt>
                <c:pt idx="5">
                  <c:v>3686</c:v>
                </c:pt>
                <c:pt idx="6">
                  <c:v>3602</c:v>
                </c:pt>
                <c:pt idx="7">
                  <c:v>3521</c:v>
                </c:pt>
                <c:pt idx="8">
                  <c:v>3442</c:v>
                </c:pt>
                <c:pt idx="9">
                  <c:v>3365</c:v>
                </c:pt>
                <c:pt idx="10">
                  <c:v>3291</c:v>
                </c:pt>
              </c:numCache>
            </c:numRef>
          </c:val>
          <c:smooth val="0"/>
          <c:extLst xmlns:c16r2="http://schemas.microsoft.com/office/drawing/2015/06/chart">
            <c:ext xmlns:c16="http://schemas.microsoft.com/office/drawing/2014/chart" uri="{C3380CC4-5D6E-409C-BE32-E72D297353CC}">
              <c16:uniqueId val="{00000001-279F-4C24-A1E3-A387DD9AFEB8}"/>
            </c:ext>
          </c:extLst>
        </c:ser>
        <c:dLbls>
          <c:showLegendKey val="0"/>
          <c:showVal val="0"/>
          <c:showCatName val="0"/>
          <c:showSerName val="0"/>
          <c:showPercent val="0"/>
          <c:showBubbleSize val="0"/>
        </c:dLbls>
        <c:marker val="1"/>
        <c:smooth val="0"/>
        <c:axId val="40762752"/>
        <c:axId val="256386560"/>
      </c:lineChart>
      <c:lineChart>
        <c:grouping val="standard"/>
        <c:varyColors val="0"/>
        <c:ser>
          <c:idx val="1"/>
          <c:order val="1"/>
          <c:tx>
            <c:strRef>
              <c:f>'Exhibit No. RBD-4 page 1'!$E$22</c:f>
              <c:strCache>
                <c:ptCount val="1"/>
                <c:pt idx="0">
                  <c:v>Non Residential 10-year NPV</c:v>
                </c:pt>
              </c:strCache>
            </c:strRef>
          </c:tx>
          <c:spPr>
            <a:ln w="28575" cap="rnd">
              <a:solidFill>
                <a:schemeClr val="accent2"/>
              </a:solidFill>
              <a:round/>
            </a:ln>
            <a:effectLst/>
          </c:spPr>
          <c:marker>
            <c:symbol val="none"/>
          </c:marker>
          <c:val>
            <c:numRef>
              <c:f>'Exhibit No. RBD-4 page 1'!$E$23:$E$33</c:f>
              <c:numCache>
                <c:formatCode>_(* #,##0.0_);_(* \(#,##0.0\);_(* "-"??_);_(@_)</c:formatCode>
                <c:ptCount val="11"/>
                <c:pt idx="0">
                  <c:v>4.4729035285675609</c:v>
                </c:pt>
                <c:pt idx="1">
                  <c:v>4.2987062016108011</c:v>
                </c:pt>
                <c:pt idx="2">
                  <c:v>4.1330328169459492</c:v>
                </c:pt>
                <c:pt idx="3">
                  <c:v>3.9754602691226308</c:v>
                </c:pt>
                <c:pt idx="4">
                  <c:v>3.8255850453082925</c:v>
                </c:pt>
                <c:pt idx="5">
                  <c:v>3.6830224251189603</c:v>
                </c:pt>
                <c:pt idx="6">
                  <c:v>3.5474057077133527</c:v>
                </c:pt>
                <c:pt idx="7">
                  <c:v>3.4183854654301005</c:v>
                </c:pt>
                <c:pt idx="8">
                  <c:v>3.2956288232608264</c:v>
                </c:pt>
                <c:pt idx="9">
                  <c:v>3.1788187634648488</c:v>
                </c:pt>
                <c:pt idx="10">
                  <c:v>3.0676534546439687</c:v>
                </c:pt>
              </c:numCache>
            </c:numRef>
          </c:val>
          <c:smooth val="0"/>
          <c:extLst xmlns:c16r2="http://schemas.microsoft.com/office/drawing/2015/06/chart">
            <c:ext xmlns:c16="http://schemas.microsoft.com/office/drawing/2014/chart" uri="{C3380CC4-5D6E-409C-BE32-E72D297353CC}">
              <c16:uniqueId val="{00000002-279F-4C24-A1E3-A387DD9AFEB8}"/>
            </c:ext>
          </c:extLst>
        </c:ser>
        <c:ser>
          <c:idx val="3"/>
          <c:order val="3"/>
          <c:tx>
            <c:strRef>
              <c:f>'Exhibit No. RBD-4 page 1'!$H$22</c:f>
              <c:strCache>
                <c:ptCount val="1"/>
                <c:pt idx="0">
                  <c:v>Non Residential 6-year NPV</c:v>
                </c:pt>
              </c:strCache>
            </c:strRef>
          </c:tx>
          <c:spPr>
            <a:ln w="28575" cap="rnd">
              <a:solidFill>
                <a:schemeClr val="accent4"/>
              </a:solidFill>
              <a:round/>
            </a:ln>
            <a:effectLst/>
          </c:spPr>
          <c:marker>
            <c:symbol val="none"/>
          </c:marker>
          <c:val>
            <c:numRef>
              <c:f>'Exhibit No. RBD-4 page 1'!$H$23:$H$33</c:f>
              <c:numCache>
                <c:formatCode>_(* #,##0.0_);_(* \(#,##0.0\);_(* "-"??_);_(@_)</c:formatCode>
                <c:ptCount val="11"/>
                <c:pt idx="0">
                  <c:v>3.0063981478627202</c:v>
                </c:pt>
                <c:pt idx="1">
                  <c:v>2.9375373955168036</c:v>
                </c:pt>
                <c:pt idx="2">
                  <c:v>2.8704290212525132</c:v>
                </c:pt>
                <c:pt idx="3">
                  <c:v>2.8050345382948159</c:v>
                </c:pt>
                <c:pt idx="4">
                  <c:v>2.7413160709020632</c:v>
                </c:pt>
                <c:pt idx="5">
                  <c:v>2.6792363492431259</c:v>
                </c:pt>
                <c:pt idx="6">
                  <c:v>2.6187587042745455</c:v>
                </c:pt>
                <c:pt idx="7">
                  <c:v>2.5598470626176715</c:v>
                </c:pt>
                <c:pt idx="8">
                  <c:v>2.5024659414358053</c:v>
                </c:pt>
                <c:pt idx="9">
                  <c:v>2.4465804433113458</c:v>
                </c:pt>
                <c:pt idx="10">
                  <c:v>2.3921562511229313</c:v>
                </c:pt>
              </c:numCache>
            </c:numRef>
          </c:val>
          <c:smooth val="0"/>
          <c:extLst xmlns:c16r2="http://schemas.microsoft.com/office/drawing/2015/06/chart">
            <c:ext xmlns:c16="http://schemas.microsoft.com/office/drawing/2014/chart" uri="{C3380CC4-5D6E-409C-BE32-E72D297353CC}">
              <c16:uniqueId val="{00000003-279F-4C24-A1E3-A387DD9AFEB8}"/>
            </c:ext>
          </c:extLst>
        </c:ser>
        <c:dLbls>
          <c:showLegendKey val="0"/>
          <c:showVal val="0"/>
          <c:showCatName val="0"/>
          <c:showSerName val="0"/>
          <c:showPercent val="0"/>
          <c:showBubbleSize val="0"/>
        </c:dLbls>
        <c:marker val="1"/>
        <c:smooth val="0"/>
        <c:axId val="256390656"/>
        <c:axId val="256388480"/>
      </c:lineChart>
      <c:catAx>
        <c:axId val="407627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Cost Escalation Rate</a:t>
                </a:r>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56386560"/>
        <c:crosses val="autoZero"/>
        <c:auto val="1"/>
        <c:lblAlgn val="ctr"/>
        <c:lblOffset val="100"/>
        <c:noMultiLvlLbl val="0"/>
      </c:catAx>
      <c:valAx>
        <c:axId val="25638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Residential Stranded Cost Recovery Fee</a:t>
                </a:r>
              </a:p>
            </c:rich>
          </c:tx>
          <c:overlay val="0"/>
          <c:spPr>
            <a:noFill/>
            <a:ln>
              <a:noFill/>
            </a:ln>
            <a:effectLst/>
          </c:spPr>
        </c:title>
        <c:numFmt formatCode="&quot;$&quot;#,##0_);\(&quot;$&quot;#,##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0762752"/>
        <c:crosses val="autoZero"/>
        <c:crossBetween val="between"/>
      </c:valAx>
      <c:valAx>
        <c:axId val="256388480"/>
        <c:scaling>
          <c:orientation val="minMax"/>
          <c:max val="4.5"/>
          <c:min val="0"/>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Revenue Multipier for Non-Residential Stranded Cost Recovery Fee</a:t>
                </a:r>
              </a:p>
            </c:rich>
          </c:tx>
          <c:overlay val="0"/>
          <c:spPr>
            <a:noFill/>
            <a:ln>
              <a:noFill/>
            </a:ln>
            <a:effectLst/>
          </c:spPr>
        </c:title>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56390656"/>
        <c:crosses val="max"/>
        <c:crossBetween val="between"/>
      </c:valAx>
      <c:catAx>
        <c:axId val="256390656"/>
        <c:scaling>
          <c:orientation val="minMax"/>
        </c:scaling>
        <c:delete val="1"/>
        <c:axPos val="b"/>
        <c:majorTickMark val="out"/>
        <c:minorTickMark val="none"/>
        <c:tickLblPos val="nextTo"/>
        <c:crossAx val="256388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2017-04-21T07:00:00+00:00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A9C5C4A-EB83-417F-9D38-B7D5AE608E50}">
  <ds:schemaRefs>
    <ds:schemaRef ds:uri="http://schemas.openxmlformats.org/officeDocument/2006/bibliography"/>
  </ds:schemaRefs>
</ds:datastoreItem>
</file>

<file path=customXml/itemProps2.xml><?xml version="1.0" encoding="utf-8"?>
<ds:datastoreItem xmlns:ds="http://schemas.openxmlformats.org/officeDocument/2006/customXml" ds:itemID="{C0F76493-8010-4AFF-96C2-0CEC33D67DB8}"/>
</file>

<file path=customXml/itemProps3.xml><?xml version="1.0" encoding="utf-8"?>
<ds:datastoreItem xmlns:ds="http://schemas.openxmlformats.org/officeDocument/2006/customXml" ds:itemID="{E90FDD91-9DFB-49BA-B74B-DDEEBC2135D4}"/>
</file>

<file path=customXml/itemProps4.xml><?xml version="1.0" encoding="utf-8"?>
<ds:datastoreItem xmlns:ds="http://schemas.openxmlformats.org/officeDocument/2006/customXml" ds:itemID="{70C79FB3-E92B-4AD7-A8BC-8D11BD64F91B}"/>
</file>

<file path=customXml/itemProps5.xml><?xml version="1.0" encoding="utf-8"?>
<ds:datastoreItem xmlns:ds="http://schemas.openxmlformats.org/officeDocument/2006/customXml" ds:itemID="{EF154C3C-C27C-4210-8196-97FBDBBF19EA}"/>
</file>

<file path=docProps/app.xml><?xml version="1.0" encoding="utf-8"?>
<Properties xmlns="http://schemas.openxmlformats.org/officeDocument/2006/extended-properties" xmlns:vt="http://schemas.openxmlformats.org/officeDocument/2006/docPropsVTypes">
  <Template>Normal.dotm</Template>
  <TotalTime>116</TotalTime>
  <Pages>63</Pages>
  <Words>15021</Words>
  <Characters>85621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100442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Bencomo-Jasso</dc:creator>
  <cp:lastModifiedBy>Mak, Chanda (ATG)</cp:lastModifiedBy>
  <cp:revision>33</cp:revision>
  <cp:lastPrinted>2017-04-19T22:18:00Z</cp:lastPrinted>
  <dcterms:created xsi:type="dcterms:W3CDTF">2017-04-21T12:59:00Z</dcterms:created>
  <dcterms:modified xsi:type="dcterms:W3CDTF">2017-04-21T17:35:00Z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y fmtid="{D5CDD505-2E9C-101B-9397-08002B2CF9AE}" pid="5" name="IsEFSEC">
    <vt:bool>false</vt:bool>
  </property>
</Properties>
</file>