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B2" w:rsidRDefault="00084DB2" w:rsidP="001A475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RULEMAKING: Distribution of White Pages Directories</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DOCKET UT-120451</w:t>
      </w:r>
    </w:p>
    <w:p w:rsidR="00E7610F" w:rsidRDefault="00E7610F" w:rsidP="001A4758">
      <w:pPr>
        <w:spacing w:after="0"/>
        <w:jc w:val="center"/>
        <w:rPr>
          <w:rFonts w:ascii="Times New Roman" w:hAnsi="Times New Roman" w:cs="Times New Roman"/>
          <w:b/>
          <w:sz w:val="24"/>
          <w:szCs w:val="24"/>
        </w:rPr>
      </w:pPr>
      <w:r>
        <w:rPr>
          <w:rFonts w:ascii="Times New Roman" w:hAnsi="Times New Roman" w:cs="Times New Roman"/>
          <w:b/>
          <w:sz w:val="24"/>
          <w:szCs w:val="24"/>
        </w:rPr>
        <w:t>Comment Matrix</w:t>
      </w:r>
    </w:p>
    <w:tbl>
      <w:tblPr>
        <w:tblStyle w:val="TableGrid"/>
        <w:tblW w:w="15120" w:type="dxa"/>
        <w:tblInd w:w="-252" w:type="dxa"/>
        <w:tblLook w:val="04A0" w:firstRow="1" w:lastRow="0" w:firstColumn="1" w:lastColumn="0" w:noHBand="0" w:noVBand="1"/>
      </w:tblPr>
      <w:tblGrid>
        <w:gridCol w:w="3510"/>
        <w:gridCol w:w="7290"/>
        <w:gridCol w:w="4320"/>
      </w:tblGrid>
      <w:tr w:rsidR="009A63A0" w:rsidRPr="00E5050C" w:rsidTr="004515D9">
        <w:tc>
          <w:tcPr>
            <w:tcW w:w="15120" w:type="dxa"/>
            <w:gridSpan w:val="3"/>
          </w:tcPr>
          <w:p w:rsidR="009A63A0" w:rsidRPr="009A63A0" w:rsidRDefault="009A63A0" w:rsidP="00872DE6">
            <w:pPr>
              <w:rPr>
                <w:rFonts w:ascii="Times New Roman" w:hAnsi="Times New Roman" w:cs="Times New Roman"/>
                <w:b/>
              </w:rPr>
            </w:pPr>
            <w:r>
              <w:rPr>
                <w:rFonts w:ascii="Times New Roman" w:hAnsi="Times New Roman" w:cs="Times New Roman"/>
                <w:b/>
              </w:rPr>
              <w:t>General Comments</w:t>
            </w:r>
          </w:p>
        </w:tc>
      </w:tr>
      <w:tr w:rsidR="00EB4CB9" w:rsidRPr="00E5050C" w:rsidTr="00144315">
        <w:tc>
          <w:tcPr>
            <w:tcW w:w="351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Commenter</w:t>
            </w:r>
          </w:p>
        </w:tc>
        <w:tc>
          <w:tcPr>
            <w:tcW w:w="7290" w:type="dxa"/>
          </w:tcPr>
          <w:p w:rsidR="00EB4CB9" w:rsidRPr="00E5050C" w:rsidRDefault="00EB4CB9">
            <w:pPr>
              <w:rPr>
                <w:rFonts w:ascii="Times New Roman" w:hAnsi="Times New Roman" w:cs="Times New Roman"/>
                <w:b/>
              </w:rPr>
            </w:pPr>
            <w:r w:rsidRPr="00E5050C">
              <w:rPr>
                <w:rFonts w:ascii="Times New Roman" w:hAnsi="Times New Roman" w:cs="Times New Roman"/>
                <w:b/>
              </w:rPr>
              <w:t>Comment</w:t>
            </w:r>
          </w:p>
        </w:tc>
        <w:tc>
          <w:tcPr>
            <w:tcW w:w="4320" w:type="dxa"/>
          </w:tcPr>
          <w:p w:rsidR="00EB4CB9" w:rsidRPr="00E5050C" w:rsidRDefault="00EB4CB9" w:rsidP="00872DE6">
            <w:pPr>
              <w:rPr>
                <w:rFonts w:ascii="Times New Roman" w:hAnsi="Times New Roman" w:cs="Times New Roman"/>
                <w:b/>
              </w:rPr>
            </w:pPr>
            <w:r>
              <w:rPr>
                <w:rFonts w:ascii="Times New Roman" w:hAnsi="Times New Roman" w:cs="Times New Roman"/>
                <w:b/>
              </w:rPr>
              <w:t xml:space="preserve">Staff </w:t>
            </w:r>
            <w:r w:rsidR="00872DE6">
              <w:rPr>
                <w:rFonts w:ascii="Times New Roman" w:hAnsi="Times New Roman" w:cs="Times New Roman"/>
                <w:b/>
              </w:rPr>
              <w:t>Position</w:t>
            </w:r>
          </w:p>
        </w:tc>
      </w:tr>
      <w:tr w:rsidR="00EB4CB9" w:rsidRPr="0006319D" w:rsidTr="00144315">
        <w:tc>
          <w:tcPr>
            <w:tcW w:w="3510" w:type="dxa"/>
          </w:tcPr>
          <w:p w:rsidR="00EB4CB9" w:rsidRPr="0006319D" w:rsidRDefault="003F0B19" w:rsidP="00793F22">
            <w:pPr>
              <w:spacing w:line="276" w:lineRule="auto"/>
              <w:rPr>
                <w:rFonts w:ascii="Times New Roman" w:hAnsi="Times New Roman" w:cs="Times New Roman"/>
              </w:rPr>
            </w:pPr>
            <w:r>
              <w:rPr>
                <w:rFonts w:ascii="Times New Roman" w:hAnsi="Times New Roman" w:cs="Times New Roman"/>
              </w:rPr>
              <w:t>Jeanette Henderson</w:t>
            </w:r>
          </w:p>
        </w:tc>
        <w:tc>
          <w:tcPr>
            <w:tcW w:w="7290" w:type="dxa"/>
          </w:tcPr>
          <w:p w:rsidR="0033119E" w:rsidRDefault="003F0B19" w:rsidP="00793F22">
            <w:pPr>
              <w:spacing w:line="276" w:lineRule="auto"/>
              <w:rPr>
                <w:rFonts w:ascii="Times New Roman" w:hAnsi="Times New Roman" w:cs="Times New Roman"/>
              </w:rPr>
            </w:pPr>
            <w:r>
              <w:rPr>
                <w:rFonts w:ascii="Times New Roman" w:hAnsi="Times New Roman" w:cs="Times New Roman"/>
              </w:rPr>
              <w:t>Proposed rule would be improved if the printed directory option in (2</w:t>
            </w:r>
            <w:proofErr w:type="gramStart"/>
            <w:r>
              <w:rPr>
                <w:rFonts w:ascii="Times New Roman" w:hAnsi="Times New Roman" w:cs="Times New Roman"/>
              </w:rPr>
              <w:t>)(</w:t>
            </w:r>
            <w:proofErr w:type="gramEnd"/>
            <w:r>
              <w:rPr>
                <w:rFonts w:ascii="Times New Roman" w:hAnsi="Times New Roman" w:cs="Times New Roman"/>
              </w:rPr>
              <w:t xml:space="preserve">b) were opt-in rather than opt-out. </w:t>
            </w:r>
          </w:p>
          <w:p w:rsidR="0033119E" w:rsidRDefault="0033119E" w:rsidP="00793F22">
            <w:pPr>
              <w:spacing w:line="276" w:lineRule="auto"/>
              <w:rPr>
                <w:rFonts w:ascii="Times New Roman" w:hAnsi="Times New Roman" w:cs="Times New Roman"/>
              </w:rPr>
            </w:pPr>
          </w:p>
          <w:p w:rsidR="00EB4CB9" w:rsidRPr="0006319D" w:rsidRDefault="0033119E" w:rsidP="00793F22">
            <w:pPr>
              <w:spacing w:line="276" w:lineRule="auto"/>
              <w:rPr>
                <w:rFonts w:ascii="Times New Roman" w:hAnsi="Times New Roman" w:cs="Times New Roman"/>
              </w:rPr>
            </w:pPr>
            <w:r>
              <w:rPr>
                <w:rFonts w:ascii="Times New Roman" w:hAnsi="Times New Roman" w:cs="Times New Roman"/>
              </w:rPr>
              <w:t>“</w:t>
            </w:r>
            <w:r w:rsidR="003F0B19">
              <w:rPr>
                <w:rFonts w:ascii="Times New Roman" w:hAnsi="Times New Roman" w:cs="Times New Roman"/>
              </w:rPr>
              <w:t>Otherwise, the proposed rule is an</w:t>
            </w:r>
            <w:r>
              <w:rPr>
                <w:rFonts w:ascii="Times New Roman" w:hAnsi="Times New Roman" w:cs="Times New Roman"/>
              </w:rPr>
              <w:t xml:space="preserve"> excellent</w:t>
            </w:r>
            <w:r w:rsidR="003F0B19">
              <w:rPr>
                <w:rFonts w:ascii="Times New Roman" w:hAnsi="Times New Roman" w:cs="Times New Roman"/>
              </w:rPr>
              <w:t xml:space="preserve"> improvement over the existing rule.</w:t>
            </w:r>
            <w:r>
              <w:rPr>
                <w:rFonts w:ascii="Times New Roman" w:hAnsi="Times New Roman" w:cs="Times New Roman"/>
              </w:rPr>
              <w:t>”</w:t>
            </w:r>
          </w:p>
        </w:tc>
        <w:tc>
          <w:tcPr>
            <w:tcW w:w="4320" w:type="dxa"/>
          </w:tcPr>
          <w:p w:rsidR="00EB4CB9" w:rsidRPr="0006319D" w:rsidRDefault="00F3209E" w:rsidP="00793F22">
            <w:pPr>
              <w:spacing w:line="276" w:lineRule="auto"/>
              <w:rPr>
                <w:rFonts w:ascii="Times New Roman" w:hAnsi="Times New Roman" w:cs="Times New Roman"/>
              </w:rPr>
            </w:pPr>
            <w:r>
              <w:rPr>
                <w:rFonts w:ascii="Times New Roman" w:hAnsi="Times New Roman" w:cs="Times New Roman"/>
              </w:rPr>
              <w:t>Staff believes the revised rule as currently drafted strikes the appropriate balance between company, customer, and environmental concerns and does not recommend accepting this change.</w:t>
            </w:r>
          </w:p>
        </w:tc>
      </w:tr>
      <w:tr w:rsidR="009A63A0" w:rsidRPr="0006319D" w:rsidTr="00144315">
        <w:tc>
          <w:tcPr>
            <w:tcW w:w="3510" w:type="dxa"/>
          </w:tcPr>
          <w:p w:rsidR="003F0B19" w:rsidRDefault="003F0B19" w:rsidP="00793F22">
            <w:pPr>
              <w:spacing w:line="276" w:lineRule="auto"/>
              <w:rPr>
                <w:rFonts w:ascii="Times New Roman" w:hAnsi="Times New Roman" w:cs="Times New Roman"/>
              </w:rPr>
            </w:pPr>
            <w:r>
              <w:rPr>
                <w:rFonts w:ascii="Times New Roman" w:hAnsi="Times New Roman" w:cs="Times New Roman"/>
              </w:rPr>
              <w:t>Sightline Institute</w:t>
            </w:r>
          </w:p>
          <w:p w:rsidR="009A63A0" w:rsidRPr="0006319D" w:rsidRDefault="003F0B19" w:rsidP="00793F22">
            <w:pPr>
              <w:spacing w:line="276" w:lineRule="auto"/>
              <w:rPr>
                <w:rFonts w:ascii="Times New Roman" w:hAnsi="Times New Roman" w:cs="Times New Roman"/>
              </w:rPr>
            </w:pPr>
            <w:r>
              <w:rPr>
                <w:rFonts w:ascii="Times New Roman" w:hAnsi="Times New Roman" w:cs="Times New Roman"/>
              </w:rPr>
              <w:t>Represented by Eric de Place</w:t>
            </w:r>
          </w:p>
        </w:tc>
        <w:tc>
          <w:tcPr>
            <w:tcW w:w="7290" w:type="dxa"/>
          </w:tcPr>
          <w:p w:rsidR="009A63A0" w:rsidRDefault="003F0B19" w:rsidP="00793F22">
            <w:pPr>
              <w:spacing w:line="276" w:lineRule="auto"/>
              <w:rPr>
                <w:rFonts w:ascii="Times New Roman" w:hAnsi="Times New Roman" w:cs="Times New Roman"/>
              </w:rPr>
            </w:pPr>
            <w:r>
              <w:rPr>
                <w:rFonts w:ascii="Times New Roman" w:hAnsi="Times New Roman" w:cs="Times New Roman"/>
              </w:rPr>
              <w:t>In (2), the word “free” should be added, to read</w:t>
            </w:r>
            <w:proofErr w:type="gramStart"/>
            <w:r>
              <w:rPr>
                <w:rFonts w:ascii="Times New Roman" w:hAnsi="Times New Roman" w:cs="Times New Roman"/>
              </w:rPr>
              <w:t>, :</w:t>
            </w:r>
            <w:proofErr w:type="gramEnd"/>
            <w:r>
              <w:rPr>
                <w:rFonts w:ascii="Times New Roman" w:hAnsi="Times New Roman" w:cs="Times New Roman"/>
              </w:rPr>
              <w:t>…</w:t>
            </w:r>
            <w:r w:rsidRPr="003F0B19">
              <w:rPr>
                <w:rFonts w:ascii="Times New Roman" w:hAnsi="Times New Roman" w:cs="Times New Roman"/>
                <w:u w:val="single"/>
              </w:rPr>
              <w:t>free</w:t>
            </w:r>
            <w:r>
              <w:rPr>
                <w:rFonts w:ascii="Times New Roman" w:hAnsi="Times New Roman" w:cs="Times New Roman"/>
                <w:u w:val="single"/>
              </w:rPr>
              <w:t xml:space="preserve"> </w:t>
            </w:r>
            <w:r>
              <w:rPr>
                <w:rFonts w:ascii="Times New Roman" w:hAnsi="Times New Roman" w:cs="Times New Roman"/>
              </w:rPr>
              <w:t>access to directory listings…”</w:t>
            </w:r>
          </w:p>
          <w:p w:rsidR="0033119E" w:rsidRDefault="0033119E" w:rsidP="00793F22">
            <w:pPr>
              <w:spacing w:line="276" w:lineRule="auto"/>
              <w:rPr>
                <w:rFonts w:ascii="Times New Roman" w:hAnsi="Times New Roman" w:cs="Times New Roman"/>
              </w:rPr>
            </w:pPr>
          </w:p>
          <w:p w:rsidR="0033119E" w:rsidRDefault="0033119E" w:rsidP="00793F22">
            <w:pPr>
              <w:spacing w:line="276" w:lineRule="auto"/>
              <w:rPr>
                <w:rFonts w:ascii="Times New Roman" w:hAnsi="Times New Roman" w:cs="Times New Roman"/>
              </w:rPr>
            </w:pPr>
            <w:r>
              <w:rPr>
                <w:rFonts w:ascii="Times New Roman" w:hAnsi="Times New Roman" w:cs="Times New Roman"/>
              </w:rPr>
              <w:t xml:space="preserve">Believes the printed directory option in (2)(b) should be opt-in rather than </w:t>
            </w:r>
          </w:p>
          <w:p w:rsidR="0033119E" w:rsidRPr="003F0B19" w:rsidRDefault="0033119E" w:rsidP="00793F22">
            <w:pPr>
              <w:spacing w:line="276" w:lineRule="auto"/>
              <w:rPr>
                <w:rFonts w:ascii="Times New Roman" w:hAnsi="Times New Roman" w:cs="Times New Roman"/>
              </w:rPr>
            </w:pPr>
            <w:proofErr w:type="gramStart"/>
            <w:r>
              <w:rPr>
                <w:rFonts w:ascii="Times New Roman" w:hAnsi="Times New Roman" w:cs="Times New Roman"/>
              </w:rPr>
              <w:t>opt-out</w:t>
            </w:r>
            <w:proofErr w:type="gramEnd"/>
            <w:r>
              <w:rPr>
                <w:rFonts w:ascii="Times New Roman" w:hAnsi="Times New Roman" w:cs="Times New Roman"/>
              </w:rPr>
              <w:t>.</w:t>
            </w:r>
          </w:p>
        </w:tc>
        <w:tc>
          <w:tcPr>
            <w:tcW w:w="4320" w:type="dxa"/>
          </w:tcPr>
          <w:p w:rsidR="009A63A0" w:rsidRPr="0006319D" w:rsidRDefault="00DE6B24" w:rsidP="00793F22">
            <w:pPr>
              <w:spacing w:line="276" w:lineRule="auto"/>
              <w:rPr>
                <w:rFonts w:ascii="Times New Roman" w:hAnsi="Times New Roman" w:cs="Times New Roman"/>
              </w:rPr>
            </w:pPr>
            <w:r w:rsidRPr="00CE6D3D">
              <w:rPr>
                <w:rFonts w:ascii="Times New Roman" w:hAnsi="Times New Roman" w:cs="Times New Roman"/>
                <w:i/>
              </w:rPr>
              <w:t>See</w:t>
            </w:r>
            <w:r>
              <w:rPr>
                <w:rFonts w:ascii="Times New Roman" w:hAnsi="Times New Roman" w:cs="Times New Roman"/>
              </w:rPr>
              <w:t xml:space="preserve"> first Staff position statement above. In addition, inclusion of “free” is unnecessary because the rule already states that access to directory listings is included with local exchange service.</w:t>
            </w:r>
          </w:p>
        </w:tc>
      </w:tr>
      <w:tr w:rsidR="003E559E" w:rsidRPr="0006319D" w:rsidTr="00144315">
        <w:tc>
          <w:tcPr>
            <w:tcW w:w="3510" w:type="dxa"/>
          </w:tcPr>
          <w:p w:rsidR="0033119E" w:rsidRDefault="0033119E" w:rsidP="00793F22">
            <w:pPr>
              <w:spacing w:line="276" w:lineRule="auto"/>
              <w:rPr>
                <w:rFonts w:ascii="Times New Roman" w:hAnsi="Times New Roman" w:cs="Times New Roman"/>
              </w:rPr>
            </w:pPr>
            <w:r>
              <w:rPr>
                <w:rFonts w:ascii="Times New Roman" w:hAnsi="Times New Roman" w:cs="Times New Roman"/>
              </w:rPr>
              <w:t>Seattle Public Utilities</w:t>
            </w:r>
          </w:p>
          <w:p w:rsidR="003E559E" w:rsidRPr="0006319D" w:rsidRDefault="0033119E" w:rsidP="00793F22">
            <w:pPr>
              <w:spacing w:line="276" w:lineRule="auto"/>
              <w:rPr>
                <w:rFonts w:ascii="Times New Roman" w:hAnsi="Times New Roman" w:cs="Times New Roman"/>
              </w:rPr>
            </w:pPr>
            <w:r>
              <w:rPr>
                <w:rFonts w:ascii="Times New Roman" w:hAnsi="Times New Roman" w:cs="Times New Roman"/>
              </w:rPr>
              <w:t xml:space="preserve">Represented by Timothy </w:t>
            </w:r>
            <w:proofErr w:type="spellStart"/>
            <w:r>
              <w:rPr>
                <w:rFonts w:ascii="Times New Roman" w:hAnsi="Times New Roman" w:cs="Times New Roman"/>
              </w:rPr>
              <w:t>Croll</w:t>
            </w:r>
            <w:proofErr w:type="spellEnd"/>
          </w:p>
        </w:tc>
        <w:tc>
          <w:tcPr>
            <w:tcW w:w="7290" w:type="dxa"/>
          </w:tcPr>
          <w:p w:rsidR="003E559E" w:rsidRDefault="0033119E" w:rsidP="00793F22">
            <w:pPr>
              <w:spacing w:line="276" w:lineRule="auto"/>
              <w:rPr>
                <w:rFonts w:ascii="Times New Roman" w:hAnsi="Times New Roman" w:cs="Times New Roman"/>
              </w:rPr>
            </w:pPr>
            <w:r>
              <w:rPr>
                <w:rFonts w:ascii="Times New Roman" w:hAnsi="Times New Roman" w:cs="Times New Roman"/>
              </w:rPr>
              <w:t>“We urge the Commission to enact the rule amendment as written.”</w:t>
            </w:r>
          </w:p>
        </w:tc>
        <w:tc>
          <w:tcPr>
            <w:tcW w:w="4320" w:type="dxa"/>
          </w:tcPr>
          <w:p w:rsidR="003E559E" w:rsidRPr="0006319D" w:rsidRDefault="00DE6B24" w:rsidP="00793F22">
            <w:pPr>
              <w:spacing w:line="276" w:lineRule="auto"/>
              <w:rPr>
                <w:rFonts w:ascii="Times New Roman" w:hAnsi="Times New Roman" w:cs="Times New Roman"/>
              </w:rPr>
            </w:pPr>
            <w:r>
              <w:rPr>
                <w:rFonts w:ascii="Times New Roman" w:hAnsi="Times New Roman" w:cs="Times New Roman"/>
              </w:rPr>
              <w:t>Staff agrees.</w:t>
            </w:r>
          </w:p>
        </w:tc>
      </w:tr>
      <w:tr w:rsidR="003E559E" w:rsidRPr="0006319D" w:rsidTr="00144315">
        <w:tc>
          <w:tcPr>
            <w:tcW w:w="3510" w:type="dxa"/>
          </w:tcPr>
          <w:p w:rsidR="0033119E" w:rsidRPr="0006319D" w:rsidRDefault="0033119E" w:rsidP="00793F22">
            <w:pPr>
              <w:spacing w:line="276" w:lineRule="auto"/>
              <w:rPr>
                <w:rFonts w:ascii="Times New Roman" w:hAnsi="Times New Roman" w:cs="Times New Roman"/>
              </w:rPr>
            </w:pPr>
            <w:r w:rsidRPr="0006319D">
              <w:rPr>
                <w:rFonts w:ascii="Times New Roman" w:hAnsi="Times New Roman" w:cs="Times New Roman"/>
              </w:rPr>
              <w:t xml:space="preserve">Frontier Communications </w:t>
            </w:r>
          </w:p>
          <w:p w:rsidR="003E559E" w:rsidRPr="0006319D" w:rsidRDefault="0033119E" w:rsidP="00793F22">
            <w:pPr>
              <w:spacing w:line="276" w:lineRule="auto"/>
              <w:rPr>
                <w:rFonts w:ascii="Times New Roman" w:hAnsi="Times New Roman" w:cs="Times New Roman"/>
              </w:rPr>
            </w:pPr>
            <w:r w:rsidRPr="0006319D">
              <w:rPr>
                <w:rFonts w:ascii="Times New Roman" w:hAnsi="Times New Roman" w:cs="Times New Roman"/>
              </w:rPr>
              <w:t>Represented by Carl Gipson</w:t>
            </w:r>
          </w:p>
        </w:tc>
        <w:tc>
          <w:tcPr>
            <w:tcW w:w="7290" w:type="dxa"/>
          </w:tcPr>
          <w:p w:rsidR="003E559E" w:rsidRDefault="0033119E" w:rsidP="00793F22">
            <w:pPr>
              <w:spacing w:line="276" w:lineRule="auto"/>
              <w:rPr>
                <w:rFonts w:ascii="Times New Roman" w:hAnsi="Times New Roman" w:cs="Times New Roman"/>
              </w:rPr>
            </w:pPr>
            <w:r>
              <w:rPr>
                <w:rFonts w:ascii="Times New Roman" w:hAnsi="Times New Roman" w:cs="Times New Roman"/>
              </w:rPr>
              <w:t>Existing rule should be eliminated. As an option to eliminating the existing rule, an opt-in rule should be implemented.</w:t>
            </w:r>
          </w:p>
          <w:p w:rsidR="00017B3A" w:rsidRDefault="00017B3A" w:rsidP="00793F22">
            <w:pPr>
              <w:spacing w:line="276" w:lineRule="auto"/>
              <w:rPr>
                <w:rFonts w:ascii="Times New Roman" w:hAnsi="Times New Roman" w:cs="Times New Roman"/>
              </w:rPr>
            </w:pPr>
          </w:p>
          <w:p w:rsidR="00017B3A" w:rsidRDefault="00017B3A" w:rsidP="00793F22">
            <w:pPr>
              <w:spacing w:line="276" w:lineRule="auto"/>
              <w:rPr>
                <w:rFonts w:ascii="Times New Roman" w:hAnsi="Times New Roman" w:cs="Times New Roman"/>
              </w:rPr>
            </w:pPr>
            <w:r>
              <w:rPr>
                <w:rFonts w:ascii="Times New Roman" w:hAnsi="Times New Roman" w:cs="Times New Roman"/>
              </w:rPr>
              <w:t>“Frontier is largely supportive of the proposed rule…”</w:t>
            </w:r>
          </w:p>
        </w:tc>
        <w:tc>
          <w:tcPr>
            <w:tcW w:w="4320" w:type="dxa"/>
          </w:tcPr>
          <w:p w:rsidR="003E559E" w:rsidRPr="00DE6B24" w:rsidRDefault="00DE6B24" w:rsidP="00793F22">
            <w:pPr>
              <w:spacing w:line="276" w:lineRule="auto"/>
              <w:rPr>
                <w:rFonts w:ascii="Times New Roman" w:hAnsi="Times New Roman" w:cs="Times New Roman"/>
              </w:rPr>
            </w:pPr>
            <w:r w:rsidRPr="00CE6D3D">
              <w:rPr>
                <w:rFonts w:ascii="Times New Roman" w:hAnsi="Times New Roman" w:cs="Times New Roman"/>
                <w:i/>
              </w:rPr>
              <w:t xml:space="preserve">See </w:t>
            </w:r>
            <w:r>
              <w:rPr>
                <w:rFonts w:ascii="Times New Roman" w:hAnsi="Times New Roman" w:cs="Times New Roman"/>
              </w:rPr>
              <w:t>first Staff position statement above.</w:t>
            </w:r>
          </w:p>
        </w:tc>
      </w:tr>
      <w:tr w:rsidR="00017B3A" w:rsidRPr="0006319D" w:rsidTr="00144315">
        <w:tc>
          <w:tcPr>
            <w:tcW w:w="3510" w:type="dxa"/>
          </w:tcPr>
          <w:p w:rsidR="00017B3A" w:rsidRPr="0006319D" w:rsidRDefault="00017B3A" w:rsidP="00793F22">
            <w:pPr>
              <w:spacing w:line="276" w:lineRule="auto"/>
              <w:rPr>
                <w:rFonts w:ascii="Times New Roman" w:hAnsi="Times New Roman" w:cs="Times New Roman"/>
              </w:rPr>
            </w:pPr>
            <w:r w:rsidRPr="0006319D">
              <w:rPr>
                <w:rFonts w:ascii="Times New Roman" w:hAnsi="Times New Roman" w:cs="Times New Roman"/>
              </w:rPr>
              <w:t>Public Counsel</w:t>
            </w:r>
          </w:p>
          <w:p w:rsidR="00017B3A" w:rsidRPr="0006319D" w:rsidRDefault="00017B3A" w:rsidP="00793F22">
            <w:pPr>
              <w:spacing w:line="276" w:lineRule="auto"/>
              <w:rPr>
                <w:rFonts w:ascii="Times New Roman" w:hAnsi="Times New Roman" w:cs="Times New Roman"/>
              </w:rPr>
            </w:pPr>
            <w:r w:rsidRPr="0006319D">
              <w:rPr>
                <w:rFonts w:ascii="Times New Roman" w:hAnsi="Times New Roman" w:cs="Times New Roman"/>
              </w:rPr>
              <w:t>Represented by Lisa Gafken</w:t>
            </w:r>
          </w:p>
        </w:tc>
        <w:tc>
          <w:tcPr>
            <w:tcW w:w="7290" w:type="dxa"/>
          </w:tcPr>
          <w:p w:rsidR="00017B3A" w:rsidRDefault="00017B3A" w:rsidP="00793F22">
            <w:pPr>
              <w:spacing w:line="276" w:lineRule="auto"/>
              <w:rPr>
                <w:rFonts w:ascii="Times New Roman" w:hAnsi="Times New Roman" w:cs="Times New Roman"/>
              </w:rPr>
            </w:pPr>
            <w:r>
              <w:rPr>
                <w:rFonts w:ascii="Times New Roman" w:hAnsi="Times New Roman" w:cs="Times New Roman"/>
              </w:rPr>
              <w:t>Pleased that the language in (4), related to updating directories no less frequently than every 15 months, is being retained.</w:t>
            </w:r>
          </w:p>
          <w:p w:rsidR="00017B3A" w:rsidRDefault="00017B3A" w:rsidP="00793F22">
            <w:pPr>
              <w:spacing w:line="276" w:lineRule="auto"/>
              <w:rPr>
                <w:rFonts w:ascii="Times New Roman" w:hAnsi="Times New Roman" w:cs="Times New Roman"/>
              </w:rPr>
            </w:pPr>
          </w:p>
          <w:p w:rsidR="00017B3A" w:rsidRDefault="00017B3A" w:rsidP="00793F22">
            <w:pPr>
              <w:spacing w:line="276" w:lineRule="auto"/>
              <w:rPr>
                <w:rFonts w:ascii="Times New Roman" w:hAnsi="Times New Roman" w:cs="Times New Roman"/>
              </w:rPr>
            </w:pPr>
            <w:r>
              <w:rPr>
                <w:rFonts w:ascii="Times New Roman" w:hAnsi="Times New Roman" w:cs="Times New Roman"/>
              </w:rPr>
              <w:t>Believes the rule should require saturation distribution of “Blue Pages.”</w:t>
            </w:r>
          </w:p>
          <w:p w:rsidR="003921D4" w:rsidRDefault="003921D4" w:rsidP="00793F22">
            <w:pPr>
              <w:spacing w:line="276" w:lineRule="auto"/>
              <w:rPr>
                <w:rFonts w:ascii="Times New Roman" w:hAnsi="Times New Roman" w:cs="Times New Roman"/>
              </w:rPr>
            </w:pPr>
          </w:p>
          <w:p w:rsidR="00017B3A" w:rsidRDefault="00017B3A" w:rsidP="00793F22">
            <w:pPr>
              <w:spacing w:line="276" w:lineRule="auto"/>
              <w:rPr>
                <w:rFonts w:ascii="Times New Roman" w:hAnsi="Times New Roman" w:cs="Times New Roman"/>
              </w:rPr>
            </w:pPr>
            <w:r>
              <w:rPr>
                <w:rFonts w:ascii="Times New Roman" w:hAnsi="Times New Roman" w:cs="Times New Roman"/>
              </w:rPr>
              <w:t>Believes the rule should state that directories must be provided free of charge.</w:t>
            </w:r>
          </w:p>
          <w:p w:rsidR="003921D4" w:rsidRDefault="003921D4" w:rsidP="00793F22">
            <w:pPr>
              <w:spacing w:line="276" w:lineRule="auto"/>
              <w:rPr>
                <w:rFonts w:ascii="Times New Roman" w:hAnsi="Times New Roman" w:cs="Times New Roman"/>
              </w:rPr>
            </w:pPr>
          </w:p>
          <w:p w:rsidR="003921D4" w:rsidRDefault="003921D4" w:rsidP="00793F22">
            <w:pPr>
              <w:spacing w:line="276" w:lineRule="auto"/>
              <w:rPr>
                <w:rFonts w:ascii="Times New Roman" w:hAnsi="Times New Roman" w:cs="Times New Roman"/>
              </w:rPr>
            </w:pPr>
            <w:r>
              <w:rPr>
                <w:rFonts w:ascii="Times New Roman" w:hAnsi="Times New Roman" w:cs="Times New Roman"/>
              </w:rPr>
              <w:t>Believes the consumer rights and responsibilities guide, required in (6) of the existing rule, should continue to be required in the new rule.</w:t>
            </w:r>
          </w:p>
        </w:tc>
        <w:tc>
          <w:tcPr>
            <w:tcW w:w="4320" w:type="dxa"/>
          </w:tcPr>
          <w:p w:rsidR="00017B3A" w:rsidRPr="00DE6B24" w:rsidRDefault="00DE6B24" w:rsidP="004B796A">
            <w:pPr>
              <w:spacing w:line="276" w:lineRule="auto"/>
              <w:rPr>
                <w:rFonts w:ascii="Times New Roman" w:hAnsi="Times New Roman" w:cs="Times New Roman"/>
              </w:rPr>
            </w:pPr>
            <w:r>
              <w:rPr>
                <w:rFonts w:ascii="Times New Roman" w:hAnsi="Times New Roman" w:cs="Times New Roman"/>
                <w:i/>
              </w:rPr>
              <w:t>See</w:t>
            </w:r>
            <w:r>
              <w:rPr>
                <w:rFonts w:ascii="Times New Roman" w:hAnsi="Times New Roman" w:cs="Times New Roman"/>
              </w:rPr>
              <w:t xml:space="preserve"> first and second Staff position statements above. In addition, whether to include information in addition to listings in directories should be a decision for the LEC to make</w:t>
            </w:r>
            <w:r w:rsidR="004B796A">
              <w:rPr>
                <w:rFonts w:ascii="Times New Roman" w:hAnsi="Times New Roman" w:cs="Times New Roman"/>
              </w:rPr>
              <w:t>.</w:t>
            </w:r>
          </w:p>
        </w:tc>
      </w:tr>
      <w:tr w:rsidR="00017B3A" w:rsidRPr="0006319D" w:rsidTr="00144315">
        <w:tc>
          <w:tcPr>
            <w:tcW w:w="3510" w:type="dxa"/>
          </w:tcPr>
          <w:p w:rsidR="003921D4" w:rsidRPr="0006319D" w:rsidRDefault="003921D4" w:rsidP="00793F22">
            <w:pPr>
              <w:spacing w:line="276" w:lineRule="auto"/>
              <w:rPr>
                <w:rFonts w:ascii="Times New Roman" w:hAnsi="Times New Roman" w:cs="Times New Roman"/>
              </w:rPr>
            </w:pPr>
            <w:r w:rsidRPr="0006319D">
              <w:rPr>
                <w:rFonts w:ascii="Times New Roman" w:hAnsi="Times New Roman" w:cs="Times New Roman"/>
              </w:rPr>
              <w:t>WITA</w:t>
            </w:r>
          </w:p>
          <w:p w:rsidR="00017B3A" w:rsidRPr="0006319D" w:rsidRDefault="003921D4" w:rsidP="00793F22">
            <w:pPr>
              <w:spacing w:line="276" w:lineRule="auto"/>
              <w:rPr>
                <w:rFonts w:ascii="Times New Roman" w:hAnsi="Times New Roman" w:cs="Times New Roman"/>
              </w:rPr>
            </w:pPr>
            <w:r w:rsidRPr="0006319D">
              <w:rPr>
                <w:rFonts w:ascii="Times New Roman" w:hAnsi="Times New Roman" w:cs="Times New Roman"/>
              </w:rPr>
              <w:t xml:space="preserve">Represented by </w:t>
            </w:r>
            <w:r>
              <w:rPr>
                <w:rFonts w:ascii="Times New Roman" w:hAnsi="Times New Roman" w:cs="Times New Roman"/>
              </w:rPr>
              <w:t>Betty S. Buckley</w:t>
            </w:r>
          </w:p>
        </w:tc>
        <w:tc>
          <w:tcPr>
            <w:tcW w:w="7290" w:type="dxa"/>
          </w:tcPr>
          <w:p w:rsidR="00017B3A" w:rsidRDefault="003921D4" w:rsidP="00793F22">
            <w:pPr>
              <w:spacing w:line="276" w:lineRule="auto"/>
              <w:rPr>
                <w:rFonts w:ascii="Times New Roman" w:hAnsi="Times New Roman" w:cs="Times New Roman"/>
              </w:rPr>
            </w:pPr>
            <w:r>
              <w:rPr>
                <w:rFonts w:ascii="Times New Roman" w:hAnsi="Times New Roman" w:cs="Times New Roman"/>
              </w:rPr>
              <w:t>“WITA supports the proposed revisions contained in the Notice and the Supplemental CR-102.”</w:t>
            </w:r>
          </w:p>
        </w:tc>
        <w:tc>
          <w:tcPr>
            <w:tcW w:w="4320" w:type="dxa"/>
          </w:tcPr>
          <w:p w:rsidR="00017B3A" w:rsidRPr="0006319D" w:rsidRDefault="00DE6B24" w:rsidP="00793F22">
            <w:pPr>
              <w:spacing w:line="276" w:lineRule="auto"/>
              <w:rPr>
                <w:rFonts w:ascii="Times New Roman" w:hAnsi="Times New Roman" w:cs="Times New Roman"/>
              </w:rPr>
            </w:pPr>
            <w:r>
              <w:rPr>
                <w:rFonts w:ascii="Times New Roman" w:hAnsi="Times New Roman" w:cs="Times New Roman"/>
              </w:rPr>
              <w:t>Staff agrees.</w:t>
            </w:r>
          </w:p>
        </w:tc>
      </w:tr>
    </w:tbl>
    <w:p w:rsidR="00793F22" w:rsidRDefault="00793F22" w:rsidP="00793F22">
      <w:r>
        <w:br w:type="page"/>
      </w:r>
    </w:p>
    <w:tbl>
      <w:tblPr>
        <w:tblStyle w:val="TableGrid"/>
        <w:tblW w:w="15120" w:type="dxa"/>
        <w:tblInd w:w="-252" w:type="dxa"/>
        <w:tblLook w:val="04A0" w:firstRow="1" w:lastRow="0" w:firstColumn="1" w:lastColumn="0" w:noHBand="0" w:noVBand="1"/>
      </w:tblPr>
      <w:tblGrid>
        <w:gridCol w:w="3510"/>
        <w:gridCol w:w="7290"/>
        <w:gridCol w:w="4320"/>
      </w:tblGrid>
      <w:tr w:rsidR="00017B3A" w:rsidRPr="0006319D" w:rsidTr="00144315">
        <w:tc>
          <w:tcPr>
            <w:tcW w:w="3510" w:type="dxa"/>
          </w:tcPr>
          <w:p w:rsidR="003921D4" w:rsidRPr="0006319D" w:rsidRDefault="003921D4" w:rsidP="00793F22">
            <w:pPr>
              <w:spacing w:line="276" w:lineRule="auto"/>
              <w:rPr>
                <w:rFonts w:ascii="Times New Roman" w:hAnsi="Times New Roman" w:cs="Times New Roman"/>
              </w:rPr>
            </w:pPr>
            <w:r w:rsidRPr="0006319D">
              <w:rPr>
                <w:rFonts w:ascii="Times New Roman" w:hAnsi="Times New Roman" w:cs="Times New Roman"/>
              </w:rPr>
              <w:lastRenderedPageBreak/>
              <w:t>Century Link</w:t>
            </w:r>
          </w:p>
          <w:p w:rsidR="00017B3A" w:rsidRDefault="003921D4" w:rsidP="00793F22">
            <w:pPr>
              <w:spacing w:line="276" w:lineRule="auto"/>
              <w:rPr>
                <w:rFonts w:ascii="Times New Roman" w:hAnsi="Times New Roman" w:cs="Times New Roman"/>
              </w:rPr>
            </w:pPr>
            <w:r w:rsidRPr="0006319D">
              <w:rPr>
                <w:rFonts w:ascii="Times New Roman" w:hAnsi="Times New Roman" w:cs="Times New Roman"/>
              </w:rPr>
              <w:t>Represented by Lisa Anderl</w:t>
            </w:r>
          </w:p>
        </w:tc>
        <w:tc>
          <w:tcPr>
            <w:tcW w:w="7290" w:type="dxa"/>
          </w:tcPr>
          <w:p w:rsidR="009E7C75" w:rsidRPr="009E7C75" w:rsidRDefault="009E7C75" w:rsidP="00793F22">
            <w:pPr>
              <w:pStyle w:val="AutoNumBodyCharCharCharChar"/>
              <w:spacing w:line="276" w:lineRule="auto"/>
              <w:rPr>
                <w:sz w:val="22"/>
                <w:szCs w:val="22"/>
              </w:rPr>
            </w:pPr>
            <w:r w:rsidRPr="009E7C75">
              <w:rPr>
                <w:sz w:val="22"/>
                <w:szCs w:val="22"/>
              </w:rPr>
              <w:t>Believes the language in (2), which reads:</w:t>
            </w:r>
          </w:p>
          <w:p w:rsidR="009E7C75" w:rsidRPr="009E7C75" w:rsidRDefault="009E7C75" w:rsidP="00793F22">
            <w:pPr>
              <w:pStyle w:val="AutoNumBodyCharCharCharChar"/>
              <w:spacing w:line="276" w:lineRule="auto"/>
              <w:rPr>
                <w:sz w:val="22"/>
                <w:szCs w:val="22"/>
              </w:rPr>
            </w:pPr>
            <w:r w:rsidRPr="009E7C75">
              <w:rPr>
                <w:sz w:val="22"/>
                <w:szCs w:val="22"/>
              </w:rPr>
              <w:t>“ A LEC must ensure that each of its basic local exchange service customers has access to directory listings for the customer's local calling area through at least one of the following means:”  Should be modified as follows:</w:t>
            </w:r>
          </w:p>
          <w:p w:rsidR="00017B3A" w:rsidRDefault="009E7C75" w:rsidP="00793F22">
            <w:pPr>
              <w:pStyle w:val="AutoNumBodyCharCharCharChar"/>
              <w:spacing w:after="0" w:line="276" w:lineRule="auto"/>
            </w:pPr>
            <w:r w:rsidRPr="009E7C75">
              <w:rPr>
                <w:sz w:val="22"/>
                <w:szCs w:val="22"/>
              </w:rPr>
              <w:br/>
              <w:t xml:space="preserve">“A LEC shall </w:t>
            </w:r>
            <w:r w:rsidRPr="009E7C75">
              <w:rPr>
                <w:sz w:val="22"/>
                <w:szCs w:val="22"/>
                <w:u w:val="single"/>
              </w:rPr>
              <w:t>determine how</w:t>
            </w:r>
            <w:r w:rsidRPr="009E7C75">
              <w:rPr>
                <w:sz w:val="22"/>
                <w:szCs w:val="22"/>
              </w:rPr>
              <w:t xml:space="preserve"> each of its basic local exchange service customers </w:t>
            </w:r>
            <w:r w:rsidRPr="009E7C75">
              <w:rPr>
                <w:sz w:val="22"/>
                <w:szCs w:val="22"/>
                <w:u w:val="single"/>
              </w:rPr>
              <w:t>will receive</w:t>
            </w:r>
            <w:r w:rsidRPr="009E7C75">
              <w:rPr>
                <w:sz w:val="22"/>
                <w:szCs w:val="22"/>
              </w:rPr>
              <w:t xml:space="preserve"> access to directory listings for the customer's local calling area </w:t>
            </w:r>
            <w:r w:rsidRPr="009E7C75">
              <w:rPr>
                <w:sz w:val="22"/>
                <w:szCs w:val="22"/>
                <w:u w:val="single"/>
              </w:rPr>
              <w:t>using</w:t>
            </w:r>
            <w:r w:rsidRPr="009E7C75">
              <w:rPr>
                <w:sz w:val="22"/>
                <w:szCs w:val="22"/>
              </w:rPr>
              <w:t xml:space="preserve"> at least one of the following means:”</w:t>
            </w:r>
          </w:p>
        </w:tc>
        <w:tc>
          <w:tcPr>
            <w:tcW w:w="4320" w:type="dxa"/>
          </w:tcPr>
          <w:p w:rsidR="00017B3A" w:rsidRPr="0006319D" w:rsidRDefault="00FD4FA7" w:rsidP="00793F22">
            <w:pPr>
              <w:spacing w:line="276" w:lineRule="auto"/>
              <w:rPr>
                <w:rFonts w:ascii="Times New Roman" w:hAnsi="Times New Roman" w:cs="Times New Roman"/>
              </w:rPr>
            </w:pPr>
            <w:r>
              <w:rPr>
                <w:rFonts w:ascii="Times New Roman" w:hAnsi="Times New Roman" w:cs="Times New Roman"/>
              </w:rPr>
              <w:t>Staff does not believe that the language CenturyLink proposes is substantively different than the language in the latest proposed revised rule but would not object to making the suggested change.</w:t>
            </w:r>
          </w:p>
        </w:tc>
      </w:tr>
      <w:tr w:rsidR="00017B3A" w:rsidRPr="0006319D" w:rsidTr="00144315">
        <w:tc>
          <w:tcPr>
            <w:tcW w:w="3510" w:type="dxa"/>
          </w:tcPr>
          <w:p w:rsidR="009E7C75" w:rsidRPr="0006319D" w:rsidRDefault="009E7C75" w:rsidP="00793F22">
            <w:pPr>
              <w:spacing w:line="276" w:lineRule="auto"/>
              <w:rPr>
                <w:rFonts w:ascii="Times New Roman" w:hAnsi="Times New Roman" w:cs="Times New Roman"/>
              </w:rPr>
            </w:pPr>
            <w:r w:rsidRPr="0006319D">
              <w:rPr>
                <w:rFonts w:ascii="Times New Roman" w:hAnsi="Times New Roman" w:cs="Times New Roman"/>
              </w:rPr>
              <w:t>Dex One</w:t>
            </w:r>
          </w:p>
          <w:p w:rsidR="00017B3A" w:rsidRPr="0006319D" w:rsidRDefault="009E7C75" w:rsidP="00793F22">
            <w:pPr>
              <w:spacing w:line="276" w:lineRule="auto"/>
              <w:rPr>
                <w:rFonts w:ascii="Times New Roman" w:hAnsi="Times New Roman" w:cs="Times New Roman"/>
              </w:rPr>
            </w:pPr>
            <w:r>
              <w:rPr>
                <w:rFonts w:ascii="Times New Roman" w:hAnsi="Times New Roman" w:cs="Times New Roman"/>
              </w:rPr>
              <w:t xml:space="preserve">Represented by </w:t>
            </w:r>
            <w:r w:rsidRPr="0006319D">
              <w:rPr>
                <w:rFonts w:ascii="Times New Roman" w:hAnsi="Times New Roman" w:cs="Times New Roman"/>
              </w:rPr>
              <w:t>Brooks Harlow</w:t>
            </w:r>
          </w:p>
        </w:tc>
        <w:tc>
          <w:tcPr>
            <w:tcW w:w="7290" w:type="dxa"/>
          </w:tcPr>
          <w:p w:rsidR="00793F22" w:rsidRDefault="00793F22" w:rsidP="00793F22">
            <w:pPr>
              <w:spacing w:line="276" w:lineRule="auto"/>
              <w:rPr>
                <w:rFonts w:ascii="Times New Roman" w:hAnsi="Times New Roman" w:cs="Times New Roman"/>
              </w:rPr>
            </w:pPr>
            <w:r>
              <w:rPr>
                <w:rFonts w:ascii="Times New Roman" w:hAnsi="Times New Roman" w:cs="Times New Roman"/>
              </w:rPr>
              <w:t>Believes the mandatory opt-out provision is “inconsistent with the First Amendment,</w:t>
            </w:r>
            <w:r w:rsidR="0087246F">
              <w:rPr>
                <w:rFonts w:ascii="Times New Roman" w:hAnsi="Times New Roman" w:cs="Times New Roman"/>
              </w:rPr>
              <w:t>”</w:t>
            </w:r>
            <w:r>
              <w:rPr>
                <w:rFonts w:ascii="Times New Roman" w:hAnsi="Times New Roman" w:cs="Times New Roman"/>
              </w:rPr>
              <w:t xml:space="preserve"> however supports the rule as proposed in the Supplemental </w:t>
            </w:r>
          </w:p>
          <w:p w:rsidR="00017B3A" w:rsidRDefault="00793F22" w:rsidP="00793F22">
            <w:pPr>
              <w:spacing w:line="276" w:lineRule="auto"/>
              <w:rPr>
                <w:rFonts w:ascii="Times New Roman" w:hAnsi="Times New Roman" w:cs="Times New Roman"/>
              </w:rPr>
            </w:pPr>
            <w:r>
              <w:rPr>
                <w:rFonts w:ascii="Times New Roman" w:hAnsi="Times New Roman" w:cs="Times New Roman"/>
              </w:rPr>
              <w:t>CR-102.</w:t>
            </w:r>
          </w:p>
        </w:tc>
        <w:tc>
          <w:tcPr>
            <w:tcW w:w="4320" w:type="dxa"/>
          </w:tcPr>
          <w:p w:rsidR="00017B3A" w:rsidRPr="0006319D" w:rsidRDefault="0087246F" w:rsidP="00793F22">
            <w:pPr>
              <w:spacing w:line="276" w:lineRule="auto"/>
              <w:rPr>
                <w:rFonts w:ascii="Times New Roman" w:hAnsi="Times New Roman" w:cs="Times New Roman"/>
              </w:rPr>
            </w:pPr>
            <w:r>
              <w:rPr>
                <w:rFonts w:ascii="Times New Roman" w:hAnsi="Times New Roman" w:cs="Times New Roman"/>
              </w:rPr>
              <w:t>Staff disagrees with Dex One’s constitutional analysis but otherwise agrees.</w:t>
            </w:r>
          </w:p>
        </w:tc>
      </w:tr>
    </w:tbl>
    <w:p w:rsidR="00454484" w:rsidRDefault="00454484" w:rsidP="001A4758"/>
    <w:sectPr w:rsidR="00454484" w:rsidSect="00793F22">
      <w:footerReference w:type="default" r:id="rId9"/>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DD" w:rsidRDefault="00D866DD" w:rsidP="003837F2">
      <w:pPr>
        <w:spacing w:after="0" w:line="240" w:lineRule="auto"/>
      </w:pPr>
      <w:r>
        <w:separator/>
      </w:r>
    </w:p>
  </w:endnote>
  <w:endnote w:type="continuationSeparator" w:id="0">
    <w:p w:rsidR="00D866DD" w:rsidRDefault="00D866DD" w:rsidP="0038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17960"/>
      <w:docPartObj>
        <w:docPartGallery w:val="Page Numbers (Bottom of Page)"/>
        <w:docPartUnique/>
      </w:docPartObj>
    </w:sdtPr>
    <w:sdtEndPr>
      <w:rPr>
        <w:noProof/>
      </w:rPr>
    </w:sdtEndPr>
    <w:sdtContent>
      <w:p w:rsidR="00003A1E" w:rsidRDefault="009A5D30">
        <w:pPr>
          <w:pStyle w:val="Footer"/>
          <w:jc w:val="center"/>
        </w:pPr>
        <w:r>
          <w:fldChar w:fldCharType="begin"/>
        </w:r>
        <w:r w:rsidR="00003A1E">
          <w:instrText xml:space="preserve"> PAGE   \* MERGEFORMAT </w:instrText>
        </w:r>
        <w:r>
          <w:fldChar w:fldCharType="separate"/>
        </w:r>
        <w:r w:rsidR="00CE6D3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DD" w:rsidRDefault="00D866DD" w:rsidP="003837F2">
      <w:pPr>
        <w:spacing w:after="0" w:line="240" w:lineRule="auto"/>
      </w:pPr>
      <w:r>
        <w:separator/>
      </w:r>
    </w:p>
  </w:footnote>
  <w:footnote w:type="continuationSeparator" w:id="0">
    <w:p w:rsidR="00D866DD" w:rsidRDefault="00D866DD" w:rsidP="00383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871"/>
    <w:multiLevelType w:val="hybridMultilevel"/>
    <w:tmpl w:val="DD0E2080"/>
    <w:lvl w:ilvl="0" w:tplc="44C6D346">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65610"/>
    <w:multiLevelType w:val="hybridMultilevel"/>
    <w:tmpl w:val="EF1A4850"/>
    <w:lvl w:ilvl="0" w:tplc="2A3462C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C1D76"/>
    <w:multiLevelType w:val="hybridMultilevel"/>
    <w:tmpl w:val="E4229CD8"/>
    <w:lvl w:ilvl="0" w:tplc="3934F60E">
      <w:start w:val="2"/>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E9D5C9E"/>
    <w:multiLevelType w:val="hybridMultilevel"/>
    <w:tmpl w:val="12EA173E"/>
    <w:lvl w:ilvl="0" w:tplc="03F8B1E0">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92380"/>
    <w:multiLevelType w:val="hybridMultilevel"/>
    <w:tmpl w:val="CFA4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D4677"/>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12B8C"/>
    <w:multiLevelType w:val="hybridMultilevel"/>
    <w:tmpl w:val="9EAEDFB0"/>
    <w:lvl w:ilvl="0" w:tplc="467423D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5AAD"/>
    <w:multiLevelType w:val="hybridMultilevel"/>
    <w:tmpl w:val="ECD653CC"/>
    <w:lvl w:ilvl="0" w:tplc="2A3462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C3E94"/>
    <w:multiLevelType w:val="hybridMultilevel"/>
    <w:tmpl w:val="DB4A6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000ED"/>
    <w:multiLevelType w:val="hybridMultilevel"/>
    <w:tmpl w:val="720A6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E5BEC"/>
    <w:multiLevelType w:val="hybridMultilevel"/>
    <w:tmpl w:val="2AA67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65699"/>
    <w:multiLevelType w:val="hybridMultilevel"/>
    <w:tmpl w:val="F4666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85D"/>
    <w:multiLevelType w:val="hybridMultilevel"/>
    <w:tmpl w:val="3FBC9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9E2384"/>
    <w:multiLevelType w:val="hybridMultilevel"/>
    <w:tmpl w:val="61E2B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20135"/>
    <w:multiLevelType w:val="hybridMultilevel"/>
    <w:tmpl w:val="7AEAF7B6"/>
    <w:lvl w:ilvl="0" w:tplc="920C7EF0">
      <w:start w:val="3"/>
      <w:numFmt w:val="lowerLetter"/>
      <w:lvlText w:val="%1."/>
      <w:lvlJc w:val="left"/>
      <w:pPr>
        <w:ind w:left="720" w:hanging="360"/>
      </w:pPr>
      <w:rPr>
        <w:rFonts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B784409"/>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CA2E51"/>
    <w:multiLevelType w:val="hybridMultilevel"/>
    <w:tmpl w:val="CC5A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D1875"/>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E26A0"/>
    <w:multiLevelType w:val="hybridMultilevel"/>
    <w:tmpl w:val="A20E8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D79A4"/>
    <w:multiLevelType w:val="hybridMultilevel"/>
    <w:tmpl w:val="BDDA0BE0"/>
    <w:lvl w:ilvl="0" w:tplc="01987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A30E0"/>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94140"/>
    <w:multiLevelType w:val="hybridMultilevel"/>
    <w:tmpl w:val="128E2466"/>
    <w:lvl w:ilvl="0" w:tplc="32DC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863461"/>
    <w:multiLevelType w:val="hybridMultilevel"/>
    <w:tmpl w:val="4CBEAE56"/>
    <w:lvl w:ilvl="0" w:tplc="4BD48F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57A47"/>
    <w:multiLevelType w:val="hybridMultilevel"/>
    <w:tmpl w:val="A752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81713"/>
    <w:multiLevelType w:val="hybridMultilevel"/>
    <w:tmpl w:val="60BC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66697"/>
    <w:multiLevelType w:val="hybridMultilevel"/>
    <w:tmpl w:val="DE8AD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96D59"/>
    <w:multiLevelType w:val="hybridMultilevel"/>
    <w:tmpl w:val="0CB84DC0"/>
    <w:lvl w:ilvl="0" w:tplc="78BAF4D4">
      <w:start w:val="1"/>
      <w:numFmt w:val="lowerLetter"/>
      <w:lvlText w:val="%1."/>
      <w:lvlJc w:val="left"/>
      <w:pPr>
        <w:ind w:left="720" w:hanging="360"/>
      </w:pPr>
      <w:rPr>
        <w:rFonts w:ascii="Calibri"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112B6"/>
    <w:multiLevelType w:val="hybridMultilevel"/>
    <w:tmpl w:val="1A00DE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A309CF"/>
    <w:multiLevelType w:val="hybridMultilevel"/>
    <w:tmpl w:val="D1847036"/>
    <w:lvl w:ilvl="0" w:tplc="F7B0B26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66C96"/>
    <w:multiLevelType w:val="hybridMultilevel"/>
    <w:tmpl w:val="73306074"/>
    <w:lvl w:ilvl="0" w:tplc="99C4735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96525"/>
    <w:multiLevelType w:val="hybridMultilevel"/>
    <w:tmpl w:val="E86C1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643170"/>
    <w:multiLevelType w:val="hybridMultilevel"/>
    <w:tmpl w:val="CA2A458A"/>
    <w:lvl w:ilvl="0" w:tplc="A4C0C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C32E49"/>
    <w:multiLevelType w:val="hybridMultilevel"/>
    <w:tmpl w:val="1F0EAAA2"/>
    <w:lvl w:ilvl="0" w:tplc="7E58860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9BF0124"/>
    <w:multiLevelType w:val="hybridMultilevel"/>
    <w:tmpl w:val="76840644"/>
    <w:lvl w:ilvl="0" w:tplc="6D1075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74B6C"/>
    <w:multiLevelType w:val="hybridMultilevel"/>
    <w:tmpl w:val="6EB8E840"/>
    <w:lvl w:ilvl="0" w:tplc="5A3C40C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36">
    <w:nsid w:val="6C930525"/>
    <w:multiLevelType w:val="hybridMultilevel"/>
    <w:tmpl w:val="CFEAF530"/>
    <w:lvl w:ilvl="0" w:tplc="CDE669F8">
      <w:start w:val="1"/>
      <w:numFmt w:val="decimal"/>
      <w:lvlText w:val="%1."/>
      <w:lvlJc w:val="left"/>
      <w:pPr>
        <w:ind w:left="360" w:hanging="360"/>
      </w:pPr>
      <w:rPr>
        <w:rFonts w:ascii="Times New Roman" w:eastAsia="Times New Roman" w:hAnsi="Times New Roman"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C26552"/>
    <w:multiLevelType w:val="hybridMultilevel"/>
    <w:tmpl w:val="86BEC8A0"/>
    <w:lvl w:ilvl="0" w:tplc="69BE0A9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8">
    <w:nsid w:val="76C64F4E"/>
    <w:multiLevelType w:val="hybridMultilevel"/>
    <w:tmpl w:val="E5CE991A"/>
    <w:lvl w:ilvl="0" w:tplc="591E5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01003"/>
    <w:multiLevelType w:val="singleLevel"/>
    <w:tmpl w:val="0494D9F8"/>
    <w:lvl w:ilvl="0">
      <w:start w:val="1"/>
      <w:numFmt w:val="decimal"/>
      <w:pStyle w:val="ParNumber"/>
      <w:lvlText w:val="%1."/>
      <w:lvlJc w:val="left"/>
      <w:pPr>
        <w:tabs>
          <w:tab w:val="num" w:pos="360"/>
        </w:tabs>
        <w:ind w:left="360" w:hanging="360"/>
      </w:pPr>
      <w:rPr>
        <w:b w:val="0"/>
        <w:i/>
        <w:sz w:val="24"/>
        <w:szCs w:val="24"/>
      </w:rPr>
    </w:lvl>
  </w:abstractNum>
  <w:abstractNum w:abstractNumId="40">
    <w:nsid w:val="7B0415A5"/>
    <w:multiLevelType w:val="hybridMultilevel"/>
    <w:tmpl w:val="76B21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20F96"/>
    <w:multiLevelType w:val="hybridMultilevel"/>
    <w:tmpl w:val="BB901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5"/>
  </w:num>
  <w:num w:numId="4">
    <w:abstractNumId w:val="21"/>
  </w:num>
  <w:num w:numId="5">
    <w:abstractNumId w:val="36"/>
  </w:num>
  <w:num w:numId="6">
    <w:abstractNumId w:val="37"/>
  </w:num>
  <w:num w:numId="7">
    <w:abstractNumId w:val="41"/>
  </w:num>
  <w:num w:numId="8">
    <w:abstractNumId w:val="29"/>
  </w:num>
  <w:num w:numId="9">
    <w:abstractNumId w:val="35"/>
  </w:num>
  <w:num w:numId="10">
    <w:abstractNumId w:val="3"/>
  </w:num>
  <w:num w:numId="11">
    <w:abstractNumId w:val="22"/>
  </w:num>
  <w:num w:numId="12">
    <w:abstractNumId w:val="34"/>
  </w:num>
  <w:num w:numId="13">
    <w:abstractNumId w:val="39"/>
  </w:num>
  <w:num w:numId="14">
    <w:abstractNumId w:val="6"/>
  </w:num>
  <w:num w:numId="15">
    <w:abstractNumId w:val="28"/>
  </w:num>
  <w:num w:numId="16">
    <w:abstractNumId w:val="0"/>
  </w:num>
  <w:num w:numId="17">
    <w:abstractNumId w:val="33"/>
  </w:num>
  <w:num w:numId="18">
    <w:abstractNumId w:val="26"/>
  </w:num>
  <w:num w:numId="19">
    <w:abstractNumId w:val="24"/>
  </w:num>
  <w:num w:numId="20">
    <w:abstractNumId w:val="16"/>
  </w:num>
  <w:num w:numId="21">
    <w:abstractNumId w:val="12"/>
  </w:num>
  <w:num w:numId="22">
    <w:abstractNumId w:val="27"/>
  </w:num>
  <w:num w:numId="23">
    <w:abstractNumId w:val="7"/>
  </w:num>
  <w:num w:numId="24">
    <w:abstractNumId w:val="1"/>
  </w:num>
  <w:num w:numId="25">
    <w:abstractNumId w:val="9"/>
  </w:num>
  <w:num w:numId="26">
    <w:abstractNumId w:val="19"/>
  </w:num>
  <w:num w:numId="27">
    <w:abstractNumId w:val="11"/>
  </w:num>
  <w:num w:numId="28">
    <w:abstractNumId w:val="2"/>
  </w:num>
  <w:num w:numId="29">
    <w:abstractNumId w:val="25"/>
  </w:num>
  <w:num w:numId="30">
    <w:abstractNumId w:val="32"/>
  </w:num>
  <w:num w:numId="31">
    <w:abstractNumId w:val="13"/>
  </w:num>
  <w:num w:numId="32">
    <w:abstractNumId w:val="14"/>
  </w:num>
  <w:num w:numId="33">
    <w:abstractNumId w:val="23"/>
  </w:num>
  <w:num w:numId="34">
    <w:abstractNumId w:val="38"/>
  </w:num>
  <w:num w:numId="35">
    <w:abstractNumId w:val="20"/>
  </w:num>
  <w:num w:numId="36">
    <w:abstractNumId w:val="4"/>
  </w:num>
  <w:num w:numId="37">
    <w:abstractNumId w:val="40"/>
  </w:num>
  <w:num w:numId="38">
    <w:abstractNumId w:val="18"/>
  </w:num>
  <w:num w:numId="39">
    <w:abstractNumId w:val="30"/>
  </w:num>
  <w:num w:numId="40">
    <w:abstractNumId w:val="8"/>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E8"/>
    <w:rsid w:val="0000376B"/>
    <w:rsid w:val="00003A1E"/>
    <w:rsid w:val="000135A1"/>
    <w:rsid w:val="00014D06"/>
    <w:rsid w:val="00017B3A"/>
    <w:rsid w:val="00026697"/>
    <w:rsid w:val="0006319D"/>
    <w:rsid w:val="00066C46"/>
    <w:rsid w:val="00084DB2"/>
    <w:rsid w:val="000B0577"/>
    <w:rsid w:val="000E1D49"/>
    <w:rsid w:val="000F68D3"/>
    <w:rsid w:val="00144315"/>
    <w:rsid w:val="00162B80"/>
    <w:rsid w:val="00163046"/>
    <w:rsid w:val="00187BE0"/>
    <w:rsid w:val="001A19AD"/>
    <w:rsid w:val="001A4758"/>
    <w:rsid w:val="001B48AF"/>
    <w:rsid w:val="001D02F7"/>
    <w:rsid w:val="001E2A3F"/>
    <w:rsid w:val="001E2BED"/>
    <w:rsid w:val="001E4723"/>
    <w:rsid w:val="001F6CA1"/>
    <w:rsid w:val="0025476E"/>
    <w:rsid w:val="002C050B"/>
    <w:rsid w:val="00315F13"/>
    <w:rsid w:val="0033119E"/>
    <w:rsid w:val="0036324E"/>
    <w:rsid w:val="00380F44"/>
    <w:rsid w:val="003837B2"/>
    <w:rsid w:val="003837F2"/>
    <w:rsid w:val="003921D4"/>
    <w:rsid w:val="003A1813"/>
    <w:rsid w:val="003A24BC"/>
    <w:rsid w:val="003A3342"/>
    <w:rsid w:val="003E559E"/>
    <w:rsid w:val="003F0B19"/>
    <w:rsid w:val="0041759E"/>
    <w:rsid w:val="004204AD"/>
    <w:rsid w:val="0042710A"/>
    <w:rsid w:val="004427D2"/>
    <w:rsid w:val="00454484"/>
    <w:rsid w:val="004671EA"/>
    <w:rsid w:val="00483207"/>
    <w:rsid w:val="00485933"/>
    <w:rsid w:val="004B1499"/>
    <w:rsid w:val="004B38D7"/>
    <w:rsid w:val="004B796A"/>
    <w:rsid w:val="004D66D3"/>
    <w:rsid w:val="004E3DFC"/>
    <w:rsid w:val="0050072F"/>
    <w:rsid w:val="00506F67"/>
    <w:rsid w:val="005115B8"/>
    <w:rsid w:val="00513E95"/>
    <w:rsid w:val="00517A3E"/>
    <w:rsid w:val="005207D6"/>
    <w:rsid w:val="00521467"/>
    <w:rsid w:val="005636EB"/>
    <w:rsid w:val="00584B9A"/>
    <w:rsid w:val="00587D6C"/>
    <w:rsid w:val="005A0ABC"/>
    <w:rsid w:val="005B4481"/>
    <w:rsid w:val="005F7377"/>
    <w:rsid w:val="00686511"/>
    <w:rsid w:val="006868DA"/>
    <w:rsid w:val="006D75B4"/>
    <w:rsid w:val="006F14A4"/>
    <w:rsid w:val="00723B6F"/>
    <w:rsid w:val="00742896"/>
    <w:rsid w:val="00747B31"/>
    <w:rsid w:val="0075467C"/>
    <w:rsid w:val="00756678"/>
    <w:rsid w:val="00781A5E"/>
    <w:rsid w:val="00793F22"/>
    <w:rsid w:val="007D1388"/>
    <w:rsid w:val="007D2ABB"/>
    <w:rsid w:val="008449E1"/>
    <w:rsid w:val="00864FA7"/>
    <w:rsid w:val="0087246F"/>
    <w:rsid w:val="00872DE6"/>
    <w:rsid w:val="008A717A"/>
    <w:rsid w:val="008C3C39"/>
    <w:rsid w:val="008F02E8"/>
    <w:rsid w:val="009606C6"/>
    <w:rsid w:val="00993203"/>
    <w:rsid w:val="009A5D30"/>
    <w:rsid w:val="009A63A0"/>
    <w:rsid w:val="009D1132"/>
    <w:rsid w:val="009E7C75"/>
    <w:rsid w:val="009F3CE0"/>
    <w:rsid w:val="00A014C5"/>
    <w:rsid w:val="00A363F6"/>
    <w:rsid w:val="00A64710"/>
    <w:rsid w:val="00AC394D"/>
    <w:rsid w:val="00B01FF5"/>
    <w:rsid w:val="00B03926"/>
    <w:rsid w:val="00B360D5"/>
    <w:rsid w:val="00BA4EFC"/>
    <w:rsid w:val="00BB381E"/>
    <w:rsid w:val="00BC4F52"/>
    <w:rsid w:val="00BC5AFE"/>
    <w:rsid w:val="00BF000C"/>
    <w:rsid w:val="00BF2967"/>
    <w:rsid w:val="00C22092"/>
    <w:rsid w:val="00C2299B"/>
    <w:rsid w:val="00C748E5"/>
    <w:rsid w:val="00C77D84"/>
    <w:rsid w:val="00C8760A"/>
    <w:rsid w:val="00CC648E"/>
    <w:rsid w:val="00CD4E41"/>
    <w:rsid w:val="00CE28F6"/>
    <w:rsid w:val="00CE6D3D"/>
    <w:rsid w:val="00D62063"/>
    <w:rsid w:val="00D7639D"/>
    <w:rsid w:val="00D866DD"/>
    <w:rsid w:val="00D90F07"/>
    <w:rsid w:val="00DA7E28"/>
    <w:rsid w:val="00DD20A9"/>
    <w:rsid w:val="00DD6C42"/>
    <w:rsid w:val="00DE013E"/>
    <w:rsid w:val="00DE0D7A"/>
    <w:rsid w:val="00DE6B24"/>
    <w:rsid w:val="00E05BE8"/>
    <w:rsid w:val="00E5050C"/>
    <w:rsid w:val="00E54196"/>
    <w:rsid w:val="00E63DE8"/>
    <w:rsid w:val="00E7610F"/>
    <w:rsid w:val="00EB4CB9"/>
    <w:rsid w:val="00ED0C90"/>
    <w:rsid w:val="00EF54D9"/>
    <w:rsid w:val="00F125E4"/>
    <w:rsid w:val="00F3209E"/>
    <w:rsid w:val="00F53383"/>
    <w:rsid w:val="00F62AF3"/>
    <w:rsid w:val="00F72A1F"/>
    <w:rsid w:val="00F8335C"/>
    <w:rsid w:val="00FC17EA"/>
    <w:rsid w:val="00FD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 w:type="paragraph" w:styleId="NoSpacing">
    <w:name w:val="No Spacing"/>
    <w:uiPriority w:val="1"/>
    <w:qFormat/>
    <w:rsid w:val="0042710A"/>
    <w:pPr>
      <w:spacing w:after="0" w:line="240" w:lineRule="auto"/>
    </w:pPr>
    <w:rPr>
      <w:rFonts w:ascii="Times New Roman" w:eastAsia="Calibri" w:hAnsi="Times New Roman" w:cs="Times New Roman"/>
      <w:sz w:val="24"/>
    </w:rPr>
  </w:style>
  <w:style w:type="paragraph" w:customStyle="1" w:styleId="AutoNumBodyCharCharCharChar">
    <w:name w:val="AutoNum Body Char Char Char Char"/>
    <w:basedOn w:val="Normal"/>
    <w:autoRedefine/>
    <w:uiPriority w:val="99"/>
    <w:rsid w:val="009E7C75"/>
    <w:pPr>
      <w:widowControl w:val="0"/>
      <w:spacing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781A5E"/>
    <w:pPr>
      <w:autoSpaceDE w:val="0"/>
      <w:autoSpaceDN w:val="0"/>
      <w:adjustRightInd w:val="0"/>
      <w:spacing w:after="0" w:line="240" w:lineRule="atLeast"/>
      <w:ind w:left="360"/>
    </w:pPr>
    <w:rPr>
      <w:rFonts w:ascii="Times New Roman" w:eastAsia="Times New Roman" w:hAnsi="Times New Roman" w:cs="Times New Roman"/>
      <w:color w:val="000000"/>
      <w:sz w:val="20"/>
      <w:szCs w:val="20"/>
      <w:lang w:val="x-none" w:eastAsia="x-none"/>
    </w:rPr>
  </w:style>
  <w:style w:type="character" w:customStyle="1" w:styleId="BodyTextIndent2Char">
    <w:name w:val="Body Text Indent 2 Char"/>
    <w:basedOn w:val="DefaultParagraphFont"/>
    <w:link w:val="BodyTextIndent2"/>
    <w:rsid w:val="00781A5E"/>
    <w:rPr>
      <w:rFonts w:ascii="Times New Roman" w:eastAsia="Times New Roman" w:hAnsi="Times New Roman" w:cs="Times New Roman"/>
      <w:color w:val="000000"/>
      <w:sz w:val="20"/>
      <w:szCs w:val="20"/>
      <w:lang w:val="x-none" w:eastAsia="x-none"/>
    </w:rPr>
  </w:style>
  <w:style w:type="paragraph" w:styleId="ListParagraph">
    <w:name w:val="List Paragraph"/>
    <w:basedOn w:val="Normal"/>
    <w:uiPriority w:val="34"/>
    <w:qFormat/>
    <w:rsid w:val="009606C6"/>
    <w:pPr>
      <w:ind w:left="720"/>
      <w:contextualSpacing/>
    </w:pPr>
  </w:style>
  <w:style w:type="character" w:customStyle="1" w:styleId="DeltaViewInsertion">
    <w:name w:val="DeltaView Insertion"/>
    <w:rsid w:val="00DD20A9"/>
    <w:rPr>
      <w:color w:val="0000FF"/>
      <w:spacing w:val="0"/>
      <w:u w:val="double"/>
    </w:rPr>
  </w:style>
  <w:style w:type="paragraph" w:customStyle="1" w:styleId="Default">
    <w:name w:val="Default"/>
    <w:rsid w:val="007D2AB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unhideWhenUsed/>
    <w:rsid w:val="003837F2"/>
    <w:pPr>
      <w:spacing w:after="0" w:line="240" w:lineRule="auto"/>
      <w:ind w:firstLine="720"/>
    </w:pPr>
    <w:rPr>
      <w:rFonts w:ascii="Times" w:eastAsia="Times" w:hAnsi="Times"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3837F2"/>
    <w:rPr>
      <w:rFonts w:ascii="Times" w:eastAsia="Times" w:hAnsi="Times" w:cs="Times New Roman"/>
      <w:sz w:val="20"/>
      <w:szCs w:val="20"/>
    </w:rPr>
  </w:style>
  <w:style w:type="character" w:styleId="FootnoteReference">
    <w:name w:val="footnote reference"/>
    <w:basedOn w:val="DefaultParagraphFont"/>
    <w:uiPriority w:val="99"/>
    <w:semiHidden/>
    <w:unhideWhenUsed/>
    <w:rsid w:val="003837F2"/>
    <w:rPr>
      <w:vertAlign w:val="superscript"/>
    </w:rPr>
  </w:style>
  <w:style w:type="paragraph" w:customStyle="1" w:styleId="ParNumber">
    <w:name w:val="ParNumber"/>
    <w:basedOn w:val="Normal"/>
    <w:rsid w:val="00686511"/>
    <w:pPr>
      <w:numPr>
        <w:numId w:val="13"/>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511"/>
    <w:rPr>
      <w:color w:val="0000FF"/>
      <w:u w:val="single"/>
    </w:rPr>
  </w:style>
  <w:style w:type="paragraph" w:styleId="BalloonText">
    <w:name w:val="Balloon Text"/>
    <w:basedOn w:val="Normal"/>
    <w:link w:val="BalloonTextChar"/>
    <w:uiPriority w:val="99"/>
    <w:semiHidden/>
    <w:unhideWhenUsed/>
    <w:rsid w:val="004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207"/>
    <w:rPr>
      <w:rFonts w:ascii="Tahoma" w:hAnsi="Tahoma" w:cs="Tahoma"/>
      <w:sz w:val="16"/>
      <w:szCs w:val="16"/>
    </w:rPr>
  </w:style>
  <w:style w:type="paragraph" w:styleId="Header">
    <w:name w:val="header"/>
    <w:basedOn w:val="Normal"/>
    <w:link w:val="HeaderChar"/>
    <w:uiPriority w:val="99"/>
    <w:unhideWhenUsed/>
    <w:rsid w:val="00E7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0F"/>
  </w:style>
  <w:style w:type="paragraph" w:styleId="Footer">
    <w:name w:val="footer"/>
    <w:basedOn w:val="Normal"/>
    <w:link w:val="FooterChar"/>
    <w:uiPriority w:val="99"/>
    <w:unhideWhenUsed/>
    <w:rsid w:val="00E7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0F"/>
  </w:style>
  <w:style w:type="paragraph" w:styleId="NormalWeb">
    <w:name w:val="Normal (Web)"/>
    <w:basedOn w:val="Normal"/>
    <w:link w:val="NormalWebChar"/>
    <w:uiPriority w:val="99"/>
    <w:rsid w:val="00993203"/>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link w:val="NormalWeb"/>
    <w:rsid w:val="00993203"/>
    <w:rPr>
      <w:rFonts w:ascii="Times New Roman" w:eastAsia="Batang" w:hAnsi="Times New Roman" w:cs="Times New Roman"/>
      <w:sz w:val="24"/>
      <w:szCs w:val="24"/>
      <w:lang w:eastAsia="ko-KR"/>
    </w:rPr>
  </w:style>
  <w:style w:type="paragraph" w:styleId="NoSpacing">
    <w:name w:val="No Spacing"/>
    <w:uiPriority w:val="1"/>
    <w:qFormat/>
    <w:rsid w:val="0042710A"/>
    <w:pPr>
      <w:spacing w:after="0" w:line="240" w:lineRule="auto"/>
    </w:pPr>
    <w:rPr>
      <w:rFonts w:ascii="Times New Roman" w:eastAsia="Calibri" w:hAnsi="Times New Roman" w:cs="Times New Roman"/>
      <w:sz w:val="24"/>
    </w:rPr>
  </w:style>
  <w:style w:type="paragraph" w:customStyle="1" w:styleId="AutoNumBodyCharCharCharChar">
    <w:name w:val="AutoNum Body Char Char Char Char"/>
    <w:basedOn w:val="Normal"/>
    <w:autoRedefine/>
    <w:uiPriority w:val="99"/>
    <w:rsid w:val="009E7C75"/>
    <w:pPr>
      <w:widowControl w:val="0"/>
      <w:spacing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2013-02-14T08:00:00+00:00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F9A43-0EB6-4D58-84D4-71FE87C077B1}"/>
</file>

<file path=customXml/itemProps2.xml><?xml version="1.0" encoding="utf-8"?>
<ds:datastoreItem xmlns:ds="http://schemas.openxmlformats.org/officeDocument/2006/customXml" ds:itemID="{382DEF0B-3A18-4F95-BFA2-9D739212E1AA}"/>
</file>

<file path=customXml/itemProps3.xml><?xml version="1.0" encoding="utf-8"?>
<ds:datastoreItem xmlns:ds="http://schemas.openxmlformats.org/officeDocument/2006/customXml" ds:itemID="{46C4AFA0-699F-4EAB-98F4-CA5504FE996C}"/>
</file>

<file path=customXml/itemProps4.xml><?xml version="1.0" encoding="utf-8"?>
<ds:datastoreItem xmlns:ds="http://schemas.openxmlformats.org/officeDocument/2006/customXml" ds:itemID="{46E35CF9-2B79-4ED2-8028-05C132F24471}"/>
</file>

<file path=customXml/itemProps5.xml><?xml version="1.0" encoding="utf-8"?>
<ds:datastoreItem xmlns:ds="http://schemas.openxmlformats.org/officeDocument/2006/customXml" ds:itemID="{C9A3B87C-DF95-4EE7-834D-61FACAA48E30}"/>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John (UTC)</dc:creator>
  <cp:lastModifiedBy>Cupp, John (UTC)</cp:lastModifiedBy>
  <cp:revision>3</cp:revision>
  <cp:lastPrinted>2012-07-27T19:41:00Z</cp:lastPrinted>
  <dcterms:created xsi:type="dcterms:W3CDTF">2013-02-05T18:20:00Z</dcterms:created>
  <dcterms:modified xsi:type="dcterms:W3CDTF">2013-02-05T18:36:00Z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