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8D" w:rsidRDefault="00904B8D" w:rsidP="003F128E">
      <w:pPr>
        <w:pStyle w:val="Answer"/>
        <w:suppressLineNumbers/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PACIFIC POWER’S REBUTTAL REVENUE REQUIREMENT BASED ON JULY 1, 2016 RATE EFFECTIVE DATE</w:t>
      </w:r>
      <w:r>
        <w:rPr>
          <w:rStyle w:val="FootnoteReference"/>
          <w:b/>
        </w:rPr>
        <w:footnoteReference w:id="1"/>
      </w:r>
    </w:p>
    <w:p w:rsidR="00904B8D" w:rsidRDefault="00904B8D" w:rsidP="003F128E">
      <w:pPr>
        <w:pStyle w:val="Answer"/>
        <w:suppressLineNumbers/>
        <w:spacing w:line="240" w:lineRule="auto"/>
        <w:jc w:val="center"/>
        <w:rPr>
          <w:b/>
        </w:rPr>
      </w:pPr>
    </w:p>
    <w:p w:rsidR="00CD1E1D" w:rsidRPr="00E328BD" w:rsidRDefault="00CD1E1D" w:rsidP="003F128E">
      <w:pPr>
        <w:pStyle w:val="Answer"/>
        <w:suppressLineNumbers/>
        <w:spacing w:line="240" w:lineRule="auto"/>
        <w:jc w:val="center"/>
        <w:rPr>
          <w:b/>
        </w:rPr>
      </w:pPr>
      <w:r w:rsidRPr="00E328BD">
        <w:rPr>
          <w:b/>
        </w:rPr>
        <w:t>Year 1 Revenue Requirement Increase</w:t>
      </w:r>
    </w:p>
    <w:tbl>
      <w:tblPr>
        <w:tblW w:w="8205" w:type="dxa"/>
        <w:jc w:val="center"/>
        <w:tblLook w:val="04A0" w:firstRow="1" w:lastRow="0" w:firstColumn="1" w:lastColumn="0" w:noHBand="0" w:noVBand="1"/>
      </w:tblPr>
      <w:tblGrid>
        <w:gridCol w:w="636"/>
        <w:gridCol w:w="4861"/>
        <w:gridCol w:w="2790"/>
      </w:tblGrid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bookmarkStart w:id="1" w:name="RANGE!A1:C26"/>
            <w:r w:rsidRPr="00196377">
              <w:rPr>
                <w:b/>
                <w:bCs/>
              </w:rPr>
              <w:t>Calculated Revenue Requirement for Year 1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$10,746,470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Amount Not Requested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>($746,470)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Filed Revenue Requirement for Year 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$10,000,000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Adjustments Accepted or Partially Accepted by Company in Rebuttal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Revenue Requirement Impact ($)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4.1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Miscellaneous Expense &amp; Revenue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$101,677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4.9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Membership and Subscriptions</w:t>
            </w:r>
            <w:r w:rsidR="007128A0" w:rsidRPr="00196377">
              <w:rPr>
                <w:rStyle w:val="FootnoteReference"/>
              </w:rPr>
              <w:footnoteReference w:id="2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($2,085)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4.11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Full Time Equivalent Reductions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($874,949)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5.2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Colstrip #3 Removal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($829,873)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5.3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EIM Costs Removal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($526,900)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6.5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Retired Asset Depreciation Expense Removal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($136,978)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7.2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Property Tax Expense</w:t>
            </w:r>
            <w:r w:rsidR="00F9426D" w:rsidRPr="00196377">
              <w:rPr>
                <w:rStyle w:val="FootnoteReference"/>
              </w:rPr>
              <w:footnoteReference w:id="3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$226,458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7.4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proofErr w:type="spellStart"/>
            <w:r w:rsidRPr="00196377">
              <w:t>PowerTax</w:t>
            </w:r>
            <w:proofErr w:type="spellEnd"/>
            <w:r w:rsidRPr="00196377">
              <w:t xml:space="preserve"> ADIT Balance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$24,933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7.7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Remove Deferred State Tax Expense &amp; Balance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($98,122)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8.4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Pro Forma Major Plant Additions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($653,709)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Total Impact of Adjustments Accepted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($2,769,550)</w:t>
            </w:r>
          </w:p>
        </w:tc>
      </w:tr>
      <w:tr w:rsidR="00CD1E1D" w:rsidRPr="00196377" w:rsidTr="00997B39">
        <w:trPr>
          <w:trHeight w:val="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</w:tr>
      <w:tr w:rsidR="00CD1E1D" w:rsidRPr="00196377" w:rsidTr="00997B39">
        <w:trPr>
          <w:trHeight w:val="270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Revised Revenue Requirement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$7,976,920 </w:t>
            </w:r>
          </w:p>
        </w:tc>
      </w:tr>
      <w:tr w:rsidR="00CD1E1D" w:rsidRPr="00196377" w:rsidTr="00997B39">
        <w:trPr>
          <w:trHeight w:val="27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Adjustments Revised by the Company in Rebuttal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Revenue Requirement Impact ($)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4.2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General Wage Increase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$537,169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6.4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Accelerated Depreciation - Colstrip &amp; Jim Bridger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$273,897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7.3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Production Tax Credits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$251,089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Total Impact of Revisions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 xml:space="preserve">$1,062,155 </w:t>
            </w:r>
          </w:p>
        </w:tc>
      </w:tr>
      <w:tr w:rsidR="00CD1E1D" w:rsidRPr="00196377" w:rsidTr="00997B39">
        <w:trPr>
          <w:trHeight w:val="7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</w:tr>
      <w:tr w:rsidR="00CD1E1D" w:rsidRPr="00196377" w:rsidTr="00997B39">
        <w:trPr>
          <w:trHeight w:val="270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Rebuttal Revenue Requirement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$9,039,075 </w:t>
            </w:r>
          </w:p>
        </w:tc>
      </w:tr>
    </w:tbl>
    <w:p w:rsidR="00904B8D" w:rsidRDefault="00904B8D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196377" w:rsidRPr="00196377" w:rsidRDefault="00196377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</w:p>
    <w:p w:rsidR="00CD1E1D" w:rsidRPr="00196377" w:rsidRDefault="00CD1E1D" w:rsidP="003F128E">
      <w:pPr>
        <w:pStyle w:val="Answer"/>
        <w:suppressLineNumbers/>
        <w:spacing w:line="240" w:lineRule="auto"/>
        <w:jc w:val="center"/>
        <w:rPr>
          <w:b/>
          <w:szCs w:val="24"/>
        </w:rPr>
      </w:pPr>
      <w:r w:rsidRPr="00196377">
        <w:rPr>
          <w:b/>
          <w:szCs w:val="24"/>
        </w:rPr>
        <w:lastRenderedPageBreak/>
        <w:t>TABLE 2—Year 2 Revenue Requirement Increase</w:t>
      </w:r>
    </w:p>
    <w:tbl>
      <w:tblPr>
        <w:tblW w:w="8168" w:type="dxa"/>
        <w:jc w:val="center"/>
        <w:tblLook w:val="04A0" w:firstRow="1" w:lastRow="0" w:firstColumn="1" w:lastColumn="0" w:noHBand="0" w:noVBand="1"/>
      </w:tblPr>
      <w:tblGrid>
        <w:gridCol w:w="336"/>
        <w:gridCol w:w="5128"/>
        <w:gridCol w:w="2734"/>
      </w:tblGrid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bookmarkStart w:id="2" w:name="RANGE!A1:C27"/>
            <w:r w:rsidRPr="00196377">
              <w:rPr>
                <w:b/>
                <w:bCs/>
              </w:rPr>
              <w:t>Calculated Revenue Requirement for Year 2</w:t>
            </w:r>
            <w:bookmarkEnd w:id="2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$10,550,094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Amount Not Requested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>($230,094)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Filed Revenue Requirement for Year 2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$10,320,000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Adjustments Revised by the Company in Rebuttal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Revenue Requirement Impact ($)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1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Jim Bridger Unit 4 Overhaul &amp; SCR Installation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($829,625)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2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SCADA EMS Replacement &amp; Upgrade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($53,066)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3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Union Gap Transmission Project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($111,346)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Production Tax Credits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$615,295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5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Remove Deferred State Tax Expense &amp; Balance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$171,942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6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Interest True Up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 xml:space="preserve">$105,192 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center"/>
            </w:pPr>
            <w:r w:rsidRPr="00196377">
              <w:t>7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Retired Asset Depreciation Expense Removal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</w:pPr>
            <w:r w:rsidRPr="00196377">
              <w:t>($64,917)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Total Impact of Revisions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($166,523)</w:t>
            </w:r>
          </w:p>
        </w:tc>
      </w:tr>
      <w:tr w:rsidR="00CD1E1D" w:rsidRPr="00196377" w:rsidTr="00997B39">
        <w:trPr>
          <w:trHeight w:val="270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outlineLvl w:val="0"/>
              <w:rPr>
                <w:b/>
                <w:bCs/>
              </w:rPr>
            </w:pPr>
            <w:r w:rsidRPr="00196377">
              <w:rPr>
                <w:b/>
                <w:bCs/>
              </w:rPr>
              <w:t>Revised Revenue Requirement Before Exclusion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outlineLvl w:val="0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$10,383,571 </w:t>
            </w:r>
          </w:p>
        </w:tc>
      </w:tr>
      <w:tr w:rsidR="00CD1E1D" w:rsidRPr="00196377" w:rsidTr="00997B39">
        <w:trPr>
          <w:trHeight w:val="7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 </w:t>
            </w:r>
          </w:p>
        </w:tc>
      </w:tr>
      <w:tr w:rsidR="00CD1E1D" w:rsidRPr="00196377" w:rsidTr="00997B39">
        <w:trPr>
          <w:trHeight w:val="255"/>
          <w:jc w:val="center"/>
        </w:trPr>
        <w:tc>
          <w:tcPr>
            <w:tcW w:w="5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Amount not Requested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  <w:i/>
                <w:iCs/>
              </w:rPr>
            </w:pPr>
            <w:r w:rsidRPr="00196377">
              <w:rPr>
                <w:b/>
                <w:bCs/>
                <w:i/>
                <w:iCs/>
              </w:rPr>
              <w:t>($63,571)</w:t>
            </w:r>
          </w:p>
        </w:tc>
      </w:tr>
      <w:tr w:rsidR="00CD1E1D" w:rsidRPr="00196377" w:rsidTr="00997B39">
        <w:trPr>
          <w:trHeight w:val="90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</w:pPr>
            <w:r w:rsidRPr="00196377">
              <w:t> </w:t>
            </w:r>
          </w:p>
        </w:tc>
      </w:tr>
      <w:tr w:rsidR="00CD1E1D" w:rsidRPr="00196377" w:rsidTr="00997B39">
        <w:trPr>
          <w:trHeight w:val="270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left"/>
              <w:rPr>
                <w:b/>
                <w:bCs/>
              </w:rPr>
            </w:pPr>
            <w:r w:rsidRPr="00196377">
              <w:rPr>
                <w:b/>
                <w:bCs/>
              </w:rPr>
              <w:t>Rebuttal Revenue Requirement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E1D" w:rsidRPr="00196377" w:rsidRDefault="00CD1E1D" w:rsidP="00997B39">
            <w:pPr>
              <w:jc w:val="right"/>
              <w:rPr>
                <w:b/>
                <w:bCs/>
              </w:rPr>
            </w:pPr>
            <w:r w:rsidRPr="00196377">
              <w:rPr>
                <w:b/>
                <w:bCs/>
              </w:rPr>
              <w:t xml:space="preserve">$10,320,000 </w:t>
            </w:r>
          </w:p>
        </w:tc>
      </w:tr>
    </w:tbl>
    <w:p w:rsidR="00F82A58" w:rsidRDefault="00F82A58"/>
    <w:sectPr w:rsidR="00F82A58" w:rsidSect="00904B8D">
      <w:headerReference w:type="default" r:id="rId7"/>
      <w:footerReference w:type="default" r:id="rId8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6D" w:rsidRDefault="00F9426D" w:rsidP="00F9426D">
      <w:r>
        <w:separator/>
      </w:r>
    </w:p>
  </w:endnote>
  <w:endnote w:type="continuationSeparator" w:id="0">
    <w:p w:rsidR="00F9426D" w:rsidRDefault="00F9426D" w:rsidP="00F9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C6" w:rsidRDefault="00507DC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6D" w:rsidRDefault="00F9426D" w:rsidP="00F9426D">
      <w:r>
        <w:separator/>
      </w:r>
    </w:p>
  </w:footnote>
  <w:footnote w:type="continuationSeparator" w:id="0">
    <w:p w:rsidR="00F9426D" w:rsidRDefault="00F9426D" w:rsidP="00F9426D">
      <w:r>
        <w:continuationSeparator/>
      </w:r>
    </w:p>
  </w:footnote>
  <w:footnote w:id="1">
    <w:p w:rsidR="00904B8D" w:rsidRPr="00904B8D" w:rsidRDefault="00904B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McCoy, Exh. No. SEM-6T 3 Table 1 and Table 2.</w:t>
      </w:r>
    </w:p>
  </w:footnote>
  <w:footnote w:id="2">
    <w:p w:rsidR="007128A0" w:rsidRDefault="007128A0">
      <w:pPr>
        <w:pStyle w:val="FootnoteText"/>
      </w:pPr>
      <w:r>
        <w:rPr>
          <w:rStyle w:val="FootnoteReference"/>
        </w:rPr>
        <w:footnoteRef/>
      </w:r>
      <w:r>
        <w:t xml:space="preserve"> The Company has partially accepted Staff’s adjustment, but still disputes Staff’s removal of costs associated with the Yakima County Development Association.  </w:t>
      </w:r>
      <w:r w:rsidR="008F61B7">
        <w:rPr>
          <w:i/>
        </w:rPr>
        <w:t xml:space="preserve">See </w:t>
      </w:r>
      <w:r>
        <w:t>McCoy, Exh. No. SEM-6T 12:6-13:6.</w:t>
      </w:r>
    </w:p>
  </w:footnote>
  <w:footnote w:id="3">
    <w:p w:rsidR="00F9426D" w:rsidRDefault="00F9426D">
      <w:pPr>
        <w:pStyle w:val="FootnoteText"/>
      </w:pPr>
      <w:r>
        <w:rPr>
          <w:rStyle w:val="FootnoteReference"/>
        </w:rPr>
        <w:footnoteRef/>
      </w:r>
      <w:r>
        <w:t xml:space="preserve"> Through discovery, Staff indicated that they accepted the Company’</w:t>
      </w:r>
      <w:r w:rsidR="008F61B7">
        <w:t>s rebuttal adjustment.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C6" w:rsidRDefault="00507DC6" w:rsidP="00507DC6">
    <w:pPr>
      <w:pStyle w:val="Header"/>
      <w:jc w:val="center"/>
    </w:pPr>
    <w:r>
      <w:t>APPENDIX A</w:t>
    </w:r>
  </w:p>
  <w:p w:rsidR="00507DC6" w:rsidRDefault="00507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1D"/>
    <w:rsid w:val="00196377"/>
    <w:rsid w:val="003F128E"/>
    <w:rsid w:val="00507DC6"/>
    <w:rsid w:val="007128A0"/>
    <w:rsid w:val="007F5740"/>
    <w:rsid w:val="008F61B7"/>
    <w:rsid w:val="00904B8D"/>
    <w:rsid w:val="00CD1E1D"/>
    <w:rsid w:val="00F82A58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605D-83D5-4AEE-9384-FC0D285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1"/>
    <w:qFormat/>
    <w:rsid w:val="00CD1E1D"/>
    <w:pPr>
      <w:spacing w:line="480" w:lineRule="auto"/>
      <w:ind w:left="720" w:hanging="720"/>
    </w:pPr>
    <w:rPr>
      <w:szCs w:val="20"/>
    </w:rPr>
  </w:style>
  <w:style w:type="character" w:customStyle="1" w:styleId="AnswerChar1">
    <w:name w:val="Answer Char1"/>
    <w:basedOn w:val="DefaultParagraphFont"/>
    <w:link w:val="Answer"/>
    <w:rsid w:val="00CD1E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2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2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7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D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D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C04D11-25DF-43DC-A3E4-432C77AD2972}"/>
</file>

<file path=customXml/itemProps2.xml><?xml version="1.0" encoding="utf-8"?>
<ds:datastoreItem xmlns:ds="http://schemas.openxmlformats.org/officeDocument/2006/customXml" ds:itemID="{D39F15E6-64E7-4EAB-B0CF-FC8CF8AA80AD}"/>
</file>

<file path=customXml/itemProps3.xml><?xml version="1.0" encoding="utf-8"?>
<ds:datastoreItem xmlns:ds="http://schemas.openxmlformats.org/officeDocument/2006/customXml" ds:itemID="{541831EC-FFAD-4BF1-BD5B-3E73DFF8B588}"/>
</file>

<file path=customXml/itemProps4.xml><?xml version="1.0" encoding="utf-8"?>
<ds:datastoreItem xmlns:ds="http://schemas.openxmlformats.org/officeDocument/2006/customXml" ds:itemID="{82391964-67B6-4B90-8000-A238392D21D1}"/>
</file>

<file path=customXml/itemProps5.xml><?xml version="1.0" encoding="utf-8"?>
<ds:datastoreItem xmlns:ds="http://schemas.openxmlformats.org/officeDocument/2006/customXml" ds:itemID="{86336DF4-5823-4320-BBE1-B056630A9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Lowney</dc:creator>
  <cp:keywords/>
  <dc:description/>
  <cp:lastModifiedBy>Wendy McIndoo</cp:lastModifiedBy>
  <cp:revision>2</cp:revision>
  <cp:lastPrinted>2016-06-22T18:52:00Z</cp:lastPrinted>
  <dcterms:created xsi:type="dcterms:W3CDTF">2016-06-22T18:53:00Z</dcterms:created>
  <dcterms:modified xsi:type="dcterms:W3CDTF">2016-06-22T18:53:00Z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