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14.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9C" w:rsidRDefault="00E2099C" w:rsidP="003F65D3"/>
    <w:p w:rsidR="00256586" w:rsidRDefault="00256586" w:rsidP="003F65D3"/>
    <w:p w:rsidR="00256586" w:rsidRDefault="00256586" w:rsidP="003F65D3"/>
    <w:bookmarkStart w:id="0" w:name="_Toc384647951"/>
    <w:bookmarkStart w:id="1" w:name="_Toc384699740"/>
    <w:bookmarkStart w:id="2" w:name="_Toc387320755"/>
    <w:bookmarkStart w:id="3" w:name="_Toc387754311"/>
    <w:bookmarkStart w:id="4" w:name="_Toc387826887"/>
    <w:p w:rsidR="00E2099C" w:rsidRDefault="00074C11" w:rsidP="003F65D3">
      <w:r>
        <w:rPr>
          <w:noProof/>
        </w:rPr>
        <mc:AlternateContent>
          <mc:Choice Requires="wpg">
            <w:drawing>
              <wp:anchor distT="0" distB="0" distL="114300" distR="114300" simplePos="0" relativeHeight="251656192" behindDoc="0" locked="0" layoutInCell="1" allowOverlap="1" wp14:anchorId="0CFA231B" wp14:editId="73218D49">
                <wp:simplePos x="0" y="0"/>
                <wp:positionH relativeFrom="column">
                  <wp:posOffset>1000125</wp:posOffset>
                </wp:positionH>
                <wp:positionV relativeFrom="paragraph">
                  <wp:posOffset>308610</wp:posOffset>
                </wp:positionV>
                <wp:extent cx="2486025" cy="4491990"/>
                <wp:effectExtent l="9525" t="13335" r="76200" b="952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4491990"/>
                          <a:chOff x="1575" y="1389"/>
                          <a:chExt cx="3915" cy="7074"/>
                        </a:xfrm>
                      </wpg:grpSpPr>
                      <wps:wsp>
                        <wps:cNvPr id="12" name="Rectangle 3"/>
                        <wps:cNvSpPr>
                          <a:spLocks noChangeArrowheads="1"/>
                        </wps:cNvSpPr>
                        <wps:spPr bwMode="auto">
                          <a:xfrm>
                            <a:off x="1575" y="1389"/>
                            <a:ext cx="3315" cy="2010"/>
                          </a:xfrm>
                          <a:prstGeom prst="rect">
                            <a:avLst/>
                          </a:prstGeom>
                          <a:gradFill rotWithShape="0">
                            <a:gsLst>
                              <a:gs pos="0">
                                <a:srgbClr val="006A71">
                                  <a:gamma/>
                                  <a:tint val="20000"/>
                                  <a:invGamma/>
                                </a:srgbClr>
                              </a:gs>
                              <a:gs pos="100000">
                                <a:srgbClr val="006A71"/>
                              </a:gs>
                            </a:gsLst>
                            <a:lin ang="2700000" scaled="1"/>
                          </a:gradFill>
                          <a:ln w="9525">
                            <a:solidFill>
                              <a:srgbClr val="000000"/>
                            </a:solidFill>
                            <a:miter lim="800000"/>
                            <a:headEnd/>
                            <a:tailEnd/>
                          </a:ln>
                          <a:effectLst>
                            <a:outerShdw dist="99190" dir="2388334" algn="ctr" rotWithShape="0">
                              <a:srgbClr val="808080"/>
                            </a:outerShdw>
                          </a:effectLst>
                        </wps:spPr>
                        <wps:bodyPr rot="0" vert="horz" wrap="square" lIns="91440" tIns="45720" rIns="91440" bIns="45720" anchor="t" anchorCtr="0" upright="1">
                          <a:noAutofit/>
                        </wps:bodyPr>
                      </wps:wsp>
                      <wps:wsp>
                        <wps:cNvPr id="13" name="Rectangle 4"/>
                        <wps:cNvSpPr>
                          <a:spLocks noChangeArrowheads="1"/>
                        </wps:cNvSpPr>
                        <wps:spPr bwMode="auto">
                          <a:xfrm>
                            <a:off x="3705" y="1854"/>
                            <a:ext cx="1785" cy="1725"/>
                          </a:xfrm>
                          <a:prstGeom prst="rect">
                            <a:avLst/>
                          </a:prstGeom>
                          <a:gradFill rotWithShape="0">
                            <a:gsLst>
                              <a:gs pos="0">
                                <a:srgbClr val="00B2A9">
                                  <a:gamma/>
                                  <a:tint val="20000"/>
                                  <a:invGamma/>
                                </a:srgbClr>
                              </a:gs>
                              <a:gs pos="100000">
                                <a:srgbClr val="00B2A9"/>
                              </a:gs>
                            </a:gsLst>
                            <a:lin ang="2700000" scaled="1"/>
                          </a:gradFill>
                          <a:ln w="9525">
                            <a:solidFill>
                              <a:srgbClr val="000000"/>
                            </a:solidFill>
                            <a:miter lim="800000"/>
                            <a:headEnd/>
                            <a:tailEnd/>
                          </a:ln>
                          <a:effectLst>
                            <a:outerShdw dist="99190" dir="2388334" algn="ctr" rotWithShape="0">
                              <a:srgbClr val="808080"/>
                            </a:outerShdw>
                          </a:effectLst>
                        </wps:spPr>
                        <wps:bodyPr rot="0" vert="horz" wrap="square" lIns="91440" tIns="45720" rIns="91440" bIns="45720" anchor="t" anchorCtr="0" upright="1">
                          <a:noAutofit/>
                        </wps:bodyPr>
                      </wps:wsp>
                      <wps:wsp>
                        <wps:cNvPr id="15" name="AutoShape 5"/>
                        <wps:cNvCnPr>
                          <a:cxnSpLocks noChangeShapeType="1"/>
                        </wps:cNvCnPr>
                        <wps:spPr bwMode="auto">
                          <a:xfrm>
                            <a:off x="3240" y="2364"/>
                            <a:ext cx="0" cy="6099"/>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8.75pt;margin-top:24.3pt;width:195.75pt;height:353.7pt;z-index:251656192" coordorigin="1575,1389" coordsize="3915,7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POQAQAAIoNAAAOAAAAZHJzL2Uyb0RvYy54bWzsV0lv4zYUvhfofyB0d6zN1oIoA9dLUGDa&#10;GUym6JmWaImoRKokbTkt+t/7uFhjOwkmmKI5DQQIpB75lu+tun137Fp0IEJSzgovuPE9RFjJK8rq&#10;wvvt82aSekgqzCrcckYK75FI793djz/cDn1OQt7wtiICARMm86EvvEapPp9OZdmQDssb3hMGxB0X&#10;HVawFfW0EngA7l07DX1/Ph24qHrBSyIlfF1Zondn+O92pFQfdjtJFGoLD3RT5i3Me6vf07tbnNcC&#10;9w0tnRr4G7ToMGUgdGS1wgqjvaBPWHW0FFzynbopeTflux0tibEBrAn8K2vuBd/3xpY6H+p+hAmg&#10;vcLpm9mWvx4+CkQr8B3Aw3AHPjJiUaixGfo6hyP3on/oPwprICzf8/IPCeTpNV3va3sYbYdfeAXs&#10;8F5xg81xJzrNAqxGR+OCx9EF5KhQCR/DOJ374cxDJdDiOAuyzDmpbMCT+l4wS4AO5CBKM+vAslm7&#10;+1EWuMuJn8SaOsW5FWyUdcppyyDg5BdM5X/D9KHBPTGukhqwE6bhCdNPEImY1S1BkcXVHDuBKi2i&#10;iPFlA6fIQgg+NARXoFVgjNDqAl97QW8k+OOrED8D1QnoKDoBpQPvAiic90Kqe8I7pBeFJ0B540F8&#10;eC+VxfR0xAV9taFtiwRXv1PVGDC0aw1Rwh27QD0Hg+xnKertshXogHVm+vNFEtjjuOswiMC5okxZ&#10;MiS676KAssO9OwGOdUyMk2t5LiTQV16WZG3QV4BLfdKwpQwB/BCFib2OZIlbopPDAQSVwliqRbUM&#10;DYWXzSBa9Vbylo60K+uMLlbmxbGOKqh+Le0KL7USjeXa82tWWRQwbe0aNG2ZlkRMXXOo8j2weGiq&#10;AVVU+yqDlIFMrigUuTBK0yiKPYTbGqpzqYT3rIsutE19/Th7R+4GqDPBkEw2Bm0mbXn1CPEI/tf+&#10;1Q0BFg0Xf3logOJaePLPPRbEQ+3PDEIgC+JYV2OziWdJCBtxTtmeUzArgVXhKTDELJfKVvB9L2jd&#10;gCQbOowvoNTsqIlQrZ/VClTXG0j2t8r66GnWm1Kk1RiTGCLmf8r6KPFdgUxnRi6EjCuPQZK68hgk&#10;ELc2JE91+ZTSb5f1P4WL7G2y3kiy5n7P+mfq4vesf/1Y9kKvh8Sy85OuQuYMMhnmsn7J7ABVHpkb&#10;oMZ2bw5/fuxhWLro9vaKvv+qbh+FuqjCYBRG86u8h+96oJr7mZmYxpnoSauXSmBdU5ecMej6XNjS&#10;+kLjZ1y3fdOnbDeE3jNz0fViO0w2+nG156Idwrjrut7XOuBRufanC5uZs//O/GydrtN4Eofz9ST2&#10;V6vJYrOMJ/NNkMxW0Wq5XAX/6GITxHlDq4owM7LYXw/4+Lr5z/192Gl9nPpHHKaX3G3XPML4A4iD&#10;qkbpZ1unLk1jl4KVGfjNNfdzov8ozvfm/JdfqLt/AQAA//8DAFBLAwQUAAYACAAAACEA7XtwK+EA&#10;AAAKAQAADwAAAGRycy9kb3ducmV2LnhtbEyPQUvDQBCF74L/YRnBm91Em7TGbEop6qkUbAXxNs1O&#10;k9Dsbshuk/TfO570+JiPN9/LV5NpxUC9b5xVEM8iEGRLpxtbKfg8vD0sQfiAVmPrLCm4kodVcXuT&#10;Y6bdaD9o2IdKcIn1GSqoQ+gyKX1Zk0E/cx1Zvp1cbzBw7Cupexy53LTyMYpSabCx/KHGjjY1lef9&#10;xSh4H3FcP8Wvw/Z82ly/D8nuaxuTUvd30/oFRKAp/MHwq8/qULDT0V2s9qLlnCwSRhXMlykIBpL5&#10;M487KlgkaQSyyOX/CcUPAAAA//8DAFBLAQItABQABgAIAAAAIQC2gziS/gAAAOEBAAATAAAAAAAA&#10;AAAAAAAAAAAAAABbQ29udGVudF9UeXBlc10ueG1sUEsBAi0AFAAGAAgAAAAhADj9If/WAAAAlAEA&#10;AAsAAAAAAAAAAAAAAAAALwEAAF9yZWxzLy5yZWxzUEsBAi0AFAAGAAgAAAAhAASh085ABAAAig0A&#10;AA4AAAAAAAAAAAAAAAAALgIAAGRycy9lMm9Eb2MueG1sUEsBAi0AFAAGAAgAAAAhAO17cCvhAAAA&#10;CgEAAA8AAAAAAAAAAAAAAAAAmgYAAGRycy9kb3ducmV2LnhtbFBLBQYAAAAABAAEAPMAAACoBwAA&#10;AAA=&#10;">
                <v:rect id="Rectangle 3" o:spid="_x0000_s1027" style="position:absolute;left:1575;top:1389;width:3315;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ROecMA&#10;AADbAAAADwAAAGRycy9kb3ducmV2LnhtbESPQYvCMBCF78L+hzAL3jRdEdFqFHdR0ItgVdDb0My2&#10;xWZSkqj135uFBW8zvDfvezNbtKYWd3K+sqzgq5+AIM6trrhQcDyse2MQPiBrrC2Tgid5WMw/OjNM&#10;tX3wnu5ZKEQMYZ+igjKEJpXS5yUZ9H3bEEft1zqDIa6ukNrhI4abWg6SZCQNVhwJJTb0U1J+zW4m&#10;cseWl6Pv/eRyel5dttsOV9XwrFT3s11OQQRqw9v8f73Rsf4A/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ROecMAAADbAAAADwAAAAAAAAAAAAAAAACYAgAAZHJzL2Rv&#10;d25yZXYueG1sUEsFBgAAAAAEAAQA9QAAAIgDAAAAAA==&#10;" fillcolor="#cce1e3">
                  <v:fill color2="#006a71" angle="45" focus="100%" type="gradient"/>
                  <v:shadow on="t" offset="6pt,5pt"/>
                </v:rect>
                <v:rect id="Rectangle 4" o:spid="_x0000_s1028" style="position:absolute;left:3705;top:1854;width:1785;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62sAA&#10;AADbAAAADwAAAGRycy9kb3ducmV2LnhtbERPTWuDQBC9B/oflin0FldbKMFmI6Ug2FOILTkPu1O1&#10;dWfFXY3Jr88GCrnN433OtlhsL2YafedYQZakIIi1Mx03Cr6/yvUGhA/IBnvHpOBMHordw2qLuXEn&#10;PtBch0bEEPY5KmhDGHIpvW7Jok/cQBy5HzdaDBGOjTQjnmK47eVzmr5Kix3HhhYH+mhJ/9WTVTDt&#10;9afTWZ+VyzBdaj5Wv3aulHp6XN7fQARawl38765MnP8Ct1/iAXJ3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z62sAAAADbAAAADwAAAAAAAAAAAAAAAACYAgAAZHJzL2Rvd25y&#10;ZXYueG1sUEsFBgAAAAAEAAQA9QAAAIUDAAAAAA==&#10;" fillcolor="#ccf0ee">
                  <v:fill color2="#00b2a9" angle="45" focus="100%" type="gradient"/>
                  <v:shadow on="t" offset="6pt,5pt"/>
                </v:rect>
                <v:shapetype id="_x0000_t32" coordsize="21600,21600" o:spt="32" o:oned="t" path="m,l21600,21600e" filled="f">
                  <v:path arrowok="t" fillok="f" o:connecttype="none"/>
                  <o:lock v:ext="edit" shapetype="t"/>
                </v:shapetype>
                <v:shape id="AutoShape 5" o:spid="_x0000_s1029" type="#_x0000_t32" style="position:absolute;left:3240;top:2364;width:0;height:6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2QXMMAAADbAAAADwAAAGRycy9kb3ducmV2LnhtbERPTWsCMRC9C/0PYYReRLNaWnQ1ShUE&#10;Lx5qreBt2IzZxc1kSeK67a83hUJv83ifs1h1thYt+VA5VjAeZSCIC6crNgqOn9vhFESIyBprx6Tg&#10;mwKslk+9Beba3fmD2kM0IoVwyFFBGWOTSxmKkiyGkWuIE3dx3mJM0BupPd5TuK3lJMvepMWKU0OJ&#10;DW1KKq6Hm1Xgj+HUno35We/r2WA3fvnazG5bpZ773fscRKQu/ov/3Dud5r/C7y/p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NkFzDAAAA2wAAAA8AAAAAAAAAAAAA&#10;AAAAoQIAAGRycy9kb3ducmV2LnhtbFBLBQYAAAAABAAEAPkAAACRAwAAAAA=&#10;" strokecolor="#7f7f7f" strokeweight="1.5pt"/>
              </v:group>
            </w:pict>
          </mc:Fallback>
        </mc:AlternateContent>
      </w:r>
      <w:bookmarkEnd w:id="0"/>
      <w:bookmarkEnd w:id="1"/>
      <w:bookmarkEnd w:id="2"/>
      <w:bookmarkEnd w:id="3"/>
      <w:bookmarkEnd w:id="4"/>
    </w:p>
    <w:p w:rsidR="00E2099C" w:rsidRDefault="00E2099C" w:rsidP="003F65D3"/>
    <w:p w:rsidR="00E2099C" w:rsidRDefault="00E2099C" w:rsidP="003F65D3"/>
    <w:p w:rsidR="00E2099C" w:rsidRPr="00412F10" w:rsidRDefault="00E2099C" w:rsidP="003F65D3">
      <w:bookmarkStart w:id="5" w:name="_GoBack"/>
      <w:bookmarkEnd w:id="5"/>
    </w:p>
    <w:p w:rsidR="00E2099C" w:rsidRDefault="00E2099C" w:rsidP="003F65D3">
      <w:bookmarkStart w:id="6" w:name="_Toc324160481"/>
      <w:bookmarkStart w:id="7" w:name="_Toc324160643"/>
      <w:bookmarkStart w:id="8" w:name="_Toc324417611"/>
    </w:p>
    <w:p w:rsidR="003F65D3" w:rsidRDefault="003F65D3" w:rsidP="003F65D3"/>
    <w:p w:rsidR="003F65D3" w:rsidRDefault="003F65D3" w:rsidP="003F65D3"/>
    <w:p w:rsidR="00E2099C" w:rsidRPr="003A3ADF" w:rsidRDefault="00E2099C" w:rsidP="0028240A">
      <w:pPr>
        <w:ind w:left="3420"/>
        <w:jc w:val="left"/>
        <w:rPr>
          <w:sz w:val="72"/>
          <w:szCs w:val="52"/>
        </w:rPr>
      </w:pPr>
      <w:bookmarkStart w:id="9" w:name="_Toc325002935"/>
      <w:bookmarkStart w:id="10" w:name="_Toc325608936"/>
      <w:bookmarkStart w:id="11" w:name="_Toc325621930"/>
      <w:r w:rsidRPr="003A3ADF">
        <w:rPr>
          <w:sz w:val="72"/>
          <w:szCs w:val="52"/>
        </w:rPr>
        <w:t>Puget Sound Energy</w:t>
      </w:r>
      <w:bookmarkEnd w:id="6"/>
      <w:bookmarkEnd w:id="7"/>
      <w:bookmarkEnd w:id="8"/>
      <w:bookmarkEnd w:id="9"/>
      <w:bookmarkEnd w:id="10"/>
      <w:bookmarkEnd w:id="11"/>
    </w:p>
    <w:p w:rsidR="003A3ADF" w:rsidRDefault="003A3ADF" w:rsidP="0028240A">
      <w:pPr>
        <w:ind w:left="3420"/>
        <w:jc w:val="left"/>
        <w:rPr>
          <w:sz w:val="48"/>
          <w:szCs w:val="48"/>
        </w:rPr>
      </w:pPr>
      <w:bookmarkStart w:id="12" w:name="_Toc324160482"/>
      <w:bookmarkStart w:id="13" w:name="_Toc324160644"/>
      <w:bookmarkStart w:id="14" w:name="_Toc324417612"/>
      <w:bookmarkStart w:id="15" w:name="_Toc325002936"/>
      <w:bookmarkStart w:id="16" w:name="_Toc325608937"/>
      <w:bookmarkStart w:id="17" w:name="_Toc325621931"/>
    </w:p>
    <w:p w:rsidR="00E2099C" w:rsidRPr="0028240A" w:rsidRDefault="00E2099C" w:rsidP="0028240A">
      <w:pPr>
        <w:ind w:left="3420"/>
        <w:jc w:val="left"/>
        <w:rPr>
          <w:sz w:val="48"/>
          <w:szCs w:val="48"/>
        </w:rPr>
      </w:pPr>
      <w:r w:rsidRPr="0028240A">
        <w:rPr>
          <w:sz w:val="48"/>
          <w:szCs w:val="48"/>
        </w:rPr>
        <w:t>201</w:t>
      </w:r>
      <w:r w:rsidR="004A395D">
        <w:rPr>
          <w:sz w:val="48"/>
          <w:szCs w:val="48"/>
        </w:rPr>
        <w:t>4</w:t>
      </w:r>
      <w:r w:rsidRPr="0028240A">
        <w:rPr>
          <w:sz w:val="48"/>
          <w:szCs w:val="48"/>
        </w:rPr>
        <w:t>-201</w:t>
      </w:r>
      <w:bookmarkEnd w:id="12"/>
      <w:bookmarkEnd w:id="13"/>
      <w:bookmarkEnd w:id="14"/>
      <w:bookmarkEnd w:id="15"/>
      <w:bookmarkEnd w:id="16"/>
      <w:bookmarkEnd w:id="17"/>
      <w:r w:rsidR="004A395D">
        <w:rPr>
          <w:sz w:val="48"/>
          <w:szCs w:val="48"/>
        </w:rPr>
        <w:t>5</w:t>
      </w:r>
    </w:p>
    <w:p w:rsidR="00E2099C" w:rsidRDefault="00E2099C" w:rsidP="00651C5A">
      <w:pPr>
        <w:ind w:left="3420"/>
        <w:jc w:val="left"/>
        <w:rPr>
          <w:sz w:val="48"/>
          <w:szCs w:val="48"/>
        </w:rPr>
      </w:pPr>
      <w:r w:rsidRPr="00412F10">
        <w:rPr>
          <w:sz w:val="48"/>
          <w:szCs w:val="48"/>
        </w:rPr>
        <w:t xml:space="preserve">Biennial Conservation </w:t>
      </w:r>
      <w:r w:rsidR="001A2BC5">
        <w:rPr>
          <w:sz w:val="48"/>
          <w:szCs w:val="48"/>
        </w:rPr>
        <w:t>Report</w:t>
      </w:r>
    </w:p>
    <w:p w:rsidR="004C31DC" w:rsidRPr="004C31DC" w:rsidRDefault="004C31DC" w:rsidP="00651C5A">
      <w:pPr>
        <w:ind w:left="3420"/>
        <w:jc w:val="left"/>
        <w:rPr>
          <w:i/>
          <w:sz w:val="48"/>
          <w:szCs w:val="48"/>
        </w:rPr>
      </w:pPr>
      <w:r w:rsidRPr="004C31DC">
        <w:rPr>
          <w:i/>
          <w:sz w:val="36"/>
          <w:szCs w:val="48"/>
        </w:rPr>
        <w:t xml:space="preserve">Electric </w:t>
      </w:r>
      <w:r w:rsidR="004E7255">
        <w:rPr>
          <w:i/>
          <w:sz w:val="36"/>
          <w:szCs w:val="48"/>
        </w:rPr>
        <w:t>Programs</w:t>
      </w:r>
    </w:p>
    <w:p w:rsidR="00E2099C" w:rsidRDefault="004A395D" w:rsidP="00651C5A">
      <w:pPr>
        <w:ind w:left="3420"/>
        <w:jc w:val="left"/>
        <w:rPr>
          <w:sz w:val="48"/>
          <w:szCs w:val="48"/>
        </w:rPr>
      </w:pPr>
      <w:r>
        <w:rPr>
          <w:noProof/>
        </w:rPr>
        <w:drawing>
          <wp:anchor distT="0" distB="0" distL="114300" distR="114300" simplePos="0" relativeHeight="251707392" behindDoc="0" locked="0" layoutInCell="1" allowOverlap="1" wp14:anchorId="1FA46AD3" wp14:editId="01A2EB6F">
            <wp:simplePos x="0" y="0"/>
            <wp:positionH relativeFrom="column">
              <wp:posOffset>3004056</wp:posOffset>
            </wp:positionH>
            <wp:positionV relativeFrom="paragraph">
              <wp:posOffset>2592705</wp:posOffset>
            </wp:positionV>
            <wp:extent cx="3663444"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9">
                      <a:extLst>
                        <a:ext uri="{28A0092B-C50C-407E-A947-70E740481C1C}">
                          <a14:useLocalDpi xmlns:a14="http://schemas.microsoft.com/office/drawing/2010/main" val="0"/>
                        </a:ext>
                      </a:extLst>
                    </a:blip>
                    <a:stretch>
                      <a:fillRect/>
                    </a:stretch>
                  </pic:blipFill>
                  <pic:spPr>
                    <a:xfrm>
                      <a:off x="0" y="0"/>
                      <a:ext cx="3663444" cy="584200"/>
                    </a:xfrm>
                    <a:prstGeom prst="rect">
                      <a:avLst/>
                    </a:prstGeom>
                  </pic:spPr>
                </pic:pic>
              </a:graphicData>
            </a:graphic>
            <wp14:sizeRelH relativeFrom="margin">
              <wp14:pctWidth>0</wp14:pctWidth>
            </wp14:sizeRelH>
            <wp14:sizeRelV relativeFrom="margin">
              <wp14:pctHeight>0</wp14:pctHeight>
            </wp14:sizeRelV>
          </wp:anchor>
        </w:drawing>
      </w:r>
    </w:p>
    <w:p w:rsidR="00E2099C" w:rsidRDefault="00E2099C" w:rsidP="007519F5">
      <w:pPr>
        <w:pStyle w:val="Heading1"/>
        <w:sectPr w:rsidR="00E2099C" w:rsidSect="00412F10">
          <w:headerReference w:type="even" r:id="rId10"/>
          <w:footerReference w:type="even" r:id="rId11"/>
          <w:pgSz w:w="12240" w:h="15840"/>
          <w:pgMar w:top="0" w:right="1440" w:bottom="180" w:left="0" w:header="720" w:footer="720" w:gutter="0"/>
          <w:cols w:space="720"/>
          <w:docGrid w:linePitch="360"/>
        </w:sectPr>
      </w:pPr>
    </w:p>
    <w:p w:rsidR="00915899" w:rsidRDefault="00E2099C" w:rsidP="004C4067">
      <w:pPr>
        <w:spacing w:before="0" w:after="0" w:line="240" w:lineRule="auto"/>
        <w:rPr>
          <w:color w:val="006A71"/>
          <w:sz w:val="28"/>
        </w:rPr>
      </w:pPr>
      <w:r w:rsidRPr="00F8635C">
        <w:rPr>
          <w:color w:val="006A71"/>
          <w:sz w:val="28"/>
        </w:rPr>
        <w:lastRenderedPageBreak/>
        <w:t>Table of Contents</w:t>
      </w:r>
    </w:p>
    <w:p w:rsidR="00C56638" w:rsidRDefault="00C56638" w:rsidP="004C4067">
      <w:pPr>
        <w:spacing w:before="0" w:after="0" w:line="240" w:lineRule="auto"/>
        <w:rPr>
          <w:color w:val="006A71"/>
          <w:sz w:val="28"/>
        </w:rPr>
      </w:pPr>
    </w:p>
    <w:p w:rsidR="00EF3C05" w:rsidRPr="00EF3C05" w:rsidRDefault="00311B56" w:rsidP="002234FC">
      <w:pPr>
        <w:pStyle w:val="TOC1"/>
        <w:tabs>
          <w:tab w:val="left" w:pos="440"/>
          <w:tab w:val="right" w:leader="dot" w:pos="9350"/>
        </w:tabs>
        <w:spacing w:after="0"/>
        <w:rPr>
          <w:rFonts w:ascii="Arial" w:eastAsiaTheme="minorEastAsia" w:hAnsi="Arial" w:cs="Arial"/>
          <w:noProof/>
        </w:rPr>
      </w:pPr>
      <w:r w:rsidRPr="002646F9">
        <w:rPr>
          <w:rFonts w:ascii="Arial" w:hAnsi="Arial" w:cs="Arial"/>
        </w:rPr>
        <w:fldChar w:fldCharType="begin"/>
      </w:r>
      <w:r w:rsidR="00E2099C" w:rsidRPr="002646F9">
        <w:rPr>
          <w:rFonts w:ascii="Arial" w:hAnsi="Arial" w:cs="Arial"/>
        </w:rPr>
        <w:instrText xml:space="preserve"> TOC \o "1-3" \u </w:instrText>
      </w:r>
      <w:r w:rsidRPr="002646F9">
        <w:rPr>
          <w:rFonts w:ascii="Arial" w:hAnsi="Arial" w:cs="Arial"/>
        </w:rPr>
        <w:fldChar w:fldCharType="separate"/>
      </w:r>
      <w:r w:rsidR="00EF3C05" w:rsidRPr="00EF3C05">
        <w:rPr>
          <w:rFonts w:ascii="Arial" w:hAnsi="Arial" w:cs="Arial"/>
          <w:noProof/>
        </w:rPr>
        <w:t>I.</w:t>
      </w:r>
      <w:r w:rsidR="00EF3C05" w:rsidRPr="00EF3C05">
        <w:rPr>
          <w:rFonts w:ascii="Arial" w:eastAsiaTheme="minorEastAsia" w:hAnsi="Arial" w:cs="Arial"/>
          <w:noProof/>
        </w:rPr>
        <w:tab/>
      </w:r>
      <w:r w:rsidR="00EF3C05" w:rsidRPr="00EF3C05">
        <w:rPr>
          <w:rFonts w:ascii="Arial" w:hAnsi="Arial" w:cs="Arial"/>
          <w:noProof/>
        </w:rPr>
        <w:t>Executive Summary</w:t>
      </w:r>
      <w:r w:rsidR="00EF3C05" w:rsidRPr="00EF3C05">
        <w:rPr>
          <w:rFonts w:ascii="Arial" w:hAnsi="Arial" w:cs="Arial"/>
          <w:noProof/>
        </w:rPr>
        <w:tab/>
      </w:r>
      <w:r w:rsidR="00EF3C05" w:rsidRPr="00EF3C05">
        <w:rPr>
          <w:rFonts w:ascii="Arial" w:hAnsi="Arial" w:cs="Arial"/>
          <w:noProof/>
        </w:rPr>
        <w:fldChar w:fldCharType="begin"/>
      </w:r>
      <w:r w:rsidR="00EF3C05" w:rsidRPr="00EF3C05">
        <w:rPr>
          <w:rFonts w:ascii="Arial" w:hAnsi="Arial" w:cs="Arial"/>
          <w:noProof/>
        </w:rPr>
        <w:instrText xml:space="preserve"> PAGEREF _Toc450627056 \h </w:instrText>
      </w:r>
      <w:r w:rsidR="00EF3C05" w:rsidRPr="00EF3C05">
        <w:rPr>
          <w:rFonts w:ascii="Arial" w:hAnsi="Arial" w:cs="Arial"/>
          <w:noProof/>
        </w:rPr>
      </w:r>
      <w:r w:rsidR="00EF3C05" w:rsidRPr="00EF3C05">
        <w:rPr>
          <w:rFonts w:ascii="Arial" w:hAnsi="Arial" w:cs="Arial"/>
          <w:noProof/>
        </w:rPr>
        <w:fldChar w:fldCharType="separate"/>
      </w:r>
      <w:r w:rsidR="001A7098">
        <w:rPr>
          <w:rFonts w:ascii="Arial" w:hAnsi="Arial" w:cs="Arial"/>
          <w:noProof/>
        </w:rPr>
        <w:t>1</w:t>
      </w:r>
      <w:r w:rsidR="00EF3C05"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A.</w:t>
      </w:r>
      <w:r w:rsidRPr="00EF3C05">
        <w:rPr>
          <w:rFonts w:ascii="Arial" w:eastAsiaTheme="minorEastAsia" w:hAnsi="Arial" w:cs="Arial"/>
          <w:noProof/>
        </w:rPr>
        <w:tab/>
      </w:r>
      <w:r w:rsidRPr="00EF3C05">
        <w:rPr>
          <w:rFonts w:ascii="Arial" w:hAnsi="Arial" w:cs="Arial"/>
          <w:noProof/>
        </w:rPr>
        <w:t>PSE Exceeded its 2014-2015 Biennial Electric Savings Target</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_Toc450627057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1</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B.</w:t>
      </w:r>
      <w:r w:rsidRPr="00EF3C05">
        <w:rPr>
          <w:rFonts w:ascii="Arial" w:eastAsiaTheme="minorEastAsia" w:hAnsi="Arial" w:cs="Arial"/>
          <w:noProof/>
        </w:rPr>
        <w:tab/>
      </w:r>
      <w:r w:rsidRPr="00EF3C05">
        <w:rPr>
          <w:rFonts w:ascii="Arial" w:hAnsi="Arial" w:cs="Arial"/>
          <w:noProof/>
        </w:rPr>
        <w:t>Developing the Biennial Target and Budgets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_Toc450627058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2</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C.</w:t>
      </w:r>
      <w:r w:rsidRPr="00EF3C05">
        <w:rPr>
          <w:rFonts w:ascii="Arial" w:eastAsiaTheme="minorEastAsia" w:hAnsi="Arial" w:cs="Arial"/>
          <w:noProof/>
        </w:rPr>
        <w:tab/>
      </w:r>
      <w:r w:rsidRPr="00EF3C05">
        <w:rPr>
          <w:rFonts w:ascii="Arial" w:hAnsi="Arial" w:cs="Arial"/>
          <w:noProof/>
        </w:rPr>
        <w:t>Achieving the Biennial Savings and Managing Costs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_Toc450627059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3</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D.</w:t>
      </w:r>
      <w:r w:rsidRPr="00EF3C05">
        <w:rPr>
          <w:rFonts w:ascii="Arial" w:eastAsiaTheme="minorEastAsia" w:hAnsi="Arial" w:cs="Arial"/>
          <w:noProof/>
        </w:rPr>
        <w:tab/>
      </w:r>
      <w:r w:rsidRPr="00EF3C05">
        <w:rPr>
          <w:rFonts w:ascii="Arial" w:hAnsi="Arial" w:cs="Arial"/>
          <w:noProof/>
        </w:rPr>
        <w:t>Savings Verification</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_Toc450627060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3</w:t>
      </w:r>
      <w:r w:rsidRPr="00EF3C05">
        <w:rPr>
          <w:rFonts w:ascii="Arial" w:hAnsi="Arial" w:cs="Arial"/>
          <w:noProof/>
        </w:rPr>
        <w:fldChar w:fldCharType="end"/>
      </w:r>
    </w:p>
    <w:p w:rsidR="00EF3C05" w:rsidRPr="00EF3C05" w:rsidRDefault="00EF3C05" w:rsidP="002234FC">
      <w:pPr>
        <w:pStyle w:val="TOC3"/>
        <w:tabs>
          <w:tab w:val="left" w:pos="880"/>
          <w:tab w:val="right" w:leader="dot" w:pos="9350"/>
        </w:tabs>
        <w:spacing w:after="0"/>
        <w:rPr>
          <w:rFonts w:ascii="Arial" w:eastAsiaTheme="minorEastAsia" w:hAnsi="Arial" w:cs="Arial"/>
          <w:noProof/>
        </w:rPr>
      </w:pPr>
      <w:r w:rsidRPr="00EF3C05">
        <w:rPr>
          <w:rFonts w:ascii="Arial" w:hAnsi="Arial" w:cs="Arial"/>
          <w:noProof/>
        </w:rPr>
        <w:t>1)</w:t>
      </w:r>
      <w:r w:rsidRPr="00EF3C05">
        <w:rPr>
          <w:rFonts w:ascii="Arial" w:eastAsiaTheme="minorEastAsia" w:hAnsi="Arial" w:cs="Arial"/>
          <w:noProof/>
        </w:rPr>
        <w:tab/>
      </w:r>
      <w:r w:rsidRPr="00EF3C05">
        <w:rPr>
          <w:rFonts w:ascii="Arial" w:hAnsi="Arial" w:cs="Arial"/>
          <w:noProof/>
        </w:rPr>
        <w:t>2014-2015 Evaluations and Reviews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_Toc450627061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4</w:t>
      </w:r>
      <w:r w:rsidRPr="00EF3C05">
        <w:rPr>
          <w:rFonts w:ascii="Arial" w:hAnsi="Arial" w:cs="Arial"/>
          <w:noProof/>
        </w:rPr>
        <w:fldChar w:fldCharType="end"/>
      </w:r>
    </w:p>
    <w:p w:rsidR="00EF3C05" w:rsidRPr="00EF3C05" w:rsidRDefault="00EF3C05" w:rsidP="002234FC">
      <w:pPr>
        <w:pStyle w:val="TOC3"/>
        <w:tabs>
          <w:tab w:val="left" w:pos="880"/>
          <w:tab w:val="right" w:leader="dot" w:pos="9350"/>
        </w:tabs>
        <w:spacing w:after="0"/>
        <w:rPr>
          <w:rFonts w:ascii="Arial" w:eastAsiaTheme="minorEastAsia" w:hAnsi="Arial" w:cs="Arial"/>
          <w:noProof/>
        </w:rPr>
      </w:pPr>
      <w:r w:rsidRPr="00EF3C05">
        <w:rPr>
          <w:rFonts w:ascii="Arial" w:hAnsi="Arial" w:cs="Arial"/>
          <w:noProof/>
        </w:rPr>
        <w:t>2)</w:t>
      </w:r>
      <w:r w:rsidRPr="00EF3C05">
        <w:rPr>
          <w:rFonts w:ascii="Arial" w:eastAsiaTheme="minorEastAsia" w:hAnsi="Arial" w:cs="Arial"/>
          <w:noProof/>
        </w:rPr>
        <w:tab/>
      </w:r>
      <w:r w:rsidRPr="00EF3C05">
        <w:rPr>
          <w:rFonts w:ascii="Arial" w:hAnsi="Arial" w:cs="Arial"/>
          <w:noProof/>
        </w:rPr>
        <w:t>Savings Adjustments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_Toc450627062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4</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E.</w:t>
      </w:r>
      <w:r w:rsidRPr="00EF3C05">
        <w:rPr>
          <w:rFonts w:ascii="Arial" w:eastAsiaTheme="minorEastAsia" w:hAnsi="Arial" w:cs="Arial"/>
          <w:noProof/>
        </w:rPr>
        <w:tab/>
      </w:r>
      <w:r w:rsidRPr="00EF3C05">
        <w:rPr>
          <w:rFonts w:ascii="Arial" w:hAnsi="Arial" w:cs="Arial"/>
          <w:noProof/>
        </w:rPr>
        <w:t>Adaptation through Total Quality Management</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_Toc450627063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6</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F.</w:t>
      </w:r>
      <w:r w:rsidRPr="00EF3C05">
        <w:rPr>
          <w:rFonts w:ascii="Arial" w:eastAsiaTheme="minorEastAsia" w:hAnsi="Arial" w:cs="Arial"/>
          <w:noProof/>
        </w:rPr>
        <w:tab/>
      </w:r>
      <w:r w:rsidRPr="00EF3C05">
        <w:rPr>
          <w:rFonts w:ascii="Arial" w:hAnsi="Arial" w:cs="Arial"/>
          <w:noProof/>
        </w:rPr>
        <w:t>Compliance</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_Toc450627064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6</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G.</w:t>
      </w:r>
      <w:r w:rsidRPr="00EF3C05">
        <w:rPr>
          <w:rFonts w:ascii="Arial" w:eastAsiaTheme="minorEastAsia" w:hAnsi="Arial" w:cs="Arial"/>
          <w:noProof/>
        </w:rPr>
        <w:tab/>
      </w:r>
      <w:r w:rsidRPr="00EF3C05">
        <w:rPr>
          <w:rFonts w:ascii="Arial" w:hAnsi="Arial" w:cs="Arial"/>
          <w:noProof/>
        </w:rPr>
        <w:t>Stakeholder Engagement</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_Toc450627065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7</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H.</w:t>
      </w:r>
      <w:r w:rsidRPr="00EF3C05">
        <w:rPr>
          <w:rFonts w:ascii="Arial" w:eastAsiaTheme="minorEastAsia" w:hAnsi="Arial" w:cs="Arial"/>
          <w:noProof/>
        </w:rPr>
        <w:tab/>
      </w:r>
      <w:r w:rsidRPr="00EF3C05">
        <w:rPr>
          <w:rFonts w:ascii="Arial" w:hAnsi="Arial" w:cs="Arial"/>
          <w:noProof/>
        </w:rPr>
        <w:t>Supporting Documentation</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_Toc450627066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7</w:t>
      </w:r>
      <w:r w:rsidRPr="00EF3C05">
        <w:rPr>
          <w:rFonts w:ascii="Arial" w:hAnsi="Arial" w:cs="Arial"/>
          <w:noProof/>
        </w:rPr>
        <w:fldChar w:fldCharType="end"/>
      </w:r>
    </w:p>
    <w:p w:rsidR="002234FC" w:rsidRDefault="002234FC" w:rsidP="002234FC">
      <w:pPr>
        <w:pStyle w:val="TOC1"/>
        <w:tabs>
          <w:tab w:val="left" w:pos="440"/>
          <w:tab w:val="right" w:leader="dot" w:pos="9350"/>
        </w:tabs>
        <w:spacing w:after="0"/>
        <w:rPr>
          <w:rFonts w:ascii="Arial" w:hAnsi="Arial" w:cs="Arial"/>
          <w:noProof/>
        </w:rPr>
      </w:pPr>
    </w:p>
    <w:p w:rsidR="00EF3C05" w:rsidRPr="00EF3C05" w:rsidRDefault="00EF3C05" w:rsidP="002234FC">
      <w:pPr>
        <w:pStyle w:val="TOC1"/>
        <w:tabs>
          <w:tab w:val="left" w:pos="440"/>
          <w:tab w:val="right" w:leader="dot" w:pos="9350"/>
        </w:tabs>
        <w:spacing w:after="0"/>
        <w:rPr>
          <w:rFonts w:ascii="Arial" w:eastAsiaTheme="minorEastAsia" w:hAnsi="Arial" w:cs="Arial"/>
          <w:noProof/>
        </w:rPr>
      </w:pPr>
      <w:r w:rsidRPr="00EF3C05">
        <w:rPr>
          <w:rFonts w:ascii="Arial" w:hAnsi="Arial" w:cs="Arial"/>
          <w:noProof/>
        </w:rPr>
        <w:t>II.</w:t>
      </w:r>
      <w:r w:rsidRPr="00EF3C05">
        <w:rPr>
          <w:rFonts w:ascii="Arial" w:eastAsiaTheme="minorEastAsia" w:hAnsi="Arial" w:cs="Arial"/>
          <w:noProof/>
        </w:rPr>
        <w:tab/>
      </w:r>
      <w:r w:rsidRPr="00EF3C05">
        <w:rPr>
          <w:rFonts w:ascii="Arial" w:hAnsi="Arial" w:cs="Arial"/>
          <w:noProof/>
        </w:rPr>
        <w:t>2014-2015 Electric Conservation Results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_Toc450627067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9</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A.</w:t>
      </w:r>
      <w:r w:rsidRPr="00EF3C05">
        <w:rPr>
          <w:rFonts w:ascii="Arial" w:eastAsiaTheme="minorEastAsia" w:hAnsi="Arial" w:cs="Arial"/>
          <w:noProof/>
        </w:rPr>
        <w:tab/>
      </w:r>
      <w:r w:rsidRPr="00EF3C05">
        <w:rPr>
          <w:rFonts w:ascii="Arial" w:hAnsi="Arial" w:cs="Arial"/>
          <w:noProof/>
        </w:rPr>
        <w:t>The 2014-2015 Electric Conservation Target</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_Toc450627068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9</w:t>
      </w:r>
      <w:r w:rsidRPr="00EF3C05">
        <w:rPr>
          <w:rFonts w:ascii="Arial" w:hAnsi="Arial" w:cs="Arial"/>
          <w:noProof/>
        </w:rPr>
        <w:fldChar w:fldCharType="end"/>
      </w:r>
    </w:p>
    <w:p w:rsidR="00EF3C05" w:rsidRPr="00EF3C05" w:rsidRDefault="00EF3C05" w:rsidP="002234FC">
      <w:pPr>
        <w:pStyle w:val="TOC3"/>
        <w:tabs>
          <w:tab w:val="left" w:pos="880"/>
          <w:tab w:val="right" w:leader="dot" w:pos="9350"/>
        </w:tabs>
        <w:spacing w:after="0"/>
        <w:rPr>
          <w:rFonts w:ascii="Arial" w:eastAsiaTheme="minorEastAsia" w:hAnsi="Arial" w:cs="Arial"/>
          <w:noProof/>
        </w:rPr>
      </w:pPr>
      <w:r w:rsidRPr="00EF3C05">
        <w:rPr>
          <w:rFonts w:ascii="Arial" w:hAnsi="Arial" w:cs="Arial"/>
          <w:noProof/>
        </w:rPr>
        <w:t>1)</w:t>
      </w:r>
      <w:r w:rsidRPr="00EF3C05">
        <w:rPr>
          <w:rFonts w:ascii="Arial" w:eastAsiaTheme="minorEastAsia" w:hAnsi="Arial" w:cs="Arial"/>
          <w:noProof/>
        </w:rPr>
        <w:tab/>
      </w:r>
      <w:r w:rsidRPr="00EF3C05">
        <w:rPr>
          <w:rFonts w:ascii="Arial" w:hAnsi="Arial" w:cs="Arial"/>
          <w:noProof/>
        </w:rPr>
        <w:t>Developing the Portfolio</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_Toc450627069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10</w:t>
      </w:r>
      <w:r w:rsidRPr="00EF3C05">
        <w:rPr>
          <w:rFonts w:ascii="Arial" w:hAnsi="Arial" w:cs="Arial"/>
          <w:noProof/>
        </w:rPr>
        <w:fldChar w:fldCharType="end"/>
      </w:r>
    </w:p>
    <w:p w:rsidR="00EF3C05" w:rsidRPr="00EF3C05" w:rsidRDefault="00EF3C05" w:rsidP="002234FC">
      <w:pPr>
        <w:pStyle w:val="TOC3"/>
        <w:tabs>
          <w:tab w:val="left" w:pos="880"/>
          <w:tab w:val="right" w:leader="dot" w:pos="9350"/>
        </w:tabs>
        <w:spacing w:after="0"/>
        <w:rPr>
          <w:rFonts w:ascii="Arial" w:eastAsiaTheme="minorEastAsia" w:hAnsi="Arial" w:cs="Arial"/>
          <w:noProof/>
        </w:rPr>
      </w:pPr>
      <w:r w:rsidRPr="00EF3C05">
        <w:rPr>
          <w:rFonts w:ascii="Arial" w:hAnsi="Arial" w:cs="Arial"/>
          <w:noProof/>
        </w:rPr>
        <w:t>2)</w:t>
      </w:r>
      <w:r w:rsidRPr="00EF3C05">
        <w:rPr>
          <w:rFonts w:ascii="Arial" w:eastAsiaTheme="minorEastAsia" w:hAnsi="Arial" w:cs="Arial"/>
          <w:noProof/>
        </w:rPr>
        <w:tab/>
      </w:r>
      <w:r w:rsidRPr="00EF3C05">
        <w:rPr>
          <w:rFonts w:ascii="Arial" w:hAnsi="Arial" w:cs="Arial"/>
          <w:noProof/>
        </w:rPr>
        <w:t>Disaggregating the Achieved Savings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_Toc450627070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12</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B.</w:t>
      </w:r>
      <w:r w:rsidRPr="00EF3C05">
        <w:rPr>
          <w:rFonts w:ascii="Arial" w:eastAsiaTheme="minorEastAsia" w:hAnsi="Arial" w:cs="Arial"/>
          <w:noProof/>
        </w:rPr>
        <w:tab/>
      </w:r>
      <w:r w:rsidRPr="00EF3C05">
        <w:rPr>
          <w:rFonts w:ascii="Arial" w:hAnsi="Arial" w:cs="Arial"/>
          <w:noProof/>
        </w:rPr>
        <w:t>Treatment of Excess Savings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_Toc450627071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14</w:t>
      </w:r>
      <w:r w:rsidRPr="00EF3C05">
        <w:rPr>
          <w:rFonts w:ascii="Arial" w:hAnsi="Arial" w:cs="Arial"/>
          <w:noProof/>
        </w:rPr>
        <w:fldChar w:fldCharType="end"/>
      </w:r>
    </w:p>
    <w:p w:rsidR="00EF3C05" w:rsidRPr="00EF3C05" w:rsidRDefault="00EF3C05" w:rsidP="002234FC">
      <w:pPr>
        <w:pStyle w:val="TOC3"/>
        <w:tabs>
          <w:tab w:val="left" w:pos="880"/>
          <w:tab w:val="right" w:leader="dot" w:pos="9350"/>
        </w:tabs>
        <w:spacing w:after="0"/>
        <w:rPr>
          <w:rFonts w:ascii="Arial" w:eastAsiaTheme="minorEastAsia" w:hAnsi="Arial" w:cs="Arial"/>
          <w:noProof/>
        </w:rPr>
      </w:pPr>
      <w:r w:rsidRPr="00EF3C05">
        <w:rPr>
          <w:rFonts w:ascii="Arial" w:hAnsi="Arial" w:cs="Arial"/>
          <w:noProof/>
        </w:rPr>
        <w:t>1)</w:t>
      </w:r>
      <w:r w:rsidRPr="00EF3C05">
        <w:rPr>
          <w:rFonts w:ascii="Arial" w:eastAsiaTheme="minorEastAsia" w:hAnsi="Arial" w:cs="Arial"/>
          <w:noProof/>
        </w:rPr>
        <w:tab/>
      </w:r>
      <w:r w:rsidRPr="00EF3C05">
        <w:rPr>
          <w:rFonts w:ascii="Arial" w:hAnsi="Arial" w:cs="Arial"/>
          <w:noProof/>
        </w:rPr>
        <w:t>Components of Excess Conservation</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_Toc450627072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15</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C.</w:t>
      </w:r>
      <w:r w:rsidRPr="00EF3C05">
        <w:rPr>
          <w:rFonts w:ascii="Arial" w:eastAsiaTheme="minorEastAsia" w:hAnsi="Arial" w:cs="Arial"/>
          <w:noProof/>
        </w:rPr>
        <w:tab/>
      </w:r>
      <w:r w:rsidRPr="00EF3C05">
        <w:rPr>
          <w:rFonts w:ascii="Arial" w:hAnsi="Arial" w:cs="Arial"/>
          <w:noProof/>
        </w:rPr>
        <w:t>Sector-Level Biennial Totals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_Toc450627073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16</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D.</w:t>
      </w:r>
      <w:r w:rsidRPr="00EF3C05">
        <w:rPr>
          <w:rFonts w:ascii="Arial" w:eastAsiaTheme="minorEastAsia" w:hAnsi="Arial" w:cs="Arial"/>
          <w:noProof/>
        </w:rPr>
        <w:tab/>
      </w:r>
      <w:r w:rsidRPr="00EF3C05">
        <w:rPr>
          <w:rFonts w:ascii="Arial" w:hAnsi="Arial" w:cs="Arial"/>
          <w:noProof/>
        </w:rPr>
        <w:t>Conservation Savings Verification</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_Toc450627074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17</w:t>
      </w:r>
      <w:r w:rsidRPr="00EF3C05">
        <w:rPr>
          <w:rFonts w:ascii="Arial" w:hAnsi="Arial" w:cs="Arial"/>
          <w:noProof/>
        </w:rPr>
        <w:fldChar w:fldCharType="end"/>
      </w:r>
    </w:p>
    <w:p w:rsidR="00EF3C05" w:rsidRPr="00EF3C05" w:rsidRDefault="00EF3C05" w:rsidP="002234FC">
      <w:pPr>
        <w:pStyle w:val="TOC3"/>
        <w:tabs>
          <w:tab w:val="left" w:pos="880"/>
          <w:tab w:val="right" w:leader="dot" w:pos="9350"/>
        </w:tabs>
        <w:spacing w:after="0"/>
        <w:rPr>
          <w:rFonts w:ascii="Arial" w:eastAsiaTheme="minorEastAsia" w:hAnsi="Arial" w:cs="Arial"/>
          <w:noProof/>
        </w:rPr>
      </w:pPr>
      <w:r w:rsidRPr="00EF3C05">
        <w:rPr>
          <w:rFonts w:ascii="Arial" w:hAnsi="Arial" w:cs="Arial"/>
          <w:noProof/>
        </w:rPr>
        <w:t>1)</w:t>
      </w:r>
      <w:r w:rsidRPr="00EF3C05">
        <w:rPr>
          <w:rFonts w:ascii="Arial" w:eastAsiaTheme="minorEastAsia" w:hAnsi="Arial" w:cs="Arial"/>
          <w:noProof/>
        </w:rPr>
        <w:tab/>
      </w:r>
      <w:r w:rsidRPr="00EF3C05">
        <w:rPr>
          <w:rFonts w:ascii="Arial" w:hAnsi="Arial" w:cs="Arial"/>
          <w:noProof/>
        </w:rPr>
        <w:t>Internal Reviews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_Toc450627075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18</w:t>
      </w:r>
      <w:r w:rsidRPr="00EF3C05">
        <w:rPr>
          <w:rFonts w:ascii="Arial" w:hAnsi="Arial" w:cs="Arial"/>
          <w:noProof/>
        </w:rPr>
        <w:fldChar w:fldCharType="end"/>
      </w:r>
    </w:p>
    <w:p w:rsidR="00EF3C05" w:rsidRPr="00EF3C05" w:rsidRDefault="00EF3C05" w:rsidP="002234FC">
      <w:pPr>
        <w:pStyle w:val="TOC3"/>
        <w:tabs>
          <w:tab w:val="left" w:pos="880"/>
          <w:tab w:val="right" w:leader="dot" w:pos="9350"/>
        </w:tabs>
        <w:spacing w:after="0"/>
        <w:rPr>
          <w:rFonts w:ascii="Arial" w:eastAsiaTheme="minorEastAsia" w:hAnsi="Arial" w:cs="Arial"/>
          <w:noProof/>
        </w:rPr>
      </w:pPr>
      <w:r w:rsidRPr="00EF3C05">
        <w:rPr>
          <w:rFonts w:ascii="Arial" w:hAnsi="Arial" w:cs="Arial"/>
          <w:noProof/>
        </w:rPr>
        <w:t>2)</w:t>
      </w:r>
      <w:r w:rsidRPr="00EF3C05">
        <w:rPr>
          <w:rFonts w:ascii="Arial" w:eastAsiaTheme="minorEastAsia" w:hAnsi="Arial" w:cs="Arial"/>
          <w:noProof/>
        </w:rPr>
        <w:tab/>
      </w:r>
      <w:r w:rsidRPr="00EF3C05">
        <w:rPr>
          <w:rFonts w:ascii="Arial" w:hAnsi="Arial" w:cs="Arial"/>
          <w:noProof/>
        </w:rPr>
        <w:t>Final Northwest Energy Efficiency Alliance Savings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_Toc450627076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20</w:t>
      </w:r>
      <w:r w:rsidRPr="00EF3C05">
        <w:rPr>
          <w:rFonts w:ascii="Arial" w:hAnsi="Arial" w:cs="Arial"/>
          <w:noProof/>
        </w:rPr>
        <w:fldChar w:fldCharType="end"/>
      </w:r>
    </w:p>
    <w:p w:rsidR="00EF3C05" w:rsidRPr="00EF3C05" w:rsidRDefault="00EF3C05" w:rsidP="002234FC">
      <w:pPr>
        <w:pStyle w:val="TOC3"/>
        <w:tabs>
          <w:tab w:val="left" w:pos="880"/>
          <w:tab w:val="right" w:leader="dot" w:pos="9350"/>
        </w:tabs>
        <w:spacing w:after="0"/>
        <w:rPr>
          <w:rFonts w:ascii="Arial" w:eastAsiaTheme="minorEastAsia" w:hAnsi="Arial" w:cs="Arial"/>
          <w:noProof/>
        </w:rPr>
      </w:pPr>
      <w:r w:rsidRPr="00EF3C05">
        <w:rPr>
          <w:rFonts w:ascii="Arial" w:hAnsi="Arial" w:cs="Arial"/>
          <w:noProof/>
        </w:rPr>
        <w:t>3)</w:t>
      </w:r>
      <w:r w:rsidRPr="00EF3C05">
        <w:rPr>
          <w:rFonts w:ascii="Arial" w:eastAsiaTheme="minorEastAsia" w:hAnsi="Arial" w:cs="Arial"/>
          <w:noProof/>
        </w:rPr>
        <w:tab/>
      </w:r>
      <w:r w:rsidRPr="00EF3C05">
        <w:rPr>
          <w:rFonts w:ascii="Arial" w:hAnsi="Arial" w:cs="Arial"/>
          <w:noProof/>
        </w:rPr>
        <w:t>External Reviews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_Toc450627077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21</w:t>
      </w:r>
      <w:r w:rsidRPr="00EF3C05">
        <w:rPr>
          <w:rFonts w:ascii="Arial" w:hAnsi="Arial" w:cs="Arial"/>
          <w:noProof/>
        </w:rPr>
        <w:fldChar w:fldCharType="end"/>
      </w:r>
    </w:p>
    <w:p w:rsidR="00EF3C05" w:rsidRPr="00EF3C05" w:rsidRDefault="00EF3C05" w:rsidP="002234FC">
      <w:pPr>
        <w:pStyle w:val="TOC3"/>
        <w:tabs>
          <w:tab w:val="left" w:pos="880"/>
          <w:tab w:val="right" w:leader="dot" w:pos="9350"/>
        </w:tabs>
        <w:spacing w:after="0"/>
        <w:rPr>
          <w:rFonts w:ascii="Arial" w:eastAsiaTheme="minorEastAsia" w:hAnsi="Arial" w:cs="Arial"/>
          <w:noProof/>
        </w:rPr>
      </w:pPr>
      <w:r w:rsidRPr="00EF3C05">
        <w:rPr>
          <w:rFonts w:ascii="Arial" w:hAnsi="Arial" w:cs="Arial"/>
          <w:noProof/>
        </w:rPr>
        <w:t>4)</w:t>
      </w:r>
      <w:r w:rsidRPr="00EF3C05">
        <w:rPr>
          <w:rFonts w:ascii="Arial" w:eastAsiaTheme="minorEastAsia" w:hAnsi="Arial" w:cs="Arial"/>
          <w:noProof/>
        </w:rPr>
        <w:tab/>
      </w:r>
      <w:r w:rsidRPr="00EF3C05">
        <w:rPr>
          <w:rFonts w:ascii="Arial" w:hAnsi="Arial" w:cs="Arial"/>
          <w:noProof/>
        </w:rPr>
        <w:t>Savings Review Results: Verified 2014-2015 Electric Savings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_Toc450627078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26</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E.</w:t>
      </w:r>
      <w:r w:rsidRPr="00EF3C05">
        <w:rPr>
          <w:rFonts w:ascii="Arial" w:eastAsiaTheme="minorEastAsia" w:hAnsi="Arial" w:cs="Arial"/>
          <w:noProof/>
        </w:rPr>
        <w:tab/>
      </w:r>
      <w:r w:rsidRPr="00EF3C05">
        <w:rPr>
          <w:rFonts w:ascii="Arial" w:hAnsi="Arial" w:cs="Arial"/>
          <w:noProof/>
        </w:rPr>
        <w:t>Cost-Effectiveness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_Toc450627079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27</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F.</w:t>
      </w:r>
      <w:r w:rsidRPr="00EF3C05">
        <w:rPr>
          <w:rFonts w:ascii="Arial" w:eastAsiaTheme="minorEastAsia" w:hAnsi="Arial" w:cs="Arial"/>
          <w:noProof/>
        </w:rPr>
        <w:tab/>
      </w:r>
      <w:r w:rsidRPr="00EF3C05">
        <w:rPr>
          <w:rFonts w:ascii="Arial" w:hAnsi="Arial" w:cs="Arial"/>
          <w:noProof/>
        </w:rPr>
        <w:t>Adapting the Portfolio through the Application of Total Quality Management Principles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_Toc450627080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28</w:t>
      </w:r>
      <w:r w:rsidRPr="00EF3C05">
        <w:rPr>
          <w:rFonts w:ascii="Arial" w:hAnsi="Arial" w:cs="Arial"/>
          <w:noProof/>
        </w:rPr>
        <w:fldChar w:fldCharType="end"/>
      </w:r>
    </w:p>
    <w:p w:rsidR="002234FC" w:rsidRDefault="002234FC" w:rsidP="002234FC">
      <w:pPr>
        <w:pStyle w:val="TOC1"/>
        <w:tabs>
          <w:tab w:val="left" w:pos="660"/>
          <w:tab w:val="right" w:leader="dot" w:pos="9350"/>
        </w:tabs>
        <w:spacing w:after="0"/>
        <w:rPr>
          <w:rFonts w:ascii="Arial" w:hAnsi="Arial" w:cs="Arial"/>
          <w:noProof/>
        </w:rPr>
      </w:pPr>
    </w:p>
    <w:p w:rsidR="00EF3C05" w:rsidRPr="00EF3C05" w:rsidRDefault="00EF3C05" w:rsidP="002234FC">
      <w:pPr>
        <w:pStyle w:val="TOC1"/>
        <w:tabs>
          <w:tab w:val="left" w:pos="660"/>
          <w:tab w:val="right" w:leader="dot" w:pos="9350"/>
        </w:tabs>
        <w:spacing w:after="0"/>
        <w:rPr>
          <w:rFonts w:ascii="Arial" w:eastAsiaTheme="minorEastAsia" w:hAnsi="Arial" w:cs="Arial"/>
          <w:noProof/>
        </w:rPr>
      </w:pPr>
      <w:r w:rsidRPr="00EF3C05">
        <w:rPr>
          <w:rFonts w:ascii="Arial" w:hAnsi="Arial" w:cs="Arial"/>
          <w:noProof/>
        </w:rPr>
        <w:t>III.</w:t>
      </w:r>
      <w:r w:rsidRPr="00EF3C05">
        <w:rPr>
          <w:rFonts w:ascii="Arial" w:eastAsiaTheme="minorEastAsia" w:hAnsi="Arial" w:cs="Arial"/>
          <w:noProof/>
        </w:rPr>
        <w:tab/>
      </w:r>
      <w:r w:rsidRPr="00EF3C05">
        <w:rPr>
          <w:rFonts w:ascii="Arial" w:hAnsi="Arial" w:cs="Arial"/>
          <w:noProof/>
        </w:rPr>
        <w:t>Regulatory Compliance</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_Toc450627081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31</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A.</w:t>
      </w:r>
      <w:r w:rsidRPr="00EF3C05">
        <w:rPr>
          <w:rFonts w:ascii="Arial" w:eastAsiaTheme="minorEastAsia" w:hAnsi="Arial" w:cs="Arial"/>
          <w:noProof/>
        </w:rPr>
        <w:tab/>
      </w:r>
      <w:r w:rsidRPr="00EF3C05">
        <w:rPr>
          <w:rFonts w:ascii="Arial" w:hAnsi="Arial" w:cs="Arial"/>
          <w:noProof/>
        </w:rPr>
        <w:t>RCW 19.285.040(1)</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_Toc450627082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31</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B.</w:t>
      </w:r>
      <w:r w:rsidRPr="00EF3C05">
        <w:rPr>
          <w:rFonts w:ascii="Arial" w:eastAsiaTheme="minorEastAsia" w:hAnsi="Arial" w:cs="Arial"/>
          <w:noProof/>
        </w:rPr>
        <w:tab/>
      </w:r>
      <w:r w:rsidRPr="00EF3C05">
        <w:rPr>
          <w:rFonts w:ascii="Arial" w:hAnsi="Arial" w:cs="Arial"/>
          <w:noProof/>
        </w:rPr>
        <w:t>WAC 480-109</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_Toc450627083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33</w:t>
      </w:r>
      <w:r w:rsidRPr="00EF3C05">
        <w:rPr>
          <w:rFonts w:ascii="Arial" w:hAnsi="Arial" w:cs="Arial"/>
          <w:noProof/>
        </w:rPr>
        <w:fldChar w:fldCharType="end"/>
      </w:r>
    </w:p>
    <w:p w:rsidR="00EF3C05" w:rsidRPr="00EF3C05" w:rsidRDefault="00EF3C05" w:rsidP="002234FC">
      <w:pPr>
        <w:pStyle w:val="TOC2"/>
        <w:rPr>
          <w:rFonts w:ascii="Arial" w:eastAsiaTheme="minorEastAsia" w:hAnsi="Arial" w:cs="Arial"/>
          <w:noProof/>
        </w:rPr>
      </w:pPr>
      <w:r w:rsidRPr="00EF3C05">
        <w:rPr>
          <w:rFonts w:ascii="Arial" w:hAnsi="Arial" w:cs="Arial"/>
          <w:noProof/>
        </w:rPr>
        <w:t>C.</w:t>
      </w:r>
      <w:r w:rsidRPr="00EF3C05">
        <w:rPr>
          <w:rFonts w:ascii="Arial" w:eastAsiaTheme="minorEastAsia" w:hAnsi="Arial" w:cs="Arial"/>
          <w:noProof/>
        </w:rPr>
        <w:tab/>
      </w:r>
      <w:r w:rsidRPr="00EF3C05">
        <w:rPr>
          <w:rFonts w:ascii="Arial" w:hAnsi="Arial" w:cs="Arial"/>
          <w:noProof/>
        </w:rPr>
        <w:t>Orders and Conditions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_Toc450627084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35</w:t>
      </w:r>
      <w:r w:rsidRPr="00EF3C05">
        <w:rPr>
          <w:rFonts w:ascii="Arial" w:hAnsi="Arial" w:cs="Arial"/>
          <w:noProof/>
        </w:rPr>
        <w:fldChar w:fldCharType="end"/>
      </w:r>
    </w:p>
    <w:p w:rsidR="002234FC" w:rsidRDefault="002234FC" w:rsidP="002234FC">
      <w:pPr>
        <w:pStyle w:val="TOC1"/>
        <w:tabs>
          <w:tab w:val="left" w:pos="660"/>
          <w:tab w:val="right" w:leader="dot" w:pos="9350"/>
        </w:tabs>
        <w:spacing w:after="0"/>
        <w:rPr>
          <w:rFonts w:ascii="Arial" w:hAnsi="Arial" w:cs="Arial"/>
          <w:noProof/>
        </w:rPr>
      </w:pPr>
    </w:p>
    <w:p w:rsidR="00EF3C05" w:rsidRPr="00EF3C05" w:rsidRDefault="00EF3C05" w:rsidP="002234FC">
      <w:pPr>
        <w:pStyle w:val="TOC1"/>
        <w:tabs>
          <w:tab w:val="left" w:pos="660"/>
          <w:tab w:val="right" w:leader="dot" w:pos="9350"/>
        </w:tabs>
        <w:spacing w:after="0"/>
        <w:rPr>
          <w:rFonts w:ascii="Arial" w:eastAsiaTheme="minorEastAsia" w:hAnsi="Arial" w:cs="Arial"/>
          <w:noProof/>
        </w:rPr>
      </w:pPr>
      <w:r w:rsidRPr="00EF3C05">
        <w:rPr>
          <w:rFonts w:ascii="Arial" w:hAnsi="Arial" w:cs="Arial"/>
          <w:noProof/>
        </w:rPr>
        <w:t>IV.</w:t>
      </w:r>
      <w:r w:rsidRPr="00EF3C05">
        <w:rPr>
          <w:rFonts w:ascii="Arial" w:eastAsiaTheme="minorEastAsia" w:hAnsi="Arial" w:cs="Arial"/>
          <w:noProof/>
        </w:rPr>
        <w:tab/>
      </w:r>
      <w:r w:rsidRPr="00EF3C05">
        <w:rPr>
          <w:rFonts w:ascii="Arial" w:hAnsi="Arial" w:cs="Arial"/>
          <w:noProof/>
        </w:rPr>
        <w:t>Stakeholder Engagement</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_Toc450627085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37</w:t>
      </w:r>
      <w:r w:rsidRPr="00EF3C05">
        <w:rPr>
          <w:rFonts w:ascii="Arial" w:hAnsi="Arial" w:cs="Arial"/>
          <w:noProof/>
        </w:rPr>
        <w:fldChar w:fldCharType="end"/>
      </w:r>
    </w:p>
    <w:p w:rsidR="002234FC" w:rsidRDefault="002234FC" w:rsidP="002234FC">
      <w:pPr>
        <w:pStyle w:val="TOC1"/>
        <w:tabs>
          <w:tab w:val="left" w:pos="440"/>
          <w:tab w:val="right" w:leader="dot" w:pos="9350"/>
        </w:tabs>
        <w:spacing w:after="0"/>
        <w:rPr>
          <w:rFonts w:ascii="Arial" w:hAnsi="Arial" w:cs="Arial"/>
          <w:noProof/>
        </w:rPr>
      </w:pPr>
    </w:p>
    <w:p w:rsidR="00EF3C05" w:rsidRPr="00EF3C05" w:rsidRDefault="00EF3C05" w:rsidP="002234FC">
      <w:pPr>
        <w:pStyle w:val="TOC1"/>
        <w:tabs>
          <w:tab w:val="left" w:pos="440"/>
          <w:tab w:val="right" w:leader="dot" w:pos="9350"/>
        </w:tabs>
        <w:spacing w:after="0"/>
        <w:rPr>
          <w:rFonts w:ascii="Arial" w:eastAsiaTheme="minorEastAsia" w:hAnsi="Arial" w:cs="Arial"/>
          <w:noProof/>
        </w:rPr>
      </w:pPr>
      <w:r w:rsidRPr="00EF3C05">
        <w:rPr>
          <w:rFonts w:ascii="Arial" w:hAnsi="Arial" w:cs="Arial"/>
          <w:noProof/>
        </w:rPr>
        <w:t>V.</w:t>
      </w:r>
      <w:r w:rsidRPr="00EF3C05">
        <w:rPr>
          <w:rFonts w:ascii="Arial" w:eastAsiaTheme="minorEastAsia" w:hAnsi="Arial" w:cs="Arial"/>
          <w:noProof/>
        </w:rPr>
        <w:tab/>
      </w:r>
      <w:r w:rsidRPr="00EF3C05">
        <w:rPr>
          <w:rFonts w:ascii="Arial" w:hAnsi="Arial" w:cs="Arial"/>
          <w:noProof/>
        </w:rPr>
        <w:t>References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_Toc450627086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39</w:t>
      </w:r>
      <w:r w:rsidRPr="00EF3C05">
        <w:rPr>
          <w:rFonts w:ascii="Arial" w:hAnsi="Arial" w:cs="Arial"/>
          <w:noProof/>
        </w:rPr>
        <w:fldChar w:fldCharType="end"/>
      </w:r>
    </w:p>
    <w:p w:rsidR="002234FC" w:rsidRDefault="002234FC" w:rsidP="002234FC">
      <w:pPr>
        <w:pStyle w:val="TOC1"/>
        <w:tabs>
          <w:tab w:val="left" w:pos="660"/>
          <w:tab w:val="right" w:leader="dot" w:pos="9350"/>
        </w:tabs>
        <w:spacing w:after="0"/>
        <w:rPr>
          <w:rFonts w:ascii="Arial" w:hAnsi="Arial" w:cs="Arial"/>
          <w:noProof/>
        </w:rPr>
      </w:pPr>
    </w:p>
    <w:p w:rsidR="00EF3C05" w:rsidRDefault="00EF3C05" w:rsidP="002234FC">
      <w:pPr>
        <w:pStyle w:val="TOC1"/>
        <w:tabs>
          <w:tab w:val="left" w:pos="660"/>
          <w:tab w:val="right" w:leader="dot" w:pos="9350"/>
        </w:tabs>
        <w:spacing w:after="0"/>
        <w:rPr>
          <w:rFonts w:asciiTheme="minorHAnsi" w:eastAsiaTheme="minorEastAsia" w:hAnsiTheme="minorHAnsi" w:cstheme="minorBidi"/>
          <w:noProof/>
        </w:rPr>
      </w:pPr>
      <w:r w:rsidRPr="00EF3C05">
        <w:rPr>
          <w:rFonts w:ascii="Arial" w:hAnsi="Arial" w:cs="Arial"/>
          <w:noProof/>
        </w:rPr>
        <w:t>VI.</w:t>
      </w:r>
      <w:r w:rsidRPr="00EF3C05">
        <w:rPr>
          <w:rFonts w:ascii="Arial" w:eastAsiaTheme="minorEastAsia" w:hAnsi="Arial" w:cs="Arial"/>
          <w:noProof/>
        </w:rPr>
        <w:tab/>
      </w:r>
      <w:r w:rsidRPr="00EF3C05">
        <w:rPr>
          <w:rFonts w:ascii="Arial" w:hAnsi="Arial" w:cs="Arial"/>
          <w:noProof/>
        </w:rPr>
        <w:t>Acknowledgements</w:t>
      </w:r>
      <w:r w:rsidRPr="00EF3C05">
        <w:rPr>
          <w:rFonts w:ascii="Arial" w:hAnsi="Arial" w:cs="Arial"/>
          <w:noProof/>
        </w:rPr>
        <w:tab/>
      </w:r>
      <w:r w:rsidRPr="00EF3C05">
        <w:rPr>
          <w:rFonts w:ascii="Arial" w:hAnsi="Arial" w:cs="Arial"/>
          <w:noProof/>
        </w:rPr>
        <w:fldChar w:fldCharType="begin"/>
      </w:r>
      <w:r w:rsidRPr="00EF3C05">
        <w:rPr>
          <w:rFonts w:ascii="Arial" w:hAnsi="Arial" w:cs="Arial"/>
          <w:noProof/>
        </w:rPr>
        <w:instrText xml:space="preserve"> PAGEREF _Toc450627087 \h </w:instrText>
      </w:r>
      <w:r w:rsidRPr="00EF3C05">
        <w:rPr>
          <w:rFonts w:ascii="Arial" w:hAnsi="Arial" w:cs="Arial"/>
          <w:noProof/>
        </w:rPr>
      </w:r>
      <w:r w:rsidRPr="00EF3C05">
        <w:rPr>
          <w:rFonts w:ascii="Arial" w:hAnsi="Arial" w:cs="Arial"/>
          <w:noProof/>
        </w:rPr>
        <w:fldChar w:fldCharType="separate"/>
      </w:r>
      <w:r w:rsidR="001A7098">
        <w:rPr>
          <w:rFonts w:ascii="Arial" w:hAnsi="Arial" w:cs="Arial"/>
          <w:noProof/>
        </w:rPr>
        <w:t>41</w:t>
      </w:r>
      <w:r w:rsidRPr="00EF3C05">
        <w:rPr>
          <w:rFonts w:ascii="Arial" w:hAnsi="Arial" w:cs="Arial"/>
          <w:noProof/>
        </w:rPr>
        <w:fldChar w:fldCharType="end"/>
      </w:r>
    </w:p>
    <w:p w:rsidR="00E2099C" w:rsidRPr="007B6A96" w:rsidRDefault="00311B56" w:rsidP="002234FC">
      <w:pPr>
        <w:spacing w:before="0" w:after="0" w:line="240" w:lineRule="auto"/>
      </w:pPr>
      <w:r w:rsidRPr="002646F9">
        <w:rPr>
          <w:rFonts w:cs="Arial"/>
        </w:rPr>
        <w:fldChar w:fldCharType="end"/>
      </w:r>
    </w:p>
    <w:p w:rsidR="008411DD" w:rsidRDefault="008411DD" w:rsidP="00B931AD">
      <w:pPr>
        <w:rPr>
          <w:color w:val="006A71"/>
          <w:sz w:val="28"/>
        </w:rPr>
      </w:pPr>
      <w:r>
        <w:rPr>
          <w:color w:val="006A71"/>
          <w:sz w:val="28"/>
        </w:rPr>
        <w:br w:type="page"/>
      </w:r>
    </w:p>
    <w:p w:rsidR="00F73DC0" w:rsidRPr="00F8635C" w:rsidRDefault="00F73DC0" w:rsidP="00B931AD">
      <w:pPr>
        <w:rPr>
          <w:color w:val="006A71"/>
          <w:sz w:val="28"/>
        </w:rPr>
      </w:pPr>
      <w:r w:rsidRPr="00F8635C">
        <w:rPr>
          <w:color w:val="006A71"/>
          <w:sz w:val="28"/>
        </w:rPr>
        <w:lastRenderedPageBreak/>
        <w:t>Figures</w:t>
      </w:r>
    </w:p>
    <w:p w:rsidR="00915899" w:rsidRDefault="00F73DC0" w:rsidP="00915899">
      <w:pPr>
        <w:pStyle w:val="TableofFigures"/>
        <w:tabs>
          <w:tab w:val="right" w:leader="dot" w:pos="9350"/>
        </w:tabs>
        <w:spacing w:before="0" w:after="0"/>
        <w:rPr>
          <w:noProof/>
        </w:rPr>
      </w:pPr>
      <w:r>
        <w:fldChar w:fldCharType="begin"/>
      </w:r>
      <w:r>
        <w:instrText xml:space="preserve"> TOC \f F \h \z \t "Heading 5" \c </w:instrText>
      </w:r>
      <w:r>
        <w:fldChar w:fldCharType="separate"/>
      </w:r>
      <w:r w:rsidR="000F0F52">
        <w:rPr>
          <w:noProof/>
        </w:rPr>
        <w:fldChar w:fldCharType="begin"/>
      </w:r>
      <w:r w:rsidR="000F0F52">
        <w:rPr>
          <w:noProof/>
        </w:rPr>
        <w:instrText xml:space="preserve"> HYPERLINK \l "_Toc387826911" </w:instrText>
      </w:r>
      <w:r w:rsidR="000F0F52">
        <w:rPr>
          <w:noProof/>
        </w:rPr>
        <w:fldChar w:fldCharType="separate"/>
      </w:r>
      <w:r w:rsidR="00915899">
        <w:rPr>
          <w:rStyle w:val="Hyperlink"/>
          <w:noProof/>
        </w:rPr>
        <w:fldChar w:fldCharType="begin"/>
      </w:r>
      <w:r w:rsidR="00915899">
        <w:rPr>
          <w:rStyle w:val="Hyperlink"/>
          <w:noProof/>
        </w:rPr>
        <w:instrText xml:space="preserve"> TOC \h \z \c "Figure" </w:instrText>
      </w:r>
      <w:r w:rsidR="00915899">
        <w:rPr>
          <w:rStyle w:val="Hyperlink"/>
          <w:noProof/>
        </w:rPr>
        <w:fldChar w:fldCharType="separate"/>
      </w:r>
    </w:p>
    <w:p w:rsidR="00915899" w:rsidRDefault="00782D75">
      <w:pPr>
        <w:pStyle w:val="TableofFigures"/>
        <w:tabs>
          <w:tab w:val="right" w:leader="dot" w:pos="9350"/>
        </w:tabs>
        <w:rPr>
          <w:rFonts w:asciiTheme="minorHAnsi" w:eastAsiaTheme="minorEastAsia" w:hAnsiTheme="minorHAnsi" w:cstheme="minorBidi"/>
          <w:noProof/>
        </w:rPr>
      </w:pPr>
      <w:hyperlink w:anchor="_Toc449601387" w:history="1">
        <w:r w:rsidR="00915899" w:rsidRPr="00A134AD">
          <w:rPr>
            <w:rStyle w:val="Hyperlink"/>
            <w:noProof/>
          </w:rPr>
          <w:t>Figure III</w:t>
        </w:r>
        <w:r w:rsidR="00915899" w:rsidRPr="00A134AD">
          <w:rPr>
            <w:rStyle w:val="Hyperlink"/>
            <w:noProof/>
          </w:rPr>
          <w:noBreakHyphen/>
          <w:t>1: Completion Status of all 2014-2015 Requirements</w:t>
        </w:r>
        <w:r w:rsidR="00915899">
          <w:rPr>
            <w:noProof/>
            <w:webHidden/>
          </w:rPr>
          <w:tab/>
        </w:r>
        <w:r w:rsidR="00915899">
          <w:rPr>
            <w:noProof/>
            <w:webHidden/>
          </w:rPr>
          <w:fldChar w:fldCharType="begin"/>
        </w:r>
        <w:r w:rsidR="00915899">
          <w:rPr>
            <w:noProof/>
            <w:webHidden/>
          </w:rPr>
          <w:instrText xml:space="preserve"> PAGEREF _Toc449601387 \h </w:instrText>
        </w:r>
        <w:r w:rsidR="00915899">
          <w:rPr>
            <w:noProof/>
            <w:webHidden/>
          </w:rPr>
        </w:r>
        <w:r w:rsidR="00915899">
          <w:rPr>
            <w:noProof/>
            <w:webHidden/>
          </w:rPr>
          <w:fldChar w:fldCharType="separate"/>
        </w:r>
        <w:r w:rsidR="001A7098">
          <w:rPr>
            <w:noProof/>
            <w:webHidden/>
          </w:rPr>
          <w:t>35</w:t>
        </w:r>
        <w:r w:rsidR="00915899">
          <w:rPr>
            <w:noProof/>
            <w:webHidden/>
          </w:rPr>
          <w:fldChar w:fldCharType="end"/>
        </w:r>
      </w:hyperlink>
    </w:p>
    <w:p w:rsidR="00A8434C" w:rsidRDefault="00915899">
      <w:pPr>
        <w:pStyle w:val="TableofFigures"/>
        <w:tabs>
          <w:tab w:val="right" w:leader="dot" w:pos="9350"/>
        </w:tabs>
        <w:rPr>
          <w:rFonts w:asciiTheme="minorHAnsi" w:eastAsiaTheme="minorEastAsia" w:hAnsiTheme="minorHAnsi" w:cstheme="minorBidi"/>
          <w:noProof/>
        </w:rPr>
      </w:pPr>
      <w:r>
        <w:rPr>
          <w:rStyle w:val="Hyperlink"/>
          <w:noProof/>
        </w:rPr>
        <w:fldChar w:fldCharType="end"/>
      </w:r>
      <w:r w:rsidR="000F0F52">
        <w:rPr>
          <w:noProof/>
        </w:rPr>
        <w:fldChar w:fldCharType="end"/>
      </w:r>
      <w:r>
        <w:rPr>
          <w:rFonts w:asciiTheme="minorHAnsi" w:eastAsiaTheme="minorEastAsia" w:hAnsiTheme="minorHAnsi" w:cstheme="minorBidi"/>
          <w:noProof/>
        </w:rPr>
        <w:t xml:space="preserve"> </w:t>
      </w:r>
    </w:p>
    <w:p w:rsidR="00E2099C" w:rsidRPr="008411DD" w:rsidRDefault="00F73DC0" w:rsidP="00B931AD">
      <w:r>
        <w:fldChar w:fldCharType="end"/>
      </w:r>
      <w:r w:rsidR="00E2099C" w:rsidRPr="00F8635C">
        <w:rPr>
          <w:color w:val="006A71"/>
          <w:sz w:val="28"/>
        </w:rPr>
        <w:t>Tables</w:t>
      </w:r>
    </w:p>
    <w:p w:rsidR="002234FC" w:rsidRDefault="00915899" w:rsidP="002234FC">
      <w:pPr>
        <w:pStyle w:val="TableofFigures"/>
        <w:tabs>
          <w:tab w:val="right" w:leader="dot" w:pos="9350"/>
        </w:tabs>
        <w:spacing w:before="0" w:after="0"/>
        <w:rPr>
          <w:rFonts w:asciiTheme="minorHAnsi" w:eastAsiaTheme="minorEastAsia" w:hAnsiTheme="minorHAnsi" w:cstheme="minorBidi"/>
          <w:noProof/>
        </w:rPr>
      </w:pPr>
      <w:r>
        <w:rPr>
          <w:rFonts w:cs="Arial"/>
        </w:rPr>
        <w:fldChar w:fldCharType="begin"/>
      </w:r>
      <w:r>
        <w:rPr>
          <w:rFonts w:cs="Arial"/>
        </w:rPr>
        <w:instrText xml:space="preserve"> TOC \f f \t "Heading 9,1" \c "Table" </w:instrText>
      </w:r>
      <w:r>
        <w:rPr>
          <w:rFonts w:cs="Arial"/>
        </w:rPr>
        <w:fldChar w:fldCharType="separate"/>
      </w:r>
      <w:r w:rsidR="002234FC">
        <w:rPr>
          <w:noProof/>
        </w:rPr>
        <w:t>Table I</w:t>
      </w:r>
      <w:r w:rsidR="002234FC">
        <w:rPr>
          <w:noProof/>
        </w:rPr>
        <w:noBreakHyphen/>
        <w:t>1</w:t>
      </w:r>
      <w:r w:rsidR="002234FC" w:rsidRPr="00B91657">
        <w:rPr>
          <w:rFonts w:cs="Arial"/>
          <w:noProof/>
        </w:rPr>
        <w:t>:</w:t>
      </w:r>
      <w:r w:rsidR="002234FC" w:rsidRPr="00B91657">
        <w:rPr>
          <w:rFonts w:cs="Arial"/>
          <w:bCs/>
          <w:noProof/>
        </w:rPr>
        <w:t xml:space="preserve"> Portfolio </w:t>
      </w:r>
      <w:r w:rsidR="002234FC" w:rsidRPr="00B91657">
        <w:rPr>
          <w:rFonts w:cs="Arial"/>
          <w:noProof/>
        </w:rPr>
        <w:t>2014-2015</w:t>
      </w:r>
      <w:r w:rsidR="002234FC" w:rsidRPr="00B91657">
        <w:rPr>
          <w:rFonts w:cs="Arial"/>
          <w:bCs/>
          <w:noProof/>
        </w:rPr>
        <w:t xml:space="preserve"> Electric Conservation Results</w:t>
      </w:r>
      <w:r w:rsidR="002234FC">
        <w:rPr>
          <w:noProof/>
        </w:rPr>
        <w:tab/>
      </w:r>
      <w:r w:rsidR="002234FC">
        <w:rPr>
          <w:noProof/>
        </w:rPr>
        <w:fldChar w:fldCharType="begin"/>
      </w:r>
      <w:r w:rsidR="002234FC">
        <w:rPr>
          <w:noProof/>
        </w:rPr>
        <w:instrText xml:space="preserve"> PAGEREF _Toc450627230 \h </w:instrText>
      </w:r>
      <w:r w:rsidR="002234FC">
        <w:rPr>
          <w:noProof/>
        </w:rPr>
      </w:r>
      <w:r w:rsidR="002234FC">
        <w:rPr>
          <w:noProof/>
        </w:rPr>
        <w:fldChar w:fldCharType="separate"/>
      </w:r>
      <w:r w:rsidR="001A7098">
        <w:rPr>
          <w:noProof/>
        </w:rPr>
        <w:t>1</w:t>
      </w:r>
      <w:r w:rsidR="002234FC">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w:t>
      </w:r>
      <w:r>
        <w:rPr>
          <w:noProof/>
        </w:rPr>
        <w:noBreakHyphen/>
        <w:t xml:space="preserve">2: </w:t>
      </w:r>
      <w:r w:rsidRPr="00B91657">
        <w:rPr>
          <w:rFonts w:cs="Arial"/>
          <w:bCs/>
          <w:noProof/>
        </w:rPr>
        <w:t>2014-2015 Electric Savings Adjustments</w:t>
      </w:r>
      <w:r>
        <w:rPr>
          <w:noProof/>
        </w:rPr>
        <w:tab/>
      </w:r>
      <w:r>
        <w:rPr>
          <w:noProof/>
        </w:rPr>
        <w:fldChar w:fldCharType="begin"/>
      </w:r>
      <w:r>
        <w:rPr>
          <w:noProof/>
        </w:rPr>
        <w:instrText xml:space="preserve"> PAGEREF _Toc450627231 \h </w:instrText>
      </w:r>
      <w:r>
        <w:rPr>
          <w:noProof/>
        </w:rPr>
      </w:r>
      <w:r>
        <w:rPr>
          <w:noProof/>
        </w:rPr>
        <w:fldChar w:fldCharType="separate"/>
      </w:r>
      <w:r w:rsidR="001A7098">
        <w:rPr>
          <w:noProof/>
        </w:rPr>
        <w:t>5</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II</w:t>
      </w:r>
      <w:r>
        <w:rPr>
          <w:noProof/>
        </w:rPr>
        <w:noBreakHyphen/>
        <w:t>1: 2014-2015 Electric Portfolio: Sub-Total Targets versus Actuals</w:t>
      </w:r>
      <w:r>
        <w:rPr>
          <w:noProof/>
        </w:rPr>
        <w:tab/>
      </w:r>
      <w:r>
        <w:rPr>
          <w:noProof/>
        </w:rPr>
        <w:fldChar w:fldCharType="begin"/>
      </w:r>
      <w:r>
        <w:rPr>
          <w:noProof/>
        </w:rPr>
        <w:instrText xml:space="preserve"> PAGEREF _Toc450627232 \h </w:instrText>
      </w:r>
      <w:r>
        <w:rPr>
          <w:noProof/>
        </w:rPr>
      </w:r>
      <w:r>
        <w:rPr>
          <w:noProof/>
        </w:rPr>
        <w:fldChar w:fldCharType="separate"/>
      </w:r>
      <w:r w:rsidR="001A7098">
        <w:rPr>
          <w:noProof/>
        </w:rPr>
        <w:t>11</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II</w:t>
      </w:r>
      <w:r>
        <w:rPr>
          <w:noProof/>
        </w:rPr>
        <w:noBreakHyphen/>
        <w:t>2: 2014-2015 Sector-Level Electric Savings</w:t>
      </w:r>
      <w:r>
        <w:rPr>
          <w:noProof/>
        </w:rPr>
        <w:tab/>
      </w:r>
      <w:r>
        <w:rPr>
          <w:noProof/>
        </w:rPr>
        <w:fldChar w:fldCharType="begin"/>
      </w:r>
      <w:r>
        <w:rPr>
          <w:noProof/>
        </w:rPr>
        <w:instrText xml:space="preserve"> PAGEREF _Toc450627233 \h </w:instrText>
      </w:r>
      <w:r>
        <w:rPr>
          <w:noProof/>
        </w:rPr>
      </w:r>
      <w:r>
        <w:rPr>
          <w:noProof/>
        </w:rPr>
        <w:fldChar w:fldCharType="separate"/>
      </w:r>
      <w:r w:rsidR="001A7098">
        <w:rPr>
          <w:noProof/>
        </w:rPr>
        <w:t>16</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II</w:t>
      </w:r>
      <w:r>
        <w:rPr>
          <w:noProof/>
        </w:rPr>
        <w:noBreakHyphen/>
        <w:t>3: 2014-2015 Sector-Level Electric Expenditures</w:t>
      </w:r>
      <w:r>
        <w:rPr>
          <w:noProof/>
        </w:rPr>
        <w:tab/>
      </w:r>
      <w:r>
        <w:rPr>
          <w:noProof/>
        </w:rPr>
        <w:fldChar w:fldCharType="begin"/>
      </w:r>
      <w:r>
        <w:rPr>
          <w:noProof/>
        </w:rPr>
        <w:instrText xml:space="preserve"> PAGEREF _Toc450627234 \h </w:instrText>
      </w:r>
      <w:r>
        <w:rPr>
          <w:noProof/>
        </w:rPr>
      </w:r>
      <w:r>
        <w:rPr>
          <w:noProof/>
        </w:rPr>
        <w:fldChar w:fldCharType="separate"/>
      </w:r>
      <w:r w:rsidR="001A7098">
        <w:rPr>
          <w:noProof/>
        </w:rPr>
        <w:t>17</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II</w:t>
      </w:r>
      <w:r>
        <w:rPr>
          <w:noProof/>
        </w:rPr>
        <w:noBreakHyphen/>
        <w:t>4: 2014-2015 Final NEEA Electric Savings</w:t>
      </w:r>
      <w:r>
        <w:rPr>
          <w:noProof/>
        </w:rPr>
        <w:tab/>
      </w:r>
      <w:r>
        <w:rPr>
          <w:noProof/>
        </w:rPr>
        <w:fldChar w:fldCharType="begin"/>
      </w:r>
      <w:r>
        <w:rPr>
          <w:noProof/>
        </w:rPr>
        <w:instrText xml:space="preserve"> PAGEREF _Toc450627235 \h </w:instrText>
      </w:r>
      <w:r>
        <w:rPr>
          <w:noProof/>
        </w:rPr>
      </w:r>
      <w:r>
        <w:rPr>
          <w:noProof/>
        </w:rPr>
        <w:fldChar w:fldCharType="separate"/>
      </w:r>
      <w:r w:rsidR="001A7098">
        <w:rPr>
          <w:noProof/>
        </w:rPr>
        <w:t>20</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II</w:t>
      </w:r>
      <w:r>
        <w:rPr>
          <w:noProof/>
        </w:rPr>
        <w:noBreakHyphen/>
        <w:t xml:space="preserve">5: </w:t>
      </w:r>
      <w:r w:rsidRPr="00B91657">
        <w:rPr>
          <w:rFonts w:cs="Arial"/>
          <w:noProof/>
        </w:rPr>
        <w:t>SBW 2015</w:t>
      </w:r>
      <w:r w:rsidRPr="00B91657">
        <w:rPr>
          <w:rFonts w:cs="Arial"/>
          <w:bCs/>
          <w:noProof/>
        </w:rPr>
        <w:t xml:space="preserve"> Recommended Savings Corrections</w:t>
      </w:r>
      <w:r>
        <w:rPr>
          <w:noProof/>
        </w:rPr>
        <w:tab/>
      </w:r>
      <w:r>
        <w:rPr>
          <w:noProof/>
        </w:rPr>
        <w:fldChar w:fldCharType="begin"/>
      </w:r>
      <w:r>
        <w:rPr>
          <w:noProof/>
        </w:rPr>
        <w:instrText xml:space="preserve"> PAGEREF _Toc450627236 \h </w:instrText>
      </w:r>
      <w:r>
        <w:rPr>
          <w:noProof/>
        </w:rPr>
      </w:r>
      <w:r>
        <w:rPr>
          <w:noProof/>
        </w:rPr>
        <w:fldChar w:fldCharType="separate"/>
      </w:r>
      <w:r w:rsidR="001A7098">
        <w:rPr>
          <w:noProof/>
        </w:rPr>
        <w:t>23</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II</w:t>
      </w:r>
      <w:r>
        <w:rPr>
          <w:noProof/>
        </w:rPr>
        <w:noBreakHyphen/>
        <w:t>6: DNV - GL 2014-2015 Recommended Home Energy Report Ex-Post Savings True-up</w:t>
      </w:r>
      <w:r>
        <w:rPr>
          <w:noProof/>
        </w:rPr>
        <w:tab/>
      </w:r>
      <w:r>
        <w:rPr>
          <w:noProof/>
        </w:rPr>
        <w:fldChar w:fldCharType="begin"/>
      </w:r>
      <w:r>
        <w:rPr>
          <w:noProof/>
        </w:rPr>
        <w:instrText xml:space="preserve"> PAGEREF _Toc450627237 \h </w:instrText>
      </w:r>
      <w:r>
        <w:rPr>
          <w:noProof/>
        </w:rPr>
      </w:r>
      <w:r>
        <w:rPr>
          <w:noProof/>
        </w:rPr>
        <w:fldChar w:fldCharType="separate"/>
      </w:r>
      <w:r w:rsidR="001A7098">
        <w:rPr>
          <w:noProof/>
        </w:rPr>
        <w:t>25</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II</w:t>
      </w:r>
      <w:r>
        <w:rPr>
          <w:noProof/>
        </w:rPr>
        <w:noBreakHyphen/>
        <w:t>7</w:t>
      </w:r>
      <w:r w:rsidRPr="00B91657">
        <w:rPr>
          <w:rFonts w:cs="Arial"/>
          <w:noProof/>
        </w:rPr>
        <w:t xml:space="preserve">: </w:t>
      </w:r>
      <w:r w:rsidRPr="00B91657">
        <w:rPr>
          <w:rFonts w:cs="Arial"/>
          <w:bCs/>
          <w:noProof/>
        </w:rPr>
        <w:t>Verified</w:t>
      </w:r>
      <w:r w:rsidRPr="00B91657">
        <w:rPr>
          <w:rFonts w:cs="Arial"/>
          <w:noProof/>
        </w:rPr>
        <w:t xml:space="preserve"> 2014-2015</w:t>
      </w:r>
      <w:r w:rsidRPr="00B91657">
        <w:rPr>
          <w:rFonts w:cs="Arial"/>
          <w:bCs/>
          <w:noProof/>
        </w:rPr>
        <w:t xml:space="preserve"> Savings with Adjustments</w:t>
      </w:r>
      <w:r>
        <w:rPr>
          <w:noProof/>
        </w:rPr>
        <w:tab/>
      </w:r>
      <w:r>
        <w:rPr>
          <w:noProof/>
        </w:rPr>
        <w:fldChar w:fldCharType="begin"/>
      </w:r>
      <w:r>
        <w:rPr>
          <w:noProof/>
        </w:rPr>
        <w:instrText xml:space="preserve"> PAGEREF _Toc450627238 \h </w:instrText>
      </w:r>
      <w:r>
        <w:rPr>
          <w:noProof/>
        </w:rPr>
      </w:r>
      <w:r>
        <w:rPr>
          <w:noProof/>
        </w:rPr>
        <w:fldChar w:fldCharType="separate"/>
      </w:r>
      <w:r w:rsidR="001A7098">
        <w:rPr>
          <w:noProof/>
        </w:rPr>
        <w:t>26</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II</w:t>
      </w:r>
      <w:r>
        <w:rPr>
          <w:noProof/>
        </w:rPr>
        <w:noBreakHyphen/>
        <w:t>8: 2014-2015 Electric Cost-Effectiveness by Sector</w:t>
      </w:r>
      <w:r>
        <w:rPr>
          <w:noProof/>
        </w:rPr>
        <w:tab/>
      </w:r>
      <w:r>
        <w:rPr>
          <w:noProof/>
        </w:rPr>
        <w:fldChar w:fldCharType="begin"/>
      </w:r>
      <w:r>
        <w:rPr>
          <w:noProof/>
        </w:rPr>
        <w:instrText xml:space="preserve"> PAGEREF _Toc450627239 \h </w:instrText>
      </w:r>
      <w:r>
        <w:rPr>
          <w:noProof/>
        </w:rPr>
      </w:r>
      <w:r>
        <w:rPr>
          <w:noProof/>
        </w:rPr>
        <w:fldChar w:fldCharType="separate"/>
      </w:r>
      <w:r w:rsidR="001A7098">
        <w:rPr>
          <w:noProof/>
        </w:rPr>
        <w:t>27</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II</w:t>
      </w:r>
      <w:r>
        <w:rPr>
          <w:noProof/>
        </w:rPr>
        <w:noBreakHyphen/>
        <w:t>9: Highlights of 2014 Energy Efficiency TQM Adaptive Management Initiatives</w:t>
      </w:r>
      <w:r>
        <w:rPr>
          <w:noProof/>
        </w:rPr>
        <w:tab/>
      </w:r>
      <w:r>
        <w:rPr>
          <w:noProof/>
        </w:rPr>
        <w:fldChar w:fldCharType="begin"/>
      </w:r>
      <w:r>
        <w:rPr>
          <w:noProof/>
        </w:rPr>
        <w:instrText xml:space="preserve"> PAGEREF _Toc450627240 \h </w:instrText>
      </w:r>
      <w:r>
        <w:rPr>
          <w:noProof/>
        </w:rPr>
      </w:r>
      <w:r>
        <w:rPr>
          <w:noProof/>
        </w:rPr>
        <w:fldChar w:fldCharType="separate"/>
      </w:r>
      <w:r w:rsidR="001A7098">
        <w:rPr>
          <w:noProof/>
        </w:rPr>
        <w:t>29</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II</w:t>
      </w:r>
      <w:r>
        <w:rPr>
          <w:noProof/>
        </w:rPr>
        <w:noBreakHyphen/>
        <w:t>10: Highlights of 2015 Energy Efficiency TQM Adaptive Management Initiatives</w:t>
      </w:r>
      <w:r>
        <w:rPr>
          <w:noProof/>
        </w:rPr>
        <w:tab/>
      </w:r>
      <w:r>
        <w:rPr>
          <w:noProof/>
        </w:rPr>
        <w:fldChar w:fldCharType="begin"/>
      </w:r>
      <w:r>
        <w:rPr>
          <w:noProof/>
        </w:rPr>
        <w:instrText xml:space="preserve"> PAGEREF _Toc450627241 \h </w:instrText>
      </w:r>
      <w:r>
        <w:rPr>
          <w:noProof/>
        </w:rPr>
      </w:r>
      <w:r>
        <w:rPr>
          <w:noProof/>
        </w:rPr>
        <w:fldChar w:fldCharType="separate"/>
      </w:r>
      <w:r w:rsidR="001A7098">
        <w:rPr>
          <w:noProof/>
        </w:rPr>
        <w:t>30</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III</w:t>
      </w:r>
      <w:r>
        <w:rPr>
          <w:noProof/>
        </w:rPr>
        <w:noBreakHyphen/>
        <w:t>1: 2014-2015 Report References to Applicable WAC 480-109-120(4) Requirements</w:t>
      </w:r>
      <w:r>
        <w:rPr>
          <w:noProof/>
        </w:rPr>
        <w:tab/>
      </w:r>
      <w:r>
        <w:rPr>
          <w:noProof/>
        </w:rPr>
        <w:fldChar w:fldCharType="begin"/>
      </w:r>
      <w:r>
        <w:rPr>
          <w:noProof/>
        </w:rPr>
        <w:instrText xml:space="preserve"> PAGEREF _Toc450627242 \h </w:instrText>
      </w:r>
      <w:r>
        <w:rPr>
          <w:noProof/>
        </w:rPr>
      </w:r>
      <w:r>
        <w:rPr>
          <w:noProof/>
        </w:rPr>
        <w:fldChar w:fldCharType="separate"/>
      </w:r>
      <w:r w:rsidR="001A7098">
        <w:rPr>
          <w:noProof/>
        </w:rPr>
        <w:t>34</w:t>
      </w:r>
      <w:r>
        <w:rPr>
          <w:noProof/>
        </w:rPr>
        <w:fldChar w:fldCharType="end"/>
      </w:r>
    </w:p>
    <w:p w:rsidR="002234FC" w:rsidRDefault="002234FC" w:rsidP="002234FC">
      <w:pPr>
        <w:pStyle w:val="TableofFigures"/>
        <w:tabs>
          <w:tab w:val="right" w:leader="dot" w:pos="9350"/>
        </w:tabs>
        <w:spacing w:before="0" w:after="0"/>
        <w:rPr>
          <w:rFonts w:asciiTheme="minorHAnsi" w:eastAsiaTheme="minorEastAsia" w:hAnsiTheme="minorHAnsi" w:cstheme="minorBidi"/>
          <w:noProof/>
        </w:rPr>
      </w:pPr>
      <w:r>
        <w:rPr>
          <w:noProof/>
        </w:rPr>
        <w:t>Table V</w:t>
      </w:r>
      <w:r>
        <w:rPr>
          <w:noProof/>
        </w:rPr>
        <w:noBreakHyphen/>
        <w:t>1</w:t>
      </w:r>
      <w:r w:rsidRPr="00B91657">
        <w:rPr>
          <w:bCs/>
          <w:noProof/>
        </w:rPr>
        <w:t>:</w:t>
      </w:r>
      <w:r>
        <w:rPr>
          <w:noProof/>
        </w:rPr>
        <w:t xml:space="preserve"> Substantiating 2014-2015</w:t>
      </w:r>
      <w:r w:rsidRPr="00B91657">
        <w:rPr>
          <w:bCs/>
          <w:noProof/>
        </w:rPr>
        <w:t xml:space="preserve"> Electric Savings Documents and Their Associated Docket Numbers</w:t>
      </w:r>
      <w:r>
        <w:rPr>
          <w:noProof/>
        </w:rPr>
        <w:tab/>
      </w:r>
      <w:r>
        <w:rPr>
          <w:noProof/>
        </w:rPr>
        <w:fldChar w:fldCharType="begin"/>
      </w:r>
      <w:r>
        <w:rPr>
          <w:noProof/>
        </w:rPr>
        <w:instrText xml:space="preserve"> PAGEREF _Toc450627243 \h </w:instrText>
      </w:r>
      <w:r>
        <w:rPr>
          <w:noProof/>
        </w:rPr>
      </w:r>
      <w:r>
        <w:rPr>
          <w:noProof/>
        </w:rPr>
        <w:fldChar w:fldCharType="separate"/>
      </w:r>
      <w:r w:rsidR="001A7098">
        <w:rPr>
          <w:noProof/>
        </w:rPr>
        <w:t>39</w:t>
      </w:r>
      <w:r>
        <w:rPr>
          <w:noProof/>
        </w:rPr>
        <w:fldChar w:fldCharType="end"/>
      </w:r>
    </w:p>
    <w:p w:rsidR="00E2099C" w:rsidRDefault="00915899" w:rsidP="002234FC">
      <w:pPr>
        <w:spacing w:before="0" w:after="0"/>
      </w:pPr>
      <w:r>
        <w:rPr>
          <w:rFonts w:cs="Arial"/>
        </w:rPr>
        <w:fldChar w:fldCharType="end"/>
      </w:r>
    </w:p>
    <w:p w:rsidR="008411DD" w:rsidRDefault="008411DD" w:rsidP="00B931AD">
      <w:pPr>
        <w:rPr>
          <w:color w:val="006A71"/>
          <w:sz w:val="28"/>
        </w:rPr>
      </w:pPr>
      <w:r>
        <w:rPr>
          <w:color w:val="006A71"/>
          <w:sz w:val="28"/>
        </w:rPr>
        <w:br w:type="page"/>
      </w:r>
    </w:p>
    <w:p w:rsidR="00F97091" w:rsidRPr="00F8635C" w:rsidRDefault="008434A8" w:rsidP="00B931AD">
      <w:pPr>
        <w:rPr>
          <w:color w:val="006A71"/>
          <w:sz w:val="28"/>
        </w:rPr>
      </w:pPr>
      <w:r>
        <w:rPr>
          <w:color w:val="006A71"/>
          <w:sz w:val="28"/>
        </w:rPr>
        <w:lastRenderedPageBreak/>
        <w:t>Attachments</w:t>
      </w:r>
    </w:p>
    <w:p w:rsidR="00F97091" w:rsidRPr="00F97091" w:rsidRDefault="00F97091" w:rsidP="004C0B48">
      <w:pPr>
        <w:spacing w:before="0" w:after="0"/>
      </w:pPr>
    </w:p>
    <w:p w:rsidR="00F8635C" w:rsidRPr="00F97091" w:rsidRDefault="008434A8" w:rsidP="009026FD">
      <w:pPr>
        <w:pStyle w:val="ListParagraph"/>
        <w:numPr>
          <w:ilvl w:val="0"/>
          <w:numId w:val="4"/>
        </w:numPr>
        <w:spacing w:after="120"/>
        <w:contextualSpacing w:val="0"/>
        <w:rPr>
          <w:rFonts w:ascii="Arial" w:hAnsi="Arial" w:cs="Arial"/>
        </w:rPr>
      </w:pPr>
      <w:r w:rsidRPr="002758C9">
        <w:rPr>
          <w:rFonts w:ascii="Arial" w:hAnsi="Arial" w:cs="Arial"/>
          <w:color w:val="000000" w:themeColor="text1"/>
        </w:rPr>
        <w:t xml:space="preserve">Exhibit 1: </w:t>
      </w:r>
      <w:r w:rsidR="00F8635C" w:rsidRPr="000F271B">
        <w:rPr>
          <w:rFonts w:ascii="Arial" w:hAnsi="Arial" w:cs="Arial"/>
          <w:i/>
        </w:rPr>
        <w:t>2014</w:t>
      </w:r>
      <w:r w:rsidR="00335FEC">
        <w:rPr>
          <w:rFonts w:ascii="Arial" w:hAnsi="Arial" w:cs="Arial"/>
          <w:i/>
        </w:rPr>
        <w:t>-</w:t>
      </w:r>
      <w:r w:rsidR="00F8635C" w:rsidRPr="000F271B">
        <w:rPr>
          <w:rFonts w:ascii="Arial" w:hAnsi="Arial" w:cs="Arial"/>
          <w:i/>
        </w:rPr>
        <w:t xml:space="preserve">2015 </w:t>
      </w:r>
      <w:r w:rsidR="001A4964">
        <w:rPr>
          <w:rFonts w:ascii="Arial" w:hAnsi="Arial" w:cs="Arial"/>
          <w:i/>
        </w:rPr>
        <w:t xml:space="preserve">Electric </w:t>
      </w:r>
      <w:r w:rsidRPr="000F271B">
        <w:rPr>
          <w:rFonts w:ascii="Arial" w:hAnsi="Arial" w:cs="Arial"/>
          <w:i/>
        </w:rPr>
        <w:t xml:space="preserve">Savings and </w:t>
      </w:r>
      <w:r w:rsidR="00D073C7">
        <w:rPr>
          <w:rFonts w:ascii="Arial" w:hAnsi="Arial" w:cs="Arial"/>
          <w:i/>
        </w:rPr>
        <w:t>Expenses</w:t>
      </w:r>
      <w:r w:rsidR="00F8635C" w:rsidRPr="000F271B">
        <w:rPr>
          <w:rFonts w:ascii="Arial" w:hAnsi="Arial" w:cs="Arial"/>
          <w:i/>
        </w:rPr>
        <w:t>.</w:t>
      </w:r>
    </w:p>
    <w:p w:rsidR="00F97091" w:rsidRPr="00A1291B" w:rsidRDefault="00017193" w:rsidP="009026FD">
      <w:pPr>
        <w:numPr>
          <w:ilvl w:val="0"/>
          <w:numId w:val="4"/>
        </w:numPr>
        <w:spacing w:before="0" w:after="120"/>
        <w:rPr>
          <w:rFonts w:cs="Arial"/>
        </w:rPr>
      </w:pPr>
      <w:r>
        <w:rPr>
          <w:rFonts w:cs="Arial"/>
        </w:rPr>
        <w:t xml:space="preserve">Exhibit 2: </w:t>
      </w:r>
      <w:r w:rsidR="000F271B" w:rsidRPr="000F271B">
        <w:rPr>
          <w:rFonts w:cs="Arial"/>
          <w:i/>
        </w:rPr>
        <w:t>2014-</w:t>
      </w:r>
      <w:r w:rsidR="000F271B" w:rsidRPr="001A4964">
        <w:rPr>
          <w:rFonts w:cs="Arial"/>
          <w:i/>
        </w:rPr>
        <w:t xml:space="preserve">2015 </w:t>
      </w:r>
      <w:r w:rsidR="001A4964" w:rsidRPr="001A4964">
        <w:rPr>
          <w:rFonts w:cs="Arial"/>
          <w:i/>
        </w:rPr>
        <w:t xml:space="preserve">Electric </w:t>
      </w:r>
      <w:r w:rsidRPr="001A4964">
        <w:rPr>
          <w:rFonts w:cs="Arial"/>
          <w:i/>
        </w:rPr>
        <w:t>Cost-E</w:t>
      </w:r>
      <w:r w:rsidR="00F97091" w:rsidRPr="001A4964">
        <w:rPr>
          <w:rFonts w:cs="Arial"/>
          <w:i/>
        </w:rPr>
        <w:t>ffectiveness</w:t>
      </w:r>
      <w:r w:rsidR="00F97091" w:rsidRPr="000F271B">
        <w:rPr>
          <w:rFonts w:cs="Arial"/>
          <w:i/>
        </w:rPr>
        <w:t xml:space="preserve"> </w:t>
      </w:r>
      <w:r w:rsidRPr="000F271B">
        <w:rPr>
          <w:rFonts w:cs="Arial"/>
          <w:i/>
        </w:rPr>
        <w:t>Results</w:t>
      </w:r>
      <w:r w:rsidR="00F97091" w:rsidRPr="000F271B">
        <w:rPr>
          <w:rFonts w:cs="Arial"/>
          <w:i/>
        </w:rPr>
        <w:t>.</w:t>
      </w:r>
      <w:r w:rsidR="00FB1265">
        <w:rPr>
          <w:rFonts w:cs="Arial"/>
        </w:rPr>
        <w:t xml:space="preserve"> </w:t>
      </w:r>
    </w:p>
    <w:p w:rsidR="002758C9" w:rsidRDefault="002758C9" w:rsidP="009026FD">
      <w:pPr>
        <w:numPr>
          <w:ilvl w:val="0"/>
          <w:numId w:val="4"/>
        </w:numPr>
        <w:spacing w:before="0" w:after="60"/>
        <w:rPr>
          <w:rFonts w:cs="Arial"/>
        </w:rPr>
      </w:pPr>
      <w:r>
        <w:rPr>
          <w:rFonts w:cs="Arial"/>
        </w:rPr>
        <w:t xml:space="preserve">Exhibit 6, Supplement 1: </w:t>
      </w:r>
      <w:r w:rsidRPr="000F271B">
        <w:rPr>
          <w:rFonts w:cs="Arial"/>
          <w:i/>
        </w:rPr>
        <w:t xml:space="preserve">2015 Home Energy Report </w:t>
      </w:r>
      <w:r w:rsidR="006B7DFF">
        <w:rPr>
          <w:rFonts w:cs="Arial"/>
          <w:i/>
        </w:rPr>
        <w:t>E</w:t>
      </w:r>
      <w:r w:rsidRPr="000F271B">
        <w:rPr>
          <w:rFonts w:cs="Arial"/>
          <w:i/>
        </w:rPr>
        <w:t>valuation</w:t>
      </w:r>
      <w:r w:rsidR="004D2F24">
        <w:rPr>
          <w:rFonts w:cs="Arial"/>
          <w:i/>
        </w:rPr>
        <w:t xml:space="preserve"> </w:t>
      </w:r>
      <w:r w:rsidR="006B7DFF">
        <w:rPr>
          <w:rFonts w:cs="Arial"/>
          <w:i/>
        </w:rPr>
        <w:t>S</w:t>
      </w:r>
      <w:r w:rsidR="004D2F24">
        <w:rPr>
          <w:rFonts w:cs="Arial"/>
          <w:i/>
        </w:rPr>
        <w:t>ummary</w:t>
      </w:r>
      <w:r w:rsidRPr="000F271B">
        <w:rPr>
          <w:rFonts w:cs="Arial"/>
          <w:i/>
        </w:rPr>
        <w:t>.</w:t>
      </w:r>
    </w:p>
    <w:p w:rsidR="00F97091" w:rsidRDefault="00F8635C" w:rsidP="009026FD">
      <w:pPr>
        <w:numPr>
          <w:ilvl w:val="0"/>
          <w:numId w:val="4"/>
        </w:numPr>
        <w:spacing w:before="0" w:after="60"/>
        <w:rPr>
          <w:rFonts w:cs="Arial"/>
        </w:rPr>
      </w:pPr>
      <w:r>
        <w:rPr>
          <w:rFonts w:cs="Arial"/>
        </w:rPr>
        <w:t xml:space="preserve">Exhibit 9: </w:t>
      </w:r>
      <w:r w:rsidR="00EB75CE" w:rsidRPr="000F271B">
        <w:rPr>
          <w:rFonts w:cs="Arial"/>
          <w:i/>
        </w:rPr>
        <w:t>2014-2015</w:t>
      </w:r>
      <w:r w:rsidR="00F97091" w:rsidRPr="000F271B">
        <w:rPr>
          <w:rFonts w:cs="Arial"/>
          <w:i/>
        </w:rPr>
        <w:t xml:space="preserve"> PSE Condition Compliance </w:t>
      </w:r>
      <w:proofErr w:type="gramStart"/>
      <w:r w:rsidR="00F97091" w:rsidRPr="000F271B">
        <w:rPr>
          <w:rFonts w:cs="Arial"/>
          <w:i/>
        </w:rPr>
        <w:t>Checklist</w:t>
      </w:r>
      <w:proofErr w:type="gramEnd"/>
      <w:r w:rsidR="00C328CF">
        <w:rPr>
          <w:rFonts w:cs="Arial"/>
        </w:rPr>
        <w:t>.</w:t>
      </w:r>
      <w:r w:rsidR="00F97091" w:rsidRPr="00940D32">
        <w:rPr>
          <w:rStyle w:val="FootnoteReference"/>
        </w:rPr>
        <w:footnoteReference w:id="1"/>
      </w:r>
    </w:p>
    <w:p w:rsidR="002758C9" w:rsidRDefault="009A5635" w:rsidP="009A5635">
      <w:pPr>
        <w:numPr>
          <w:ilvl w:val="0"/>
          <w:numId w:val="4"/>
        </w:numPr>
        <w:spacing w:before="0" w:after="60"/>
        <w:rPr>
          <w:rFonts w:cs="Arial"/>
        </w:rPr>
      </w:pPr>
      <w:r>
        <w:rPr>
          <w:rFonts w:cs="Arial"/>
        </w:rPr>
        <w:t>Attachment</w:t>
      </w:r>
      <w:r w:rsidR="000F271B">
        <w:rPr>
          <w:rFonts w:cs="Arial"/>
        </w:rPr>
        <w:t xml:space="preserve"> </w:t>
      </w:r>
      <w:r w:rsidR="002758C9">
        <w:rPr>
          <w:rFonts w:cs="Arial"/>
        </w:rPr>
        <w:t>1: SBW Consulting, Inc.’s (“SBW” or “</w:t>
      </w:r>
      <w:proofErr w:type="spellStart"/>
      <w:r w:rsidR="002758C9">
        <w:rPr>
          <w:rFonts w:cs="Arial"/>
        </w:rPr>
        <w:t>SBW’s</w:t>
      </w:r>
      <w:proofErr w:type="spellEnd"/>
      <w:r w:rsidR="002758C9">
        <w:rPr>
          <w:rFonts w:cs="Arial"/>
        </w:rPr>
        <w:t>”) final Biennial Electric Conservation Achievement Review (“BECAR”) report, “</w:t>
      </w:r>
      <w:r w:rsidR="00C34AAC">
        <w:rPr>
          <w:rFonts w:cs="Arial"/>
          <w:i/>
        </w:rPr>
        <w:t>Puget Sound Energy 2014-15 Biennial Electric Conservation Achievement Review (BECAR) Final Report</w:t>
      </w:r>
      <w:proofErr w:type="gramStart"/>
      <w:r w:rsidR="002758C9" w:rsidRPr="00F966EC">
        <w:rPr>
          <w:rFonts w:cs="Arial"/>
          <w:i/>
        </w:rPr>
        <w:t>”</w:t>
      </w:r>
      <w:r w:rsidR="002758C9" w:rsidRPr="00F966EC">
        <w:rPr>
          <w:rFonts w:cs="Arial"/>
        </w:rPr>
        <w:t>.</w:t>
      </w:r>
      <w:proofErr w:type="gramEnd"/>
      <w:r w:rsidR="002758C9">
        <w:rPr>
          <w:rFonts w:cs="Arial"/>
        </w:rPr>
        <w:t xml:space="preserve"> </w:t>
      </w:r>
    </w:p>
    <w:p w:rsidR="00F97091" w:rsidRPr="00017193" w:rsidRDefault="009A5635" w:rsidP="009A5635">
      <w:pPr>
        <w:numPr>
          <w:ilvl w:val="0"/>
          <w:numId w:val="4"/>
        </w:numPr>
        <w:spacing w:before="0" w:after="60"/>
        <w:rPr>
          <w:rFonts w:cs="Arial"/>
        </w:rPr>
      </w:pPr>
      <w:proofErr w:type="gramStart"/>
      <w:r>
        <w:rPr>
          <w:rFonts w:cs="Arial"/>
        </w:rPr>
        <w:t xml:space="preserve">Attachment 2: </w:t>
      </w:r>
      <w:r w:rsidRPr="00F97091">
        <w:rPr>
          <w:rFonts w:cs="Arial"/>
        </w:rPr>
        <w:t xml:space="preserve">The </w:t>
      </w:r>
      <w:r w:rsidR="00782D75">
        <w:rPr>
          <w:rFonts w:cs="Arial"/>
        </w:rPr>
        <w:t xml:space="preserve">WA </w:t>
      </w:r>
      <w:r w:rsidRPr="00F97091">
        <w:rPr>
          <w:rFonts w:cs="Arial"/>
        </w:rPr>
        <w:t>Department of Commerce EIA report, in its approved and final format.</w:t>
      </w:r>
      <w:proofErr w:type="gramEnd"/>
    </w:p>
    <w:p w:rsidR="00D73C28" w:rsidRPr="00D73C28" w:rsidRDefault="00D73C28" w:rsidP="00D73C28"/>
    <w:p w:rsidR="00D73C28" w:rsidRPr="00D73C28" w:rsidRDefault="00D73C28" w:rsidP="00D73C28">
      <w:pPr>
        <w:sectPr w:rsidR="00D73C28" w:rsidRPr="00D73C28" w:rsidSect="00234638">
          <w:headerReference w:type="even" r:id="rId12"/>
          <w:headerReference w:type="default" r:id="rId13"/>
          <w:footerReference w:type="default" r:id="rId14"/>
          <w:headerReference w:type="first" r:id="rId15"/>
          <w:pgSz w:w="12240" w:h="15840"/>
          <w:pgMar w:top="1980" w:right="1440" w:bottom="1440" w:left="1440" w:header="720" w:footer="720" w:gutter="0"/>
          <w:pgNumType w:fmt="lowerRoman" w:start="1"/>
          <w:cols w:space="720"/>
          <w:docGrid w:linePitch="360"/>
        </w:sectPr>
      </w:pPr>
    </w:p>
    <w:p w:rsidR="00683EEF" w:rsidRDefault="00683EEF" w:rsidP="009026FD">
      <w:pPr>
        <w:pStyle w:val="Heading1"/>
        <w:numPr>
          <w:ilvl w:val="0"/>
          <w:numId w:val="7"/>
        </w:numPr>
      </w:pPr>
      <w:bookmarkStart w:id="18" w:name="_Toc450627056"/>
      <w:r>
        <w:lastRenderedPageBreak/>
        <w:t>Executive Summary</w:t>
      </w:r>
      <w:bookmarkEnd w:id="18"/>
    </w:p>
    <w:p w:rsidR="005C62A9" w:rsidRDefault="00F73DC0" w:rsidP="002973D4">
      <w:pPr>
        <w:rPr>
          <w:rFonts w:cs="Arial"/>
        </w:rPr>
      </w:pPr>
      <w:r>
        <w:t>Puget Sound Energy (“PSE” or “the Company”)</w:t>
      </w:r>
      <w:r w:rsidR="00EB75CE">
        <w:t xml:space="preserve"> is pleased to present this 2014-2015</w:t>
      </w:r>
      <w:r>
        <w:t xml:space="preserve"> </w:t>
      </w:r>
      <w:r w:rsidR="00782D75">
        <w:t xml:space="preserve">electric </w:t>
      </w:r>
      <w:r>
        <w:t xml:space="preserve">Biennial </w:t>
      </w:r>
      <w:r w:rsidR="00782D75">
        <w:t xml:space="preserve">Conservation </w:t>
      </w:r>
      <w:r>
        <w:t xml:space="preserve">Report </w:t>
      </w:r>
      <w:r w:rsidR="00986128">
        <w:t xml:space="preserve">(“Report”) </w:t>
      </w:r>
      <w:r w:rsidR="00015A50">
        <w:t>to the Washington Utilities and Transportation Commission (“UTC” or “Commission”)</w:t>
      </w:r>
      <w:proofErr w:type="gramStart"/>
      <w:r>
        <w:t>.</w:t>
      </w:r>
      <w:r w:rsidR="00FB1265">
        <w:t xml:space="preserve"> </w:t>
      </w:r>
      <w:proofErr w:type="gramEnd"/>
      <w:r w:rsidR="002973D4">
        <w:rPr>
          <w:rFonts w:cs="Arial"/>
        </w:rPr>
        <w:t xml:space="preserve">PSE requests </w:t>
      </w:r>
      <w:r w:rsidR="00B76496">
        <w:rPr>
          <w:rFonts w:cs="Arial"/>
        </w:rPr>
        <w:t xml:space="preserve">that </w:t>
      </w:r>
      <w:r w:rsidR="0081033F">
        <w:rPr>
          <w:rFonts w:cs="Arial"/>
        </w:rPr>
        <w:t>the Commission issue an Order</w:t>
      </w:r>
      <w:r w:rsidR="002973D4">
        <w:rPr>
          <w:rFonts w:cs="Arial"/>
        </w:rPr>
        <w:t xml:space="preserve">, determining that PSE </w:t>
      </w:r>
      <w:r w:rsidR="00893CBC">
        <w:rPr>
          <w:rFonts w:cs="Arial"/>
        </w:rPr>
        <w:t>met</w:t>
      </w:r>
      <w:r w:rsidR="002973D4">
        <w:rPr>
          <w:rFonts w:cs="Arial"/>
        </w:rPr>
        <w:t xml:space="preserve"> its </w:t>
      </w:r>
      <w:r w:rsidR="00782D75">
        <w:rPr>
          <w:rFonts w:cs="Arial"/>
        </w:rPr>
        <w:t xml:space="preserve">Commission-approved </w:t>
      </w:r>
      <w:r w:rsidR="000F0F52">
        <w:rPr>
          <w:rFonts w:cs="Arial"/>
        </w:rPr>
        <w:t xml:space="preserve">biennial </w:t>
      </w:r>
      <w:r w:rsidR="00C328CF">
        <w:rPr>
          <w:rFonts w:cs="Arial"/>
        </w:rPr>
        <w:t>Energy Independence Act (“</w:t>
      </w:r>
      <w:r w:rsidR="000F0F52">
        <w:rPr>
          <w:rFonts w:cs="Arial"/>
        </w:rPr>
        <w:t>EIA</w:t>
      </w:r>
      <w:r w:rsidR="00C328CF">
        <w:rPr>
          <w:rFonts w:cs="Arial"/>
        </w:rPr>
        <w:t>”)</w:t>
      </w:r>
      <w:r w:rsidR="002973D4">
        <w:rPr>
          <w:rFonts w:cs="Arial"/>
        </w:rPr>
        <w:t xml:space="preserve"> Target</w:t>
      </w:r>
      <w:r w:rsidR="00893CBC">
        <w:rPr>
          <w:rFonts w:cs="Arial"/>
        </w:rPr>
        <w:t xml:space="preserve"> of 485,770 Megawatt-hours (“MWhs”)</w:t>
      </w:r>
      <w:r w:rsidR="002973D4">
        <w:rPr>
          <w:rFonts w:cs="Arial"/>
        </w:rPr>
        <w:t xml:space="preserve">, as discussed in this Report. </w:t>
      </w:r>
    </w:p>
    <w:p w:rsidR="00E2099C" w:rsidRDefault="00E2099C" w:rsidP="005C62A9">
      <w:pPr>
        <w:pStyle w:val="Heading2"/>
      </w:pPr>
      <w:bookmarkStart w:id="19" w:name="_Toc450627057"/>
      <w:r>
        <w:t xml:space="preserve">PSE </w:t>
      </w:r>
      <w:r w:rsidR="00C0595A">
        <w:t>Exceeded</w:t>
      </w:r>
      <w:r>
        <w:t xml:space="preserve"> its </w:t>
      </w:r>
      <w:r w:rsidR="004A395D">
        <w:t>2014-2015</w:t>
      </w:r>
      <w:r>
        <w:t xml:space="preserve"> Biennial </w:t>
      </w:r>
      <w:r w:rsidR="00253749">
        <w:t xml:space="preserve">Electric </w:t>
      </w:r>
      <w:r>
        <w:t>Savings Target</w:t>
      </w:r>
      <w:bookmarkEnd w:id="19"/>
    </w:p>
    <w:p w:rsidR="005B1AC1" w:rsidRPr="000F0F52" w:rsidRDefault="00AE4421" w:rsidP="000F0F52">
      <w:pPr>
        <w:ind w:left="360"/>
        <w:rPr>
          <w:rFonts w:cs="Arial"/>
        </w:rPr>
      </w:pPr>
      <w:r>
        <w:rPr>
          <w:rFonts w:cs="Arial"/>
        </w:rPr>
        <w:fldChar w:fldCharType="begin"/>
      </w:r>
      <w:r>
        <w:rPr>
          <w:rFonts w:cs="Arial"/>
        </w:rPr>
        <w:instrText xml:space="preserve"> REF _Ref443461172 \h </w:instrText>
      </w:r>
      <w:r>
        <w:rPr>
          <w:rFonts w:cs="Arial"/>
        </w:rPr>
      </w:r>
      <w:r>
        <w:rPr>
          <w:rFonts w:cs="Arial"/>
        </w:rPr>
        <w:fldChar w:fldCharType="separate"/>
      </w:r>
      <w:r w:rsidR="001A7098">
        <w:t xml:space="preserve">Table </w:t>
      </w:r>
      <w:r w:rsidR="001A7098">
        <w:rPr>
          <w:noProof/>
        </w:rPr>
        <w:t>I</w:t>
      </w:r>
      <w:r w:rsidR="001A7098">
        <w:noBreakHyphen/>
      </w:r>
      <w:r w:rsidR="001A7098">
        <w:rPr>
          <w:noProof/>
        </w:rPr>
        <w:t>1</w:t>
      </w:r>
      <w:r>
        <w:rPr>
          <w:rFonts w:cs="Arial"/>
        </w:rPr>
        <w:fldChar w:fldCharType="end"/>
      </w:r>
      <w:r w:rsidR="00DE4AFF">
        <w:rPr>
          <w:rFonts w:cs="Arial"/>
        </w:rPr>
        <w:t xml:space="preserve"> </w:t>
      </w:r>
      <w:r w:rsidR="007F2268">
        <w:rPr>
          <w:rFonts w:cs="Arial"/>
        </w:rPr>
        <w:t xml:space="preserve">shows that programs </w:t>
      </w:r>
      <w:r w:rsidR="00782D75">
        <w:rPr>
          <w:rFonts w:cs="Arial"/>
        </w:rPr>
        <w:t>comprising</w:t>
      </w:r>
      <w:r>
        <w:rPr>
          <w:rFonts w:cs="Arial"/>
        </w:rPr>
        <w:t xml:space="preserve"> </w:t>
      </w:r>
      <w:r w:rsidR="00B20017">
        <w:rPr>
          <w:rFonts w:cs="Arial"/>
        </w:rPr>
        <w:t xml:space="preserve">the </w:t>
      </w:r>
      <w:r w:rsidR="00DE4AFF">
        <w:rPr>
          <w:rFonts w:cs="Arial"/>
        </w:rPr>
        <w:t xml:space="preserve">PSE </w:t>
      </w:r>
      <w:r w:rsidR="00782D75">
        <w:rPr>
          <w:rFonts w:cs="Arial"/>
        </w:rPr>
        <w:t xml:space="preserve">electric conservation </w:t>
      </w:r>
      <w:r>
        <w:rPr>
          <w:rFonts w:cs="Arial"/>
        </w:rPr>
        <w:t>P</w:t>
      </w:r>
      <w:r w:rsidR="00B20017">
        <w:rPr>
          <w:rFonts w:cs="Arial"/>
        </w:rPr>
        <w:t xml:space="preserve">ortfolio </w:t>
      </w:r>
      <w:r w:rsidR="00DE4AFF" w:rsidRPr="004E76BB">
        <w:rPr>
          <w:rFonts w:cs="Arial"/>
        </w:rPr>
        <w:t xml:space="preserve">achieved </w:t>
      </w:r>
      <w:r w:rsidR="008D7B77" w:rsidRPr="004E76BB">
        <w:rPr>
          <w:rFonts w:cs="Arial"/>
        </w:rPr>
        <w:t>6</w:t>
      </w:r>
      <w:r w:rsidR="00E93AB0" w:rsidRPr="004E76BB">
        <w:rPr>
          <w:rFonts w:cs="Arial"/>
        </w:rPr>
        <w:t>63,123</w:t>
      </w:r>
      <w:r w:rsidR="002973D4" w:rsidRPr="004E76BB">
        <w:rPr>
          <w:rStyle w:val="FootnoteReference"/>
        </w:rPr>
        <w:footnoteReference w:id="2"/>
      </w:r>
      <w:r w:rsidR="00B20017" w:rsidRPr="004E76BB">
        <w:rPr>
          <w:rFonts w:cs="Arial"/>
        </w:rPr>
        <w:t xml:space="preserve"> </w:t>
      </w:r>
      <w:r w:rsidR="00E2099C" w:rsidRPr="004E76BB">
        <w:rPr>
          <w:rFonts w:cs="Arial"/>
        </w:rPr>
        <w:t>MWh</w:t>
      </w:r>
      <w:r w:rsidR="001A3643" w:rsidRPr="004E76BB">
        <w:rPr>
          <w:rFonts w:cs="Arial"/>
        </w:rPr>
        <w:t>s</w:t>
      </w:r>
      <w:r w:rsidR="00E2099C" w:rsidRPr="004E76BB">
        <w:rPr>
          <w:rFonts w:cs="Arial"/>
        </w:rPr>
        <w:t xml:space="preserve"> of first-year </w:t>
      </w:r>
      <w:r w:rsidR="00253749" w:rsidRPr="004E76BB">
        <w:rPr>
          <w:rFonts w:cs="Arial"/>
        </w:rPr>
        <w:t xml:space="preserve">electric </w:t>
      </w:r>
      <w:r w:rsidR="00E2099C" w:rsidRPr="004E76BB">
        <w:rPr>
          <w:rFonts w:cs="Arial"/>
        </w:rPr>
        <w:t>conservation, as reported</w:t>
      </w:r>
      <w:r w:rsidR="00B20017" w:rsidRPr="004E76BB">
        <w:rPr>
          <w:rFonts w:cs="Arial"/>
        </w:rPr>
        <w:t xml:space="preserve"> at the customer meter</w:t>
      </w:r>
      <w:r w:rsidRPr="004E76BB">
        <w:rPr>
          <w:rFonts w:cs="Arial"/>
        </w:rPr>
        <w:t xml:space="preserve"> during the 2014-2015 period</w:t>
      </w:r>
      <w:proofErr w:type="gramStart"/>
      <w:r w:rsidR="00B20017" w:rsidRPr="004E76BB">
        <w:rPr>
          <w:rFonts w:cs="Arial"/>
        </w:rPr>
        <w:t>.</w:t>
      </w:r>
      <w:r w:rsidR="00DE4AFF" w:rsidRPr="004E76BB">
        <w:rPr>
          <w:rFonts w:cs="Arial"/>
        </w:rPr>
        <w:t xml:space="preserve"> </w:t>
      </w:r>
      <w:proofErr w:type="gramEnd"/>
      <w:r w:rsidR="0050158B" w:rsidRPr="004E76BB">
        <w:rPr>
          <w:rFonts w:cs="Arial"/>
        </w:rPr>
        <w:t>Only a portion of the overall Portfolio is applicable to the biennial EIA Target</w:t>
      </w:r>
      <w:proofErr w:type="gramStart"/>
      <w:r w:rsidR="0050158B" w:rsidRPr="004E76BB">
        <w:rPr>
          <w:rFonts w:cs="Arial"/>
        </w:rPr>
        <w:t xml:space="preserve">. </w:t>
      </w:r>
      <w:proofErr w:type="gramEnd"/>
      <w:r w:rsidR="007F2268" w:rsidRPr="004E76BB">
        <w:rPr>
          <w:rFonts w:cs="Arial"/>
        </w:rPr>
        <w:t xml:space="preserve">In order to compare </w:t>
      </w:r>
      <w:r w:rsidR="002520B0" w:rsidRPr="004E76BB">
        <w:rPr>
          <w:rFonts w:cs="Arial"/>
        </w:rPr>
        <w:t>those</w:t>
      </w:r>
      <w:r w:rsidR="007F2268" w:rsidRPr="004E76BB">
        <w:rPr>
          <w:rFonts w:cs="Arial"/>
        </w:rPr>
        <w:t xml:space="preserve"> savings</w:t>
      </w:r>
      <w:r w:rsidR="002520B0" w:rsidRPr="004E76BB">
        <w:rPr>
          <w:rFonts w:cs="Arial"/>
        </w:rPr>
        <w:t xml:space="preserve"> to the EIA Target,</w:t>
      </w:r>
      <w:r w:rsidR="007F2268" w:rsidRPr="004E76BB">
        <w:rPr>
          <w:rFonts w:cs="Arial"/>
        </w:rPr>
        <w:t xml:space="preserve"> it is necessary to exclude two programs from the total Portfolio achievement: NEEA savings of </w:t>
      </w:r>
      <w:r w:rsidR="008D7B77" w:rsidRPr="004E76BB">
        <w:rPr>
          <w:rFonts w:cs="Arial"/>
        </w:rPr>
        <w:t>91,630</w:t>
      </w:r>
      <w:r w:rsidR="007F2268" w:rsidRPr="004E76BB">
        <w:rPr>
          <w:rFonts w:cs="Arial"/>
        </w:rPr>
        <w:t xml:space="preserve"> MWh and Individual Energy Report Pilot savings of </w:t>
      </w:r>
      <w:r w:rsidR="00E93AB0" w:rsidRPr="004E76BB">
        <w:rPr>
          <w:rFonts w:cs="Arial"/>
        </w:rPr>
        <w:t>18,897</w:t>
      </w:r>
      <w:r w:rsidR="007F2268" w:rsidRPr="004E76BB">
        <w:rPr>
          <w:rFonts w:cs="Arial"/>
        </w:rPr>
        <w:t xml:space="preserve"> MWh</w:t>
      </w:r>
      <w:r w:rsidR="007F2268">
        <w:rPr>
          <w:rFonts w:cs="Arial"/>
        </w:rPr>
        <w:t>.</w:t>
      </w:r>
      <w:r w:rsidR="007F2268">
        <w:rPr>
          <w:rStyle w:val="FootnoteReference"/>
        </w:rPr>
        <w:footnoteReference w:id="3"/>
      </w:r>
      <w:r w:rsidR="007F2268">
        <w:rPr>
          <w:rFonts w:cs="Arial"/>
        </w:rPr>
        <w:t xml:space="preserve"> This</w:t>
      </w:r>
      <w:r w:rsidR="000F0F52">
        <w:rPr>
          <w:rFonts w:cs="Arial"/>
        </w:rPr>
        <w:t xml:space="preserve"> is c</w:t>
      </w:r>
      <w:r w:rsidR="0052117C">
        <w:rPr>
          <w:rFonts w:cs="Arial"/>
        </w:rPr>
        <w:t>onsistent with savings target composition agreements that PSE made with its Conservation Resource Advisory Group (“CRAG”)</w:t>
      </w:r>
      <w:r w:rsidR="000F0F52">
        <w:rPr>
          <w:rFonts w:cs="Arial"/>
        </w:rPr>
        <w:t xml:space="preserve"> </w:t>
      </w:r>
      <w:r w:rsidR="0052117C">
        <w:rPr>
          <w:rFonts w:cs="Arial"/>
        </w:rPr>
        <w:t>in the biennial tar</w:t>
      </w:r>
      <w:r w:rsidR="000F0F52">
        <w:rPr>
          <w:rFonts w:cs="Arial"/>
        </w:rPr>
        <w:t>get development process of 2013</w:t>
      </w:r>
      <w:proofErr w:type="gramStart"/>
      <w:r w:rsidR="000F0F52">
        <w:rPr>
          <w:rFonts w:cs="Arial"/>
        </w:rPr>
        <w:t>.</w:t>
      </w:r>
      <w:r w:rsidR="0052117C">
        <w:rPr>
          <w:rFonts w:cs="Arial"/>
        </w:rPr>
        <w:t xml:space="preserve"> </w:t>
      </w:r>
      <w:proofErr w:type="gramEnd"/>
      <w:r w:rsidR="00036121" w:rsidRPr="00036121">
        <w:rPr>
          <w:rFonts w:cs="Arial"/>
        </w:rPr>
        <w:t>The Commission approved these considerations in Order 01 of Docket No</w:t>
      </w:r>
      <w:proofErr w:type="gramStart"/>
      <w:r w:rsidR="00036121" w:rsidRPr="00036121">
        <w:rPr>
          <w:rFonts w:cs="Arial"/>
        </w:rPr>
        <w:t>. UE-132043.</w:t>
      </w:r>
      <w:proofErr w:type="gramEnd"/>
      <w:r w:rsidR="00036121">
        <w:rPr>
          <w:rFonts w:cs="Arial"/>
        </w:rPr>
        <w:t xml:space="preserve"> </w:t>
      </w:r>
    </w:p>
    <w:p w:rsidR="004C0EB0" w:rsidRPr="00AA46B7" w:rsidRDefault="00332439" w:rsidP="0085697C">
      <w:pPr>
        <w:pStyle w:val="Heading9"/>
        <w:rPr>
          <w:rFonts w:cs="Arial"/>
          <w:bCs/>
          <w:szCs w:val="20"/>
        </w:rPr>
      </w:pPr>
      <w:bookmarkStart w:id="20" w:name="_Ref443461172"/>
      <w:bookmarkStart w:id="21" w:name="_Toc450627230"/>
      <w:r w:rsidRPr="00332439">
        <w:rPr>
          <w:noProof/>
        </w:rPr>
        <w:drawing>
          <wp:anchor distT="0" distB="0" distL="114300" distR="114300" simplePos="0" relativeHeight="251886592" behindDoc="0" locked="0" layoutInCell="1" allowOverlap="1" wp14:anchorId="6D966386" wp14:editId="3D7505D0">
            <wp:simplePos x="0" y="0"/>
            <wp:positionH relativeFrom="column">
              <wp:posOffset>69850</wp:posOffset>
            </wp:positionH>
            <wp:positionV relativeFrom="paragraph">
              <wp:posOffset>172085</wp:posOffset>
            </wp:positionV>
            <wp:extent cx="5937250" cy="3167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250" cy="316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97C">
        <w:t xml:space="preserve">Table </w:t>
      </w:r>
      <w:fldSimple w:instr=" STYLEREF 1 \s ">
        <w:r w:rsidR="001A7098">
          <w:rPr>
            <w:noProof/>
          </w:rPr>
          <w:t>I</w:t>
        </w:r>
      </w:fldSimple>
      <w:r w:rsidR="00040BFE">
        <w:noBreakHyphen/>
      </w:r>
      <w:fldSimple w:instr=" SEQ Table \* ARABIC \s 1 ">
        <w:r w:rsidR="001A7098">
          <w:rPr>
            <w:noProof/>
          </w:rPr>
          <w:t>1</w:t>
        </w:r>
      </w:fldSimple>
      <w:bookmarkEnd w:id="20"/>
      <w:r w:rsidR="0085697C">
        <w:rPr>
          <w:rFonts w:cs="Arial"/>
          <w:szCs w:val="20"/>
        </w:rPr>
        <w:t>:</w:t>
      </w:r>
      <w:r w:rsidR="004C0EB0">
        <w:rPr>
          <w:rFonts w:cs="Arial"/>
          <w:bCs/>
          <w:szCs w:val="20"/>
        </w:rPr>
        <w:t xml:space="preserve"> Portfolio</w:t>
      </w:r>
      <w:r w:rsidR="004C0EB0" w:rsidRPr="00AA46B7">
        <w:rPr>
          <w:rFonts w:cs="Arial"/>
          <w:bCs/>
          <w:szCs w:val="20"/>
        </w:rPr>
        <w:t xml:space="preserve"> </w:t>
      </w:r>
      <w:r w:rsidR="0085697C">
        <w:rPr>
          <w:rFonts w:cs="Arial"/>
          <w:szCs w:val="20"/>
        </w:rPr>
        <w:t>2014-2015</w:t>
      </w:r>
      <w:r w:rsidR="004C0EB0">
        <w:rPr>
          <w:rFonts w:cs="Arial"/>
          <w:bCs/>
          <w:szCs w:val="20"/>
        </w:rPr>
        <w:t xml:space="preserve"> </w:t>
      </w:r>
      <w:r w:rsidR="00997261">
        <w:rPr>
          <w:rFonts w:cs="Arial"/>
          <w:bCs/>
          <w:szCs w:val="20"/>
        </w:rPr>
        <w:t xml:space="preserve">Electric </w:t>
      </w:r>
      <w:r w:rsidR="004C0EB0">
        <w:rPr>
          <w:rFonts w:cs="Arial"/>
          <w:bCs/>
          <w:szCs w:val="20"/>
        </w:rPr>
        <w:t>Conservation</w:t>
      </w:r>
      <w:r w:rsidR="004C0EB0" w:rsidRPr="00AA46B7">
        <w:rPr>
          <w:rFonts w:cs="Arial"/>
          <w:bCs/>
          <w:szCs w:val="20"/>
        </w:rPr>
        <w:t xml:space="preserve"> Results</w:t>
      </w:r>
      <w:bookmarkEnd w:id="21"/>
    </w:p>
    <w:p w:rsidR="004C0EB0" w:rsidRDefault="004C0EB0" w:rsidP="004C0EB0">
      <w:pPr>
        <w:jc w:val="center"/>
      </w:pPr>
    </w:p>
    <w:p w:rsidR="004C0EB0" w:rsidRDefault="004C0EB0" w:rsidP="004C0EB0">
      <w:pPr>
        <w:jc w:val="center"/>
      </w:pPr>
    </w:p>
    <w:p w:rsidR="002973D4" w:rsidRDefault="002973D4" w:rsidP="00FA5FD6">
      <w:pPr>
        <w:ind w:left="360"/>
      </w:pPr>
    </w:p>
    <w:p w:rsidR="002973D4" w:rsidRDefault="002973D4" w:rsidP="00FA5FD6">
      <w:pPr>
        <w:ind w:left="360"/>
      </w:pPr>
    </w:p>
    <w:p w:rsidR="002973D4" w:rsidRDefault="002973D4" w:rsidP="00FA5FD6">
      <w:pPr>
        <w:ind w:left="360"/>
      </w:pPr>
    </w:p>
    <w:p w:rsidR="002973D4" w:rsidRDefault="002973D4" w:rsidP="00FA5FD6">
      <w:pPr>
        <w:ind w:left="360"/>
      </w:pPr>
    </w:p>
    <w:p w:rsidR="002973D4" w:rsidRDefault="002973D4" w:rsidP="00FA5FD6">
      <w:pPr>
        <w:ind w:left="360"/>
      </w:pPr>
    </w:p>
    <w:p w:rsidR="002973D4" w:rsidRDefault="002973D4" w:rsidP="00FA5FD6">
      <w:pPr>
        <w:ind w:left="360"/>
      </w:pPr>
    </w:p>
    <w:p w:rsidR="00BF1CA6" w:rsidRPr="004E76BB" w:rsidRDefault="00DD1403" w:rsidP="00D5041E">
      <w:pPr>
        <w:ind w:left="360"/>
        <w:rPr>
          <w:rFonts w:cs="Arial"/>
        </w:rPr>
      </w:pPr>
      <w:r>
        <w:rPr>
          <w:rFonts w:cs="Arial"/>
        </w:rPr>
        <w:lastRenderedPageBreak/>
        <w:t>The resultant PSE</w:t>
      </w:r>
      <w:r w:rsidR="00BF1CA6">
        <w:rPr>
          <w:rFonts w:cs="Arial"/>
        </w:rPr>
        <w:t xml:space="preserve"> total savings </w:t>
      </w:r>
      <w:r w:rsidR="00BF1CA6" w:rsidRPr="004E76BB">
        <w:rPr>
          <w:rFonts w:cs="Arial"/>
        </w:rPr>
        <w:t xml:space="preserve">were </w:t>
      </w:r>
      <w:r w:rsidR="006964BC" w:rsidRPr="004E76BB">
        <w:rPr>
          <w:rFonts w:cs="Arial"/>
        </w:rPr>
        <w:t>5</w:t>
      </w:r>
      <w:r w:rsidR="00F55EE3" w:rsidRPr="004E76BB">
        <w:rPr>
          <w:rFonts w:cs="Arial"/>
        </w:rPr>
        <w:t>52,596</w:t>
      </w:r>
      <w:r w:rsidR="00BF1CA6" w:rsidRPr="004E76BB">
        <w:rPr>
          <w:rFonts w:cs="Arial"/>
        </w:rPr>
        <w:t xml:space="preserve"> MWh or 114 percent of the Commission-approved 485,770 MWh </w:t>
      </w:r>
      <w:r w:rsidR="00C328CF" w:rsidRPr="004E76BB">
        <w:rPr>
          <w:rFonts w:cs="Arial"/>
        </w:rPr>
        <w:t>EIA</w:t>
      </w:r>
      <w:r w:rsidR="00BF1CA6" w:rsidRPr="004E76BB">
        <w:rPr>
          <w:rFonts w:cs="Arial"/>
        </w:rPr>
        <w:t xml:space="preserve"> Target.</w:t>
      </w:r>
      <w:r w:rsidR="00BF1CA6" w:rsidRPr="004E76BB">
        <w:rPr>
          <w:rStyle w:val="FootnoteReference"/>
          <w:rFonts w:cs="Arial"/>
        </w:rPr>
        <w:footnoteReference w:id="4"/>
      </w:r>
      <w:proofErr w:type="gramStart"/>
      <w:r w:rsidR="00BF1CA6" w:rsidRPr="004E76BB">
        <w:rPr>
          <w:rFonts w:cs="Arial"/>
        </w:rPr>
        <w:t xml:space="preserve"> </w:t>
      </w:r>
      <w:proofErr w:type="gramEnd"/>
      <w:r w:rsidR="00BF1CA6" w:rsidRPr="004E76BB">
        <w:t>This accomplishment represents PSE’s total obligation, relative to attaining all available conservation that is cost-effective, reliable, and feasible, for the biennium</w:t>
      </w:r>
      <w:r w:rsidR="00C27F26" w:rsidRPr="004E76BB">
        <w:t>, and results in an excess of electric conservation ranging from 3</w:t>
      </w:r>
      <w:r w:rsidR="00F55EE3" w:rsidRPr="004E76BB">
        <w:t>8,906</w:t>
      </w:r>
      <w:r w:rsidR="00C27F26" w:rsidRPr="004E76BB">
        <w:t xml:space="preserve"> MWh to 1</w:t>
      </w:r>
      <w:r w:rsidR="00F55EE3" w:rsidRPr="004E76BB">
        <w:t>77,353</w:t>
      </w:r>
      <w:r w:rsidR="00C27F26" w:rsidRPr="004E76BB">
        <w:t xml:space="preserve"> MWh</w:t>
      </w:r>
      <w:r w:rsidR="00E70661" w:rsidRPr="004E76BB">
        <w:t xml:space="preserve">, depending on the calculation methodology employed, as discussed in </w:t>
      </w:r>
      <w:r w:rsidR="00343771" w:rsidRPr="004E76BB">
        <w:t xml:space="preserve">Chapter 2, </w:t>
      </w:r>
      <w:r w:rsidR="00E70661" w:rsidRPr="004E76BB">
        <w:t xml:space="preserve">section </w:t>
      </w:r>
      <w:proofErr w:type="spellStart"/>
      <w:r w:rsidR="00E70661" w:rsidRPr="004E76BB">
        <w:t>II.B.1</w:t>
      </w:r>
      <w:proofErr w:type="spellEnd"/>
      <w:r w:rsidR="00BF1CA6" w:rsidRPr="004E76BB">
        <w:t xml:space="preserve">. </w:t>
      </w:r>
    </w:p>
    <w:p w:rsidR="00FA5FD6" w:rsidRPr="004E76BB" w:rsidRDefault="00656E33" w:rsidP="008D7B77">
      <w:pPr>
        <w:ind w:left="360"/>
        <w:rPr>
          <w:rFonts w:cs="Arial"/>
        </w:rPr>
      </w:pPr>
      <w:r w:rsidRPr="004E76BB">
        <w:t xml:space="preserve">As indicated in </w:t>
      </w:r>
      <w:r w:rsidRPr="004E76BB">
        <w:fldChar w:fldCharType="begin"/>
      </w:r>
      <w:r w:rsidRPr="004E76BB">
        <w:instrText xml:space="preserve"> REF _Ref443461172 \h </w:instrText>
      </w:r>
      <w:r w:rsidR="004E76BB">
        <w:instrText xml:space="preserve"> \* MERGEFORMAT </w:instrText>
      </w:r>
      <w:r w:rsidRPr="004E76BB">
        <w:fldChar w:fldCharType="separate"/>
      </w:r>
      <w:r w:rsidR="001A7098">
        <w:t xml:space="preserve">Table </w:t>
      </w:r>
      <w:r w:rsidR="001A7098">
        <w:rPr>
          <w:noProof/>
        </w:rPr>
        <w:t>I</w:t>
      </w:r>
      <w:r w:rsidR="001A7098">
        <w:rPr>
          <w:noProof/>
        </w:rPr>
        <w:noBreakHyphen/>
        <w:t>1</w:t>
      </w:r>
      <w:r w:rsidRPr="004E76BB">
        <w:fldChar w:fldCharType="end"/>
      </w:r>
      <w:r w:rsidRPr="004E76BB">
        <w:t xml:space="preserve">, the </w:t>
      </w:r>
      <w:r w:rsidR="00AE4421" w:rsidRPr="004E76BB">
        <w:t>2014-2015</w:t>
      </w:r>
      <w:r w:rsidRPr="004E76BB">
        <w:t xml:space="preserve"> Portfolio </w:t>
      </w:r>
      <w:r w:rsidR="00DD1403" w:rsidRPr="004E76BB">
        <w:t xml:space="preserve">electric </w:t>
      </w:r>
      <w:r w:rsidR="0052117C" w:rsidRPr="004E76BB">
        <w:t>conservation</w:t>
      </w:r>
      <w:r w:rsidR="00644E21" w:rsidRPr="004E76BB">
        <w:t>-specific</w:t>
      </w:r>
      <w:r w:rsidR="0052117C" w:rsidRPr="004E76BB">
        <w:t xml:space="preserve"> </w:t>
      </w:r>
      <w:r w:rsidRPr="004E76BB">
        <w:t xml:space="preserve">expenditures </w:t>
      </w:r>
      <w:r w:rsidR="00AE4421" w:rsidRPr="004E76BB">
        <w:t>were</w:t>
      </w:r>
      <w:r w:rsidRPr="004E76BB">
        <w:t xml:space="preserve"> </w:t>
      </w:r>
      <w:r w:rsidR="00D6570A" w:rsidRPr="004E76BB">
        <w:t>101</w:t>
      </w:r>
      <w:r w:rsidR="00AE4421" w:rsidRPr="004E76BB">
        <w:t xml:space="preserve"> percent of </w:t>
      </w:r>
      <w:r w:rsidR="00DD1403" w:rsidRPr="004E76BB">
        <w:t>anticipated spending</w:t>
      </w:r>
      <w:r w:rsidR="00AE4421" w:rsidRPr="004E76BB">
        <w:t xml:space="preserve">: </w:t>
      </w:r>
      <w:r w:rsidR="0052117C" w:rsidRPr="004E76BB">
        <w:t>$190.1</w:t>
      </w:r>
      <w:r w:rsidRPr="004E76BB">
        <w:t xml:space="preserve"> million</w:t>
      </w:r>
      <w:r w:rsidR="00AF1C49" w:rsidRPr="004E76BB">
        <w:t xml:space="preserve"> </w:t>
      </w:r>
      <w:r w:rsidR="0052117C" w:rsidRPr="004E76BB">
        <w:rPr>
          <w:rFonts w:cs="Arial"/>
        </w:rPr>
        <w:t>versus a budget of $187.65</w:t>
      </w:r>
      <w:r w:rsidR="004C003F" w:rsidRPr="004E76BB">
        <w:rPr>
          <w:rFonts w:cs="Arial"/>
        </w:rPr>
        <w:t xml:space="preserve"> million</w:t>
      </w:r>
      <w:r w:rsidR="00FA5FD6" w:rsidRPr="004E76BB">
        <w:rPr>
          <w:rFonts w:cs="Arial"/>
        </w:rPr>
        <w:t>.</w:t>
      </w:r>
      <w:r w:rsidR="0052117C" w:rsidRPr="004E76BB">
        <w:rPr>
          <w:rStyle w:val="FootnoteReference"/>
        </w:rPr>
        <w:footnoteReference w:id="5"/>
      </w:r>
      <w:proofErr w:type="gramStart"/>
      <w:r w:rsidR="00FA5FD6" w:rsidRPr="004E76BB">
        <w:rPr>
          <w:rFonts w:cs="Arial"/>
        </w:rPr>
        <w:t xml:space="preserve"> </w:t>
      </w:r>
      <w:proofErr w:type="gramEnd"/>
      <w:r w:rsidR="00FA5FD6" w:rsidRPr="004E76BB">
        <w:rPr>
          <w:rFonts w:cs="Arial"/>
        </w:rPr>
        <w:t xml:space="preserve">The Portfolio-level </w:t>
      </w:r>
      <w:r w:rsidR="004C003F" w:rsidRPr="004E76BB">
        <w:rPr>
          <w:rFonts w:cs="Arial"/>
        </w:rPr>
        <w:t xml:space="preserve">biennial </w:t>
      </w:r>
      <w:r w:rsidR="00FA5FD6" w:rsidRPr="004E76BB">
        <w:rPr>
          <w:rFonts w:cs="Arial"/>
        </w:rPr>
        <w:t xml:space="preserve">electric </w:t>
      </w:r>
      <w:r w:rsidR="004C003F" w:rsidRPr="004E76BB">
        <w:rPr>
          <w:rFonts w:cs="Arial"/>
        </w:rPr>
        <w:t xml:space="preserve">Utility Cost (“UC”) </w:t>
      </w:r>
      <w:r w:rsidR="009A36CF" w:rsidRPr="004E76BB">
        <w:rPr>
          <w:rFonts w:cs="Arial"/>
        </w:rPr>
        <w:t xml:space="preserve">Test </w:t>
      </w:r>
      <w:r w:rsidR="004C003F" w:rsidRPr="004E76BB">
        <w:rPr>
          <w:rFonts w:cs="Arial"/>
        </w:rPr>
        <w:t xml:space="preserve">benefit-to-cost ratio was </w:t>
      </w:r>
      <w:r w:rsidR="008D7B77" w:rsidRPr="004E76BB">
        <w:rPr>
          <w:rFonts w:cs="Arial"/>
        </w:rPr>
        <w:t>2.</w:t>
      </w:r>
      <w:r w:rsidR="005C433C" w:rsidRPr="004E76BB">
        <w:rPr>
          <w:rFonts w:cs="Arial"/>
        </w:rPr>
        <w:t>29</w:t>
      </w:r>
      <w:r w:rsidR="004C003F" w:rsidRPr="004E76BB">
        <w:rPr>
          <w:rFonts w:cs="Arial"/>
        </w:rPr>
        <w:t xml:space="preserve">, and the </w:t>
      </w:r>
      <w:r w:rsidR="00FA5FD6" w:rsidRPr="004E76BB">
        <w:rPr>
          <w:rFonts w:cs="Arial"/>
        </w:rPr>
        <w:t>Total Resource Cost (</w:t>
      </w:r>
      <w:r w:rsidR="004C003F" w:rsidRPr="004E76BB">
        <w:rPr>
          <w:rFonts w:cs="Arial"/>
        </w:rPr>
        <w:t>“</w:t>
      </w:r>
      <w:r w:rsidR="00FA5FD6" w:rsidRPr="004E76BB">
        <w:rPr>
          <w:rFonts w:cs="Arial"/>
        </w:rPr>
        <w:t>TRC</w:t>
      </w:r>
      <w:r w:rsidR="004C003F" w:rsidRPr="004E76BB">
        <w:rPr>
          <w:rFonts w:cs="Arial"/>
        </w:rPr>
        <w:t>”</w:t>
      </w:r>
      <w:r w:rsidR="00FA5FD6" w:rsidRPr="004E76BB">
        <w:rPr>
          <w:rFonts w:cs="Arial"/>
        </w:rPr>
        <w:t xml:space="preserve">) </w:t>
      </w:r>
      <w:r w:rsidR="009A36CF" w:rsidRPr="004E76BB">
        <w:rPr>
          <w:rFonts w:cs="Arial"/>
        </w:rPr>
        <w:t xml:space="preserve">Test </w:t>
      </w:r>
      <w:r w:rsidR="00FA5FD6" w:rsidRPr="004E76BB">
        <w:rPr>
          <w:rFonts w:cs="Arial"/>
        </w:rPr>
        <w:t xml:space="preserve">benefit-to-cost ratio was </w:t>
      </w:r>
      <w:r w:rsidR="00DD1403" w:rsidRPr="004E76BB">
        <w:rPr>
          <w:rFonts w:cs="Arial"/>
        </w:rPr>
        <w:t>1.6</w:t>
      </w:r>
      <w:r w:rsidR="005C433C" w:rsidRPr="004E76BB">
        <w:rPr>
          <w:rFonts w:cs="Arial"/>
        </w:rPr>
        <w:t>2</w:t>
      </w:r>
      <w:r w:rsidR="00FA5FD6" w:rsidRPr="004E76BB">
        <w:rPr>
          <w:rFonts w:cs="Arial"/>
        </w:rPr>
        <w:t>.</w:t>
      </w:r>
    </w:p>
    <w:p w:rsidR="002973D4" w:rsidRDefault="002973D4" w:rsidP="002973D4">
      <w:pPr>
        <w:ind w:left="360"/>
      </w:pPr>
      <w:r>
        <w:t xml:space="preserve">Within the Report are details and references substantiating the Company’s electric conservation achievements, </w:t>
      </w:r>
      <w:proofErr w:type="gramStart"/>
      <w:r>
        <w:t>including:</w:t>
      </w:r>
      <w:proofErr w:type="gramEnd"/>
    </w:p>
    <w:p w:rsidR="002973D4" w:rsidRDefault="002973D4" w:rsidP="002973D4">
      <w:pPr>
        <w:numPr>
          <w:ilvl w:val="0"/>
          <w:numId w:val="19"/>
        </w:numPr>
        <w:spacing w:before="0" w:after="60"/>
        <w:ind w:left="1080"/>
        <w:rPr>
          <w:rFonts w:cs="Arial"/>
        </w:rPr>
      </w:pPr>
      <w:r>
        <w:rPr>
          <w:rFonts w:cs="Arial"/>
        </w:rPr>
        <w:t>Verified biennial electric savings,</w:t>
      </w:r>
    </w:p>
    <w:p w:rsidR="002973D4" w:rsidRDefault="002973D4" w:rsidP="002973D4">
      <w:pPr>
        <w:numPr>
          <w:ilvl w:val="0"/>
          <w:numId w:val="19"/>
        </w:numPr>
        <w:spacing w:before="0" w:after="60"/>
        <w:ind w:left="1080"/>
        <w:rPr>
          <w:rFonts w:cs="Arial"/>
        </w:rPr>
      </w:pPr>
      <w:r>
        <w:rPr>
          <w:rFonts w:cs="Arial"/>
        </w:rPr>
        <w:t>Electric savings tracking, accounting and verification,</w:t>
      </w:r>
    </w:p>
    <w:p w:rsidR="002973D4" w:rsidRDefault="00C328CF" w:rsidP="002973D4">
      <w:pPr>
        <w:numPr>
          <w:ilvl w:val="0"/>
          <w:numId w:val="19"/>
        </w:numPr>
        <w:spacing w:before="0" w:after="60"/>
        <w:ind w:left="1080"/>
        <w:rPr>
          <w:rFonts w:cs="Arial"/>
        </w:rPr>
      </w:pPr>
      <w:r>
        <w:rPr>
          <w:rFonts w:cs="Arial"/>
        </w:rPr>
        <w:t>Regulatory requirement compliance</w:t>
      </w:r>
      <w:r w:rsidR="002973D4">
        <w:rPr>
          <w:rFonts w:cs="Arial"/>
        </w:rPr>
        <w:t>,</w:t>
      </w:r>
    </w:p>
    <w:p w:rsidR="002973D4" w:rsidRDefault="002973D4" w:rsidP="002973D4">
      <w:pPr>
        <w:numPr>
          <w:ilvl w:val="0"/>
          <w:numId w:val="19"/>
        </w:numPr>
        <w:spacing w:before="0"/>
        <w:ind w:left="1080"/>
        <w:rPr>
          <w:rFonts w:cs="Arial"/>
        </w:rPr>
      </w:pPr>
      <w:proofErr w:type="gramStart"/>
      <w:r>
        <w:rPr>
          <w:rFonts w:cs="Arial"/>
        </w:rPr>
        <w:t>PSE Regulatory Stakeholder engagement.</w:t>
      </w:r>
      <w:proofErr w:type="gramEnd"/>
    </w:p>
    <w:p w:rsidR="0055149D" w:rsidRDefault="00BD20F5" w:rsidP="00EE0949">
      <w:pPr>
        <w:pStyle w:val="Heading2"/>
      </w:pPr>
      <w:bookmarkStart w:id="22" w:name="_Toc450627058"/>
      <w:r>
        <w:t>Developing</w:t>
      </w:r>
      <w:r w:rsidR="005459FB">
        <w:t xml:space="preserve"> t</w:t>
      </w:r>
      <w:r w:rsidR="00D1340A">
        <w:t xml:space="preserve">he </w:t>
      </w:r>
      <w:r w:rsidR="00A42CA6">
        <w:t xml:space="preserve">Biennial </w:t>
      </w:r>
      <w:r w:rsidR="00D1340A">
        <w:t xml:space="preserve">Target </w:t>
      </w:r>
      <w:r w:rsidR="00A42CA6">
        <w:t>and Budgets</w:t>
      </w:r>
      <w:bookmarkEnd w:id="22"/>
    </w:p>
    <w:p w:rsidR="00E47365" w:rsidRDefault="006B0BA5" w:rsidP="00634145">
      <w:pPr>
        <w:ind w:left="360"/>
      </w:pPr>
      <w:r>
        <w:t>Consistent with WAC 480-109-100(1) and the process deliverables outlined in condition (8)(f),</w:t>
      </w:r>
      <w:r>
        <w:rPr>
          <w:rStyle w:val="FootnoteReference"/>
        </w:rPr>
        <w:footnoteReference w:id="6"/>
      </w:r>
      <w:r>
        <w:t xml:space="preserve"> PSE </w:t>
      </w:r>
      <w:r w:rsidR="009A36CF">
        <w:t xml:space="preserve">began </w:t>
      </w:r>
      <w:r>
        <w:t>develop</w:t>
      </w:r>
      <w:r w:rsidR="009A36CF">
        <w:t>ing</w:t>
      </w:r>
      <w:r>
        <w:t xml:space="preserve"> its 2014-2015 conservation Target</w:t>
      </w:r>
      <w:r w:rsidR="00E47365">
        <w:t xml:space="preserve"> in January 2013</w:t>
      </w:r>
      <w:proofErr w:type="gramStart"/>
      <w:r w:rsidR="00E47365">
        <w:t xml:space="preserve">. </w:t>
      </w:r>
      <w:proofErr w:type="gramEnd"/>
      <w:r w:rsidR="00E47365">
        <w:t xml:space="preserve">PSE engaged in </w:t>
      </w:r>
      <w:r>
        <w:t xml:space="preserve">close consultation with </w:t>
      </w:r>
      <w:r w:rsidR="00DD1403">
        <w:t xml:space="preserve">the </w:t>
      </w:r>
      <w:r>
        <w:t>CRAG</w:t>
      </w:r>
      <w:r w:rsidR="00E47365">
        <w:t xml:space="preserve"> beginning mid-way through the year</w:t>
      </w:r>
      <w:r w:rsidR="00634145">
        <w:t>, and</w:t>
      </w:r>
      <w:r w:rsidR="00E47365">
        <w:t xml:space="preserve"> </w:t>
      </w:r>
      <w:r w:rsidR="00634145">
        <w:t>agreed on</w:t>
      </w:r>
      <w:r w:rsidR="00E47365">
        <w:t xml:space="preserve"> key decisions </w:t>
      </w:r>
      <w:r w:rsidR="009A36CF">
        <w:t xml:space="preserve">for </w:t>
      </w:r>
      <w:r w:rsidR="00E47365">
        <w:t xml:space="preserve">the program elements that would eventually </w:t>
      </w:r>
      <w:r w:rsidR="00342BC5">
        <w:t>result in</w:t>
      </w:r>
      <w:r w:rsidR="00E47365">
        <w:t xml:space="preserve"> the overall Portfolio conservation composition</w:t>
      </w:r>
      <w:proofErr w:type="gramStart"/>
      <w:r w:rsidR="00E47365">
        <w:t>.</w:t>
      </w:r>
      <w:r w:rsidR="00C03CF7">
        <w:t xml:space="preserve"> </w:t>
      </w:r>
      <w:proofErr w:type="gramEnd"/>
      <w:r w:rsidR="00342BC5">
        <w:t>Those considerations included</w:t>
      </w:r>
      <w:r w:rsidR="00C03CF7">
        <w:t xml:space="preserve"> the treatment of the Northwest Energy Efficiency Alliance (“NEEA”) savings, savings reported for existing behavioral programs, pilot </w:t>
      </w:r>
      <w:r w:rsidR="00342BC5">
        <w:t xml:space="preserve">behavioral </w:t>
      </w:r>
      <w:r w:rsidR="00C03CF7">
        <w:t>programs, and PSE’s decoupling commitment</w:t>
      </w:r>
      <w:proofErr w:type="gramStart"/>
      <w:r w:rsidR="00C03CF7">
        <w:t>.</w:t>
      </w:r>
      <w:r w:rsidR="00DF29D7">
        <w:t xml:space="preserve"> </w:t>
      </w:r>
      <w:proofErr w:type="gramEnd"/>
      <w:r w:rsidR="00DF29D7">
        <w:t xml:space="preserve">PSE also ensured that </w:t>
      </w:r>
      <w:r w:rsidR="00C02481">
        <w:t>it fully appraised the</w:t>
      </w:r>
      <w:r w:rsidR="00DF29D7">
        <w:t xml:space="preserve"> CRAG throughout the budget development process</w:t>
      </w:r>
      <w:r w:rsidR="00F645BA">
        <w:t>, providing ample time and resources to review program assumptions</w:t>
      </w:r>
      <w:r w:rsidR="00DF29D7">
        <w:t>.</w:t>
      </w:r>
    </w:p>
    <w:p w:rsidR="000668E4" w:rsidRDefault="00E47365" w:rsidP="00EE0949">
      <w:pPr>
        <w:ind w:left="360"/>
      </w:pPr>
      <w:r>
        <w:lastRenderedPageBreak/>
        <w:t>After PSE filed its 2014-2015 BCP on November 1, 2013, t</w:t>
      </w:r>
      <w:r w:rsidR="006B0BA5">
        <w:t xml:space="preserve">he Commission approved PSE’s 2014-2015 conservation Target </w:t>
      </w:r>
      <w:r w:rsidR="009A36CF">
        <w:t xml:space="preserve">(“EIA Target”) </w:t>
      </w:r>
      <w:r w:rsidR="006B0BA5">
        <w:t>of 485,770 MWh in Ord</w:t>
      </w:r>
      <w:r>
        <w:t>er 01 of Docket No</w:t>
      </w:r>
      <w:proofErr w:type="gramStart"/>
      <w:r>
        <w:t xml:space="preserve">. </w:t>
      </w:r>
      <w:proofErr w:type="gramEnd"/>
      <w:r>
        <w:t xml:space="preserve">UE-132043 on December 19, 2013. </w:t>
      </w:r>
    </w:p>
    <w:p w:rsidR="00017E03" w:rsidRDefault="00017E03" w:rsidP="00FE47BC">
      <w:pPr>
        <w:ind w:left="360"/>
      </w:pPr>
      <w:r>
        <w:t xml:space="preserve">PSE updated </w:t>
      </w:r>
      <w:r w:rsidR="00DF29D7">
        <w:t xml:space="preserve">elements of </w:t>
      </w:r>
      <w:r>
        <w:t>its BCP in the November 26</w:t>
      </w:r>
      <w:r w:rsidR="00DF29D7">
        <w:t>, 2014</w:t>
      </w:r>
      <w:r>
        <w:t xml:space="preserve"> filing of its 2015 Annual Conservation Plan (“ACP”)</w:t>
      </w:r>
      <w:proofErr w:type="gramStart"/>
      <w:r>
        <w:t xml:space="preserve">. </w:t>
      </w:r>
      <w:proofErr w:type="gramEnd"/>
      <w:r>
        <w:t xml:space="preserve">The ACP reflected Energy Efficiency’s commitment to adaptive management, detailing new and </w:t>
      </w:r>
      <w:r w:rsidR="00DF29D7">
        <w:t>updated</w:t>
      </w:r>
      <w:r>
        <w:t xml:space="preserve"> measures </w:t>
      </w:r>
      <w:r w:rsidR="00A42CA6">
        <w:t>with</w:t>
      </w:r>
      <w:r>
        <w:t xml:space="preserve"> their associated savings adjustments, updated program budgets and savings goals, </w:t>
      </w:r>
      <w:r w:rsidR="00A42CA6">
        <w:t>enhanced</w:t>
      </w:r>
      <w:r>
        <w:t xml:space="preserve"> marketing and outreach initiatives, and </w:t>
      </w:r>
      <w:r w:rsidR="00A42CA6">
        <w:t>optimized</w:t>
      </w:r>
      <w:r>
        <w:t xml:space="preserve"> organizational structures</w:t>
      </w:r>
      <w:proofErr w:type="gramStart"/>
      <w:r>
        <w:t xml:space="preserve">. </w:t>
      </w:r>
      <w:proofErr w:type="gramEnd"/>
      <w:r>
        <w:t xml:space="preserve">As it did throughout the BCP development, PSE collaborated </w:t>
      </w:r>
      <w:r w:rsidR="00A42CA6">
        <w:t xml:space="preserve">on the ACP development </w:t>
      </w:r>
      <w:r>
        <w:t xml:space="preserve">with </w:t>
      </w:r>
      <w:r w:rsidR="00DF29D7">
        <w:t>the</w:t>
      </w:r>
      <w:r>
        <w:t xml:space="preserve"> CRAG </w:t>
      </w:r>
      <w:r w:rsidR="00DF29D7">
        <w:t>during</w:t>
      </w:r>
      <w:r>
        <w:t xml:space="preserve"> the latter half of 2014.</w:t>
      </w:r>
      <w:r w:rsidR="005719F0">
        <w:t xml:space="preserve"> </w:t>
      </w:r>
    </w:p>
    <w:p w:rsidR="00D1340A" w:rsidRDefault="006B0BA5" w:rsidP="00EE0949">
      <w:pPr>
        <w:pStyle w:val="Heading2"/>
      </w:pPr>
      <w:bookmarkStart w:id="23" w:name="_Toc450627059"/>
      <w:r>
        <w:t>Achieving</w:t>
      </w:r>
      <w:r w:rsidR="005459FB">
        <w:t xml:space="preserve"> the </w:t>
      </w:r>
      <w:r w:rsidR="00A42CA6">
        <w:t xml:space="preserve">Biennial </w:t>
      </w:r>
      <w:r w:rsidR="005459FB">
        <w:t>Savings</w:t>
      </w:r>
      <w:r w:rsidR="00D1340A">
        <w:t xml:space="preserve"> </w:t>
      </w:r>
      <w:r w:rsidR="00A42CA6">
        <w:t>and Managing Costs</w:t>
      </w:r>
      <w:bookmarkEnd w:id="23"/>
    </w:p>
    <w:p w:rsidR="00A42CA6" w:rsidRDefault="006B0BA5" w:rsidP="00EE0949">
      <w:pPr>
        <w:ind w:left="360"/>
      </w:pPr>
      <w:r w:rsidRPr="00253749">
        <w:t xml:space="preserve">Throughout the biennium, PSE consistently demonstrated </w:t>
      </w:r>
      <w:r>
        <w:t xml:space="preserve">its commitment to </w:t>
      </w:r>
      <w:r w:rsidRPr="00253749">
        <w:t>Total Quality Management (</w:t>
      </w:r>
      <w:r>
        <w:t>“</w:t>
      </w:r>
      <w:r w:rsidRPr="00253749">
        <w:t>TQM</w:t>
      </w:r>
      <w:r>
        <w:t>”</w:t>
      </w:r>
      <w:r w:rsidRPr="00253749">
        <w:t>) principles</w:t>
      </w:r>
      <w:r>
        <w:t xml:space="preserve"> in developing the biennial Target and adaptively managing a wide range of circumstances and conditions to ultimately exceed that Target</w:t>
      </w:r>
      <w:proofErr w:type="gramStart"/>
      <w:r>
        <w:t xml:space="preserve">. </w:t>
      </w:r>
      <w:proofErr w:type="gramEnd"/>
      <w:r>
        <w:t>PSE’s Energy Efficiency department</w:t>
      </w:r>
      <w:r w:rsidR="00A42CA6">
        <w:t xml:space="preserve"> proactively</w:t>
      </w:r>
      <w:r w:rsidRPr="00253749">
        <w:t xml:space="preserve"> </w:t>
      </w:r>
      <w:r>
        <w:t>adjusted</w:t>
      </w:r>
      <w:r w:rsidRPr="00253749">
        <w:t xml:space="preserve"> </w:t>
      </w:r>
      <w:r>
        <w:t>to marketplace and</w:t>
      </w:r>
      <w:r w:rsidRPr="00253749">
        <w:t xml:space="preserve"> economic </w:t>
      </w:r>
      <w:r>
        <w:t>fluctuations</w:t>
      </w:r>
      <w:r w:rsidRPr="00253749">
        <w:t xml:space="preserve">, technological advancements, </w:t>
      </w:r>
      <w:r w:rsidR="00017E03">
        <w:t xml:space="preserve">frequent measure UES reductions, </w:t>
      </w:r>
      <w:r w:rsidRPr="00253749">
        <w:t xml:space="preserve">and </w:t>
      </w:r>
      <w:r w:rsidR="00017E03">
        <w:t>customer demand</w:t>
      </w:r>
      <w:r w:rsidRPr="00253749">
        <w:t xml:space="preserve"> to maximize its electric conservation achievement</w:t>
      </w:r>
      <w:r w:rsidR="00A42CA6">
        <w:t xml:space="preserve">. </w:t>
      </w:r>
    </w:p>
    <w:p w:rsidR="00C03CF7" w:rsidRDefault="00A42CA6" w:rsidP="00EE0949">
      <w:pPr>
        <w:ind w:left="360"/>
      </w:pPr>
      <w:r>
        <w:t>Program staff</w:t>
      </w:r>
      <w:r w:rsidR="006B0BA5">
        <w:t xml:space="preserve"> </w:t>
      </w:r>
      <w:r>
        <w:t>prudently and responsibly managed</w:t>
      </w:r>
      <w:r w:rsidR="006B0BA5">
        <w:t xml:space="preserve"> customer funding</w:t>
      </w:r>
      <w:r>
        <w:t xml:space="preserve"> by conducting monthly expense reviews, rigorously </w:t>
      </w:r>
      <w:r w:rsidR="003354F0">
        <w:t xml:space="preserve">overseeing </w:t>
      </w:r>
      <w:r>
        <w:t>contractual obligations, and ensuring accurate financial forecasting</w:t>
      </w:r>
      <w:r w:rsidR="006B0BA5" w:rsidRPr="00253749">
        <w:t>.</w:t>
      </w:r>
      <w:r w:rsidR="006B0BA5">
        <w:t xml:space="preserve"> </w:t>
      </w:r>
    </w:p>
    <w:p w:rsidR="00D1340A" w:rsidRDefault="006B0BA5" w:rsidP="00EE0949">
      <w:pPr>
        <w:ind w:left="360"/>
      </w:pPr>
      <w:r>
        <w:t>The 2014 and 201</w:t>
      </w:r>
      <w:r w:rsidR="00E47365">
        <w:t>5</w:t>
      </w:r>
      <w:r>
        <w:t xml:space="preserve"> PSE Reports of Energy Conservation Accomplishments (“Annual Reports”), filed </w:t>
      </w:r>
      <w:r w:rsidR="00E47365">
        <w:t>in</w:t>
      </w:r>
      <w:r>
        <w:t xml:space="preserve"> Docket Nos</w:t>
      </w:r>
      <w:proofErr w:type="gramStart"/>
      <w:r>
        <w:t xml:space="preserve">. </w:t>
      </w:r>
      <w:proofErr w:type="gramEnd"/>
      <w:r>
        <w:t>UE-132043 and UE-</w:t>
      </w:r>
      <w:proofErr w:type="gramStart"/>
      <w:r>
        <w:t>970686,</w:t>
      </w:r>
      <w:proofErr w:type="gramEnd"/>
      <w:r>
        <w:rPr>
          <w:rStyle w:val="FootnoteReference"/>
        </w:rPr>
        <w:footnoteReference w:id="7"/>
      </w:r>
      <w:r>
        <w:t xml:space="preserve"> provide extensive discussions of these efforts.</w:t>
      </w:r>
    </w:p>
    <w:p w:rsidR="00986128" w:rsidRDefault="00987C93" w:rsidP="00986128">
      <w:pPr>
        <w:pStyle w:val="Heading2"/>
      </w:pPr>
      <w:bookmarkStart w:id="24" w:name="_Toc450627060"/>
      <w:r>
        <w:t>Savings Verification</w:t>
      </w:r>
      <w:bookmarkEnd w:id="24"/>
    </w:p>
    <w:p w:rsidR="003F5295" w:rsidRDefault="003F5295" w:rsidP="00986128">
      <w:pPr>
        <w:ind w:left="360"/>
        <w:rPr>
          <w:i/>
          <w:u w:val="single"/>
        </w:rPr>
      </w:pPr>
      <w:r>
        <w:t xml:space="preserve">In order to ensure the accuracy of its savings and financial reporting, </w:t>
      </w:r>
      <w:r w:rsidR="00987C93">
        <w:t>Energy Efficiency consistently pursued continuous improvement in al</w:t>
      </w:r>
      <w:r>
        <w:t>l organizations</w:t>
      </w:r>
      <w:proofErr w:type="gramStart"/>
      <w:r w:rsidR="00987C93">
        <w:t xml:space="preserve">. </w:t>
      </w:r>
      <w:proofErr w:type="gramEnd"/>
      <w:r>
        <w:t>Teams focused on streamlining data collection, proactive monthly review</w:t>
      </w:r>
      <w:r w:rsidR="00A42CA6">
        <w:t xml:space="preserve"> of vendor measure counts</w:t>
      </w:r>
      <w:r>
        <w:t xml:space="preserve">, reconciling measure databases, and monthly </w:t>
      </w:r>
      <w:r w:rsidR="00A42CA6">
        <w:t xml:space="preserve">savings </w:t>
      </w:r>
      <w:r>
        <w:t>forecasting</w:t>
      </w:r>
      <w:proofErr w:type="gramStart"/>
      <w:r>
        <w:t xml:space="preserve">. </w:t>
      </w:r>
      <w:proofErr w:type="gramEnd"/>
      <w:r>
        <w:t xml:space="preserve">When adjustments were required, program staff completed adjustment requests consistent with Energy Efficiency’s </w:t>
      </w:r>
      <w:r w:rsidRPr="003F5295">
        <w:rPr>
          <w:i/>
          <w:u w:val="single"/>
        </w:rPr>
        <w:t>Guidelines for Ensuring Accuracy of Electric and Gas Savings Reporting.</w:t>
      </w:r>
    </w:p>
    <w:p w:rsidR="00436742" w:rsidRDefault="00436742" w:rsidP="00436742">
      <w:pPr>
        <w:pStyle w:val="Heading3"/>
        <w:ind w:left="900"/>
      </w:pPr>
      <w:bookmarkStart w:id="25" w:name="_Toc450627061"/>
      <w:r>
        <w:lastRenderedPageBreak/>
        <w:t>2014-2015 Evaluations and Reviews</w:t>
      </w:r>
      <w:bookmarkEnd w:id="25"/>
    </w:p>
    <w:p w:rsidR="00A42CA6" w:rsidRDefault="0023311A" w:rsidP="00436742">
      <w:pPr>
        <w:ind w:left="720"/>
      </w:pPr>
      <w:r>
        <w:t xml:space="preserve">In addition to </w:t>
      </w:r>
      <w:r w:rsidR="00782D75">
        <w:t xml:space="preserve">operating </w:t>
      </w:r>
      <w:r>
        <w:t xml:space="preserve">internal business process controls, </w:t>
      </w:r>
      <w:r w:rsidR="003F5295">
        <w:t xml:space="preserve">PSE managed several independent program impact evaluations, including annual Home Energy Report </w:t>
      </w:r>
      <w:r w:rsidR="00A42CA6">
        <w:t xml:space="preserve">(“HER”) </w:t>
      </w:r>
      <w:r w:rsidR="003F5295">
        <w:t>true-ups of deemed savings</w:t>
      </w:r>
      <w:proofErr w:type="gramStart"/>
      <w:r w:rsidR="003F5295">
        <w:t>.</w:t>
      </w:r>
      <w:r w:rsidR="005719F0">
        <w:t xml:space="preserve"> </w:t>
      </w:r>
      <w:proofErr w:type="gramEnd"/>
      <w:r w:rsidR="003F5295">
        <w:t xml:space="preserve">As required in WAC 480-109-120(3)(b)(v), PSE included the evaluation reports as Exhibit 6, Supplement 1 in its 2014 and 2015 Annual Reports. </w:t>
      </w:r>
    </w:p>
    <w:p w:rsidR="003F5295" w:rsidRDefault="003F5295" w:rsidP="00436742">
      <w:pPr>
        <w:ind w:left="720"/>
      </w:pPr>
      <w:r>
        <w:t xml:space="preserve">Also consistent with condition (6)(g), PSE engaged SBW Consulting, Inc. (“SBW”), in partnership with Commission staff, to conduct the 2014-2015 </w:t>
      </w:r>
      <w:r w:rsidR="00054A83">
        <w:t xml:space="preserve">independent </w:t>
      </w:r>
      <w:r w:rsidR="001823DB">
        <w:t>third party</w:t>
      </w:r>
      <w:r w:rsidR="00054A83">
        <w:t xml:space="preserve"> Biennial Electric Conservation Achievement Review (“BECAR”)</w:t>
      </w:r>
      <w:proofErr w:type="gramStart"/>
      <w:r w:rsidR="00036121">
        <w:t xml:space="preserve">. </w:t>
      </w:r>
      <w:proofErr w:type="gramEnd"/>
      <w:r w:rsidR="00C02481">
        <w:t xml:space="preserve">PSE </w:t>
      </w:r>
      <w:r w:rsidR="00782D75">
        <w:t>includes</w:t>
      </w:r>
      <w:r w:rsidR="00C02481">
        <w:t xml:space="preserve"> t</w:t>
      </w:r>
      <w:r>
        <w:t xml:space="preserve">he completed review </w:t>
      </w:r>
      <w:r w:rsidR="00C02481">
        <w:t>in</w:t>
      </w:r>
      <w:r>
        <w:t xml:space="preserve"> this Report</w:t>
      </w:r>
      <w:r w:rsidR="00054A83">
        <w:t xml:space="preserve"> as </w:t>
      </w:r>
      <w:r w:rsidR="009A36CF">
        <w:t>Attachment</w:t>
      </w:r>
      <w:r w:rsidR="00054A83">
        <w:t xml:space="preserve"> 1</w:t>
      </w:r>
      <w:r w:rsidR="009A36CF">
        <w:t xml:space="preserve">: </w:t>
      </w:r>
      <w:r w:rsidR="009A36CF">
        <w:rPr>
          <w:rFonts w:cs="Arial"/>
        </w:rPr>
        <w:t>SBW Consulting, Inc.’s “</w:t>
      </w:r>
      <w:r w:rsidR="009A36CF">
        <w:rPr>
          <w:rFonts w:cs="Arial"/>
          <w:i/>
        </w:rPr>
        <w:t>Puget Sound Energy 2014-15 Biennial Electric Conservation Achievement Review (BECAR) Final Report</w:t>
      </w:r>
      <w:proofErr w:type="gramStart"/>
      <w:r w:rsidR="009A36CF" w:rsidRPr="00F966EC">
        <w:rPr>
          <w:rFonts w:cs="Arial"/>
          <w:i/>
        </w:rPr>
        <w:t>”</w:t>
      </w:r>
      <w:r w:rsidR="009A36CF" w:rsidRPr="00F966EC">
        <w:rPr>
          <w:rFonts w:cs="Arial"/>
        </w:rPr>
        <w:t>.</w:t>
      </w:r>
      <w:proofErr w:type="gramEnd"/>
      <w:r w:rsidR="005719F0">
        <w:t xml:space="preserve"> </w:t>
      </w:r>
    </w:p>
    <w:p w:rsidR="00986128" w:rsidRDefault="00CB261C" w:rsidP="00436742">
      <w:pPr>
        <w:ind w:left="720"/>
      </w:pPr>
      <w:r>
        <w:t xml:space="preserve">Key </w:t>
      </w:r>
      <w:r w:rsidR="0074793A">
        <w:t>observations</w:t>
      </w:r>
      <w:r>
        <w:t xml:space="preserve"> in the</w:t>
      </w:r>
      <w:r w:rsidR="00054A83">
        <w:t xml:space="preserve"> BECAR</w:t>
      </w:r>
      <w:r w:rsidR="00DF0085">
        <w:rPr>
          <w:rStyle w:val="FootnoteReference"/>
        </w:rPr>
        <w:footnoteReference w:id="8"/>
      </w:r>
      <w:r w:rsidR="00054A83">
        <w:t xml:space="preserve"> </w:t>
      </w:r>
      <w:r>
        <w:t>include</w:t>
      </w:r>
      <w:r w:rsidR="00054A83">
        <w:t>:</w:t>
      </w:r>
    </w:p>
    <w:p w:rsidR="00054A83" w:rsidRDefault="00DF0085" w:rsidP="00436742">
      <w:pPr>
        <w:numPr>
          <w:ilvl w:val="1"/>
          <w:numId w:val="26"/>
        </w:numPr>
        <w:spacing w:before="0" w:after="60"/>
        <w:ind w:left="1440"/>
      </w:pPr>
      <w:r>
        <w:t>The</w:t>
      </w:r>
      <w:r w:rsidRPr="00E804AC">
        <w:t xml:space="preserve"> BECAR review team </w:t>
      </w:r>
      <w:r>
        <w:t xml:space="preserve">has </w:t>
      </w:r>
      <w:r w:rsidRPr="00E804AC">
        <w:t xml:space="preserve">verified </w:t>
      </w:r>
      <w:r>
        <w:t xml:space="preserve">that </w:t>
      </w:r>
      <w:r w:rsidRPr="00E804AC">
        <w:t xml:space="preserve">the </w:t>
      </w:r>
      <w:r>
        <w:t xml:space="preserve">electric </w:t>
      </w:r>
      <w:r w:rsidRPr="00E804AC">
        <w:t xml:space="preserve">savings shown in the 2014 </w:t>
      </w:r>
      <w:proofErr w:type="spellStart"/>
      <w:r>
        <w:t>ACR</w:t>
      </w:r>
      <w:proofErr w:type="spellEnd"/>
      <w:r w:rsidR="00C10803">
        <w:rPr>
          <w:rStyle w:val="FootnoteReference"/>
        </w:rPr>
        <w:footnoteReference w:id="9"/>
      </w:r>
      <w:r>
        <w:t xml:space="preserve"> and 2015 </w:t>
      </w:r>
      <w:proofErr w:type="spellStart"/>
      <w:r w:rsidRPr="00E804AC">
        <w:t>ACR</w:t>
      </w:r>
      <w:proofErr w:type="spellEnd"/>
      <w:r>
        <w:t xml:space="preserve"> accurately</w:t>
      </w:r>
      <w:r w:rsidRPr="00E804AC">
        <w:t xml:space="preserve"> reflect the savings listed in the PSE tracking databases.</w:t>
      </w:r>
    </w:p>
    <w:p w:rsidR="00054A83" w:rsidRDefault="00DF0085" w:rsidP="00436742">
      <w:pPr>
        <w:numPr>
          <w:ilvl w:val="1"/>
          <w:numId w:val="26"/>
        </w:numPr>
        <w:spacing w:before="0" w:after="60"/>
        <w:ind w:left="1440"/>
      </w:pPr>
      <w:r>
        <w:t xml:space="preserve">With the exception of </w:t>
      </w:r>
      <w:r w:rsidR="00E91D88">
        <w:t>certain</w:t>
      </w:r>
      <w:r>
        <w:t xml:space="preserve"> residential insulation and windows UES values, for which PSE subsequently corrected their 2015 </w:t>
      </w:r>
      <w:r w:rsidR="00C10803">
        <w:t xml:space="preserve">reported </w:t>
      </w:r>
      <w:r>
        <w:t xml:space="preserve">saving claim, </w:t>
      </w:r>
      <w:r w:rsidRPr="003A552B">
        <w:t xml:space="preserve">PSE </w:t>
      </w:r>
      <w:r>
        <w:t>selected the correct RTF deemed value and entered it properly into the tracking database.</w:t>
      </w:r>
    </w:p>
    <w:p w:rsidR="00DF0085" w:rsidRDefault="00DF0085" w:rsidP="00436742">
      <w:pPr>
        <w:pStyle w:val="BodyText"/>
        <w:numPr>
          <w:ilvl w:val="1"/>
          <w:numId w:val="26"/>
        </w:numPr>
        <w:ind w:left="1440"/>
        <w:jc w:val="both"/>
        <w:rPr>
          <w:rFonts w:ascii="Arial" w:hAnsi="Arial" w:cs="Arial"/>
          <w:sz w:val="22"/>
        </w:rPr>
      </w:pPr>
      <w:r w:rsidRPr="003354F0">
        <w:rPr>
          <w:rFonts w:ascii="Arial" w:hAnsi="Arial" w:cs="Arial"/>
          <w:sz w:val="22"/>
        </w:rPr>
        <w:t>PSE addressed and/or took action in response to all recommendations in the 2012-2013 BECAR.</w:t>
      </w:r>
    </w:p>
    <w:p w:rsidR="003F5295" w:rsidRDefault="003F5295" w:rsidP="003F5295">
      <w:pPr>
        <w:pStyle w:val="Heading3"/>
        <w:ind w:left="900"/>
      </w:pPr>
      <w:bookmarkStart w:id="26" w:name="_Toc450627062"/>
      <w:r>
        <w:t>Savings Adjustments</w:t>
      </w:r>
      <w:bookmarkEnd w:id="26"/>
    </w:p>
    <w:p w:rsidR="00DF29D7" w:rsidRDefault="000071B7" w:rsidP="003354F0">
      <w:pPr>
        <w:ind w:left="720"/>
      </w:pPr>
      <w:r>
        <w:t xml:space="preserve">PSE will make </w:t>
      </w:r>
      <w:r w:rsidR="00715F70">
        <w:t xml:space="preserve">five </w:t>
      </w:r>
      <w:r>
        <w:t>adjustments to savings reported in i</w:t>
      </w:r>
      <w:r w:rsidR="00DF29D7">
        <w:t>ts 2014 and 2015 Annual Reports</w:t>
      </w:r>
      <w:r w:rsidR="000B0878">
        <w:t xml:space="preserve">, illustrated in </w:t>
      </w:r>
      <w:r w:rsidR="000B0878">
        <w:fldChar w:fldCharType="begin"/>
      </w:r>
      <w:r w:rsidR="000B0878">
        <w:instrText xml:space="preserve"> REF _Ref448734076 \h </w:instrText>
      </w:r>
      <w:r w:rsidR="000B0878">
        <w:fldChar w:fldCharType="separate"/>
      </w:r>
      <w:r w:rsidR="001A7098">
        <w:t xml:space="preserve">Table </w:t>
      </w:r>
      <w:r w:rsidR="001A7098">
        <w:rPr>
          <w:noProof/>
        </w:rPr>
        <w:t>I</w:t>
      </w:r>
      <w:r w:rsidR="001A7098">
        <w:noBreakHyphen/>
      </w:r>
      <w:r w:rsidR="001A7098">
        <w:rPr>
          <w:noProof/>
        </w:rPr>
        <w:t>2</w:t>
      </w:r>
      <w:r w:rsidR="000B0878">
        <w:fldChar w:fldCharType="end"/>
      </w:r>
      <w:r w:rsidR="00DF29D7">
        <w:t xml:space="preserve">. </w:t>
      </w:r>
    </w:p>
    <w:p w:rsidR="002C38CE" w:rsidRDefault="00F55F00" w:rsidP="003354F0">
      <w:pPr>
        <w:ind w:left="720"/>
      </w:pPr>
      <w:r>
        <w:t xml:space="preserve">The first adjustment results from </w:t>
      </w:r>
      <w:proofErr w:type="spellStart"/>
      <w:r>
        <w:t>NEEA’s</w:t>
      </w:r>
      <w:proofErr w:type="spellEnd"/>
      <w:r>
        <w:t xml:space="preserve"> confirmed 2014-2015 savings applicable to PSE as compared to planned NEEA deemed savings</w:t>
      </w:r>
      <w:proofErr w:type="gramStart"/>
      <w:r>
        <w:t xml:space="preserve">. </w:t>
      </w:r>
      <w:proofErr w:type="gramEnd"/>
      <w:r>
        <w:t xml:space="preserve">The second </w:t>
      </w:r>
      <w:r w:rsidR="00715F70">
        <w:t xml:space="preserve">and third </w:t>
      </w:r>
      <w:r>
        <w:t>savings adjustment</w:t>
      </w:r>
      <w:r w:rsidR="00715F70">
        <w:t>s</w:t>
      </w:r>
      <w:r>
        <w:t xml:space="preserve"> appl</w:t>
      </w:r>
      <w:r w:rsidR="00715F70">
        <w:t>y</w:t>
      </w:r>
      <w:r>
        <w:t xml:space="preserve"> the results of the Home Energy Reports (“HER”) </w:t>
      </w:r>
      <w:r w:rsidR="00715F70">
        <w:t xml:space="preserve">and Individual Energy Report Pilot </w:t>
      </w:r>
      <w:r>
        <w:t>2014 and 2015 evaluations</w:t>
      </w:r>
      <w:r w:rsidR="00715F70">
        <w:t xml:space="preserve"> performed by </w:t>
      </w:r>
      <w:proofErr w:type="spellStart"/>
      <w:r w:rsidR="00715F70">
        <w:t>DNV</w:t>
      </w:r>
      <w:proofErr w:type="spellEnd"/>
      <w:r w:rsidR="00715F70">
        <w:t>-GL</w:t>
      </w:r>
      <w:r>
        <w:t xml:space="preserve">. </w:t>
      </w:r>
    </w:p>
    <w:p w:rsidR="00436742" w:rsidRDefault="00436742" w:rsidP="003354F0">
      <w:pPr>
        <w:ind w:left="720"/>
      </w:pPr>
      <w:r>
        <w:br w:type="page"/>
      </w:r>
    </w:p>
    <w:p w:rsidR="00F55F00" w:rsidRDefault="00F55F00" w:rsidP="003354F0">
      <w:pPr>
        <w:ind w:left="720"/>
      </w:pPr>
      <w:r>
        <w:lastRenderedPageBreak/>
        <w:t xml:space="preserve">The </w:t>
      </w:r>
      <w:r w:rsidR="00715F70">
        <w:t xml:space="preserve">fourth </w:t>
      </w:r>
      <w:r>
        <w:t>adjustment results from an inconsistency noted by SBW Consulting, Inc. (“SBW”) in 2015 program data reported</w:t>
      </w:r>
      <w:r w:rsidR="00C328CF">
        <w:t xml:space="preserve"> by PSE</w:t>
      </w:r>
      <w:proofErr w:type="gramStart"/>
      <w:r w:rsidR="00EB0752">
        <w:t>.</w:t>
      </w:r>
      <w:r>
        <w:t xml:space="preserve"> </w:t>
      </w:r>
      <w:proofErr w:type="gramEnd"/>
      <w:r w:rsidR="00EB0752">
        <w:t>The final adjustment stems</w:t>
      </w:r>
      <w:r>
        <w:t xml:space="preserve"> from an agreement PSE made with the CRAG to remove savings attributed to solar PV generation at two Resource Conservation Management (“RCM”) customer sites in 2015 (also discussed in the 2014-2015 BECAR).</w:t>
      </w:r>
    </w:p>
    <w:p w:rsidR="008D0D0A" w:rsidRDefault="0055559F" w:rsidP="000B0878">
      <w:pPr>
        <w:ind w:left="720"/>
      </w:pPr>
      <w:r>
        <w:t>The two BECAR</w:t>
      </w:r>
      <w:r w:rsidR="00DF29D7">
        <w:t xml:space="preserve"> adjustments will </w:t>
      </w:r>
      <w:r w:rsidR="00170AFE">
        <w:t>apply</w:t>
      </w:r>
      <w:r>
        <w:t xml:space="preserve"> to 2015</w:t>
      </w:r>
      <w:r w:rsidR="00933BEF">
        <w:t>-specific</w:t>
      </w:r>
      <w:r>
        <w:t xml:space="preserve"> figures</w:t>
      </w:r>
      <w:r w:rsidR="00933BEF">
        <w:t xml:space="preserve">, as </w:t>
      </w:r>
      <w:r w:rsidR="00C328CF">
        <w:t>they apply to</w:t>
      </w:r>
      <w:r w:rsidR="00933BEF">
        <w:t xml:space="preserve"> savings originally reported in 2015</w:t>
      </w:r>
      <w:proofErr w:type="gramStart"/>
      <w:r>
        <w:t xml:space="preserve">. </w:t>
      </w:r>
      <w:proofErr w:type="gramEnd"/>
      <w:r>
        <w:t>The NEEA and HER adjustments apply to savings reported for the entire biennium</w:t>
      </w:r>
      <w:r w:rsidR="001A07CA">
        <w:t>, however</w:t>
      </w:r>
      <w:proofErr w:type="gramStart"/>
      <w:r>
        <w:t xml:space="preserve">. </w:t>
      </w:r>
      <w:proofErr w:type="gramEnd"/>
      <w:r w:rsidR="008D0D0A">
        <w:t xml:space="preserve">In </w:t>
      </w:r>
      <w:r w:rsidR="008D0D0A">
        <w:fldChar w:fldCharType="begin"/>
      </w:r>
      <w:r w:rsidR="008D0D0A">
        <w:instrText xml:space="preserve"> REF _Ref448734076 \h </w:instrText>
      </w:r>
      <w:r w:rsidR="008D0D0A">
        <w:fldChar w:fldCharType="separate"/>
      </w:r>
      <w:r w:rsidR="001A7098">
        <w:t xml:space="preserve">Table </w:t>
      </w:r>
      <w:r w:rsidR="001A7098">
        <w:rPr>
          <w:noProof/>
        </w:rPr>
        <w:t>I</w:t>
      </w:r>
      <w:r w:rsidR="001A7098">
        <w:noBreakHyphen/>
      </w:r>
      <w:r w:rsidR="001A7098">
        <w:rPr>
          <w:noProof/>
        </w:rPr>
        <w:t>2</w:t>
      </w:r>
      <w:r w:rsidR="008D0D0A">
        <w:fldChar w:fldCharType="end"/>
      </w:r>
      <w:r w:rsidR="008D0D0A">
        <w:t xml:space="preserve">, “BIENNIAL TOTAL” represents the effect of the </w:t>
      </w:r>
      <w:r w:rsidR="00EB0752">
        <w:t>five</w:t>
      </w:r>
      <w:r w:rsidR="008D0D0A">
        <w:t xml:space="preserve"> adjustments on the total 2014-2015 Portfolio-level electric savings.</w:t>
      </w:r>
    </w:p>
    <w:p w:rsidR="00D1340A" w:rsidRDefault="00D1340A" w:rsidP="000B0878">
      <w:pPr>
        <w:ind w:left="720"/>
      </w:pPr>
      <w:r>
        <w:t xml:space="preserve">PSE discusses </w:t>
      </w:r>
      <w:r w:rsidR="0055559F">
        <w:t>NEEA</w:t>
      </w:r>
      <w:r w:rsidR="00EB0752">
        <w:t xml:space="preserve"> savings results</w:t>
      </w:r>
      <w:r w:rsidR="0055559F">
        <w:t xml:space="preserve">, </w:t>
      </w:r>
      <w:r w:rsidR="003F5295">
        <w:t>HER</w:t>
      </w:r>
      <w:r>
        <w:t xml:space="preserve"> evaluation results</w:t>
      </w:r>
      <w:r w:rsidR="0055559F">
        <w:t>,</w:t>
      </w:r>
      <w:r w:rsidR="005F11D7">
        <w:t xml:space="preserve"> and the electric savings verified in the BECAR</w:t>
      </w:r>
      <w:r>
        <w:t xml:space="preserve"> in Chapter 2</w:t>
      </w:r>
      <w:r w:rsidR="005A0729">
        <w:t>, and provide</w:t>
      </w:r>
      <w:r w:rsidR="00516D18">
        <w:t>s</w:t>
      </w:r>
      <w:r w:rsidR="005A0729">
        <w:t xml:space="preserve"> the impact on total biennial savings in </w:t>
      </w:r>
      <w:r w:rsidR="005A0729">
        <w:fldChar w:fldCharType="begin"/>
      </w:r>
      <w:r w:rsidR="005A0729">
        <w:instrText xml:space="preserve"> REF _Ref448992477 \h </w:instrText>
      </w:r>
      <w:r w:rsidR="005A0729">
        <w:fldChar w:fldCharType="separate"/>
      </w:r>
      <w:r w:rsidR="001A7098">
        <w:t xml:space="preserve">Table </w:t>
      </w:r>
      <w:r w:rsidR="001A7098">
        <w:rPr>
          <w:noProof/>
        </w:rPr>
        <w:t>II</w:t>
      </w:r>
      <w:r w:rsidR="001A7098">
        <w:noBreakHyphen/>
      </w:r>
      <w:r w:rsidR="001A7098">
        <w:rPr>
          <w:noProof/>
        </w:rPr>
        <w:t>7</w:t>
      </w:r>
      <w:r w:rsidR="001A7098">
        <w:rPr>
          <w:rFonts w:cs="Arial"/>
          <w:szCs w:val="20"/>
        </w:rPr>
        <w:t xml:space="preserve">: </w:t>
      </w:r>
      <w:r w:rsidR="001A7098" w:rsidRPr="006F38DF">
        <w:rPr>
          <w:rFonts w:cs="Arial"/>
          <w:bCs/>
          <w:szCs w:val="20"/>
        </w:rPr>
        <w:t>Verified</w:t>
      </w:r>
      <w:r w:rsidR="001A7098">
        <w:rPr>
          <w:rFonts w:cs="Arial"/>
          <w:szCs w:val="20"/>
        </w:rPr>
        <w:t xml:space="preserve"> 2014-2015</w:t>
      </w:r>
      <w:r w:rsidR="001A7098">
        <w:rPr>
          <w:rFonts w:cs="Arial"/>
          <w:bCs/>
          <w:szCs w:val="20"/>
        </w:rPr>
        <w:t xml:space="preserve"> Savings with Adjustments</w:t>
      </w:r>
      <w:r w:rsidR="005A0729">
        <w:fldChar w:fldCharType="end"/>
      </w:r>
      <w:proofErr w:type="gramStart"/>
      <w:r>
        <w:t>.</w:t>
      </w:r>
      <w:r w:rsidR="005A0729">
        <w:t xml:space="preserve"> </w:t>
      </w:r>
      <w:proofErr w:type="gramEnd"/>
      <w:r w:rsidR="005A0729">
        <w:t xml:space="preserve">Exhibit 1: </w:t>
      </w:r>
      <w:r w:rsidR="005A0729" w:rsidRPr="003D04D8">
        <w:rPr>
          <w:i/>
        </w:rPr>
        <w:t xml:space="preserve">2014-2015 </w:t>
      </w:r>
      <w:r w:rsidR="00D073C7">
        <w:rPr>
          <w:i/>
        </w:rPr>
        <w:t>Electric Savings and Expen</w:t>
      </w:r>
      <w:r w:rsidR="005A0729" w:rsidRPr="003D04D8">
        <w:rPr>
          <w:i/>
        </w:rPr>
        <w:t>s</w:t>
      </w:r>
      <w:r w:rsidR="00D073C7">
        <w:rPr>
          <w:i/>
        </w:rPr>
        <w:t>es</w:t>
      </w:r>
      <w:r w:rsidR="005A0729">
        <w:t xml:space="preserve"> reflects the incorporation of these 2015 adjustments.</w:t>
      </w:r>
    </w:p>
    <w:p w:rsidR="00F55F00" w:rsidRPr="00AA46B7" w:rsidRDefault="0079668C" w:rsidP="00F55F00">
      <w:pPr>
        <w:pStyle w:val="Heading9"/>
        <w:rPr>
          <w:rFonts w:cs="Arial"/>
          <w:bCs/>
          <w:szCs w:val="20"/>
        </w:rPr>
      </w:pPr>
      <w:bookmarkStart w:id="27" w:name="_Ref448734076"/>
      <w:bookmarkStart w:id="28" w:name="_Toc450627231"/>
      <w:r w:rsidRPr="0079668C">
        <w:drawing>
          <wp:anchor distT="0" distB="0" distL="114300" distR="114300" simplePos="0" relativeHeight="251909120" behindDoc="0" locked="0" layoutInCell="1" allowOverlap="1" wp14:anchorId="42C51063" wp14:editId="1D127DC9">
            <wp:simplePos x="0" y="0"/>
            <wp:positionH relativeFrom="column">
              <wp:posOffset>13855</wp:posOffset>
            </wp:positionH>
            <wp:positionV relativeFrom="paragraph">
              <wp:posOffset>192694</wp:posOffset>
            </wp:positionV>
            <wp:extent cx="6649270" cy="36714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7768" cy="367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F00">
        <w:t xml:space="preserve">Table </w:t>
      </w:r>
      <w:fldSimple w:instr=" STYLEREF 1 \s ">
        <w:r w:rsidR="001A7098">
          <w:rPr>
            <w:noProof/>
          </w:rPr>
          <w:t>I</w:t>
        </w:r>
      </w:fldSimple>
      <w:r w:rsidR="00F55F00">
        <w:noBreakHyphen/>
      </w:r>
      <w:fldSimple w:instr=" SEQ Table \* ARABIC \s 1 ">
        <w:r w:rsidR="001A7098">
          <w:rPr>
            <w:noProof/>
          </w:rPr>
          <w:t>2</w:t>
        </w:r>
      </w:fldSimple>
      <w:bookmarkEnd w:id="27"/>
      <w:r w:rsidR="00F55F00">
        <w:t xml:space="preserve">: </w:t>
      </w:r>
      <w:r w:rsidR="00F55F00">
        <w:rPr>
          <w:rFonts w:cs="Arial"/>
          <w:bCs/>
          <w:szCs w:val="20"/>
        </w:rPr>
        <w:t>2014-2015 Electric Savings Adjustments</w:t>
      </w:r>
      <w:bookmarkEnd w:id="28"/>
    </w:p>
    <w:p w:rsidR="00F55F00" w:rsidRDefault="00F55F00" w:rsidP="000B0878">
      <w:pPr>
        <w:ind w:left="720"/>
      </w:pPr>
    </w:p>
    <w:p w:rsidR="00F55F00" w:rsidRDefault="00F55F00" w:rsidP="000B0878">
      <w:pPr>
        <w:ind w:left="720"/>
      </w:pPr>
    </w:p>
    <w:p w:rsidR="00F55F00" w:rsidRDefault="00F55F00" w:rsidP="000B0878">
      <w:pPr>
        <w:ind w:left="720"/>
      </w:pPr>
    </w:p>
    <w:p w:rsidR="00F55F00" w:rsidRDefault="00F55F00" w:rsidP="000B0878">
      <w:pPr>
        <w:ind w:left="720"/>
      </w:pPr>
    </w:p>
    <w:p w:rsidR="00F55F00" w:rsidRDefault="00F55F00" w:rsidP="000B0878">
      <w:pPr>
        <w:ind w:left="720"/>
      </w:pPr>
    </w:p>
    <w:p w:rsidR="00F55F00" w:rsidRDefault="00F55F00" w:rsidP="000B0878">
      <w:pPr>
        <w:ind w:left="720"/>
      </w:pPr>
    </w:p>
    <w:p w:rsidR="00F55F00" w:rsidRDefault="00F55F00" w:rsidP="000B0878">
      <w:pPr>
        <w:ind w:left="720"/>
      </w:pPr>
    </w:p>
    <w:p w:rsidR="00F55F00" w:rsidRDefault="00F55F00" w:rsidP="000B0878">
      <w:pPr>
        <w:ind w:left="720"/>
      </w:pPr>
    </w:p>
    <w:p w:rsidR="00F55F00" w:rsidRDefault="00F55F00" w:rsidP="000B0878">
      <w:pPr>
        <w:ind w:left="720"/>
      </w:pPr>
    </w:p>
    <w:p w:rsidR="00F55F00" w:rsidRDefault="00F55F00" w:rsidP="00F55F00">
      <w:pPr>
        <w:spacing w:after="0"/>
        <w:ind w:left="720"/>
      </w:pPr>
    </w:p>
    <w:p w:rsidR="008D0D0A" w:rsidRDefault="008D0D0A" w:rsidP="00F55F00">
      <w:pPr>
        <w:spacing w:after="0"/>
        <w:ind w:left="720"/>
      </w:pPr>
      <w:r>
        <w:br w:type="page"/>
      </w:r>
    </w:p>
    <w:p w:rsidR="00C5762A" w:rsidRDefault="00C5762A" w:rsidP="00C5762A">
      <w:pPr>
        <w:pStyle w:val="Heading4"/>
        <w:ind w:left="1080"/>
      </w:pPr>
      <w:proofErr w:type="spellStart"/>
      <w:r>
        <w:lastRenderedPageBreak/>
        <w:t>NEEA’s</w:t>
      </w:r>
      <w:proofErr w:type="spellEnd"/>
      <w:r>
        <w:t xml:space="preserve"> Confirmed 2015-2015 Savings</w:t>
      </w:r>
    </w:p>
    <w:p w:rsidR="00C5762A" w:rsidRDefault="00C5762A" w:rsidP="00C5762A">
      <w:pPr>
        <w:spacing w:after="0"/>
        <w:ind w:left="900"/>
      </w:pPr>
      <w:r>
        <w:t xml:space="preserve">PSE included </w:t>
      </w:r>
      <w:proofErr w:type="spellStart"/>
      <w:r>
        <w:t>NEEA’s</w:t>
      </w:r>
      <w:proofErr w:type="spellEnd"/>
      <w:r>
        <w:t xml:space="preserve"> plan of 72,533 MWh in its 2014-2015 BCP savings Portfolio, and the Commission agreed with the </w:t>
      </w:r>
      <w:proofErr w:type="spellStart"/>
      <w:r>
        <w:t>CRAG’s</w:t>
      </w:r>
      <w:proofErr w:type="spellEnd"/>
      <w:r>
        <w:t xml:space="preserve"> recommendation to exclude NEEA savings from PSE’s EIA Target</w:t>
      </w:r>
      <w:proofErr w:type="gramStart"/>
      <w:r>
        <w:t xml:space="preserve">. </w:t>
      </w:r>
      <w:proofErr w:type="gramEnd"/>
      <w:r>
        <w:t>PSE reported</w:t>
      </w:r>
      <w:r w:rsidR="00C328CF">
        <w:t xml:space="preserve"> </w:t>
      </w:r>
      <w:r w:rsidR="00F40969">
        <w:t xml:space="preserve">the annualized portions of </w:t>
      </w:r>
      <w:r w:rsidR="00C328CF">
        <w:t xml:space="preserve">this deemed figure in its 2014 and </w:t>
      </w:r>
      <w:r w:rsidR="00F40969">
        <w:t>2015 Annual Reports</w:t>
      </w:r>
      <w:proofErr w:type="gramStart"/>
      <w:r w:rsidR="00F40969">
        <w:t xml:space="preserve">. </w:t>
      </w:r>
      <w:proofErr w:type="gramEnd"/>
      <w:r w:rsidR="00F40969">
        <w:t>Stakeholders had</w:t>
      </w:r>
      <w:r>
        <w:t xml:space="preserve"> the understanding that </w:t>
      </w:r>
      <w:proofErr w:type="spellStart"/>
      <w:r>
        <w:t>NEEA’s</w:t>
      </w:r>
      <w:proofErr w:type="spellEnd"/>
      <w:r>
        <w:t xml:space="preserve"> confirmed savings would be available subsequent to PSE conservation reporting</w:t>
      </w:r>
      <w:r w:rsidR="00F40969">
        <w:t>,</w:t>
      </w:r>
      <w:r w:rsidR="0023311A">
        <w:t xml:space="preserve"> and the savings figures </w:t>
      </w:r>
      <w:proofErr w:type="gramStart"/>
      <w:r w:rsidR="0023311A">
        <w:t xml:space="preserve">would be </w:t>
      </w:r>
      <w:r w:rsidR="00C328CF">
        <w:t>trued up</w:t>
      </w:r>
      <w:proofErr w:type="gramEnd"/>
      <w:r w:rsidR="0023311A">
        <w:t xml:space="preserve"> in this Report</w:t>
      </w:r>
      <w:r>
        <w:t>.</w:t>
      </w:r>
    </w:p>
    <w:p w:rsidR="00C5762A" w:rsidRDefault="00B30EEC" w:rsidP="00C5762A">
      <w:pPr>
        <w:spacing w:after="0"/>
        <w:ind w:left="900"/>
      </w:pPr>
      <w:r>
        <w:t>O</w:t>
      </w:r>
      <w:r w:rsidR="00C5762A">
        <w:t xml:space="preserve">n May 5, 2016, PSE received </w:t>
      </w:r>
      <w:proofErr w:type="spellStart"/>
      <w:r w:rsidR="00C5762A">
        <w:t>NEEA’s</w:t>
      </w:r>
      <w:proofErr w:type="spellEnd"/>
      <w:r w:rsidR="00C5762A">
        <w:t xml:space="preserve"> official final 2014-2015 electric savi</w:t>
      </w:r>
      <w:r w:rsidR="00DF472A">
        <w:t xml:space="preserve">ngs </w:t>
      </w:r>
      <w:r w:rsidR="00C02481">
        <w:t>calculations</w:t>
      </w:r>
      <w:r w:rsidR="00DF472A">
        <w:t>, which indicat</w:t>
      </w:r>
      <w:r w:rsidR="00C5762A">
        <w:t xml:space="preserve">ed an overall achievement attributable to the PSE service territory of 91,630 MWh: a difference of +19,097 MWh, or 26 percent above </w:t>
      </w:r>
      <w:proofErr w:type="spellStart"/>
      <w:r w:rsidR="00C5762A">
        <w:t>NEEA’s</w:t>
      </w:r>
      <w:proofErr w:type="spellEnd"/>
      <w:r w:rsidR="00C5762A">
        <w:t xml:space="preserve"> </w:t>
      </w:r>
      <w:r w:rsidR="00DF472A">
        <w:t xml:space="preserve">original </w:t>
      </w:r>
      <w:r w:rsidR="00C5762A">
        <w:t>plan.</w:t>
      </w:r>
    </w:p>
    <w:p w:rsidR="00986128" w:rsidRDefault="00986128" w:rsidP="004C452A">
      <w:pPr>
        <w:pStyle w:val="Heading2"/>
      </w:pPr>
      <w:bookmarkStart w:id="29" w:name="_Toc450627063"/>
      <w:r>
        <w:t>Adaptation through Total Quality Management</w:t>
      </w:r>
      <w:bookmarkEnd w:id="29"/>
    </w:p>
    <w:p w:rsidR="003F5295" w:rsidRDefault="00384A78" w:rsidP="00986128">
      <w:pPr>
        <w:ind w:left="360"/>
      </w:pPr>
      <w:r>
        <w:t>PSE adaptively managed its entire Portfolio of customer offerings by consistently applying TQM principles</w:t>
      </w:r>
      <w:proofErr w:type="gramStart"/>
      <w:r>
        <w:t xml:space="preserve">. </w:t>
      </w:r>
      <w:proofErr w:type="gramEnd"/>
      <w:r>
        <w:t xml:space="preserve">Energy Efficiency added new measures, adjusted incentives according to key market drivers, improved </w:t>
      </w:r>
      <w:r w:rsidR="00386238">
        <w:t xml:space="preserve">internal and customer-facing </w:t>
      </w:r>
      <w:r>
        <w:t xml:space="preserve">operational efficiencies, </w:t>
      </w:r>
      <w:r w:rsidR="00017E03">
        <w:t xml:space="preserve">streamlined </w:t>
      </w:r>
      <w:r w:rsidR="004C452A">
        <w:t>rebate and grant</w:t>
      </w:r>
      <w:r w:rsidR="00017E03">
        <w:t xml:space="preserve"> application processes, provided customers with actionable information, </w:t>
      </w:r>
      <w:r>
        <w:t xml:space="preserve">and maximized customer outreach. </w:t>
      </w:r>
    </w:p>
    <w:p w:rsidR="00F0704F" w:rsidRPr="00C0595A" w:rsidRDefault="00230AEC" w:rsidP="00986128">
      <w:pPr>
        <w:ind w:left="360"/>
        <w:rPr>
          <w:b/>
          <w:color w:val="000000" w:themeColor="text1"/>
        </w:rPr>
      </w:pPr>
      <w:r>
        <w:t>PSE provided extensive discussions on the steps that it took to adaptively manage its Energy Efficiency programs in i</w:t>
      </w:r>
      <w:r w:rsidR="00384A78">
        <w:t xml:space="preserve">ts 2014 and 2015 Annual Reports, and </w:t>
      </w:r>
      <w:r w:rsidR="001823DB">
        <w:t>highlights s</w:t>
      </w:r>
      <w:r w:rsidR="00C0595A">
        <w:t xml:space="preserve">everal </w:t>
      </w:r>
      <w:r w:rsidR="00F40969">
        <w:t xml:space="preserve">of those </w:t>
      </w:r>
      <w:r w:rsidR="00CB261C">
        <w:t xml:space="preserve">key </w:t>
      </w:r>
      <w:r w:rsidR="001823DB">
        <w:t xml:space="preserve">TQM </w:t>
      </w:r>
      <w:r w:rsidR="00384A78">
        <w:t>accomplishments</w:t>
      </w:r>
      <w:r w:rsidR="00C0595A">
        <w:t xml:space="preserve"> in Chapter 2, </w:t>
      </w:r>
      <w:r w:rsidR="00C0595A">
        <w:fldChar w:fldCharType="begin"/>
      </w:r>
      <w:r w:rsidR="00C0595A">
        <w:instrText xml:space="preserve"> REF _Ref446662970 \h </w:instrText>
      </w:r>
      <w:r w:rsidR="00C0595A">
        <w:fldChar w:fldCharType="separate"/>
      </w:r>
      <w:r w:rsidR="001A7098">
        <w:t xml:space="preserve">Table </w:t>
      </w:r>
      <w:proofErr w:type="gramStart"/>
      <w:r w:rsidR="001A7098">
        <w:rPr>
          <w:noProof/>
        </w:rPr>
        <w:t>II</w:t>
      </w:r>
      <w:r w:rsidR="001A7098">
        <w:noBreakHyphen/>
      </w:r>
      <w:r w:rsidR="001A7098">
        <w:rPr>
          <w:noProof/>
        </w:rPr>
        <w:t>9</w:t>
      </w:r>
      <w:proofErr w:type="gramEnd"/>
      <w:r w:rsidR="00C0595A">
        <w:fldChar w:fldCharType="end"/>
      </w:r>
      <w:r w:rsidR="00C0595A">
        <w:t xml:space="preserve"> and </w:t>
      </w:r>
      <w:r w:rsidR="00C0595A" w:rsidRPr="00C0595A">
        <w:rPr>
          <w:b/>
        </w:rPr>
        <w:fldChar w:fldCharType="begin"/>
      </w:r>
      <w:r w:rsidR="00C0595A" w:rsidRPr="00C0595A">
        <w:rPr>
          <w:b/>
        </w:rPr>
        <w:instrText xml:space="preserve"> REF _Ref447171629 \h  \* MERGEFORMAT </w:instrText>
      </w:r>
      <w:r w:rsidR="00C0595A" w:rsidRPr="00C0595A">
        <w:rPr>
          <w:b/>
        </w:rPr>
      </w:r>
      <w:r w:rsidR="00C0595A" w:rsidRPr="00C0595A">
        <w:rPr>
          <w:b/>
        </w:rPr>
        <w:fldChar w:fldCharType="separate"/>
      </w:r>
      <w:r w:rsidR="001A7098" w:rsidRPr="009F44FD">
        <w:rPr>
          <w:rStyle w:val="Strong"/>
          <w:b w:val="0"/>
          <w:bCs w:val="0"/>
        </w:rPr>
        <w:t xml:space="preserve">Table </w:t>
      </w:r>
      <w:r w:rsidR="001A7098">
        <w:rPr>
          <w:rStyle w:val="Strong"/>
          <w:b w:val="0"/>
          <w:bCs w:val="0"/>
          <w:noProof/>
        </w:rPr>
        <w:t>II</w:t>
      </w:r>
      <w:r w:rsidR="001A7098">
        <w:rPr>
          <w:rStyle w:val="Strong"/>
          <w:b w:val="0"/>
          <w:bCs w:val="0"/>
          <w:noProof/>
        </w:rPr>
        <w:noBreakHyphen/>
        <w:t>10</w:t>
      </w:r>
      <w:r w:rsidR="00C0595A" w:rsidRPr="00C0595A">
        <w:rPr>
          <w:b/>
        </w:rPr>
        <w:fldChar w:fldCharType="end"/>
      </w:r>
      <w:r w:rsidR="00C0595A">
        <w:rPr>
          <w:b/>
        </w:rPr>
        <w:t>.</w:t>
      </w:r>
    </w:p>
    <w:p w:rsidR="00986128" w:rsidRDefault="00986128" w:rsidP="00986128">
      <w:pPr>
        <w:pStyle w:val="Heading2"/>
      </w:pPr>
      <w:bookmarkStart w:id="30" w:name="_Toc450627064"/>
      <w:r>
        <w:t>Compliance</w:t>
      </w:r>
      <w:bookmarkEnd w:id="30"/>
    </w:p>
    <w:p w:rsidR="00DF29D7" w:rsidRDefault="00F0704F" w:rsidP="00B0266C">
      <w:pPr>
        <w:ind w:left="360"/>
      </w:pPr>
      <w:r>
        <w:t xml:space="preserve">This Report </w:t>
      </w:r>
      <w:r w:rsidR="00986128">
        <w:t xml:space="preserve">complies with </w:t>
      </w:r>
      <w:r w:rsidR="00CB261C">
        <w:t>RCW 19.285.07</w:t>
      </w:r>
      <w:r w:rsidR="004C003F">
        <w:t>0</w:t>
      </w:r>
      <w:r w:rsidR="00CB261C" w:rsidRPr="00CB261C">
        <w:t>(</w:t>
      </w:r>
      <w:proofErr w:type="gramStart"/>
      <w:r w:rsidR="00CB261C" w:rsidRPr="00CB261C">
        <w:t>2</w:t>
      </w:r>
      <w:r w:rsidR="004C003F" w:rsidRPr="00CB261C">
        <w:t>),</w:t>
      </w:r>
      <w:proofErr w:type="gramEnd"/>
      <w:r w:rsidR="004C003F">
        <w:t xml:space="preserve"> </w:t>
      </w:r>
      <w:r w:rsidR="00B0266C">
        <w:t xml:space="preserve">and </w:t>
      </w:r>
      <w:r w:rsidR="00986128">
        <w:t>all sections of WAC 480-109-120(4).</w:t>
      </w:r>
      <w:r w:rsidR="00B0266C">
        <w:t xml:space="preserve"> </w:t>
      </w:r>
    </w:p>
    <w:p w:rsidR="00E37C92" w:rsidRDefault="00E37C92" w:rsidP="00B0266C">
      <w:pPr>
        <w:ind w:left="360"/>
      </w:pPr>
      <w:r w:rsidRPr="009878E6">
        <w:t>PSE also demonstrated compliance with all regulatory requirements outlined in</w:t>
      </w:r>
      <w:r>
        <w:t>:</w:t>
      </w:r>
    </w:p>
    <w:p w:rsidR="00E37C92" w:rsidRPr="00956D4C" w:rsidRDefault="00E37C92" w:rsidP="004C452A">
      <w:pPr>
        <w:pStyle w:val="ListParagraph"/>
        <w:numPr>
          <w:ilvl w:val="0"/>
          <w:numId w:val="5"/>
        </w:numPr>
        <w:spacing w:after="60" w:line="240" w:lineRule="auto"/>
        <w:ind w:left="1080"/>
        <w:contextualSpacing w:val="0"/>
        <w:rPr>
          <w:rFonts w:ascii="Arial" w:hAnsi="Arial" w:cs="Arial"/>
        </w:rPr>
      </w:pPr>
      <w:r w:rsidRPr="00956D4C">
        <w:rPr>
          <w:rFonts w:ascii="Arial" w:hAnsi="Arial" w:cs="Arial"/>
        </w:rPr>
        <w:t>Sections A through J and L of the 2010 Electric Settlement Agreement, Docket No</w:t>
      </w:r>
      <w:proofErr w:type="gramStart"/>
      <w:r w:rsidRPr="00956D4C">
        <w:rPr>
          <w:rFonts w:ascii="Arial" w:hAnsi="Arial" w:cs="Arial"/>
        </w:rPr>
        <w:t xml:space="preserve">. </w:t>
      </w:r>
      <w:proofErr w:type="gramEnd"/>
      <w:r w:rsidRPr="00956D4C">
        <w:rPr>
          <w:rFonts w:ascii="Arial" w:hAnsi="Arial" w:cs="Arial"/>
        </w:rPr>
        <w:t>UE-100177,</w:t>
      </w:r>
      <w:r w:rsidR="00C328CF">
        <w:rPr>
          <w:rFonts w:ascii="Arial" w:hAnsi="Arial" w:cs="Arial"/>
        </w:rPr>
        <w:t xml:space="preserve"> and</w:t>
      </w:r>
    </w:p>
    <w:p w:rsidR="00E37C92" w:rsidRPr="00956D4C" w:rsidRDefault="004C452A" w:rsidP="004C452A">
      <w:pPr>
        <w:pStyle w:val="ListParagraph"/>
        <w:numPr>
          <w:ilvl w:val="0"/>
          <w:numId w:val="21"/>
        </w:numPr>
        <w:spacing w:after="240" w:line="240" w:lineRule="auto"/>
        <w:ind w:left="1080"/>
        <w:contextualSpacing w:val="0"/>
        <w:rPr>
          <w:rFonts w:ascii="Arial" w:hAnsi="Arial" w:cs="Arial"/>
        </w:rPr>
      </w:pPr>
      <w:r>
        <w:rPr>
          <w:rFonts w:ascii="Arial" w:hAnsi="Arial" w:cs="Arial"/>
        </w:rPr>
        <w:t>T</w:t>
      </w:r>
      <w:r w:rsidR="00E37C92" w:rsidRPr="00956D4C">
        <w:rPr>
          <w:rFonts w:ascii="Arial" w:hAnsi="Arial" w:cs="Arial"/>
        </w:rPr>
        <w:t xml:space="preserve">he conditions </w:t>
      </w:r>
      <w:r w:rsidR="003D04D8">
        <w:rPr>
          <w:rFonts w:ascii="Arial" w:hAnsi="Arial" w:cs="Arial"/>
        </w:rPr>
        <w:t xml:space="preserve">in Attachment A </w:t>
      </w:r>
      <w:r w:rsidR="00E37C92" w:rsidRPr="00956D4C">
        <w:rPr>
          <w:rFonts w:ascii="Arial" w:hAnsi="Arial" w:cs="Arial"/>
        </w:rPr>
        <w:t>o</w:t>
      </w:r>
      <w:r w:rsidR="00CB261C">
        <w:rPr>
          <w:rFonts w:ascii="Arial" w:hAnsi="Arial" w:cs="Arial"/>
        </w:rPr>
        <w:t>f Order 01, Docket No</w:t>
      </w:r>
      <w:proofErr w:type="gramStart"/>
      <w:r w:rsidR="00CB261C">
        <w:rPr>
          <w:rFonts w:ascii="Arial" w:hAnsi="Arial" w:cs="Arial"/>
        </w:rPr>
        <w:t>. UE-132043</w:t>
      </w:r>
      <w:r>
        <w:rPr>
          <w:rFonts w:ascii="Arial" w:hAnsi="Arial" w:cs="Arial"/>
        </w:rPr>
        <w:t>.</w:t>
      </w:r>
      <w:proofErr w:type="gramEnd"/>
    </w:p>
    <w:p w:rsidR="00E37C92" w:rsidRDefault="00CB261C" w:rsidP="004C452A">
      <w:pPr>
        <w:ind w:left="360"/>
      </w:pPr>
      <w:r>
        <w:t>PSE presents its</w:t>
      </w:r>
      <w:r w:rsidR="00E37C92">
        <w:t xml:space="preserve"> </w:t>
      </w:r>
      <w:r>
        <w:t xml:space="preserve">2014-2015 </w:t>
      </w:r>
      <w:r w:rsidR="00E37C92">
        <w:t xml:space="preserve">condition compliance status in Exhibit 9: </w:t>
      </w:r>
      <w:r w:rsidR="00E37C92" w:rsidRPr="001A4964">
        <w:rPr>
          <w:i/>
        </w:rPr>
        <w:t>Condition Compliance Checklist.</w:t>
      </w:r>
    </w:p>
    <w:p w:rsidR="00E37C92" w:rsidRDefault="00E37C92" w:rsidP="00986128">
      <w:pPr>
        <w:ind w:left="360"/>
      </w:pPr>
      <w:r>
        <w:t xml:space="preserve">In many cases, PSE exceeded </w:t>
      </w:r>
      <w:r w:rsidR="004C452A">
        <w:t xml:space="preserve">regulatory requirements </w:t>
      </w:r>
      <w:r>
        <w:t xml:space="preserve">by providing information </w:t>
      </w:r>
      <w:r w:rsidR="00170AFE">
        <w:t xml:space="preserve">transparently and </w:t>
      </w:r>
      <w:r>
        <w:t>in advance of requests, by adding valuable supporting data, and by adding</w:t>
      </w:r>
      <w:r>
        <w:rPr>
          <w:rFonts w:cs="Arial"/>
        </w:rPr>
        <w:t>—</w:t>
      </w:r>
      <w:r>
        <w:t>and in some cases, customizing</w:t>
      </w:r>
      <w:r>
        <w:rPr>
          <w:rFonts w:cs="Arial"/>
        </w:rPr>
        <w:t>—</w:t>
      </w:r>
      <w:r>
        <w:t>Exhibits in its conservation publications.</w:t>
      </w:r>
    </w:p>
    <w:p w:rsidR="00D1340A" w:rsidRDefault="00D1340A" w:rsidP="00D1340A">
      <w:pPr>
        <w:pStyle w:val="Heading2"/>
      </w:pPr>
      <w:bookmarkStart w:id="31" w:name="_Toc450627065"/>
      <w:r>
        <w:lastRenderedPageBreak/>
        <w:t>Stakeholder Engagement</w:t>
      </w:r>
      <w:bookmarkEnd w:id="31"/>
    </w:p>
    <w:p w:rsidR="00436742" w:rsidRDefault="00D1340A" w:rsidP="00E47365">
      <w:pPr>
        <w:ind w:left="360"/>
      </w:pPr>
      <w:r>
        <w:t xml:space="preserve">PSE engaged its Regulatory Stakeholders: </w:t>
      </w:r>
      <w:r w:rsidR="00170AFE">
        <w:t xml:space="preserve">the </w:t>
      </w:r>
      <w:r w:rsidR="004C452A">
        <w:t>CRAG</w:t>
      </w:r>
      <w:r>
        <w:t xml:space="preserve"> and members of Commission staff, in a pro-active and transparent manner, and regularly kept them </w:t>
      </w:r>
      <w:r w:rsidRPr="009878E6">
        <w:t>abreast of its electric conservation progress</w:t>
      </w:r>
      <w:r>
        <w:t xml:space="preserve"> and adaptive management steps throughout the biennium</w:t>
      </w:r>
      <w:r w:rsidRPr="009878E6">
        <w:t>.</w:t>
      </w:r>
      <w:r>
        <w:t xml:space="preserve"> </w:t>
      </w:r>
    </w:p>
    <w:p w:rsidR="00D1340A" w:rsidRDefault="00D1340A" w:rsidP="00E47365">
      <w:pPr>
        <w:ind w:left="360"/>
      </w:pPr>
      <w:r>
        <w:t xml:space="preserve">PSE adaptively managed its </w:t>
      </w:r>
      <w:r w:rsidRPr="00294D74">
        <w:t>reporting</w:t>
      </w:r>
      <w:r>
        <w:t xml:space="preserve"> and correspondence to exceed Stakeholder needs, along with providing a best-in-practice level of budget and planning documentation</w:t>
      </w:r>
      <w:proofErr w:type="gramStart"/>
      <w:r>
        <w:t>.</w:t>
      </w:r>
      <w:r w:rsidR="004C452A">
        <w:t xml:space="preserve"> </w:t>
      </w:r>
      <w:proofErr w:type="gramEnd"/>
      <w:r w:rsidR="004C452A">
        <w:t>PSE earned compliments from some CRAG members on the amount, detail, and quality of the energy-efficiency information that PSE provides.</w:t>
      </w:r>
    </w:p>
    <w:p w:rsidR="00D1340A" w:rsidRDefault="00D1340A" w:rsidP="00E47365">
      <w:pPr>
        <w:ind w:left="360"/>
      </w:pPr>
      <w:r>
        <w:t>In all cases, the CRAG received copies of reports, plans, Exhibit updates, and tariff revisions prior to their filing</w:t>
      </w:r>
      <w:proofErr w:type="gramStart"/>
      <w:r>
        <w:t xml:space="preserve">. </w:t>
      </w:r>
      <w:proofErr w:type="gramEnd"/>
      <w:r>
        <w:t xml:space="preserve">PSE closely engaged the CRAG </w:t>
      </w:r>
      <w:r w:rsidR="003D04D8">
        <w:t xml:space="preserve">in </w:t>
      </w:r>
      <w:r>
        <w:t xml:space="preserve">the biennial and annual planning process, and </w:t>
      </w:r>
      <w:r w:rsidR="00170AFE">
        <w:t xml:space="preserve">in some cases, </w:t>
      </w:r>
      <w:r>
        <w:t>provided CRAG members with up to 120 days to review and comment on plan details</w:t>
      </w:r>
      <w:proofErr w:type="gramStart"/>
      <w:r>
        <w:t xml:space="preserve">. </w:t>
      </w:r>
      <w:proofErr w:type="gramEnd"/>
      <w:r>
        <w:t>PSE provided prompt and thorough responses to all Commission staff and other Stakeholder queries on annual plans and accomplishment reports.</w:t>
      </w:r>
    </w:p>
    <w:p w:rsidR="00E2099C" w:rsidRDefault="00E2099C" w:rsidP="00617C15">
      <w:pPr>
        <w:pStyle w:val="Heading2"/>
      </w:pPr>
      <w:bookmarkStart w:id="32" w:name="_Toc450627066"/>
      <w:r>
        <w:t>Supporting Documentation</w:t>
      </w:r>
      <w:bookmarkEnd w:id="32"/>
    </w:p>
    <w:p w:rsidR="00412DD2" w:rsidRDefault="00EB248A" w:rsidP="00986128">
      <w:pPr>
        <w:ind w:left="360"/>
      </w:pPr>
      <w:r>
        <w:t>PSE presents a</w:t>
      </w:r>
      <w:r w:rsidR="00617C15">
        <w:t xml:space="preserve">ll program </w:t>
      </w:r>
      <w:r w:rsidR="00B5497A">
        <w:t xml:space="preserve">result </w:t>
      </w:r>
      <w:r w:rsidR="00617C15">
        <w:t xml:space="preserve">details for the </w:t>
      </w:r>
      <w:r w:rsidR="00EB75CE">
        <w:t>2014-2015</w:t>
      </w:r>
      <w:r w:rsidR="00617C15">
        <w:t xml:space="preserve"> biennium </w:t>
      </w:r>
      <w:r>
        <w:t>in its</w:t>
      </w:r>
      <w:r w:rsidR="00617C15">
        <w:t xml:space="preserve"> Annual Reports,</w:t>
      </w:r>
      <w:r w:rsidR="00285437">
        <w:t xml:space="preserve"> with copies provided to the CRAG</w:t>
      </w:r>
      <w:r w:rsidR="00B5497A">
        <w:t xml:space="preserve">, and subject to </w:t>
      </w:r>
      <w:r w:rsidR="00325156">
        <w:t>Commission</w:t>
      </w:r>
      <w:r>
        <w:t xml:space="preserve"> s</w:t>
      </w:r>
      <w:r w:rsidR="00B5497A">
        <w:t>taff review and follow-up</w:t>
      </w:r>
      <w:proofErr w:type="gramStart"/>
      <w:r w:rsidR="00285437">
        <w:t>.</w:t>
      </w:r>
      <w:r w:rsidR="00FB1265">
        <w:t xml:space="preserve"> </w:t>
      </w:r>
      <w:proofErr w:type="gramEnd"/>
      <w:r w:rsidR="00B5497A">
        <w:t xml:space="preserve">The </w:t>
      </w:r>
      <w:r w:rsidR="00EB75CE">
        <w:t>2014-2015</w:t>
      </w:r>
      <w:r w:rsidR="00B5497A">
        <w:t xml:space="preserve"> BCP</w:t>
      </w:r>
      <w:r w:rsidR="003D04D8">
        <w:t xml:space="preserve"> and 2015 ACP</w:t>
      </w:r>
      <w:r w:rsidR="00B5497A">
        <w:t xml:space="preserve">, developed with </w:t>
      </w:r>
      <w:r>
        <w:t xml:space="preserve">comprehensive </w:t>
      </w:r>
      <w:r w:rsidR="00B5497A">
        <w:t>CRAG engagement and subject to a 60-day UTC review, is also filed in Docket</w:t>
      </w:r>
      <w:r w:rsidR="007A55FE">
        <w:t xml:space="preserve"> </w:t>
      </w:r>
      <w:r>
        <w:t>No</w:t>
      </w:r>
      <w:proofErr w:type="gramStart"/>
      <w:r>
        <w:t xml:space="preserve">. </w:t>
      </w:r>
      <w:r w:rsidR="007A55FE">
        <w:t>UE-132043</w:t>
      </w:r>
      <w:r w:rsidR="00B5497A">
        <w:t>.</w:t>
      </w:r>
      <w:proofErr w:type="gramEnd"/>
      <w:r w:rsidR="00FB1265">
        <w:t xml:space="preserve"> </w:t>
      </w:r>
    </w:p>
    <w:p w:rsidR="00B5497A" w:rsidRDefault="00325156" w:rsidP="00986128">
      <w:pPr>
        <w:ind w:left="360"/>
      </w:pPr>
      <w:r>
        <w:rPr>
          <w:rFonts w:cs="Arial"/>
        </w:rPr>
        <w:t>In addition to already-filed detailed information, r</w:t>
      </w:r>
      <w:r w:rsidR="00E2099C">
        <w:rPr>
          <w:rFonts w:cs="Arial"/>
        </w:rPr>
        <w:t>ea</w:t>
      </w:r>
      <w:r w:rsidR="00DE4AFF">
        <w:rPr>
          <w:rFonts w:cs="Arial"/>
        </w:rPr>
        <w:t xml:space="preserve">ders may </w:t>
      </w:r>
      <w:r w:rsidR="00471491">
        <w:rPr>
          <w:rFonts w:cs="Arial"/>
        </w:rPr>
        <w:t xml:space="preserve">also </w:t>
      </w:r>
      <w:r w:rsidR="00DE4AFF">
        <w:rPr>
          <w:rFonts w:cs="Arial"/>
        </w:rPr>
        <w:t xml:space="preserve">refer to </w:t>
      </w:r>
      <w:r w:rsidR="00C328CF">
        <w:rPr>
          <w:rFonts w:cs="Arial"/>
        </w:rPr>
        <w:t>this</w:t>
      </w:r>
      <w:r w:rsidR="00DE4AFF">
        <w:rPr>
          <w:rFonts w:cs="Arial"/>
        </w:rPr>
        <w:t xml:space="preserve"> </w:t>
      </w:r>
      <w:r>
        <w:rPr>
          <w:rFonts w:cs="Arial"/>
        </w:rPr>
        <w:t>Report’s</w:t>
      </w:r>
      <w:r w:rsidR="00DE4AFF">
        <w:rPr>
          <w:rFonts w:cs="Arial"/>
        </w:rPr>
        <w:t xml:space="preserve"> </w:t>
      </w:r>
      <w:r w:rsidR="007A55FE">
        <w:rPr>
          <w:rFonts w:cs="Arial"/>
        </w:rPr>
        <w:t xml:space="preserve">Exhibits 1: </w:t>
      </w:r>
      <w:r w:rsidR="007A55FE" w:rsidRPr="001A4964">
        <w:rPr>
          <w:rFonts w:cs="Arial"/>
          <w:i/>
        </w:rPr>
        <w:t xml:space="preserve">2014-2015 Electric Savings and </w:t>
      </w:r>
      <w:r w:rsidR="00616564">
        <w:rPr>
          <w:rFonts w:cs="Arial"/>
          <w:i/>
        </w:rPr>
        <w:t>Expenses</w:t>
      </w:r>
      <w:r w:rsidR="007A55FE">
        <w:rPr>
          <w:rFonts w:cs="Arial"/>
        </w:rPr>
        <w:t xml:space="preserve">, Exhibit 2: </w:t>
      </w:r>
      <w:r w:rsidR="007A55FE" w:rsidRPr="001A4964">
        <w:rPr>
          <w:rFonts w:cs="Arial"/>
          <w:i/>
        </w:rPr>
        <w:t>2014-2015 Electric Cost-Effectiveness</w:t>
      </w:r>
      <w:r w:rsidR="00335FEC">
        <w:rPr>
          <w:rFonts w:cs="Arial"/>
          <w:i/>
        </w:rPr>
        <w:t xml:space="preserve"> Results</w:t>
      </w:r>
      <w:r w:rsidR="007A55FE">
        <w:rPr>
          <w:rFonts w:cs="Arial"/>
        </w:rPr>
        <w:t xml:space="preserve">, </w:t>
      </w:r>
      <w:r w:rsidR="004C452A">
        <w:rPr>
          <w:rFonts w:cs="Arial"/>
        </w:rPr>
        <w:t xml:space="preserve">Exhibit 6, Supplement 1: </w:t>
      </w:r>
      <w:proofErr w:type="spellStart"/>
      <w:r w:rsidR="004C452A">
        <w:rPr>
          <w:rFonts w:cs="Arial"/>
        </w:rPr>
        <w:t>DNV</w:t>
      </w:r>
      <w:proofErr w:type="spellEnd"/>
      <w:r w:rsidR="00616564">
        <w:rPr>
          <w:rFonts w:cs="Arial"/>
        </w:rPr>
        <w:t>-GL’s 2015 Home Energy Reports E</w:t>
      </w:r>
      <w:r w:rsidR="004C452A">
        <w:rPr>
          <w:rFonts w:cs="Arial"/>
        </w:rPr>
        <w:t>valuation</w:t>
      </w:r>
      <w:r w:rsidR="00616564">
        <w:rPr>
          <w:rFonts w:cs="Arial"/>
        </w:rPr>
        <w:t xml:space="preserve"> S</w:t>
      </w:r>
      <w:r w:rsidR="004D2F24">
        <w:rPr>
          <w:rFonts w:cs="Arial"/>
        </w:rPr>
        <w:t>ummary</w:t>
      </w:r>
      <w:r w:rsidR="004C452A">
        <w:rPr>
          <w:rFonts w:cs="Arial"/>
        </w:rPr>
        <w:t>,</w:t>
      </w:r>
      <w:r w:rsidR="004D2F24">
        <w:rPr>
          <w:rStyle w:val="FootnoteReference"/>
        </w:rPr>
        <w:footnoteReference w:id="10"/>
      </w:r>
      <w:r w:rsidR="004C452A">
        <w:rPr>
          <w:rFonts w:cs="Arial"/>
        </w:rPr>
        <w:t xml:space="preserve"> </w:t>
      </w:r>
      <w:r w:rsidR="007A55FE">
        <w:rPr>
          <w:rFonts w:cs="Arial"/>
        </w:rPr>
        <w:t xml:space="preserve">and Exhibit 9: </w:t>
      </w:r>
      <w:r w:rsidR="007A55FE" w:rsidRPr="001A4964">
        <w:rPr>
          <w:rFonts w:cs="Arial"/>
          <w:i/>
        </w:rPr>
        <w:t>Condition Compliance Checklist</w:t>
      </w:r>
      <w:r w:rsidR="00DE4AFF">
        <w:rPr>
          <w:rFonts w:cs="Arial"/>
        </w:rPr>
        <w:t xml:space="preserve"> for additional </w:t>
      </w:r>
      <w:r w:rsidR="00EB75CE">
        <w:rPr>
          <w:rFonts w:cs="Arial"/>
        </w:rPr>
        <w:t>2014-2015</w:t>
      </w:r>
      <w:r w:rsidR="00E2099C">
        <w:rPr>
          <w:rFonts w:cs="Arial"/>
        </w:rPr>
        <w:t xml:space="preserve"> biennial details.</w:t>
      </w:r>
      <w:r>
        <w:rPr>
          <w:rStyle w:val="FootnoteReference"/>
        </w:rPr>
        <w:footnoteReference w:id="11"/>
      </w:r>
      <w:r w:rsidR="00FB1265">
        <w:rPr>
          <w:rFonts w:cs="Arial"/>
        </w:rPr>
        <w:t xml:space="preserve"> </w:t>
      </w:r>
    </w:p>
    <w:p w:rsidR="008D0D0A" w:rsidRDefault="008D0D0A" w:rsidP="00EE0949">
      <w:pPr>
        <w:ind w:left="360"/>
        <w:rPr>
          <w:rFonts w:cs="Arial"/>
        </w:rPr>
      </w:pPr>
      <w:r>
        <w:rPr>
          <w:rFonts w:cs="Arial"/>
        </w:rPr>
        <w:br w:type="page"/>
      </w:r>
    </w:p>
    <w:p w:rsidR="004C452A" w:rsidRDefault="00C34AAC" w:rsidP="00EE0949">
      <w:pPr>
        <w:ind w:left="360"/>
        <w:rPr>
          <w:rFonts w:cs="Arial"/>
        </w:rPr>
      </w:pPr>
      <w:r>
        <w:rPr>
          <w:rFonts w:cs="Arial"/>
        </w:rPr>
        <w:lastRenderedPageBreak/>
        <w:t>For this Report, PSE includes two documents that do not align with its</w:t>
      </w:r>
      <w:r w:rsidR="004C452A">
        <w:rPr>
          <w:rFonts w:cs="Arial"/>
        </w:rPr>
        <w:t xml:space="preserve"> standard </w:t>
      </w:r>
      <w:r>
        <w:rPr>
          <w:rFonts w:cs="Arial"/>
        </w:rPr>
        <w:t>“</w:t>
      </w:r>
      <w:r w:rsidR="004C452A">
        <w:rPr>
          <w:rFonts w:cs="Arial"/>
        </w:rPr>
        <w:t>Exhibit</w:t>
      </w:r>
      <w:r>
        <w:rPr>
          <w:rFonts w:cs="Arial"/>
        </w:rPr>
        <w:t>”</w:t>
      </w:r>
      <w:r w:rsidR="004C452A">
        <w:rPr>
          <w:rFonts w:cs="Arial"/>
        </w:rPr>
        <w:t xml:space="preserve"> nomenclature, </w:t>
      </w:r>
      <w:r>
        <w:rPr>
          <w:rFonts w:cs="Arial"/>
        </w:rPr>
        <w:t>primarily due to their specific nature and timing</w:t>
      </w:r>
      <w:r w:rsidR="004C452A">
        <w:rPr>
          <w:rFonts w:cs="Arial"/>
        </w:rPr>
        <w:t>:</w:t>
      </w:r>
    </w:p>
    <w:p w:rsidR="004C452A" w:rsidRDefault="004C452A" w:rsidP="009A5635">
      <w:pPr>
        <w:numPr>
          <w:ilvl w:val="0"/>
          <w:numId w:val="22"/>
        </w:numPr>
        <w:spacing w:before="0" w:after="60"/>
        <w:rPr>
          <w:rFonts w:cs="Arial"/>
        </w:rPr>
      </w:pPr>
      <w:r>
        <w:rPr>
          <w:rFonts w:cs="Arial"/>
        </w:rPr>
        <w:t xml:space="preserve">Attachment 1: SBW Consulting, Inc.’s </w:t>
      </w:r>
      <w:r w:rsidR="00C34AAC" w:rsidRPr="00C34AAC">
        <w:rPr>
          <w:rFonts w:cs="Arial"/>
          <w:i/>
        </w:rPr>
        <w:t>“Puget Sound Energy 2014-15 Biennial Electric Conservation Achievement Review (BECAR) Final Report”</w:t>
      </w:r>
      <w:r w:rsidR="00C34AAC">
        <w:rPr>
          <w:rFonts w:cs="Arial"/>
        </w:rPr>
        <w:t>, and</w:t>
      </w:r>
    </w:p>
    <w:p w:rsidR="00683EEF" w:rsidRDefault="004C452A" w:rsidP="00094E5C">
      <w:pPr>
        <w:numPr>
          <w:ilvl w:val="0"/>
          <w:numId w:val="22"/>
        </w:numPr>
        <w:rPr>
          <w:rFonts w:cs="Arial"/>
        </w:rPr>
      </w:pPr>
      <w:r>
        <w:rPr>
          <w:rFonts w:cs="Arial"/>
        </w:rPr>
        <w:t xml:space="preserve">Attachment 2: The Department of Commerce’s </w:t>
      </w:r>
      <w:r w:rsidR="00094E5C">
        <w:rPr>
          <w:rFonts w:cs="Arial"/>
        </w:rPr>
        <w:t>Microsoft® Excel™ workbook that addresses conservation</w:t>
      </w:r>
      <w:r w:rsidR="00094E5C">
        <w:rPr>
          <w:rStyle w:val="FootnoteReference"/>
        </w:rPr>
        <w:footnoteReference w:id="12"/>
      </w:r>
      <w:r w:rsidR="00094E5C">
        <w:rPr>
          <w:rFonts w:cs="Arial"/>
        </w:rPr>
        <w:t xml:space="preserve"> </w:t>
      </w:r>
      <w:r w:rsidR="003E3D5E">
        <w:rPr>
          <w:rFonts w:cs="Arial"/>
        </w:rPr>
        <w:t>“</w:t>
      </w:r>
      <w:r w:rsidR="00396CDD" w:rsidRPr="00396CDD">
        <w:rPr>
          <w:rFonts w:cs="Arial"/>
          <w:i/>
        </w:rPr>
        <w:t>PSE_EIA-2016-ReportWorkbook.xlsx</w:t>
      </w:r>
      <w:r w:rsidR="003E3D5E">
        <w:rPr>
          <w:rFonts w:cs="Arial"/>
          <w:i/>
        </w:rPr>
        <w:t>”</w:t>
      </w:r>
      <w:proofErr w:type="gramStart"/>
      <w:r w:rsidR="00094E5C">
        <w:rPr>
          <w:rFonts w:cs="Arial"/>
          <w:i/>
        </w:rPr>
        <w:t>.</w:t>
      </w:r>
      <w:r w:rsidR="005719F0">
        <w:rPr>
          <w:rFonts w:cs="Arial"/>
          <w:i/>
        </w:rPr>
        <w:t xml:space="preserve"> </w:t>
      </w:r>
      <w:proofErr w:type="gramEnd"/>
      <w:r w:rsidR="00C34AAC">
        <w:rPr>
          <w:rFonts w:cs="Arial"/>
        </w:rPr>
        <w:t>PSE provided this d</w:t>
      </w:r>
      <w:r w:rsidR="003E3D5E">
        <w:rPr>
          <w:rFonts w:cs="Arial"/>
        </w:rPr>
        <w:t xml:space="preserve">ocument with the </w:t>
      </w:r>
      <w:r w:rsidR="00616564">
        <w:rPr>
          <w:rFonts w:cs="Arial"/>
        </w:rPr>
        <w:t xml:space="preserve">WA </w:t>
      </w:r>
      <w:r w:rsidR="003E3D5E">
        <w:rPr>
          <w:rFonts w:cs="Arial"/>
        </w:rPr>
        <w:t xml:space="preserve">Department of Commerce concurrent with this </w:t>
      </w:r>
      <w:r w:rsidR="00A71139">
        <w:rPr>
          <w:rFonts w:cs="Arial"/>
        </w:rPr>
        <w:t>R</w:t>
      </w:r>
      <w:r w:rsidR="003E3D5E">
        <w:rPr>
          <w:rFonts w:cs="Arial"/>
        </w:rPr>
        <w:t>eport.</w:t>
      </w:r>
      <w:r w:rsidR="00FB1265">
        <w:rPr>
          <w:rFonts w:cs="Arial"/>
        </w:rPr>
        <w:t xml:space="preserve"> </w:t>
      </w:r>
    </w:p>
    <w:p w:rsidR="00FE47BC" w:rsidRDefault="00FE47BC" w:rsidP="00EE0949">
      <w:pPr>
        <w:ind w:left="360"/>
      </w:pPr>
    </w:p>
    <w:p w:rsidR="004C003F" w:rsidRPr="00683EEF" w:rsidRDefault="004C003F" w:rsidP="00683EEF">
      <w:pPr>
        <w:sectPr w:rsidR="004C003F" w:rsidRPr="00683EEF" w:rsidSect="00234638">
          <w:headerReference w:type="even" r:id="rId18"/>
          <w:headerReference w:type="default" r:id="rId19"/>
          <w:headerReference w:type="first" r:id="rId20"/>
          <w:pgSz w:w="12240" w:h="15840"/>
          <w:pgMar w:top="1980" w:right="1440" w:bottom="1440" w:left="1440" w:header="720" w:footer="720" w:gutter="0"/>
          <w:pgNumType w:start="1"/>
          <w:cols w:space="720"/>
          <w:docGrid w:linePitch="360"/>
        </w:sectPr>
      </w:pPr>
    </w:p>
    <w:p w:rsidR="00E2099C" w:rsidRPr="0021667C" w:rsidRDefault="00EB75CE" w:rsidP="00683EEF">
      <w:pPr>
        <w:pStyle w:val="Heading1"/>
      </w:pPr>
      <w:bookmarkStart w:id="33" w:name="_Toc450627067"/>
      <w:r>
        <w:lastRenderedPageBreak/>
        <w:t>2014-2015</w:t>
      </w:r>
      <w:r w:rsidR="00E2099C" w:rsidRPr="0021667C">
        <w:t xml:space="preserve"> Electric Conservation Results</w:t>
      </w:r>
      <w:bookmarkEnd w:id="33"/>
    </w:p>
    <w:p w:rsidR="003B6A39" w:rsidRDefault="004D3997" w:rsidP="00594C99">
      <w:pPr>
        <w:rPr>
          <w:rFonts w:cs="Arial"/>
        </w:rPr>
      </w:pPr>
      <w:r>
        <w:rPr>
          <w:rFonts w:cs="Arial"/>
        </w:rPr>
        <w:t>The 2014-2015</w:t>
      </w:r>
      <w:r w:rsidR="00C75445">
        <w:rPr>
          <w:rFonts w:cs="Arial"/>
        </w:rPr>
        <w:t xml:space="preserve"> bien</w:t>
      </w:r>
      <w:r w:rsidR="007E575A">
        <w:rPr>
          <w:rFonts w:cs="Arial"/>
        </w:rPr>
        <w:t>n</w:t>
      </w:r>
      <w:r w:rsidR="00C75445">
        <w:rPr>
          <w:rFonts w:cs="Arial"/>
        </w:rPr>
        <w:t>ial</w:t>
      </w:r>
      <w:r w:rsidR="007A55FE">
        <w:rPr>
          <w:rFonts w:cs="Arial"/>
        </w:rPr>
        <w:t xml:space="preserve"> </w:t>
      </w:r>
      <w:r w:rsidR="00D6570A">
        <w:rPr>
          <w:rFonts w:cs="Arial"/>
        </w:rPr>
        <w:t xml:space="preserve">electric Portfolio </w:t>
      </w:r>
      <w:r w:rsidR="00C75445">
        <w:rPr>
          <w:rFonts w:cs="Arial"/>
        </w:rPr>
        <w:t xml:space="preserve">consisted of </w:t>
      </w:r>
      <w:r w:rsidR="00D6570A">
        <w:rPr>
          <w:rFonts w:cs="Arial"/>
        </w:rPr>
        <w:t>two</w:t>
      </w:r>
      <w:r w:rsidR="00C75445">
        <w:rPr>
          <w:rFonts w:cs="Arial"/>
        </w:rPr>
        <w:t xml:space="preserve"> sub-categories, described in Section</w:t>
      </w:r>
      <w:r w:rsidR="00D6570A">
        <w:rPr>
          <w:rFonts w:cs="Arial"/>
        </w:rPr>
        <w:t xml:space="preserve"> A below: </w:t>
      </w:r>
      <w:r w:rsidR="005A19BA">
        <w:rPr>
          <w:rFonts w:cs="Arial"/>
        </w:rPr>
        <w:t xml:space="preserve">(1) </w:t>
      </w:r>
      <w:r w:rsidR="00D6570A">
        <w:rPr>
          <w:rFonts w:cs="Arial"/>
        </w:rPr>
        <w:t>Total Portfolio</w:t>
      </w:r>
      <w:r w:rsidR="00EC68C5">
        <w:rPr>
          <w:rFonts w:cs="Arial"/>
        </w:rPr>
        <w:t xml:space="preserve">, </w:t>
      </w:r>
      <w:r w:rsidR="00D6570A">
        <w:rPr>
          <w:rFonts w:cs="Arial"/>
        </w:rPr>
        <w:t xml:space="preserve">and </w:t>
      </w:r>
      <w:r w:rsidR="005A19BA">
        <w:rPr>
          <w:rFonts w:cs="Arial"/>
        </w:rPr>
        <w:t xml:space="preserve">(2) </w:t>
      </w:r>
      <w:r w:rsidR="00D6570A">
        <w:rPr>
          <w:rFonts w:cs="Arial"/>
        </w:rPr>
        <w:t xml:space="preserve">Program Savings, less (Northwest Energy Efficiency Alliance [“NEEA”] + Individual Energy Report </w:t>
      </w:r>
      <w:r w:rsidR="005A19BA">
        <w:rPr>
          <w:rFonts w:cs="Arial"/>
        </w:rPr>
        <w:t>[“</w:t>
      </w:r>
      <w:proofErr w:type="spellStart"/>
      <w:r w:rsidR="005A19BA">
        <w:rPr>
          <w:rFonts w:cs="Arial"/>
        </w:rPr>
        <w:t>IER</w:t>
      </w:r>
      <w:proofErr w:type="spellEnd"/>
      <w:r w:rsidR="004C438A">
        <w:rPr>
          <w:rFonts w:cs="Arial"/>
        </w:rPr>
        <w:t>”</w:t>
      </w:r>
      <w:r w:rsidR="005A19BA">
        <w:rPr>
          <w:rFonts w:cs="Arial"/>
        </w:rPr>
        <w:t xml:space="preserve">] </w:t>
      </w:r>
      <w:r w:rsidR="004C438A">
        <w:rPr>
          <w:rFonts w:cs="Arial"/>
        </w:rPr>
        <w:t>Pilots)</w:t>
      </w:r>
      <w:proofErr w:type="gramStart"/>
      <w:r w:rsidR="00D6570A">
        <w:rPr>
          <w:rFonts w:cs="Arial"/>
        </w:rPr>
        <w:t xml:space="preserve">. </w:t>
      </w:r>
      <w:proofErr w:type="gramEnd"/>
      <w:r w:rsidR="00EC68C5">
        <w:rPr>
          <w:rFonts w:cs="Arial"/>
        </w:rPr>
        <w:t>PSE</w:t>
      </w:r>
      <w:r w:rsidR="005A19BA">
        <w:rPr>
          <w:rFonts w:cs="Arial"/>
        </w:rPr>
        <w:t xml:space="preserve">’s electric Portfolio finished the biennium </w:t>
      </w:r>
      <w:r w:rsidR="000F5911">
        <w:rPr>
          <w:rFonts w:cs="Arial"/>
        </w:rPr>
        <w:t xml:space="preserve">with achieved savings </w:t>
      </w:r>
      <w:r w:rsidR="000F5911" w:rsidRPr="004E76BB">
        <w:rPr>
          <w:rFonts w:cs="Arial"/>
        </w:rPr>
        <w:t xml:space="preserve">of </w:t>
      </w:r>
      <w:r w:rsidR="008D7B77" w:rsidRPr="004E76BB">
        <w:rPr>
          <w:rFonts w:cs="Arial"/>
        </w:rPr>
        <w:t>6</w:t>
      </w:r>
      <w:r w:rsidR="00BF183B" w:rsidRPr="004E76BB">
        <w:rPr>
          <w:rFonts w:cs="Arial"/>
        </w:rPr>
        <w:t>63,123</w:t>
      </w:r>
      <w:r w:rsidR="005A19BA" w:rsidRPr="004E76BB">
        <w:rPr>
          <w:rFonts w:cs="Arial"/>
        </w:rPr>
        <w:t xml:space="preserve"> MWh. Subtracting (NEEA savings of </w:t>
      </w:r>
      <w:r w:rsidR="008D7B77" w:rsidRPr="004E76BB">
        <w:rPr>
          <w:rFonts w:cs="Arial"/>
        </w:rPr>
        <w:t>91,630</w:t>
      </w:r>
      <w:r w:rsidR="005A19BA" w:rsidRPr="004E76BB">
        <w:rPr>
          <w:rFonts w:cs="Arial"/>
        </w:rPr>
        <w:t xml:space="preserve"> MWh</w:t>
      </w:r>
      <w:r w:rsidR="00EC68C5" w:rsidRPr="004E76BB">
        <w:rPr>
          <w:rFonts w:cs="Arial"/>
        </w:rPr>
        <w:t xml:space="preserve"> </w:t>
      </w:r>
      <w:r w:rsidR="005A19BA" w:rsidRPr="004E76BB">
        <w:rPr>
          <w:rFonts w:cs="Arial"/>
        </w:rPr>
        <w:t xml:space="preserve">+ </w:t>
      </w:r>
      <w:proofErr w:type="spellStart"/>
      <w:r w:rsidR="005A19BA" w:rsidRPr="004E76BB">
        <w:rPr>
          <w:rFonts w:cs="Arial"/>
        </w:rPr>
        <w:t>IER</w:t>
      </w:r>
      <w:proofErr w:type="spellEnd"/>
      <w:r w:rsidR="005A19BA" w:rsidRPr="004E76BB">
        <w:rPr>
          <w:rFonts w:cs="Arial"/>
        </w:rPr>
        <w:t xml:space="preserve"> savi</w:t>
      </w:r>
      <w:r w:rsidR="004D1F88" w:rsidRPr="004E76BB">
        <w:rPr>
          <w:rFonts w:cs="Arial"/>
        </w:rPr>
        <w:t xml:space="preserve">ngs of </w:t>
      </w:r>
      <w:r w:rsidR="00BF183B" w:rsidRPr="004E76BB">
        <w:rPr>
          <w:rFonts w:cs="Arial"/>
        </w:rPr>
        <w:t>18,897</w:t>
      </w:r>
      <w:r w:rsidR="004D1F88" w:rsidRPr="004E76BB">
        <w:rPr>
          <w:rFonts w:cs="Arial"/>
        </w:rPr>
        <w:t xml:space="preserve"> MWh) equals </w:t>
      </w:r>
      <w:r w:rsidR="00D92CC3" w:rsidRPr="004E76BB">
        <w:rPr>
          <w:rFonts w:cs="Arial"/>
        </w:rPr>
        <w:t xml:space="preserve">a PSE-specific savings of </w:t>
      </w:r>
      <w:r w:rsidR="004D1F88" w:rsidRPr="004E76BB">
        <w:rPr>
          <w:rFonts w:cs="Arial"/>
        </w:rPr>
        <w:t>55</w:t>
      </w:r>
      <w:r w:rsidR="00BF183B" w:rsidRPr="004E76BB">
        <w:rPr>
          <w:rFonts w:cs="Arial"/>
        </w:rPr>
        <w:t>2,596</w:t>
      </w:r>
      <w:r w:rsidR="005A19BA" w:rsidRPr="004E76BB">
        <w:rPr>
          <w:rFonts w:cs="Arial"/>
        </w:rPr>
        <w:t xml:space="preserve"> MWh</w:t>
      </w:r>
      <w:r w:rsidR="00B860C6" w:rsidRPr="004E76BB">
        <w:rPr>
          <w:rFonts w:cs="Arial"/>
        </w:rPr>
        <w:t>, which</w:t>
      </w:r>
      <w:r w:rsidR="005A19BA" w:rsidRPr="004E76BB">
        <w:rPr>
          <w:rFonts w:cs="Arial"/>
        </w:rPr>
        <w:t xml:space="preserve"> </w:t>
      </w:r>
      <w:r w:rsidR="00B860C6" w:rsidRPr="004E76BB">
        <w:rPr>
          <w:rFonts w:cs="Arial"/>
        </w:rPr>
        <w:t>surpassed</w:t>
      </w:r>
      <w:r w:rsidR="005F1F7C" w:rsidRPr="004E76BB">
        <w:rPr>
          <w:rFonts w:cs="Arial"/>
        </w:rPr>
        <w:t xml:space="preserve"> </w:t>
      </w:r>
      <w:r w:rsidR="005A19BA" w:rsidRPr="004E76BB">
        <w:rPr>
          <w:rFonts w:cs="Arial"/>
        </w:rPr>
        <w:t>the</w:t>
      </w:r>
      <w:r w:rsidR="005F1F7C" w:rsidRPr="004E76BB">
        <w:rPr>
          <w:rFonts w:cs="Arial"/>
        </w:rPr>
        <w:t xml:space="preserve"> EIA T</w:t>
      </w:r>
      <w:r w:rsidR="005A19BA" w:rsidRPr="004E76BB">
        <w:rPr>
          <w:rFonts w:cs="Arial"/>
        </w:rPr>
        <w:t>arget by 14</w:t>
      </w:r>
      <w:r w:rsidR="00EC68C5" w:rsidRPr="004E76BB">
        <w:rPr>
          <w:rFonts w:cs="Arial"/>
        </w:rPr>
        <w:t xml:space="preserve"> percent</w:t>
      </w:r>
      <w:r w:rsidR="00585FD4" w:rsidRPr="004E76BB">
        <w:rPr>
          <w:rFonts w:cs="Arial"/>
        </w:rPr>
        <w:t xml:space="preserve">, or </w:t>
      </w:r>
      <w:r w:rsidR="004D1F88" w:rsidRPr="004E76BB">
        <w:rPr>
          <w:rFonts w:cs="Arial"/>
        </w:rPr>
        <w:t>6</w:t>
      </w:r>
      <w:r w:rsidR="00BF183B" w:rsidRPr="004E76BB">
        <w:rPr>
          <w:rFonts w:cs="Arial"/>
        </w:rPr>
        <w:t>6,826</w:t>
      </w:r>
      <w:r w:rsidR="00585FD4" w:rsidRPr="004E76BB">
        <w:rPr>
          <w:rFonts w:cs="Arial"/>
        </w:rPr>
        <w:t xml:space="preserve"> MWh</w:t>
      </w:r>
      <w:proofErr w:type="gramStart"/>
      <w:r w:rsidR="005A19BA" w:rsidRPr="004E76BB">
        <w:rPr>
          <w:rFonts w:cs="Arial"/>
        </w:rPr>
        <w:t xml:space="preserve">. </w:t>
      </w:r>
      <w:proofErr w:type="gramEnd"/>
      <w:r w:rsidR="00D92CC3" w:rsidRPr="004E76BB">
        <w:rPr>
          <w:rFonts w:cs="Arial"/>
        </w:rPr>
        <w:t>This PSE-specific value</w:t>
      </w:r>
      <w:r w:rsidR="00B860C6" w:rsidRPr="004E76BB">
        <w:rPr>
          <w:rFonts w:cs="Arial"/>
        </w:rPr>
        <w:t xml:space="preserve"> </w:t>
      </w:r>
      <w:r w:rsidR="00D92CC3" w:rsidRPr="004E76BB">
        <w:rPr>
          <w:rFonts w:cs="Arial"/>
        </w:rPr>
        <w:t>signifies</w:t>
      </w:r>
      <w:r w:rsidR="00B860C6" w:rsidRPr="004E76BB">
        <w:rPr>
          <w:rFonts w:cs="Arial"/>
        </w:rPr>
        <w:t xml:space="preserve"> sufficient savings to meet the IEA Target and the decoupling commitment of 27,920 MWh. </w:t>
      </w:r>
    </w:p>
    <w:p w:rsidR="00EC68C5" w:rsidRPr="004E76BB" w:rsidRDefault="00B860C6" w:rsidP="00594C99">
      <w:pPr>
        <w:rPr>
          <w:rFonts w:cs="Arial"/>
        </w:rPr>
      </w:pPr>
      <w:r w:rsidRPr="004E76BB">
        <w:rPr>
          <w:rFonts w:cs="Arial"/>
        </w:rPr>
        <w:t>The achieved savings represent PSE’s total obligation indicated in RCW 19.285.040(1), relative to achieving all available conservation that is cost-effective, reliable, and feasible for the biennium</w:t>
      </w:r>
      <w:proofErr w:type="gramStart"/>
      <w:r w:rsidRPr="004E76BB">
        <w:rPr>
          <w:rFonts w:cs="Arial"/>
        </w:rPr>
        <w:t>.</w:t>
      </w:r>
      <w:r w:rsidR="00835374">
        <w:rPr>
          <w:rFonts w:cs="Arial"/>
        </w:rPr>
        <w:t xml:space="preserve"> </w:t>
      </w:r>
      <w:proofErr w:type="gramEnd"/>
      <w:r w:rsidR="00835374">
        <w:rPr>
          <w:rFonts w:cs="Arial"/>
        </w:rPr>
        <w:t xml:space="preserve">Accordingly, </w:t>
      </w:r>
      <w:r w:rsidR="00835374">
        <w:rPr>
          <w:rFonts w:cs="Arial"/>
        </w:rPr>
        <w:t>PSE requests that the Commission issue an Order, determining that PSE met its Commission-approved biennial Energy Independence Act (“EIA”) Target of 485,770 Megawatt-hours (“MWhs”)</w:t>
      </w:r>
      <w:r w:rsidR="00835374">
        <w:rPr>
          <w:rFonts w:cs="Arial"/>
        </w:rPr>
        <w:t>.</w:t>
      </w:r>
    </w:p>
    <w:p w:rsidR="00BD3109" w:rsidRDefault="005A19BA" w:rsidP="0049452D">
      <w:r w:rsidRPr="004E76BB">
        <w:t xml:space="preserve">While surpassing aggressive savings goals, </w:t>
      </w:r>
      <w:r w:rsidR="00BD3109" w:rsidRPr="004E76BB">
        <w:t>PSE</w:t>
      </w:r>
      <w:r w:rsidR="00471491" w:rsidRPr="004E76BB">
        <w:t xml:space="preserve"> </w:t>
      </w:r>
      <w:r w:rsidRPr="004E76BB">
        <w:t xml:space="preserve">consistently </w:t>
      </w:r>
      <w:r w:rsidR="00BD3109" w:rsidRPr="004E76BB">
        <w:t>demonstrated</w:t>
      </w:r>
      <w:r w:rsidR="00471491" w:rsidRPr="004E76BB">
        <w:t xml:space="preserve"> a high degree of </w:t>
      </w:r>
      <w:r w:rsidR="00222E60" w:rsidRPr="004E76BB">
        <w:t>stewardship</w:t>
      </w:r>
      <w:r w:rsidR="00BD3109" w:rsidRPr="004E76BB">
        <w:t xml:space="preserve"> </w:t>
      </w:r>
      <w:r w:rsidR="00471491" w:rsidRPr="004E76BB">
        <w:t>in managing</w:t>
      </w:r>
      <w:r w:rsidR="00B25A49" w:rsidRPr="004E76BB">
        <w:t xml:space="preserve"> </w:t>
      </w:r>
      <w:r w:rsidR="00957CD5" w:rsidRPr="004E76BB">
        <w:t>customer</w:t>
      </w:r>
      <w:r w:rsidR="00B25A49" w:rsidRPr="004E76BB">
        <w:t xml:space="preserve"> funds</w:t>
      </w:r>
      <w:r w:rsidR="00BD3109" w:rsidRPr="004E76BB">
        <w:t>, wit</w:t>
      </w:r>
      <w:r w:rsidR="00550D80" w:rsidRPr="004E76BB">
        <w:t xml:space="preserve">h </w:t>
      </w:r>
      <w:r w:rsidR="00322FBC" w:rsidRPr="004E76BB">
        <w:t xml:space="preserve">2014-2015 </w:t>
      </w:r>
      <w:r w:rsidR="00957CD5" w:rsidRPr="004E76BB">
        <w:t xml:space="preserve">electric </w:t>
      </w:r>
      <w:r w:rsidR="003B6A39">
        <w:t>conservation-specific</w:t>
      </w:r>
      <w:r w:rsidR="003B6A39">
        <w:rPr>
          <w:rStyle w:val="FootnoteReference"/>
        </w:rPr>
        <w:footnoteReference w:id="13"/>
      </w:r>
      <w:r w:rsidR="003B6A39">
        <w:t xml:space="preserve"> </w:t>
      </w:r>
      <w:r w:rsidR="00957CD5" w:rsidRPr="004E76BB">
        <w:t xml:space="preserve">Portfolio </w:t>
      </w:r>
      <w:r w:rsidR="00550D80" w:rsidRPr="004E76BB">
        <w:t>expenditures of $</w:t>
      </w:r>
      <w:r w:rsidR="00D6570A" w:rsidRPr="004E76BB">
        <w:t>190.1</w:t>
      </w:r>
      <w:r w:rsidR="00550D80" w:rsidRPr="004E76BB">
        <w:t xml:space="preserve"> million</w:t>
      </w:r>
      <w:r w:rsidR="00D6570A" w:rsidRPr="004E76BB">
        <w:t>, which is 1</w:t>
      </w:r>
      <w:r w:rsidR="00947EB9" w:rsidRPr="004E76BB">
        <w:t xml:space="preserve"> percent higher than the budget of </w:t>
      </w:r>
      <w:r w:rsidR="00D6570A" w:rsidRPr="004E76BB">
        <w:t>$187.65</w:t>
      </w:r>
      <w:r w:rsidR="00947EB9" w:rsidRPr="004E76BB">
        <w:t xml:space="preserve"> million</w:t>
      </w:r>
      <w:r w:rsidR="00B25A49" w:rsidRPr="004E76BB">
        <w:t>.</w:t>
      </w:r>
      <w:r w:rsidR="00AA6FCB" w:rsidRPr="004E76BB">
        <w:rPr>
          <w:rStyle w:val="FootnoteReference"/>
        </w:rPr>
        <w:t xml:space="preserve"> </w:t>
      </w:r>
      <w:r w:rsidR="00BD3109" w:rsidRPr="004E76BB">
        <w:t>PSE also achieved a</w:t>
      </w:r>
      <w:r w:rsidR="00523E7B" w:rsidRPr="004E76BB">
        <w:t>n electric</w:t>
      </w:r>
      <w:r w:rsidR="00BD3109" w:rsidRPr="004E76BB">
        <w:t xml:space="preserve"> </w:t>
      </w:r>
      <w:r w:rsidR="00523E7B" w:rsidRPr="004E76BB">
        <w:t>Utility Cost (“UC”) Test benefit-to-cost ratio of 2.</w:t>
      </w:r>
      <w:r w:rsidR="00BF183B" w:rsidRPr="004E76BB">
        <w:t>29</w:t>
      </w:r>
      <w:r w:rsidR="00523E7B" w:rsidRPr="004E76BB">
        <w:t xml:space="preserve">, and a </w:t>
      </w:r>
      <w:r w:rsidR="00BD3109" w:rsidRPr="004E76BB">
        <w:t>Total Resource Cost (</w:t>
      </w:r>
      <w:r w:rsidR="00523E7B" w:rsidRPr="004E76BB">
        <w:t>“</w:t>
      </w:r>
      <w:r w:rsidR="00BD3109" w:rsidRPr="004E76BB">
        <w:t>TRC</w:t>
      </w:r>
      <w:r w:rsidR="00523E7B" w:rsidRPr="004E76BB">
        <w:t>”</w:t>
      </w:r>
      <w:r w:rsidR="00BD3109" w:rsidRPr="004E76BB">
        <w:t xml:space="preserve">) </w:t>
      </w:r>
      <w:r w:rsidR="00523E7B" w:rsidRPr="004E76BB">
        <w:t xml:space="preserve">Test </w:t>
      </w:r>
      <w:r w:rsidR="00BD3109" w:rsidRPr="004E76BB">
        <w:t>benefit-to-cost ratio o</w:t>
      </w:r>
      <w:r w:rsidR="00211573" w:rsidRPr="004E76BB">
        <w:t xml:space="preserve">f </w:t>
      </w:r>
      <w:r w:rsidR="00523E7B" w:rsidRPr="004E76BB">
        <w:t>1.6</w:t>
      </w:r>
      <w:r w:rsidR="00BF183B" w:rsidRPr="004E76BB">
        <w:t>2</w:t>
      </w:r>
      <w:r w:rsidR="00AA6FCB" w:rsidRPr="004E76BB">
        <w:t xml:space="preserve"> at the Portfolio l</w:t>
      </w:r>
      <w:r w:rsidR="00211573" w:rsidRPr="004E76BB">
        <w:t>evel</w:t>
      </w:r>
      <w:proofErr w:type="gramStart"/>
      <w:r w:rsidR="00211573" w:rsidRPr="004E76BB">
        <w:t>.</w:t>
      </w:r>
      <w:r w:rsidR="00FB1265">
        <w:t xml:space="preserve"> </w:t>
      </w:r>
      <w:proofErr w:type="gramEnd"/>
      <w:r w:rsidR="003B6A39">
        <w:t>PSE provides p</w:t>
      </w:r>
      <w:r w:rsidR="00DD0606">
        <w:t xml:space="preserve">rogram-level details of 2014-2015 savings, along with their commensurate expenditures, in this Report as Exhibit 1: </w:t>
      </w:r>
      <w:r w:rsidR="00DD0606" w:rsidRPr="001A4964">
        <w:rPr>
          <w:i/>
        </w:rPr>
        <w:t xml:space="preserve">2014-2015 </w:t>
      </w:r>
      <w:r w:rsidR="001A4964">
        <w:rPr>
          <w:i/>
        </w:rPr>
        <w:t xml:space="preserve">Electric </w:t>
      </w:r>
      <w:r w:rsidR="00D073C7">
        <w:rPr>
          <w:i/>
        </w:rPr>
        <w:t>Savings and Expense</w:t>
      </w:r>
      <w:r w:rsidR="00DD0606" w:rsidRPr="001A4964">
        <w:rPr>
          <w:i/>
        </w:rPr>
        <w:t>s</w:t>
      </w:r>
      <w:proofErr w:type="gramStart"/>
      <w:r w:rsidR="00DD0606">
        <w:t xml:space="preserve">. </w:t>
      </w:r>
      <w:proofErr w:type="gramEnd"/>
      <w:r w:rsidR="00DD0606">
        <w:t xml:space="preserve">Exhibit 2: </w:t>
      </w:r>
      <w:r w:rsidR="00DD0606" w:rsidRPr="001A4964">
        <w:rPr>
          <w:i/>
        </w:rPr>
        <w:t xml:space="preserve">2014-2015 </w:t>
      </w:r>
      <w:r w:rsidR="001A4964" w:rsidRPr="001A4964">
        <w:rPr>
          <w:i/>
        </w:rPr>
        <w:t xml:space="preserve">Electric </w:t>
      </w:r>
      <w:r w:rsidR="00DD0606" w:rsidRPr="001A4964">
        <w:rPr>
          <w:i/>
        </w:rPr>
        <w:t>Cost-</w:t>
      </w:r>
      <w:r w:rsidR="00DD0606" w:rsidRPr="00335FEC">
        <w:rPr>
          <w:i/>
        </w:rPr>
        <w:t xml:space="preserve">Effectiveness </w:t>
      </w:r>
      <w:r w:rsidR="00335FEC" w:rsidRPr="00335FEC">
        <w:rPr>
          <w:i/>
        </w:rPr>
        <w:t>Results</w:t>
      </w:r>
      <w:r w:rsidR="00335FEC">
        <w:t xml:space="preserve"> </w:t>
      </w:r>
      <w:r w:rsidR="00DD0606">
        <w:t>provides a program-level view of the UC and TRC elements.</w:t>
      </w:r>
    </w:p>
    <w:p w:rsidR="00743868" w:rsidRDefault="00FE47BC" w:rsidP="009026FD">
      <w:pPr>
        <w:pStyle w:val="Heading2"/>
        <w:numPr>
          <w:ilvl w:val="0"/>
          <w:numId w:val="18"/>
        </w:numPr>
      </w:pPr>
      <w:bookmarkStart w:id="34" w:name="_Toc450627068"/>
      <w:r>
        <w:t xml:space="preserve">The 2014-2015 </w:t>
      </w:r>
      <w:r w:rsidR="0024104F">
        <w:t>Electric Conservation</w:t>
      </w:r>
      <w:r w:rsidR="00785D6C">
        <w:t xml:space="preserve"> </w:t>
      </w:r>
      <w:r w:rsidR="00743868">
        <w:t>Target</w:t>
      </w:r>
      <w:bookmarkEnd w:id="34"/>
      <w:r w:rsidR="00743868">
        <w:t xml:space="preserve"> </w:t>
      </w:r>
    </w:p>
    <w:p w:rsidR="003B6A39" w:rsidRDefault="00E01BC5" w:rsidP="00197A40">
      <w:pPr>
        <w:ind w:left="360"/>
        <w:rPr>
          <w:rFonts w:cs="Arial"/>
        </w:rPr>
      </w:pPr>
      <w:r>
        <w:rPr>
          <w:rFonts w:cs="Arial"/>
        </w:rPr>
        <w:t>Consistent with RCW 19.285 and the rules enumerated in WAC 480-109</w:t>
      </w:r>
      <w:r w:rsidRPr="00C75445">
        <w:rPr>
          <w:rFonts w:cs="Arial"/>
          <w:color w:val="000000" w:themeColor="text1"/>
        </w:rPr>
        <w:t>-100,</w:t>
      </w:r>
      <w:r w:rsidR="003075C2">
        <w:rPr>
          <w:rStyle w:val="FootnoteReference"/>
          <w:color w:val="000000" w:themeColor="text1"/>
        </w:rPr>
        <w:footnoteReference w:id="14"/>
      </w:r>
      <w:r w:rsidRPr="00C75445">
        <w:rPr>
          <w:rFonts w:cs="Arial"/>
          <w:color w:val="000000" w:themeColor="text1"/>
        </w:rPr>
        <w:t xml:space="preserve"> </w:t>
      </w:r>
      <w:r w:rsidR="00634145">
        <w:rPr>
          <w:rFonts w:cs="Arial"/>
        </w:rPr>
        <w:t>PSE began the 2014-2015 planning process early in 2013</w:t>
      </w:r>
      <w:proofErr w:type="gramStart"/>
      <w:r w:rsidR="00634145">
        <w:rPr>
          <w:rFonts w:cs="Arial"/>
        </w:rPr>
        <w:t xml:space="preserve">. </w:t>
      </w:r>
      <w:proofErr w:type="gramEnd"/>
      <w:r w:rsidR="00634145">
        <w:rPr>
          <w:rFonts w:cs="Arial"/>
        </w:rPr>
        <w:t>Energy Efficiency engaged its Conservation Resource Advisory Group (“CRAG”) early in the biennial planning process to establish the 2014-2015 individual savings goals from the bottom-up</w:t>
      </w:r>
      <w:proofErr w:type="gramStart"/>
      <w:r w:rsidR="00634145">
        <w:rPr>
          <w:rFonts w:cs="Arial"/>
        </w:rPr>
        <w:t xml:space="preserve">. </w:t>
      </w:r>
      <w:proofErr w:type="gramEnd"/>
      <w:r w:rsidR="003B6A39">
        <w:rPr>
          <w:rFonts w:cs="Arial"/>
        </w:rPr>
        <w:br w:type="page"/>
      </w:r>
    </w:p>
    <w:p w:rsidR="00197A40" w:rsidRDefault="00634145" w:rsidP="00197A40">
      <w:pPr>
        <w:ind w:left="360"/>
      </w:pPr>
      <w:r>
        <w:lastRenderedPageBreak/>
        <w:t xml:space="preserve">Throughout 2013, The Energy Efficiency department coordinated with the PSE Resource Planning organization </w:t>
      </w:r>
      <w:r w:rsidR="00197A40">
        <w:t>as</w:t>
      </w:r>
      <w:r>
        <w:t xml:space="preserve"> the Conservation Potential Assessment (“CPA”) </w:t>
      </w:r>
      <w:r w:rsidR="00197A40">
        <w:t xml:space="preserve">was developed, </w:t>
      </w:r>
      <w:r>
        <w:t>and the resulting guidance from the 2013 Integrated Resource Plan (“IRP”)</w:t>
      </w:r>
      <w:r w:rsidR="00197A40">
        <w:t xml:space="preserve"> informed Energy Efficiency’s baseline two-year conservation goal</w:t>
      </w:r>
      <w:proofErr w:type="gramStart"/>
      <w:r>
        <w:t xml:space="preserve">. </w:t>
      </w:r>
      <w:proofErr w:type="gramEnd"/>
      <w:r w:rsidR="0049160F">
        <w:t xml:space="preserve">PSE provides additional </w:t>
      </w:r>
      <w:r w:rsidR="003E0A26">
        <w:t xml:space="preserve">Conservation Potential and Target </w:t>
      </w:r>
      <w:r w:rsidR="0049160F">
        <w:t xml:space="preserve">development details in the 2014-2015 </w:t>
      </w:r>
      <w:proofErr w:type="spellStart"/>
      <w:r w:rsidR="0049160F">
        <w:t>BCP’s</w:t>
      </w:r>
      <w:proofErr w:type="spellEnd"/>
      <w:r w:rsidR="0049160F">
        <w:t xml:space="preserve"> Exhibit i: </w:t>
      </w:r>
      <w:r w:rsidR="0049160F" w:rsidRPr="0049160F">
        <w:rPr>
          <w:i/>
        </w:rPr>
        <w:t>Ten-Year Potential and Two-Year Target</w:t>
      </w:r>
      <w:r w:rsidR="0049160F">
        <w:t>.</w:t>
      </w:r>
    </w:p>
    <w:p w:rsidR="00CF05ED" w:rsidRDefault="00CF05ED" w:rsidP="00CF05ED">
      <w:pPr>
        <w:ind w:left="360"/>
        <w:rPr>
          <w:rFonts w:cs="Arial"/>
        </w:rPr>
      </w:pPr>
      <w:r>
        <w:rPr>
          <w:rFonts w:cs="Arial"/>
        </w:rPr>
        <w:t>In compliance with condition (8)(f),</w:t>
      </w:r>
      <w:r>
        <w:rPr>
          <w:rStyle w:val="FootnoteReference"/>
        </w:rPr>
        <w:footnoteReference w:id="15"/>
      </w:r>
      <w:r>
        <w:rPr>
          <w:rFonts w:cs="Arial"/>
        </w:rPr>
        <w:t xml:space="preserve"> PSE provided the CRAG with drafts of its 2014-2015 program savings &amp; budgets, program details, and tariff revisions over the course of three months prior to the BCP filing. </w:t>
      </w:r>
    </w:p>
    <w:p w:rsidR="00CF05ED" w:rsidRPr="00197A40" w:rsidRDefault="00CF05ED" w:rsidP="00CF05ED">
      <w:pPr>
        <w:ind w:left="360"/>
      </w:pPr>
      <w:r>
        <w:rPr>
          <w:rFonts w:cs="Arial"/>
        </w:rPr>
        <w:t>The Commission reviewed and considered the Company’s ten-year achievable conservation potential and two-year biennial Target, filed on November 1, 2013 in Docket No</w:t>
      </w:r>
      <w:proofErr w:type="gramStart"/>
      <w:r>
        <w:rPr>
          <w:rFonts w:cs="Arial"/>
        </w:rPr>
        <w:t xml:space="preserve">. </w:t>
      </w:r>
      <w:proofErr w:type="gramEnd"/>
      <w:r>
        <w:rPr>
          <w:rFonts w:cs="Arial"/>
        </w:rPr>
        <w:t>UE-</w:t>
      </w:r>
      <w:r w:rsidRPr="00F003AA">
        <w:rPr>
          <w:rFonts w:cs="Arial"/>
        </w:rPr>
        <w:t>1320</w:t>
      </w:r>
      <w:r>
        <w:rPr>
          <w:rFonts w:cs="Arial"/>
        </w:rPr>
        <w:t>43</w:t>
      </w:r>
      <w:proofErr w:type="gramStart"/>
      <w:r>
        <w:rPr>
          <w:rFonts w:cs="Arial"/>
        </w:rPr>
        <w:t xml:space="preserve">. </w:t>
      </w:r>
      <w:proofErr w:type="gramEnd"/>
      <w:r>
        <w:rPr>
          <w:rFonts w:cs="Arial"/>
        </w:rPr>
        <w:t xml:space="preserve">The Commission approved the Company’s biennial acquisition Target of 485,770 MWh in Order </w:t>
      </w:r>
      <w:r w:rsidRPr="00947EB9">
        <w:rPr>
          <w:rFonts w:cs="Arial"/>
        </w:rPr>
        <w:t>01</w:t>
      </w:r>
      <w:r>
        <w:rPr>
          <w:rFonts w:cs="Arial"/>
        </w:rPr>
        <w:t xml:space="preserve"> on December 19, 2013 with conditions. </w:t>
      </w:r>
    </w:p>
    <w:p w:rsidR="00CF05ED" w:rsidRDefault="00CF05ED" w:rsidP="00CF05ED">
      <w:pPr>
        <w:ind w:left="360"/>
        <w:rPr>
          <w:rFonts w:cs="Arial"/>
        </w:rPr>
      </w:pPr>
      <w:r>
        <w:rPr>
          <w:rFonts w:cs="Arial"/>
        </w:rPr>
        <w:t xml:space="preserve">PSE also refreshed its savings—taking into account new measures, new delivery methods, updated UES values—and updated spending projections in its 2015 Annual Conservation Plan (“ACP”), filed on November 26, 2014 in Docket No UE-132043. </w:t>
      </w:r>
    </w:p>
    <w:p w:rsidR="0058773B" w:rsidRDefault="0058773B" w:rsidP="00CF05ED">
      <w:pPr>
        <w:ind w:left="360"/>
        <w:rPr>
          <w:rFonts w:cs="Arial"/>
        </w:rPr>
      </w:pPr>
      <w:r>
        <w:rPr>
          <w:rFonts w:cs="Arial"/>
        </w:rPr>
        <w:t xml:space="preserve">In Chapter 1, </w:t>
      </w:r>
      <w:r>
        <w:rPr>
          <w:rFonts w:cs="Arial"/>
        </w:rPr>
        <w:fldChar w:fldCharType="begin"/>
      </w:r>
      <w:r>
        <w:rPr>
          <w:rFonts w:cs="Arial"/>
        </w:rPr>
        <w:instrText xml:space="preserve"> REF _Ref443461172 \h </w:instrText>
      </w:r>
      <w:r>
        <w:rPr>
          <w:rFonts w:cs="Arial"/>
        </w:rPr>
      </w:r>
      <w:r>
        <w:rPr>
          <w:rFonts w:cs="Arial"/>
        </w:rPr>
        <w:fldChar w:fldCharType="separate"/>
      </w:r>
      <w:r w:rsidR="001A7098">
        <w:t xml:space="preserve">Table </w:t>
      </w:r>
      <w:r w:rsidR="001A7098">
        <w:rPr>
          <w:noProof/>
        </w:rPr>
        <w:t>I</w:t>
      </w:r>
      <w:r w:rsidR="001A7098">
        <w:noBreakHyphen/>
      </w:r>
      <w:r w:rsidR="001A7098">
        <w:rPr>
          <w:noProof/>
        </w:rPr>
        <w:t>1</w:t>
      </w:r>
      <w:r>
        <w:rPr>
          <w:rFonts w:cs="Arial"/>
        </w:rPr>
        <w:fldChar w:fldCharType="end"/>
      </w:r>
      <w:r w:rsidR="00516D18">
        <w:rPr>
          <w:rFonts w:cs="Arial"/>
        </w:rPr>
        <w:t xml:space="preserve"> provides a summary </w:t>
      </w:r>
      <w:r>
        <w:rPr>
          <w:rFonts w:cs="Arial"/>
        </w:rPr>
        <w:t>Portfolio view of the 2014-2</w:t>
      </w:r>
      <w:r w:rsidR="00516D18">
        <w:rPr>
          <w:rFonts w:cs="Arial"/>
        </w:rPr>
        <w:t xml:space="preserve">015 electric conservation goals/overall </w:t>
      </w:r>
      <w:r>
        <w:rPr>
          <w:rFonts w:cs="Arial"/>
        </w:rPr>
        <w:t>budgets,</w:t>
      </w:r>
      <w:r w:rsidR="00516D18">
        <w:rPr>
          <w:rFonts w:cs="Arial"/>
        </w:rPr>
        <w:t xml:space="preserve"> and savings results/overall </w:t>
      </w:r>
      <w:r>
        <w:rPr>
          <w:rFonts w:cs="Arial"/>
        </w:rPr>
        <w:t>expenditures</w:t>
      </w:r>
      <w:proofErr w:type="gramStart"/>
      <w:r>
        <w:rPr>
          <w:rFonts w:cs="Arial"/>
        </w:rPr>
        <w:t xml:space="preserve">. </w:t>
      </w:r>
      <w:proofErr w:type="gramEnd"/>
      <w:r>
        <w:rPr>
          <w:rFonts w:cs="Arial"/>
        </w:rPr>
        <w:t>In this section, PSE will discuss the sub-totals comprising the Portfolio in more detail.</w:t>
      </w:r>
    </w:p>
    <w:p w:rsidR="00BB2939" w:rsidRDefault="00D00409" w:rsidP="00AF507A">
      <w:pPr>
        <w:pStyle w:val="Heading3"/>
        <w:numPr>
          <w:ilvl w:val="0"/>
          <w:numId w:val="31"/>
        </w:numPr>
        <w:ind w:left="900"/>
      </w:pPr>
      <w:bookmarkStart w:id="35" w:name="_Toc450627069"/>
      <w:r>
        <w:t>Developing</w:t>
      </w:r>
      <w:r w:rsidR="00BB2939">
        <w:t xml:space="preserve"> the </w:t>
      </w:r>
      <w:r w:rsidR="00C34122">
        <w:t>Portfolio</w:t>
      </w:r>
      <w:bookmarkEnd w:id="35"/>
    </w:p>
    <w:p w:rsidR="00BB5F6F" w:rsidRDefault="0058773B" w:rsidP="00AF507A">
      <w:pPr>
        <w:ind w:left="720"/>
      </w:pPr>
      <w:r>
        <w:t xml:space="preserve">Regulatory Stakeholders will recognize </w:t>
      </w:r>
      <w:r w:rsidR="00316F94">
        <w:t xml:space="preserve">elements of </w:t>
      </w:r>
      <w:r>
        <w:fldChar w:fldCharType="begin"/>
      </w:r>
      <w:r>
        <w:instrText xml:space="preserve"> REF _Ref446067247 \h  \* MERGEFORMAT </w:instrText>
      </w:r>
      <w:r>
        <w:fldChar w:fldCharType="separate"/>
      </w:r>
      <w:r w:rsidR="001A7098">
        <w:rPr>
          <w:noProof/>
        </w:rPr>
        <w:t>Table</w:t>
      </w:r>
      <w:r w:rsidR="001A7098">
        <w:t xml:space="preserve"> </w:t>
      </w:r>
      <w:r w:rsidR="001A7098">
        <w:rPr>
          <w:noProof/>
        </w:rPr>
        <w:t>II</w:t>
      </w:r>
      <w:r w:rsidR="001A7098">
        <w:rPr>
          <w:noProof/>
        </w:rPr>
        <w:noBreakHyphen/>
        <w:t>1</w:t>
      </w:r>
      <w:r>
        <w:fldChar w:fldCharType="end"/>
      </w:r>
      <w:r>
        <w:t xml:space="preserve"> from </w:t>
      </w:r>
      <w:r w:rsidR="00C02481">
        <w:t xml:space="preserve">Exhibit 1 of </w:t>
      </w:r>
      <w:r>
        <w:t>PSE’s 2014-2</w:t>
      </w:r>
      <w:r w:rsidR="00C02481">
        <w:t>015 Biennial Conservation Plan:</w:t>
      </w:r>
      <w:r>
        <w:t xml:space="preserve"> “Building the Electric Target” page</w:t>
      </w:r>
      <w:proofErr w:type="gramStart"/>
      <w:r>
        <w:t xml:space="preserve">. </w:t>
      </w:r>
      <w:proofErr w:type="gramEnd"/>
      <w:r w:rsidR="003E6450">
        <w:t>This table is helpful in establishing a frame of reference for results reporting</w:t>
      </w:r>
      <w:proofErr w:type="gramStart"/>
      <w:r w:rsidR="003E6450">
        <w:t xml:space="preserve">. </w:t>
      </w:r>
      <w:proofErr w:type="gramEnd"/>
      <w:r w:rsidR="00BB5F6F">
        <w:br w:type="page"/>
      </w:r>
    </w:p>
    <w:p w:rsidR="0058773B" w:rsidRDefault="006842FF" w:rsidP="00AF507A">
      <w:pPr>
        <w:ind w:left="720"/>
      </w:pPr>
      <w:r w:rsidRPr="006842FF">
        <w:lastRenderedPageBreak/>
        <w:drawing>
          <wp:anchor distT="0" distB="0" distL="114300" distR="114300" simplePos="0" relativeHeight="251911168" behindDoc="0" locked="0" layoutInCell="1" allowOverlap="1" wp14:anchorId="6E57FFEE" wp14:editId="4102407A">
            <wp:simplePos x="0" y="0"/>
            <wp:positionH relativeFrom="column">
              <wp:posOffset>-928255</wp:posOffset>
            </wp:positionH>
            <wp:positionV relativeFrom="paragraph">
              <wp:posOffset>1818409</wp:posOffset>
            </wp:positionV>
            <wp:extent cx="8194964" cy="45373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194964" cy="4537364"/>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17">
        <w:t>PSE presents t</w:t>
      </w:r>
      <w:r w:rsidR="003E6450">
        <w:t>he table here in a landscape orientation to enhance its legibility.</w:t>
      </w:r>
      <w:r w:rsidR="00476BF3" w:rsidRPr="00476BF3">
        <w:rPr>
          <w:noProof/>
        </w:rPr>
        <w:t xml:space="preserve"> </w:t>
      </w:r>
    </w:p>
    <w:tbl>
      <w:tblPr>
        <w:tblStyle w:val="TableGrid"/>
        <w:tblW w:w="0" w:type="auto"/>
        <w:tblInd w:w="720" w:type="dxa"/>
        <w:tblLook w:val="04A0" w:firstRow="1" w:lastRow="0" w:firstColumn="1" w:lastColumn="0" w:noHBand="0" w:noVBand="1"/>
      </w:tblPr>
      <w:tblGrid>
        <w:gridCol w:w="1054"/>
      </w:tblGrid>
      <w:tr w:rsidR="00500D31" w:rsidTr="00610074">
        <w:trPr>
          <w:cantSplit/>
          <w:trHeight w:val="11241"/>
        </w:trPr>
        <w:tc>
          <w:tcPr>
            <w:tcW w:w="1054" w:type="dxa"/>
            <w:tcBorders>
              <w:top w:val="nil"/>
              <w:left w:val="nil"/>
              <w:bottom w:val="nil"/>
              <w:right w:val="nil"/>
            </w:tcBorders>
            <w:textDirection w:val="btLr"/>
          </w:tcPr>
          <w:p w:rsidR="00500D31" w:rsidRDefault="00500D31" w:rsidP="00500D31">
            <w:pPr>
              <w:pStyle w:val="Heading9"/>
              <w:ind w:left="113" w:right="113"/>
              <w:outlineLvl w:val="8"/>
            </w:pPr>
            <w:bookmarkStart w:id="36" w:name="_Ref446067247"/>
            <w:bookmarkStart w:id="37" w:name="_Ref447027201"/>
            <w:bookmarkStart w:id="38" w:name="_Toc450627232"/>
            <w:r>
              <w:t xml:space="preserve">Table </w:t>
            </w:r>
            <w:fldSimple w:instr=" STYLEREF 1 \s ">
              <w:r w:rsidR="001A7098">
                <w:rPr>
                  <w:noProof/>
                </w:rPr>
                <w:t>II</w:t>
              </w:r>
            </w:fldSimple>
            <w:r w:rsidR="00040BFE">
              <w:noBreakHyphen/>
            </w:r>
            <w:fldSimple w:instr=" SEQ Table \* ARABIC \s 1 ">
              <w:r w:rsidR="001A7098">
                <w:rPr>
                  <w:noProof/>
                </w:rPr>
                <w:t>1</w:t>
              </w:r>
            </w:fldSimple>
            <w:bookmarkEnd w:id="36"/>
            <w:bookmarkEnd w:id="37"/>
            <w:r>
              <w:t>: 2014-2015 Electric Portfolio: Sub-Total Targets versus Actuals</w:t>
            </w:r>
            <w:bookmarkEnd w:id="38"/>
          </w:p>
        </w:tc>
      </w:tr>
    </w:tbl>
    <w:p w:rsidR="00BB5F6F" w:rsidRDefault="00BB5F6F" w:rsidP="00A34248">
      <w:r>
        <w:br w:type="page"/>
      </w:r>
    </w:p>
    <w:p w:rsidR="009D7FBE" w:rsidRDefault="00516D18" w:rsidP="00AF507A">
      <w:pPr>
        <w:ind w:left="720"/>
      </w:pPr>
      <w:r>
        <w:lastRenderedPageBreak/>
        <w:t>PSE will reference this table to present its 2014-2015 Portfolio electric conservation achievement</w:t>
      </w:r>
      <w:r>
        <w:rPr>
          <w:rFonts w:cs="Arial"/>
        </w:rPr>
        <w:t>—</w:t>
      </w:r>
      <w:r>
        <w:t xml:space="preserve">noted in two additional, highlighted columns labeled </w:t>
      </w:r>
      <w:r w:rsidRPr="00E96876">
        <w:rPr>
          <w:b/>
        </w:rPr>
        <w:t>MWh Actual</w:t>
      </w:r>
      <w:r>
        <w:t xml:space="preserve"> and </w:t>
      </w:r>
      <w:r w:rsidRPr="00E96876">
        <w:rPr>
          <w:b/>
        </w:rPr>
        <w:t>Percent</w:t>
      </w:r>
      <w:r>
        <w:t>.</w:t>
      </w:r>
    </w:p>
    <w:p w:rsidR="00F645BA" w:rsidRDefault="007F0F96" w:rsidP="00AF507A">
      <w:pPr>
        <w:ind w:left="720"/>
        <w:rPr>
          <w:rFonts w:cs="Arial"/>
        </w:rPr>
      </w:pPr>
      <w:r>
        <w:t xml:space="preserve">In 2013, </w:t>
      </w:r>
      <w:r w:rsidR="00197A40">
        <w:t>PSE and the CRA</w:t>
      </w:r>
      <w:r w:rsidR="00F645BA">
        <w:t xml:space="preserve">G </w:t>
      </w:r>
      <w:r w:rsidR="00592979">
        <w:t>discussed</w:t>
      </w:r>
      <w:r w:rsidR="00F645BA">
        <w:t xml:space="preserve"> </w:t>
      </w:r>
      <w:r w:rsidR="00E04383">
        <w:t xml:space="preserve">key </w:t>
      </w:r>
      <w:r w:rsidR="00F645BA">
        <w:t xml:space="preserve">issues that </w:t>
      </w:r>
      <w:r w:rsidR="00AB4870">
        <w:t>influenced</w:t>
      </w:r>
      <w:r w:rsidR="00197A40">
        <w:t xml:space="preserve"> elements of </w:t>
      </w:r>
      <w:r w:rsidR="00E01BC5">
        <w:rPr>
          <w:rFonts w:cs="Arial"/>
        </w:rPr>
        <w:t xml:space="preserve">the </w:t>
      </w:r>
      <w:r w:rsidR="00F645BA">
        <w:rPr>
          <w:rFonts w:cs="Arial"/>
        </w:rPr>
        <w:t>Portfolio savings goal over the course of three CRAG meetings</w:t>
      </w:r>
      <w:r w:rsidR="00592979">
        <w:rPr>
          <w:rFonts w:cs="Arial"/>
        </w:rPr>
        <w:t>, and</w:t>
      </w:r>
      <w:r w:rsidR="00592979">
        <w:t xml:space="preserve"> agreed that</w:t>
      </w:r>
      <w:r w:rsidR="00F645BA">
        <w:rPr>
          <w:rFonts w:cs="Arial"/>
        </w:rPr>
        <w:t xml:space="preserve">: </w:t>
      </w:r>
    </w:p>
    <w:p w:rsidR="00F645BA" w:rsidRPr="00F645BA" w:rsidRDefault="00F645BA" w:rsidP="00AF507A">
      <w:pPr>
        <w:numPr>
          <w:ilvl w:val="0"/>
          <w:numId w:val="20"/>
        </w:numPr>
        <w:spacing w:before="0" w:after="60"/>
        <w:ind w:left="1260"/>
      </w:pPr>
      <w:r>
        <w:rPr>
          <w:rFonts w:cs="Arial"/>
        </w:rPr>
        <w:t>“</w:t>
      </w:r>
      <w:r w:rsidRPr="008674AB">
        <w:rPr>
          <w:rFonts w:cs="Arial"/>
          <w:u w:val="single"/>
        </w:rPr>
        <w:t xml:space="preserve">Legacy” Home Energy Report (“HER”) savings </w:t>
      </w:r>
      <w:r w:rsidR="008674AB" w:rsidRPr="008674AB">
        <w:rPr>
          <w:rFonts w:cs="Arial"/>
          <w:u w:val="single"/>
        </w:rPr>
        <w:t>goal of 6,420 MWh</w:t>
      </w:r>
      <w:r w:rsidR="008674AB">
        <w:rPr>
          <w:rFonts w:cs="Arial"/>
        </w:rPr>
        <w:t xml:space="preserve"> </w:t>
      </w:r>
      <w:r>
        <w:rPr>
          <w:rFonts w:cs="Arial"/>
        </w:rPr>
        <w:t xml:space="preserve">(those associated with the HER program </w:t>
      </w:r>
      <w:r w:rsidR="003D04D8">
        <w:rPr>
          <w:rFonts w:cs="Arial"/>
        </w:rPr>
        <w:t xml:space="preserve">that has been in place </w:t>
      </w:r>
      <w:r>
        <w:rPr>
          <w:rFonts w:cs="Arial"/>
        </w:rPr>
        <w:t xml:space="preserve">since 2011) </w:t>
      </w:r>
      <w:r w:rsidR="003D04D8">
        <w:rPr>
          <w:rFonts w:cs="Arial"/>
        </w:rPr>
        <w:t>are</w:t>
      </w:r>
      <w:r>
        <w:rPr>
          <w:rFonts w:cs="Arial"/>
        </w:rPr>
        <w:t xml:space="preserve"> </w:t>
      </w:r>
      <w:r w:rsidR="003D04D8">
        <w:rPr>
          <w:rFonts w:cs="Arial"/>
        </w:rPr>
        <w:t xml:space="preserve">added to the two-year conservation potential </w:t>
      </w:r>
      <w:r w:rsidR="00FE47BC">
        <w:rPr>
          <w:rFonts w:cs="Arial"/>
        </w:rPr>
        <w:t xml:space="preserve">derived from </w:t>
      </w:r>
      <w:r w:rsidR="003D04D8">
        <w:rPr>
          <w:rFonts w:cs="Arial"/>
        </w:rPr>
        <w:t>the 2013 IRP</w:t>
      </w:r>
      <w:proofErr w:type="gramStart"/>
      <w:r w:rsidR="00CF05ED">
        <w:rPr>
          <w:rFonts w:cs="Arial"/>
        </w:rPr>
        <w:t>.</w:t>
      </w:r>
      <w:r w:rsidR="003D04D8">
        <w:rPr>
          <w:rFonts w:cs="Arial"/>
        </w:rPr>
        <w:t xml:space="preserve"> </w:t>
      </w:r>
      <w:proofErr w:type="gramEnd"/>
      <w:r w:rsidR="00CF05ED">
        <w:rPr>
          <w:rFonts w:cs="Arial"/>
        </w:rPr>
        <w:t>These</w:t>
      </w:r>
      <w:r w:rsidR="003D04D8">
        <w:rPr>
          <w:rFonts w:cs="Arial"/>
        </w:rPr>
        <w:t xml:space="preserve"> </w:t>
      </w:r>
      <w:r w:rsidR="00FE47BC">
        <w:rPr>
          <w:rFonts w:cs="Arial"/>
        </w:rPr>
        <w:t xml:space="preserve">two values </w:t>
      </w:r>
      <w:r w:rsidR="003D04D8">
        <w:rPr>
          <w:rFonts w:cs="Arial"/>
        </w:rPr>
        <w:t>comprise</w:t>
      </w:r>
      <w:r>
        <w:rPr>
          <w:rFonts w:cs="Arial"/>
        </w:rPr>
        <w:t xml:space="preserve"> the “Base” savings benchmark</w:t>
      </w:r>
      <w:r w:rsidR="007F0F96">
        <w:rPr>
          <w:rFonts w:cs="Arial"/>
        </w:rPr>
        <w:t xml:space="preserve">, noted as line </w:t>
      </w:r>
      <w:r w:rsidR="007F0F96" w:rsidRPr="007F0F96">
        <w:rPr>
          <w:rFonts w:cs="Arial"/>
          <w:b/>
          <w:i/>
        </w:rPr>
        <w:t>c</w:t>
      </w:r>
      <w:r w:rsidR="007F0F96">
        <w:rPr>
          <w:rFonts w:cs="Arial"/>
        </w:rPr>
        <w:t xml:space="preserve"> of </w:t>
      </w:r>
      <w:r w:rsidR="007F0F96">
        <w:rPr>
          <w:rFonts w:cs="Arial"/>
        </w:rPr>
        <w:fldChar w:fldCharType="begin"/>
      </w:r>
      <w:r w:rsidR="007F0F96">
        <w:rPr>
          <w:rFonts w:cs="Arial"/>
        </w:rPr>
        <w:instrText xml:space="preserve"> REF _Ref446067247 \h </w:instrText>
      </w:r>
      <w:r w:rsidR="007F0F96">
        <w:rPr>
          <w:rFonts w:cs="Arial"/>
        </w:rPr>
      </w:r>
      <w:r w:rsidR="007F0F96">
        <w:rPr>
          <w:rFonts w:cs="Arial"/>
        </w:rPr>
        <w:fldChar w:fldCharType="separate"/>
      </w:r>
      <w:r w:rsidR="001A7098">
        <w:t xml:space="preserve">Table </w:t>
      </w:r>
      <w:r w:rsidR="001A7098">
        <w:rPr>
          <w:noProof/>
        </w:rPr>
        <w:t>II</w:t>
      </w:r>
      <w:r w:rsidR="001A7098">
        <w:noBreakHyphen/>
      </w:r>
      <w:r w:rsidR="001A7098">
        <w:rPr>
          <w:noProof/>
        </w:rPr>
        <w:t>1</w:t>
      </w:r>
      <w:r w:rsidR="007F0F96">
        <w:rPr>
          <w:rFonts w:cs="Arial"/>
        </w:rPr>
        <w:fldChar w:fldCharType="end"/>
      </w:r>
      <w:r w:rsidR="00592979">
        <w:rPr>
          <w:rFonts w:cs="Arial"/>
        </w:rPr>
        <w:t xml:space="preserve">, and result in </w:t>
      </w:r>
      <w:r w:rsidR="002D27BE">
        <w:rPr>
          <w:rFonts w:cs="Arial"/>
        </w:rPr>
        <w:t>the</w:t>
      </w:r>
      <w:r w:rsidR="00592979">
        <w:rPr>
          <w:rFonts w:cs="Arial"/>
        </w:rPr>
        <w:t xml:space="preserve"> </w:t>
      </w:r>
      <w:r w:rsidR="0069732B">
        <w:rPr>
          <w:rFonts w:cs="Arial"/>
        </w:rPr>
        <w:t xml:space="preserve">MWh Target </w:t>
      </w:r>
      <w:r w:rsidR="00592979">
        <w:rPr>
          <w:rFonts w:cs="Arial"/>
        </w:rPr>
        <w:t>“base” savings of 558,300 MWh</w:t>
      </w:r>
      <w:r>
        <w:rPr>
          <w:rFonts w:cs="Arial"/>
        </w:rPr>
        <w:t>.</w:t>
      </w:r>
    </w:p>
    <w:p w:rsidR="00592979" w:rsidRPr="00592979" w:rsidRDefault="00592979" w:rsidP="00AF507A">
      <w:pPr>
        <w:numPr>
          <w:ilvl w:val="0"/>
          <w:numId w:val="20"/>
        </w:numPr>
        <w:spacing w:before="0" w:after="60"/>
        <w:ind w:left="1260"/>
      </w:pPr>
      <w:r w:rsidRPr="00785D6C">
        <w:rPr>
          <w:u w:val="single"/>
        </w:rPr>
        <w:t>The NEEA savings goal of 72,530 MWh</w:t>
      </w:r>
      <w:r w:rsidRPr="00592979">
        <w:t xml:space="preserve"> </w:t>
      </w:r>
      <w:r w:rsidR="009C79FC">
        <w:t>is</w:t>
      </w:r>
      <w:r w:rsidRPr="00592979">
        <w:t xml:space="preserve"> excluded from the EIA Target</w:t>
      </w:r>
      <w:proofErr w:type="gramStart"/>
      <w:r>
        <w:t xml:space="preserve">. </w:t>
      </w:r>
      <w:proofErr w:type="gramEnd"/>
      <w:r w:rsidR="00B40C75">
        <w:rPr>
          <w:rFonts w:cs="Arial"/>
        </w:rPr>
        <w:t>To derive the noted savings value, t</w:t>
      </w:r>
      <w:r>
        <w:rPr>
          <w:rFonts w:cs="Arial"/>
        </w:rPr>
        <w:t>he original NEEA 2014-2015 electric savings projection</w:t>
      </w:r>
      <w:r w:rsidR="0069732B">
        <w:rPr>
          <w:rFonts w:cs="Arial"/>
        </w:rPr>
        <w:t>s</w:t>
      </w:r>
      <w:r>
        <w:rPr>
          <w:rFonts w:cs="Arial"/>
        </w:rPr>
        <w:t xml:space="preserve"> were a</w:t>
      </w:r>
      <w:r w:rsidR="00F645BA">
        <w:rPr>
          <w:rFonts w:cs="Arial"/>
        </w:rPr>
        <w:t>djusted from their original figures to account for PSE’s service territory an</w:t>
      </w:r>
      <w:r>
        <w:rPr>
          <w:rFonts w:cs="Arial"/>
        </w:rPr>
        <w:t>d measure UES consistency</w:t>
      </w:r>
      <w:r w:rsidR="00F645BA">
        <w:rPr>
          <w:rFonts w:cs="Arial"/>
        </w:rPr>
        <w:t>.</w:t>
      </w:r>
      <w:r>
        <w:rPr>
          <w:rFonts w:cs="Arial"/>
        </w:rPr>
        <w:t xml:space="preserve"> </w:t>
      </w:r>
    </w:p>
    <w:p w:rsidR="00F645BA" w:rsidRPr="00F645BA" w:rsidRDefault="00592979" w:rsidP="00592979">
      <w:pPr>
        <w:spacing w:before="0" w:after="60"/>
        <w:ind w:left="1260"/>
      </w:pPr>
      <w:r>
        <w:t xml:space="preserve">To calculate the EIA Target, NEEA savings were subtracted from the “base” savings of 558,300 MWh noted in line </w:t>
      </w:r>
      <w:r w:rsidRPr="00BB5980">
        <w:rPr>
          <w:b/>
        </w:rPr>
        <w:t>c</w:t>
      </w:r>
      <w:r>
        <w:t xml:space="preserve"> in </w:t>
      </w:r>
      <w:r>
        <w:fldChar w:fldCharType="begin"/>
      </w:r>
      <w:r>
        <w:instrText xml:space="preserve"> REF _Ref446067247 \h </w:instrText>
      </w:r>
      <w:r>
        <w:fldChar w:fldCharType="separate"/>
      </w:r>
      <w:r w:rsidR="001A7098">
        <w:t xml:space="preserve">Table </w:t>
      </w:r>
      <w:r w:rsidR="001A7098">
        <w:rPr>
          <w:noProof/>
        </w:rPr>
        <w:t>II</w:t>
      </w:r>
      <w:r w:rsidR="001A7098">
        <w:noBreakHyphen/>
      </w:r>
      <w:r w:rsidR="001A7098">
        <w:rPr>
          <w:noProof/>
        </w:rPr>
        <w:t>1</w:t>
      </w:r>
      <w:r>
        <w:fldChar w:fldCharType="end"/>
      </w:r>
      <w:proofErr w:type="gramStart"/>
      <w:r>
        <w:t>. This results</w:t>
      </w:r>
      <w:proofErr w:type="gramEnd"/>
      <w:r>
        <w:t xml:space="preserve"> in the key savings value, “Total Biennial EIA Target”, line </w:t>
      </w:r>
      <w:r w:rsidRPr="008E37B3">
        <w:rPr>
          <w:b/>
        </w:rPr>
        <w:t>e</w:t>
      </w:r>
      <w:r>
        <w:t>: 485,700 MWh.</w:t>
      </w:r>
    </w:p>
    <w:p w:rsidR="00592979" w:rsidRDefault="00592979" w:rsidP="00AF507A">
      <w:pPr>
        <w:numPr>
          <w:ilvl w:val="0"/>
          <w:numId w:val="20"/>
        </w:numPr>
        <w:ind w:left="1260"/>
      </w:pPr>
      <w:r>
        <w:rPr>
          <w:u w:val="single"/>
        </w:rPr>
        <w:t>The next key savings value is t</w:t>
      </w:r>
      <w:r w:rsidRPr="00785D6C">
        <w:rPr>
          <w:u w:val="single"/>
        </w:rPr>
        <w:t>he decoupling commitment of 27,920 MWh</w:t>
      </w:r>
      <w:r>
        <w:t xml:space="preserve">. Adding this value to the EIA Target results in a “Total savings subject to penalty” target amount of 513,690 MWh: line </w:t>
      </w:r>
      <w:r w:rsidRPr="00BB5980">
        <w:rPr>
          <w:b/>
        </w:rPr>
        <w:t>g</w:t>
      </w:r>
      <w:r>
        <w:t xml:space="preserve"> of </w:t>
      </w:r>
      <w:r>
        <w:fldChar w:fldCharType="begin"/>
      </w:r>
      <w:r>
        <w:instrText xml:space="preserve"> REF _Ref446067247 \h </w:instrText>
      </w:r>
      <w:r>
        <w:fldChar w:fldCharType="separate"/>
      </w:r>
      <w:r w:rsidR="001A7098">
        <w:t xml:space="preserve">Table </w:t>
      </w:r>
      <w:r w:rsidR="001A7098">
        <w:rPr>
          <w:noProof/>
        </w:rPr>
        <w:t>II</w:t>
      </w:r>
      <w:r w:rsidR="001A7098">
        <w:noBreakHyphen/>
      </w:r>
      <w:r w:rsidR="001A7098">
        <w:rPr>
          <w:noProof/>
        </w:rPr>
        <w:t>1</w:t>
      </w:r>
      <w:r>
        <w:fldChar w:fldCharType="end"/>
      </w:r>
      <w:r>
        <w:t xml:space="preserve">. </w:t>
      </w:r>
    </w:p>
    <w:p w:rsidR="00810CE0" w:rsidRDefault="00592979" w:rsidP="00AF507A">
      <w:pPr>
        <w:numPr>
          <w:ilvl w:val="0"/>
          <w:numId w:val="20"/>
        </w:numPr>
        <w:ind w:left="1260"/>
      </w:pPr>
      <w:r w:rsidRPr="00785D6C">
        <w:rPr>
          <w:u w:val="single"/>
        </w:rPr>
        <w:t>The expected savings of 35,330 MWh from Individual Energy Report pilots</w:t>
      </w:r>
      <w:r>
        <w:t>,</w:t>
      </w:r>
      <w:r>
        <w:rPr>
          <w:rFonts w:cs="Arial"/>
        </w:rPr>
        <w:t xml:space="preserve"> </w:t>
      </w:r>
      <w:r w:rsidR="003D04D8">
        <w:rPr>
          <w:rFonts w:cs="Arial"/>
        </w:rPr>
        <w:t xml:space="preserve">(line </w:t>
      </w:r>
      <w:r w:rsidR="003D04D8" w:rsidRPr="003D04D8">
        <w:rPr>
          <w:rFonts w:cs="Arial"/>
          <w:b/>
          <w:i/>
        </w:rPr>
        <w:t>h</w:t>
      </w:r>
      <w:r w:rsidR="0057064B">
        <w:rPr>
          <w:rFonts w:cs="Arial"/>
          <w:b/>
          <w:i/>
        </w:rPr>
        <w:t xml:space="preserve"> </w:t>
      </w:r>
      <w:r w:rsidR="0057064B" w:rsidRPr="0057064B">
        <w:rPr>
          <w:rFonts w:cs="Arial"/>
        </w:rPr>
        <w:t xml:space="preserve">in </w:t>
      </w:r>
      <w:r w:rsidR="0057064B">
        <w:rPr>
          <w:rFonts w:cs="Arial"/>
          <w:b/>
          <w:i/>
        </w:rPr>
        <w:fldChar w:fldCharType="begin"/>
      </w:r>
      <w:r w:rsidR="0057064B">
        <w:rPr>
          <w:rFonts w:cs="Arial"/>
          <w:b/>
          <w:i/>
        </w:rPr>
        <w:instrText xml:space="preserve"> REF _Ref446067247 \h </w:instrText>
      </w:r>
      <w:r w:rsidR="0057064B">
        <w:rPr>
          <w:rFonts w:cs="Arial"/>
          <w:b/>
          <w:i/>
        </w:rPr>
      </w:r>
      <w:r w:rsidR="0057064B">
        <w:rPr>
          <w:rFonts w:cs="Arial"/>
          <w:b/>
          <w:i/>
        </w:rPr>
        <w:fldChar w:fldCharType="separate"/>
      </w:r>
      <w:r w:rsidR="001A7098">
        <w:t xml:space="preserve">Table </w:t>
      </w:r>
      <w:r w:rsidR="001A7098">
        <w:rPr>
          <w:noProof/>
        </w:rPr>
        <w:t>II</w:t>
      </w:r>
      <w:r w:rsidR="001A7098">
        <w:noBreakHyphen/>
      </w:r>
      <w:r w:rsidR="001A7098">
        <w:rPr>
          <w:noProof/>
        </w:rPr>
        <w:t>1</w:t>
      </w:r>
      <w:r w:rsidR="0057064B">
        <w:rPr>
          <w:rFonts w:cs="Arial"/>
          <w:b/>
          <w:i/>
        </w:rPr>
        <w:fldChar w:fldCharType="end"/>
      </w:r>
      <w:r w:rsidR="003D04D8">
        <w:rPr>
          <w:rFonts w:cs="Arial"/>
        </w:rPr>
        <w:t>)</w:t>
      </w:r>
      <w:r w:rsidR="00F645BA">
        <w:rPr>
          <w:rFonts w:cs="Arial"/>
        </w:rPr>
        <w:t xml:space="preserve">—an expansion of the HER program—would be excluded from </w:t>
      </w:r>
      <w:r w:rsidR="00C35368">
        <w:rPr>
          <w:rFonts w:cs="Arial"/>
        </w:rPr>
        <w:t>the EIA</w:t>
      </w:r>
      <w:r w:rsidR="00F645BA">
        <w:rPr>
          <w:rFonts w:cs="Arial"/>
        </w:rPr>
        <w:t xml:space="preserve"> Target</w:t>
      </w:r>
      <w:proofErr w:type="gramStart"/>
      <w:r w:rsidR="00F645BA">
        <w:rPr>
          <w:rFonts w:cs="Arial"/>
        </w:rPr>
        <w:t>.</w:t>
      </w:r>
      <w:r w:rsidR="005719F0">
        <w:rPr>
          <w:rFonts w:cs="Arial"/>
        </w:rPr>
        <w:t xml:space="preserve"> </w:t>
      </w:r>
      <w:proofErr w:type="gramEnd"/>
      <w:r w:rsidR="00C02481">
        <w:t>The CRAG agreed that t</w:t>
      </w:r>
      <w:r w:rsidR="0057064B">
        <w:t>hese pilots</w:t>
      </w:r>
      <w:r>
        <w:t xml:space="preserve"> had </w:t>
      </w:r>
      <w:proofErr w:type="gramStart"/>
      <w:r>
        <w:t>an unreliable</w:t>
      </w:r>
      <w:proofErr w:type="gramEnd"/>
      <w:r>
        <w:t xml:space="preserve"> expected savings persistence, </w:t>
      </w:r>
      <w:r w:rsidR="0057064B">
        <w:t xml:space="preserve">and </w:t>
      </w:r>
      <w:r w:rsidR="00C87850">
        <w:t>should</w:t>
      </w:r>
      <w:r>
        <w:t xml:space="preserve"> </w:t>
      </w:r>
      <w:r w:rsidR="00C02481">
        <w:t xml:space="preserve">therefore </w:t>
      </w:r>
      <w:r w:rsidR="00C87850">
        <w:t xml:space="preserve">be </w:t>
      </w:r>
      <w:r>
        <w:t xml:space="preserve">excluded from the EIA Target. </w:t>
      </w:r>
    </w:p>
    <w:p w:rsidR="0058773B" w:rsidRDefault="00E96876" w:rsidP="0058773B">
      <w:pPr>
        <w:ind w:left="1260"/>
      </w:pPr>
      <w:r>
        <w:t xml:space="preserve">PSE notes these values in the </w:t>
      </w:r>
      <w:r w:rsidRPr="009C79FC">
        <w:rPr>
          <w:b/>
        </w:rPr>
        <w:t>MWh Target</w:t>
      </w:r>
      <w:r>
        <w:t xml:space="preserve"> column in </w:t>
      </w:r>
      <w:r>
        <w:fldChar w:fldCharType="begin"/>
      </w:r>
      <w:r>
        <w:instrText xml:space="preserve"> REF _Ref446067247 \h </w:instrText>
      </w:r>
      <w:r>
        <w:fldChar w:fldCharType="separate"/>
      </w:r>
      <w:r w:rsidR="001A7098">
        <w:t xml:space="preserve">Table </w:t>
      </w:r>
      <w:r w:rsidR="001A7098">
        <w:rPr>
          <w:noProof/>
        </w:rPr>
        <w:t>II</w:t>
      </w:r>
      <w:r w:rsidR="001A7098">
        <w:noBreakHyphen/>
      </w:r>
      <w:r w:rsidR="001A7098">
        <w:rPr>
          <w:noProof/>
        </w:rPr>
        <w:t>1</w:t>
      </w:r>
      <w:r>
        <w:fldChar w:fldCharType="end"/>
      </w:r>
      <w:proofErr w:type="gramStart"/>
      <w:r w:rsidR="00C02481">
        <w:t xml:space="preserve">. </w:t>
      </w:r>
      <w:proofErr w:type="gramEnd"/>
      <w:r w:rsidR="00C02481">
        <w:t>Readers may think of t</w:t>
      </w:r>
      <w:r w:rsidR="00B62692">
        <w:t>he final Portfolio-level savings</w:t>
      </w:r>
      <w:r>
        <w:t xml:space="preserve"> </w:t>
      </w:r>
      <w:r w:rsidR="00B62692">
        <w:t xml:space="preserve">target </w:t>
      </w:r>
      <w:r>
        <w:t>figure</w:t>
      </w:r>
      <w:r w:rsidR="00B62692">
        <w:t>s</w:t>
      </w:r>
      <w:r>
        <w:t xml:space="preserve"> </w:t>
      </w:r>
      <w:r w:rsidR="00C02481">
        <w:t>as</w:t>
      </w:r>
      <w:r>
        <w:t xml:space="preserve"> a top down-derived value</w:t>
      </w:r>
      <w:r w:rsidR="00473EBD">
        <w:t xml:space="preserve"> in this column</w:t>
      </w:r>
      <w:r>
        <w:t>.</w:t>
      </w:r>
      <w:r w:rsidR="004A00DC">
        <w:rPr>
          <w:rStyle w:val="FootnoteReference"/>
        </w:rPr>
        <w:footnoteReference w:id="16"/>
      </w:r>
    </w:p>
    <w:p w:rsidR="00BB2939" w:rsidRDefault="00BB2939" w:rsidP="00245714">
      <w:pPr>
        <w:pStyle w:val="Heading3"/>
        <w:ind w:left="900"/>
      </w:pPr>
      <w:bookmarkStart w:id="39" w:name="_Toc450627070"/>
      <w:r>
        <w:t>Disaggregating the Achieved Savings</w:t>
      </w:r>
      <w:bookmarkEnd w:id="39"/>
    </w:p>
    <w:p w:rsidR="00C072BE" w:rsidRDefault="00E96876" w:rsidP="00245714">
      <w:pPr>
        <w:ind w:left="720"/>
      </w:pPr>
      <w:r>
        <w:fldChar w:fldCharType="begin"/>
      </w:r>
      <w:r>
        <w:instrText xml:space="preserve"> REF _Ref446067247 \h </w:instrText>
      </w:r>
      <w:r>
        <w:fldChar w:fldCharType="separate"/>
      </w:r>
      <w:r w:rsidR="001A7098">
        <w:t xml:space="preserve">Table </w:t>
      </w:r>
      <w:r w:rsidR="001A7098">
        <w:rPr>
          <w:noProof/>
        </w:rPr>
        <w:t>II</w:t>
      </w:r>
      <w:r w:rsidR="001A7098">
        <w:noBreakHyphen/>
      </w:r>
      <w:r w:rsidR="001A7098">
        <w:rPr>
          <w:noProof/>
        </w:rPr>
        <w:t>1</w:t>
      </w:r>
      <w:r>
        <w:fldChar w:fldCharType="end"/>
      </w:r>
      <w:r>
        <w:t xml:space="preserve"> </w:t>
      </w:r>
      <w:r w:rsidR="00E267CB">
        <w:t>disaggregate</w:t>
      </w:r>
      <w:r w:rsidR="00474EBD">
        <w:t>s</w:t>
      </w:r>
      <w:r w:rsidR="00E267CB">
        <w:t xml:space="preserve"> the 2014-2015 overall Portfolio electric savings results in </w:t>
      </w:r>
      <w:r w:rsidR="00EF3D46">
        <w:t xml:space="preserve">the </w:t>
      </w:r>
      <w:r w:rsidR="00EF3D46" w:rsidRPr="00785D6C">
        <w:rPr>
          <w:b/>
          <w:u w:val="single"/>
        </w:rPr>
        <w:t>MWh Actual</w:t>
      </w:r>
      <w:r w:rsidR="00474EBD">
        <w:t xml:space="preserve"> column to compare </w:t>
      </w:r>
      <w:r w:rsidR="0069732B">
        <w:t xml:space="preserve">actual savings achieved </w:t>
      </w:r>
      <w:r w:rsidR="00474EBD">
        <w:t>to the sub-total goals</w:t>
      </w:r>
      <w:r w:rsidR="00600339">
        <w:t>, following steps similar to those used to build the targets</w:t>
      </w:r>
      <w:r w:rsidR="00474EBD">
        <w:t>.</w:t>
      </w:r>
      <w:r w:rsidR="005C55C3">
        <w:t xml:space="preserve"> </w:t>
      </w:r>
    </w:p>
    <w:p w:rsidR="00D9034D" w:rsidRDefault="00D9034D" w:rsidP="00D9034D">
      <w:pPr>
        <w:ind w:left="720"/>
      </w:pPr>
      <w:r>
        <w:lastRenderedPageBreak/>
        <w:t xml:space="preserve">In the introduction to </w:t>
      </w:r>
      <w:r w:rsidR="00F97088">
        <w:t>Chapter 2</w:t>
      </w:r>
      <w:r>
        <w:t xml:space="preserve">, PSE discusses key </w:t>
      </w:r>
      <w:r w:rsidR="00F97088">
        <w:t xml:space="preserve">savings </w:t>
      </w:r>
      <w:r>
        <w:t xml:space="preserve">sub-totals that comprise the overall </w:t>
      </w:r>
      <w:r w:rsidR="00F97088">
        <w:t xml:space="preserve">electric </w:t>
      </w:r>
      <w:r>
        <w:t>Portfolio</w:t>
      </w:r>
      <w:r w:rsidR="00C87850">
        <w:t xml:space="preserve"> goal</w:t>
      </w:r>
      <w:proofErr w:type="gramStart"/>
      <w:r>
        <w:t xml:space="preserve">. </w:t>
      </w:r>
      <w:proofErr w:type="gramEnd"/>
      <w:r>
        <w:t xml:space="preserve">To determine </w:t>
      </w:r>
      <w:r w:rsidR="00F97088">
        <w:t xml:space="preserve">achievement of </w:t>
      </w:r>
      <w:r>
        <w:t>the two key values</w:t>
      </w:r>
      <w:r w:rsidR="00F97088">
        <w:t xml:space="preserve"> on which PSE may face potential fines for savings shortfalls</w:t>
      </w:r>
      <w:r>
        <w:t>, PSE performs</w:t>
      </w:r>
      <w:r w:rsidR="00C32988">
        <w:t xml:space="preserve"> these two calculations</w:t>
      </w:r>
      <w:r>
        <w:t xml:space="preserve">: </w:t>
      </w:r>
    </w:p>
    <w:p w:rsidR="00C072BE" w:rsidRPr="00126EF1" w:rsidRDefault="00F97088" w:rsidP="00E267CB">
      <w:pPr>
        <w:numPr>
          <w:ilvl w:val="0"/>
          <w:numId w:val="30"/>
        </w:numPr>
        <w:ind w:left="1440"/>
      </w:pPr>
      <w:r>
        <w:t xml:space="preserve">The actual savings achieved by </w:t>
      </w:r>
      <w:r w:rsidR="0073798E">
        <w:t xml:space="preserve">NEEA </w:t>
      </w:r>
      <w:r w:rsidR="0073798E" w:rsidRPr="00126EF1">
        <w:t>(</w:t>
      </w:r>
      <w:r w:rsidR="00237E5C" w:rsidRPr="00126EF1">
        <w:t>91,630</w:t>
      </w:r>
      <w:r w:rsidR="0073798E" w:rsidRPr="00126EF1">
        <w:t xml:space="preserve"> MWh</w:t>
      </w:r>
      <w:r w:rsidR="00474EBD" w:rsidRPr="00126EF1">
        <w:t xml:space="preserve">, line </w:t>
      </w:r>
      <w:r w:rsidR="00600339" w:rsidRPr="00126EF1">
        <w:rPr>
          <w:b/>
        </w:rPr>
        <w:t>d</w:t>
      </w:r>
      <w:r w:rsidR="0073798E" w:rsidRPr="00126EF1">
        <w:t>)</w:t>
      </w:r>
      <w:r w:rsidR="0073798E" w:rsidRPr="00126EF1">
        <w:rPr>
          <w:rStyle w:val="FootnoteReference"/>
        </w:rPr>
        <w:footnoteReference w:id="17"/>
      </w:r>
      <w:r w:rsidR="0073798E" w:rsidRPr="00126EF1">
        <w:t xml:space="preserve"> </w:t>
      </w:r>
      <w:r w:rsidR="00474EBD" w:rsidRPr="00126EF1">
        <w:t>and the Individ</w:t>
      </w:r>
      <w:r w:rsidR="0069732B" w:rsidRPr="00126EF1">
        <w:t>ual Energy Report Pilots (</w:t>
      </w:r>
      <w:r w:rsidR="00347497" w:rsidRPr="00126EF1">
        <w:t>18,897</w:t>
      </w:r>
      <w:r w:rsidR="00474EBD" w:rsidRPr="00126EF1">
        <w:t xml:space="preserve"> MWh, line </w:t>
      </w:r>
      <w:r w:rsidR="00600339" w:rsidRPr="00126EF1">
        <w:rPr>
          <w:b/>
        </w:rPr>
        <w:t>h</w:t>
      </w:r>
      <w:r w:rsidR="00474EBD" w:rsidRPr="00126EF1">
        <w:t xml:space="preserve">) </w:t>
      </w:r>
      <w:r w:rsidR="00C072BE" w:rsidRPr="00126EF1">
        <w:t xml:space="preserve">are subtracted from </w:t>
      </w:r>
      <w:r w:rsidR="00F22301" w:rsidRPr="00126EF1">
        <w:t xml:space="preserve">the Portfolio Total of </w:t>
      </w:r>
      <w:r w:rsidR="00237E5C" w:rsidRPr="00126EF1">
        <w:t>6</w:t>
      </w:r>
      <w:r w:rsidR="00F82ACA" w:rsidRPr="00126EF1">
        <w:t>63,123</w:t>
      </w:r>
      <w:r w:rsidR="00C072BE" w:rsidRPr="00126EF1">
        <w:t xml:space="preserve"> MWh</w:t>
      </w:r>
      <w:r w:rsidR="00600339" w:rsidRPr="00126EF1">
        <w:t xml:space="preserve"> (line </w:t>
      </w:r>
      <w:proofErr w:type="spellStart"/>
      <w:r w:rsidR="00600339" w:rsidRPr="00126EF1">
        <w:rPr>
          <w:b/>
        </w:rPr>
        <w:t>i</w:t>
      </w:r>
      <w:proofErr w:type="spellEnd"/>
      <w:r w:rsidR="00600339" w:rsidRPr="00126EF1">
        <w:t>)</w:t>
      </w:r>
      <w:proofErr w:type="gramStart"/>
      <w:r w:rsidRPr="00126EF1">
        <w:t xml:space="preserve">. </w:t>
      </w:r>
      <w:proofErr w:type="gramEnd"/>
      <w:r w:rsidRPr="00126EF1">
        <w:t>Resulting savings of</w:t>
      </w:r>
      <w:r w:rsidR="00C072BE" w:rsidRPr="00126EF1">
        <w:t xml:space="preserve"> </w:t>
      </w:r>
      <w:r w:rsidR="008674AB" w:rsidRPr="00126EF1">
        <w:t>55</w:t>
      </w:r>
      <w:r w:rsidR="00F82ACA" w:rsidRPr="00126EF1">
        <w:t>2,596</w:t>
      </w:r>
      <w:r w:rsidR="00C072BE" w:rsidRPr="00126EF1">
        <w:t xml:space="preserve"> MWh </w:t>
      </w:r>
      <w:proofErr w:type="gramStart"/>
      <w:r w:rsidRPr="00126EF1">
        <w:t>are compared</w:t>
      </w:r>
      <w:proofErr w:type="gramEnd"/>
      <w:r w:rsidRPr="00126EF1">
        <w:t xml:space="preserve"> to the amounts </w:t>
      </w:r>
      <w:r w:rsidR="00C072BE" w:rsidRPr="00126EF1">
        <w:t>that have the potential of being subject to penalties</w:t>
      </w:r>
      <w:r w:rsidR="0073798E" w:rsidRPr="00126EF1">
        <w:t xml:space="preserve"> (the EIA Target + decoupling</w:t>
      </w:r>
      <w:r w:rsidR="00F22301" w:rsidRPr="00126EF1">
        <w:t>)</w:t>
      </w:r>
      <w:r w:rsidR="00A55963" w:rsidRPr="00126EF1">
        <w:t xml:space="preserve">, noted in line </w:t>
      </w:r>
      <w:r w:rsidR="00054AA8" w:rsidRPr="00126EF1">
        <w:rPr>
          <w:b/>
        </w:rPr>
        <w:t>g</w:t>
      </w:r>
      <w:r w:rsidRPr="00126EF1">
        <w:t>: 513,690 MWh</w:t>
      </w:r>
      <w:r w:rsidR="00C072BE" w:rsidRPr="00126EF1">
        <w:t>.</w:t>
      </w:r>
    </w:p>
    <w:p w:rsidR="0073798E" w:rsidRDefault="00D9034D" w:rsidP="00E267CB">
      <w:pPr>
        <w:numPr>
          <w:ilvl w:val="0"/>
          <w:numId w:val="30"/>
        </w:numPr>
        <w:ind w:left="1440"/>
      </w:pPr>
      <w:r w:rsidRPr="00126EF1">
        <w:t>T</w:t>
      </w:r>
      <w:r w:rsidR="0073798E" w:rsidRPr="00126EF1">
        <w:t xml:space="preserve">he decoupling amount of 27,920 MWh </w:t>
      </w:r>
      <w:r w:rsidR="00054AA8" w:rsidRPr="00126EF1">
        <w:t xml:space="preserve">(line </w:t>
      </w:r>
      <w:r w:rsidR="00054AA8" w:rsidRPr="00126EF1">
        <w:rPr>
          <w:b/>
        </w:rPr>
        <w:t>f</w:t>
      </w:r>
      <w:r w:rsidR="00054AA8" w:rsidRPr="00126EF1">
        <w:t xml:space="preserve">) </w:t>
      </w:r>
      <w:r w:rsidR="0073798E" w:rsidRPr="00126EF1">
        <w:t xml:space="preserve">is </w:t>
      </w:r>
      <w:r w:rsidRPr="00126EF1">
        <w:t>part of</w:t>
      </w:r>
      <w:r w:rsidR="008674AB" w:rsidRPr="00126EF1">
        <w:t xml:space="preserve"> the 6</w:t>
      </w:r>
      <w:r w:rsidR="00F82ACA" w:rsidRPr="00126EF1">
        <w:t>6,826</w:t>
      </w:r>
      <w:r>
        <w:t xml:space="preserve"> MWh over-achievement</w:t>
      </w:r>
      <w:r w:rsidR="00C32988">
        <w:rPr>
          <w:rFonts w:cs="Arial"/>
        </w:rPr>
        <w:t>—</w:t>
      </w:r>
      <w:r>
        <w:t>computed by subtracting the EIA Target value from the results in step a</w:t>
      </w:r>
      <w:proofErr w:type="gramStart"/>
      <w:r>
        <w:t xml:space="preserve">. </w:t>
      </w:r>
      <w:proofErr w:type="gramEnd"/>
      <w:r w:rsidR="00474EBD">
        <w:t xml:space="preserve">It </w:t>
      </w:r>
      <w:proofErr w:type="gramStart"/>
      <w:r w:rsidR="00474EBD">
        <w:t>isn’t</w:t>
      </w:r>
      <w:proofErr w:type="gramEnd"/>
      <w:r w:rsidR="00474EBD">
        <w:t xml:space="preserve"> possible to disaggregate t</w:t>
      </w:r>
      <w:r w:rsidR="0073798E">
        <w:t xml:space="preserve">he decoupling actual MWhs noted from the overall savings achieved; this figure is merely subtracted from the </w:t>
      </w:r>
      <w:r w:rsidR="00474EBD">
        <w:t xml:space="preserve">sub-total in line </w:t>
      </w:r>
      <w:r w:rsidR="00054AA8">
        <w:rPr>
          <w:b/>
        </w:rPr>
        <w:t>g</w:t>
      </w:r>
      <w:r w:rsidR="0073798E">
        <w:t>.</w:t>
      </w:r>
    </w:p>
    <w:p w:rsidR="00D9034D" w:rsidRPr="004C1163" w:rsidRDefault="00F97088" w:rsidP="00D9034D">
      <w:pPr>
        <w:ind w:left="720"/>
      </w:pPr>
      <w:r>
        <w:t xml:space="preserve">The results of </w:t>
      </w:r>
      <w:r w:rsidR="00C32988">
        <w:t>calculations</w:t>
      </w:r>
      <w:r w:rsidR="00D9034D">
        <w:t xml:space="preserve"> </w:t>
      </w:r>
      <w:proofErr w:type="gramStart"/>
      <w:r w:rsidR="00D9034D">
        <w:t>a and</w:t>
      </w:r>
      <w:proofErr w:type="gramEnd"/>
      <w:r w:rsidR="00D9034D">
        <w:t xml:space="preserve"> b indicate that PSE </w:t>
      </w:r>
      <w:r w:rsidR="00C32988">
        <w:t xml:space="preserve">avoided potential penalties of $50/MWh by </w:t>
      </w:r>
      <w:r w:rsidR="00D9034D">
        <w:t>me</w:t>
      </w:r>
      <w:r w:rsidR="00C32988">
        <w:t>e</w:t>
      </w:r>
      <w:r w:rsidR="00D9034D">
        <w:t>t</w:t>
      </w:r>
      <w:r w:rsidR="00C32988">
        <w:t>ing</w:t>
      </w:r>
      <w:r w:rsidR="00D9034D">
        <w:t xml:space="preserve"> its </w:t>
      </w:r>
      <w:r w:rsidR="00C32988">
        <w:t>EIA Target and decoupling</w:t>
      </w:r>
      <w:r w:rsidR="00D9034D">
        <w:t xml:space="preserve"> commitments.</w:t>
      </w:r>
    </w:p>
    <w:p w:rsidR="00453039" w:rsidRPr="009A5635" w:rsidRDefault="00215D47" w:rsidP="00AF507A">
      <w:pPr>
        <w:ind w:left="720"/>
      </w:pPr>
      <w:r>
        <w:rPr>
          <w:rFonts w:cs="Arial"/>
        </w:rPr>
        <w:t>PSE provides p</w:t>
      </w:r>
      <w:r w:rsidR="00F66C7D">
        <w:rPr>
          <w:rFonts w:cs="Arial"/>
        </w:rPr>
        <w:t>rogram</w:t>
      </w:r>
      <w:r w:rsidR="00001F95">
        <w:rPr>
          <w:rFonts w:cs="Arial"/>
        </w:rPr>
        <w:t>-level savings</w:t>
      </w:r>
      <w:r w:rsidR="00F66C7D">
        <w:rPr>
          <w:rFonts w:cs="Arial"/>
        </w:rPr>
        <w:t xml:space="preserve"> </w:t>
      </w:r>
      <w:r>
        <w:rPr>
          <w:rFonts w:cs="Arial"/>
        </w:rPr>
        <w:t xml:space="preserve">figures </w:t>
      </w:r>
      <w:r w:rsidR="00DB1A84">
        <w:rPr>
          <w:rFonts w:cs="Arial"/>
        </w:rPr>
        <w:t xml:space="preserve">that comprise these totals </w:t>
      </w:r>
      <w:r>
        <w:rPr>
          <w:rFonts w:cs="Arial"/>
        </w:rPr>
        <w:t>in its</w:t>
      </w:r>
      <w:r w:rsidR="00DB1A84">
        <w:rPr>
          <w:rFonts w:cs="Arial"/>
        </w:rPr>
        <w:t xml:space="preserve"> 2014 and 2015 Annual Reports </w:t>
      </w:r>
      <w:r w:rsidR="00DB1A84" w:rsidRPr="004C1163">
        <w:t>that are PSE’s official records of conservation</w:t>
      </w:r>
      <w:proofErr w:type="gramStart"/>
      <w:r w:rsidR="00A550E4">
        <w:t xml:space="preserve">. </w:t>
      </w:r>
      <w:proofErr w:type="gramEnd"/>
      <w:r w:rsidR="00133F27">
        <w:t xml:space="preserve">Exhibit 1: </w:t>
      </w:r>
      <w:r w:rsidR="00133F27" w:rsidRPr="00133F27">
        <w:rPr>
          <w:i/>
        </w:rPr>
        <w:t xml:space="preserve">2014-2015 </w:t>
      </w:r>
      <w:r w:rsidR="00D073C7">
        <w:rPr>
          <w:i/>
        </w:rPr>
        <w:t>Electric Savings and Expense</w:t>
      </w:r>
      <w:r w:rsidR="00133F27" w:rsidRPr="00133F27">
        <w:rPr>
          <w:i/>
        </w:rPr>
        <w:t>s</w:t>
      </w:r>
      <w:r w:rsidR="009A5635">
        <w:rPr>
          <w:i/>
        </w:rPr>
        <w:t xml:space="preserve"> </w:t>
      </w:r>
      <w:r w:rsidR="009A5635" w:rsidRPr="009A5635">
        <w:t>provides a two-year view of program-level savings and expenditures</w:t>
      </w:r>
      <w:proofErr w:type="gramStart"/>
      <w:r w:rsidR="009A5635" w:rsidRPr="00F66C7D">
        <w:t xml:space="preserve">. </w:t>
      </w:r>
      <w:proofErr w:type="gramEnd"/>
      <w:r w:rsidR="00F66C7D" w:rsidRPr="00F66C7D">
        <w:t xml:space="preserve">Exhibit 1 sums the 2014 and 2015 results, </w:t>
      </w:r>
      <w:r w:rsidR="00C328CF">
        <w:t xml:space="preserve">and </w:t>
      </w:r>
      <w:r w:rsidR="00F66C7D" w:rsidRPr="00F66C7D">
        <w:t xml:space="preserve">accounts for savings adjustments discussed in Section </w:t>
      </w:r>
      <w:proofErr w:type="spellStart"/>
      <w:r w:rsidR="00F66C7D" w:rsidRPr="00F66C7D">
        <w:t>D</w:t>
      </w:r>
      <w:r w:rsidR="00C328CF">
        <w:t>.4</w:t>
      </w:r>
      <w:proofErr w:type="spellEnd"/>
      <w:proofErr w:type="gramStart"/>
      <w:r w:rsidR="00F66C7D" w:rsidRPr="00F66C7D">
        <w:t xml:space="preserve">. </w:t>
      </w:r>
      <w:proofErr w:type="gramEnd"/>
      <w:r w:rsidR="009A5635" w:rsidRPr="009A5635">
        <w:t>Exhibit 2:</w:t>
      </w:r>
      <w:r w:rsidR="009A5635">
        <w:rPr>
          <w:i/>
        </w:rPr>
        <w:t xml:space="preserve"> 2014-2015 </w:t>
      </w:r>
      <w:r>
        <w:rPr>
          <w:i/>
        </w:rPr>
        <w:t xml:space="preserve">Electric </w:t>
      </w:r>
      <w:r w:rsidR="009A5635">
        <w:rPr>
          <w:i/>
        </w:rPr>
        <w:t xml:space="preserve">Cost-Effectiveness Results </w:t>
      </w:r>
      <w:r w:rsidR="009A5635" w:rsidRPr="009A5635">
        <w:t>provides a two-year view of program-level cost-effectiveness calculations.</w:t>
      </w:r>
    </w:p>
    <w:p w:rsidR="00BB2939" w:rsidRDefault="00BB2939" w:rsidP="009F74AC">
      <w:pPr>
        <w:pStyle w:val="Heading4"/>
        <w:numPr>
          <w:ilvl w:val="0"/>
          <w:numId w:val="42"/>
        </w:numPr>
        <w:ind w:left="1080"/>
      </w:pPr>
      <w:r>
        <w:t>Decoupling Commitment</w:t>
      </w:r>
    </w:p>
    <w:p w:rsidR="00DA0E60" w:rsidRDefault="00BB2939" w:rsidP="00E64D37">
      <w:pPr>
        <w:ind w:left="900"/>
      </w:pPr>
      <w:r>
        <w:t>In Order 03 of Docket No UE-132043, the Commission set a decoupling conservation commitment of 27,920 MWh.</w:t>
      </w:r>
      <w:r>
        <w:rPr>
          <w:rStyle w:val="FootnoteReference"/>
        </w:rPr>
        <w:footnoteReference w:id="18"/>
      </w:r>
      <w:r>
        <w:t xml:space="preserve"> It </w:t>
      </w:r>
      <w:r w:rsidR="002D27BE">
        <w:t xml:space="preserve">is important to note that the decoupling value is based on the higher total “base” savings (line </w:t>
      </w:r>
      <w:r w:rsidR="002D27BE" w:rsidRPr="00215D47">
        <w:rPr>
          <w:b/>
          <w:i/>
        </w:rPr>
        <w:t>c</w:t>
      </w:r>
      <w:r w:rsidR="002D27BE">
        <w:t xml:space="preserve"> in </w:t>
      </w:r>
      <w:r w:rsidR="002D27BE">
        <w:fldChar w:fldCharType="begin"/>
      </w:r>
      <w:r w:rsidR="002D27BE">
        <w:instrText xml:space="preserve"> REF _Ref446067247 \h </w:instrText>
      </w:r>
      <w:r w:rsidR="002D27BE">
        <w:fldChar w:fldCharType="separate"/>
      </w:r>
      <w:r w:rsidR="001A7098">
        <w:t xml:space="preserve">Table </w:t>
      </w:r>
      <w:r w:rsidR="001A7098">
        <w:rPr>
          <w:noProof/>
        </w:rPr>
        <w:t>II</w:t>
      </w:r>
      <w:r w:rsidR="001A7098">
        <w:noBreakHyphen/>
      </w:r>
      <w:r w:rsidR="001A7098">
        <w:rPr>
          <w:noProof/>
        </w:rPr>
        <w:t>1</w:t>
      </w:r>
      <w:r w:rsidR="002D27BE">
        <w:fldChar w:fldCharType="end"/>
      </w:r>
      <w:r w:rsidR="00215D47">
        <w:t>) o</w:t>
      </w:r>
      <w:r w:rsidR="002D27BE">
        <w:t>f 558,300 MWh, rather than the Commission-approved EIA Target of 485,770</w:t>
      </w:r>
      <w:proofErr w:type="gramStart"/>
      <w:r w:rsidR="002D27BE">
        <w:t xml:space="preserve">. </w:t>
      </w:r>
      <w:proofErr w:type="gramEnd"/>
      <w:r w:rsidR="002D27BE">
        <w:t xml:space="preserve">PSE suggested this approach to the CRAG during the target development discussion in the second half of 2013.  The CRAG agreed that the higher figure reflects the spirit of the commitment, and PSE’s intention to demonstrate the effort to </w:t>
      </w:r>
      <w:r w:rsidR="00393920">
        <w:t>acquire the additional savings.</w:t>
      </w:r>
    </w:p>
    <w:p w:rsidR="00A10A0D" w:rsidRDefault="00A10A0D" w:rsidP="00E64D37">
      <w:pPr>
        <w:ind w:left="900"/>
      </w:pPr>
      <w:r w:rsidRPr="00D53E57">
        <w:rPr>
          <w:rFonts w:cs="Arial"/>
        </w:rPr>
        <w:lastRenderedPageBreak/>
        <w:t xml:space="preserve">As discussed in Section </w:t>
      </w:r>
      <w:proofErr w:type="spellStart"/>
      <w:r w:rsidRPr="00D53E57">
        <w:rPr>
          <w:rFonts w:cs="Arial"/>
        </w:rPr>
        <w:t>A.2</w:t>
      </w:r>
      <w:proofErr w:type="spellEnd"/>
      <w:proofErr w:type="gramStart"/>
      <w:r w:rsidRPr="00D53E57">
        <w:rPr>
          <w:rFonts w:cs="Arial"/>
        </w:rPr>
        <w:t>. part</w:t>
      </w:r>
      <w:proofErr w:type="gramEnd"/>
      <w:r w:rsidRPr="00D53E57">
        <w:rPr>
          <w:rFonts w:cs="Arial"/>
        </w:rPr>
        <w:t xml:space="preserve"> b, the total</w:t>
      </w:r>
      <w:r w:rsidRPr="00D53E57">
        <w:rPr>
          <w:sz w:val="20"/>
        </w:rPr>
        <w:t xml:space="preserve"> </w:t>
      </w:r>
      <w:r>
        <w:t xml:space="preserve">achieved electric savings attributable to the agreed-to PSE-specific programs met PSE’s 2014-2015 decoupling conservation commitment. </w:t>
      </w:r>
    </w:p>
    <w:p w:rsidR="00BB2939" w:rsidRDefault="00BB2939" w:rsidP="00BB2939">
      <w:pPr>
        <w:pStyle w:val="Heading2"/>
      </w:pPr>
      <w:bookmarkStart w:id="40" w:name="_Toc450627071"/>
      <w:r>
        <w:t>Treatment of Excess Savings</w:t>
      </w:r>
      <w:bookmarkEnd w:id="40"/>
    </w:p>
    <w:p w:rsidR="001C3199" w:rsidRDefault="001C3199" w:rsidP="00BB2939">
      <w:pPr>
        <w:ind w:left="360"/>
      </w:pPr>
      <w:r>
        <w:t>RCW 19.285.040(1)(c)(</w:t>
      </w:r>
      <w:proofErr w:type="spellStart"/>
      <w:r>
        <w:t>i</w:t>
      </w:r>
      <w:proofErr w:type="spellEnd"/>
      <w:r>
        <w:t>) and WAC 480-109-100(3)(c) indicate that utilities may use excess conservation achieved in one biennium to meet up to 25 percent of either of the two subsequent biennia:</w:t>
      </w:r>
    </w:p>
    <w:p w:rsidR="001C3199" w:rsidRDefault="001C3199" w:rsidP="00EF0BB5">
      <w:pPr>
        <w:ind w:left="720"/>
      </w:pPr>
      <w:r>
        <w:t>RCW 19.285.040(1</w:t>
      </w:r>
      <w:proofErr w:type="gramStart"/>
      <w:r>
        <w:t>)(</w:t>
      </w:r>
      <w:proofErr w:type="gramEnd"/>
      <w:r>
        <w:t>c)(</w:t>
      </w:r>
      <w:proofErr w:type="spellStart"/>
      <w:r>
        <w:t>i</w:t>
      </w:r>
      <w:proofErr w:type="spellEnd"/>
      <w:r>
        <w:t>)</w:t>
      </w:r>
    </w:p>
    <w:p w:rsidR="001C3199" w:rsidRPr="001C3199" w:rsidRDefault="001C3199" w:rsidP="00EF0BB5">
      <w:pPr>
        <w:ind w:left="1080"/>
        <w:rPr>
          <w:rFonts w:ascii="Times New Roman" w:hAnsi="Times New Roman"/>
        </w:rPr>
      </w:pPr>
      <w:r w:rsidRPr="001C3199">
        <w:rPr>
          <w:rFonts w:ascii="Times New Roman" w:hAnsi="Times New Roman"/>
        </w:rPr>
        <w:t>(c</w:t>
      </w:r>
      <w:proofErr w:type="gramStart"/>
      <w:r w:rsidRPr="001C3199">
        <w:rPr>
          <w:rFonts w:ascii="Times New Roman" w:hAnsi="Times New Roman"/>
        </w:rPr>
        <w:t>)(</w:t>
      </w:r>
      <w:proofErr w:type="spellStart"/>
      <w:r w:rsidRPr="001C3199">
        <w:rPr>
          <w:rFonts w:ascii="Times New Roman" w:hAnsi="Times New Roman"/>
        </w:rPr>
        <w:t>i</w:t>
      </w:r>
      <w:proofErr w:type="spellEnd"/>
      <w:r w:rsidRPr="001C3199">
        <w:rPr>
          <w:rFonts w:ascii="Times New Roman" w:hAnsi="Times New Roman"/>
        </w:rPr>
        <w:t>) Except as provided in (c)(ii) and (iii)</w:t>
      </w:r>
      <w:r>
        <w:rPr>
          <w:rStyle w:val="FootnoteReference"/>
          <w:rFonts w:ascii="Times New Roman" w:hAnsi="Times New Roman"/>
        </w:rPr>
        <w:footnoteReference w:id="19"/>
      </w:r>
      <w:r w:rsidRPr="001C3199">
        <w:rPr>
          <w:rFonts w:ascii="Times New Roman" w:hAnsi="Times New Roman"/>
        </w:rPr>
        <w:t xml:space="preserve">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roofErr w:type="gramEnd"/>
    </w:p>
    <w:p w:rsidR="00EF0BB5" w:rsidRDefault="00EF0BB5" w:rsidP="00EF0BB5">
      <w:pPr>
        <w:ind w:left="720"/>
      </w:pPr>
      <w:r>
        <w:t>WAC 480-109-100(3</w:t>
      </w:r>
      <w:proofErr w:type="gramStart"/>
      <w:r>
        <w:t>)(</w:t>
      </w:r>
      <w:proofErr w:type="gramEnd"/>
      <w:r>
        <w:t>c)</w:t>
      </w:r>
    </w:p>
    <w:p w:rsidR="00EF0BB5" w:rsidRPr="0017446A" w:rsidRDefault="00EF0BB5" w:rsidP="00EF0BB5">
      <w:pPr>
        <w:ind w:left="1080"/>
        <w:rPr>
          <w:rFonts w:ascii="Times New Roman" w:hAnsi="Times New Roman"/>
        </w:rPr>
      </w:pPr>
      <w:r w:rsidRPr="0017446A">
        <w:rPr>
          <w:rFonts w:ascii="Times New Roman" w:hAnsi="Times New Roman"/>
          <w:b/>
        </w:rPr>
        <w:t>Excess conservation</w:t>
      </w:r>
      <w:proofErr w:type="gramStart"/>
      <w:r w:rsidRPr="0017446A">
        <w:rPr>
          <w:rFonts w:ascii="Times New Roman" w:hAnsi="Times New Roman"/>
          <w:b/>
        </w:rPr>
        <w:t>.</w:t>
      </w:r>
      <w:r w:rsidRPr="0017446A">
        <w:rPr>
          <w:rFonts w:ascii="Times New Roman" w:hAnsi="Times New Roman"/>
        </w:rPr>
        <w:t xml:space="preserve"> </w:t>
      </w:r>
      <w:proofErr w:type="gramEnd"/>
      <w:r w:rsidRPr="0017446A">
        <w:rPr>
          <w:rFonts w:ascii="Times New Roman" w:hAnsi="Times New Roman"/>
        </w:rPr>
        <w:t>No more than twenty-five percent of any biennial target may be met with excess conservation savings allowed by this subsection</w:t>
      </w:r>
      <w:proofErr w:type="gramStart"/>
      <w:r w:rsidRPr="0017446A">
        <w:rPr>
          <w:rFonts w:ascii="Times New Roman" w:hAnsi="Times New Roman"/>
        </w:rPr>
        <w:t xml:space="preserve">. </w:t>
      </w:r>
      <w:proofErr w:type="gramEnd"/>
      <w:r w:rsidRPr="0017446A">
        <w:rPr>
          <w:rFonts w:ascii="Times New Roman" w:hAnsi="Times New Roman"/>
        </w:rPr>
        <w:t>Excess conservation may only be used to mitigate shortfalls in the immediately subsequent two biennia and may not be used to adjust a utility's ten-year cons</w:t>
      </w:r>
      <w:r>
        <w:rPr>
          <w:rFonts w:ascii="Times New Roman" w:hAnsi="Times New Roman"/>
        </w:rPr>
        <w:t>ervation potential or biennial t</w:t>
      </w:r>
      <w:r w:rsidRPr="0017446A">
        <w:rPr>
          <w:rFonts w:ascii="Times New Roman" w:hAnsi="Times New Roman"/>
        </w:rPr>
        <w:t>arget</w:t>
      </w:r>
      <w:proofErr w:type="gramStart"/>
      <w:r w:rsidRPr="0017446A">
        <w:rPr>
          <w:rFonts w:ascii="Times New Roman" w:hAnsi="Times New Roman"/>
        </w:rPr>
        <w:t xml:space="preserve">. </w:t>
      </w:r>
      <w:proofErr w:type="gramEnd"/>
      <w:r w:rsidRPr="0017446A">
        <w:rPr>
          <w:rFonts w:ascii="Times New Roman" w:hAnsi="Times New Roman"/>
        </w:rPr>
        <w:t>The presence of excess conservation does not relieve a utility of its obligation to pursue the level o</w:t>
      </w:r>
      <w:r>
        <w:rPr>
          <w:rFonts w:ascii="Times New Roman" w:hAnsi="Times New Roman"/>
        </w:rPr>
        <w:t>f conservation in its biennial T</w:t>
      </w:r>
      <w:r w:rsidRPr="0017446A">
        <w:rPr>
          <w:rFonts w:ascii="Times New Roman" w:hAnsi="Times New Roman"/>
        </w:rPr>
        <w:t xml:space="preserve">arget. </w:t>
      </w:r>
    </w:p>
    <w:p w:rsidR="00EF0BB5" w:rsidRPr="0017446A" w:rsidRDefault="00EF0BB5" w:rsidP="00EF0BB5">
      <w:pPr>
        <w:ind w:left="1440"/>
        <w:rPr>
          <w:rFonts w:ascii="Times New Roman" w:hAnsi="Times New Roman"/>
        </w:rPr>
      </w:pPr>
      <w:r w:rsidRPr="0017446A">
        <w:rPr>
          <w:rFonts w:ascii="Times New Roman" w:hAnsi="Times New Roman"/>
        </w:rPr>
        <w:t>(</w:t>
      </w:r>
      <w:proofErr w:type="spellStart"/>
      <w:r w:rsidRPr="0017446A">
        <w:rPr>
          <w:rFonts w:ascii="Times New Roman" w:hAnsi="Times New Roman"/>
        </w:rPr>
        <w:t>i</w:t>
      </w:r>
      <w:proofErr w:type="spellEnd"/>
      <w:r w:rsidRPr="0017446A">
        <w:rPr>
          <w:rFonts w:ascii="Times New Roman" w:hAnsi="Times New Roman"/>
        </w:rPr>
        <w:t>) Cost-effective conservation achieved in excess of</w:t>
      </w:r>
      <w:r>
        <w:rPr>
          <w:rFonts w:ascii="Times New Roman" w:hAnsi="Times New Roman"/>
        </w:rPr>
        <w:t xml:space="preserve"> a biennial conservation target </w:t>
      </w:r>
      <w:proofErr w:type="gramStart"/>
      <w:r w:rsidRPr="0017446A">
        <w:rPr>
          <w:rFonts w:ascii="Times New Roman" w:hAnsi="Times New Roman"/>
        </w:rPr>
        <w:t>may be used</w:t>
      </w:r>
      <w:proofErr w:type="gramEnd"/>
      <w:r w:rsidRPr="0017446A">
        <w:rPr>
          <w:rFonts w:ascii="Times New Roman" w:hAnsi="Times New Roman"/>
        </w:rPr>
        <w:t xml:space="preserve"> to meet up to twenty percent of each of the immediately subsequent two biennial targets.</w:t>
      </w:r>
    </w:p>
    <w:p w:rsidR="00D96778" w:rsidRDefault="00D96778" w:rsidP="00BB2939">
      <w:pPr>
        <w:ind w:left="360"/>
      </w:pPr>
      <w:r>
        <w:t xml:space="preserve">It is clear that, consistent with WAC 480-109-100(3)(c), and following applicable savings target sub-total calculations discussed in the previous section, PSE achieved excess electric conservation, which may be applied to potential biennial electric savings target shortfall reported in either of the next two biennia. </w:t>
      </w:r>
    </w:p>
    <w:p w:rsidR="003A1CCE" w:rsidRDefault="00EF0BB5" w:rsidP="00BB2939">
      <w:pPr>
        <w:ind w:left="360"/>
      </w:pPr>
      <w:r>
        <w:t>Neither the RCW nor the WAC define excess conservation and what types of electric conservation comprise excess</w:t>
      </w:r>
      <w:proofErr w:type="gramStart"/>
      <w:r>
        <w:t xml:space="preserve">. </w:t>
      </w:r>
      <w:proofErr w:type="gramEnd"/>
      <w:r w:rsidR="003A1CCE">
        <w:br w:type="page"/>
      </w:r>
    </w:p>
    <w:p w:rsidR="00EF0BB5" w:rsidRDefault="00D96778" w:rsidP="00BB2939">
      <w:pPr>
        <w:ind w:left="360"/>
      </w:pPr>
      <w:r>
        <w:lastRenderedPageBreak/>
        <w:t xml:space="preserve">The specifics of PSE’s electric Portfolio savings necessitate consideration of the components of </w:t>
      </w:r>
      <w:r w:rsidR="0044572C">
        <w:t xml:space="preserve">excess savings as related to the </w:t>
      </w:r>
      <w:r>
        <w:t>EIA Target and decoupling commitment.</w:t>
      </w:r>
    </w:p>
    <w:p w:rsidR="00EF0BB5" w:rsidRDefault="00EF0BB5" w:rsidP="00C56638">
      <w:pPr>
        <w:pStyle w:val="Heading3"/>
        <w:numPr>
          <w:ilvl w:val="0"/>
          <w:numId w:val="33"/>
        </w:numPr>
        <w:ind w:left="900"/>
      </w:pPr>
      <w:bookmarkStart w:id="41" w:name="_Toc450627072"/>
      <w:r>
        <w:t>Components of Excess Conservation</w:t>
      </w:r>
      <w:bookmarkEnd w:id="41"/>
    </w:p>
    <w:p w:rsidR="00BB6AFE" w:rsidRDefault="00AA7CE7" w:rsidP="00AA7CE7">
      <w:pPr>
        <w:ind w:left="720"/>
      </w:pPr>
      <w:r>
        <w:t xml:space="preserve">As discussed in Section </w:t>
      </w:r>
      <w:proofErr w:type="spellStart"/>
      <w:r>
        <w:t>A.1.a</w:t>
      </w:r>
      <w:proofErr w:type="spellEnd"/>
      <w:proofErr w:type="gramStart"/>
      <w:r>
        <w:t xml:space="preserve">. </w:t>
      </w:r>
      <w:proofErr w:type="gramEnd"/>
      <w:r>
        <w:t xml:space="preserve">– d., there are </w:t>
      </w:r>
      <w:r w:rsidR="00357D57">
        <w:t>certain</w:t>
      </w:r>
      <w:r>
        <w:t xml:space="preserve"> programs that are excluded </w:t>
      </w:r>
      <w:r w:rsidR="00BB6AFE">
        <w:t>from the EIA Target, which the RCW and WAC did not contemplate</w:t>
      </w:r>
      <w:proofErr w:type="gramStart"/>
      <w:r w:rsidR="00BB6AFE">
        <w:t xml:space="preserve">. </w:t>
      </w:r>
      <w:proofErr w:type="gramEnd"/>
      <w:r w:rsidR="00BB6AFE">
        <w:t>Similarly, PSE’s decoupling filing was in its early stages during the WAC revision process</w:t>
      </w:r>
      <w:proofErr w:type="gramStart"/>
      <w:r w:rsidR="00BB6AFE">
        <w:t xml:space="preserve">. </w:t>
      </w:r>
      <w:proofErr w:type="gramEnd"/>
      <w:r w:rsidR="00BB6AFE">
        <w:t xml:space="preserve">It is therefore possible to consider three different representations of excess electric conservation </w:t>
      </w:r>
      <w:r w:rsidR="00FA76D9">
        <w:t xml:space="preserve">results </w:t>
      </w:r>
      <w:r w:rsidR="00BB6AFE">
        <w:t>(all figures indicate MWh).</w:t>
      </w:r>
    </w:p>
    <w:p w:rsidR="00DA4055" w:rsidRDefault="00BB6AFE" w:rsidP="00AD411E">
      <w:pPr>
        <w:numPr>
          <w:ilvl w:val="0"/>
          <w:numId w:val="32"/>
        </w:numPr>
        <w:spacing w:before="0" w:after="60"/>
        <w:ind w:left="1440"/>
      </w:pPr>
      <w:r>
        <w:t xml:space="preserve">Total Portfolio achievement minus the EIA Target: </w:t>
      </w:r>
    </w:p>
    <w:p w:rsidR="00E97068" w:rsidRPr="00126EF1" w:rsidRDefault="00237E5C" w:rsidP="00DA4055">
      <w:pPr>
        <w:ind w:left="1440"/>
      </w:pPr>
      <w:proofErr w:type="gramStart"/>
      <w:r w:rsidRPr="00126EF1">
        <w:t>6</w:t>
      </w:r>
      <w:r w:rsidR="00F82ACA" w:rsidRPr="00126EF1">
        <w:t>63,123</w:t>
      </w:r>
      <w:proofErr w:type="gramEnd"/>
      <w:r w:rsidR="00BB6AFE" w:rsidRPr="00126EF1">
        <w:t xml:space="preserve"> – 485,770</w:t>
      </w:r>
      <w:r w:rsidRPr="00126EF1">
        <w:t xml:space="preserve"> = 1</w:t>
      </w:r>
      <w:r w:rsidR="00F82ACA" w:rsidRPr="00126EF1">
        <w:t>77,353</w:t>
      </w:r>
      <w:r w:rsidR="00AD411E" w:rsidRPr="00126EF1">
        <w:t xml:space="preserve"> excess</w:t>
      </w:r>
      <w:r w:rsidR="00BB6AFE" w:rsidRPr="00126EF1">
        <w:t>.</w:t>
      </w:r>
    </w:p>
    <w:p w:rsidR="00BB6AFE" w:rsidRPr="00126EF1" w:rsidRDefault="00E97068" w:rsidP="00DA4055">
      <w:pPr>
        <w:ind w:left="1440"/>
      </w:pPr>
      <w:r w:rsidRPr="00126EF1">
        <w:t xml:space="preserve">As this calculation does not consider </w:t>
      </w:r>
      <w:r w:rsidR="00F44314" w:rsidRPr="00126EF1">
        <w:t xml:space="preserve">the impact of </w:t>
      </w:r>
      <w:r w:rsidRPr="00126EF1">
        <w:t xml:space="preserve">programs excluded from the EIA Target, PSE </w:t>
      </w:r>
      <w:r w:rsidR="00F44314" w:rsidRPr="00126EF1">
        <w:t>does not</w:t>
      </w:r>
      <w:r w:rsidRPr="00126EF1">
        <w:t xml:space="preserve"> support this methodology</w:t>
      </w:r>
      <w:r w:rsidR="00FA76D9" w:rsidRPr="00126EF1">
        <w:t xml:space="preserve"> of determining excess savings</w:t>
      </w:r>
      <w:proofErr w:type="gramStart"/>
      <w:r w:rsidRPr="00126EF1">
        <w:t>.</w:t>
      </w:r>
      <w:r w:rsidR="0004649C" w:rsidRPr="00126EF1">
        <w:t xml:space="preserve"> </w:t>
      </w:r>
      <w:proofErr w:type="gramEnd"/>
      <w:r w:rsidR="0004649C" w:rsidRPr="00126EF1">
        <w:t>PSE will also suggest to the</w:t>
      </w:r>
      <w:r w:rsidR="003A1CCE" w:rsidRPr="00126EF1">
        <w:t xml:space="preserve"> </w:t>
      </w:r>
      <w:r w:rsidR="00215D47">
        <w:t xml:space="preserve">WA </w:t>
      </w:r>
      <w:r w:rsidR="003A1CCE" w:rsidRPr="00126EF1">
        <w:t>Department of Commerce that it adjust its</w:t>
      </w:r>
      <w:r w:rsidR="0004649C" w:rsidRPr="00126EF1">
        <w:t xml:space="preserve"> EIA form to allow applicable exclusions from the overall savings achievement</w:t>
      </w:r>
      <w:r w:rsidR="00FA76D9" w:rsidRPr="00126EF1">
        <w:t xml:space="preserve"> for future reporting</w:t>
      </w:r>
      <w:r w:rsidR="0004649C" w:rsidRPr="00126EF1">
        <w:t>.</w:t>
      </w:r>
    </w:p>
    <w:p w:rsidR="00BB6AFE" w:rsidRPr="00126EF1" w:rsidRDefault="007B1193" w:rsidP="00AD411E">
      <w:pPr>
        <w:numPr>
          <w:ilvl w:val="0"/>
          <w:numId w:val="32"/>
        </w:numPr>
        <w:spacing w:before="0" w:after="60"/>
        <w:ind w:left="1440"/>
      </w:pPr>
      <w:r w:rsidRPr="00126EF1">
        <w:t>Total Portfolio minus</w:t>
      </w:r>
      <w:r w:rsidR="00BB6AFE" w:rsidRPr="00126EF1">
        <w:t xml:space="preserve"> program exclusions (NEEA + </w:t>
      </w:r>
      <w:proofErr w:type="spellStart"/>
      <w:r w:rsidR="00BB6AFE" w:rsidRPr="00126EF1">
        <w:t>IER</w:t>
      </w:r>
      <w:proofErr w:type="spellEnd"/>
      <w:r w:rsidR="00BB6AFE" w:rsidRPr="00126EF1">
        <w:t xml:space="preserve"> pilots) achievement minus the EIA Target:</w:t>
      </w:r>
    </w:p>
    <w:p w:rsidR="00BB6AFE" w:rsidRPr="00126EF1" w:rsidRDefault="00BB6AFE" w:rsidP="00DA4055">
      <w:pPr>
        <w:ind w:left="1440"/>
      </w:pPr>
      <w:r w:rsidRPr="00126EF1">
        <w:t>(</w:t>
      </w:r>
      <w:r w:rsidR="00F82ACA" w:rsidRPr="00126EF1">
        <w:t>663,123</w:t>
      </w:r>
      <w:r w:rsidR="00237E5C" w:rsidRPr="00126EF1">
        <w:t xml:space="preserve"> – (91,630</w:t>
      </w:r>
      <w:r w:rsidRPr="00126EF1">
        <w:t xml:space="preserve"> + </w:t>
      </w:r>
      <w:r w:rsidR="00F82ACA" w:rsidRPr="00126EF1">
        <w:t>18,897</w:t>
      </w:r>
      <w:r w:rsidRPr="00126EF1">
        <w:t>)</w:t>
      </w:r>
      <w:proofErr w:type="gramStart"/>
      <w:r w:rsidRPr="00126EF1">
        <w:t>) – 485,770</w:t>
      </w:r>
      <w:r w:rsidR="008674AB" w:rsidRPr="00126EF1">
        <w:t xml:space="preserve"> = 6</w:t>
      </w:r>
      <w:r w:rsidR="00F82ACA" w:rsidRPr="00126EF1">
        <w:t>6,826</w:t>
      </w:r>
      <w:r w:rsidR="00AD411E" w:rsidRPr="00126EF1">
        <w:t xml:space="preserve"> excess.</w:t>
      </w:r>
      <w:proofErr w:type="gramEnd"/>
    </w:p>
    <w:p w:rsidR="00E97068" w:rsidRPr="00126EF1" w:rsidRDefault="00BB37B2" w:rsidP="00DA4055">
      <w:pPr>
        <w:ind w:left="1440"/>
      </w:pPr>
      <w:r w:rsidRPr="00126EF1">
        <w:t xml:space="preserve">Although this alternative accounting </w:t>
      </w:r>
      <w:proofErr w:type="gramStart"/>
      <w:r w:rsidRPr="00126EF1">
        <w:t>doesn’t</w:t>
      </w:r>
      <w:proofErr w:type="gramEnd"/>
      <w:r w:rsidRPr="00126EF1">
        <w:t xml:space="preserve"> </w:t>
      </w:r>
      <w:r w:rsidR="00215D47">
        <w:t>discount</w:t>
      </w:r>
      <w:r w:rsidRPr="00126EF1">
        <w:t xml:space="preserve"> the decoupling savings from the overall Portfolio achievement before calculating the excess savings, t</w:t>
      </w:r>
      <w:r w:rsidR="00E97068" w:rsidRPr="00126EF1">
        <w:t xml:space="preserve">his methodology </w:t>
      </w:r>
      <w:r w:rsidR="00130FB0" w:rsidRPr="00126EF1">
        <w:t xml:space="preserve">meets </w:t>
      </w:r>
      <w:r w:rsidR="006B654C" w:rsidRPr="00126EF1">
        <w:t>a</w:t>
      </w:r>
      <w:r w:rsidR="00130FB0" w:rsidRPr="00126EF1">
        <w:t xml:space="preserve"> </w:t>
      </w:r>
      <w:r w:rsidR="00066F5B" w:rsidRPr="00126EF1">
        <w:t>broad</w:t>
      </w:r>
      <w:r w:rsidR="00A94304" w:rsidRPr="00126EF1">
        <w:t xml:space="preserve"> interpretation</w:t>
      </w:r>
      <w:r w:rsidR="00130FB0" w:rsidRPr="00126EF1">
        <w:t xml:space="preserve"> of ex</w:t>
      </w:r>
      <w:r w:rsidR="00581180" w:rsidRPr="00126EF1">
        <w:t>c</w:t>
      </w:r>
      <w:r w:rsidR="00130FB0" w:rsidRPr="00126EF1">
        <w:t>ess savings</w:t>
      </w:r>
      <w:r w:rsidR="009B5763" w:rsidRPr="00126EF1">
        <w:t>.</w:t>
      </w:r>
      <w:r w:rsidR="00130FB0" w:rsidRPr="00126EF1">
        <w:t xml:space="preserve"> </w:t>
      </w:r>
    </w:p>
    <w:p w:rsidR="00BB37B2" w:rsidRPr="00126EF1" w:rsidRDefault="00D96778" w:rsidP="00DA4055">
      <w:pPr>
        <w:ind w:left="1440"/>
      </w:pPr>
      <w:r w:rsidRPr="00126EF1">
        <w:t xml:space="preserve">However, </w:t>
      </w:r>
      <w:r w:rsidR="00BB37B2" w:rsidRPr="00126EF1">
        <w:t>PSE does not support using this calculation methodology, as it</w:t>
      </w:r>
      <w:r w:rsidR="00130FB0" w:rsidRPr="00126EF1">
        <w:t xml:space="preserve"> incorrectly</w:t>
      </w:r>
      <w:r w:rsidR="00BB37B2" w:rsidRPr="00126EF1">
        <w:t xml:space="preserve"> implies that the decoupling savings are a distinct entity that </w:t>
      </w:r>
      <w:proofErr w:type="gramStart"/>
      <w:r w:rsidR="00BB37B2" w:rsidRPr="00126EF1">
        <w:t>can be tracked and accounted for separately</w:t>
      </w:r>
      <w:proofErr w:type="gramEnd"/>
      <w:r w:rsidR="00BB37B2" w:rsidRPr="00126EF1">
        <w:t>.</w:t>
      </w:r>
    </w:p>
    <w:p w:rsidR="00BB6AFE" w:rsidRPr="00126EF1" w:rsidRDefault="00BB6AFE" w:rsidP="00AD411E">
      <w:pPr>
        <w:numPr>
          <w:ilvl w:val="0"/>
          <w:numId w:val="32"/>
        </w:numPr>
        <w:spacing w:before="0" w:after="60"/>
        <w:ind w:left="1440"/>
      </w:pPr>
      <w:r w:rsidRPr="00126EF1">
        <w:t xml:space="preserve">Part b’s achievement </w:t>
      </w:r>
      <w:r w:rsidR="00DA4055" w:rsidRPr="00126EF1">
        <w:t xml:space="preserve">total </w:t>
      </w:r>
      <w:r w:rsidRPr="00126EF1">
        <w:t>minus the EIA Target plus PSE’</w:t>
      </w:r>
      <w:r w:rsidR="00DA4055" w:rsidRPr="00126EF1">
        <w:t>s decoupling commit</w:t>
      </w:r>
      <w:r w:rsidRPr="00126EF1">
        <w:t>ment</w:t>
      </w:r>
      <w:r w:rsidR="00DA4055" w:rsidRPr="00126EF1">
        <w:t>:</w:t>
      </w:r>
    </w:p>
    <w:p w:rsidR="00DA4055" w:rsidRDefault="008674AB" w:rsidP="00DA4055">
      <w:pPr>
        <w:ind w:left="1440"/>
      </w:pPr>
      <w:r w:rsidRPr="00126EF1">
        <w:t>55</w:t>
      </w:r>
      <w:r w:rsidR="00F82ACA" w:rsidRPr="00126EF1">
        <w:t>2,596</w:t>
      </w:r>
      <w:r w:rsidR="00DA4055" w:rsidRPr="00126EF1">
        <w:t xml:space="preserve"> – (</w:t>
      </w:r>
      <w:r w:rsidRPr="00126EF1">
        <w:t>485,770 + 27,920) = 3</w:t>
      </w:r>
      <w:r w:rsidR="00F82ACA" w:rsidRPr="00126EF1">
        <w:t>8,906</w:t>
      </w:r>
      <w:r w:rsidR="00AD411E" w:rsidRPr="00126EF1">
        <w:t xml:space="preserve"> excess</w:t>
      </w:r>
      <w:r w:rsidR="00AD411E">
        <w:t>.</w:t>
      </w:r>
    </w:p>
    <w:p w:rsidR="00BB2939" w:rsidRDefault="00BB37B2" w:rsidP="003155CC">
      <w:pPr>
        <w:ind w:left="720"/>
      </w:pPr>
      <w:r>
        <w:t xml:space="preserve">PSE recommends that the Commission </w:t>
      </w:r>
      <w:r w:rsidR="00130FB0">
        <w:t>adopt</w:t>
      </w:r>
      <w:r w:rsidR="00D96778">
        <w:t xml:space="preserve"> the excess </w:t>
      </w:r>
      <w:r w:rsidR="00A94304">
        <w:t xml:space="preserve">savings </w:t>
      </w:r>
      <w:r w:rsidR="00D96778">
        <w:t xml:space="preserve">calculation </w:t>
      </w:r>
      <w:r w:rsidR="00130FB0">
        <w:t xml:space="preserve">methodology outlined in item c, </w:t>
      </w:r>
      <w:r w:rsidR="00A94304">
        <w:t xml:space="preserve">and </w:t>
      </w:r>
      <w:r w:rsidR="00130FB0">
        <w:t>allow PSE to apply this excess to either a potential future EIA Target or decoupling commitment shortfall in a future qualifying biennium</w:t>
      </w:r>
      <w:proofErr w:type="gramStart"/>
      <w:r>
        <w:t xml:space="preserve">. </w:t>
      </w:r>
      <w:proofErr w:type="gramEnd"/>
      <w:r w:rsidR="00AB3C98">
        <w:t>This</w:t>
      </w:r>
      <w:r w:rsidR="009A307B">
        <w:t xml:space="preserve"> methodology </w:t>
      </w:r>
      <w:r w:rsidR="00AB3C98">
        <w:t>discounts</w:t>
      </w:r>
      <w:r w:rsidR="009A307B">
        <w:t xml:space="preserve"> the 2014-2015 excess conservation figure through the application of savings apportioned to the decoupling commitment</w:t>
      </w:r>
      <w:proofErr w:type="gramStart"/>
      <w:r w:rsidR="00AB3C98">
        <w:t>.</w:t>
      </w:r>
      <w:r w:rsidR="009A307B">
        <w:t xml:space="preserve"> </w:t>
      </w:r>
      <w:proofErr w:type="gramEnd"/>
      <w:r w:rsidR="00AB3C98">
        <w:t>I</w:t>
      </w:r>
      <w:r w:rsidR="009A307B">
        <w:t xml:space="preserve">t is </w:t>
      </w:r>
      <w:r w:rsidR="00AB3C98">
        <w:t xml:space="preserve">thus </w:t>
      </w:r>
      <w:r w:rsidR="009A307B">
        <w:t xml:space="preserve">reasonable to expect that excess savings should be available for future, comparable commitments as well. </w:t>
      </w:r>
    </w:p>
    <w:p w:rsidR="00FC1C8F" w:rsidRDefault="00BD5D46" w:rsidP="005719F0">
      <w:pPr>
        <w:pStyle w:val="Heading2"/>
      </w:pPr>
      <w:bookmarkStart w:id="42" w:name="_Toc450627073"/>
      <w:r>
        <w:lastRenderedPageBreak/>
        <w:t>Sector-Level Biennial Totals</w:t>
      </w:r>
      <w:bookmarkEnd w:id="42"/>
    </w:p>
    <w:p w:rsidR="00FC1C8F" w:rsidRDefault="00FC1C8F" w:rsidP="009A5635">
      <w:pPr>
        <w:ind w:left="360"/>
      </w:pPr>
      <w:r>
        <w:t xml:space="preserve">PSE presents a </w:t>
      </w:r>
      <w:r w:rsidRPr="00581180">
        <w:t>Sector</w:t>
      </w:r>
      <w:r w:rsidR="008B57E9" w:rsidRPr="00581180">
        <w:t>-level</w:t>
      </w:r>
      <w:r>
        <w:t xml:space="preserve"> view of its 2014-2015 electric savings in </w:t>
      </w:r>
      <w:r w:rsidR="0066295B">
        <w:fldChar w:fldCharType="begin"/>
      </w:r>
      <w:r w:rsidR="0066295B">
        <w:instrText xml:space="preserve"> REF _Ref448300866 \h </w:instrText>
      </w:r>
      <w:r w:rsidR="0066295B">
        <w:fldChar w:fldCharType="separate"/>
      </w:r>
      <w:r w:rsidR="001A7098">
        <w:t xml:space="preserve">Table </w:t>
      </w:r>
      <w:r w:rsidR="001A7098">
        <w:rPr>
          <w:noProof/>
        </w:rPr>
        <w:t>II</w:t>
      </w:r>
      <w:r w:rsidR="001A7098">
        <w:noBreakHyphen/>
      </w:r>
      <w:r w:rsidR="001A7098">
        <w:rPr>
          <w:noProof/>
        </w:rPr>
        <w:t>2</w:t>
      </w:r>
      <w:r w:rsidR="0066295B">
        <w:fldChar w:fldCharType="end"/>
      </w:r>
      <w:r>
        <w:t>.</w:t>
      </w:r>
      <w:r w:rsidR="00EC20B5">
        <w:rPr>
          <w:rStyle w:val="FootnoteReference"/>
        </w:rPr>
        <w:footnoteReference w:id="20"/>
      </w:r>
      <w:r w:rsidR="009A5635">
        <w:t xml:space="preserve"> </w:t>
      </w:r>
    </w:p>
    <w:p w:rsidR="00E97068" w:rsidRDefault="00E97068" w:rsidP="00E97068">
      <w:pPr>
        <w:ind w:left="360"/>
      </w:pPr>
      <w:r>
        <w:t xml:space="preserve">Indicated savings reflect aggregated totals and adjustments made to savings resulting from </w:t>
      </w:r>
      <w:proofErr w:type="spellStart"/>
      <w:r>
        <w:t>NEEA’s</w:t>
      </w:r>
      <w:proofErr w:type="spellEnd"/>
      <w:r>
        <w:t xml:space="preserve"> final savings review, Home Energy Reports evaluations, and the 2014-2015 BECAR.</w:t>
      </w:r>
    </w:p>
    <w:p w:rsidR="00FC1C8F" w:rsidRDefault="00D62204" w:rsidP="009026FD">
      <w:pPr>
        <w:pStyle w:val="Heading9"/>
      </w:pPr>
      <w:bookmarkStart w:id="43" w:name="_Ref448300866"/>
      <w:bookmarkStart w:id="44" w:name="_Toc450627233"/>
      <w:r w:rsidRPr="00D62204">
        <w:rPr>
          <w:noProof/>
        </w:rPr>
        <w:drawing>
          <wp:anchor distT="0" distB="0" distL="114300" distR="114300" simplePos="0" relativeHeight="251892736" behindDoc="0" locked="0" layoutInCell="1" allowOverlap="1" wp14:anchorId="2982F40E" wp14:editId="1FD9907C">
            <wp:simplePos x="0" y="0"/>
            <wp:positionH relativeFrom="column">
              <wp:posOffset>955040</wp:posOffset>
            </wp:positionH>
            <wp:positionV relativeFrom="paragraph">
              <wp:posOffset>215265</wp:posOffset>
            </wp:positionV>
            <wp:extent cx="4280535" cy="26606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0535" cy="266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C8F">
        <w:t xml:space="preserve">Table </w:t>
      </w:r>
      <w:fldSimple w:instr=" STYLEREF 1 \s ">
        <w:r w:rsidR="001A7098">
          <w:rPr>
            <w:noProof/>
          </w:rPr>
          <w:t>II</w:t>
        </w:r>
      </w:fldSimple>
      <w:r w:rsidR="00040BFE">
        <w:noBreakHyphen/>
      </w:r>
      <w:fldSimple w:instr=" SEQ Table \* ARABIC \s 1 ">
        <w:r w:rsidR="001A7098">
          <w:rPr>
            <w:noProof/>
          </w:rPr>
          <w:t>2</w:t>
        </w:r>
      </w:fldSimple>
      <w:bookmarkEnd w:id="43"/>
      <w:r w:rsidR="00FC1C8F">
        <w:t>: 2014-2015 Sector-Level Electric Savings</w:t>
      </w:r>
      <w:bookmarkEnd w:id="44"/>
    </w:p>
    <w:p w:rsidR="00FC1C8F" w:rsidRDefault="00FC1C8F" w:rsidP="00FC1C8F"/>
    <w:p w:rsidR="00FC1C8F" w:rsidRDefault="00FC1C8F" w:rsidP="00FC1C8F"/>
    <w:p w:rsidR="00FC1C8F" w:rsidRDefault="00FC1C8F" w:rsidP="00FC1C8F"/>
    <w:p w:rsidR="00FC1C8F" w:rsidRDefault="00FC1C8F" w:rsidP="00FC1C8F"/>
    <w:p w:rsidR="00FC1C8F" w:rsidRDefault="00FC1C8F" w:rsidP="00FC1C8F"/>
    <w:p w:rsidR="009026FD" w:rsidRDefault="009026FD" w:rsidP="00FC1C8F"/>
    <w:p w:rsidR="00D62204" w:rsidRDefault="00D62204" w:rsidP="00FC1C8F"/>
    <w:p w:rsidR="00D62204" w:rsidRDefault="00D62204" w:rsidP="00FC1C8F"/>
    <w:p w:rsidR="00581180" w:rsidRDefault="00581180" w:rsidP="008E0DA4">
      <w:pPr>
        <w:ind w:left="360"/>
      </w:pPr>
      <w:r>
        <w:br w:type="page"/>
      </w:r>
    </w:p>
    <w:p w:rsidR="009026FD" w:rsidRDefault="00F30930" w:rsidP="008E0DA4">
      <w:pPr>
        <w:ind w:left="360"/>
      </w:pPr>
      <w:r>
        <w:lastRenderedPageBreak/>
        <w:t xml:space="preserve">PSE presents </w:t>
      </w:r>
      <w:r w:rsidR="009A5635">
        <w:t xml:space="preserve">2014-2015 Sector-level </w:t>
      </w:r>
      <w:r w:rsidR="00BB2939">
        <w:t xml:space="preserve">total </w:t>
      </w:r>
      <w:r w:rsidR="009A5635">
        <w:t xml:space="preserve">expenditures compared to budgets in </w:t>
      </w:r>
      <w:r w:rsidR="009A5635">
        <w:fldChar w:fldCharType="begin"/>
      </w:r>
      <w:r w:rsidR="009A5635">
        <w:instrText xml:space="preserve"> REF _Ref448300874 \h </w:instrText>
      </w:r>
      <w:r w:rsidR="009A5635">
        <w:fldChar w:fldCharType="separate"/>
      </w:r>
      <w:r w:rsidR="001A7098">
        <w:t xml:space="preserve">Table </w:t>
      </w:r>
      <w:r w:rsidR="001A7098">
        <w:rPr>
          <w:noProof/>
        </w:rPr>
        <w:t>II</w:t>
      </w:r>
      <w:r w:rsidR="001A7098">
        <w:noBreakHyphen/>
      </w:r>
      <w:r w:rsidR="001A7098">
        <w:rPr>
          <w:noProof/>
        </w:rPr>
        <w:t>3</w:t>
      </w:r>
      <w:r w:rsidR="009A5635">
        <w:fldChar w:fldCharType="end"/>
      </w:r>
      <w:r w:rsidR="009A5635">
        <w:t>.</w:t>
      </w:r>
    </w:p>
    <w:p w:rsidR="00DB1E67" w:rsidRDefault="00581180" w:rsidP="00DB1E67">
      <w:pPr>
        <w:pStyle w:val="Heading9"/>
      </w:pPr>
      <w:bookmarkStart w:id="45" w:name="_Ref448300874"/>
      <w:bookmarkStart w:id="46" w:name="_Toc450627234"/>
      <w:r w:rsidRPr="00581180">
        <w:rPr>
          <w:noProof/>
        </w:rPr>
        <w:drawing>
          <wp:anchor distT="0" distB="0" distL="114300" distR="114300" simplePos="0" relativeHeight="251905024" behindDoc="0" locked="0" layoutInCell="1" allowOverlap="1" wp14:anchorId="08396F20" wp14:editId="1E68D2EE">
            <wp:simplePos x="0" y="0"/>
            <wp:positionH relativeFrom="column">
              <wp:posOffset>622935</wp:posOffset>
            </wp:positionH>
            <wp:positionV relativeFrom="paragraph">
              <wp:posOffset>226060</wp:posOffset>
            </wp:positionV>
            <wp:extent cx="5936615" cy="340677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6615" cy="340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E67">
        <w:t xml:space="preserve">Table </w:t>
      </w:r>
      <w:fldSimple w:instr=" STYLEREF 1 \s ">
        <w:r w:rsidR="001A7098">
          <w:rPr>
            <w:noProof/>
          </w:rPr>
          <w:t>II</w:t>
        </w:r>
      </w:fldSimple>
      <w:r w:rsidR="00040BFE">
        <w:noBreakHyphen/>
      </w:r>
      <w:fldSimple w:instr=" SEQ Table \* ARABIC \s 1 ">
        <w:r w:rsidR="001A7098">
          <w:rPr>
            <w:noProof/>
          </w:rPr>
          <w:t>3</w:t>
        </w:r>
      </w:fldSimple>
      <w:bookmarkEnd w:id="45"/>
      <w:r w:rsidR="00DB1E67">
        <w:t>: 2014-2015 Sector-Level Electric Expenditures</w:t>
      </w:r>
      <w:bookmarkEnd w:id="46"/>
    </w:p>
    <w:p w:rsidR="00DB1E67" w:rsidRDefault="00DB1E67" w:rsidP="00DB1E67"/>
    <w:p w:rsidR="00DB1E67" w:rsidRDefault="00DB1E67" w:rsidP="00DB1E67"/>
    <w:p w:rsidR="00DB1E67" w:rsidRDefault="00DB1E67" w:rsidP="00DB1E67"/>
    <w:p w:rsidR="00DB1E67" w:rsidRDefault="00DB1E67" w:rsidP="00DB1E67"/>
    <w:p w:rsidR="00DB1E67" w:rsidRDefault="00DB1E67" w:rsidP="00DB1E67"/>
    <w:p w:rsidR="00DB1E67" w:rsidRDefault="00DB1E67" w:rsidP="00DB1E67"/>
    <w:p w:rsidR="00DB1E67" w:rsidRDefault="00DB1E67" w:rsidP="00DB1E67"/>
    <w:p w:rsidR="00DB1E67" w:rsidRDefault="00DB1E67" w:rsidP="00DB1E67"/>
    <w:p w:rsidR="00DB1E67" w:rsidRDefault="00DB1E67" w:rsidP="00DB1E67"/>
    <w:p w:rsidR="00581180" w:rsidRPr="00DB1E67" w:rsidRDefault="00581180" w:rsidP="00DB1E67"/>
    <w:p w:rsidR="00E2099C" w:rsidRDefault="001E6EED" w:rsidP="00FF3FA1">
      <w:pPr>
        <w:pStyle w:val="Heading2"/>
      </w:pPr>
      <w:bookmarkStart w:id="47" w:name="_Toc450627074"/>
      <w:r>
        <w:t>Conservation</w:t>
      </w:r>
      <w:r w:rsidR="006B0BA5">
        <w:t xml:space="preserve"> Savings</w:t>
      </w:r>
      <w:r w:rsidR="00E2099C">
        <w:t xml:space="preserve"> Verification</w:t>
      </w:r>
      <w:bookmarkEnd w:id="47"/>
      <w:r w:rsidR="00E2099C">
        <w:t xml:space="preserve"> </w:t>
      </w:r>
    </w:p>
    <w:p w:rsidR="00897E1E" w:rsidRDefault="00897E1E" w:rsidP="00240469">
      <w:pPr>
        <w:ind w:left="360"/>
      </w:pPr>
      <w:r>
        <w:t xml:space="preserve">It is </w:t>
      </w:r>
      <w:r w:rsidR="003771BB">
        <w:t xml:space="preserve">essential </w:t>
      </w:r>
      <w:r>
        <w:t xml:space="preserve">that readers understand that savings </w:t>
      </w:r>
      <w:r w:rsidR="005A0F79">
        <w:t xml:space="preserve">and financial </w:t>
      </w:r>
      <w:r>
        <w:t xml:space="preserve">reporting accuracy is of </w:t>
      </w:r>
      <w:r w:rsidR="00C328CF">
        <w:t>significant</w:t>
      </w:r>
      <w:r>
        <w:t xml:space="preserve"> importance to PSE, and it is a </w:t>
      </w:r>
      <w:r w:rsidR="001616FD">
        <w:t xml:space="preserve">charge </w:t>
      </w:r>
      <w:r>
        <w:t xml:space="preserve">that </w:t>
      </w:r>
      <w:r w:rsidR="004F5489">
        <w:t>Energy Efficiency</w:t>
      </w:r>
      <w:r w:rsidR="003771BB">
        <w:t xml:space="preserve"> s</w:t>
      </w:r>
      <w:r w:rsidR="00C02481">
        <w:t>taff execute</w:t>
      </w:r>
      <w:r>
        <w:t xml:space="preserve"> on a daily basis</w:t>
      </w:r>
      <w:proofErr w:type="gramStart"/>
      <w:r>
        <w:t>.</w:t>
      </w:r>
      <w:r w:rsidR="00FB1265">
        <w:t xml:space="preserve"> </w:t>
      </w:r>
      <w:proofErr w:type="gramEnd"/>
      <w:r>
        <w:t xml:space="preserve">The results of their efforts have been validated by independent sources and recognized by CRAG members for the past </w:t>
      </w:r>
      <w:r w:rsidR="008B57E9">
        <w:t>three biennia</w:t>
      </w:r>
      <w:proofErr w:type="gramStart"/>
      <w:r>
        <w:t>.</w:t>
      </w:r>
      <w:r w:rsidR="00FB1265">
        <w:t xml:space="preserve"> </w:t>
      </w:r>
      <w:proofErr w:type="gramEnd"/>
      <w:r>
        <w:t>PSE relies on conservation savings t</w:t>
      </w:r>
      <w:r w:rsidR="001616FD">
        <w:t>o reduce customer resource needs</w:t>
      </w:r>
      <w:proofErr w:type="gramStart"/>
      <w:r>
        <w:t>.</w:t>
      </w:r>
      <w:r w:rsidR="00FB1265">
        <w:t xml:space="preserve"> </w:t>
      </w:r>
      <w:proofErr w:type="gramEnd"/>
      <w:r>
        <w:t xml:space="preserve">Absent </w:t>
      </w:r>
      <w:r w:rsidR="001616FD">
        <w:t>regulatory</w:t>
      </w:r>
      <w:r>
        <w:t xml:space="preserve"> requirements, </w:t>
      </w:r>
      <w:r w:rsidR="004F5489">
        <w:t>Energy Efficiency</w:t>
      </w:r>
      <w:r w:rsidR="00A71139">
        <w:t xml:space="preserve"> s</w:t>
      </w:r>
      <w:r>
        <w:t>taff would continue to exercise the same degree of rigor</w:t>
      </w:r>
      <w:r w:rsidR="00527882">
        <w:t>,</w:t>
      </w:r>
      <w:r>
        <w:t xml:space="preserve"> </w:t>
      </w:r>
      <w:r w:rsidR="001616FD">
        <w:t>oversight</w:t>
      </w:r>
      <w:r w:rsidR="00527882">
        <w:t>,</w:t>
      </w:r>
      <w:r w:rsidR="001616FD">
        <w:t xml:space="preserve"> and Total Quality Management </w:t>
      </w:r>
      <w:r w:rsidR="002B3121">
        <w:t xml:space="preserve">(“TQM”) </w:t>
      </w:r>
      <w:r>
        <w:t>that it does today.</w:t>
      </w:r>
      <w:r w:rsidR="00FB1265">
        <w:t xml:space="preserve"> </w:t>
      </w:r>
    </w:p>
    <w:p w:rsidR="00BA5140" w:rsidRDefault="00705F11" w:rsidP="00BA5140">
      <w:pPr>
        <w:ind w:left="360"/>
      </w:pPr>
      <w:r>
        <w:t xml:space="preserve">Throughout the just-completed biennium, PSE executed </w:t>
      </w:r>
      <w:r w:rsidR="00E269D6">
        <w:t>a wide range of strategies and tactics</w:t>
      </w:r>
      <w:r w:rsidR="00F82D61">
        <w:t xml:space="preserve"> </w:t>
      </w:r>
      <w:r w:rsidR="00E269D6">
        <w:t>that</w:t>
      </w:r>
      <w:r>
        <w:t xml:space="preserve"> ensure</w:t>
      </w:r>
      <w:r w:rsidR="00E269D6">
        <w:t>d</w:t>
      </w:r>
      <w:r>
        <w:t xml:space="preserve"> the veracity of its conservation savings </w:t>
      </w:r>
      <w:r w:rsidR="005A0F79">
        <w:t xml:space="preserve">and financial </w:t>
      </w:r>
      <w:r>
        <w:t>reporting</w:t>
      </w:r>
      <w:r w:rsidR="00473040">
        <w:t xml:space="preserve"> </w:t>
      </w:r>
      <w:r w:rsidR="00215D47">
        <w:t>while</w:t>
      </w:r>
      <w:r w:rsidR="001616FD">
        <w:t xml:space="preserve"> </w:t>
      </w:r>
      <w:r w:rsidR="00473040">
        <w:t>e</w:t>
      </w:r>
      <w:r w:rsidR="000F714D">
        <w:t>xceed</w:t>
      </w:r>
      <w:r w:rsidR="00215D47">
        <w:t>ing</w:t>
      </w:r>
      <w:r w:rsidR="000F714D">
        <w:t xml:space="preserve"> most examination criteria</w:t>
      </w:r>
      <w:r w:rsidR="00402E6C">
        <w:rPr>
          <w:rFonts w:cs="Arial"/>
        </w:rPr>
        <w:t>—</w:t>
      </w:r>
      <w:r w:rsidR="00527882">
        <w:t>both</w:t>
      </w:r>
      <w:r w:rsidR="00C02481">
        <w:t xml:space="preserve"> internal and</w:t>
      </w:r>
      <w:r w:rsidR="00473040">
        <w:t xml:space="preserve"> external</w:t>
      </w:r>
      <w:r>
        <w:t>.</w:t>
      </w:r>
      <w:r w:rsidR="00FB1265">
        <w:t xml:space="preserve"> </w:t>
      </w:r>
    </w:p>
    <w:p w:rsidR="008E0DA4" w:rsidRDefault="008E0DA4" w:rsidP="00BA5140">
      <w:pPr>
        <w:ind w:left="360"/>
      </w:pPr>
      <w:r>
        <w:br w:type="page"/>
      </w:r>
    </w:p>
    <w:p w:rsidR="00705F11" w:rsidRDefault="00705F11" w:rsidP="00EB2813">
      <w:pPr>
        <w:pStyle w:val="Heading3"/>
        <w:numPr>
          <w:ilvl w:val="0"/>
          <w:numId w:val="35"/>
        </w:numPr>
        <w:ind w:left="900"/>
      </w:pPr>
      <w:bookmarkStart w:id="48" w:name="_Toc450627075"/>
      <w:r>
        <w:lastRenderedPageBreak/>
        <w:t>Internal Reviews</w:t>
      </w:r>
      <w:bookmarkEnd w:id="48"/>
    </w:p>
    <w:p w:rsidR="00C90C92" w:rsidRDefault="00C90C92" w:rsidP="00EB2813">
      <w:pPr>
        <w:ind w:left="720"/>
      </w:pPr>
      <w:r>
        <w:t xml:space="preserve">PSE could not have achieved these results without </w:t>
      </w:r>
      <w:r w:rsidR="004F5489">
        <w:t>Energy Efficiency</w:t>
      </w:r>
      <w:r w:rsidR="00523E7B">
        <w:t xml:space="preserve"> s</w:t>
      </w:r>
      <w:r>
        <w:t xml:space="preserve">taff’s commitment to satisfying customer expectations, adaptively managing it programs using </w:t>
      </w:r>
      <w:r w:rsidR="002B3121">
        <w:t>TQM</w:t>
      </w:r>
      <w:r>
        <w:t xml:space="preserve"> principles, focusing on innovation, and continuously improving processes to </w:t>
      </w:r>
      <w:r w:rsidR="00236425">
        <w:t>optimize</w:t>
      </w:r>
      <w:r>
        <w:t xml:space="preserve"> efficiency and effectiveness.</w:t>
      </w:r>
    </w:p>
    <w:p w:rsidR="00236425" w:rsidRDefault="00705F11" w:rsidP="00EB2813">
      <w:pPr>
        <w:ind w:left="720"/>
      </w:pPr>
      <w:r>
        <w:t xml:space="preserve">PSE’s </w:t>
      </w:r>
      <w:r w:rsidR="004F5489">
        <w:t>Energy Efficiency</w:t>
      </w:r>
      <w:r w:rsidR="009658C8">
        <w:t xml:space="preserve"> </w:t>
      </w:r>
      <w:r>
        <w:t xml:space="preserve">department, consisting of </w:t>
      </w:r>
      <w:r w:rsidR="00527882">
        <w:t>Residential and Business Energy Management (</w:t>
      </w:r>
      <w:r w:rsidR="005F6806">
        <w:t>“</w:t>
      </w:r>
      <w:r w:rsidR="00C728C3">
        <w:t>REM</w:t>
      </w:r>
      <w:r w:rsidR="005F6806">
        <w:t>”</w:t>
      </w:r>
      <w:r w:rsidR="00C728C3">
        <w:t xml:space="preserve"> and </w:t>
      </w:r>
      <w:r w:rsidR="005F6806">
        <w:t>“</w:t>
      </w:r>
      <w:r w:rsidR="00C728C3">
        <w:t>BEM</w:t>
      </w:r>
      <w:r w:rsidR="005F6806">
        <w:t>”</w:t>
      </w:r>
      <w:r w:rsidR="00527882">
        <w:t>)</w:t>
      </w:r>
      <w:r>
        <w:t>, and New Program Development &amp; Verification</w:t>
      </w:r>
      <w:r w:rsidR="00A74E41">
        <w:t xml:space="preserve"> organizations</w:t>
      </w:r>
      <w:r>
        <w:t>, employs rigorous and tested data assimilation and verification process</w:t>
      </w:r>
      <w:r w:rsidR="00111718">
        <w:t>es</w:t>
      </w:r>
      <w:r>
        <w:t xml:space="preserve"> to ensure that monthly savings </w:t>
      </w:r>
      <w:r w:rsidR="00313311">
        <w:t xml:space="preserve">and financial </w:t>
      </w:r>
      <w:r>
        <w:t xml:space="preserve">data </w:t>
      </w:r>
      <w:r w:rsidR="00215D47">
        <w:t>meet</w:t>
      </w:r>
      <w:r w:rsidR="0050620F">
        <w:t xml:space="preserve"> Energy Efficiency’s exacting standards</w:t>
      </w:r>
      <w:r>
        <w:t>.</w:t>
      </w:r>
      <w:r w:rsidR="00E269D6">
        <w:t xml:space="preserve"> </w:t>
      </w:r>
    </w:p>
    <w:p w:rsidR="00246AD1" w:rsidRDefault="008B3802" w:rsidP="00EB2813">
      <w:pPr>
        <w:ind w:left="720"/>
      </w:pPr>
      <w:r>
        <w:t>Similarly, those organizations that provide an ancillary, supporting role also adhere to strict expenditure and reporting guidelines</w:t>
      </w:r>
      <w:proofErr w:type="gramStart"/>
      <w:r>
        <w:t xml:space="preserve">. </w:t>
      </w:r>
      <w:proofErr w:type="gramEnd"/>
      <w:r w:rsidR="0050620F">
        <w:t xml:space="preserve">A summary of several </w:t>
      </w:r>
      <w:r w:rsidR="00246AD1">
        <w:t>internal reviews</w:t>
      </w:r>
      <w:r w:rsidR="007E36EA">
        <w:t xml:space="preserve"> processes</w:t>
      </w:r>
      <w:r w:rsidR="00246AD1">
        <w:t xml:space="preserve"> </w:t>
      </w:r>
      <w:r w:rsidR="00897E1E">
        <w:t xml:space="preserve">that </w:t>
      </w:r>
      <w:r w:rsidR="004F5489">
        <w:t>Energy Efficiency</w:t>
      </w:r>
      <w:r w:rsidR="00A71139">
        <w:t xml:space="preserve"> </w:t>
      </w:r>
      <w:proofErr w:type="gramStart"/>
      <w:r w:rsidR="00A71139">
        <w:t>s</w:t>
      </w:r>
      <w:r w:rsidR="00897E1E">
        <w:t>taff regularly employ</w:t>
      </w:r>
      <w:proofErr w:type="gramEnd"/>
      <w:r w:rsidR="00897E1E">
        <w:t xml:space="preserve"> </w:t>
      </w:r>
      <w:r w:rsidR="00246AD1">
        <w:t>include, but are not limited to:</w:t>
      </w:r>
    </w:p>
    <w:p w:rsidR="008B3802" w:rsidRDefault="008B3802" w:rsidP="0004021E">
      <w:pPr>
        <w:pStyle w:val="ListParagraph"/>
        <w:numPr>
          <w:ilvl w:val="0"/>
          <w:numId w:val="3"/>
        </w:numPr>
        <w:spacing w:after="60"/>
        <w:ind w:left="1440"/>
        <w:contextualSpacing w:val="0"/>
        <w:rPr>
          <w:rFonts w:ascii="Arial" w:hAnsi="Arial" w:cs="Arial"/>
        </w:rPr>
      </w:pPr>
      <w:r w:rsidRPr="00473040">
        <w:rPr>
          <w:rFonts w:ascii="Arial" w:hAnsi="Arial" w:cs="Arial"/>
        </w:rPr>
        <w:t xml:space="preserve">Department processes are consistently </w:t>
      </w:r>
      <w:r w:rsidR="00EA35E0">
        <w:rPr>
          <w:rFonts w:ascii="Arial" w:hAnsi="Arial" w:cs="Arial"/>
        </w:rPr>
        <w:t xml:space="preserve">monitored, </w:t>
      </w:r>
      <w:r w:rsidR="00A938AD">
        <w:rPr>
          <w:rFonts w:ascii="Arial" w:hAnsi="Arial" w:cs="Arial"/>
        </w:rPr>
        <w:t>reviewed and updated</w:t>
      </w:r>
      <w:r w:rsidR="00EA35E0">
        <w:rPr>
          <w:rFonts w:ascii="Arial" w:hAnsi="Arial" w:cs="Arial"/>
        </w:rPr>
        <w:t xml:space="preserve"> throughout the year as needed</w:t>
      </w:r>
      <w:r w:rsidR="00A938AD">
        <w:rPr>
          <w:rFonts w:ascii="Arial" w:hAnsi="Arial" w:cs="Arial"/>
        </w:rPr>
        <w:t>—including M</w:t>
      </w:r>
      <w:r w:rsidRPr="00473040">
        <w:rPr>
          <w:rFonts w:ascii="Arial" w:hAnsi="Arial" w:cs="Arial"/>
        </w:rPr>
        <w:t xml:space="preserve">easure </w:t>
      </w:r>
      <w:r w:rsidR="00A938AD">
        <w:rPr>
          <w:rFonts w:ascii="Arial" w:hAnsi="Arial" w:cs="Arial"/>
        </w:rPr>
        <w:t>Revision</w:t>
      </w:r>
      <w:r w:rsidR="00EA35E0">
        <w:rPr>
          <w:rFonts w:ascii="Arial" w:hAnsi="Arial" w:cs="Arial"/>
        </w:rPr>
        <w:t xml:space="preserve"> (semi-annually)</w:t>
      </w:r>
      <w:r w:rsidR="00A938AD">
        <w:rPr>
          <w:rFonts w:ascii="Arial" w:hAnsi="Arial" w:cs="Arial"/>
        </w:rPr>
        <w:t>, Savings Reporting</w:t>
      </w:r>
      <w:r w:rsidR="00EA35E0">
        <w:rPr>
          <w:rFonts w:ascii="Arial" w:hAnsi="Arial" w:cs="Arial"/>
        </w:rPr>
        <w:t xml:space="preserve"> (annually)</w:t>
      </w:r>
      <w:r w:rsidR="00A938AD">
        <w:rPr>
          <w:rFonts w:ascii="Arial" w:hAnsi="Arial" w:cs="Arial"/>
        </w:rPr>
        <w:t>, Database Usage</w:t>
      </w:r>
      <w:r w:rsidR="00EA35E0">
        <w:rPr>
          <w:rFonts w:ascii="Arial" w:hAnsi="Arial" w:cs="Arial"/>
        </w:rPr>
        <w:t xml:space="preserve"> (annually)</w:t>
      </w:r>
      <w:r w:rsidR="00A938AD">
        <w:rPr>
          <w:rFonts w:ascii="Arial" w:hAnsi="Arial" w:cs="Arial"/>
        </w:rPr>
        <w:t xml:space="preserve">, and Measure Creation </w:t>
      </w:r>
      <w:r w:rsidRPr="00473040">
        <w:rPr>
          <w:rFonts w:ascii="Arial" w:hAnsi="Arial" w:cs="Arial"/>
        </w:rPr>
        <w:t>Guidelines</w:t>
      </w:r>
      <w:r w:rsidR="00EA35E0">
        <w:rPr>
          <w:rFonts w:ascii="Arial" w:hAnsi="Arial" w:cs="Arial"/>
        </w:rPr>
        <w:t xml:space="preserve"> (annually)</w:t>
      </w:r>
      <w:r w:rsidR="004F6DDD">
        <w:rPr>
          <w:rFonts w:ascii="Arial" w:hAnsi="Arial" w:cs="Arial"/>
        </w:rPr>
        <w:t>—</w:t>
      </w:r>
      <w:r w:rsidRPr="00473040">
        <w:rPr>
          <w:rFonts w:ascii="Arial" w:hAnsi="Arial" w:cs="Arial"/>
        </w:rPr>
        <w:t xml:space="preserve">that are </w:t>
      </w:r>
      <w:r w:rsidR="007E36EA">
        <w:rPr>
          <w:rFonts w:ascii="Arial" w:hAnsi="Arial" w:cs="Arial"/>
        </w:rPr>
        <w:t>Supplements</w:t>
      </w:r>
      <w:r w:rsidR="007E36EA" w:rsidRPr="00473040">
        <w:rPr>
          <w:rFonts w:ascii="Arial" w:hAnsi="Arial" w:cs="Arial"/>
        </w:rPr>
        <w:t xml:space="preserve"> </w:t>
      </w:r>
      <w:r w:rsidRPr="00473040">
        <w:rPr>
          <w:rFonts w:ascii="Arial" w:hAnsi="Arial" w:cs="Arial"/>
        </w:rPr>
        <w:t xml:space="preserve">to Exhibit 8: </w:t>
      </w:r>
      <w:r w:rsidRPr="001A4964">
        <w:rPr>
          <w:rFonts w:ascii="Arial" w:hAnsi="Arial" w:cs="Arial"/>
          <w:i/>
        </w:rPr>
        <w:t>EM&amp;V Framework</w:t>
      </w:r>
      <w:r w:rsidRPr="00473040">
        <w:rPr>
          <w:rFonts w:ascii="Arial" w:hAnsi="Arial" w:cs="Arial"/>
        </w:rPr>
        <w:t>.</w:t>
      </w:r>
      <w:r>
        <w:rPr>
          <w:rFonts w:ascii="Arial" w:hAnsi="Arial" w:cs="Arial"/>
        </w:rPr>
        <w:t xml:space="preserve"> </w:t>
      </w:r>
    </w:p>
    <w:p w:rsidR="00EA35E0" w:rsidRDefault="008B3802" w:rsidP="00EA35E0">
      <w:pPr>
        <w:pStyle w:val="ListParagraph"/>
        <w:numPr>
          <w:ilvl w:val="0"/>
          <w:numId w:val="3"/>
        </w:numPr>
        <w:spacing w:after="60"/>
        <w:ind w:left="1440"/>
        <w:contextualSpacing w:val="0"/>
        <w:rPr>
          <w:rFonts w:ascii="Arial" w:hAnsi="Arial" w:cs="Arial"/>
        </w:rPr>
      </w:pPr>
      <w:r>
        <w:rPr>
          <w:rFonts w:ascii="Arial" w:hAnsi="Arial" w:cs="Arial"/>
        </w:rPr>
        <w:t xml:space="preserve">A documented savings </w:t>
      </w:r>
      <w:r w:rsidR="00A938AD">
        <w:rPr>
          <w:rFonts w:ascii="Arial" w:hAnsi="Arial" w:cs="Arial"/>
        </w:rPr>
        <w:t xml:space="preserve">and expenditure </w:t>
      </w:r>
      <w:r>
        <w:rPr>
          <w:rFonts w:ascii="Arial" w:hAnsi="Arial" w:cs="Arial"/>
        </w:rPr>
        <w:t xml:space="preserve">adjustment process that recognizes that </w:t>
      </w:r>
      <w:r w:rsidR="00A938AD">
        <w:rPr>
          <w:rFonts w:ascii="Arial" w:hAnsi="Arial" w:cs="Arial"/>
        </w:rPr>
        <w:t xml:space="preserve">it isn’t possible to report savings on the magnitude of Energy Efficiency’s scope without </w:t>
      </w:r>
      <w:r>
        <w:rPr>
          <w:rFonts w:ascii="Arial" w:hAnsi="Arial" w:cs="Arial"/>
        </w:rPr>
        <w:t xml:space="preserve">counting or multiplication errors </w:t>
      </w:r>
      <w:r w:rsidR="00AB4870">
        <w:rPr>
          <w:rFonts w:ascii="Arial" w:hAnsi="Arial" w:cs="Arial"/>
        </w:rPr>
        <w:t>occurring:</w:t>
      </w:r>
      <w:r>
        <w:rPr>
          <w:rFonts w:ascii="Arial" w:hAnsi="Arial" w:cs="Arial"/>
        </w:rPr>
        <w:t xml:space="preserve"> either by </w:t>
      </w:r>
      <w:r w:rsidR="007E36EA">
        <w:rPr>
          <w:rFonts w:ascii="Arial" w:hAnsi="Arial" w:cs="Arial"/>
        </w:rPr>
        <w:t>customers, contractors, or p</w:t>
      </w:r>
      <w:r>
        <w:rPr>
          <w:rFonts w:ascii="Arial" w:hAnsi="Arial" w:cs="Arial"/>
        </w:rPr>
        <w:t>rogram staff</w:t>
      </w:r>
      <w:proofErr w:type="gramStart"/>
      <w:r w:rsidR="007E36EA">
        <w:rPr>
          <w:rFonts w:ascii="Arial" w:hAnsi="Arial" w:cs="Arial"/>
        </w:rPr>
        <w:t>.</w:t>
      </w:r>
      <w:r>
        <w:rPr>
          <w:rFonts w:ascii="Arial" w:hAnsi="Arial" w:cs="Arial"/>
        </w:rPr>
        <w:t xml:space="preserve"> </w:t>
      </w:r>
      <w:proofErr w:type="gramEnd"/>
      <w:r>
        <w:rPr>
          <w:rFonts w:ascii="Arial" w:hAnsi="Arial" w:cs="Arial"/>
        </w:rPr>
        <w:t>PSE publishes every savings adjustment in its Annual Reports as Exhibit 1, Supplement 2.</w:t>
      </w:r>
    </w:p>
    <w:p w:rsidR="00093AA0" w:rsidRDefault="00093AA0" w:rsidP="0004021E">
      <w:pPr>
        <w:pStyle w:val="ListParagraph"/>
        <w:spacing w:after="60"/>
        <w:ind w:left="1440"/>
        <w:contextualSpacing w:val="0"/>
        <w:rPr>
          <w:rFonts w:ascii="Arial" w:hAnsi="Arial" w:cs="Arial"/>
        </w:rPr>
      </w:pPr>
      <w:r>
        <w:rPr>
          <w:rFonts w:ascii="Arial" w:hAnsi="Arial" w:cs="Arial"/>
        </w:rPr>
        <w:t>PSE strives to preven</w:t>
      </w:r>
      <w:r w:rsidR="0004021E">
        <w:rPr>
          <w:rFonts w:ascii="Arial" w:hAnsi="Arial" w:cs="Arial"/>
        </w:rPr>
        <w:t>t</w:t>
      </w:r>
      <w:r>
        <w:rPr>
          <w:rFonts w:ascii="Arial" w:hAnsi="Arial" w:cs="Arial"/>
        </w:rPr>
        <w:t xml:space="preserve"> savings or expenditure accounting errors by reviewing mont</w:t>
      </w:r>
      <w:r w:rsidR="0004021E">
        <w:rPr>
          <w:rFonts w:ascii="Arial" w:hAnsi="Arial" w:cs="Arial"/>
        </w:rPr>
        <w:t>h</w:t>
      </w:r>
      <w:r>
        <w:rPr>
          <w:rFonts w:ascii="Arial" w:hAnsi="Arial" w:cs="Arial"/>
        </w:rPr>
        <w:t xml:space="preserve">ly invoices, with market-or department managers validating expenses, monthly reviews of SAP </w:t>
      </w:r>
      <w:r w:rsidR="0004021E">
        <w:rPr>
          <w:rFonts w:ascii="Arial" w:hAnsi="Arial" w:cs="Arial"/>
        </w:rPr>
        <w:t>program</w:t>
      </w:r>
      <w:r>
        <w:rPr>
          <w:rFonts w:ascii="Arial" w:hAnsi="Arial" w:cs="Arial"/>
        </w:rPr>
        <w:t xml:space="preserve"> details, and </w:t>
      </w:r>
      <w:proofErr w:type="spellStart"/>
      <w:r>
        <w:rPr>
          <w:rFonts w:ascii="Arial" w:hAnsi="Arial" w:cs="Arial"/>
        </w:rPr>
        <w:t>SoX</w:t>
      </w:r>
      <w:proofErr w:type="spellEnd"/>
      <w:r>
        <w:rPr>
          <w:rFonts w:ascii="Arial" w:hAnsi="Arial" w:cs="Arial"/>
        </w:rPr>
        <w:t>-level</w:t>
      </w:r>
      <w:r w:rsidR="004F6DDD">
        <w:rPr>
          <w:rStyle w:val="FootnoteReference"/>
          <w:rFonts w:ascii="Arial" w:hAnsi="Arial"/>
        </w:rPr>
        <w:footnoteReference w:id="21"/>
      </w:r>
      <w:r>
        <w:rPr>
          <w:rFonts w:ascii="Arial" w:hAnsi="Arial" w:cs="Arial"/>
        </w:rPr>
        <w:t xml:space="preserve"> reviews of major custom grant projects</w:t>
      </w:r>
      <w:proofErr w:type="gramStart"/>
      <w:r>
        <w:rPr>
          <w:rFonts w:ascii="Arial" w:hAnsi="Arial" w:cs="Arial"/>
        </w:rPr>
        <w:t xml:space="preserve">. </w:t>
      </w:r>
      <w:proofErr w:type="gramEnd"/>
      <w:r>
        <w:rPr>
          <w:rFonts w:ascii="Arial" w:hAnsi="Arial" w:cs="Arial"/>
        </w:rPr>
        <w:t xml:space="preserve">Expenditure </w:t>
      </w:r>
      <w:r w:rsidR="0004021E">
        <w:rPr>
          <w:rFonts w:ascii="Arial" w:hAnsi="Arial" w:cs="Arial"/>
        </w:rPr>
        <w:t xml:space="preserve">and savings </w:t>
      </w:r>
      <w:r>
        <w:rPr>
          <w:rFonts w:ascii="Arial" w:hAnsi="Arial" w:cs="Arial"/>
        </w:rPr>
        <w:t xml:space="preserve">forecasts </w:t>
      </w:r>
      <w:proofErr w:type="gramStart"/>
      <w:r>
        <w:rPr>
          <w:rFonts w:ascii="Arial" w:hAnsi="Arial" w:cs="Arial"/>
        </w:rPr>
        <w:t>are reviewed</w:t>
      </w:r>
      <w:proofErr w:type="gramEnd"/>
      <w:r>
        <w:rPr>
          <w:rFonts w:ascii="Arial" w:hAnsi="Arial" w:cs="Arial"/>
        </w:rPr>
        <w:t xml:space="preserve"> mont</w:t>
      </w:r>
      <w:r w:rsidR="0004021E">
        <w:rPr>
          <w:rFonts w:ascii="Arial" w:hAnsi="Arial" w:cs="Arial"/>
        </w:rPr>
        <w:t>h</w:t>
      </w:r>
      <w:r>
        <w:rPr>
          <w:rFonts w:ascii="Arial" w:hAnsi="Arial" w:cs="Arial"/>
        </w:rPr>
        <w:t>ly, with</w:t>
      </w:r>
      <w:r w:rsidR="0004021E">
        <w:rPr>
          <w:rFonts w:ascii="Arial" w:hAnsi="Arial" w:cs="Arial"/>
        </w:rPr>
        <w:t xml:space="preserve"> senior management examining monthly actual savings and expense tracking.</w:t>
      </w:r>
    </w:p>
    <w:p w:rsidR="0004021E" w:rsidRPr="00EA35E0" w:rsidRDefault="0004021E" w:rsidP="0004021E">
      <w:pPr>
        <w:pStyle w:val="ListParagraph"/>
        <w:spacing w:after="60"/>
        <w:ind w:left="1440"/>
        <w:contextualSpacing w:val="0"/>
        <w:rPr>
          <w:rFonts w:ascii="Arial" w:hAnsi="Arial" w:cs="Arial"/>
        </w:rPr>
      </w:pPr>
      <w:r>
        <w:rPr>
          <w:rFonts w:ascii="Arial" w:hAnsi="Arial" w:cs="Arial"/>
        </w:rPr>
        <w:t>Customers, contractors, and vendors are also valuable sources of data validation: customers and contractors are quick to call if they receive a rebate amount that is less than expected (they also notify PSE if they are over-paid), and vendors are encouraged to self-report accounting errors.</w:t>
      </w:r>
    </w:p>
    <w:p w:rsidR="00236425" w:rsidRDefault="00236425" w:rsidP="00EB2813">
      <w:pPr>
        <w:pStyle w:val="ListParagraph"/>
        <w:numPr>
          <w:ilvl w:val="0"/>
          <w:numId w:val="3"/>
        </w:numPr>
        <w:spacing w:after="60"/>
        <w:ind w:left="1440"/>
        <w:contextualSpacing w:val="0"/>
        <w:rPr>
          <w:rFonts w:ascii="Arial" w:hAnsi="Arial" w:cs="Arial"/>
        </w:rPr>
      </w:pPr>
      <w:r>
        <w:rPr>
          <w:rFonts w:ascii="Arial" w:hAnsi="Arial" w:cs="Arial"/>
        </w:rPr>
        <w:t xml:space="preserve">QC Review by senior engineering staff of Custom Grant analyses and PSE deemed Unit Energy Savings (“UES”) business cases, and 100 percent pre- and post-installation verification on all custom retrofit grants. </w:t>
      </w:r>
    </w:p>
    <w:p w:rsidR="00236425" w:rsidRDefault="00236425" w:rsidP="00EB2813">
      <w:pPr>
        <w:pStyle w:val="ListParagraph"/>
        <w:numPr>
          <w:ilvl w:val="0"/>
          <w:numId w:val="3"/>
        </w:numPr>
        <w:spacing w:after="60"/>
        <w:ind w:left="1440"/>
        <w:contextualSpacing w:val="0"/>
        <w:rPr>
          <w:rFonts w:ascii="Arial" w:hAnsi="Arial" w:cs="Arial"/>
        </w:rPr>
      </w:pPr>
      <w:r>
        <w:rPr>
          <w:rFonts w:ascii="Arial" w:hAnsi="Arial" w:cs="Arial"/>
        </w:rPr>
        <w:lastRenderedPageBreak/>
        <w:t>Systematic data processing controls, with built-in rules designed to capture discrepancies.</w:t>
      </w:r>
    </w:p>
    <w:p w:rsidR="00EA35E0" w:rsidRDefault="00380939" w:rsidP="0004021E">
      <w:pPr>
        <w:pStyle w:val="ListParagraph"/>
        <w:spacing w:after="60"/>
        <w:ind w:left="1440"/>
        <w:contextualSpacing w:val="0"/>
        <w:rPr>
          <w:rFonts w:ascii="Arial" w:hAnsi="Arial" w:cs="Arial"/>
        </w:rPr>
      </w:pPr>
      <w:r>
        <w:rPr>
          <w:rFonts w:ascii="Arial" w:hAnsi="Arial" w:cs="Arial"/>
        </w:rPr>
        <w:t xml:space="preserve">One of the </w:t>
      </w:r>
      <w:r w:rsidR="00870B8E">
        <w:rPr>
          <w:rFonts w:ascii="Arial" w:hAnsi="Arial" w:cs="Arial"/>
        </w:rPr>
        <w:t xml:space="preserve">key </w:t>
      </w:r>
      <w:r>
        <w:rPr>
          <w:rFonts w:ascii="Arial" w:hAnsi="Arial" w:cs="Arial"/>
        </w:rPr>
        <w:t xml:space="preserve">rules is a reporting cross-check, where </w:t>
      </w:r>
      <w:r w:rsidR="00EA35E0">
        <w:rPr>
          <w:rFonts w:ascii="Arial" w:hAnsi="Arial" w:cs="Arial"/>
        </w:rPr>
        <w:t xml:space="preserve">program data </w:t>
      </w:r>
      <w:r>
        <w:rPr>
          <w:rFonts w:ascii="Arial" w:hAnsi="Arial" w:cs="Arial"/>
        </w:rPr>
        <w:t xml:space="preserve">that </w:t>
      </w:r>
      <w:r w:rsidR="00EA35E0">
        <w:rPr>
          <w:rFonts w:ascii="Arial" w:hAnsi="Arial" w:cs="Arial"/>
        </w:rPr>
        <w:t xml:space="preserve">is </w:t>
      </w:r>
      <w:r>
        <w:rPr>
          <w:rFonts w:ascii="Arial" w:hAnsi="Arial" w:cs="Arial"/>
        </w:rPr>
        <w:t>collected throughout the month</w:t>
      </w:r>
      <w:r w:rsidR="00EA35E0">
        <w:rPr>
          <w:rFonts w:ascii="Arial" w:hAnsi="Arial" w:cs="Arial"/>
        </w:rPr>
        <w:t xml:space="preserve"> is compared with archived values stored in the EES Tracking Database, and against data already reported and logged</w:t>
      </w:r>
      <w:proofErr w:type="gramStart"/>
      <w:r w:rsidR="00EA35E0">
        <w:rPr>
          <w:rFonts w:ascii="Arial" w:hAnsi="Arial" w:cs="Arial"/>
        </w:rPr>
        <w:t xml:space="preserve">. </w:t>
      </w:r>
      <w:proofErr w:type="gramEnd"/>
      <w:r w:rsidR="00EA35E0">
        <w:rPr>
          <w:rFonts w:ascii="Arial" w:hAnsi="Arial" w:cs="Arial"/>
        </w:rPr>
        <w:t>If the comparison reveals an error, program staff and Data and Systems Support staff complete the savings adjustment request form,</w:t>
      </w:r>
      <w:r w:rsidR="00EA35E0">
        <w:rPr>
          <w:rStyle w:val="FootnoteReference"/>
          <w:rFonts w:ascii="Arial" w:hAnsi="Arial"/>
        </w:rPr>
        <w:footnoteReference w:id="22"/>
      </w:r>
      <w:r w:rsidR="00EA35E0">
        <w:rPr>
          <w:rFonts w:ascii="Arial" w:hAnsi="Arial" w:cs="Arial"/>
        </w:rPr>
        <w:t xml:space="preserve"> consisting of the questions:</w:t>
      </w:r>
    </w:p>
    <w:p w:rsidR="00EA35E0" w:rsidRPr="00EA35E0" w:rsidRDefault="00EA35E0" w:rsidP="004F6DDD">
      <w:pPr>
        <w:pStyle w:val="ListParagraph"/>
        <w:numPr>
          <w:ilvl w:val="0"/>
          <w:numId w:val="37"/>
        </w:numPr>
        <w:spacing w:after="120" w:line="320" w:lineRule="exact"/>
        <w:ind w:left="1800"/>
        <w:rPr>
          <w:rFonts w:ascii="Arial" w:hAnsi="Arial" w:cs="Arial"/>
        </w:rPr>
      </w:pPr>
      <w:r w:rsidRPr="00EA35E0">
        <w:rPr>
          <w:rFonts w:ascii="Arial" w:hAnsi="Arial" w:cs="Arial"/>
        </w:rPr>
        <w:t>What is the reporting discrepancy?</w:t>
      </w:r>
    </w:p>
    <w:p w:rsidR="00EA35E0" w:rsidRPr="00EA35E0" w:rsidRDefault="00EA35E0" w:rsidP="004F6DDD">
      <w:pPr>
        <w:pStyle w:val="ListParagraph"/>
        <w:numPr>
          <w:ilvl w:val="0"/>
          <w:numId w:val="37"/>
        </w:numPr>
        <w:spacing w:after="120" w:line="320" w:lineRule="exact"/>
        <w:ind w:left="1800"/>
        <w:rPr>
          <w:rFonts w:ascii="Arial" w:hAnsi="Arial" w:cs="Arial"/>
        </w:rPr>
      </w:pPr>
      <w:r w:rsidRPr="00EA35E0">
        <w:rPr>
          <w:rFonts w:ascii="Arial" w:hAnsi="Arial" w:cs="Arial"/>
        </w:rPr>
        <w:t xml:space="preserve">How </w:t>
      </w:r>
      <w:proofErr w:type="gramStart"/>
      <w:r w:rsidRPr="00EA35E0">
        <w:rPr>
          <w:rFonts w:ascii="Arial" w:hAnsi="Arial" w:cs="Arial"/>
        </w:rPr>
        <w:t>was the discrepancy discovered</w:t>
      </w:r>
      <w:proofErr w:type="gramEnd"/>
      <w:r w:rsidRPr="00EA35E0">
        <w:rPr>
          <w:rFonts w:ascii="Arial" w:hAnsi="Arial" w:cs="Arial"/>
        </w:rPr>
        <w:t>?</w:t>
      </w:r>
    </w:p>
    <w:p w:rsidR="00EA35E0" w:rsidRPr="00EA35E0" w:rsidRDefault="00EA35E0" w:rsidP="004F6DDD">
      <w:pPr>
        <w:pStyle w:val="ListParagraph"/>
        <w:numPr>
          <w:ilvl w:val="0"/>
          <w:numId w:val="37"/>
        </w:numPr>
        <w:spacing w:after="120" w:line="320" w:lineRule="exact"/>
        <w:ind w:left="1800"/>
        <w:rPr>
          <w:rFonts w:ascii="Arial" w:hAnsi="Arial" w:cs="Arial"/>
        </w:rPr>
      </w:pPr>
      <w:r w:rsidRPr="00EA35E0">
        <w:rPr>
          <w:rFonts w:ascii="Arial" w:hAnsi="Arial" w:cs="Arial"/>
        </w:rPr>
        <w:t>What was the effect of the discrepancy?</w:t>
      </w:r>
    </w:p>
    <w:p w:rsidR="00EA35E0" w:rsidRPr="00EA35E0" w:rsidRDefault="00EA35E0" w:rsidP="004F6DDD">
      <w:pPr>
        <w:pStyle w:val="ListParagraph"/>
        <w:numPr>
          <w:ilvl w:val="0"/>
          <w:numId w:val="37"/>
        </w:numPr>
        <w:spacing w:after="60" w:line="320" w:lineRule="exact"/>
        <w:ind w:left="1800"/>
        <w:rPr>
          <w:rFonts w:ascii="Arial" w:hAnsi="Arial" w:cs="Arial"/>
        </w:rPr>
      </w:pPr>
      <w:r w:rsidRPr="00EA35E0">
        <w:rPr>
          <w:rFonts w:ascii="Arial" w:hAnsi="Arial" w:cs="Arial"/>
        </w:rPr>
        <w:t xml:space="preserve">How </w:t>
      </w:r>
      <w:proofErr w:type="gramStart"/>
      <w:r w:rsidRPr="00EA35E0">
        <w:rPr>
          <w:rFonts w:ascii="Arial" w:hAnsi="Arial" w:cs="Arial"/>
        </w:rPr>
        <w:t>is it corrected</w:t>
      </w:r>
      <w:proofErr w:type="gramEnd"/>
      <w:r w:rsidRPr="00EA35E0">
        <w:rPr>
          <w:rFonts w:ascii="Arial" w:hAnsi="Arial" w:cs="Arial"/>
        </w:rPr>
        <w:t>?</w:t>
      </w:r>
    </w:p>
    <w:p w:rsidR="00EA35E0" w:rsidRPr="00EA35E0" w:rsidRDefault="00EA35E0" w:rsidP="004F6DDD">
      <w:pPr>
        <w:pStyle w:val="ListParagraph"/>
        <w:numPr>
          <w:ilvl w:val="0"/>
          <w:numId w:val="37"/>
        </w:numPr>
        <w:spacing w:after="240"/>
        <w:ind w:left="1800"/>
        <w:contextualSpacing w:val="0"/>
        <w:rPr>
          <w:rFonts w:ascii="Arial" w:hAnsi="Arial" w:cs="Arial"/>
        </w:rPr>
      </w:pPr>
      <w:r w:rsidRPr="00EA35E0">
        <w:rPr>
          <w:rFonts w:ascii="Arial" w:hAnsi="Arial" w:cs="Arial"/>
        </w:rPr>
        <w:t xml:space="preserve">How will program staff ensure that the discrepancy </w:t>
      </w:r>
      <w:proofErr w:type="gramStart"/>
      <w:r w:rsidRPr="00EA35E0">
        <w:rPr>
          <w:rFonts w:ascii="Arial" w:hAnsi="Arial" w:cs="Arial"/>
        </w:rPr>
        <w:t>is not repeated</w:t>
      </w:r>
      <w:proofErr w:type="gramEnd"/>
      <w:r w:rsidRPr="00EA35E0">
        <w:rPr>
          <w:rFonts w:ascii="Arial" w:hAnsi="Arial" w:cs="Arial"/>
        </w:rPr>
        <w:t>?</w:t>
      </w:r>
    </w:p>
    <w:p w:rsidR="00897E1E" w:rsidRDefault="00897E1E" w:rsidP="00EB2813">
      <w:pPr>
        <w:pStyle w:val="ListParagraph"/>
        <w:numPr>
          <w:ilvl w:val="0"/>
          <w:numId w:val="3"/>
        </w:numPr>
        <w:spacing w:after="60"/>
        <w:ind w:left="1440"/>
        <w:contextualSpacing w:val="0"/>
        <w:rPr>
          <w:rFonts w:ascii="Arial" w:hAnsi="Arial" w:cs="Arial"/>
        </w:rPr>
      </w:pPr>
      <w:r>
        <w:rPr>
          <w:rFonts w:ascii="Arial" w:hAnsi="Arial" w:cs="Arial"/>
        </w:rPr>
        <w:t xml:space="preserve">Verification Team on-site inspection of a wide range of </w:t>
      </w:r>
      <w:r w:rsidR="00A3598A">
        <w:rPr>
          <w:rFonts w:ascii="Arial" w:hAnsi="Arial" w:cs="Arial"/>
        </w:rPr>
        <w:t xml:space="preserve">residential and commercial </w:t>
      </w:r>
      <w:r>
        <w:rPr>
          <w:rFonts w:ascii="Arial" w:hAnsi="Arial" w:cs="Arial"/>
        </w:rPr>
        <w:t>measures prior to incentive payment.</w:t>
      </w:r>
      <w:r w:rsidR="00FB1265">
        <w:rPr>
          <w:rFonts w:ascii="Arial" w:hAnsi="Arial" w:cs="Arial"/>
        </w:rPr>
        <w:t xml:space="preserve"> </w:t>
      </w:r>
    </w:p>
    <w:p w:rsidR="00132705" w:rsidRDefault="00897E1E" w:rsidP="00EB2813">
      <w:pPr>
        <w:pStyle w:val="ListParagraph"/>
        <w:numPr>
          <w:ilvl w:val="0"/>
          <w:numId w:val="3"/>
        </w:numPr>
        <w:spacing w:after="60"/>
        <w:ind w:left="1440"/>
        <w:contextualSpacing w:val="0"/>
        <w:rPr>
          <w:rFonts w:ascii="Arial" w:hAnsi="Arial" w:cs="Arial"/>
        </w:rPr>
      </w:pPr>
      <w:r>
        <w:rPr>
          <w:rFonts w:ascii="Arial" w:hAnsi="Arial" w:cs="Arial"/>
        </w:rPr>
        <w:t>A robust evaluation process</w:t>
      </w:r>
      <w:r w:rsidR="00A938AD">
        <w:rPr>
          <w:rFonts w:ascii="Arial" w:hAnsi="Arial" w:cs="Arial"/>
        </w:rPr>
        <w:t xml:space="preserve"> that includes an Evaluation Report Response follow-up by program staff</w:t>
      </w:r>
      <w:r>
        <w:rPr>
          <w:rFonts w:ascii="Arial" w:hAnsi="Arial" w:cs="Arial"/>
        </w:rPr>
        <w:t xml:space="preserve">, executed by </w:t>
      </w:r>
      <w:r w:rsidR="006D24ED">
        <w:rPr>
          <w:rFonts w:ascii="Arial" w:hAnsi="Arial" w:cs="Arial"/>
        </w:rPr>
        <w:t>senior</w:t>
      </w:r>
      <w:r w:rsidR="00A71139">
        <w:rPr>
          <w:rFonts w:ascii="Arial" w:hAnsi="Arial" w:cs="Arial"/>
        </w:rPr>
        <w:t xml:space="preserve"> Evaluation s</w:t>
      </w:r>
      <w:r>
        <w:rPr>
          <w:rFonts w:ascii="Arial" w:hAnsi="Arial" w:cs="Arial"/>
        </w:rPr>
        <w:t>taff</w:t>
      </w:r>
      <w:r w:rsidR="006D24ED">
        <w:rPr>
          <w:rFonts w:ascii="Arial" w:hAnsi="Arial" w:cs="Arial"/>
        </w:rPr>
        <w:t xml:space="preserve">, as well as </w:t>
      </w:r>
      <w:r w:rsidR="00412DD2">
        <w:rPr>
          <w:rFonts w:ascii="Arial" w:hAnsi="Arial" w:cs="Arial"/>
        </w:rPr>
        <w:t xml:space="preserve">capable </w:t>
      </w:r>
      <w:r w:rsidR="006D24ED">
        <w:rPr>
          <w:rFonts w:ascii="Arial" w:hAnsi="Arial" w:cs="Arial"/>
        </w:rPr>
        <w:t>independent third-party</w:t>
      </w:r>
      <w:r w:rsidR="006D24ED" w:rsidRPr="006D24ED">
        <w:rPr>
          <w:rFonts w:ascii="Arial" w:hAnsi="Arial" w:cs="Arial"/>
        </w:rPr>
        <w:t xml:space="preserve"> </w:t>
      </w:r>
      <w:r w:rsidR="006D24ED">
        <w:rPr>
          <w:rFonts w:ascii="Arial" w:hAnsi="Arial" w:cs="Arial"/>
        </w:rPr>
        <w:t>professionals</w:t>
      </w:r>
      <w:r w:rsidR="00132705">
        <w:rPr>
          <w:rFonts w:ascii="Arial" w:hAnsi="Arial" w:cs="Arial"/>
        </w:rPr>
        <w:t>.</w:t>
      </w:r>
    </w:p>
    <w:p w:rsidR="00132705" w:rsidRPr="008B3802" w:rsidRDefault="00132705" w:rsidP="00EB2813">
      <w:pPr>
        <w:pStyle w:val="ListParagraph"/>
        <w:numPr>
          <w:ilvl w:val="0"/>
          <w:numId w:val="3"/>
        </w:numPr>
        <w:spacing w:after="60"/>
        <w:ind w:left="1440"/>
        <w:contextualSpacing w:val="0"/>
        <w:rPr>
          <w:rFonts w:ascii="Arial" w:hAnsi="Arial" w:cs="Arial"/>
        </w:rPr>
      </w:pPr>
      <w:r>
        <w:rPr>
          <w:rFonts w:ascii="Arial" w:hAnsi="Arial" w:cs="Arial"/>
        </w:rPr>
        <w:t xml:space="preserve">A Measure Metrics archival system that </w:t>
      </w:r>
      <w:r w:rsidR="008B3802">
        <w:rPr>
          <w:rFonts w:ascii="Arial" w:hAnsi="Arial" w:cs="Arial"/>
        </w:rPr>
        <w:t>links</w:t>
      </w:r>
      <w:r>
        <w:rPr>
          <w:rFonts w:ascii="Arial" w:hAnsi="Arial" w:cs="Arial"/>
        </w:rPr>
        <w:t xml:space="preserve"> </w:t>
      </w:r>
      <w:r w:rsidR="004F5489">
        <w:rPr>
          <w:rFonts w:ascii="Arial" w:hAnsi="Arial" w:cs="Arial"/>
        </w:rPr>
        <w:t>Energy Efficiency</w:t>
      </w:r>
      <w:r>
        <w:rPr>
          <w:rFonts w:ascii="Arial" w:hAnsi="Arial" w:cs="Arial"/>
        </w:rPr>
        <w:t>’s tracking and reporting database</w:t>
      </w:r>
      <w:r w:rsidR="008B3802">
        <w:rPr>
          <w:rFonts w:ascii="Arial" w:hAnsi="Arial" w:cs="Arial"/>
        </w:rPr>
        <w:t>s and archives measures’ sources of savings</w:t>
      </w:r>
      <w:r w:rsidRPr="008B3802">
        <w:rPr>
          <w:rFonts w:ascii="Arial" w:hAnsi="Arial" w:cs="Arial"/>
        </w:rPr>
        <w:t>.</w:t>
      </w:r>
      <w:r w:rsidR="00FB1265" w:rsidRPr="008B3802">
        <w:rPr>
          <w:rFonts w:ascii="Arial" w:hAnsi="Arial" w:cs="Arial"/>
        </w:rPr>
        <w:t xml:space="preserve"> </w:t>
      </w:r>
    </w:p>
    <w:p w:rsidR="00236425" w:rsidRDefault="00236425" w:rsidP="00EB2813">
      <w:pPr>
        <w:pStyle w:val="ListParagraph"/>
        <w:numPr>
          <w:ilvl w:val="0"/>
          <w:numId w:val="3"/>
        </w:numPr>
        <w:spacing w:after="60"/>
        <w:ind w:left="1440"/>
        <w:contextualSpacing w:val="0"/>
        <w:rPr>
          <w:rFonts w:ascii="Arial" w:hAnsi="Arial" w:cs="Arial"/>
        </w:rPr>
      </w:pPr>
      <w:r>
        <w:rPr>
          <w:rFonts w:ascii="Arial" w:hAnsi="Arial" w:cs="Arial"/>
        </w:rPr>
        <w:t>Key databases are routinely compared and reconciled each year—often more frequently.</w:t>
      </w:r>
    </w:p>
    <w:p w:rsidR="00132705" w:rsidRDefault="002F2C66" w:rsidP="00EB2813">
      <w:pPr>
        <w:pStyle w:val="ListParagraph"/>
        <w:numPr>
          <w:ilvl w:val="0"/>
          <w:numId w:val="3"/>
        </w:numPr>
        <w:spacing w:after="60"/>
        <w:ind w:left="1440"/>
        <w:contextualSpacing w:val="0"/>
        <w:rPr>
          <w:rFonts w:ascii="Arial" w:hAnsi="Arial" w:cs="Arial"/>
        </w:rPr>
      </w:pPr>
      <w:proofErr w:type="gramStart"/>
      <w:r>
        <w:rPr>
          <w:rFonts w:ascii="Arial" w:hAnsi="Arial" w:cs="Arial"/>
        </w:rPr>
        <w:t xml:space="preserve">Recurrent </w:t>
      </w:r>
      <w:r w:rsidR="00132705">
        <w:rPr>
          <w:rFonts w:ascii="Arial" w:hAnsi="Arial" w:cs="Arial"/>
        </w:rPr>
        <w:t>subject matter expert training, including field experience, contractor interfacing, and customer engagement.</w:t>
      </w:r>
      <w:proofErr w:type="gramEnd"/>
    </w:p>
    <w:p w:rsidR="00E442E8" w:rsidRDefault="00A71139" w:rsidP="00EB2813">
      <w:pPr>
        <w:pStyle w:val="ListParagraph"/>
        <w:numPr>
          <w:ilvl w:val="0"/>
          <w:numId w:val="3"/>
        </w:numPr>
        <w:spacing w:after="60"/>
        <w:ind w:left="1440"/>
        <w:contextualSpacing w:val="0"/>
        <w:rPr>
          <w:rFonts w:ascii="Arial" w:hAnsi="Arial" w:cs="Arial"/>
        </w:rPr>
      </w:pPr>
      <w:r>
        <w:rPr>
          <w:rFonts w:ascii="Arial" w:hAnsi="Arial" w:cs="Arial"/>
        </w:rPr>
        <w:t>REM and BEM s</w:t>
      </w:r>
      <w:r w:rsidR="00E442E8">
        <w:rPr>
          <w:rFonts w:ascii="Arial" w:hAnsi="Arial" w:cs="Arial"/>
        </w:rPr>
        <w:t>taff review</w:t>
      </w:r>
      <w:r w:rsidR="00E442E8">
        <w:rPr>
          <w:rStyle w:val="FootnoteReference"/>
          <w:rFonts w:ascii="Arial" w:hAnsi="Arial"/>
        </w:rPr>
        <w:footnoteReference w:id="23"/>
      </w:r>
      <w:r w:rsidR="00E442E8">
        <w:rPr>
          <w:rFonts w:ascii="Arial" w:hAnsi="Arial" w:cs="Arial"/>
        </w:rPr>
        <w:t xml:space="preserve"> all r</w:t>
      </w:r>
      <w:r w:rsidR="00246AD1">
        <w:rPr>
          <w:rFonts w:ascii="Arial" w:hAnsi="Arial" w:cs="Arial"/>
        </w:rPr>
        <w:t>ebate eligibility</w:t>
      </w:r>
      <w:r w:rsidR="00F12C5E">
        <w:rPr>
          <w:rFonts w:ascii="Arial" w:hAnsi="Arial" w:cs="Arial"/>
        </w:rPr>
        <w:t xml:space="preserve"> criteria</w:t>
      </w:r>
      <w:r w:rsidR="00E442E8">
        <w:rPr>
          <w:rFonts w:ascii="Arial" w:hAnsi="Arial" w:cs="Arial"/>
        </w:rPr>
        <w:t xml:space="preserve"> on each rebate application—including:</w:t>
      </w:r>
    </w:p>
    <w:p w:rsidR="00E442E8" w:rsidRDefault="00F12C5E" w:rsidP="00EB2813">
      <w:pPr>
        <w:pStyle w:val="ListParagraph"/>
        <w:numPr>
          <w:ilvl w:val="1"/>
          <w:numId w:val="3"/>
        </w:numPr>
        <w:spacing w:after="60" w:line="240" w:lineRule="auto"/>
        <w:ind w:left="1800"/>
        <w:contextualSpacing w:val="0"/>
        <w:rPr>
          <w:rFonts w:ascii="Arial" w:hAnsi="Arial" w:cs="Arial"/>
        </w:rPr>
      </w:pPr>
      <w:r>
        <w:rPr>
          <w:rFonts w:ascii="Arial" w:hAnsi="Arial" w:cs="Arial"/>
        </w:rPr>
        <w:t xml:space="preserve">Is the applicant a PSE </w:t>
      </w:r>
      <w:r w:rsidR="00E442E8">
        <w:rPr>
          <w:rFonts w:ascii="Arial" w:hAnsi="Arial" w:cs="Arial"/>
        </w:rPr>
        <w:t>Customer</w:t>
      </w:r>
      <w:r>
        <w:rPr>
          <w:rFonts w:ascii="Arial" w:hAnsi="Arial" w:cs="Arial"/>
        </w:rPr>
        <w:t>?</w:t>
      </w:r>
    </w:p>
    <w:p w:rsidR="00E442E8" w:rsidRDefault="00F12C5E" w:rsidP="00EB2813">
      <w:pPr>
        <w:pStyle w:val="ListParagraph"/>
        <w:numPr>
          <w:ilvl w:val="1"/>
          <w:numId w:val="3"/>
        </w:numPr>
        <w:spacing w:after="60" w:line="240" w:lineRule="auto"/>
        <w:ind w:left="1800"/>
        <w:contextualSpacing w:val="0"/>
        <w:rPr>
          <w:rFonts w:ascii="Arial" w:hAnsi="Arial" w:cs="Arial"/>
        </w:rPr>
      </w:pPr>
      <w:r>
        <w:rPr>
          <w:rFonts w:ascii="Arial" w:hAnsi="Arial" w:cs="Arial"/>
        </w:rPr>
        <w:t xml:space="preserve">Is the </w:t>
      </w:r>
      <w:r w:rsidR="00E442E8">
        <w:rPr>
          <w:rFonts w:ascii="Arial" w:hAnsi="Arial" w:cs="Arial"/>
        </w:rPr>
        <w:t>Schedule</w:t>
      </w:r>
      <w:r>
        <w:rPr>
          <w:rFonts w:ascii="Arial" w:hAnsi="Arial" w:cs="Arial"/>
        </w:rPr>
        <w:t xml:space="preserve"> applicable for the rebate type?</w:t>
      </w:r>
    </w:p>
    <w:p w:rsidR="00E442E8" w:rsidRDefault="00F12C5E" w:rsidP="00EB2813">
      <w:pPr>
        <w:pStyle w:val="ListParagraph"/>
        <w:numPr>
          <w:ilvl w:val="1"/>
          <w:numId w:val="3"/>
        </w:numPr>
        <w:spacing w:after="60" w:line="240" w:lineRule="auto"/>
        <w:ind w:left="1800"/>
        <w:contextualSpacing w:val="0"/>
        <w:rPr>
          <w:rFonts w:ascii="Arial" w:hAnsi="Arial" w:cs="Arial"/>
        </w:rPr>
      </w:pPr>
      <w:r>
        <w:rPr>
          <w:rFonts w:ascii="Arial" w:hAnsi="Arial" w:cs="Arial"/>
        </w:rPr>
        <w:t>Is the rebate applicable to the customer’s fuel t</w:t>
      </w:r>
      <w:r w:rsidR="00E442E8">
        <w:rPr>
          <w:rFonts w:ascii="Arial" w:hAnsi="Arial" w:cs="Arial"/>
        </w:rPr>
        <w:t>ype</w:t>
      </w:r>
      <w:r>
        <w:rPr>
          <w:rFonts w:ascii="Arial" w:hAnsi="Arial" w:cs="Arial"/>
        </w:rPr>
        <w:t xml:space="preserve"> (are they an electric customer, but applying for a gas rebate)?</w:t>
      </w:r>
    </w:p>
    <w:p w:rsidR="00E442E8" w:rsidRDefault="00F12C5E" w:rsidP="00EB2813">
      <w:pPr>
        <w:pStyle w:val="ListParagraph"/>
        <w:numPr>
          <w:ilvl w:val="1"/>
          <w:numId w:val="3"/>
        </w:numPr>
        <w:spacing w:after="240"/>
        <w:ind w:left="1800"/>
        <w:contextualSpacing w:val="0"/>
        <w:rPr>
          <w:rFonts w:ascii="Arial" w:hAnsi="Arial" w:cs="Arial"/>
        </w:rPr>
      </w:pPr>
      <w:r>
        <w:rPr>
          <w:rFonts w:ascii="Arial" w:hAnsi="Arial" w:cs="Arial"/>
        </w:rPr>
        <w:t>Is the e</w:t>
      </w:r>
      <w:r w:rsidR="00E442E8">
        <w:rPr>
          <w:rFonts w:ascii="Arial" w:hAnsi="Arial" w:cs="Arial"/>
        </w:rPr>
        <w:t>quipment</w:t>
      </w:r>
      <w:r>
        <w:rPr>
          <w:rFonts w:ascii="Arial" w:hAnsi="Arial" w:cs="Arial"/>
        </w:rPr>
        <w:t xml:space="preserve"> on the application eligible?</w:t>
      </w:r>
    </w:p>
    <w:p w:rsidR="0004021E" w:rsidRDefault="0004021E" w:rsidP="002A49E7">
      <w:r>
        <w:br w:type="page"/>
      </w:r>
    </w:p>
    <w:p w:rsidR="00EB2813" w:rsidRDefault="00EB2813" w:rsidP="0041192C">
      <w:pPr>
        <w:pStyle w:val="Heading3"/>
        <w:ind w:left="900"/>
      </w:pPr>
      <w:bookmarkStart w:id="49" w:name="_Toc450627076"/>
      <w:r>
        <w:lastRenderedPageBreak/>
        <w:t>Final Northwest Energy Efficiency Alliance Savings</w:t>
      </w:r>
      <w:bookmarkEnd w:id="49"/>
    </w:p>
    <w:p w:rsidR="00EB2813" w:rsidRDefault="00EB2813" w:rsidP="00EB2813">
      <w:pPr>
        <w:ind w:left="720"/>
      </w:pPr>
      <w:r>
        <w:t>When PSE created its 2014-2015 Biennial Conservation Plan in September 2013, NEEA provided an updated estimate of its corresponding electric savings for PSE</w:t>
      </w:r>
      <w:proofErr w:type="gramStart"/>
      <w:r>
        <w:t xml:space="preserve">. </w:t>
      </w:r>
      <w:proofErr w:type="gramEnd"/>
      <w:r>
        <w:t xml:space="preserve">PSE and NEEA </w:t>
      </w:r>
      <w:r w:rsidR="00B37513">
        <w:t>collaborated</w:t>
      </w:r>
      <w:r>
        <w:t xml:space="preserve"> to further hone that estimate, taking into account the then-developing 7</w:t>
      </w:r>
      <w:r w:rsidRPr="00635D8C">
        <w:rPr>
          <w:vertAlign w:val="superscript"/>
        </w:rPr>
        <w:t>th</w:t>
      </w:r>
      <w:r>
        <w:t xml:space="preserve"> Power Plan, updated RTF UES values, and measure savings that were forecast to be unique to the Puget Sound area</w:t>
      </w:r>
      <w:proofErr w:type="gramStart"/>
      <w:r>
        <w:t xml:space="preserve">. </w:t>
      </w:r>
      <w:proofErr w:type="gramEnd"/>
      <w:r>
        <w:t xml:space="preserve">The CRAG and the Commission agreed that the resulting NEEA savings </w:t>
      </w:r>
      <w:r w:rsidR="00B37513">
        <w:t>goal</w:t>
      </w:r>
      <w:r w:rsidR="00B37513">
        <w:rPr>
          <w:rFonts w:cs="Arial"/>
        </w:rPr>
        <w:t>—</w:t>
      </w:r>
      <w:r w:rsidR="00B37513">
        <w:t>72,533 MWh</w:t>
      </w:r>
      <w:r w:rsidR="00B37513">
        <w:rPr>
          <w:rFonts w:cs="Arial"/>
        </w:rPr>
        <w:t>—</w:t>
      </w:r>
      <w:r>
        <w:t xml:space="preserve">should be excluded from PSE’s EIA target. </w:t>
      </w:r>
    </w:p>
    <w:p w:rsidR="00EB2813" w:rsidRDefault="008E0DA4" w:rsidP="00EB2813">
      <w:pPr>
        <w:ind w:left="720"/>
      </w:pPr>
      <w:r>
        <w:t>The CRAG</w:t>
      </w:r>
      <w:r w:rsidR="00EB2813">
        <w:t xml:space="preserve"> understand</w:t>
      </w:r>
      <w:r>
        <w:t>s</w:t>
      </w:r>
      <w:r w:rsidR="00EB2813">
        <w:t xml:space="preserve"> that NEEA savings values are calculated and vetted in the second quarter </w:t>
      </w:r>
      <w:r w:rsidR="007A203D">
        <w:t xml:space="preserve">of </w:t>
      </w:r>
      <w:r w:rsidR="00EB2813">
        <w:t>each year, subsequent to PSE’s filing of its Annual Reports</w:t>
      </w:r>
      <w:proofErr w:type="gramStart"/>
      <w:r w:rsidR="00EB2813">
        <w:t xml:space="preserve">. </w:t>
      </w:r>
      <w:proofErr w:type="gramEnd"/>
      <w:r w:rsidR="00EB2813">
        <w:t xml:space="preserve">Therefore, PSE included </w:t>
      </w:r>
      <w:r w:rsidR="002A49E7">
        <w:t xml:space="preserve">the annualized portion of </w:t>
      </w:r>
      <w:proofErr w:type="spellStart"/>
      <w:r w:rsidR="00EB2813">
        <w:t>NEEA’s</w:t>
      </w:r>
      <w:proofErr w:type="spellEnd"/>
      <w:r w:rsidR="00EB2813">
        <w:t xml:space="preserve"> deemed savings figures in its reported 2014 and 2015 electric savings totals</w:t>
      </w:r>
      <w:r w:rsidR="00B37513">
        <w:t>, noting that the actual NEEA savings values would be reconciled and reported in PSE’s Biennial Conservation Report</w:t>
      </w:r>
      <w:r w:rsidR="00EB2813">
        <w:t>.</w:t>
      </w:r>
      <w:r w:rsidR="00B37513">
        <w:t xml:space="preserve"> </w:t>
      </w:r>
    </w:p>
    <w:p w:rsidR="00EB2813" w:rsidRDefault="00EB2813" w:rsidP="00EB2813">
      <w:pPr>
        <w:ind w:left="720"/>
      </w:pPr>
      <w:r>
        <w:t>On May 5, 2016, NEEA confirmed its final official results for electric savings calculated for PSE</w:t>
      </w:r>
      <w:proofErr w:type="gramStart"/>
      <w:r>
        <w:t xml:space="preserve">. </w:t>
      </w:r>
      <w:proofErr w:type="gramEnd"/>
      <w:r>
        <w:t xml:space="preserve">As indicated in </w:t>
      </w:r>
      <w:r>
        <w:fldChar w:fldCharType="begin"/>
      </w:r>
      <w:r>
        <w:instrText xml:space="preserve"> REF _Ref450542992 \h </w:instrText>
      </w:r>
      <w:r>
        <w:fldChar w:fldCharType="separate"/>
      </w:r>
      <w:r w:rsidR="001A7098">
        <w:t xml:space="preserve">Table </w:t>
      </w:r>
      <w:r w:rsidR="001A7098">
        <w:rPr>
          <w:noProof/>
        </w:rPr>
        <w:t>II</w:t>
      </w:r>
      <w:r w:rsidR="001A7098">
        <w:noBreakHyphen/>
      </w:r>
      <w:r w:rsidR="001A7098">
        <w:rPr>
          <w:noProof/>
        </w:rPr>
        <w:t>4</w:t>
      </w:r>
      <w:r>
        <w:fldChar w:fldCharType="end"/>
      </w:r>
      <w:r>
        <w:t xml:space="preserve">, </w:t>
      </w:r>
      <w:proofErr w:type="spellStart"/>
      <w:r>
        <w:t>NEEA’s</w:t>
      </w:r>
      <w:proofErr w:type="spellEnd"/>
      <w:r>
        <w:t xml:space="preserve"> results exceeded its plan by 26 percent: 91,630 MWh versus a plan of 72,533 MWh, or a difference of </w:t>
      </w:r>
      <w:r w:rsidR="00C328CF">
        <w:t>+</w:t>
      </w:r>
      <w:r>
        <w:t>19,097 MWh</w:t>
      </w:r>
      <w:proofErr w:type="gramStart"/>
      <w:r>
        <w:t xml:space="preserve">. </w:t>
      </w:r>
      <w:proofErr w:type="gramEnd"/>
      <w:r>
        <w:t xml:space="preserve">It is noteworthy that NEEA reports savings at the average megawatt (“aMW”) level, while PSE reports conservation savings at the MWh level, and only converts the Portfolio to aMW. </w:t>
      </w:r>
    </w:p>
    <w:p w:rsidR="00EB2813" w:rsidRDefault="00EB2813" w:rsidP="00EB2813">
      <w:pPr>
        <w:ind w:left="720"/>
      </w:pPr>
      <w:r>
        <w:t xml:space="preserve">Applying the standard conversion of (8,760 hours * </w:t>
      </w:r>
      <w:r w:rsidR="007A203D">
        <w:t xml:space="preserve"># </w:t>
      </w:r>
      <w:r>
        <w:t>aMW = MWh), the goal of 8.28 aMW = 72,533, and the actual savings of 10.46 aMW = 91,630 MWh.</w:t>
      </w:r>
    </w:p>
    <w:p w:rsidR="00EB2813" w:rsidRDefault="00EB2813" w:rsidP="00EB2813">
      <w:pPr>
        <w:pStyle w:val="Heading9"/>
      </w:pPr>
      <w:bookmarkStart w:id="50" w:name="_Ref450542992"/>
      <w:bookmarkStart w:id="51" w:name="_Toc450627235"/>
      <w:r w:rsidRPr="00A73C19">
        <w:rPr>
          <w:noProof/>
        </w:rPr>
        <w:drawing>
          <wp:anchor distT="0" distB="0" distL="114300" distR="114300" simplePos="0" relativeHeight="251872256" behindDoc="0" locked="0" layoutInCell="1" allowOverlap="1" wp14:anchorId="7E8BD7DC" wp14:editId="55E513DF">
            <wp:simplePos x="0" y="0"/>
            <wp:positionH relativeFrom="column">
              <wp:posOffset>717550</wp:posOffset>
            </wp:positionH>
            <wp:positionV relativeFrom="paragraph">
              <wp:posOffset>236220</wp:posOffset>
            </wp:positionV>
            <wp:extent cx="4570670" cy="22637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0670" cy="22637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Table </w:t>
      </w:r>
      <w:fldSimple w:instr=" STYLEREF 1 \s ">
        <w:r w:rsidR="001A7098">
          <w:rPr>
            <w:noProof/>
          </w:rPr>
          <w:t>II</w:t>
        </w:r>
      </w:fldSimple>
      <w:r>
        <w:noBreakHyphen/>
      </w:r>
      <w:fldSimple w:instr=" SEQ Table \* ARABIC \s 1 ">
        <w:r w:rsidR="001A7098">
          <w:rPr>
            <w:noProof/>
          </w:rPr>
          <w:t>4</w:t>
        </w:r>
      </w:fldSimple>
      <w:bookmarkEnd w:id="50"/>
      <w:r>
        <w:t>: 2014-2015 Final NEEA Electric Savings</w:t>
      </w:r>
      <w:bookmarkEnd w:id="51"/>
    </w:p>
    <w:p w:rsidR="00EB2813" w:rsidRDefault="00EB2813" w:rsidP="00EB2813">
      <w:pPr>
        <w:ind w:left="720"/>
      </w:pPr>
    </w:p>
    <w:p w:rsidR="00EB2813" w:rsidRDefault="00EB2813" w:rsidP="00EB2813">
      <w:pPr>
        <w:ind w:left="720"/>
      </w:pPr>
    </w:p>
    <w:p w:rsidR="00EB2813" w:rsidRDefault="00EB2813" w:rsidP="00EB2813">
      <w:pPr>
        <w:ind w:left="720"/>
      </w:pPr>
    </w:p>
    <w:p w:rsidR="00EB2813" w:rsidRDefault="00EB2813" w:rsidP="00EB2813">
      <w:pPr>
        <w:ind w:left="720"/>
      </w:pPr>
    </w:p>
    <w:p w:rsidR="00EB2813" w:rsidRDefault="00EB2813" w:rsidP="00EB2813">
      <w:pPr>
        <w:ind w:left="720"/>
      </w:pPr>
    </w:p>
    <w:p w:rsidR="00EB2813" w:rsidRDefault="00EB2813" w:rsidP="00EB2813">
      <w:pPr>
        <w:ind w:left="720"/>
      </w:pPr>
    </w:p>
    <w:p w:rsidR="0004021E" w:rsidRDefault="0004021E" w:rsidP="007A203D">
      <w:pPr>
        <w:pStyle w:val="ListParagraph"/>
        <w:spacing w:after="0"/>
        <w:ind w:left="1440"/>
        <w:contextualSpacing w:val="0"/>
        <w:rPr>
          <w:rFonts w:ascii="Arial" w:hAnsi="Arial" w:cs="Arial"/>
        </w:rPr>
      </w:pPr>
      <w:r>
        <w:rPr>
          <w:rFonts w:ascii="Arial" w:hAnsi="Arial" w:cs="Arial"/>
        </w:rPr>
        <w:br w:type="page"/>
      </w:r>
    </w:p>
    <w:p w:rsidR="0026763A" w:rsidRDefault="00BA5140" w:rsidP="00B4685D">
      <w:pPr>
        <w:pStyle w:val="Heading3"/>
        <w:ind w:left="900"/>
      </w:pPr>
      <w:bookmarkStart w:id="52" w:name="_Toc450627077"/>
      <w:r>
        <w:lastRenderedPageBreak/>
        <w:t>External Reviews</w:t>
      </w:r>
      <w:bookmarkEnd w:id="52"/>
    </w:p>
    <w:p w:rsidR="007F32B9" w:rsidRDefault="005B0099" w:rsidP="00B4685D">
      <w:pPr>
        <w:ind w:left="720"/>
      </w:pPr>
      <w:r>
        <w:t xml:space="preserve">PSE engaged several outside entities over the course of the 2014-2015 biennium to provide independent </w:t>
      </w:r>
      <w:r w:rsidR="00A60AF4">
        <w:t>opinions</w:t>
      </w:r>
      <w:r>
        <w:t xml:space="preserve"> and review of its electric conservation programs, including evaluation and engineering consultants,</w:t>
      </w:r>
      <w:r>
        <w:rPr>
          <w:rStyle w:val="FootnoteReference"/>
        </w:rPr>
        <w:footnoteReference w:id="24"/>
      </w:r>
      <w:r>
        <w:t xml:space="preserve"> </w:t>
      </w:r>
      <w:r w:rsidR="007F32B9">
        <w:t xml:space="preserve">and </w:t>
      </w:r>
      <w:r>
        <w:t>third-party r</w:t>
      </w:r>
      <w:r w:rsidR="007F32B9">
        <w:t>eviewers</w:t>
      </w:r>
      <w:proofErr w:type="gramStart"/>
      <w:r w:rsidR="007F32B9">
        <w:t xml:space="preserve">. </w:t>
      </w:r>
      <w:proofErr w:type="gramEnd"/>
      <w:r w:rsidR="003C07BB">
        <w:t>Applicable</w:t>
      </w:r>
      <w:r w:rsidR="007F32B9">
        <w:t xml:space="preserve"> evaluations and reviews resulted in measure savings adjustments going forward, in keeping with PSE’s </w:t>
      </w:r>
      <w:r w:rsidR="007F32B9" w:rsidRPr="00A60AF4">
        <w:rPr>
          <w:i/>
        </w:rPr>
        <w:t>Measure Revision Guidelines</w:t>
      </w:r>
      <w:proofErr w:type="gramStart"/>
      <w:r w:rsidR="007F32B9">
        <w:t xml:space="preserve">. </w:t>
      </w:r>
      <w:proofErr w:type="gramEnd"/>
      <w:r w:rsidR="009C6197">
        <w:t>Five</w:t>
      </w:r>
      <w:r w:rsidR="007F32B9">
        <w:t xml:space="preserve"> resulted in retroactive savings adjustments, as discussed in the following sections.</w:t>
      </w:r>
    </w:p>
    <w:p w:rsidR="00986128" w:rsidRDefault="006574F1" w:rsidP="00B4685D">
      <w:pPr>
        <w:ind w:left="720"/>
      </w:pPr>
      <w:r>
        <w:rPr>
          <w:rFonts w:cs="Arial"/>
        </w:rPr>
        <w:t>PSE did not adjust the 2014</w:t>
      </w:r>
      <w:r w:rsidR="00986128" w:rsidRPr="00BC4EF7">
        <w:rPr>
          <w:rFonts w:cs="Arial"/>
        </w:rPr>
        <w:t>-reported</w:t>
      </w:r>
      <w:r w:rsidR="00986128">
        <w:rPr>
          <w:rFonts w:cs="Arial"/>
        </w:rPr>
        <w:t xml:space="preserve"> or </w:t>
      </w:r>
      <w:r>
        <w:rPr>
          <w:rFonts w:cs="Arial"/>
        </w:rPr>
        <w:t>the 2015</w:t>
      </w:r>
      <w:r w:rsidR="00986128" w:rsidRPr="00BC4EF7">
        <w:rPr>
          <w:rFonts w:cs="Arial"/>
        </w:rPr>
        <w:t xml:space="preserve">-reported electric savings in either Annual Report as the </w:t>
      </w:r>
      <w:r w:rsidR="00C777BD">
        <w:rPr>
          <w:rFonts w:cs="Arial"/>
        </w:rPr>
        <w:t xml:space="preserve">Home Energy Reports </w:t>
      </w:r>
      <w:r w:rsidR="00986128" w:rsidRPr="00BC4EF7">
        <w:rPr>
          <w:rFonts w:cs="Arial"/>
        </w:rPr>
        <w:t xml:space="preserve">ex-post evaluations </w:t>
      </w:r>
      <w:r w:rsidR="00C777BD">
        <w:rPr>
          <w:rFonts w:cs="Arial"/>
        </w:rPr>
        <w:t xml:space="preserve">and final NEEA savings achievement </w:t>
      </w:r>
      <w:r w:rsidR="00986128" w:rsidRPr="00BC4EF7">
        <w:rPr>
          <w:rFonts w:cs="Arial"/>
        </w:rPr>
        <w:t>were unavailable at the time of Annual Report filing</w:t>
      </w:r>
      <w:r w:rsidR="00986128">
        <w:rPr>
          <w:rFonts w:cs="Arial"/>
        </w:rPr>
        <w:t>s</w:t>
      </w:r>
      <w:proofErr w:type="gramStart"/>
      <w:r w:rsidR="00986128" w:rsidRPr="00BC4EF7">
        <w:rPr>
          <w:rFonts w:cs="Arial"/>
        </w:rPr>
        <w:t>.</w:t>
      </w:r>
      <w:r w:rsidR="002A2EFD">
        <w:rPr>
          <w:rFonts w:cs="Arial"/>
        </w:rPr>
        <w:t xml:space="preserve"> </w:t>
      </w:r>
      <w:proofErr w:type="gramEnd"/>
      <w:r w:rsidR="002A2EFD">
        <w:rPr>
          <w:rFonts w:cs="Arial"/>
        </w:rPr>
        <w:t>As it did in the 2012-2013</w:t>
      </w:r>
      <w:r w:rsidR="00986128">
        <w:rPr>
          <w:rFonts w:cs="Arial"/>
        </w:rPr>
        <w:t xml:space="preserve"> Biennial Conservation Report, PSE </w:t>
      </w:r>
      <w:r w:rsidR="00A60AF4">
        <w:rPr>
          <w:rFonts w:cs="Arial"/>
        </w:rPr>
        <w:t>trues</w:t>
      </w:r>
      <w:r w:rsidR="00986128">
        <w:rPr>
          <w:rFonts w:cs="Arial"/>
        </w:rPr>
        <w:t xml:space="preserve"> up the Home Energy Re</w:t>
      </w:r>
      <w:r w:rsidR="002A2EFD">
        <w:rPr>
          <w:rFonts w:cs="Arial"/>
        </w:rPr>
        <w:t xml:space="preserve">port </w:t>
      </w:r>
      <w:r w:rsidR="00C777BD">
        <w:rPr>
          <w:rFonts w:cs="Arial"/>
        </w:rPr>
        <w:t xml:space="preserve">and NEEA </w:t>
      </w:r>
      <w:r w:rsidR="002A2EFD">
        <w:rPr>
          <w:rFonts w:cs="Arial"/>
        </w:rPr>
        <w:t>savings at the June 1, 2016</w:t>
      </w:r>
      <w:r w:rsidR="00986128">
        <w:rPr>
          <w:rFonts w:cs="Arial"/>
        </w:rPr>
        <w:t xml:space="preserve"> filing timeframe</w:t>
      </w:r>
      <w:proofErr w:type="gramStart"/>
      <w:r w:rsidR="00986128">
        <w:rPr>
          <w:rFonts w:cs="Arial"/>
        </w:rPr>
        <w:t>.</w:t>
      </w:r>
      <w:r w:rsidR="00A60AF4">
        <w:rPr>
          <w:rFonts w:cs="Arial"/>
        </w:rPr>
        <w:t xml:space="preserve"> </w:t>
      </w:r>
      <w:proofErr w:type="gramEnd"/>
      <w:r w:rsidR="00A60AF4">
        <w:t xml:space="preserve">PSE presents the electric conservation results of independent reviews and evaluations in </w:t>
      </w:r>
      <w:r w:rsidR="00A60AF4">
        <w:fldChar w:fldCharType="begin"/>
      </w:r>
      <w:r w:rsidR="00A60AF4">
        <w:instrText xml:space="preserve"> REF _Ref443461673 \h  \* MERGEFORMAT </w:instrText>
      </w:r>
      <w:r w:rsidR="00A60AF4">
        <w:fldChar w:fldCharType="separate"/>
      </w:r>
      <w:r w:rsidR="001A7098">
        <w:rPr>
          <w:noProof/>
        </w:rPr>
        <w:t>Table</w:t>
      </w:r>
      <w:r w:rsidR="001A7098">
        <w:t xml:space="preserve"> </w:t>
      </w:r>
      <w:r w:rsidR="001A7098">
        <w:rPr>
          <w:noProof/>
        </w:rPr>
        <w:t>II</w:t>
      </w:r>
      <w:r w:rsidR="001A7098">
        <w:rPr>
          <w:noProof/>
        </w:rPr>
        <w:noBreakHyphen/>
        <w:t>7</w:t>
      </w:r>
      <w:r w:rsidR="00A60AF4">
        <w:fldChar w:fldCharType="end"/>
      </w:r>
      <w:r w:rsidR="00A60AF4">
        <w:t>.</w:t>
      </w:r>
    </w:p>
    <w:p w:rsidR="007F32B9" w:rsidRDefault="007F32B9" w:rsidP="00B4685D">
      <w:pPr>
        <w:ind w:left="720"/>
      </w:pPr>
      <w:r>
        <w:t>PSE also collaborated with the CRAG and Commission staff on savings and financial forecasts, annual Schedule 120 reviews, and conservation planning</w:t>
      </w:r>
      <w:proofErr w:type="gramStart"/>
      <w:r>
        <w:t xml:space="preserve">. </w:t>
      </w:r>
      <w:proofErr w:type="gramEnd"/>
      <w:r w:rsidR="00611F4B">
        <w:t xml:space="preserve">This working relationship </w:t>
      </w:r>
      <w:r w:rsidR="00825D61">
        <w:t xml:space="preserve">enabled the Company </w:t>
      </w:r>
      <w:proofErr w:type="gramStart"/>
      <w:r w:rsidR="00825D61">
        <w:t xml:space="preserve">to </w:t>
      </w:r>
      <w:r w:rsidR="00F66438">
        <w:t>adaptively and effectively manage</w:t>
      </w:r>
      <w:proofErr w:type="gramEnd"/>
      <w:r w:rsidR="00F66438">
        <w:t xml:space="preserve"> its conservation programs.</w:t>
      </w:r>
    </w:p>
    <w:p w:rsidR="0096623F" w:rsidRPr="00676B95" w:rsidRDefault="0096623F" w:rsidP="00B4685D">
      <w:pPr>
        <w:pStyle w:val="Heading4"/>
        <w:numPr>
          <w:ilvl w:val="0"/>
          <w:numId w:val="12"/>
        </w:numPr>
        <w:ind w:left="1080"/>
      </w:pPr>
      <w:r>
        <w:t xml:space="preserve">2015 </w:t>
      </w:r>
      <w:r w:rsidR="007F32B9">
        <w:t>Annual Conservation Plan Budget Adjustment</w:t>
      </w:r>
    </w:p>
    <w:p w:rsidR="001D55A7" w:rsidRDefault="0096623F" w:rsidP="00B4685D">
      <w:pPr>
        <w:ind w:left="900"/>
      </w:pPr>
      <w:r>
        <w:t xml:space="preserve">On April </w:t>
      </w:r>
      <w:r w:rsidR="001823DB">
        <w:t>9</w:t>
      </w:r>
      <w:r>
        <w:t xml:space="preserve">, 2015, after consultation with the CRAG, PSE filed a </w:t>
      </w:r>
      <w:r w:rsidR="007F32B9">
        <w:t>supplemental</w:t>
      </w:r>
      <w:r>
        <w:t xml:space="preserve"> </w:t>
      </w:r>
      <w:r w:rsidR="00335FEC">
        <w:t xml:space="preserve">2015 ACP </w:t>
      </w:r>
      <w:r>
        <w:t xml:space="preserve">Exhibit 1: </w:t>
      </w:r>
      <w:r w:rsidRPr="001A4964">
        <w:rPr>
          <w:i/>
        </w:rPr>
        <w:t xml:space="preserve">Savings and Budgets </w:t>
      </w:r>
      <w:r>
        <w:t xml:space="preserve">when it </w:t>
      </w:r>
      <w:proofErr w:type="gramStart"/>
      <w:r>
        <w:t>was discovered</w:t>
      </w:r>
      <w:proofErr w:type="gramEnd"/>
      <w:r>
        <w:t xml:space="preserve"> that the budgeted amount for Rebate Processing did not reconcile with the portfolio budget filed with the Commission on </w:t>
      </w:r>
      <w:r w:rsidR="001823DB">
        <w:t>November 26</w:t>
      </w:r>
      <w:r>
        <w:t xml:space="preserve">, 2014. </w:t>
      </w:r>
    </w:p>
    <w:p w:rsidR="0096623F" w:rsidRDefault="001D55A7" w:rsidP="00B4685D">
      <w:pPr>
        <w:ind w:left="900"/>
        <w:rPr>
          <w:rFonts w:cs="Arial"/>
        </w:rPr>
      </w:pPr>
      <w:r>
        <w:rPr>
          <w:rFonts w:cs="Arial"/>
        </w:rPr>
        <w:t>This</w:t>
      </w:r>
      <w:r w:rsidR="0096623F">
        <w:rPr>
          <w:rFonts w:cs="Arial"/>
        </w:rPr>
        <w:t xml:space="preserve"> caused the overall 2015 </w:t>
      </w:r>
      <w:r w:rsidR="007F32B9">
        <w:rPr>
          <w:rFonts w:cs="Arial"/>
        </w:rPr>
        <w:t xml:space="preserve">electric </w:t>
      </w:r>
      <w:r w:rsidR="0096623F">
        <w:rPr>
          <w:rFonts w:cs="Arial"/>
        </w:rPr>
        <w:t>budget amounts to be under-represented by approximately $80,000</w:t>
      </w:r>
      <w:proofErr w:type="gramStart"/>
      <w:r w:rsidR="0096623F">
        <w:rPr>
          <w:rFonts w:cs="Arial"/>
        </w:rPr>
        <w:t xml:space="preserve">. </w:t>
      </w:r>
      <w:proofErr w:type="gramEnd"/>
      <w:r w:rsidR="0096623F">
        <w:rPr>
          <w:rFonts w:cs="Arial"/>
        </w:rPr>
        <w:t xml:space="preserve">It is important to note that this inconsistency was discovered within existing PSE processes, </w:t>
      </w:r>
      <w:r w:rsidR="005A18C0">
        <w:rPr>
          <w:rFonts w:cs="Arial"/>
        </w:rPr>
        <w:t xml:space="preserve">and </w:t>
      </w:r>
      <w:r w:rsidR="0096623F">
        <w:rPr>
          <w:rFonts w:cs="Arial"/>
        </w:rPr>
        <w:t>was p</w:t>
      </w:r>
      <w:r w:rsidR="00AC4CAF">
        <w:rPr>
          <w:rFonts w:cs="Arial"/>
        </w:rPr>
        <w:t>roactively reported to the CRAG</w:t>
      </w:r>
      <w:proofErr w:type="gramStart"/>
      <w:r w:rsidR="00AC4CAF">
        <w:rPr>
          <w:rFonts w:cs="Arial"/>
        </w:rPr>
        <w:t xml:space="preserve">. </w:t>
      </w:r>
      <w:proofErr w:type="gramEnd"/>
      <w:r w:rsidR="00AC4CAF">
        <w:rPr>
          <w:rFonts w:cs="Arial"/>
        </w:rPr>
        <w:t>The correction</w:t>
      </w:r>
      <w:r w:rsidR="0096623F">
        <w:rPr>
          <w:rFonts w:cs="Arial"/>
        </w:rPr>
        <w:t xml:space="preserve"> had no bearing on actual 2015 expenditures. </w:t>
      </w:r>
    </w:p>
    <w:p w:rsidR="00DD0048" w:rsidRPr="00676B95" w:rsidRDefault="006574F1" w:rsidP="00B4685D">
      <w:pPr>
        <w:pStyle w:val="Heading4"/>
        <w:numPr>
          <w:ilvl w:val="0"/>
          <w:numId w:val="12"/>
        </w:numPr>
        <w:ind w:left="1080"/>
      </w:pPr>
      <w:r>
        <w:t>2014-2015 Biennial Electric Conservation Achievement Review</w:t>
      </w:r>
    </w:p>
    <w:p w:rsidR="0004021E" w:rsidRDefault="004833D3" w:rsidP="00B4685D">
      <w:pPr>
        <w:ind w:left="900"/>
      </w:pPr>
      <w:r>
        <w:t>In August</w:t>
      </w:r>
      <w:r w:rsidR="00A71139">
        <w:t>, 2014, PSE and Commission s</w:t>
      </w:r>
      <w:r w:rsidR="005B0099">
        <w:t xml:space="preserve">taff selected SBW Consulting, Inc. </w:t>
      </w:r>
      <w:r w:rsidR="00A75440">
        <w:t xml:space="preserve">(“SBW”) </w:t>
      </w:r>
      <w:r w:rsidR="005B0099">
        <w:t>to perform the 2014-2015 Biennial Electric Conservation Achievement Review (“BECAR”)</w:t>
      </w:r>
      <w:proofErr w:type="gramStart"/>
      <w:r w:rsidR="005B0099">
        <w:t xml:space="preserve">. </w:t>
      </w:r>
      <w:proofErr w:type="gramEnd"/>
      <w:r w:rsidR="005B0099">
        <w:t xml:space="preserve">The final BECAR is included in this Report as </w:t>
      </w:r>
      <w:r w:rsidR="006A6DB1">
        <w:t>Attachment 1</w:t>
      </w:r>
      <w:r w:rsidR="00847F62">
        <w:t xml:space="preserve">: </w:t>
      </w:r>
      <w:r w:rsidR="00847F62">
        <w:rPr>
          <w:i/>
        </w:rPr>
        <w:t>Puget Sound Energy 2014-15 Biennial Electric Conservation Achievement Review (BECAR) Final Report</w:t>
      </w:r>
      <w:proofErr w:type="gramStart"/>
      <w:r w:rsidR="005B0099">
        <w:t xml:space="preserve">. </w:t>
      </w:r>
      <w:proofErr w:type="gramEnd"/>
      <w:r w:rsidR="0004021E">
        <w:br w:type="page"/>
      </w:r>
    </w:p>
    <w:p w:rsidR="00EC3CFB" w:rsidRDefault="0051778E" w:rsidP="00B4685D">
      <w:pPr>
        <w:ind w:left="900"/>
      </w:pPr>
      <w:r>
        <w:lastRenderedPageBreak/>
        <w:t xml:space="preserve">Commission staff and PSE staff </w:t>
      </w:r>
      <w:r>
        <w:t xml:space="preserve">managed </w:t>
      </w:r>
      <w:proofErr w:type="spellStart"/>
      <w:r w:rsidR="00BC02CA">
        <w:t>SBW’s</w:t>
      </w:r>
      <w:proofErr w:type="spellEnd"/>
      <w:r w:rsidR="00BC02CA">
        <w:t xml:space="preserve"> charter, scope of work, work plan, and review progress throughout the biennium and </w:t>
      </w:r>
      <w:r w:rsidR="00EC3CFB">
        <w:t xml:space="preserve">into </w:t>
      </w:r>
      <w:r w:rsidR="00AC4CAF">
        <w:t>the first half of 2016</w:t>
      </w:r>
      <w:r w:rsidR="00BC02CA">
        <w:t>.</w:t>
      </w:r>
      <w:r w:rsidR="00FB1265">
        <w:t xml:space="preserve"> </w:t>
      </w:r>
    </w:p>
    <w:p w:rsidR="004C003F" w:rsidRDefault="00D60DA2" w:rsidP="00B4685D">
      <w:pPr>
        <w:ind w:left="900"/>
      </w:pPr>
      <w:r>
        <w:t xml:space="preserve">The review was </w:t>
      </w:r>
      <w:r w:rsidR="0096623F">
        <w:t xml:space="preserve">less </w:t>
      </w:r>
      <w:r>
        <w:t xml:space="preserve">labor-intensive for </w:t>
      </w:r>
      <w:r w:rsidR="0096623F">
        <w:t>Energy Efficiency staff than in past biennia</w:t>
      </w:r>
      <w:r w:rsidR="00F66438">
        <w:t>; much less program staff time was spent analyzing and researching SBW data requests</w:t>
      </w:r>
      <w:proofErr w:type="gramStart"/>
      <w:r>
        <w:t>.</w:t>
      </w:r>
      <w:r w:rsidR="00FB1265">
        <w:t xml:space="preserve"> </w:t>
      </w:r>
      <w:proofErr w:type="gramEnd"/>
      <w:r w:rsidR="00727614">
        <w:t xml:space="preserve">This may be attributed to </w:t>
      </w:r>
      <w:proofErr w:type="spellStart"/>
      <w:r w:rsidR="00727614">
        <w:t>SBW’s</w:t>
      </w:r>
      <w:proofErr w:type="spellEnd"/>
      <w:r w:rsidR="00727614">
        <w:t xml:space="preserve"> BECAR experience with Energy Efficiency programs, better data organizations, and more direct lines of communications between SBW and subject matter experts</w:t>
      </w:r>
      <w:proofErr w:type="gramStart"/>
      <w:r w:rsidR="00727614">
        <w:t xml:space="preserve">. </w:t>
      </w:r>
      <w:proofErr w:type="gramEnd"/>
      <w:r w:rsidR="00F66438">
        <w:t>In addition to the reduced scope and enhanced preparation</w:t>
      </w:r>
      <w:r w:rsidR="0096623F">
        <w:t xml:space="preserve"> </w:t>
      </w:r>
      <w:r w:rsidR="00F66438">
        <w:t xml:space="preserve">noted in </w:t>
      </w:r>
      <w:proofErr w:type="spellStart"/>
      <w:r w:rsidR="00F66438">
        <w:t>SBW’s</w:t>
      </w:r>
      <w:proofErr w:type="spellEnd"/>
      <w:r w:rsidR="00F66438">
        <w:t xml:space="preserve"> 2014-2015 BECAR, </w:t>
      </w:r>
      <w:r w:rsidR="0096623F">
        <w:t xml:space="preserve">Energy Efficiency’s </w:t>
      </w:r>
      <w:r w:rsidR="00F66438">
        <w:t>Data and Systems Support group</w:t>
      </w:r>
      <w:r w:rsidR="00F66438">
        <w:rPr>
          <w:rFonts w:cs="Arial"/>
        </w:rPr>
        <w:t>—</w:t>
      </w:r>
      <w:r w:rsidR="0096623F">
        <w:t>who compiled, organized, formatted, and re</w:t>
      </w:r>
      <w:r w:rsidR="006A6DB1">
        <w:t>ported the 2014 and 2015 data</w:t>
      </w:r>
      <w:r w:rsidR="00F66438">
        <w:rPr>
          <w:rFonts w:cs="Arial"/>
        </w:rPr>
        <w:t>—</w:t>
      </w:r>
      <w:r w:rsidR="00F66438">
        <w:t>were key contributors to the review’s efficiency</w:t>
      </w:r>
      <w:proofErr w:type="gramStart"/>
      <w:r w:rsidR="006A6DB1">
        <w:t xml:space="preserve">. </w:t>
      </w:r>
      <w:proofErr w:type="spellStart"/>
      <w:proofErr w:type="gramEnd"/>
      <w:r w:rsidR="0096623F">
        <w:t>SBW’</w:t>
      </w:r>
      <w:r w:rsidR="00AC4CAF">
        <w:t>s</w:t>
      </w:r>
      <w:proofErr w:type="spellEnd"/>
      <w:r w:rsidR="00AC4CAF">
        <w:t xml:space="preserve"> secure file transfer</w:t>
      </w:r>
      <w:r w:rsidR="0096623F">
        <w:t xml:space="preserve"> site also made the </w:t>
      </w:r>
      <w:r w:rsidR="00AC4CAF">
        <w:t>uploading</w:t>
      </w:r>
      <w:r w:rsidR="0096623F">
        <w:t xml:space="preserve"> of electronic files simple. </w:t>
      </w:r>
    </w:p>
    <w:p w:rsidR="00BC02CA" w:rsidRDefault="00D60DA2" w:rsidP="00B4685D">
      <w:pPr>
        <w:ind w:left="900"/>
      </w:pPr>
      <w:r>
        <w:t xml:space="preserve">The </w:t>
      </w:r>
      <w:r w:rsidR="005B6E7F">
        <w:t xml:space="preserve">direct </w:t>
      </w:r>
      <w:r>
        <w:t xml:space="preserve">cost to </w:t>
      </w:r>
      <w:r w:rsidR="00BC02CA" w:rsidRPr="005B6E7F">
        <w:t xml:space="preserve">PSE ratepayers </w:t>
      </w:r>
      <w:r w:rsidRPr="005B6E7F">
        <w:t>was</w:t>
      </w:r>
      <w:r w:rsidR="00D64DBD" w:rsidRPr="005B6E7F">
        <w:t xml:space="preserve"> </w:t>
      </w:r>
      <w:r w:rsidR="00AC2902">
        <w:t xml:space="preserve">also lower than previous biennial reviews: </w:t>
      </w:r>
      <w:r w:rsidR="0096623F">
        <w:t>approximately $80,000</w:t>
      </w:r>
      <w:r w:rsidR="00FF3DDE" w:rsidRPr="005B6E7F">
        <w:t xml:space="preserve"> for this biennial review.</w:t>
      </w:r>
      <w:r w:rsidR="00600A58" w:rsidRPr="005B6E7F">
        <w:rPr>
          <w:rStyle w:val="FootnoteReference"/>
        </w:rPr>
        <w:footnoteReference w:id="25"/>
      </w:r>
    </w:p>
    <w:p w:rsidR="006D1AD8" w:rsidRDefault="00DB3EAA" w:rsidP="00B4685D">
      <w:pPr>
        <w:ind w:left="900"/>
      </w:pPr>
      <w:r w:rsidRPr="00271E13">
        <w:t xml:space="preserve">PSE is pleased that </w:t>
      </w:r>
      <w:r w:rsidR="00FF3DDE" w:rsidRPr="00271E13">
        <w:t>SBW</w:t>
      </w:r>
      <w:r w:rsidR="004D24D4" w:rsidRPr="00271E13">
        <w:t xml:space="preserve"> concluded</w:t>
      </w:r>
      <w:r w:rsidR="00FF3DDE" w:rsidRPr="00271E13">
        <w:t xml:space="preserve"> that</w:t>
      </w:r>
      <w:r w:rsidR="00D35FD2" w:rsidRPr="00271E13">
        <w:t>:</w:t>
      </w:r>
    </w:p>
    <w:p w:rsidR="006D1AD8" w:rsidRPr="00D64DBD" w:rsidRDefault="00A3598A" w:rsidP="00240469">
      <w:pPr>
        <w:ind w:left="1440"/>
        <w:rPr>
          <w:rFonts w:ascii="Times New Roman" w:hAnsi="Times New Roman"/>
        </w:rPr>
      </w:pPr>
      <w:r>
        <w:rPr>
          <w:rFonts w:ascii="Times New Roman" w:hAnsi="Times New Roman"/>
        </w:rPr>
        <w:t>“</w:t>
      </w:r>
      <w:r w:rsidR="00F40ED8" w:rsidRPr="00F40ED8">
        <w:rPr>
          <w:rFonts w:ascii="Times New Roman" w:hAnsi="Times New Roman"/>
        </w:rPr>
        <w:t xml:space="preserve">Based on our verification of the PSE tracking data, review of the 2014 and 2015 </w:t>
      </w:r>
      <w:proofErr w:type="spellStart"/>
      <w:r w:rsidR="00F40ED8" w:rsidRPr="00F40ED8">
        <w:rPr>
          <w:rFonts w:ascii="Times New Roman" w:hAnsi="Times New Roman"/>
        </w:rPr>
        <w:t>ACRs</w:t>
      </w:r>
      <w:proofErr w:type="spellEnd"/>
      <w:r w:rsidR="00F40ED8" w:rsidRPr="00F40ED8">
        <w:rPr>
          <w:rFonts w:ascii="Times New Roman" w:hAnsi="Times New Roman"/>
        </w:rPr>
        <w:t>,</w:t>
      </w:r>
      <w:r w:rsidR="00271E13">
        <w:rPr>
          <w:rStyle w:val="FootnoteReference"/>
          <w:rFonts w:ascii="Times New Roman" w:hAnsi="Times New Roman"/>
        </w:rPr>
        <w:footnoteReference w:id="26"/>
      </w:r>
      <w:r w:rsidR="00F40ED8" w:rsidRPr="00F40ED8">
        <w:rPr>
          <w:rFonts w:ascii="Times New Roman" w:hAnsi="Times New Roman"/>
        </w:rPr>
        <w:t xml:space="preserve"> and PSE’s March updates to the savings claim, we recommend adoption of the 2014-2015 the portfolio savings claim presented in this report.</w:t>
      </w:r>
      <w:r>
        <w:rPr>
          <w:rFonts w:ascii="Times New Roman" w:hAnsi="Times New Roman"/>
        </w:rPr>
        <w:t>”</w:t>
      </w:r>
      <w:r w:rsidR="00F40ED8">
        <w:rPr>
          <w:rStyle w:val="FootnoteReference"/>
          <w:rFonts w:ascii="Times New Roman" w:hAnsi="Times New Roman"/>
        </w:rPr>
        <w:footnoteReference w:id="27"/>
      </w:r>
    </w:p>
    <w:p w:rsidR="0004566C" w:rsidRPr="00D44C35" w:rsidRDefault="00271E13" w:rsidP="00B4685D">
      <w:pPr>
        <w:ind w:left="900"/>
      </w:pPr>
      <w:r w:rsidRPr="00271E13">
        <w:t xml:space="preserve">Additional </w:t>
      </w:r>
      <w:r w:rsidR="0004566C" w:rsidRPr="00271E13">
        <w:t xml:space="preserve">SBW </w:t>
      </w:r>
      <w:r w:rsidRPr="00271E13">
        <w:t>observations include:</w:t>
      </w:r>
    </w:p>
    <w:p w:rsidR="00D44C35" w:rsidRDefault="00A3598A" w:rsidP="00271E13">
      <w:pPr>
        <w:numPr>
          <w:ilvl w:val="0"/>
          <w:numId w:val="25"/>
        </w:numPr>
        <w:spacing w:before="0" w:after="60"/>
        <w:ind w:left="1440"/>
        <w:rPr>
          <w:rFonts w:ascii="Times New Roman" w:hAnsi="Times New Roman"/>
        </w:rPr>
      </w:pPr>
      <w:r>
        <w:rPr>
          <w:rFonts w:ascii="Times New Roman" w:hAnsi="Times New Roman"/>
        </w:rPr>
        <w:t>“</w:t>
      </w:r>
      <w:r w:rsidR="00D44C35" w:rsidRPr="00D44C35">
        <w:rPr>
          <w:rFonts w:ascii="Times New Roman" w:hAnsi="Times New Roman"/>
        </w:rPr>
        <w:t xml:space="preserve">PSE staff provided timely and conscientious assistance throughout the process of cross-referencing between the </w:t>
      </w:r>
      <w:proofErr w:type="spellStart"/>
      <w:proofErr w:type="gramStart"/>
      <w:r w:rsidR="00D44C35" w:rsidRPr="00D44C35">
        <w:rPr>
          <w:rFonts w:ascii="Times New Roman" w:hAnsi="Times New Roman"/>
        </w:rPr>
        <w:t>SoS</w:t>
      </w:r>
      <w:proofErr w:type="spellEnd"/>
      <w:proofErr w:type="gramEnd"/>
      <w:r w:rsidR="00D44C35" w:rsidRPr="00D44C35">
        <w:rPr>
          <w:rFonts w:ascii="Times New Roman" w:hAnsi="Times New Roman"/>
        </w:rPr>
        <w:t xml:space="preserve"> </w:t>
      </w:r>
      <w:r w:rsidR="003C07BB" w:rsidRPr="003C07BB">
        <w:rPr>
          <w:rFonts w:ascii="Times New Roman" w:hAnsi="Times New Roman"/>
          <w:i/>
        </w:rPr>
        <w:t>[ed.</w:t>
      </w:r>
      <w:r w:rsidR="00B76EC2">
        <w:rPr>
          <w:rFonts w:ascii="Times New Roman" w:hAnsi="Times New Roman"/>
          <w:i/>
        </w:rPr>
        <w:t>:</w:t>
      </w:r>
      <w:r w:rsidR="003C07BB" w:rsidRPr="003C07BB">
        <w:rPr>
          <w:rFonts w:ascii="Times New Roman" w:hAnsi="Times New Roman"/>
          <w:i/>
        </w:rPr>
        <w:t xml:space="preserve"> Source of Savings]</w:t>
      </w:r>
      <w:r w:rsidR="003C07BB">
        <w:rPr>
          <w:rFonts w:ascii="Times New Roman" w:hAnsi="Times New Roman"/>
        </w:rPr>
        <w:t xml:space="preserve"> </w:t>
      </w:r>
      <w:r w:rsidR="00D44C35" w:rsidRPr="00D44C35">
        <w:rPr>
          <w:rFonts w:ascii="Times New Roman" w:hAnsi="Times New Roman"/>
        </w:rPr>
        <w:t>database extract and the savings tracking extracts.</w:t>
      </w:r>
      <w:r>
        <w:rPr>
          <w:rFonts w:ascii="Times New Roman" w:hAnsi="Times New Roman"/>
        </w:rPr>
        <w:t>”</w:t>
      </w:r>
      <w:r w:rsidR="00D44C35">
        <w:rPr>
          <w:rStyle w:val="FootnoteReference"/>
          <w:rFonts w:ascii="Times New Roman" w:hAnsi="Times New Roman"/>
        </w:rPr>
        <w:footnoteReference w:id="28"/>
      </w:r>
    </w:p>
    <w:p w:rsidR="00CB3229" w:rsidRPr="00CB3229" w:rsidRDefault="00A3598A" w:rsidP="00271E13">
      <w:pPr>
        <w:numPr>
          <w:ilvl w:val="0"/>
          <w:numId w:val="25"/>
        </w:numPr>
        <w:spacing w:before="0" w:after="60"/>
        <w:ind w:left="1440"/>
        <w:rPr>
          <w:rFonts w:ascii="Times New Roman" w:hAnsi="Times New Roman"/>
        </w:rPr>
      </w:pPr>
      <w:r>
        <w:rPr>
          <w:rFonts w:ascii="Times New Roman" w:hAnsi="Times New Roman"/>
        </w:rPr>
        <w:t>“</w:t>
      </w:r>
      <w:r w:rsidR="00CB3229" w:rsidRPr="00CB3229">
        <w:rPr>
          <w:rFonts w:ascii="Times New Roman" w:hAnsi="Times New Roman"/>
        </w:rPr>
        <w:t>RTF Deemed UES values are correctly applied</w:t>
      </w:r>
      <w:proofErr w:type="gramStart"/>
      <w:r w:rsidR="00CB3229" w:rsidRPr="00CB3229">
        <w:rPr>
          <w:rFonts w:ascii="Times New Roman" w:hAnsi="Times New Roman"/>
        </w:rPr>
        <w:t xml:space="preserve">. </w:t>
      </w:r>
      <w:proofErr w:type="gramEnd"/>
      <w:r w:rsidR="00CB3229" w:rsidRPr="00CB3229">
        <w:rPr>
          <w:rFonts w:ascii="Times New Roman" w:hAnsi="Times New Roman"/>
        </w:rPr>
        <w:t>We found no discrepancies.</w:t>
      </w:r>
      <w:r>
        <w:rPr>
          <w:rFonts w:ascii="Times New Roman" w:hAnsi="Times New Roman"/>
        </w:rPr>
        <w:t>”</w:t>
      </w:r>
      <w:r w:rsidR="00CB3229">
        <w:rPr>
          <w:rStyle w:val="FootnoteReference"/>
          <w:rFonts w:ascii="Times New Roman" w:hAnsi="Times New Roman"/>
        </w:rPr>
        <w:footnoteReference w:id="29"/>
      </w:r>
    </w:p>
    <w:p w:rsidR="00CB3229" w:rsidRDefault="001D55A7" w:rsidP="00271E13">
      <w:pPr>
        <w:numPr>
          <w:ilvl w:val="0"/>
          <w:numId w:val="25"/>
        </w:numPr>
        <w:spacing w:before="0" w:after="60"/>
        <w:ind w:left="1440"/>
        <w:rPr>
          <w:rFonts w:ascii="Times New Roman" w:hAnsi="Times New Roman"/>
        </w:rPr>
      </w:pPr>
      <w:r>
        <w:rPr>
          <w:rFonts w:ascii="Times New Roman" w:hAnsi="Times New Roman"/>
        </w:rPr>
        <w:t xml:space="preserve"> </w:t>
      </w:r>
      <w:r w:rsidR="00A3598A">
        <w:rPr>
          <w:rFonts w:ascii="Times New Roman" w:hAnsi="Times New Roman"/>
        </w:rPr>
        <w:t>“</w:t>
      </w:r>
      <w:r w:rsidR="00CB3229" w:rsidRPr="00CB3229">
        <w:rPr>
          <w:rFonts w:ascii="Times New Roman" w:hAnsi="Times New Roman"/>
        </w:rPr>
        <w:t>PSE followed its published protocol for the timing of deemed savings revisions.</w:t>
      </w:r>
      <w:r w:rsidR="00A3598A">
        <w:rPr>
          <w:rFonts w:ascii="Times New Roman" w:hAnsi="Times New Roman"/>
        </w:rPr>
        <w:t>”</w:t>
      </w:r>
      <w:r w:rsidR="00CB3229">
        <w:rPr>
          <w:rStyle w:val="FootnoteReference"/>
          <w:rFonts w:ascii="Times New Roman" w:hAnsi="Times New Roman"/>
        </w:rPr>
        <w:footnoteReference w:id="30"/>
      </w:r>
    </w:p>
    <w:p w:rsidR="00643672" w:rsidRPr="00D44C35" w:rsidRDefault="00A3598A" w:rsidP="00271E13">
      <w:pPr>
        <w:numPr>
          <w:ilvl w:val="0"/>
          <w:numId w:val="25"/>
        </w:numPr>
        <w:ind w:left="1440"/>
        <w:rPr>
          <w:rFonts w:ascii="Times New Roman" w:hAnsi="Times New Roman"/>
        </w:rPr>
      </w:pPr>
      <w:r>
        <w:rPr>
          <w:rFonts w:ascii="Times New Roman" w:hAnsi="Times New Roman"/>
        </w:rPr>
        <w:t>“</w:t>
      </w:r>
      <w:r w:rsidR="009A0C0D">
        <w:rPr>
          <w:rFonts w:ascii="Times New Roman" w:hAnsi="Times New Roman"/>
        </w:rPr>
        <w:t>[…]</w:t>
      </w:r>
      <w:r w:rsidR="00643672" w:rsidRPr="00643672">
        <w:rPr>
          <w:rFonts w:ascii="Times New Roman" w:hAnsi="Times New Roman"/>
        </w:rPr>
        <w:t xml:space="preserve"> In reviewing the eight </w:t>
      </w:r>
      <w:r w:rsidR="00B76EC2" w:rsidRPr="00B76EC2">
        <w:rPr>
          <w:rFonts w:ascii="Times New Roman" w:hAnsi="Times New Roman"/>
          <w:i/>
        </w:rPr>
        <w:t>[evaluation]</w:t>
      </w:r>
      <w:r w:rsidR="00B76EC2">
        <w:rPr>
          <w:rFonts w:ascii="Times New Roman" w:hAnsi="Times New Roman"/>
        </w:rPr>
        <w:t xml:space="preserve"> </w:t>
      </w:r>
      <w:r w:rsidR="00643672" w:rsidRPr="00643672">
        <w:rPr>
          <w:rFonts w:ascii="Times New Roman" w:hAnsi="Times New Roman"/>
        </w:rPr>
        <w:t>reports, the BECAR review team found them to be generally of high quality, continuing an arc of improvement that we have seen over several review rounds</w:t>
      </w:r>
      <w:proofErr w:type="gramStart"/>
      <w:r w:rsidR="00643672" w:rsidRPr="00643672">
        <w:rPr>
          <w:rFonts w:ascii="Times New Roman" w:hAnsi="Times New Roman"/>
        </w:rPr>
        <w:t xml:space="preserve">. </w:t>
      </w:r>
      <w:proofErr w:type="gramEnd"/>
      <w:r w:rsidR="00643672" w:rsidRPr="00643672">
        <w:rPr>
          <w:rFonts w:ascii="Times New Roman" w:hAnsi="Times New Roman"/>
        </w:rPr>
        <w:t>For this, PSE is to be commended.</w:t>
      </w:r>
      <w:r>
        <w:rPr>
          <w:rFonts w:ascii="Times New Roman" w:hAnsi="Times New Roman"/>
        </w:rPr>
        <w:t>”</w:t>
      </w:r>
      <w:r w:rsidR="00643672">
        <w:rPr>
          <w:rStyle w:val="FootnoteReference"/>
          <w:rFonts w:ascii="Times New Roman" w:hAnsi="Times New Roman"/>
        </w:rPr>
        <w:footnoteReference w:id="31"/>
      </w:r>
    </w:p>
    <w:p w:rsidR="002F2C66" w:rsidRDefault="00E47445" w:rsidP="00B4685D">
      <w:pPr>
        <w:ind w:left="900"/>
      </w:pPr>
      <w:r w:rsidRPr="00A75440">
        <w:lastRenderedPageBreak/>
        <w:t xml:space="preserve">During its </w:t>
      </w:r>
      <w:r w:rsidR="00A75440" w:rsidRPr="00A75440">
        <w:t xml:space="preserve">review of </w:t>
      </w:r>
      <w:r w:rsidR="00EB75CE" w:rsidRPr="00A75440">
        <w:t>2015</w:t>
      </w:r>
      <w:r w:rsidRPr="00A75440">
        <w:t xml:space="preserve"> </w:t>
      </w:r>
      <w:r w:rsidR="00A75440" w:rsidRPr="00A75440">
        <w:t>measure data</w:t>
      </w:r>
      <w:r w:rsidRPr="00A75440">
        <w:t xml:space="preserve">, SBW discovered that </w:t>
      </w:r>
      <w:r w:rsidR="006A6DB1">
        <w:t xml:space="preserve">in some records, </w:t>
      </w:r>
      <w:r w:rsidR="00A75440" w:rsidRPr="00A75440">
        <w:t xml:space="preserve">two Single Family Weatherization measures </w:t>
      </w:r>
      <w:r w:rsidR="005A74A7">
        <w:t xml:space="preserve">(both insulation) </w:t>
      </w:r>
      <w:r w:rsidR="00A75440" w:rsidRPr="00A75440">
        <w:t xml:space="preserve">reflected 2014 </w:t>
      </w:r>
      <w:r w:rsidR="006A6DB1">
        <w:t xml:space="preserve">savings values in some </w:t>
      </w:r>
      <w:r w:rsidR="003C07BB">
        <w:t>instances</w:t>
      </w:r>
      <w:r w:rsidR="006A6DB1">
        <w:t xml:space="preserve">, </w:t>
      </w:r>
      <w:r w:rsidR="00A75440" w:rsidRPr="00A75440">
        <w:t xml:space="preserve">and </w:t>
      </w:r>
      <w:r w:rsidR="006A6DB1">
        <w:t>in others, 2015 values</w:t>
      </w:r>
      <w:r w:rsidR="00A75440" w:rsidRPr="00A75440">
        <w:t xml:space="preserve">. </w:t>
      </w:r>
    </w:p>
    <w:p w:rsidR="00A75440" w:rsidRDefault="00A75440" w:rsidP="00B4685D">
      <w:pPr>
        <w:ind w:left="900"/>
      </w:pPr>
      <w:r w:rsidRPr="00A75440">
        <w:t>PSE program staff performed a thorough analysis of not only the indicated measures, but of all measures reported in the Single Family Weatherization program</w:t>
      </w:r>
      <w:r w:rsidR="0071448E">
        <w:t>, including attic, wall and floor insulation, windows, and air sealing</w:t>
      </w:r>
      <w:proofErr w:type="gramStart"/>
      <w:r w:rsidRPr="00A75440">
        <w:t xml:space="preserve">. </w:t>
      </w:r>
      <w:proofErr w:type="gramEnd"/>
      <w:r>
        <w:t>Following established Energy Efficiency adjustment protocol, program staff provided a savings adjustment request</w:t>
      </w:r>
      <w:r w:rsidR="00EA393C">
        <w:t xml:space="preserve"> for +89,989 kilowatt-hours (“kWh”) (or +90 MWh)</w:t>
      </w:r>
      <w:r>
        <w:t xml:space="preserve">, which was approved by Energy Efficiency management and forwarded to SBW—along with comprehensive substantiating data—for inclusion in the BECAR verified savings. </w:t>
      </w:r>
    </w:p>
    <w:p w:rsidR="00A75440" w:rsidRDefault="00A75440" w:rsidP="00B4685D">
      <w:pPr>
        <w:ind w:left="900"/>
      </w:pPr>
      <w:r>
        <w:t xml:space="preserve">PSE requested </w:t>
      </w:r>
      <w:r w:rsidR="005715BC">
        <w:t xml:space="preserve">SBW to make </w:t>
      </w:r>
      <w:r>
        <w:t xml:space="preserve">an additional savings adjustment </w:t>
      </w:r>
      <w:r w:rsidR="00EA393C">
        <w:t xml:space="preserve">of -29,900 kWh (-30 MWh) </w:t>
      </w:r>
      <w:r>
        <w:t xml:space="preserve">following a discussion with the CRAG in March 2016 on RCM savings that account for solar PV installed at </w:t>
      </w:r>
      <w:r w:rsidR="000E0C01">
        <w:t xml:space="preserve">two </w:t>
      </w:r>
      <w:r>
        <w:t>customers’ sites subsequent to setting their baseline usage values</w:t>
      </w:r>
      <w:proofErr w:type="gramStart"/>
      <w:r>
        <w:t xml:space="preserve">. </w:t>
      </w:r>
      <w:proofErr w:type="gramEnd"/>
      <w:r>
        <w:t>During that discussion, PSE committed to removing savings that accounted for the impact of solar PV in those cases.</w:t>
      </w:r>
    </w:p>
    <w:p w:rsidR="00A75440" w:rsidRDefault="00EA393C" w:rsidP="00B4685D">
      <w:pPr>
        <w:ind w:left="900"/>
      </w:pPr>
      <w:r>
        <w:t>PSE applied t</w:t>
      </w:r>
      <w:r w:rsidR="00615404">
        <w:t xml:space="preserve">he specific correction values presented </w:t>
      </w:r>
      <w:r w:rsidR="005715BC">
        <w:t>to</w:t>
      </w:r>
      <w:r w:rsidR="00615404">
        <w:t xml:space="preserve"> SBW </w:t>
      </w:r>
      <w:r>
        <w:t xml:space="preserve">to its 2015 tracking tables and incorporated </w:t>
      </w:r>
      <w:r w:rsidR="0053511B">
        <w:t xml:space="preserve">those values </w:t>
      </w:r>
      <w:r>
        <w:t>into the overall 2014-2015 electric Exhibit 1 results</w:t>
      </w:r>
      <w:proofErr w:type="gramStart"/>
      <w:r>
        <w:t xml:space="preserve">. </w:t>
      </w:r>
      <w:proofErr w:type="gramEnd"/>
      <w:r>
        <w:t xml:space="preserve">The adjustments </w:t>
      </w:r>
      <w:proofErr w:type="gramStart"/>
      <w:r w:rsidR="00615404">
        <w:t>are illustrated</w:t>
      </w:r>
      <w:proofErr w:type="gramEnd"/>
      <w:r w:rsidR="00615404">
        <w:t xml:space="preserve"> in </w:t>
      </w:r>
      <w:r w:rsidR="00615404">
        <w:fldChar w:fldCharType="begin"/>
      </w:r>
      <w:r w:rsidR="00615404">
        <w:instrText xml:space="preserve"> REF _Ref447171859 \h </w:instrText>
      </w:r>
      <w:r w:rsidR="00615404">
        <w:fldChar w:fldCharType="separate"/>
      </w:r>
      <w:r w:rsidR="001A7098">
        <w:t xml:space="preserve">Table </w:t>
      </w:r>
      <w:r w:rsidR="001A7098">
        <w:rPr>
          <w:noProof/>
        </w:rPr>
        <w:t>II</w:t>
      </w:r>
      <w:r w:rsidR="001A7098">
        <w:noBreakHyphen/>
      </w:r>
      <w:r w:rsidR="001A7098">
        <w:rPr>
          <w:noProof/>
        </w:rPr>
        <w:t>5</w:t>
      </w:r>
      <w:r w:rsidR="00615404">
        <w:fldChar w:fldCharType="end"/>
      </w:r>
      <w:r w:rsidR="00615404">
        <w:t xml:space="preserve"> and </w:t>
      </w:r>
      <w:r w:rsidR="00E414DD">
        <w:t xml:space="preserve">are </w:t>
      </w:r>
      <w:r w:rsidR="00615404">
        <w:t xml:space="preserve">detailed in </w:t>
      </w:r>
      <w:r w:rsidR="005715BC">
        <w:t>Attachment 1</w:t>
      </w:r>
      <w:r w:rsidR="00847F62">
        <w:t>.</w:t>
      </w:r>
      <w:r w:rsidR="00615404">
        <w:t xml:space="preserve"> </w:t>
      </w:r>
    </w:p>
    <w:p w:rsidR="00847F62" w:rsidRDefault="00847F62" w:rsidP="00B4685D">
      <w:pPr>
        <w:ind w:left="900"/>
      </w:pPr>
      <w:bookmarkStart w:id="53" w:name="_Ref443461778"/>
      <w:r>
        <w:t xml:space="preserve">The </w:t>
      </w:r>
      <w:proofErr w:type="gramStart"/>
      <w:r w:rsidR="00E414DD">
        <w:t>total of all</w:t>
      </w:r>
      <w:proofErr w:type="gramEnd"/>
      <w:r w:rsidR="00E414DD">
        <w:t xml:space="preserve"> </w:t>
      </w:r>
      <w:r>
        <w:t xml:space="preserve">2015 savings adjustments are noted on lines </w:t>
      </w:r>
      <w:r w:rsidR="007A203D">
        <w:rPr>
          <w:b/>
          <w:i/>
        </w:rPr>
        <w:t xml:space="preserve">f, </w:t>
      </w:r>
      <w:proofErr w:type="spellStart"/>
      <w:r w:rsidR="007A203D">
        <w:rPr>
          <w:b/>
          <w:i/>
        </w:rPr>
        <w:t>i</w:t>
      </w:r>
      <w:proofErr w:type="spellEnd"/>
      <w:r w:rsidR="007A203D">
        <w:rPr>
          <w:b/>
          <w:i/>
        </w:rPr>
        <w:t>,</w:t>
      </w:r>
      <w:r>
        <w:t xml:space="preserve"> </w:t>
      </w:r>
      <w:r w:rsidR="007A203D">
        <w:rPr>
          <w:b/>
          <w:i/>
        </w:rPr>
        <w:t>l</w:t>
      </w:r>
      <w:r w:rsidR="009C63EA" w:rsidRPr="009C63EA">
        <w:t>, and</w:t>
      </w:r>
      <w:r w:rsidR="009C63EA">
        <w:rPr>
          <w:b/>
          <w:i/>
        </w:rPr>
        <w:t xml:space="preserve"> o</w:t>
      </w:r>
      <w:r>
        <w:t xml:space="preserve"> of </w:t>
      </w:r>
      <w:r>
        <w:fldChar w:fldCharType="begin"/>
      </w:r>
      <w:r>
        <w:instrText xml:space="preserve"> REF _Ref447096959 \h  \* MERGEFORMAT </w:instrText>
      </w:r>
      <w:r>
        <w:fldChar w:fldCharType="separate"/>
      </w:r>
      <w:r w:rsidR="001A7098">
        <w:rPr>
          <w:noProof/>
        </w:rPr>
        <w:t>Table</w:t>
      </w:r>
      <w:r w:rsidR="001A7098">
        <w:t xml:space="preserve"> </w:t>
      </w:r>
      <w:r w:rsidR="001A7098">
        <w:rPr>
          <w:noProof/>
        </w:rPr>
        <w:t>II</w:t>
      </w:r>
      <w:r w:rsidR="001A7098">
        <w:rPr>
          <w:noProof/>
        </w:rPr>
        <w:noBreakHyphen/>
        <w:t>7</w:t>
      </w:r>
      <w:r>
        <w:fldChar w:fldCharType="end"/>
      </w:r>
      <w:r>
        <w:t>.</w:t>
      </w:r>
    </w:p>
    <w:p w:rsidR="00067074" w:rsidRPr="00AA46B7" w:rsidRDefault="00141A85" w:rsidP="00240469">
      <w:pPr>
        <w:pStyle w:val="Heading9"/>
        <w:rPr>
          <w:rFonts w:cs="Arial"/>
          <w:bCs/>
          <w:szCs w:val="20"/>
        </w:rPr>
      </w:pPr>
      <w:bookmarkStart w:id="54" w:name="_Ref447171859"/>
      <w:bookmarkStart w:id="55" w:name="_Toc450627236"/>
      <w:r w:rsidRPr="00141A85">
        <w:rPr>
          <w:noProof/>
        </w:rPr>
        <w:drawing>
          <wp:anchor distT="0" distB="0" distL="114300" distR="114300" simplePos="0" relativeHeight="251812864" behindDoc="0" locked="0" layoutInCell="1" allowOverlap="1" wp14:anchorId="50384314" wp14:editId="197233C7">
            <wp:simplePos x="0" y="0"/>
            <wp:positionH relativeFrom="column">
              <wp:posOffset>88900</wp:posOffset>
            </wp:positionH>
            <wp:positionV relativeFrom="paragraph">
              <wp:posOffset>203835</wp:posOffset>
            </wp:positionV>
            <wp:extent cx="5939790" cy="17456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469">
        <w:t xml:space="preserve">Table </w:t>
      </w:r>
      <w:fldSimple w:instr=" STYLEREF 1 \s ">
        <w:r w:rsidR="001A7098">
          <w:rPr>
            <w:noProof/>
          </w:rPr>
          <w:t>II</w:t>
        </w:r>
      </w:fldSimple>
      <w:r w:rsidR="00040BFE">
        <w:noBreakHyphen/>
      </w:r>
      <w:fldSimple w:instr=" SEQ Table \* ARABIC \s 1 ">
        <w:r w:rsidR="001A7098">
          <w:rPr>
            <w:noProof/>
          </w:rPr>
          <w:t>5</w:t>
        </w:r>
      </w:fldSimple>
      <w:bookmarkEnd w:id="53"/>
      <w:bookmarkEnd w:id="54"/>
      <w:r w:rsidR="00240469">
        <w:t xml:space="preserve">: </w:t>
      </w:r>
      <w:r w:rsidR="00EB2813">
        <w:rPr>
          <w:rFonts w:cs="Arial"/>
          <w:szCs w:val="20"/>
        </w:rPr>
        <w:t xml:space="preserve">SBW </w:t>
      </w:r>
      <w:r w:rsidR="00240469">
        <w:rPr>
          <w:rFonts w:cs="Arial"/>
          <w:szCs w:val="20"/>
        </w:rPr>
        <w:t>2015</w:t>
      </w:r>
      <w:r w:rsidR="00067074">
        <w:rPr>
          <w:rFonts w:cs="Arial"/>
          <w:bCs/>
          <w:szCs w:val="20"/>
        </w:rPr>
        <w:t xml:space="preserve"> Recommended Savings Corrections</w:t>
      </w:r>
      <w:bookmarkEnd w:id="55"/>
    </w:p>
    <w:p w:rsidR="00CE541B" w:rsidRDefault="00CE541B" w:rsidP="00240469"/>
    <w:p w:rsidR="00CE541B" w:rsidRDefault="00CE541B" w:rsidP="00240469"/>
    <w:p w:rsidR="00CE541B" w:rsidRDefault="00CE541B" w:rsidP="00240469"/>
    <w:p w:rsidR="00CE541B" w:rsidRDefault="00CE541B" w:rsidP="00240469"/>
    <w:p w:rsidR="00CE541B" w:rsidRDefault="00CE541B" w:rsidP="00240469"/>
    <w:p w:rsidR="0004021E" w:rsidRDefault="0004021E" w:rsidP="00B4685D">
      <w:pPr>
        <w:ind w:left="900"/>
      </w:pPr>
      <w:r>
        <w:br w:type="page"/>
      </w:r>
    </w:p>
    <w:p w:rsidR="00847F62" w:rsidRDefault="00EA393C" w:rsidP="00B4685D">
      <w:pPr>
        <w:ind w:left="900"/>
      </w:pPr>
      <w:r>
        <w:lastRenderedPageBreak/>
        <w:t xml:space="preserve">Finally, </w:t>
      </w:r>
      <w:r w:rsidR="00847F62">
        <w:t xml:space="preserve">PSE agrees with </w:t>
      </w:r>
      <w:proofErr w:type="spellStart"/>
      <w:r w:rsidR="00847F62">
        <w:t>SBW’s</w:t>
      </w:r>
      <w:proofErr w:type="spellEnd"/>
      <w:r w:rsidR="00847F62">
        <w:t xml:space="preserve"> recommendation that a UES value review should be conducted earlier in the biennium,</w:t>
      </w:r>
      <w:r w:rsidR="00847F62">
        <w:rPr>
          <w:rStyle w:val="FootnoteReference"/>
        </w:rPr>
        <w:footnoteReference w:id="32"/>
      </w:r>
      <w:r w:rsidR="00847F62">
        <w:t xml:space="preserve"> so that if any retroactive savings revisions are necessary, Energy Efficiency can make program changes to account for potential shortfalls earlier in the biennial cycle</w:t>
      </w:r>
      <w:proofErr w:type="gramStart"/>
      <w:r w:rsidR="00847F62">
        <w:t xml:space="preserve">. </w:t>
      </w:r>
      <w:proofErr w:type="gramEnd"/>
      <w:r w:rsidR="009657B4">
        <w:t>PSE is working with the CRAG to put this idea into effect in 2016</w:t>
      </w:r>
      <w:r w:rsidR="002F5FBD">
        <w:t xml:space="preserve"> through its 2016-2017 BECAR RFP process</w:t>
      </w:r>
      <w:r w:rsidR="009657B4">
        <w:t>.</w:t>
      </w:r>
    </w:p>
    <w:p w:rsidR="00B642EE" w:rsidRDefault="001542E3" w:rsidP="00B4685D">
      <w:pPr>
        <w:pStyle w:val="Heading4"/>
        <w:ind w:left="1080"/>
      </w:pPr>
      <w:proofErr w:type="spellStart"/>
      <w:r>
        <w:t>DNV</w:t>
      </w:r>
      <w:proofErr w:type="spellEnd"/>
      <w:r>
        <w:t xml:space="preserve"> </w:t>
      </w:r>
      <w:r>
        <w:sym w:font="Symbol" w:char="F0B7"/>
      </w:r>
      <w:r>
        <w:t xml:space="preserve"> GL</w:t>
      </w:r>
      <w:r w:rsidR="00D90C30">
        <w:t xml:space="preserve"> Home Energy Reports</w:t>
      </w:r>
      <w:r w:rsidR="005804F2">
        <w:t xml:space="preserve"> E</w:t>
      </w:r>
      <w:r w:rsidR="00B642EE">
        <w:t>valuation</w:t>
      </w:r>
      <w:r w:rsidR="005804F2" w:rsidRPr="007C146B">
        <w:t>s</w:t>
      </w:r>
    </w:p>
    <w:p w:rsidR="00B957F8" w:rsidRDefault="00B642EE" w:rsidP="00B4685D">
      <w:pPr>
        <w:ind w:left="900"/>
        <w:rPr>
          <w:rFonts w:cs="Arial"/>
        </w:rPr>
      </w:pPr>
      <w:r>
        <w:rPr>
          <w:rFonts w:cs="Arial"/>
        </w:rPr>
        <w:t xml:space="preserve">REM’s Home Energy Reports </w:t>
      </w:r>
      <w:r w:rsidR="0033275B">
        <w:rPr>
          <w:rFonts w:cs="Arial"/>
        </w:rPr>
        <w:t xml:space="preserve">(“HER”) </w:t>
      </w:r>
      <w:r>
        <w:rPr>
          <w:rFonts w:cs="Arial"/>
        </w:rPr>
        <w:t>program is evaluated each year for verified savings from the previous program year</w:t>
      </w:r>
      <w:proofErr w:type="gramStart"/>
      <w:r>
        <w:rPr>
          <w:rFonts w:cs="Arial"/>
        </w:rPr>
        <w:t>.</w:t>
      </w:r>
      <w:r w:rsidR="00FB1265">
        <w:rPr>
          <w:rFonts w:cs="Arial"/>
        </w:rPr>
        <w:t xml:space="preserve"> </w:t>
      </w:r>
      <w:proofErr w:type="gramEnd"/>
      <w:r>
        <w:rPr>
          <w:rFonts w:cs="Arial"/>
        </w:rPr>
        <w:t xml:space="preserve">As it relates directly to </w:t>
      </w:r>
      <w:r w:rsidR="00EB75CE">
        <w:rPr>
          <w:rFonts w:cs="Arial"/>
        </w:rPr>
        <w:t>2014-2015</w:t>
      </w:r>
      <w:r>
        <w:rPr>
          <w:rFonts w:cs="Arial"/>
        </w:rPr>
        <w:t xml:space="preserve"> results, and due to the short measure </w:t>
      </w:r>
      <w:r w:rsidR="001542E3">
        <w:rPr>
          <w:rFonts w:cs="Arial"/>
        </w:rPr>
        <w:t>life</w:t>
      </w:r>
      <w:r>
        <w:rPr>
          <w:rFonts w:cs="Arial"/>
        </w:rPr>
        <w:t xml:space="preserve"> of </w:t>
      </w:r>
      <w:r w:rsidR="00AE12F6">
        <w:rPr>
          <w:rFonts w:cs="Arial"/>
        </w:rPr>
        <w:t>this program</w:t>
      </w:r>
      <w:r>
        <w:rPr>
          <w:rFonts w:cs="Arial"/>
        </w:rPr>
        <w:t>, it is necessary to apply the result of that evaluation to the year in which the savings occurred</w:t>
      </w:r>
      <w:r w:rsidR="00B1787C">
        <w:rPr>
          <w:rFonts w:cs="Arial"/>
        </w:rPr>
        <w:t xml:space="preserve"> on </w:t>
      </w:r>
      <w:r w:rsidR="00166A41">
        <w:rPr>
          <w:rFonts w:cs="Arial"/>
        </w:rPr>
        <w:t>a retroactive</w:t>
      </w:r>
      <w:r w:rsidR="00B1787C">
        <w:rPr>
          <w:rFonts w:cs="Arial"/>
        </w:rPr>
        <w:t xml:space="preserve"> basis</w:t>
      </w:r>
      <w:r>
        <w:rPr>
          <w:rFonts w:cs="Arial"/>
        </w:rPr>
        <w:t>, rather than on a going-forward basis, as is standard practice for evaluations</w:t>
      </w:r>
      <w:proofErr w:type="gramStart"/>
      <w:r>
        <w:rPr>
          <w:rFonts w:cs="Arial"/>
        </w:rPr>
        <w:t>.</w:t>
      </w:r>
      <w:r w:rsidR="00FB1265">
        <w:rPr>
          <w:rFonts w:cs="Arial"/>
        </w:rPr>
        <w:t xml:space="preserve"> </w:t>
      </w:r>
      <w:proofErr w:type="gramEnd"/>
      <w:r w:rsidR="00B957F8">
        <w:rPr>
          <w:rFonts w:cs="Arial"/>
        </w:rPr>
        <w:t>This is c</w:t>
      </w:r>
      <w:r w:rsidR="00C777BD">
        <w:rPr>
          <w:rFonts w:cs="Arial"/>
        </w:rPr>
        <w:t>onsistent with</w:t>
      </w:r>
      <w:r w:rsidR="00DE2ADE">
        <w:rPr>
          <w:rFonts w:cs="Arial"/>
        </w:rPr>
        <w:t xml:space="preserve"> PSE’s agreement with the CRAG</w:t>
      </w:r>
      <w:r w:rsidR="00B957F8">
        <w:rPr>
          <w:rFonts w:cs="Arial"/>
        </w:rPr>
        <w:t>.</w:t>
      </w:r>
    </w:p>
    <w:p w:rsidR="00A944C3" w:rsidRDefault="00A944C3" w:rsidP="00B4685D">
      <w:pPr>
        <w:ind w:left="900"/>
        <w:rPr>
          <w:rFonts w:cs="Arial"/>
        </w:rPr>
      </w:pPr>
      <w:r>
        <w:rPr>
          <w:rFonts w:cs="Arial"/>
        </w:rPr>
        <w:t>2014 electric HER repor</w:t>
      </w:r>
      <w:r w:rsidR="0053511B">
        <w:rPr>
          <w:rFonts w:cs="Arial"/>
        </w:rPr>
        <w:t>ted a placeholder savings value</w:t>
      </w:r>
      <w:r>
        <w:rPr>
          <w:rFonts w:cs="Arial"/>
        </w:rPr>
        <w:t xml:space="preserve"> based upon the previous year’s evaluation and the trends from the program’s historical data</w:t>
      </w:r>
      <w:proofErr w:type="gramStart"/>
      <w:r>
        <w:rPr>
          <w:rFonts w:cs="Arial"/>
        </w:rPr>
        <w:t xml:space="preserve">. </w:t>
      </w:r>
      <w:proofErr w:type="gramEnd"/>
      <w:r>
        <w:rPr>
          <w:rFonts w:cs="Arial"/>
        </w:rPr>
        <w:t>This was a total savings of “current” and “suspended” households of 5,891,520 kWh or 5,892 MWh</w:t>
      </w:r>
      <w:proofErr w:type="gramStart"/>
      <w:r>
        <w:rPr>
          <w:rFonts w:cs="Arial"/>
        </w:rPr>
        <w:t xml:space="preserve">. </w:t>
      </w:r>
      <w:proofErr w:type="gramEnd"/>
      <w:r>
        <w:rPr>
          <w:rFonts w:cs="Arial"/>
        </w:rPr>
        <w:t xml:space="preserve">The actual verified 2014 savings was </w:t>
      </w:r>
      <w:r w:rsidRPr="004B6E8A">
        <w:rPr>
          <w:rFonts w:cs="Arial"/>
        </w:rPr>
        <w:t>5,6</w:t>
      </w:r>
      <w:r w:rsidR="001D55A7" w:rsidRPr="004B6E8A">
        <w:rPr>
          <w:rFonts w:cs="Arial"/>
        </w:rPr>
        <w:t>9</w:t>
      </w:r>
      <w:r w:rsidR="00892C92" w:rsidRPr="004B6E8A">
        <w:rPr>
          <w:rFonts w:cs="Arial"/>
        </w:rPr>
        <w:t>2,367</w:t>
      </w:r>
      <w:r w:rsidR="001D55A7" w:rsidRPr="004B6E8A">
        <w:rPr>
          <w:rFonts w:cs="Arial"/>
        </w:rPr>
        <w:t xml:space="preserve"> k</w:t>
      </w:r>
      <w:r w:rsidR="001D55A7">
        <w:rPr>
          <w:rFonts w:cs="Arial"/>
        </w:rPr>
        <w:t>Wh (</w:t>
      </w:r>
      <w:r>
        <w:rPr>
          <w:rFonts w:cs="Arial"/>
        </w:rPr>
        <w:t>5,692 MWh</w:t>
      </w:r>
      <w:r w:rsidR="001D55A7">
        <w:rPr>
          <w:rFonts w:cs="Arial"/>
        </w:rPr>
        <w:t>)</w:t>
      </w:r>
      <w:proofErr w:type="gramStart"/>
      <w:r>
        <w:rPr>
          <w:rFonts w:cs="Arial"/>
        </w:rPr>
        <w:t xml:space="preserve">. </w:t>
      </w:r>
      <w:proofErr w:type="gramEnd"/>
      <w:r>
        <w:rPr>
          <w:rFonts w:cs="Arial"/>
        </w:rPr>
        <w:t xml:space="preserve">This results in a total savings adjustment of </w:t>
      </w:r>
      <w:r w:rsidR="00C74924">
        <w:rPr>
          <w:rFonts w:cs="Arial"/>
        </w:rPr>
        <w:t>-</w:t>
      </w:r>
      <w:r>
        <w:rPr>
          <w:rFonts w:cs="Arial"/>
        </w:rPr>
        <w:t>199,</w:t>
      </w:r>
      <w:r w:rsidR="00892C92">
        <w:rPr>
          <w:rFonts w:cs="Arial"/>
        </w:rPr>
        <w:t>153</w:t>
      </w:r>
      <w:r>
        <w:rPr>
          <w:rFonts w:cs="Arial"/>
        </w:rPr>
        <w:t xml:space="preserve"> kWh, (</w:t>
      </w:r>
      <w:r w:rsidR="00C74924">
        <w:rPr>
          <w:rFonts w:cs="Arial"/>
        </w:rPr>
        <w:t>-</w:t>
      </w:r>
      <w:r w:rsidR="00892C92">
        <w:rPr>
          <w:rFonts w:cs="Arial"/>
        </w:rPr>
        <w:t>199</w:t>
      </w:r>
      <w:r>
        <w:rPr>
          <w:rFonts w:cs="Arial"/>
        </w:rPr>
        <w:t xml:space="preserve"> MWh) for 2014</w:t>
      </w:r>
      <w:proofErr w:type="gramStart"/>
      <w:r>
        <w:rPr>
          <w:rFonts w:cs="Arial"/>
        </w:rPr>
        <w:t xml:space="preserve">. </w:t>
      </w:r>
      <w:proofErr w:type="gramEnd"/>
      <w:r>
        <w:rPr>
          <w:rFonts w:cs="Arial"/>
        </w:rPr>
        <w:t xml:space="preserve">PSE included the 2014 </w:t>
      </w:r>
      <w:proofErr w:type="spellStart"/>
      <w:r>
        <w:rPr>
          <w:rFonts w:cs="Arial"/>
        </w:rPr>
        <w:t>DNV</w:t>
      </w:r>
      <w:proofErr w:type="spellEnd"/>
      <w:r>
        <w:rPr>
          <w:rFonts w:cs="Arial"/>
        </w:rPr>
        <w:t xml:space="preserve">-GL (formerly </w:t>
      </w:r>
      <w:proofErr w:type="spellStart"/>
      <w:r>
        <w:rPr>
          <w:rFonts w:cs="Arial"/>
        </w:rPr>
        <w:t>KEMA</w:t>
      </w:r>
      <w:proofErr w:type="spellEnd"/>
      <w:r>
        <w:rPr>
          <w:rFonts w:cs="Arial"/>
        </w:rPr>
        <w:t xml:space="preserve">) evaluation of HER in Exhibit 6, Supplement 1 of the 2015 Annual Report of Energy Conservation Accomplishments. </w:t>
      </w:r>
    </w:p>
    <w:p w:rsidR="00A944C3" w:rsidRDefault="00A944C3" w:rsidP="00B4685D">
      <w:pPr>
        <w:ind w:left="900"/>
      </w:pPr>
      <w:r>
        <w:t xml:space="preserve">The 2015 electric HER also reported a placeholder savings value, consistent with PSE’s practice of reporting only forecasted year-over-year incremental savings growth for the second year of the two-year measure life. </w:t>
      </w:r>
    </w:p>
    <w:p w:rsidR="006761D7" w:rsidRDefault="00A944C3" w:rsidP="00B4685D">
      <w:pPr>
        <w:ind w:left="900"/>
      </w:pPr>
      <w:r>
        <w:t>As there was not an incremental count from the 2014 evaluation, PSE reported no HER savings for 2015</w:t>
      </w:r>
      <w:proofErr w:type="gramStart"/>
      <w:r>
        <w:t xml:space="preserve">. </w:t>
      </w:r>
      <w:proofErr w:type="gramEnd"/>
      <w:r w:rsidR="00892C92">
        <w:t xml:space="preserve">The </w:t>
      </w:r>
      <w:proofErr w:type="spellStart"/>
      <w:r w:rsidR="00892C92">
        <w:t>DNV</w:t>
      </w:r>
      <w:proofErr w:type="spellEnd"/>
      <w:r w:rsidR="00892C92">
        <w:t>-GL verified savings were lower than the deemed value, however, resulting in a 2015 HER savings adjustment of -853,774 kWh, or -854 MWh</w:t>
      </w:r>
      <w:r w:rsidR="005C0177">
        <w:t>; not only were there no incremental savings, there was actually a reduction in savings</w:t>
      </w:r>
      <w:r w:rsidR="00892C92">
        <w:t xml:space="preserve">.  The resulting 2014-2015 </w:t>
      </w:r>
      <w:proofErr w:type="gramStart"/>
      <w:r w:rsidR="00892C92">
        <w:t>total</w:t>
      </w:r>
      <w:proofErr w:type="gramEnd"/>
      <w:r w:rsidR="00892C92">
        <w:t xml:space="preserve"> HER electric savings adjustment is -1,053 MWh.</w:t>
      </w:r>
    </w:p>
    <w:p w:rsidR="00937D2F" w:rsidRDefault="00937D2F" w:rsidP="00B4685D">
      <w:pPr>
        <w:ind w:left="900"/>
      </w:pPr>
      <w:r>
        <w:br w:type="page"/>
      </w:r>
    </w:p>
    <w:p w:rsidR="004126FA" w:rsidRDefault="006761D7" w:rsidP="00B4685D">
      <w:pPr>
        <w:ind w:left="900"/>
      </w:pPr>
      <w:r>
        <w:lastRenderedPageBreak/>
        <w:t>The Home Energy Report</w:t>
      </w:r>
      <w:r w:rsidR="001D55A7">
        <w:t>-specific</w:t>
      </w:r>
      <w:r>
        <w:t xml:space="preserve"> final savings values are presented in </w:t>
      </w:r>
      <w:r>
        <w:fldChar w:fldCharType="begin"/>
      </w:r>
      <w:r>
        <w:instrText xml:space="preserve"> REF _Ref443461890 \h </w:instrText>
      </w:r>
      <w:r>
        <w:fldChar w:fldCharType="separate"/>
      </w:r>
      <w:r w:rsidR="001A7098" w:rsidRPr="004C003F">
        <w:t xml:space="preserve">Table </w:t>
      </w:r>
      <w:r w:rsidR="001A7098">
        <w:rPr>
          <w:noProof/>
        </w:rPr>
        <w:t>II</w:t>
      </w:r>
      <w:r w:rsidR="001A7098">
        <w:noBreakHyphen/>
      </w:r>
      <w:r w:rsidR="001A7098">
        <w:rPr>
          <w:noProof/>
        </w:rPr>
        <w:t>6</w:t>
      </w:r>
      <w:r>
        <w:fldChar w:fldCharType="end"/>
      </w:r>
      <w:proofErr w:type="gramStart"/>
      <w:r>
        <w:t xml:space="preserve">. </w:t>
      </w:r>
      <w:proofErr w:type="gramEnd"/>
      <w:r w:rsidR="00324E14">
        <w:t xml:space="preserve">PSE’s final, </w:t>
      </w:r>
      <w:proofErr w:type="gramStart"/>
      <w:r w:rsidR="00324E14">
        <w:t>verified</w:t>
      </w:r>
      <w:proofErr w:type="gramEnd"/>
      <w:r w:rsidR="00324E14">
        <w:t xml:space="preserve"> and adjusted 2014-2015 electric conservation results </w:t>
      </w:r>
      <w:r w:rsidR="0029429B">
        <w:t xml:space="preserve">incorporate these values, and </w:t>
      </w:r>
      <w:r w:rsidR="00324E14">
        <w:t xml:space="preserve">are provided in </w:t>
      </w:r>
      <w:r w:rsidR="00106DF4">
        <w:fldChar w:fldCharType="begin"/>
      </w:r>
      <w:r w:rsidR="00106DF4">
        <w:instrText xml:space="preserve"> REF _Ref443461673 \h </w:instrText>
      </w:r>
      <w:r w:rsidR="00263AC6">
        <w:instrText xml:space="preserve"> \* MERGEFORMAT </w:instrText>
      </w:r>
      <w:r w:rsidR="00106DF4">
        <w:fldChar w:fldCharType="separate"/>
      </w:r>
      <w:r w:rsidR="001A7098">
        <w:rPr>
          <w:noProof/>
        </w:rPr>
        <w:t>Table</w:t>
      </w:r>
      <w:r w:rsidR="001A7098">
        <w:t xml:space="preserve"> </w:t>
      </w:r>
      <w:r w:rsidR="001A7098">
        <w:rPr>
          <w:noProof/>
        </w:rPr>
        <w:t>II</w:t>
      </w:r>
      <w:r w:rsidR="001A7098">
        <w:rPr>
          <w:noProof/>
        </w:rPr>
        <w:noBreakHyphen/>
        <w:t>7</w:t>
      </w:r>
      <w:r w:rsidR="00106DF4">
        <w:fldChar w:fldCharType="end"/>
      </w:r>
      <w:r w:rsidR="00106DF4">
        <w:t>.</w:t>
      </w:r>
    </w:p>
    <w:p w:rsidR="00B61074" w:rsidRPr="004C003F" w:rsidRDefault="00892C92" w:rsidP="004C003F">
      <w:pPr>
        <w:pStyle w:val="Heading9"/>
      </w:pPr>
      <w:bookmarkStart w:id="56" w:name="_Ref443461890"/>
      <w:bookmarkStart w:id="57" w:name="_Toc450627237"/>
      <w:r w:rsidRPr="00892C92">
        <w:rPr>
          <w:noProof/>
        </w:rPr>
        <w:drawing>
          <wp:anchor distT="0" distB="0" distL="114300" distR="114300" simplePos="0" relativeHeight="251894784" behindDoc="0" locked="0" layoutInCell="1" allowOverlap="1" wp14:anchorId="124EFD6B" wp14:editId="7B5CAEDC">
            <wp:simplePos x="0" y="0"/>
            <wp:positionH relativeFrom="column">
              <wp:posOffset>154305</wp:posOffset>
            </wp:positionH>
            <wp:positionV relativeFrom="paragraph">
              <wp:posOffset>355600</wp:posOffset>
            </wp:positionV>
            <wp:extent cx="5836920" cy="49453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6920" cy="494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F51" w:rsidRPr="004C003F">
        <w:t xml:space="preserve">Table </w:t>
      </w:r>
      <w:fldSimple w:instr=" STYLEREF 1 \s ">
        <w:r w:rsidR="001A7098">
          <w:rPr>
            <w:noProof/>
          </w:rPr>
          <w:t>II</w:t>
        </w:r>
      </w:fldSimple>
      <w:r w:rsidR="00040BFE">
        <w:noBreakHyphen/>
      </w:r>
      <w:fldSimple w:instr=" SEQ Table \* ARABIC \s 1 ">
        <w:r w:rsidR="001A7098">
          <w:rPr>
            <w:noProof/>
          </w:rPr>
          <w:t>6</w:t>
        </w:r>
      </w:fldSimple>
      <w:bookmarkEnd w:id="56"/>
      <w:r w:rsidR="007A6F51" w:rsidRPr="004C003F">
        <w:t xml:space="preserve">: </w:t>
      </w:r>
      <w:proofErr w:type="spellStart"/>
      <w:r w:rsidR="004E5EE6" w:rsidRPr="003F2DEF">
        <w:t>DNV</w:t>
      </w:r>
      <w:proofErr w:type="spellEnd"/>
      <w:r w:rsidR="004E5EE6" w:rsidRPr="003F2DEF">
        <w:t xml:space="preserve"> </w:t>
      </w:r>
      <w:r w:rsidR="003F2DEF">
        <w:t>-</w:t>
      </w:r>
      <w:r w:rsidR="004E5EE6" w:rsidRPr="003F2DEF">
        <w:t xml:space="preserve"> GL</w:t>
      </w:r>
      <w:r w:rsidR="007A6F51" w:rsidRPr="004C003F">
        <w:t xml:space="preserve"> 2014-2015</w:t>
      </w:r>
      <w:r w:rsidR="00B61074" w:rsidRPr="004C003F">
        <w:t xml:space="preserve"> Recommended </w:t>
      </w:r>
      <w:r w:rsidR="00287085" w:rsidRPr="004C003F">
        <w:t xml:space="preserve">Home Energy Report Ex-Post </w:t>
      </w:r>
      <w:r w:rsidR="00B61074" w:rsidRPr="004C003F">
        <w:t xml:space="preserve">Savings </w:t>
      </w:r>
      <w:r w:rsidR="004E5EE6" w:rsidRPr="00DD24B4">
        <w:t>True-up</w:t>
      </w:r>
      <w:bookmarkEnd w:id="57"/>
    </w:p>
    <w:p w:rsidR="0018073B" w:rsidRDefault="0018073B" w:rsidP="00812D69">
      <w:pPr>
        <w:rPr>
          <w:rFonts w:cs="Arial"/>
        </w:rPr>
      </w:pPr>
    </w:p>
    <w:p w:rsidR="0018073B" w:rsidRDefault="0018073B" w:rsidP="00812D69">
      <w:pPr>
        <w:rPr>
          <w:rFonts w:cs="Arial"/>
        </w:rPr>
      </w:pPr>
    </w:p>
    <w:p w:rsidR="0018073B" w:rsidRDefault="0018073B" w:rsidP="00812D69">
      <w:pPr>
        <w:rPr>
          <w:rFonts w:cs="Arial"/>
        </w:rPr>
      </w:pPr>
    </w:p>
    <w:p w:rsidR="001A7890" w:rsidRDefault="001A7890" w:rsidP="00812D69">
      <w:pPr>
        <w:rPr>
          <w:rFonts w:cs="Arial"/>
        </w:rPr>
      </w:pPr>
    </w:p>
    <w:p w:rsidR="001A7890" w:rsidRDefault="001A7890" w:rsidP="00812D69">
      <w:pPr>
        <w:rPr>
          <w:rFonts w:cs="Arial"/>
        </w:rPr>
      </w:pPr>
    </w:p>
    <w:p w:rsidR="00AC4CAF" w:rsidRDefault="00AC4CAF" w:rsidP="00812D69">
      <w:pPr>
        <w:rPr>
          <w:rFonts w:cs="Arial"/>
        </w:rPr>
      </w:pPr>
    </w:p>
    <w:p w:rsidR="00AC4CAF" w:rsidRDefault="00AC4CAF" w:rsidP="00812D69">
      <w:pPr>
        <w:rPr>
          <w:rFonts w:cs="Arial"/>
        </w:rPr>
      </w:pPr>
    </w:p>
    <w:p w:rsidR="00AC4CAF" w:rsidRDefault="00AC4CAF" w:rsidP="00812D69">
      <w:pPr>
        <w:rPr>
          <w:rFonts w:cs="Arial"/>
        </w:rPr>
      </w:pPr>
    </w:p>
    <w:p w:rsidR="00AC4CAF" w:rsidRDefault="00AC4CAF" w:rsidP="00812D69">
      <w:pPr>
        <w:rPr>
          <w:rFonts w:cs="Arial"/>
        </w:rPr>
      </w:pPr>
    </w:p>
    <w:p w:rsidR="00AC4CAF" w:rsidRDefault="00AC4CAF" w:rsidP="00812D69">
      <w:pPr>
        <w:rPr>
          <w:rFonts w:cs="Arial"/>
        </w:rPr>
      </w:pPr>
    </w:p>
    <w:p w:rsidR="00AC4CAF" w:rsidRDefault="00AC4CAF" w:rsidP="00812D69">
      <w:pPr>
        <w:rPr>
          <w:rFonts w:cs="Arial"/>
        </w:rPr>
      </w:pPr>
    </w:p>
    <w:p w:rsidR="00AC4CAF" w:rsidRDefault="00AC4CAF" w:rsidP="00812D69">
      <w:pPr>
        <w:rPr>
          <w:rFonts w:cs="Arial"/>
        </w:rPr>
      </w:pPr>
    </w:p>
    <w:p w:rsidR="00AC4CAF" w:rsidRDefault="00AC4CAF" w:rsidP="00812D69">
      <w:pPr>
        <w:rPr>
          <w:rFonts w:cs="Arial"/>
        </w:rPr>
      </w:pPr>
    </w:p>
    <w:p w:rsidR="00277545" w:rsidRDefault="00277545" w:rsidP="00277545">
      <w:pPr>
        <w:spacing w:after="120"/>
        <w:rPr>
          <w:rFonts w:cs="Arial"/>
        </w:rPr>
      </w:pPr>
    </w:p>
    <w:p w:rsidR="00277545" w:rsidRDefault="00277545" w:rsidP="00277545">
      <w:pPr>
        <w:rPr>
          <w:highlight w:val="lightGray"/>
        </w:rPr>
      </w:pPr>
      <w:r>
        <w:rPr>
          <w:highlight w:val="lightGray"/>
        </w:rPr>
        <w:br w:type="page"/>
      </w:r>
    </w:p>
    <w:p w:rsidR="00A75440" w:rsidRDefault="00EB2813" w:rsidP="00277545">
      <w:pPr>
        <w:pStyle w:val="Heading3"/>
        <w:ind w:left="900"/>
      </w:pPr>
      <w:bookmarkStart w:id="58" w:name="_Toc450627078"/>
      <w:r>
        <w:lastRenderedPageBreak/>
        <w:t>Savings</w:t>
      </w:r>
      <w:r w:rsidR="004C003F">
        <w:t xml:space="preserve"> </w:t>
      </w:r>
      <w:r w:rsidR="00A75440">
        <w:t>Review Results: Verified 2014-2015 Electric Savings</w:t>
      </w:r>
      <w:bookmarkEnd w:id="58"/>
    </w:p>
    <w:p w:rsidR="00595AA5" w:rsidRDefault="00B76EC2" w:rsidP="00277545">
      <w:pPr>
        <w:ind w:left="720"/>
      </w:pPr>
      <w:r>
        <w:t>E</w:t>
      </w:r>
      <w:r w:rsidR="002A2EFD">
        <w:t xml:space="preserve">lectric savings, along with associated adjustments, included in </w:t>
      </w:r>
      <w:r w:rsidR="002A2EFD">
        <w:fldChar w:fldCharType="begin"/>
      </w:r>
      <w:r w:rsidR="002A2EFD">
        <w:instrText xml:space="preserve"> REF _Ref447096959 \h </w:instrText>
      </w:r>
      <w:r w:rsidR="00263AC6">
        <w:instrText xml:space="preserve"> \* MERGEFORMAT </w:instrText>
      </w:r>
      <w:r w:rsidR="002A2EFD">
        <w:fldChar w:fldCharType="separate"/>
      </w:r>
      <w:r w:rsidR="001A7098">
        <w:rPr>
          <w:noProof/>
        </w:rPr>
        <w:t>Table</w:t>
      </w:r>
      <w:r w:rsidR="001A7098">
        <w:t xml:space="preserve"> </w:t>
      </w:r>
      <w:r w:rsidR="001A7098">
        <w:rPr>
          <w:noProof/>
        </w:rPr>
        <w:t>II</w:t>
      </w:r>
      <w:r w:rsidR="001A7098">
        <w:rPr>
          <w:noProof/>
        </w:rPr>
        <w:noBreakHyphen/>
        <w:t>7</w:t>
      </w:r>
      <w:r w:rsidR="002A2EFD">
        <w:fldChar w:fldCharType="end"/>
      </w:r>
      <w:r>
        <w:t>, represent PSE’s final, verified 2014-2015 totals</w:t>
      </w:r>
      <w:r w:rsidR="002A2EFD">
        <w:t xml:space="preserve">. </w:t>
      </w:r>
    </w:p>
    <w:p w:rsidR="00595AA5" w:rsidRDefault="0029429B" w:rsidP="00595AA5">
      <w:pPr>
        <w:pStyle w:val="Heading9"/>
        <w:rPr>
          <w:rFonts w:cs="Arial"/>
          <w:bCs/>
          <w:szCs w:val="20"/>
        </w:rPr>
      </w:pPr>
      <w:bookmarkStart w:id="59" w:name="_Ref443461673"/>
      <w:bookmarkStart w:id="60" w:name="_Ref447096959"/>
      <w:bookmarkStart w:id="61" w:name="_Ref448992477"/>
      <w:bookmarkStart w:id="62" w:name="_Toc450627238"/>
      <w:r w:rsidRPr="0029429B">
        <w:drawing>
          <wp:anchor distT="0" distB="0" distL="114300" distR="114300" simplePos="0" relativeHeight="251913216" behindDoc="0" locked="0" layoutInCell="1" allowOverlap="1" wp14:anchorId="2390D4BB" wp14:editId="063DDC22">
            <wp:simplePos x="0" y="0"/>
            <wp:positionH relativeFrom="column">
              <wp:posOffset>-205740</wp:posOffset>
            </wp:positionH>
            <wp:positionV relativeFrom="paragraph">
              <wp:posOffset>214572</wp:posOffset>
            </wp:positionV>
            <wp:extent cx="6400708" cy="644929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708" cy="6449291"/>
                    </a:xfrm>
                    <a:prstGeom prst="rect">
                      <a:avLst/>
                    </a:prstGeom>
                    <a:noFill/>
                    <a:ln>
                      <a:noFill/>
                    </a:ln>
                  </pic:spPr>
                </pic:pic>
              </a:graphicData>
            </a:graphic>
            <wp14:sizeRelH relativeFrom="page">
              <wp14:pctWidth>0</wp14:pctWidth>
            </wp14:sizeRelH>
            <wp14:sizeRelV relativeFrom="page">
              <wp14:pctHeight>0</wp14:pctHeight>
            </wp14:sizeRelV>
          </wp:anchor>
        </w:drawing>
      </w:r>
      <w:r w:rsidR="00595AA5">
        <w:t xml:space="preserve">Table </w:t>
      </w:r>
      <w:fldSimple w:instr=" STYLEREF 1 \s ">
        <w:r w:rsidR="001A7098">
          <w:rPr>
            <w:noProof/>
          </w:rPr>
          <w:t>II</w:t>
        </w:r>
      </w:fldSimple>
      <w:r w:rsidR="00595AA5">
        <w:noBreakHyphen/>
      </w:r>
      <w:fldSimple w:instr=" SEQ Table \* ARABIC \s 1 ">
        <w:r w:rsidR="001A7098">
          <w:rPr>
            <w:noProof/>
          </w:rPr>
          <w:t>7</w:t>
        </w:r>
      </w:fldSimple>
      <w:bookmarkEnd w:id="59"/>
      <w:bookmarkEnd w:id="60"/>
      <w:r w:rsidR="00595AA5">
        <w:rPr>
          <w:rFonts w:cs="Arial"/>
          <w:szCs w:val="20"/>
        </w:rPr>
        <w:t xml:space="preserve">: </w:t>
      </w:r>
      <w:r w:rsidR="00595AA5" w:rsidRPr="006F38DF">
        <w:rPr>
          <w:rFonts w:cs="Arial"/>
          <w:bCs/>
          <w:szCs w:val="20"/>
        </w:rPr>
        <w:t>Verified</w:t>
      </w:r>
      <w:r w:rsidR="00595AA5">
        <w:rPr>
          <w:rFonts w:cs="Arial"/>
          <w:szCs w:val="20"/>
        </w:rPr>
        <w:t xml:space="preserve"> 2014-2015</w:t>
      </w:r>
      <w:r w:rsidR="00595AA5">
        <w:rPr>
          <w:rFonts w:cs="Arial"/>
          <w:bCs/>
          <w:szCs w:val="20"/>
        </w:rPr>
        <w:t xml:space="preserve"> Savings with Adjustments</w:t>
      </w:r>
      <w:bookmarkEnd w:id="61"/>
      <w:bookmarkEnd w:id="62"/>
    </w:p>
    <w:p w:rsidR="00AE1DC5" w:rsidRDefault="0029429B" w:rsidP="00277545">
      <w:pPr>
        <w:ind w:left="720"/>
      </w:pPr>
      <w:r w:rsidRPr="0029429B">
        <w:t xml:space="preserve"> </w:t>
      </w:r>
      <w:r w:rsidR="00AE1DC5">
        <w:br w:type="page"/>
      </w:r>
    </w:p>
    <w:p w:rsidR="00B61074" w:rsidRPr="00263AC6" w:rsidRDefault="00595AA5" w:rsidP="00595AA5">
      <w:pPr>
        <w:ind w:left="720"/>
      </w:pPr>
      <w:r>
        <w:lastRenderedPageBreak/>
        <w:t>Figures noted in the “Reference” column will provide readers with a consistent nomenclature for questions or</w:t>
      </w:r>
      <w:r w:rsidRPr="0000079B">
        <w:t xml:space="preserve"> </w:t>
      </w:r>
      <w:r>
        <w:t>citation</w:t>
      </w:r>
      <w:proofErr w:type="gramStart"/>
      <w:r>
        <w:t xml:space="preserve">. </w:t>
      </w:r>
      <w:proofErr w:type="gramEnd"/>
      <w:r>
        <w:t xml:space="preserve">Line </w:t>
      </w:r>
      <w:r w:rsidRPr="0096623F">
        <w:rPr>
          <w:b/>
          <w:i/>
        </w:rPr>
        <w:t xml:space="preserve">c </w:t>
      </w:r>
      <w:r>
        <w:t>indicates the as-reported cumulative 2014</w:t>
      </w:r>
      <w:r w:rsidR="00182CD0">
        <w:t xml:space="preserve"> </w:t>
      </w:r>
      <w:r>
        <w:t>+</w:t>
      </w:r>
      <w:r w:rsidR="00182CD0">
        <w:t xml:space="preserve"> </w:t>
      </w:r>
      <w:r>
        <w:t>2015 electric savings.</w:t>
      </w:r>
      <w:r>
        <w:rPr>
          <w:rStyle w:val="FootnoteReference"/>
        </w:rPr>
        <w:footnoteReference w:id="33"/>
      </w:r>
      <w:proofErr w:type="gramStart"/>
      <w:r>
        <w:t xml:space="preserve"> </w:t>
      </w:r>
      <w:proofErr w:type="gramEnd"/>
      <w:r>
        <w:t xml:space="preserve">Line </w:t>
      </w:r>
      <w:r w:rsidR="00CC31A4">
        <w:rPr>
          <w:b/>
          <w:i/>
        </w:rPr>
        <w:t>p</w:t>
      </w:r>
      <w:r>
        <w:t xml:space="preserve"> provides the total of the 2014-2015 NEEA savings </w:t>
      </w:r>
      <w:r w:rsidR="00182CD0">
        <w:t xml:space="preserve">final savings + </w:t>
      </w:r>
      <w:r>
        <w:t xml:space="preserve">SBW BECAR </w:t>
      </w:r>
      <w:r w:rsidR="00182CD0">
        <w:t>+</w:t>
      </w:r>
      <w:r>
        <w:t xml:space="preserve"> </w:t>
      </w:r>
      <w:proofErr w:type="spellStart"/>
      <w:r>
        <w:t>DNV</w:t>
      </w:r>
      <w:proofErr w:type="spellEnd"/>
      <w:r>
        <w:t>-GL Home Energy Reports evaluations adjustments</w:t>
      </w:r>
      <w:r w:rsidR="00182CD0">
        <w:t xml:space="preserve"> (Labeled “Adjustments to Reported Savings”)</w:t>
      </w:r>
      <w:proofErr w:type="gramStart"/>
      <w:r>
        <w:t xml:space="preserve">. </w:t>
      </w:r>
      <w:proofErr w:type="gramEnd"/>
      <w:r>
        <w:t xml:space="preserve">Line </w:t>
      </w:r>
      <w:r w:rsidR="00CC31A4">
        <w:rPr>
          <w:b/>
          <w:i/>
        </w:rPr>
        <w:t>q</w:t>
      </w:r>
      <w:r>
        <w:t xml:space="preserve"> sums the as-reported </w:t>
      </w:r>
      <w:r w:rsidR="00B76EC2">
        <w:t xml:space="preserve">savings </w:t>
      </w:r>
      <w:r w:rsidR="00182CD0">
        <w:t>+</w:t>
      </w:r>
      <w:r>
        <w:t xml:space="preserve"> the savings adjustments</w:t>
      </w:r>
      <w:proofErr w:type="gramStart"/>
      <w:r>
        <w:t xml:space="preserve">. </w:t>
      </w:r>
      <w:proofErr w:type="gramEnd"/>
      <w:r>
        <w:t xml:space="preserve">Line </w:t>
      </w:r>
      <w:r w:rsidR="00CC31A4">
        <w:rPr>
          <w:b/>
          <w:i/>
        </w:rPr>
        <w:t>t</w:t>
      </w:r>
      <w:r w:rsidRPr="004126FA">
        <w:t xml:space="preserve"> sums those savings that are</w:t>
      </w:r>
      <w:r>
        <w:t xml:space="preserve"> excluded from the EIA T</w:t>
      </w:r>
      <w:r w:rsidRPr="004126FA">
        <w:t>arget</w:t>
      </w:r>
      <w:r>
        <w:t xml:space="preserve"> (NEEA + </w:t>
      </w:r>
      <w:proofErr w:type="spellStart"/>
      <w:r>
        <w:t>IER</w:t>
      </w:r>
      <w:proofErr w:type="spellEnd"/>
      <w:r>
        <w:t xml:space="preserve"> pilots) and subtracts them from the sub-total in line </w:t>
      </w:r>
      <w:r w:rsidR="00CC31A4">
        <w:rPr>
          <w:b/>
          <w:i/>
        </w:rPr>
        <w:t>q</w:t>
      </w:r>
      <w:r w:rsidRPr="004126FA">
        <w:t>.</w:t>
      </w:r>
      <w:r>
        <w:t xml:space="preserve"> </w:t>
      </w:r>
      <w:r w:rsidR="00277545" w:rsidRPr="00C02481">
        <w:t>Line</w:t>
      </w:r>
      <w:r w:rsidR="009074A5">
        <w:t xml:space="preserve"> </w:t>
      </w:r>
      <w:r w:rsidR="00CC31A4">
        <w:rPr>
          <w:b/>
          <w:i/>
        </w:rPr>
        <w:t>v</w:t>
      </w:r>
      <w:r w:rsidR="009074A5">
        <w:t xml:space="preserve"> indicates the difference, in megawatt-hours, of the achieved e</w:t>
      </w:r>
      <w:r w:rsidR="004A3DE9">
        <w:t>lectric savings versus the EIA T</w:t>
      </w:r>
      <w:r w:rsidR="009074A5">
        <w:t>arget.</w:t>
      </w:r>
    </w:p>
    <w:p w:rsidR="00331DB4" w:rsidRDefault="00986128" w:rsidP="00AE1DC5">
      <w:pPr>
        <w:pStyle w:val="Heading2"/>
      </w:pPr>
      <w:bookmarkStart w:id="63" w:name="_Toc450627079"/>
      <w:r>
        <w:t>Cost-Effectiveness</w:t>
      </w:r>
      <w:bookmarkEnd w:id="63"/>
    </w:p>
    <w:p w:rsidR="00A550E4" w:rsidRDefault="00D70089" w:rsidP="00986128">
      <w:pPr>
        <w:ind w:left="360"/>
        <w:rPr>
          <w:rFonts w:cs="Arial"/>
        </w:rPr>
      </w:pPr>
      <w:r>
        <w:rPr>
          <w:rFonts w:cs="Arial"/>
        </w:rPr>
        <w:t xml:space="preserve">PSE combined the overall 2014 and </w:t>
      </w:r>
      <w:r w:rsidR="00986128">
        <w:rPr>
          <w:rFonts w:cs="Arial"/>
        </w:rPr>
        <w:t>2015 electric Portfolio cost-effectiveness results indicated in Exhibit 2</w:t>
      </w:r>
      <w:r>
        <w:rPr>
          <w:rFonts w:cs="Arial"/>
        </w:rPr>
        <w:t xml:space="preserve"> of each year’s Annual Report</w:t>
      </w:r>
      <w:r w:rsidR="000B3C35">
        <w:rPr>
          <w:rFonts w:cs="Arial"/>
        </w:rPr>
        <w:t>, taking into account the above-noted savings adjustments,</w:t>
      </w:r>
      <w:r w:rsidR="00986128">
        <w:rPr>
          <w:rFonts w:cs="Arial"/>
        </w:rPr>
        <w:t xml:space="preserve"> </w:t>
      </w:r>
      <w:r>
        <w:rPr>
          <w:rFonts w:cs="Arial"/>
        </w:rPr>
        <w:t xml:space="preserve">to develop a biennial view of program cost-effectiveness. </w:t>
      </w:r>
    </w:p>
    <w:p w:rsidR="00986128" w:rsidRDefault="00D70089" w:rsidP="00986128">
      <w:pPr>
        <w:ind w:left="360"/>
        <w:rPr>
          <w:rFonts w:cs="Arial"/>
        </w:rPr>
      </w:pPr>
      <w:r>
        <w:rPr>
          <w:rFonts w:cs="Arial"/>
        </w:rPr>
        <w:t xml:space="preserve">The </w:t>
      </w:r>
      <w:r w:rsidR="00097261">
        <w:rPr>
          <w:rFonts w:cs="Arial"/>
        </w:rPr>
        <w:t xml:space="preserve">Sector-level </w:t>
      </w:r>
      <w:r>
        <w:rPr>
          <w:rFonts w:cs="Arial"/>
        </w:rPr>
        <w:t xml:space="preserve">results </w:t>
      </w:r>
      <w:proofErr w:type="gramStart"/>
      <w:r>
        <w:rPr>
          <w:rFonts w:cs="Arial"/>
        </w:rPr>
        <w:t>are indicated</w:t>
      </w:r>
      <w:proofErr w:type="gramEnd"/>
      <w:r>
        <w:rPr>
          <w:rFonts w:cs="Arial"/>
        </w:rPr>
        <w:t xml:space="preserve"> in </w:t>
      </w:r>
      <w:r w:rsidR="00EA7F1B">
        <w:rPr>
          <w:rFonts w:cs="Arial"/>
        </w:rPr>
        <w:fldChar w:fldCharType="begin"/>
      </w:r>
      <w:r w:rsidR="00EA7F1B">
        <w:rPr>
          <w:rFonts w:cs="Arial"/>
        </w:rPr>
        <w:instrText xml:space="preserve"> REF _Ref444506441 \h </w:instrText>
      </w:r>
      <w:r w:rsidR="00EA7F1B">
        <w:rPr>
          <w:rFonts w:cs="Arial"/>
        </w:rPr>
      </w:r>
      <w:r w:rsidR="00EA7F1B">
        <w:rPr>
          <w:rFonts w:cs="Arial"/>
        </w:rPr>
        <w:fldChar w:fldCharType="separate"/>
      </w:r>
      <w:r w:rsidR="001A7098">
        <w:t xml:space="preserve">Table </w:t>
      </w:r>
      <w:r w:rsidR="001A7098">
        <w:rPr>
          <w:noProof/>
        </w:rPr>
        <w:t>II</w:t>
      </w:r>
      <w:r w:rsidR="001A7098">
        <w:noBreakHyphen/>
      </w:r>
      <w:r w:rsidR="001A7098">
        <w:rPr>
          <w:noProof/>
        </w:rPr>
        <w:t>8</w:t>
      </w:r>
      <w:r w:rsidR="00EA7F1B">
        <w:rPr>
          <w:rFonts w:cs="Arial"/>
        </w:rPr>
        <w:fldChar w:fldCharType="end"/>
      </w:r>
      <w:r w:rsidR="00AC4CAF">
        <w:rPr>
          <w:rFonts w:cs="Arial"/>
        </w:rPr>
        <w:t>.</w:t>
      </w:r>
    </w:p>
    <w:p w:rsidR="00D70089" w:rsidRDefault="001D475D" w:rsidP="00D70089">
      <w:pPr>
        <w:pStyle w:val="Heading9"/>
        <w:rPr>
          <w:rFonts w:cs="Arial"/>
        </w:rPr>
      </w:pPr>
      <w:bookmarkStart w:id="64" w:name="_Ref444506441"/>
      <w:bookmarkStart w:id="65" w:name="_Toc450627239"/>
      <w:r w:rsidRPr="001D475D">
        <w:drawing>
          <wp:anchor distT="0" distB="0" distL="114300" distR="114300" simplePos="0" relativeHeight="251915264" behindDoc="0" locked="0" layoutInCell="1" allowOverlap="1" wp14:anchorId="431B6930" wp14:editId="0D9F29FC">
            <wp:simplePos x="0" y="0"/>
            <wp:positionH relativeFrom="column">
              <wp:posOffset>733771</wp:posOffset>
            </wp:positionH>
            <wp:positionV relativeFrom="paragraph">
              <wp:posOffset>218440</wp:posOffset>
            </wp:positionV>
            <wp:extent cx="4696690" cy="346994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96690" cy="3469943"/>
                    </a:xfrm>
                    <a:prstGeom prst="rect">
                      <a:avLst/>
                    </a:prstGeom>
                    <a:noFill/>
                    <a:ln>
                      <a:noFill/>
                    </a:ln>
                  </pic:spPr>
                </pic:pic>
              </a:graphicData>
            </a:graphic>
            <wp14:sizeRelH relativeFrom="page">
              <wp14:pctWidth>0</wp14:pctWidth>
            </wp14:sizeRelH>
            <wp14:sizeRelV relativeFrom="page">
              <wp14:pctHeight>0</wp14:pctHeight>
            </wp14:sizeRelV>
          </wp:anchor>
        </w:drawing>
      </w:r>
      <w:r w:rsidR="00D70089">
        <w:t xml:space="preserve">Table </w:t>
      </w:r>
      <w:fldSimple w:instr=" STYLEREF 1 \s ">
        <w:r w:rsidR="001A7098">
          <w:rPr>
            <w:noProof/>
          </w:rPr>
          <w:t>II</w:t>
        </w:r>
      </w:fldSimple>
      <w:r w:rsidR="00040BFE">
        <w:noBreakHyphen/>
      </w:r>
      <w:fldSimple w:instr=" SEQ Table \* ARABIC \s 1 ">
        <w:r w:rsidR="001A7098">
          <w:rPr>
            <w:noProof/>
          </w:rPr>
          <w:t>8</w:t>
        </w:r>
      </w:fldSimple>
      <w:bookmarkEnd w:id="64"/>
      <w:r w:rsidR="00D70089">
        <w:t>: 2014-2015 Electric Cost-Effective</w:t>
      </w:r>
      <w:r w:rsidR="00EA7F1B">
        <w:t>ne</w:t>
      </w:r>
      <w:r w:rsidR="00D70089">
        <w:t>ss by Sector</w:t>
      </w:r>
      <w:bookmarkEnd w:id="65"/>
    </w:p>
    <w:p w:rsidR="00D70089" w:rsidRDefault="00D70089" w:rsidP="00986128">
      <w:pPr>
        <w:ind w:left="360"/>
        <w:rPr>
          <w:rFonts w:cs="Arial"/>
        </w:rPr>
      </w:pPr>
    </w:p>
    <w:p w:rsidR="00D70089" w:rsidRDefault="00D70089" w:rsidP="00986128">
      <w:pPr>
        <w:ind w:left="360"/>
        <w:rPr>
          <w:rFonts w:cs="Arial"/>
        </w:rPr>
      </w:pPr>
    </w:p>
    <w:p w:rsidR="001A7890" w:rsidRDefault="001A7890" w:rsidP="00986128">
      <w:pPr>
        <w:ind w:left="360"/>
        <w:rPr>
          <w:rFonts w:cs="Arial"/>
        </w:rPr>
      </w:pPr>
    </w:p>
    <w:p w:rsidR="001A7890" w:rsidRDefault="001A7890" w:rsidP="00986128">
      <w:pPr>
        <w:ind w:left="360"/>
        <w:rPr>
          <w:rFonts w:cs="Arial"/>
        </w:rPr>
      </w:pPr>
    </w:p>
    <w:p w:rsidR="00A550E4" w:rsidRDefault="00A550E4" w:rsidP="00986128">
      <w:pPr>
        <w:ind w:left="360"/>
        <w:rPr>
          <w:rFonts w:cs="Arial"/>
        </w:rPr>
      </w:pPr>
    </w:p>
    <w:p w:rsidR="00A550E4" w:rsidRDefault="00A550E4" w:rsidP="00986128">
      <w:pPr>
        <w:ind w:left="360"/>
        <w:rPr>
          <w:rFonts w:cs="Arial"/>
        </w:rPr>
      </w:pPr>
    </w:p>
    <w:p w:rsidR="00A550E4" w:rsidRDefault="00A550E4" w:rsidP="00986128">
      <w:pPr>
        <w:ind w:left="360"/>
        <w:rPr>
          <w:rFonts w:cs="Arial"/>
        </w:rPr>
      </w:pPr>
    </w:p>
    <w:p w:rsidR="00CC31A4" w:rsidRDefault="00CC31A4" w:rsidP="00986128">
      <w:pPr>
        <w:ind w:left="360"/>
        <w:rPr>
          <w:rFonts w:cs="Arial"/>
        </w:rPr>
      </w:pPr>
    </w:p>
    <w:p w:rsidR="00595AA5" w:rsidRDefault="00595AA5" w:rsidP="00986128">
      <w:pPr>
        <w:ind w:left="360"/>
        <w:rPr>
          <w:rFonts w:cs="Arial"/>
        </w:rPr>
      </w:pPr>
      <w:r>
        <w:rPr>
          <w:rFonts w:cs="Arial"/>
        </w:rPr>
        <w:br w:type="page"/>
      </w:r>
    </w:p>
    <w:p w:rsidR="00986128" w:rsidRDefault="00986128" w:rsidP="00986128">
      <w:pPr>
        <w:pStyle w:val="Heading2"/>
      </w:pPr>
      <w:bookmarkStart w:id="66" w:name="_Toc450627080"/>
      <w:r>
        <w:lastRenderedPageBreak/>
        <w:t>Adapting the Portfolio through the Application of Total Quality Management Principles</w:t>
      </w:r>
      <w:bookmarkEnd w:id="66"/>
    </w:p>
    <w:p w:rsidR="00A550E4" w:rsidRDefault="00986128" w:rsidP="00986128">
      <w:pPr>
        <w:ind w:left="360"/>
        <w:rPr>
          <w:rFonts w:cs="Arial"/>
        </w:rPr>
      </w:pPr>
      <w:r>
        <w:rPr>
          <w:rFonts w:cs="Arial"/>
        </w:rPr>
        <w:t xml:space="preserve">As discussed throughout the 2014 and 2015 PSE Annual Reports, PSE consistently applied </w:t>
      </w:r>
      <w:r w:rsidR="008014BE">
        <w:rPr>
          <w:rFonts w:cs="Arial"/>
        </w:rPr>
        <w:t>TQM</w:t>
      </w:r>
      <w:r>
        <w:rPr>
          <w:rFonts w:cs="Arial"/>
        </w:rPr>
        <w:t xml:space="preserve"> principles in every aspect of managing its suite of electric Energy Efficiency programs</w:t>
      </w:r>
      <w:proofErr w:type="gramStart"/>
      <w:r>
        <w:rPr>
          <w:rFonts w:cs="Arial"/>
        </w:rPr>
        <w:t>.</w:t>
      </w:r>
      <w:r w:rsidR="009F44FD">
        <w:rPr>
          <w:rFonts w:cs="Arial"/>
        </w:rPr>
        <w:t xml:space="preserve"> </w:t>
      </w:r>
      <w:proofErr w:type="gramEnd"/>
      <w:r w:rsidR="009F44FD">
        <w:rPr>
          <w:rFonts w:cs="Arial"/>
        </w:rPr>
        <w:t xml:space="preserve">While not a comprehensive listing of every TQM application Energy Efficiency staff employed to exceed the electric savings target while prudently </w:t>
      </w:r>
      <w:r w:rsidR="00A46E2D">
        <w:rPr>
          <w:rFonts w:cs="Arial"/>
        </w:rPr>
        <w:t>managing</w:t>
      </w:r>
      <w:r w:rsidR="009F44FD">
        <w:rPr>
          <w:rFonts w:cs="Arial"/>
        </w:rPr>
        <w:t xml:space="preserve"> customer Rider funds, </w:t>
      </w:r>
      <w:r w:rsidR="00243305">
        <w:rPr>
          <w:rFonts w:cs="Arial"/>
        </w:rPr>
        <w:fldChar w:fldCharType="begin"/>
      </w:r>
      <w:r w:rsidR="00243305">
        <w:rPr>
          <w:rFonts w:cs="Arial"/>
        </w:rPr>
        <w:instrText xml:space="preserve"> REF _Ref446662970 \h </w:instrText>
      </w:r>
      <w:r w:rsidR="00243305">
        <w:rPr>
          <w:rFonts w:cs="Arial"/>
        </w:rPr>
      </w:r>
      <w:r w:rsidR="00243305">
        <w:rPr>
          <w:rFonts w:cs="Arial"/>
        </w:rPr>
        <w:fldChar w:fldCharType="separate"/>
      </w:r>
      <w:r w:rsidR="001A7098">
        <w:t xml:space="preserve">Table </w:t>
      </w:r>
      <w:r w:rsidR="001A7098">
        <w:rPr>
          <w:noProof/>
        </w:rPr>
        <w:t>II</w:t>
      </w:r>
      <w:r w:rsidR="001A7098">
        <w:noBreakHyphen/>
      </w:r>
      <w:r w:rsidR="001A7098">
        <w:rPr>
          <w:noProof/>
        </w:rPr>
        <w:t>9</w:t>
      </w:r>
      <w:r w:rsidR="00243305">
        <w:rPr>
          <w:rFonts w:cs="Arial"/>
        </w:rPr>
        <w:fldChar w:fldCharType="end"/>
      </w:r>
      <w:r w:rsidR="00243305">
        <w:rPr>
          <w:rFonts w:cs="Arial"/>
        </w:rPr>
        <w:t xml:space="preserve"> </w:t>
      </w:r>
      <w:r w:rsidR="009F44FD">
        <w:rPr>
          <w:rFonts w:cs="Arial"/>
        </w:rPr>
        <w:t>provide</w:t>
      </w:r>
      <w:r w:rsidR="00B76931">
        <w:rPr>
          <w:rFonts w:cs="Arial"/>
        </w:rPr>
        <w:t>s</w:t>
      </w:r>
      <w:r w:rsidR="009F44FD">
        <w:rPr>
          <w:rFonts w:cs="Arial"/>
        </w:rPr>
        <w:t xml:space="preserve"> </w:t>
      </w:r>
      <w:r w:rsidR="00C11DB9">
        <w:rPr>
          <w:rFonts w:cs="Arial"/>
        </w:rPr>
        <w:t xml:space="preserve">some of the more significant </w:t>
      </w:r>
      <w:r w:rsidR="009F44FD">
        <w:rPr>
          <w:rFonts w:cs="Arial"/>
        </w:rPr>
        <w:t>h</w:t>
      </w:r>
      <w:r w:rsidR="00D70089">
        <w:rPr>
          <w:rFonts w:cs="Arial"/>
        </w:rPr>
        <w:t xml:space="preserve">ighlights of Energy Efficiency’s adaptation steps </w:t>
      </w:r>
      <w:r w:rsidR="00602123">
        <w:rPr>
          <w:rFonts w:cs="Arial"/>
        </w:rPr>
        <w:t xml:space="preserve">discussed in the </w:t>
      </w:r>
      <w:r w:rsidR="009F44FD">
        <w:rPr>
          <w:rFonts w:cs="Arial"/>
        </w:rPr>
        <w:t xml:space="preserve">2014 </w:t>
      </w:r>
      <w:r w:rsidR="00B76931">
        <w:rPr>
          <w:rFonts w:cs="Arial"/>
        </w:rPr>
        <w:t>Annual Report</w:t>
      </w:r>
      <w:proofErr w:type="gramStart"/>
      <w:r w:rsidR="00507BF1">
        <w:rPr>
          <w:rFonts w:cs="Arial"/>
        </w:rPr>
        <w:t>.</w:t>
      </w:r>
      <w:r w:rsidR="00C11DB9">
        <w:rPr>
          <w:rFonts w:cs="Arial"/>
        </w:rPr>
        <w:t xml:space="preserve"> </w:t>
      </w:r>
      <w:proofErr w:type="gramEnd"/>
      <w:r w:rsidR="00A550E4">
        <w:rPr>
          <w:rFonts w:cs="Arial"/>
        </w:rPr>
        <w:br w:type="page"/>
      </w:r>
    </w:p>
    <w:p w:rsidR="00986128" w:rsidRDefault="00C11DB9" w:rsidP="00986128">
      <w:pPr>
        <w:ind w:left="360"/>
        <w:rPr>
          <w:rFonts w:cs="Arial"/>
        </w:rPr>
      </w:pPr>
      <w:r>
        <w:rPr>
          <w:rFonts w:cs="Arial"/>
        </w:rPr>
        <w:lastRenderedPageBreak/>
        <w:t xml:space="preserve">Many other instances </w:t>
      </w:r>
      <w:proofErr w:type="gramStart"/>
      <w:r>
        <w:rPr>
          <w:rFonts w:cs="Arial"/>
        </w:rPr>
        <w:t>are noted</w:t>
      </w:r>
      <w:proofErr w:type="gramEnd"/>
      <w:r>
        <w:rPr>
          <w:rFonts w:cs="Arial"/>
        </w:rPr>
        <w:t xml:space="preserve"> in </w:t>
      </w:r>
      <w:r w:rsidR="001823DB">
        <w:rPr>
          <w:rFonts w:cs="Arial"/>
        </w:rPr>
        <w:t>various</w:t>
      </w:r>
      <w:r>
        <w:rPr>
          <w:rFonts w:cs="Arial"/>
        </w:rPr>
        <w:t xml:space="preserve"> chapter</w:t>
      </w:r>
      <w:r w:rsidR="001823DB">
        <w:rPr>
          <w:rFonts w:cs="Arial"/>
        </w:rPr>
        <w:t>s</w:t>
      </w:r>
      <w:r>
        <w:rPr>
          <w:rFonts w:cs="Arial"/>
        </w:rPr>
        <w:t xml:space="preserve"> of the </w:t>
      </w:r>
      <w:r w:rsidR="00A46E2D">
        <w:rPr>
          <w:rFonts w:cs="Arial"/>
        </w:rPr>
        <w:t xml:space="preserve">Annual </w:t>
      </w:r>
      <w:r>
        <w:rPr>
          <w:rFonts w:cs="Arial"/>
        </w:rPr>
        <w:t>Report.</w:t>
      </w:r>
    </w:p>
    <w:p w:rsidR="009F44FD" w:rsidRDefault="00097261" w:rsidP="009F44FD">
      <w:pPr>
        <w:pStyle w:val="Heading9"/>
      </w:pPr>
      <w:bookmarkStart w:id="67" w:name="_Ref446662970"/>
      <w:bookmarkStart w:id="68" w:name="_Toc450627240"/>
      <w:r w:rsidRPr="00097261">
        <w:rPr>
          <w:noProof/>
        </w:rPr>
        <w:drawing>
          <wp:anchor distT="0" distB="0" distL="114300" distR="114300" simplePos="0" relativeHeight="251790336" behindDoc="0" locked="0" layoutInCell="1" allowOverlap="1" wp14:anchorId="32B5F1FC" wp14:editId="09111064">
            <wp:simplePos x="0" y="0"/>
            <wp:positionH relativeFrom="column">
              <wp:posOffset>-120651</wp:posOffset>
            </wp:positionH>
            <wp:positionV relativeFrom="paragraph">
              <wp:posOffset>297815</wp:posOffset>
            </wp:positionV>
            <wp:extent cx="6139885" cy="56007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40217" cy="5601002"/>
                    </a:xfrm>
                    <a:prstGeom prst="rect">
                      <a:avLst/>
                    </a:prstGeom>
                    <a:noFill/>
                    <a:ln>
                      <a:noFill/>
                    </a:ln>
                  </pic:spPr>
                </pic:pic>
              </a:graphicData>
            </a:graphic>
            <wp14:sizeRelH relativeFrom="page">
              <wp14:pctWidth>0</wp14:pctWidth>
            </wp14:sizeRelH>
            <wp14:sizeRelV relativeFrom="page">
              <wp14:pctHeight>0</wp14:pctHeight>
            </wp14:sizeRelV>
          </wp:anchor>
        </w:drawing>
      </w:r>
      <w:r w:rsidR="009F44FD">
        <w:t xml:space="preserve">Table </w:t>
      </w:r>
      <w:fldSimple w:instr=" STYLEREF 1 \s ">
        <w:r w:rsidR="001A7098">
          <w:rPr>
            <w:noProof/>
          </w:rPr>
          <w:t>II</w:t>
        </w:r>
      </w:fldSimple>
      <w:r w:rsidR="00040BFE">
        <w:noBreakHyphen/>
      </w:r>
      <w:fldSimple w:instr=" SEQ Table \* ARABIC \s 1 ">
        <w:r w:rsidR="001A7098">
          <w:rPr>
            <w:noProof/>
          </w:rPr>
          <w:t>9</w:t>
        </w:r>
      </w:fldSimple>
      <w:bookmarkEnd w:id="67"/>
      <w:r w:rsidR="009F44FD">
        <w:t xml:space="preserve">: Highlights of 2014 </w:t>
      </w:r>
      <w:r w:rsidR="00C11DB9">
        <w:t xml:space="preserve">Energy Efficiency </w:t>
      </w:r>
      <w:r w:rsidR="009F44FD">
        <w:t xml:space="preserve">TQM Adaptive Management </w:t>
      </w:r>
      <w:r w:rsidR="00C11DB9">
        <w:t>Initiatives</w:t>
      </w:r>
      <w:bookmarkEnd w:id="68"/>
    </w:p>
    <w:p w:rsidR="00572AEB" w:rsidRDefault="00572AEB" w:rsidP="00572AEB"/>
    <w:p w:rsidR="00572AEB" w:rsidRDefault="00572AEB" w:rsidP="00572AEB"/>
    <w:p w:rsidR="00572AEB" w:rsidRDefault="00572AEB" w:rsidP="00572AEB"/>
    <w:p w:rsidR="00572AEB" w:rsidRDefault="00572AEB" w:rsidP="00572AEB"/>
    <w:p w:rsidR="00572AEB" w:rsidRDefault="00572AEB" w:rsidP="00572AEB"/>
    <w:p w:rsidR="00572AEB" w:rsidRDefault="00572AEB" w:rsidP="00572AEB"/>
    <w:p w:rsidR="00572AEB" w:rsidRDefault="00572AEB" w:rsidP="00572AEB"/>
    <w:p w:rsidR="00572AEB" w:rsidRDefault="00572AEB" w:rsidP="00572AEB"/>
    <w:p w:rsidR="00572AEB" w:rsidRDefault="00572AEB" w:rsidP="00572AEB"/>
    <w:p w:rsidR="00572AEB" w:rsidRDefault="00572AEB" w:rsidP="00572AEB"/>
    <w:p w:rsidR="00572AEB" w:rsidRDefault="00572AEB" w:rsidP="00572AEB"/>
    <w:p w:rsidR="00572AEB" w:rsidRDefault="00572AEB" w:rsidP="00572AEB"/>
    <w:p w:rsidR="00572AEB" w:rsidRDefault="00572AEB" w:rsidP="00572AEB"/>
    <w:p w:rsidR="00572AEB" w:rsidRDefault="00572AEB" w:rsidP="00572AEB"/>
    <w:p w:rsidR="00572AEB" w:rsidRPr="00572AEB" w:rsidRDefault="00572AEB" w:rsidP="00572AEB"/>
    <w:p w:rsidR="00694DFF" w:rsidRDefault="00694DFF" w:rsidP="00572AEB">
      <w:r>
        <w:br w:type="page"/>
      </w:r>
    </w:p>
    <w:bookmarkStart w:id="69" w:name="_Ref446662979"/>
    <w:p w:rsidR="00B76931" w:rsidRDefault="00C11DB9" w:rsidP="00B76931">
      <w:pPr>
        <w:ind w:left="360"/>
      </w:pPr>
      <w:r>
        <w:lastRenderedPageBreak/>
        <w:fldChar w:fldCharType="begin"/>
      </w:r>
      <w:r>
        <w:instrText xml:space="preserve"> REF _Ref447171629 \h </w:instrText>
      </w:r>
      <w:r>
        <w:fldChar w:fldCharType="separate"/>
      </w:r>
      <w:r w:rsidR="001A7098" w:rsidRPr="009F44FD">
        <w:rPr>
          <w:rStyle w:val="Strong"/>
          <w:b w:val="0"/>
          <w:bCs w:val="0"/>
        </w:rPr>
        <w:t xml:space="preserve">Table </w:t>
      </w:r>
      <w:r w:rsidR="001A7098">
        <w:rPr>
          <w:rStyle w:val="Strong"/>
          <w:b w:val="0"/>
          <w:bCs w:val="0"/>
          <w:noProof/>
        </w:rPr>
        <w:t>II</w:t>
      </w:r>
      <w:r w:rsidR="001A7098">
        <w:rPr>
          <w:rStyle w:val="Strong"/>
          <w:b w:val="0"/>
          <w:bCs w:val="0"/>
        </w:rPr>
        <w:noBreakHyphen/>
      </w:r>
      <w:r w:rsidR="001A7098">
        <w:rPr>
          <w:rStyle w:val="Strong"/>
          <w:b w:val="0"/>
          <w:bCs w:val="0"/>
          <w:noProof/>
        </w:rPr>
        <w:t>10</w:t>
      </w:r>
      <w:r>
        <w:fldChar w:fldCharType="end"/>
      </w:r>
      <w:r>
        <w:t xml:space="preserve"> </w:t>
      </w:r>
      <w:r>
        <w:rPr>
          <w:rFonts w:cs="Arial"/>
        </w:rPr>
        <w:t>provides some of the more significant highlights of Energy Efficiency’s adaptation steps discussed in the 2015 Annual Report</w:t>
      </w:r>
      <w:proofErr w:type="gramStart"/>
      <w:r>
        <w:rPr>
          <w:rFonts w:cs="Arial"/>
        </w:rPr>
        <w:t xml:space="preserve">. </w:t>
      </w:r>
      <w:proofErr w:type="gramEnd"/>
      <w:r>
        <w:rPr>
          <w:rFonts w:cs="Arial"/>
        </w:rPr>
        <w:t xml:space="preserve">Many other instances </w:t>
      </w:r>
      <w:proofErr w:type="gramStart"/>
      <w:r>
        <w:rPr>
          <w:rFonts w:cs="Arial"/>
        </w:rPr>
        <w:t>are noted</w:t>
      </w:r>
      <w:proofErr w:type="gramEnd"/>
      <w:r>
        <w:rPr>
          <w:rFonts w:cs="Arial"/>
        </w:rPr>
        <w:t xml:space="preserve"> in </w:t>
      </w:r>
      <w:r w:rsidR="001823DB">
        <w:rPr>
          <w:rFonts w:cs="Arial"/>
        </w:rPr>
        <w:t>various</w:t>
      </w:r>
      <w:r>
        <w:rPr>
          <w:rFonts w:cs="Arial"/>
        </w:rPr>
        <w:t xml:space="preserve"> chapter</w:t>
      </w:r>
      <w:r w:rsidR="001823DB">
        <w:rPr>
          <w:rFonts w:cs="Arial"/>
        </w:rPr>
        <w:t>s</w:t>
      </w:r>
      <w:r>
        <w:rPr>
          <w:rFonts w:cs="Arial"/>
        </w:rPr>
        <w:t xml:space="preserve"> of </w:t>
      </w:r>
      <w:r w:rsidR="00A46E2D">
        <w:rPr>
          <w:rFonts w:cs="Arial"/>
        </w:rPr>
        <w:t>that</w:t>
      </w:r>
      <w:r>
        <w:rPr>
          <w:rFonts w:cs="Arial"/>
        </w:rPr>
        <w:t xml:space="preserve"> Report.</w:t>
      </w:r>
      <w:r w:rsidR="00B76931">
        <w:t xml:space="preserve"> </w:t>
      </w:r>
    </w:p>
    <w:p w:rsidR="009F44FD" w:rsidRPr="009F44FD" w:rsidRDefault="00097261" w:rsidP="009F44FD">
      <w:pPr>
        <w:pStyle w:val="Heading9"/>
        <w:rPr>
          <w:rStyle w:val="Strong"/>
          <w:b/>
          <w:bCs w:val="0"/>
        </w:rPr>
      </w:pPr>
      <w:bookmarkStart w:id="70" w:name="_Ref447171629"/>
      <w:bookmarkStart w:id="71" w:name="_Toc450627241"/>
      <w:r w:rsidRPr="00097261">
        <w:rPr>
          <w:noProof/>
        </w:rPr>
        <w:drawing>
          <wp:anchor distT="0" distB="0" distL="114300" distR="114300" simplePos="0" relativeHeight="251792384" behindDoc="0" locked="0" layoutInCell="1" allowOverlap="1" wp14:anchorId="6EAE7683" wp14:editId="3605638C">
            <wp:simplePos x="0" y="0"/>
            <wp:positionH relativeFrom="column">
              <wp:posOffset>-19051</wp:posOffset>
            </wp:positionH>
            <wp:positionV relativeFrom="paragraph">
              <wp:posOffset>296545</wp:posOffset>
            </wp:positionV>
            <wp:extent cx="6288301" cy="45275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9065" cy="452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4FD" w:rsidRPr="009F44FD">
        <w:rPr>
          <w:rStyle w:val="Strong"/>
          <w:b/>
          <w:bCs w:val="0"/>
        </w:rPr>
        <w:t xml:space="preserve">Table </w:t>
      </w:r>
      <w:r w:rsidR="00040BFE">
        <w:rPr>
          <w:rStyle w:val="Strong"/>
          <w:b/>
          <w:bCs w:val="0"/>
        </w:rPr>
        <w:fldChar w:fldCharType="begin"/>
      </w:r>
      <w:r w:rsidR="00040BFE">
        <w:rPr>
          <w:rStyle w:val="Strong"/>
          <w:b/>
          <w:bCs w:val="0"/>
        </w:rPr>
        <w:instrText xml:space="preserve"> STYLEREF 1 \s </w:instrText>
      </w:r>
      <w:r w:rsidR="00040BFE">
        <w:rPr>
          <w:rStyle w:val="Strong"/>
          <w:b/>
          <w:bCs w:val="0"/>
        </w:rPr>
        <w:fldChar w:fldCharType="separate"/>
      </w:r>
      <w:r w:rsidR="001A7098">
        <w:rPr>
          <w:rStyle w:val="Strong"/>
          <w:b/>
          <w:bCs w:val="0"/>
          <w:noProof/>
        </w:rPr>
        <w:t>II</w:t>
      </w:r>
      <w:r w:rsidR="00040BFE">
        <w:rPr>
          <w:rStyle w:val="Strong"/>
          <w:b/>
          <w:bCs w:val="0"/>
        </w:rPr>
        <w:fldChar w:fldCharType="end"/>
      </w:r>
      <w:r w:rsidR="00040BFE">
        <w:rPr>
          <w:rStyle w:val="Strong"/>
          <w:b/>
          <w:bCs w:val="0"/>
        </w:rPr>
        <w:noBreakHyphen/>
      </w:r>
      <w:r w:rsidR="00040BFE">
        <w:rPr>
          <w:rStyle w:val="Strong"/>
          <w:b/>
          <w:bCs w:val="0"/>
        </w:rPr>
        <w:fldChar w:fldCharType="begin"/>
      </w:r>
      <w:r w:rsidR="00040BFE">
        <w:rPr>
          <w:rStyle w:val="Strong"/>
          <w:b/>
          <w:bCs w:val="0"/>
        </w:rPr>
        <w:instrText xml:space="preserve"> SEQ Table \* ARABIC \s 1 </w:instrText>
      </w:r>
      <w:r w:rsidR="00040BFE">
        <w:rPr>
          <w:rStyle w:val="Strong"/>
          <w:b/>
          <w:bCs w:val="0"/>
        </w:rPr>
        <w:fldChar w:fldCharType="separate"/>
      </w:r>
      <w:r w:rsidR="001A7098">
        <w:rPr>
          <w:rStyle w:val="Strong"/>
          <w:b/>
          <w:bCs w:val="0"/>
          <w:noProof/>
        </w:rPr>
        <w:t>10</w:t>
      </w:r>
      <w:r w:rsidR="00040BFE">
        <w:rPr>
          <w:rStyle w:val="Strong"/>
          <w:b/>
          <w:bCs w:val="0"/>
        </w:rPr>
        <w:fldChar w:fldCharType="end"/>
      </w:r>
      <w:bookmarkEnd w:id="69"/>
      <w:bookmarkEnd w:id="70"/>
      <w:r w:rsidR="009F44FD" w:rsidRPr="009F44FD">
        <w:rPr>
          <w:rStyle w:val="Strong"/>
          <w:b/>
          <w:bCs w:val="0"/>
        </w:rPr>
        <w:t xml:space="preserve">: Highlights of 2015 </w:t>
      </w:r>
      <w:r w:rsidR="00C11DB9">
        <w:rPr>
          <w:rStyle w:val="Strong"/>
          <w:b/>
          <w:bCs w:val="0"/>
        </w:rPr>
        <w:t xml:space="preserve">Energy Efficiency </w:t>
      </w:r>
      <w:r w:rsidR="009F44FD" w:rsidRPr="009F44FD">
        <w:rPr>
          <w:rStyle w:val="Strong"/>
          <w:b/>
          <w:bCs w:val="0"/>
        </w:rPr>
        <w:t xml:space="preserve">TQM Adaptive Management </w:t>
      </w:r>
      <w:r w:rsidR="00C11DB9">
        <w:rPr>
          <w:rStyle w:val="Strong"/>
          <w:b/>
          <w:bCs w:val="0"/>
        </w:rPr>
        <w:t>Initiatives</w:t>
      </w:r>
      <w:bookmarkEnd w:id="71"/>
    </w:p>
    <w:p w:rsidR="00324D2E" w:rsidRDefault="00324D2E" w:rsidP="00602123">
      <w:pPr>
        <w:spacing w:before="240"/>
        <w:ind w:left="360"/>
        <w:rPr>
          <w:rFonts w:cs="Arial"/>
        </w:rPr>
      </w:pPr>
    </w:p>
    <w:p w:rsidR="00324D2E" w:rsidRDefault="00324D2E" w:rsidP="00602123">
      <w:pPr>
        <w:spacing w:before="240"/>
        <w:ind w:left="360"/>
        <w:rPr>
          <w:rFonts w:cs="Arial"/>
        </w:rPr>
      </w:pPr>
    </w:p>
    <w:p w:rsidR="00324D2E" w:rsidRDefault="00324D2E" w:rsidP="00602123">
      <w:pPr>
        <w:spacing w:before="240"/>
        <w:ind w:left="360"/>
        <w:rPr>
          <w:rFonts w:cs="Arial"/>
        </w:rPr>
      </w:pPr>
    </w:p>
    <w:p w:rsidR="00324D2E" w:rsidRDefault="00324D2E" w:rsidP="00602123">
      <w:pPr>
        <w:spacing w:before="240"/>
        <w:ind w:left="360"/>
        <w:rPr>
          <w:rFonts w:cs="Arial"/>
        </w:rPr>
      </w:pPr>
    </w:p>
    <w:p w:rsidR="00324D2E" w:rsidRDefault="00324D2E" w:rsidP="00602123">
      <w:pPr>
        <w:spacing w:before="240"/>
        <w:ind w:left="360"/>
        <w:rPr>
          <w:rFonts w:cs="Arial"/>
        </w:rPr>
      </w:pPr>
    </w:p>
    <w:p w:rsidR="00324D2E" w:rsidRDefault="00324D2E" w:rsidP="00602123">
      <w:pPr>
        <w:spacing w:before="240"/>
        <w:ind w:left="360"/>
        <w:rPr>
          <w:rFonts w:cs="Arial"/>
        </w:rPr>
      </w:pPr>
    </w:p>
    <w:p w:rsidR="00324D2E" w:rsidRDefault="00324D2E" w:rsidP="00602123">
      <w:pPr>
        <w:spacing w:before="240"/>
        <w:ind w:left="360"/>
        <w:rPr>
          <w:rFonts w:cs="Arial"/>
        </w:rPr>
      </w:pPr>
    </w:p>
    <w:p w:rsidR="00324D2E" w:rsidRDefault="00324D2E" w:rsidP="00602123">
      <w:pPr>
        <w:spacing w:before="240"/>
        <w:ind w:left="360"/>
        <w:rPr>
          <w:rFonts w:cs="Arial"/>
        </w:rPr>
      </w:pPr>
    </w:p>
    <w:p w:rsidR="00324D2E" w:rsidRDefault="00324D2E" w:rsidP="00602123">
      <w:pPr>
        <w:spacing w:before="240"/>
        <w:ind w:left="360"/>
        <w:rPr>
          <w:rFonts w:cs="Arial"/>
        </w:rPr>
      </w:pPr>
    </w:p>
    <w:p w:rsidR="00324D2E" w:rsidRDefault="00324D2E" w:rsidP="00602123">
      <w:pPr>
        <w:spacing w:before="240"/>
        <w:ind w:left="360"/>
        <w:rPr>
          <w:rFonts w:cs="Arial"/>
        </w:rPr>
      </w:pPr>
    </w:p>
    <w:p w:rsidR="00324D2E" w:rsidRDefault="00324D2E" w:rsidP="00602123">
      <w:pPr>
        <w:spacing w:before="240"/>
        <w:ind w:left="360"/>
        <w:rPr>
          <w:rFonts w:cs="Arial"/>
        </w:rPr>
      </w:pPr>
    </w:p>
    <w:p w:rsidR="00324D2E" w:rsidRDefault="00324D2E" w:rsidP="00602123">
      <w:pPr>
        <w:spacing w:before="240"/>
        <w:ind w:left="360"/>
        <w:rPr>
          <w:rFonts w:cs="Arial"/>
        </w:rPr>
      </w:pPr>
    </w:p>
    <w:p w:rsidR="00B51D8C" w:rsidRDefault="00B51D8C" w:rsidP="00602123">
      <w:pPr>
        <w:spacing w:before="240"/>
        <w:ind w:left="360"/>
        <w:rPr>
          <w:rFonts w:cs="Arial"/>
        </w:rPr>
      </w:pPr>
    </w:p>
    <w:p w:rsidR="00B51D8C" w:rsidRDefault="00B51D8C" w:rsidP="00602123">
      <w:pPr>
        <w:spacing w:before="240"/>
        <w:ind w:left="360"/>
        <w:rPr>
          <w:rFonts w:cs="Arial"/>
        </w:rPr>
      </w:pPr>
    </w:p>
    <w:p w:rsidR="00EB3A17" w:rsidRDefault="00694DFF" w:rsidP="00602123">
      <w:pPr>
        <w:spacing w:before="240"/>
        <w:ind w:left="360"/>
        <w:rPr>
          <w:rFonts w:cs="Arial"/>
        </w:rPr>
      </w:pPr>
      <w:r>
        <w:rPr>
          <w:rFonts w:cs="Arial"/>
        </w:rPr>
        <w:t>Supporting functions, including</w:t>
      </w:r>
      <w:r w:rsidR="00BE57FF">
        <w:rPr>
          <w:rFonts w:cs="Arial"/>
        </w:rPr>
        <w:t xml:space="preserve"> but not limited to</w:t>
      </w:r>
      <w:r>
        <w:rPr>
          <w:rFonts w:cs="Arial"/>
        </w:rPr>
        <w:t xml:space="preserve"> Data and Systems Support, Budget-Evaluation-Administration-Regulatory, and the </w:t>
      </w:r>
      <w:r w:rsidR="002C28CC">
        <w:rPr>
          <w:rFonts w:cs="Arial"/>
        </w:rPr>
        <w:t>Events and Energy Efficient Communities teams</w:t>
      </w:r>
      <w:r>
        <w:rPr>
          <w:rFonts w:cs="Arial"/>
        </w:rPr>
        <w:t>, also made significant operational improvements throughout the biennium.</w:t>
      </w:r>
    </w:p>
    <w:p w:rsidR="00DD0048" w:rsidRDefault="00DD0048" w:rsidP="007A6F51"/>
    <w:p w:rsidR="00BA0B10" w:rsidRPr="00BA0B10" w:rsidRDefault="00BA0B10" w:rsidP="00BA0B10">
      <w:pPr>
        <w:sectPr w:rsidR="00BA0B10" w:rsidRPr="00BA0B10" w:rsidSect="00384AA1">
          <w:headerReference w:type="even" r:id="rId31"/>
          <w:headerReference w:type="default" r:id="rId32"/>
          <w:headerReference w:type="first" r:id="rId33"/>
          <w:pgSz w:w="12240" w:h="15840"/>
          <w:pgMar w:top="1980" w:right="1440" w:bottom="1440" w:left="1440" w:header="720" w:footer="720" w:gutter="0"/>
          <w:cols w:space="720"/>
          <w:docGrid w:linePitch="360"/>
        </w:sectPr>
      </w:pPr>
    </w:p>
    <w:p w:rsidR="00997261" w:rsidRDefault="00743868" w:rsidP="00997261">
      <w:pPr>
        <w:pStyle w:val="Heading1"/>
      </w:pPr>
      <w:bookmarkStart w:id="72" w:name="_Toc450627081"/>
      <w:r>
        <w:lastRenderedPageBreak/>
        <w:t xml:space="preserve">Regulatory </w:t>
      </w:r>
      <w:r w:rsidR="00997261">
        <w:t>Compliance</w:t>
      </w:r>
      <w:bookmarkEnd w:id="72"/>
    </w:p>
    <w:p w:rsidR="00997261" w:rsidRDefault="00B63941" w:rsidP="00997261">
      <w:r>
        <w:t>PSE submits t</w:t>
      </w:r>
      <w:r w:rsidR="0076753C">
        <w:t>his biennial report of</w:t>
      </w:r>
      <w:r w:rsidR="00997261">
        <w:t xml:space="preserve"> </w:t>
      </w:r>
      <w:r>
        <w:t xml:space="preserve">its </w:t>
      </w:r>
      <w:r w:rsidR="00EB75CE">
        <w:t>2014-2015</w:t>
      </w:r>
      <w:r w:rsidR="00997261">
        <w:t xml:space="preserve"> electric conservation to the UTC, consistent with RCW 19.285.070, which states:</w:t>
      </w:r>
    </w:p>
    <w:p w:rsidR="00997261" w:rsidRDefault="00997261" w:rsidP="00997261">
      <w:pPr>
        <w:ind w:left="630" w:hanging="270"/>
        <w:rPr>
          <w:rFonts w:ascii="Times New Roman" w:hAnsi="Times New Roman"/>
          <w:sz w:val="20"/>
          <w:szCs w:val="20"/>
        </w:rPr>
      </w:pPr>
      <w:r w:rsidRPr="00A15E49">
        <w:rPr>
          <w:rFonts w:ascii="Times New Roman" w:hAnsi="Times New Roman"/>
          <w:sz w:val="20"/>
          <w:szCs w:val="20"/>
        </w:rPr>
        <w:t>(1</w:t>
      </w:r>
      <w:r>
        <w:rPr>
          <w:rFonts w:ascii="Times New Roman" w:hAnsi="Times New Roman"/>
          <w:sz w:val="20"/>
          <w:szCs w:val="20"/>
        </w:rPr>
        <w:t xml:space="preserve">) </w:t>
      </w:r>
      <w:r w:rsidRPr="00A15E49">
        <w:rPr>
          <w:rFonts w:ascii="Times New Roman" w:hAnsi="Times New Roman"/>
          <w:sz w:val="20"/>
          <w:szCs w:val="20"/>
        </w:rPr>
        <w:t xml:space="preserve">On or before June 1, 2012, and annually thereafter, each qualifying utility shall report to the department on its progress in the preceding year in meeting the targets established in RCW </w:t>
      </w:r>
      <w:hyperlink r:id="rId34" w:history="1">
        <w:r w:rsidRPr="00A15E49">
          <w:rPr>
            <w:rStyle w:val="Hyperlink"/>
            <w:rFonts w:ascii="Times New Roman" w:hAnsi="Times New Roman"/>
            <w:sz w:val="20"/>
            <w:szCs w:val="20"/>
          </w:rPr>
          <w:t>19.285.040</w:t>
        </w:r>
      </w:hyperlink>
      <w:r w:rsidRPr="00A15E49">
        <w:rPr>
          <w:rFonts w:ascii="Times New Roman" w:hAnsi="Times New Roman"/>
          <w:sz w:val="20"/>
          <w:szCs w:val="20"/>
        </w:rPr>
        <w:t xml:space="preserve">, including expected electricity savings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 For each year that a qualifying utility elects to demonstrate alternative compliance under RCW </w:t>
      </w:r>
      <w:hyperlink r:id="rId35" w:history="1">
        <w:r w:rsidRPr="00A15E49">
          <w:rPr>
            <w:rStyle w:val="Hyperlink"/>
            <w:rFonts w:ascii="Times New Roman" w:hAnsi="Times New Roman"/>
            <w:sz w:val="20"/>
            <w:szCs w:val="20"/>
          </w:rPr>
          <w:t>19.285.040</w:t>
        </w:r>
      </w:hyperlink>
      <w:r w:rsidRPr="00A15E49">
        <w:rPr>
          <w:rFonts w:ascii="Times New Roman" w:hAnsi="Times New Roman"/>
          <w:sz w:val="20"/>
          <w:szCs w:val="20"/>
        </w:rPr>
        <w:t>(2) (d) or (</w:t>
      </w:r>
      <w:proofErr w:type="spellStart"/>
      <w:r w:rsidRPr="00A15E49">
        <w:rPr>
          <w:rFonts w:ascii="Times New Roman" w:hAnsi="Times New Roman"/>
          <w:sz w:val="20"/>
          <w:szCs w:val="20"/>
        </w:rPr>
        <w:t>i</w:t>
      </w:r>
      <w:proofErr w:type="spellEnd"/>
      <w:r w:rsidRPr="00A15E49">
        <w:rPr>
          <w:rFonts w:ascii="Times New Roman" w:hAnsi="Times New Roman"/>
          <w:sz w:val="20"/>
          <w:szCs w:val="20"/>
        </w:rPr>
        <w:t xml:space="preserve">) or </w:t>
      </w:r>
      <w:hyperlink r:id="rId36" w:history="1">
        <w:r w:rsidRPr="00A15E49">
          <w:rPr>
            <w:rStyle w:val="Hyperlink"/>
            <w:rFonts w:ascii="Times New Roman" w:hAnsi="Times New Roman"/>
            <w:sz w:val="20"/>
            <w:szCs w:val="20"/>
          </w:rPr>
          <w:t>19.285.050</w:t>
        </w:r>
      </w:hyperlink>
      <w:r w:rsidRPr="00A15E49">
        <w:rPr>
          <w:rFonts w:ascii="Times New Roman" w:hAnsi="Times New Roman"/>
          <w:sz w:val="20"/>
          <w:szCs w:val="20"/>
        </w:rPr>
        <w:t>(1), it must include in its annual report relevant data to demonstrate that it met the criteria in that section</w:t>
      </w:r>
      <w:proofErr w:type="gramStart"/>
      <w:r w:rsidRPr="00A15E49">
        <w:rPr>
          <w:rFonts w:ascii="Times New Roman" w:hAnsi="Times New Roman"/>
          <w:sz w:val="20"/>
          <w:szCs w:val="20"/>
        </w:rPr>
        <w:t xml:space="preserve">. </w:t>
      </w:r>
      <w:proofErr w:type="gramEnd"/>
      <w:r w:rsidRPr="00A15E49">
        <w:rPr>
          <w:rFonts w:ascii="Times New Roman" w:hAnsi="Times New Roman"/>
          <w:sz w:val="20"/>
          <w:szCs w:val="20"/>
        </w:rPr>
        <w:t xml:space="preserve">A qualifying utility may submit its report to the department in conjunction with its annual obligations in chapter </w:t>
      </w:r>
      <w:hyperlink r:id="rId37" w:history="1">
        <w:proofErr w:type="spellStart"/>
        <w:r w:rsidRPr="00A15E49">
          <w:rPr>
            <w:rStyle w:val="Hyperlink"/>
            <w:rFonts w:ascii="Times New Roman" w:hAnsi="Times New Roman"/>
            <w:sz w:val="20"/>
            <w:szCs w:val="20"/>
          </w:rPr>
          <w:t>19.29A</w:t>
        </w:r>
        <w:proofErr w:type="spellEnd"/>
      </w:hyperlink>
      <w:r w:rsidRPr="00A15E49">
        <w:rPr>
          <w:rFonts w:ascii="Times New Roman" w:hAnsi="Times New Roman"/>
          <w:sz w:val="20"/>
          <w:szCs w:val="20"/>
        </w:rPr>
        <w:t xml:space="preserve"> RCW.</w:t>
      </w:r>
    </w:p>
    <w:p w:rsidR="00997261" w:rsidRDefault="00997261" w:rsidP="00997261">
      <w:pPr>
        <w:ind w:left="630" w:hanging="270"/>
        <w:rPr>
          <w:rFonts w:ascii="Times New Roman" w:hAnsi="Times New Roman"/>
          <w:sz w:val="20"/>
          <w:szCs w:val="20"/>
        </w:rPr>
      </w:pPr>
      <w:r w:rsidRPr="00A15E49">
        <w:rPr>
          <w:rFonts w:ascii="Times New Roman" w:hAnsi="Times New Roman"/>
          <w:sz w:val="20"/>
          <w:szCs w:val="20"/>
        </w:rPr>
        <w:t xml:space="preserve">(2) A qualifying utility that is an investor-owned utility shall also report all information required in subsection (1) of this section to the commission, and all other qualifying utilities </w:t>
      </w:r>
      <w:proofErr w:type="gramStart"/>
      <w:r w:rsidRPr="00A15E49">
        <w:rPr>
          <w:rFonts w:ascii="Times New Roman" w:hAnsi="Times New Roman"/>
          <w:sz w:val="20"/>
          <w:szCs w:val="20"/>
        </w:rPr>
        <w:t>shall also</w:t>
      </w:r>
      <w:proofErr w:type="gramEnd"/>
      <w:r w:rsidRPr="00A15E49">
        <w:rPr>
          <w:rFonts w:ascii="Times New Roman" w:hAnsi="Times New Roman"/>
          <w:sz w:val="20"/>
          <w:szCs w:val="20"/>
        </w:rPr>
        <w:t xml:space="preserve"> make all information required in subsection (1) of this section available to the auditor.</w:t>
      </w:r>
    </w:p>
    <w:p w:rsidR="00997261" w:rsidRDefault="00997261" w:rsidP="00997261">
      <w:pPr>
        <w:ind w:left="360"/>
        <w:rPr>
          <w:rFonts w:ascii="Times New Roman" w:hAnsi="Times New Roman"/>
          <w:sz w:val="20"/>
          <w:szCs w:val="20"/>
        </w:rPr>
      </w:pPr>
      <w:r w:rsidRPr="00A15E49">
        <w:rPr>
          <w:rFonts w:ascii="Times New Roman" w:hAnsi="Times New Roman"/>
          <w:sz w:val="20"/>
          <w:szCs w:val="20"/>
        </w:rPr>
        <w:t>(3) A qualifying utility shall also make reports required in this section available to its customers.</w:t>
      </w:r>
    </w:p>
    <w:p w:rsidR="00997261" w:rsidRDefault="00997261" w:rsidP="00997261">
      <w:pPr>
        <w:rPr>
          <w:rFonts w:cs="Arial"/>
        </w:rPr>
      </w:pPr>
      <w:r w:rsidRPr="00A15E49">
        <w:rPr>
          <w:rFonts w:cs="Arial"/>
        </w:rPr>
        <w:t xml:space="preserve">The report is also consistent with </w:t>
      </w:r>
      <w:r w:rsidR="00195F2F">
        <w:rPr>
          <w:rFonts w:cs="Arial"/>
        </w:rPr>
        <w:t>WAC 480-109-120(4)</w:t>
      </w:r>
      <w:r w:rsidR="00C90F71">
        <w:rPr>
          <w:rFonts w:cs="Arial"/>
        </w:rPr>
        <w:t>, stipulating the Report’s contents,</w:t>
      </w:r>
      <w:r w:rsidR="00195F2F">
        <w:rPr>
          <w:rFonts w:cs="Arial"/>
        </w:rPr>
        <w:t xml:space="preserve"> and</w:t>
      </w:r>
      <w:r w:rsidR="0020789A">
        <w:rPr>
          <w:rFonts w:cs="Arial"/>
        </w:rPr>
        <w:t xml:space="preserve"> </w:t>
      </w:r>
      <w:r w:rsidR="00F51FEF">
        <w:rPr>
          <w:rFonts w:cs="Arial"/>
        </w:rPr>
        <w:t>condition (8)(e</w:t>
      </w:r>
      <w:r w:rsidRPr="00A15E49">
        <w:rPr>
          <w:rFonts w:cs="Arial"/>
        </w:rPr>
        <w:t>)</w:t>
      </w:r>
      <w:r>
        <w:rPr>
          <w:rFonts w:cs="Arial"/>
        </w:rPr>
        <w:t>,</w:t>
      </w:r>
      <w:r>
        <w:rPr>
          <w:rStyle w:val="FootnoteReference"/>
          <w:rFonts w:cs="Arial"/>
        </w:rPr>
        <w:footnoteReference w:id="34"/>
      </w:r>
      <w:r>
        <w:rPr>
          <w:rFonts w:cs="Arial"/>
        </w:rPr>
        <w:t xml:space="preserve"> which indicates that the report must be filed with the UTC</w:t>
      </w:r>
      <w:proofErr w:type="gramStart"/>
      <w:r>
        <w:rPr>
          <w:rFonts w:cs="Arial"/>
        </w:rPr>
        <w:t>.</w:t>
      </w:r>
      <w:r w:rsidR="00FB1265">
        <w:rPr>
          <w:rFonts w:cs="Arial"/>
        </w:rPr>
        <w:t xml:space="preserve"> </w:t>
      </w:r>
      <w:proofErr w:type="gramEnd"/>
      <w:r w:rsidR="00EC633C">
        <w:rPr>
          <w:rFonts w:cs="Arial"/>
        </w:rPr>
        <w:t xml:space="preserve">PSE will post a copy of the report on the PSE.com website </w:t>
      </w:r>
      <w:r w:rsidR="00FA0976">
        <w:rPr>
          <w:rFonts w:cs="Arial"/>
        </w:rPr>
        <w:t>within 30 days of the Commission’s Report acknowledgement</w:t>
      </w:r>
      <w:r w:rsidR="00EC633C">
        <w:rPr>
          <w:rFonts w:cs="Arial"/>
        </w:rPr>
        <w:t>.</w:t>
      </w:r>
    </w:p>
    <w:p w:rsidR="00C90F71" w:rsidRDefault="00C90F71" w:rsidP="00997261">
      <w:pPr>
        <w:rPr>
          <w:rFonts w:cs="Arial"/>
        </w:rPr>
      </w:pPr>
      <w:r>
        <w:rPr>
          <w:rFonts w:cs="Arial"/>
        </w:rPr>
        <w:t xml:space="preserve">Concurrent with this Report, PSE is providing the Washington State </w:t>
      </w:r>
      <w:r w:rsidR="00AB4870">
        <w:rPr>
          <w:rFonts w:cs="Arial"/>
        </w:rPr>
        <w:t>Department</w:t>
      </w:r>
      <w:r>
        <w:rPr>
          <w:rFonts w:cs="Arial"/>
        </w:rPr>
        <w:t xml:space="preserve"> of </w:t>
      </w:r>
      <w:r w:rsidR="00AB4870">
        <w:rPr>
          <w:rFonts w:cs="Arial"/>
        </w:rPr>
        <w:t>Commerce</w:t>
      </w:r>
      <w:r>
        <w:rPr>
          <w:rFonts w:cs="Arial"/>
        </w:rPr>
        <w:t xml:space="preserve"> with a copy of </w:t>
      </w:r>
      <w:r w:rsidR="00B63941">
        <w:rPr>
          <w:rFonts w:cs="Arial"/>
        </w:rPr>
        <w:t>the Department’s</w:t>
      </w:r>
      <w:r>
        <w:rPr>
          <w:rFonts w:cs="Arial"/>
        </w:rPr>
        <w:t xml:space="preserve"> 2016 EIA Report Microsoft® Excel™ workbook</w:t>
      </w:r>
      <w:proofErr w:type="gramStart"/>
      <w:r>
        <w:rPr>
          <w:rFonts w:cs="Arial"/>
        </w:rPr>
        <w:t xml:space="preserve">. </w:t>
      </w:r>
      <w:proofErr w:type="gramEnd"/>
      <w:r>
        <w:rPr>
          <w:rFonts w:cs="Arial"/>
        </w:rPr>
        <w:t>A copy of the conservation portion of that workbook is included with the Report as Attachment 2.</w:t>
      </w:r>
    </w:p>
    <w:p w:rsidR="00997261" w:rsidRPr="00DD0048" w:rsidRDefault="00997261" w:rsidP="009026FD">
      <w:pPr>
        <w:pStyle w:val="Heading2"/>
        <w:numPr>
          <w:ilvl w:val="0"/>
          <w:numId w:val="9"/>
        </w:numPr>
        <w:jc w:val="left"/>
      </w:pPr>
      <w:bookmarkStart w:id="73" w:name="_Toc450627082"/>
      <w:r w:rsidRPr="00DD0048">
        <w:t>RCW 19.285.040(1)</w:t>
      </w:r>
      <w:bookmarkEnd w:id="73"/>
    </w:p>
    <w:p w:rsidR="00997261" w:rsidRDefault="00997261" w:rsidP="007A6F51">
      <w:pPr>
        <w:pStyle w:val="BodyArial"/>
        <w:ind w:left="360"/>
        <w:rPr>
          <w:color w:val="000000"/>
        </w:rPr>
      </w:pPr>
      <w:r>
        <w:rPr>
          <w:color w:val="000000"/>
        </w:rPr>
        <w:t xml:space="preserve">The Report and its </w:t>
      </w:r>
      <w:r w:rsidR="0074083A">
        <w:rPr>
          <w:color w:val="000000"/>
        </w:rPr>
        <w:t>Exhibits</w:t>
      </w:r>
      <w:r>
        <w:rPr>
          <w:color w:val="000000"/>
        </w:rPr>
        <w:t xml:space="preserve"> clearly demonstrate that PSE is in full compliance with RCW 19.285.040 (1):</w:t>
      </w:r>
    </w:p>
    <w:p w:rsidR="00997261" w:rsidRPr="00DC129E" w:rsidRDefault="00997261" w:rsidP="00FB1265">
      <w:pPr>
        <w:pStyle w:val="BodyArial"/>
        <w:ind w:left="630"/>
        <w:rPr>
          <w:rFonts w:ascii="Times New Roman" w:hAnsi="Times New Roman" w:cs="Times New Roman"/>
          <w:sz w:val="20"/>
          <w:szCs w:val="20"/>
        </w:rPr>
      </w:pPr>
      <w:r w:rsidRPr="00DC129E">
        <w:rPr>
          <w:rFonts w:ascii="Times New Roman" w:hAnsi="Times New Roman" w:cs="Times New Roman"/>
          <w:sz w:val="20"/>
          <w:szCs w:val="20"/>
        </w:rPr>
        <w:t xml:space="preserve">Each qualifying utility shall pursue all available </w:t>
      </w:r>
      <w:r>
        <w:rPr>
          <w:rFonts w:ascii="Times New Roman" w:hAnsi="Times New Roman" w:cs="Times New Roman"/>
          <w:sz w:val="20"/>
          <w:szCs w:val="20"/>
        </w:rPr>
        <w:t>conservation that is cost-effec</w:t>
      </w:r>
      <w:r w:rsidRPr="00DC129E">
        <w:rPr>
          <w:rFonts w:ascii="Times New Roman" w:hAnsi="Times New Roman" w:cs="Times New Roman"/>
          <w:sz w:val="20"/>
          <w:szCs w:val="20"/>
        </w:rPr>
        <w:t>tive, reliable, and feasible.</w:t>
      </w:r>
    </w:p>
    <w:p w:rsidR="00B63941" w:rsidRDefault="00B63941" w:rsidP="00FB1265">
      <w:pPr>
        <w:ind w:left="900" w:hanging="270"/>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continued</w:t>
      </w:r>
      <w:proofErr w:type="gramEnd"/>
      <w:r>
        <w:rPr>
          <w:rFonts w:ascii="Times New Roman" w:hAnsi="Times New Roman"/>
          <w:sz w:val="20"/>
          <w:szCs w:val="20"/>
        </w:rPr>
        <w:t>)</w:t>
      </w:r>
      <w:r>
        <w:rPr>
          <w:rFonts w:ascii="Times New Roman" w:hAnsi="Times New Roman"/>
          <w:sz w:val="20"/>
          <w:szCs w:val="20"/>
        </w:rPr>
        <w:br w:type="page"/>
      </w:r>
    </w:p>
    <w:p w:rsidR="00997261" w:rsidRPr="00BA689E" w:rsidRDefault="00997261" w:rsidP="00FB1265">
      <w:pPr>
        <w:ind w:left="900" w:hanging="270"/>
        <w:rPr>
          <w:rFonts w:ascii="Times New Roman" w:hAnsi="Times New Roman"/>
          <w:sz w:val="20"/>
          <w:szCs w:val="20"/>
        </w:rPr>
      </w:pPr>
      <w:r w:rsidRPr="00BA689E">
        <w:rPr>
          <w:rFonts w:ascii="Times New Roman" w:hAnsi="Times New Roman"/>
          <w:sz w:val="20"/>
          <w:szCs w:val="20"/>
        </w:rPr>
        <w:lastRenderedPageBreak/>
        <w:t>(a) By January 1, 2010, using methodologies consistent with those used by the Pacific Northwest electric power and conservation planning council in its most recently published regional power plan, each qualifying utility shall identify its achievable cost-effective conservation potential through 2019</w:t>
      </w:r>
      <w:proofErr w:type="gramStart"/>
      <w:r w:rsidRPr="00BA689E">
        <w:rPr>
          <w:rFonts w:ascii="Times New Roman" w:hAnsi="Times New Roman"/>
          <w:sz w:val="20"/>
          <w:szCs w:val="20"/>
        </w:rPr>
        <w:t xml:space="preserve">. </w:t>
      </w:r>
      <w:proofErr w:type="gramEnd"/>
      <w:r w:rsidRPr="00BA689E">
        <w:rPr>
          <w:rFonts w:ascii="Times New Roman" w:hAnsi="Times New Roman"/>
          <w:sz w:val="20"/>
          <w:szCs w:val="20"/>
        </w:rPr>
        <w:t xml:space="preserve">At least every two years thereafter, the qualifying utility shall review and update this assessment for the subsequent ten-year period. </w:t>
      </w:r>
    </w:p>
    <w:p w:rsidR="00997261" w:rsidRPr="00BA689E" w:rsidRDefault="00997261" w:rsidP="00FB1265">
      <w:pPr>
        <w:ind w:left="900" w:hanging="270"/>
        <w:rPr>
          <w:rFonts w:ascii="Times New Roman" w:hAnsi="Times New Roman"/>
          <w:sz w:val="20"/>
          <w:szCs w:val="20"/>
        </w:rPr>
      </w:pPr>
      <w:r w:rsidRPr="00BA689E">
        <w:rPr>
          <w:rFonts w:ascii="Times New Roman" w:hAnsi="Times New Roman"/>
          <w:sz w:val="20"/>
          <w:szCs w:val="20"/>
        </w:rPr>
        <w:t>(b)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w:t>
      </w:r>
      <w:proofErr w:type="gramStart"/>
      <w:r w:rsidRPr="00BA689E">
        <w:rPr>
          <w:rFonts w:ascii="Times New Roman" w:hAnsi="Times New Roman"/>
          <w:sz w:val="20"/>
          <w:szCs w:val="20"/>
        </w:rPr>
        <w:t xml:space="preserve">. </w:t>
      </w:r>
      <w:proofErr w:type="gramEnd"/>
      <w:r w:rsidRPr="00BA689E">
        <w:rPr>
          <w:rFonts w:ascii="Times New Roman" w:hAnsi="Times New Roman"/>
          <w:sz w:val="20"/>
          <w:szCs w:val="20"/>
        </w:rPr>
        <w:t>At a minimum, each biennial target must be no lower than the qualifying utility's pro rata share for that two-year period of its cost-effective conservation potential for the subsequent ten-year period.</w:t>
      </w:r>
    </w:p>
    <w:p w:rsidR="00FA36C4" w:rsidRDefault="00F108DB" w:rsidP="007A6F51">
      <w:pPr>
        <w:ind w:left="360"/>
      </w:pPr>
      <w:r>
        <w:t xml:space="preserve">As part of its Biennial Conservation Plan, </w:t>
      </w:r>
      <w:r w:rsidRPr="00F108DB">
        <w:t xml:space="preserve">PSE filed its </w:t>
      </w:r>
      <w:r w:rsidR="00EB75CE">
        <w:t>2014-2015</w:t>
      </w:r>
      <w:r w:rsidR="007B3408">
        <w:t xml:space="preserve"> electric conservation T</w:t>
      </w:r>
      <w:r w:rsidRPr="00F108DB">
        <w:t xml:space="preserve">arget </w:t>
      </w:r>
      <w:r w:rsidR="00B63941">
        <w:t xml:space="preserve">(also, “EIA Target”) </w:t>
      </w:r>
      <w:r w:rsidRPr="00F108DB">
        <w:t>w</w:t>
      </w:r>
      <w:r>
        <w:t xml:space="preserve">ith the UTC on </w:t>
      </w:r>
      <w:r w:rsidR="00DF37A1">
        <w:t>November 1, 2013 in Docket No</w:t>
      </w:r>
      <w:proofErr w:type="gramStart"/>
      <w:r w:rsidR="00DF37A1">
        <w:t xml:space="preserve">. </w:t>
      </w:r>
      <w:proofErr w:type="gramEnd"/>
      <w:r w:rsidR="00DF37A1">
        <w:t>UE-132043</w:t>
      </w:r>
      <w:proofErr w:type="gramStart"/>
      <w:r w:rsidRPr="00F108DB">
        <w:t>.</w:t>
      </w:r>
      <w:r w:rsidR="00FB1265">
        <w:t xml:space="preserve"> </w:t>
      </w:r>
      <w:proofErr w:type="gramEnd"/>
      <w:r w:rsidR="007B3408">
        <w:t xml:space="preserve">The Commission approved the </w:t>
      </w:r>
      <w:r w:rsidR="00DF37A1">
        <w:t xml:space="preserve">EIA </w:t>
      </w:r>
      <w:r w:rsidR="007B3408">
        <w:t>T</w:t>
      </w:r>
      <w:r w:rsidR="00DF37A1">
        <w:t>arget of 485,770 MWh on December 19</w:t>
      </w:r>
      <w:r>
        <w:t xml:space="preserve"> with conditions</w:t>
      </w:r>
      <w:r w:rsidR="00FA36C4">
        <w:t>, thus signifying that the savings value represented PSE’s total obli</w:t>
      </w:r>
      <w:r w:rsidR="005D64AC">
        <w:t xml:space="preserve">gation to pursue all available conservation that is available, cost-effective, reliable, and feasible </w:t>
      </w:r>
      <w:r w:rsidR="00FA36C4">
        <w:t xml:space="preserve">for </w:t>
      </w:r>
      <w:r w:rsidR="00EB75CE">
        <w:t>2014-2015</w:t>
      </w:r>
      <w:proofErr w:type="gramStart"/>
      <w:r>
        <w:t>.</w:t>
      </w:r>
      <w:r w:rsidR="00FB1265">
        <w:t xml:space="preserve"> </w:t>
      </w:r>
      <w:proofErr w:type="gramEnd"/>
      <w:r w:rsidR="00DF37A1">
        <w:t>In Order 03 of that same Docket, the Commission approved PSE’s 2014-2015 decoupling commitment of 27,920 MWh.</w:t>
      </w:r>
    </w:p>
    <w:p w:rsidR="00997261" w:rsidRDefault="00997261" w:rsidP="007A6F51">
      <w:pPr>
        <w:ind w:left="360"/>
      </w:pPr>
      <w:r>
        <w:t xml:space="preserve">An overview discussion of the </w:t>
      </w:r>
      <w:r w:rsidR="00B63941">
        <w:t xml:space="preserve">development of the </w:t>
      </w:r>
      <w:r w:rsidR="007B3408">
        <w:t>two-year T</w:t>
      </w:r>
      <w:r w:rsidRPr="00FA36C4">
        <w:t xml:space="preserve">arget, including the determination of PSE’s pro-rata share, is available in </w:t>
      </w:r>
      <w:r w:rsidR="005D64AC">
        <w:rPr>
          <w:i/>
        </w:rPr>
        <w:t>Exhibit i: Ten-Year Potential and Two-Year Target</w:t>
      </w:r>
      <w:r w:rsidR="005D64AC">
        <w:t xml:space="preserve"> of the </w:t>
      </w:r>
      <w:r w:rsidR="00EB75CE">
        <w:t>2014-2015</w:t>
      </w:r>
      <w:r w:rsidR="005D64AC">
        <w:t xml:space="preserve"> BCP</w:t>
      </w:r>
      <w:proofErr w:type="gramStart"/>
      <w:r>
        <w:t>.</w:t>
      </w:r>
      <w:r w:rsidR="00FB1265">
        <w:t xml:space="preserve"> </w:t>
      </w:r>
      <w:proofErr w:type="gramEnd"/>
      <w:r>
        <w:t>Details of the</w:t>
      </w:r>
      <w:r w:rsidR="007B3408">
        <w:t xml:space="preserve"> biennial acquisition </w:t>
      </w:r>
      <w:r w:rsidR="00B63941">
        <w:t>t</w:t>
      </w:r>
      <w:r>
        <w:t>arget methodo</w:t>
      </w:r>
      <w:r w:rsidR="00951002">
        <w:t>logy are available in PSE’s 2013</w:t>
      </w:r>
      <w:r>
        <w:t xml:space="preserve"> IRP.</w:t>
      </w:r>
      <w:r>
        <w:rPr>
          <w:rStyle w:val="FootnoteReference"/>
        </w:rPr>
        <w:footnoteReference w:id="35"/>
      </w:r>
    </w:p>
    <w:p w:rsidR="00644FD5" w:rsidRDefault="00644FD5" w:rsidP="007A6F51">
      <w:pPr>
        <w:ind w:left="360"/>
      </w:pPr>
      <w:r>
        <w:t xml:space="preserve">PSE also demonstrated compliance with part (c) of RCW </w:t>
      </w:r>
      <w:r>
        <w:rPr>
          <w:color w:val="000000"/>
        </w:rPr>
        <w:t>19.285.040 (1)</w:t>
      </w:r>
      <w:r>
        <w:t>:</w:t>
      </w:r>
    </w:p>
    <w:p w:rsidR="00997261" w:rsidRPr="00BA689E" w:rsidRDefault="00997261" w:rsidP="00FB1265">
      <w:pPr>
        <w:ind w:left="990" w:hanging="270"/>
        <w:rPr>
          <w:rFonts w:ascii="Times New Roman" w:hAnsi="Times New Roman"/>
          <w:sz w:val="20"/>
          <w:szCs w:val="20"/>
        </w:rPr>
      </w:pPr>
      <w:r w:rsidRPr="00BA689E">
        <w:rPr>
          <w:rFonts w:ascii="Times New Roman" w:hAnsi="Times New Roman"/>
          <w:sz w:val="20"/>
          <w:szCs w:val="20"/>
        </w:rPr>
        <w:t>(c) In meeting its conservation targets, a qualifying utility may count high-efficiency cogeneration owned and used by a retail electric customer to meet its own needs</w:t>
      </w:r>
      <w:proofErr w:type="gramStart"/>
      <w:r w:rsidRPr="00BA689E">
        <w:rPr>
          <w:rFonts w:ascii="Times New Roman" w:hAnsi="Times New Roman"/>
          <w:sz w:val="20"/>
          <w:szCs w:val="20"/>
        </w:rPr>
        <w:t xml:space="preserve">. </w:t>
      </w:r>
      <w:proofErr w:type="gramEnd"/>
      <w:r w:rsidRPr="00BA689E">
        <w:rPr>
          <w:rFonts w:ascii="Times New Roman" w:hAnsi="Times New Roman"/>
          <w:sz w:val="20"/>
          <w:szCs w:val="20"/>
        </w:rPr>
        <w:t>High-efficiency cogeneration is the sequential production of electricity and useful thermal energy from a common fuel source, where, under normal operating conditions, the facility has a useful thermal energy output of no less than thirty-three percent of the total energy output</w:t>
      </w:r>
      <w:proofErr w:type="gramStart"/>
      <w:r w:rsidRPr="00BA689E">
        <w:rPr>
          <w:rFonts w:ascii="Times New Roman" w:hAnsi="Times New Roman"/>
          <w:sz w:val="20"/>
          <w:szCs w:val="20"/>
        </w:rPr>
        <w:t xml:space="preserve">. </w:t>
      </w:r>
      <w:proofErr w:type="gramEnd"/>
      <w:r w:rsidRPr="00BA689E">
        <w:rPr>
          <w:rFonts w:ascii="Times New Roman" w:hAnsi="Times New Roman"/>
          <w:sz w:val="20"/>
          <w:szCs w:val="20"/>
        </w:rPr>
        <w:t xml:space="preserve">The reduction in load due to high-efficiency cogeneration shall be: </w:t>
      </w:r>
    </w:p>
    <w:p w:rsidR="00997261" w:rsidRPr="00BA689E" w:rsidRDefault="00997261" w:rsidP="00FB1265">
      <w:pPr>
        <w:ind w:left="1170"/>
        <w:rPr>
          <w:rFonts w:ascii="Times New Roman" w:hAnsi="Times New Roman"/>
          <w:sz w:val="20"/>
          <w:szCs w:val="20"/>
        </w:rPr>
      </w:pPr>
      <w:r w:rsidRPr="00BA689E">
        <w:rPr>
          <w:rFonts w:ascii="Times New Roman" w:hAnsi="Times New Roman"/>
          <w:sz w:val="20"/>
          <w:szCs w:val="20"/>
        </w:rPr>
        <w:t>(</w:t>
      </w:r>
      <w:proofErr w:type="spellStart"/>
      <w:r w:rsidRPr="00BA689E">
        <w:rPr>
          <w:rFonts w:ascii="Times New Roman" w:hAnsi="Times New Roman"/>
          <w:sz w:val="20"/>
          <w:szCs w:val="20"/>
        </w:rPr>
        <w:t>i</w:t>
      </w:r>
      <w:proofErr w:type="spellEnd"/>
      <w:r w:rsidRPr="00BA689E">
        <w:rPr>
          <w:rFonts w:ascii="Times New Roman" w:hAnsi="Times New Roman"/>
          <w:sz w:val="20"/>
          <w:szCs w:val="20"/>
        </w:rPr>
        <w:t xml:space="preserve">) Calculated as the ratio of the fuel chargeable to power heat rate of the cogeneration facility compared to the heat rate on a new and clean basis of a best-commercially available technology combined-cycle natural gas-fired combustion turbine; and </w:t>
      </w:r>
    </w:p>
    <w:p w:rsidR="00997261" w:rsidRDefault="00997261" w:rsidP="00FB1265">
      <w:pPr>
        <w:ind w:left="1170"/>
        <w:rPr>
          <w:rFonts w:ascii="Times New Roman" w:hAnsi="Times New Roman"/>
          <w:sz w:val="20"/>
          <w:szCs w:val="20"/>
        </w:rPr>
      </w:pPr>
      <w:r w:rsidRPr="00BA689E">
        <w:rPr>
          <w:rFonts w:ascii="Times New Roman" w:hAnsi="Times New Roman"/>
          <w:sz w:val="20"/>
          <w:szCs w:val="20"/>
        </w:rPr>
        <w:t xml:space="preserve">(ii) </w:t>
      </w:r>
      <w:proofErr w:type="gramStart"/>
      <w:r w:rsidRPr="00BA689E">
        <w:rPr>
          <w:rFonts w:ascii="Times New Roman" w:hAnsi="Times New Roman"/>
          <w:sz w:val="20"/>
          <w:szCs w:val="20"/>
        </w:rPr>
        <w:t>counted</w:t>
      </w:r>
      <w:proofErr w:type="gramEnd"/>
      <w:r w:rsidRPr="00BA689E">
        <w:rPr>
          <w:rFonts w:ascii="Times New Roman" w:hAnsi="Times New Roman"/>
          <w:sz w:val="20"/>
          <w:szCs w:val="20"/>
        </w:rPr>
        <w:t xml:space="preserve"> towards meeting the biennial conservation target in the same manner as other conservation savings.</w:t>
      </w:r>
    </w:p>
    <w:p w:rsidR="00B63941" w:rsidRDefault="00B63941" w:rsidP="007A6F51">
      <w:pPr>
        <w:ind w:left="360"/>
      </w:pPr>
      <w:r>
        <w:br w:type="page"/>
      </w:r>
    </w:p>
    <w:p w:rsidR="00785CEE" w:rsidRDefault="00785CEE" w:rsidP="007A6F51">
      <w:pPr>
        <w:ind w:left="360"/>
      </w:pPr>
      <w:r>
        <w:lastRenderedPageBreak/>
        <w:t xml:space="preserve">During the </w:t>
      </w:r>
      <w:r w:rsidR="00EB75CE">
        <w:t>2014-2015</w:t>
      </w:r>
      <w:r w:rsidR="00484E49">
        <w:t xml:space="preserve"> biennial c</w:t>
      </w:r>
      <w:r>
        <w:t>onservation period, PSE engaged in dialogue with multiple customers and consultants regarding potential combined heat and power projects</w:t>
      </w:r>
      <w:r w:rsidR="004C716B">
        <w:t xml:space="preserve"> that met the RCW criteria</w:t>
      </w:r>
      <w:r>
        <w:t xml:space="preserve">, but no projects </w:t>
      </w:r>
      <w:proofErr w:type="gramStart"/>
      <w:r>
        <w:t>were pursued</w:t>
      </w:r>
      <w:proofErr w:type="gramEnd"/>
      <w:r>
        <w:t xml:space="preserve"> beyond initial feasibility studies since they were not financially viable. </w:t>
      </w:r>
    </w:p>
    <w:p w:rsidR="00AD05EE" w:rsidRDefault="004C716B" w:rsidP="004C716B">
      <w:pPr>
        <w:ind w:left="360"/>
      </w:pPr>
      <w:r>
        <w:t>PSE sought to apply energy efficiency incentives to these projects to improve their financial attractiveness, but still no customers moved forward with projects</w:t>
      </w:r>
      <w:proofErr w:type="gramStart"/>
      <w:r w:rsidRPr="00AD05EE">
        <w:t>.</w:t>
      </w:r>
      <w:r w:rsidR="005719F0">
        <w:t xml:space="preserve"> </w:t>
      </w:r>
      <w:proofErr w:type="gramEnd"/>
      <w:r w:rsidRPr="00AD05EE">
        <w:t xml:space="preserve">In fact, PSE launched a webpage that provides more information regarding the incentives and technology: </w:t>
      </w:r>
    </w:p>
    <w:p w:rsidR="004C716B" w:rsidRDefault="00782D75" w:rsidP="00B63941">
      <w:pPr>
        <w:ind w:left="720"/>
      </w:pPr>
      <w:hyperlink r:id="rId38" w:history="1">
        <w:r w:rsidR="004C716B" w:rsidRPr="00AD05EE">
          <w:rPr>
            <w:rStyle w:val="Hyperlink"/>
          </w:rPr>
          <w:t>http://www.pse.com/savingsandenergycenter/ForBusinesses/Pages/Combined-Heat-and-Power.aspx</w:t>
        </w:r>
      </w:hyperlink>
      <w:r w:rsidR="004C716B">
        <w:t xml:space="preserve"> </w:t>
      </w:r>
    </w:p>
    <w:p w:rsidR="00644FD5" w:rsidRDefault="004C716B" w:rsidP="007A6F51">
      <w:pPr>
        <w:ind w:left="360"/>
      </w:pPr>
      <w:r>
        <w:t xml:space="preserve">Additionally, </w:t>
      </w:r>
      <w:r w:rsidR="00644FD5">
        <w:t xml:space="preserve">PSE complied with section (d) of RCW </w:t>
      </w:r>
      <w:r w:rsidR="00644FD5">
        <w:rPr>
          <w:color w:val="000000"/>
        </w:rPr>
        <w:t>19.285.040 (1)</w:t>
      </w:r>
      <w:r w:rsidR="00644FD5">
        <w:t>:</w:t>
      </w:r>
    </w:p>
    <w:p w:rsidR="00997261" w:rsidRDefault="00785CEE" w:rsidP="0029116D">
      <w:pPr>
        <w:ind w:left="720" w:hanging="270"/>
        <w:rPr>
          <w:rFonts w:ascii="Times New Roman" w:hAnsi="Times New Roman"/>
          <w:sz w:val="20"/>
          <w:szCs w:val="20"/>
        </w:rPr>
      </w:pPr>
      <w:r w:rsidRPr="00BA689E">
        <w:rPr>
          <w:rFonts w:ascii="Times New Roman" w:hAnsi="Times New Roman"/>
          <w:sz w:val="20"/>
          <w:szCs w:val="20"/>
        </w:rPr>
        <w:t xml:space="preserve"> </w:t>
      </w:r>
      <w:r w:rsidR="00997261" w:rsidRPr="00BA689E">
        <w:rPr>
          <w:rFonts w:ascii="Times New Roman" w:hAnsi="Times New Roman"/>
          <w:sz w:val="20"/>
          <w:szCs w:val="20"/>
        </w:rPr>
        <w:t xml:space="preserve">(d) The commission may </w:t>
      </w:r>
      <w:proofErr w:type="gramStart"/>
      <w:r w:rsidR="00997261" w:rsidRPr="00BA689E">
        <w:rPr>
          <w:rFonts w:ascii="Times New Roman" w:hAnsi="Times New Roman"/>
          <w:sz w:val="20"/>
          <w:szCs w:val="20"/>
        </w:rPr>
        <w:t>determine if a conservation program implemented by an investor-owned utility is cost-effective based on the commission's policies and practice</w:t>
      </w:r>
      <w:proofErr w:type="gramEnd"/>
      <w:r w:rsidR="00997261" w:rsidRPr="00BA689E">
        <w:rPr>
          <w:rFonts w:ascii="Times New Roman" w:hAnsi="Times New Roman"/>
          <w:sz w:val="20"/>
          <w:szCs w:val="20"/>
        </w:rPr>
        <w:t>.</w:t>
      </w:r>
    </w:p>
    <w:p w:rsidR="00997261" w:rsidRDefault="00997261" w:rsidP="007A6F51">
      <w:pPr>
        <w:ind w:left="360"/>
      </w:pPr>
      <w:r>
        <w:t>PSE demonstrated rigor and consistency with the NW Power and Conservation Council (</w:t>
      </w:r>
      <w:r w:rsidR="00B848AA">
        <w:t>“</w:t>
      </w:r>
      <w:r>
        <w:t>the Council</w:t>
      </w:r>
      <w:r w:rsidR="00B848AA">
        <w:t>”</w:t>
      </w:r>
      <w:r>
        <w:t xml:space="preserve">) methodology in its calculations of all </w:t>
      </w:r>
      <w:r w:rsidR="00EB75CE">
        <w:t>2014-2015</w:t>
      </w:r>
      <w:r>
        <w:t xml:space="preserve"> electric cost-effectiveness results</w:t>
      </w:r>
      <w:r w:rsidR="00D102E7">
        <w:t xml:space="preserve"> as reported and filed in </w:t>
      </w:r>
      <w:r w:rsidR="00D102E7" w:rsidRPr="001A4964">
        <w:t>Exhibit 2:</w:t>
      </w:r>
      <w:r w:rsidR="00D102E7" w:rsidRPr="00D102E7">
        <w:rPr>
          <w:i/>
        </w:rPr>
        <w:t xml:space="preserve"> Cost Effectiveness Results</w:t>
      </w:r>
      <w:r w:rsidR="00D102E7">
        <w:t xml:space="preserve"> in each Annual Report</w:t>
      </w:r>
      <w:r>
        <w:t>, and was consistent with all regulatory requirements.</w:t>
      </w:r>
      <w:r w:rsidR="00FB1265">
        <w:t xml:space="preserve"> </w:t>
      </w:r>
    </w:p>
    <w:p w:rsidR="00773DAD" w:rsidRPr="00DD0048" w:rsidRDefault="00644FD5" w:rsidP="007A6F51">
      <w:pPr>
        <w:pStyle w:val="Heading2"/>
        <w:jc w:val="left"/>
      </w:pPr>
      <w:bookmarkStart w:id="74" w:name="_Toc450627083"/>
      <w:r>
        <w:t>WAC 480-109</w:t>
      </w:r>
      <w:bookmarkEnd w:id="74"/>
    </w:p>
    <w:p w:rsidR="00B63941" w:rsidRDefault="00FF34EA" w:rsidP="007A6F51">
      <w:pPr>
        <w:ind w:left="360"/>
      </w:pPr>
      <w:r>
        <w:t>This report complies with WAC 480-109-</w:t>
      </w:r>
      <w:r w:rsidR="00204B67" w:rsidRPr="00204B67">
        <w:rPr>
          <w:color w:val="000000" w:themeColor="text1"/>
        </w:rPr>
        <w:t>120(4</w:t>
      </w:r>
      <w:r w:rsidRPr="00204B67">
        <w:rPr>
          <w:color w:val="000000" w:themeColor="text1"/>
        </w:rPr>
        <w:t xml:space="preserve">), </w:t>
      </w:r>
      <w:r>
        <w:t xml:space="preserve">which requires utilities to report by June 1 </w:t>
      </w:r>
      <w:r w:rsidR="0092465E">
        <w:t xml:space="preserve">of </w:t>
      </w:r>
      <w:r>
        <w:t xml:space="preserve">each </w:t>
      </w:r>
      <w:r w:rsidR="0092465E">
        <w:t xml:space="preserve">even-numbered </w:t>
      </w:r>
      <w:r>
        <w:t xml:space="preserve">year </w:t>
      </w:r>
      <w:r w:rsidR="0092465E">
        <w:t>on</w:t>
      </w:r>
      <w:r>
        <w:t xml:space="preserve"> its pr</w:t>
      </w:r>
      <w:r w:rsidR="007B3408">
        <w:t xml:space="preserve">ogress in meeting the </w:t>
      </w:r>
      <w:r w:rsidR="00FA0976">
        <w:t xml:space="preserve">electric </w:t>
      </w:r>
      <w:r w:rsidR="007B3408">
        <w:t>conservation Target</w:t>
      </w:r>
      <w:proofErr w:type="gramStart"/>
      <w:r>
        <w:t>.</w:t>
      </w:r>
      <w:r w:rsidR="00FB1265">
        <w:t xml:space="preserve"> </w:t>
      </w:r>
      <w:proofErr w:type="gramEnd"/>
      <w:r w:rsidR="00B63941">
        <w:t>Consistent with subpart (a), the Report contains the conservation Target, the expected and actual electricity savings from conservation, and expenditures made to acquire conservation</w:t>
      </w:r>
      <w:proofErr w:type="gramStart"/>
      <w:r w:rsidR="00B63941">
        <w:t xml:space="preserve">. </w:t>
      </w:r>
      <w:proofErr w:type="gramEnd"/>
      <w:r w:rsidR="00B63941">
        <w:br w:type="page"/>
      </w:r>
    </w:p>
    <w:p w:rsidR="00FF34EA" w:rsidRDefault="00B63941" w:rsidP="007A6F51">
      <w:pPr>
        <w:ind w:left="360"/>
      </w:pPr>
      <w:r>
        <w:lastRenderedPageBreak/>
        <w:t>PSE provides references to the applicable locations within this report that comply with WAC 480-109-120(4</w:t>
      </w:r>
      <w:proofErr w:type="gramStart"/>
      <w:r>
        <w:t>)(</w:t>
      </w:r>
      <w:proofErr w:type="gramEnd"/>
      <w:r>
        <w:t xml:space="preserve">b) in </w:t>
      </w:r>
      <w:r w:rsidR="00F809A5">
        <w:fldChar w:fldCharType="begin"/>
      </w:r>
      <w:r w:rsidR="00F809A5">
        <w:instrText xml:space="preserve"> REF _Ref446663205 \h </w:instrText>
      </w:r>
      <w:r w:rsidR="00F809A5">
        <w:fldChar w:fldCharType="separate"/>
      </w:r>
      <w:r w:rsidR="001A7098">
        <w:t xml:space="preserve">Table </w:t>
      </w:r>
      <w:r w:rsidR="001A7098">
        <w:rPr>
          <w:noProof/>
        </w:rPr>
        <w:t>III</w:t>
      </w:r>
      <w:r w:rsidR="001A7098">
        <w:noBreakHyphen/>
      </w:r>
      <w:r w:rsidR="001A7098">
        <w:rPr>
          <w:noProof/>
        </w:rPr>
        <w:t>1</w:t>
      </w:r>
      <w:r w:rsidR="00F809A5">
        <w:fldChar w:fldCharType="end"/>
      </w:r>
      <w:r w:rsidR="002B3121">
        <w:t xml:space="preserve"> </w:t>
      </w:r>
      <w:r w:rsidR="00204B67">
        <w:t>.</w:t>
      </w:r>
    </w:p>
    <w:p w:rsidR="00204B67" w:rsidRDefault="003F5162" w:rsidP="00204B67">
      <w:pPr>
        <w:pStyle w:val="Heading9"/>
      </w:pPr>
      <w:bookmarkStart w:id="75" w:name="_Ref446663205"/>
      <w:bookmarkStart w:id="76" w:name="_Toc450627242"/>
      <w:r w:rsidRPr="003F5162">
        <w:rPr>
          <w:noProof/>
        </w:rPr>
        <w:drawing>
          <wp:anchor distT="0" distB="0" distL="114300" distR="114300" simplePos="0" relativeHeight="251849728" behindDoc="0" locked="0" layoutInCell="1" allowOverlap="1" wp14:anchorId="03CD9A3E" wp14:editId="01A2F0FA">
            <wp:simplePos x="0" y="0"/>
            <wp:positionH relativeFrom="column">
              <wp:posOffset>31750</wp:posOffset>
            </wp:positionH>
            <wp:positionV relativeFrom="paragraph">
              <wp:posOffset>201930</wp:posOffset>
            </wp:positionV>
            <wp:extent cx="6054806" cy="4679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57396" cy="4681952"/>
                    </a:xfrm>
                    <a:prstGeom prst="rect">
                      <a:avLst/>
                    </a:prstGeom>
                    <a:noFill/>
                    <a:ln>
                      <a:noFill/>
                    </a:ln>
                  </pic:spPr>
                </pic:pic>
              </a:graphicData>
            </a:graphic>
            <wp14:sizeRelH relativeFrom="page">
              <wp14:pctWidth>0</wp14:pctWidth>
            </wp14:sizeRelH>
            <wp14:sizeRelV relativeFrom="page">
              <wp14:pctHeight>0</wp14:pctHeight>
            </wp14:sizeRelV>
          </wp:anchor>
        </w:drawing>
      </w:r>
      <w:r w:rsidR="00204B67">
        <w:t xml:space="preserve">Table </w:t>
      </w:r>
      <w:fldSimple w:instr=" STYLEREF 1 \s ">
        <w:r w:rsidR="001A7098">
          <w:rPr>
            <w:noProof/>
          </w:rPr>
          <w:t>III</w:t>
        </w:r>
      </w:fldSimple>
      <w:r w:rsidR="00040BFE">
        <w:noBreakHyphen/>
      </w:r>
      <w:fldSimple w:instr=" SEQ Table \* ARABIC \s 1 ">
        <w:r w:rsidR="001A7098">
          <w:rPr>
            <w:noProof/>
          </w:rPr>
          <w:t>1</w:t>
        </w:r>
      </w:fldSimple>
      <w:bookmarkEnd w:id="75"/>
      <w:r w:rsidR="00204B67">
        <w:t>: 2014-2015 Report References to Applicable WAC 480-109-120(4)</w:t>
      </w:r>
      <w:r w:rsidR="00F809A5">
        <w:t xml:space="preserve"> Requirements</w:t>
      </w:r>
      <w:bookmarkEnd w:id="76"/>
    </w:p>
    <w:p w:rsidR="00204B67" w:rsidRDefault="00204B67" w:rsidP="007A6F51">
      <w:pPr>
        <w:ind w:left="360"/>
      </w:pPr>
    </w:p>
    <w:p w:rsidR="002B3121" w:rsidRDefault="002B3121" w:rsidP="007A6F51">
      <w:pPr>
        <w:ind w:left="360"/>
      </w:pPr>
    </w:p>
    <w:p w:rsidR="00E57FCB" w:rsidRDefault="00E57FCB" w:rsidP="007A6F51">
      <w:pPr>
        <w:ind w:left="360"/>
      </w:pPr>
    </w:p>
    <w:p w:rsidR="00E57FCB" w:rsidRDefault="00E57FCB" w:rsidP="007A6F51">
      <w:pPr>
        <w:ind w:left="360"/>
      </w:pPr>
    </w:p>
    <w:p w:rsidR="00E57FCB" w:rsidRDefault="00E57FCB" w:rsidP="007A6F51">
      <w:pPr>
        <w:ind w:left="360"/>
      </w:pPr>
    </w:p>
    <w:p w:rsidR="00E57FCB" w:rsidRDefault="00E57FCB" w:rsidP="007A6F51">
      <w:pPr>
        <w:ind w:left="360"/>
      </w:pPr>
    </w:p>
    <w:p w:rsidR="00E57FCB" w:rsidRDefault="00E57FCB" w:rsidP="007A6F51">
      <w:pPr>
        <w:ind w:left="360"/>
      </w:pPr>
    </w:p>
    <w:p w:rsidR="00E57FCB" w:rsidRDefault="00E57FCB" w:rsidP="007A6F51">
      <w:pPr>
        <w:ind w:left="360"/>
      </w:pPr>
    </w:p>
    <w:p w:rsidR="00E57FCB" w:rsidRDefault="00E57FCB" w:rsidP="007A6F51">
      <w:pPr>
        <w:ind w:left="360"/>
      </w:pPr>
    </w:p>
    <w:p w:rsidR="00E57FCB" w:rsidRDefault="00E57FCB" w:rsidP="007A6F51">
      <w:pPr>
        <w:ind w:left="360"/>
      </w:pPr>
    </w:p>
    <w:p w:rsidR="00E57FCB" w:rsidRDefault="00E57FCB" w:rsidP="007A6F51">
      <w:pPr>
        <w:ind w:left="360"/>
      </w:pPr>
    </w:p>
    <w:p w:rsidR="00E57FCB" w:rsidRDefault="00E57FCB" w:rsidP="007A6F51">
      <w:pPr>
        <w:ind w:left="360"/>
      </w:pPr>
    </w:p>
    <w:p w:rsidR="00E57FCB" w:rsidRDefault="00E57FCB" w:rsidP="007A6F51">
      <w:pPr>
        <w:ind w:left="360"/>
      </w:pPr>
    </w:p>
    <w:p w:rsidR="00E5206F" w:rsidRDefault="00E5206F" w:rsidP="007A6F51">
      <w:pPr>
        <w:ind w:left="360"/>
      </w:pPr>
    </w:p>
    <w:p w:rsidR="002B3121" w:rsidRDefault="007E15EB" w:rsidP="007A6F51">
      <w:pPr>
        <w:ind w:left="360"/>
      </w:pPr>
      <w:r>
        <w:t>PSE will post t</w:t>
      </w:r>
      <w:r w:rsidR="003F5162">
        <w:t>he R</w:t>
      </w:r>
      <w:r w:rsidR="002B3121">
        <w:t xml:space="preserve">eport contemporaneously on PSE.com, as required by </w:t>
      </w:r>
      <w:r w:rsidR="00E5206F">
        <w:t>WAC 480-109-120</w:t>
      </w:r>
      <w:r w:rsidR="002B3121">
        <w:t>(6).</w:t>
      </w:r>
    </w:p>
    <w:p w:rsidR="004E6A73" w:rsidRDefault="004E6A73" w:rsidP="004E6A73">
      <w:r>
        <w:br w:type="page"/>
      </w:r>
    </w:p>
    <w:p w:rsidR="00997261" w:rsidRPr="00676B95" w:rsidRDefault="00C12D19" w:rsidP="007A6F51">
      <w:pPr>
        <w:pStyle w:val="Heading2"/>
        <w:jc w:val="left"/>
      </w:pPr>
      <w:bookmarkStart w:id="77" w:name="_Toc450627084"/>
      <w:r>
        <w:lastRenderedPageBreak/>
        <w:t>Orders and</w:t>
      </w:r>
      <w:r w:rsidR="00997261" w:rsidRPr="007A6F51">
        <w:t xml:space="preserve"> Conditions</w:t>
      </w:r>
      <w:bookmarkEnd w:id="77"/>
    </w:p>
    <w:p w:rsidR="00F108DB" w:rsidRDefault="007A6F51" w:rsidP="007A6F51">
      <w:pPr>
        <w:ind w:left="360"/>
      </w:pPr>
      <w:r>
        <w:fldChar w:fldCharType="begin"/>
      </w:r>
      <w:r>
        <w:instrText xml:space="preserve"> REF _Ref443462241 \h </w:instrText>
      </w:r>
      <w:r>
        <w:fldChar w:fldCharType="separate"/>
      </w:r>
      <w:r w:rsidR="001A7098">
        <w:t xml:space="preserve">Figure </w:t>
      </w:r>
      <w:r w:rsidR="001A7098">
        <w:rPr>
          <w:noProof/>
        </w:rPr>
        <w:t>III</w:t>
      </w:r>
      <w:r w:rsidR="001A7098">
        <w:noBreakHyphen/>
      </w:r>
      <w:r w:rsidR="001A7098">
        <w:rPr>
          <w:noProof/>
        </w:rPr>
        <w:t>1</w:t>
      </w:r>
      <w:r>
        <w:fldChar w:fldCharType="end"/>
      </w:r>
      <w:r>
        <w:t xml:space="preserve"> </w:t>
      </w:r>
      <w:r w:rsidR="00F108DB" w:rsidRPr="006F2ECA">
        <w:t xml:space="preserve">presents PSE’s compliance with </w:t>
      </w:r>
      <w:r w:rsidR="00F108DB">
        <w:t xml:space="preserve">all </w:t>
      </w:r>
      <w:r w:rsidR="00D102E7">
        <w:t xml:space="preserve">Order </w:t>
      </w:r>
      <w:r w:rsidR="00F108DB">
        <w:t>deliverables</w:t>
      </w:r>
      <w:r w:rsidR="00AF3ECD">
        <w:t xml:space="preserve"> throughout the </w:t>
      </w:r>
      <w:r w:rsidR="00EB75CE">
        <w:t>2014-2015</w:t>
      </w:r>
      <w:r w:rsidR="00F108DB" w:rsidRPr="006F2ECA">
        <w:t xml:space="preserve"> biennium</w:t>
      </w:r>
      <w:r w:rsidR="00B76EC2">
        <w:t>, and indicates that PSE complied with all regulatory requirements</w:t>
      </w:r>
      <w:proofErr w:type="gramStart"/>
      <w:r w:rsidR="00F108DB" w:rsidRPr="006F2ECA">
        <w:t>.</w:t>
      </w:r>
      <w:r w:rsidR="00FB1265">
        <w:t xml:space="preserve"> </w:t>
      </w:r>
      <w:proofErr w:type="gramEnd"/>
      <w:r w:rsidR="00F108DB" w:rsidRPr="006F2ECA">
        <w:t xml:space="preserve">It is noteworthy that </w:t>
      </w:r>
      <w:r w:rsidR="00B76EC2">
        <w:t>eight</w:t>
      </w:r>
      <w:r w:rsidR="00F108DB" w:rsidRPr="006F2ECA">
        <w:t xml:space="preserve"> conditions </w:t>
      </w:r>
      <w:r w:rsidR="00F108DB">
        <w:t>ov</w:t>
      </w:r>
      <w:r w:rsidR="00852796">
        <w:t>erlapped the biennium int</w:t>
      </w:r>
      <w:r w:rsidR="00AF3ECD">
        <w:t>o 2016</w:t>
      </w:r>
      <w:r w:rsidR="00FA0976">
        <w:t>, six of which</w:t>
      </w:r>
      <w:r w:rsidR="00FA0976">
        <w:rPr>
          <w:rStyle w:val="FootnoteReference"/>
        </w:rPr>
        <w:footnoteReference w:id="36"/>
      </w:r>
      <w:r w:rsidR="00FA0976">
        <w:t xml:space="preserve"> </w:t>
      </w:r>
      <w:proofErr w:type="gramStart"/>
      <w:r w:rsidR="00FA0976">
        <w:t>are completed</w:t>
      </w:r>
      <w:proofErr w:type="gramEnd"/>
      <w:r w:rsidR="00FA0976">
        <w:t xml:space="preserve"> as of the filing of this Report and its supporting documents</w:t>
      </w:r>
      <w:r w:rsidR="00493B3C">
        <w:t>.</w:t>
      </w:r>
      <w:r w:rsidR="00FB1265">
        <w:t xml:space="preserve"> </w:t>
      </w:r>
    </w:p>
    <w:p w:rsidR="00F108DB" w:rsidRDefault="00277EBB" w:rsidP="00484E49">
      <w:pPr>
        <w:pStyle w:val="Heading5"/>
      </w:pPr>
      <w:bookmarkStart w:id="78" w:name="_Ref443462241"/>
      <w:bookmarkStart w:id="79" w:name="_Toc379457188"/>
      <w:bookmarkStart w:id="80" w:name="_Toc387826911"/>
      <w:bookmarkStart w:id="81" w:name="_Toc449601387"/>
      <w:r w:rsidRPr="00A53CCB">
        <w:rPr>
          <w:noProof/>
        </w:rPr>
        <w:drawing>
          <wp:anchor distT="0" distB="0" distL="114300" distR="114300" simplePos="0" relativeHeight="251726848" behindDoc="0" locked="0" layoutInCell="1" allowOverlap="1" wp14:anchorId="63035FFD" wp14:editId="13865D75">
            <wp:simplePos x="0" y="0"/>
            <wp:positionH relativeFrom="column">
              <wp:posOffset>95250</wp:posOffset>
            </wp:positionH>
            <wp:positionV relativeFrom="paragraph">
              <wp:posOffset>421005</wp:posOffset>
            </wp:positionV>
            <wp:extent cx="5892104" cy="403225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0">
                      <a:extLst>
                        <a:ext uri="{28A0092B-C50C-407E-A947-70E740481C1C}">
                          <a14:useLocalDpi xmlns:a14="http://schemas.microsoft.com/office/drawing/2010/main" val="0"/>
                        </a:ext>
                      </a:extLst>
                    </a:blip>
                    <a:srcRect l="1069" t="6638" r="2095" b="1918"/>
                    <a:stretch/>
                  </pic:blipFill>
                  <pic:spPr bwMode="auto">
                    <a:xfrm>
                      <a:off x="0" y="0"/>
                      <a:ext cx="5894028" cy="40335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6F51">
        <w:t xml:space="preserve">Figure </w:t>
      </w:r>
      <w:fldSimple w:instr=" STYLEREF 1 \s ">
        <w:r w:rsidR="001A7098">
          <w:rPr>
            <w:noProof/>
          </w:rPr>
          <w:t>III</w:t>
        </w:r>
      </w:fldSimple>
      <w:r w:rsidR="007A6F51">
        <w:noBreakHyphen/>
      </w:r>
      <w:fldSimple w:instr=" SEQ Figure \* ARABIC \s 1 ">
        <w:r w:rsidR="001A7098">
          <w:rPr>
            <w:noProof/>
          </w:rPr>
          <w:t>1</w:t>
        </w:r>
      </w:fldSimple>
      <w:bookmarkEnd w:id="78"/>
      <w:r w:rsidR="00F108DB" w:rsidRPr="009B36AF">
        <w:t xml:space="preserve">: </w:t>
      </w:r>
      <w:bookmarkEnd w:id="79"/>
      <w:r w:rsidR="007A6F51">
        <w:t>Completion Status of all 2014-2015</w:t>
      </w:r>
      <w:r w:rsidR="00F108DB">
        <w:t xml:space="preserve"> </w:t>
      </w:r>
      <w:bookmarkEnd w:id="80"/>
      <w:r w:rsidR="00A53CCB">
        <w:t>Requirements</w:t>
      </w:r>
      <w:bookmarkEnd w:id="81"/>
    </w:p>
    <w:p w:rsidR="00F108DB" w:rsidRDefault="00F108DB" w:rsidP="00484E49"/>
    <w:p w:rsidR="00F108DB" w:rsidRDefault="00F108DB" w:rsidP="00484E49"/>
    <w:p w:rsidR="00F108DB" w:rsidRDefault="00F108DB" w:rsidP="00484E49"/>
    <w:p w:rsidR="00F108DB" w:rsidRDefault="00F108DB" w:rsidP="00484E49"/>
    <w:p w:rsidR="00F108DB" w:rsidRDefault="00F108DB" w:rsidP="00484E49"/>
    <w:p w:rsidR="00F108DB" w:rsidRDefault="00F108DB" w:rsidP="00484E49"/>
    <w:p w:rsidR="00F108DB" w:rsidRDefault="00F108DB" w:rsidP="00484E49"/>
    <w:p w:rsidR="00F108DB" w:rsidRDefault="00F108DB" w:rsidP="00484E49"/>
    <w:p w:rsidR="00F108DB" w:rsidRDefault="00F108DB" w:rsidP="00484E49"/>
    <w:p w:rsidR="00F108DB" w:rsidRDefault="00F108DB" w:rsidP="00484E49"/>
    <w:p w:rsidR="00F108DB" w:rsidRDefault="00F108DB" w:rsidP="00484E49"/>
    <w:p w:rsidR="008975D3" w:rsidRDefault="008975D3" w:rsidP="00484E49"/>
    <w:p w:rsidR="00493B3C" w:rsidRDefault="00493B3C" w:rsidP="00484E49"/>
    <w:p w:rsidR="00E30CAB" w:rsidRDefault="00E30CAB" w:rsidP="00E30CAB">
      <w:pPr>
        <w:ind w:left="360"/>
      </w:pPr>
      <w:r>
        <w:t>It is important to recognize that PSE manages electric conservation deliverables from four separate Commission Orders:</w:t>
      </w:r>
    </w:p>
    <w:p w:rsidR="00E30CAB" w:rsidRDefault="00E30CAB" w:rsidP="00E30CAB">
      <w:pPr>
        <w:numPr>
          <w:ilvl w:val="0"/>
          <w:numId w:val="2"/>
        </w:numPr>
        <w:spacing w:before="0" w:after="120"/>
      </w:pPr>
      <w:r>
        <w:t>The 2008 Merger Agreement, Docket No</w:t>
      </w:r>
      <w:proofErr w:type="gramStart"/>
      <w:r>
        <w:t xml:space="preserve">. </w:t>
      </w:r>
      <w:proofErr w:type="gramEnd"/>
      <w:r>
        <w:t xml:space="preserve">U-072375, commitments number 22 and 23, regarding the funding of low-income programs, </w:t>
      </w:r>
    </w:p>
    <w:p w:rsidR="00E30CAB" w:rsidRDefault="00E30CAB" w:rsidP="00E30CAB">
      <w:pPr>
        <w:numPr>
          <w:ilvl w:val="0"/>
          <w:numId w:val="2"/>
        </w:numPr>
        <w:spacing w:before="0" w:after="120"/>
      </w:pPr>
      <w:r>
        <w:lastRenderedPageBreak/>
        <w:t>The 2010 Electric Settlement Agreement, Sections A through J and L, Docket No</w:t>
      </w:r>
      <w:proofErr w:type="gramStart"/>
      <w:r>
        <w:t xml:space="preserve">. </w:t>
      </w:r>
      <w:proofErr w:type="gramEnd"/>
      <w:r>
        <w:t>UE-100177,</w:t>
      </w:r>
    </w:p>
    <w:p w:rsidR="00E30CAB" w:rsidRDefault="00E30CAB" w:rsidP="00E30CAB">
      <w:pPr>
        <w:numPr>
          <w:ilvl w:val="0"/>
          <w:numId w:val="2"/>
        </w:numPr>
      </w:pPr>
      <w:r>
        <w:t>The amended decoupling petition in Docket No</w:t>
      </w:r>
      <w:proofErr w:type="gramStart"/>
      <w:r>
        <w:t xml:space="preserve">. </w:t>
      </w:r>
      <w:proofErr w:type="gramEnd"/>
      <w:r>
        <w:t>UE-121697, relative to achieving 5 percent above the Commission-approved Target,</w:t>
      </w:r>
    </w:p>
    <w:p w:rsidR="00E30CAB" w:rsidRDefault="00E30CAB" w:rsidP="00E30CAB">
      <w:pPr>
        <w:numPr>
          <w:ilvl w:val="0"/>
          <w:numId w:val="2"/>
        </w:numPr>
      </w:pPr>
      <w:r>
        <w:t>Conditions in Attachment A of Order 01 of Docket No</w:t>
      </w:r>
      <w:proofErr w:type="gramStart"/>
      <w:r>
        <w:t>. UE-132043.</w:t>
      </w:r>
      <w:proofErr w:type="gramEnd"/>
    </w:p>
    <w:p w:rsidR="00997261" w:rsidRDefault="000A39A1" w:rsidP="007A6F51">
      <w:pPr>
        <w:spacing w:before="0"/>
        <w:ind w:left="360"/>
      </w:pPr>
      <w:r>
        <w:t>Relative to the RCW 19.285</w:t>
      </w:r>
      <w:r w:rsidR="00B34473">
        <w:t>.040(1)</w:t>
      </w:r>
      <w:r>
        <w:t xml:space="preserve"> stipulation that the available, reliable and feasible conservation must be cost-effective, </w:t>
      </w:r>
      <w:r w:rsidR="00997261">
        <w:t>PSE fully complied with condition (10</w:t>
      </w:r>
      <w:proofErr w:type="gramStart"/>
      <w:r w:rsidR="00997261">
        <w:t>)(</w:t>
      </w:r>
      <w:proofErr w:type="gramEnd"/>
      <w:r w:rsidR="00997261">
        <w:t xml:space="preserve">a), </w:t>
      </w:r>
      <w:r w:rsidR="00AB4870">
        <w:t xml:space="preserve">that </w:t>
      </w:r>
      <w:r w:rsidR="00997261">
        <w:t xml:space="preserve">indicates that </w:t>
      </w:r>
      <w:r w:rsidR="00C94C32">
        <w:t>the</w:t>
      </w:r>
      <w:r w:rsidR="00997261">
        <w:t xml:space="preserve"> Total Resource Cost (TRC) is the Commission’s primary cost-effectiveness test:</w:t>
      </w:r>
    </w:p>
    <w:p w:rsidR="008E6D93" w:rsidRDefault="00997261" w:rsidP="00997261">
      <w:pPr>
        <w:ind w:left="720"/>
        <w:rPr>
          <w:rFonts w:ascii="Times New Roman" w:hAnsi="Times New Roman"/>
        </w:rPr>
      </w:pPr>
      <w:r w:rsidRPr="002F3BC3">
        <w:rPr>
          <w:rFonts w:ascii="Times New Roman" w:hAnsi="Times New Roman"/>
        </w:rPr>
        <w:t>The Commission uses the TRC, as modified by the Council, as its pri</w:t>
      </w:r>
      <w:r>
        <w:rPr>
          <w:rFonts w:ascii="Times New Roman" w:hAnsi="Times New Roman"/>
        </w:rPr>
        <w:t>mary cost-effectiveness test</w:t>
      </w:r>
      <w:proofErr w:type="gramStart"/>
      <w:r>
        <w:rPr>
          <w:rFonts w:ascii="Times New Roman" w:hAnsi="Times New Roman"/>
        </w:rPr>
        <w:t>.</w:t>
      </w:r>
      <w:r w:rsidR="00FB1265">
        <w:rPr>
          <w:rFonts w:ascii="Times New Roman" w:hAnsi="Times New Roman"/>
        </w:rPr>
        <w:t xml:space="preserve"> </w:t>
      </w:r>
      <w:proofErr w:type="gramEnd"/>
      <w:r w:rsidRPr="002F3BC3">
        <w:rPr>
          <w:rFonts w:ascii="Times New Roman" w:hAnsi="Times New Roman"/>
        </w:rPr>
        <w:t>PSE’s portfolio must pass the TRC test</w:t>
      </w:r>
      <w:proofErr w:type="gramStart"/>
      <w:r w:rsidRPr="002F3BC3">
        <w:rPr>
          <w:rFonts w:ascii="Times New Roman" w:hAnsi="Times New Roman"/>
        </w:rPr>
        <w:t>.</w:t>
      </w:r>
      <w:r w:rsidR="00FB1265">
        <w:rPr>
          <w:rFonts w:ascii="Times New Roman" w:hAnsi="Times New Roman"/>
        </w:rPr>
        <w:t xml:space="preserve"> </w:t>
      </w:r>
      <w:proofErr w:type="gramEnd"/>
      <w:r w:rsidRPr="002F3BC3">
        <w:rPr>
          <w:rFonts w:ascii="Times New Roman" w:hAnsi="Times New Roman"/>
        </w:rPr>
        <w:t>In general, each program shall be designed to be cost-effective as measured by this test</w:t>
      </w:r>
      <w:proofErr w:type="gramStart"/>
      <w:r w:rsidRPr="002F3BC3">
        <w:rPr>
          <w:rFonts w:ascii="Times New Roman" w:hAnsi="Times New Roman"/>
        </w:rPr>
        <w:t>.</w:t>
      </w:r>
      <w:r w:rsidR="00FB1265">
        <w:rPr>
          <w:rFonts w:ascii="Times New Roman" w:hAnsi="Times New Roman"/>
        </w:rPr>
        <w:t xml:space="preserve"> </w:t>
      </w:r>
      <w:proofErr w:type="gramEnd"/>
      <w:r w:rsidRPr="002F3BC3">
        <w:rPr>
          <w:rFonts w:ascii="Times New Roman" w:hAnsi="Times New Roman"/>
        </w:rPr>
        <w:t>PSE must demonstrate that the cost-effectiveness tests presented in support of its programs and portfolio are in compliance with the cost-effectiveness definition (RCW 80.52.030(7)) and system cost definition (RCW 80.52.030(8)) and incorporate, quantifiable non-energy benefits, the 10 percent conservation benefit and a risk adder consistent with the Council’s approach.</w:t>
      </w:r>
      <w:r w:rsidR="00FB1265">
        <w:rPr>
          <w:rFonts w:ascii="Times New Roman" w:hAnsi="Times New Roman"/>
        </w:rPr>
        <w:t xml:space="preserve"> </w:t>
      </w:r>
    </w:p>
    <w:p w:rsidR="00997261" w:rsidRDefault="00997261" w:rsidP="00997261">
      <w:pPr>
        <w:ind w:left="720"/>
        <w:rPr>
          <w:rFonts w:ascii="Times New Roman" w:hAnsi="Times New Roman"/>
        </w:rPr>
      </w:pPr>
      <w:r w:rsidRPr="002F3BC3">
        <w:rPr>
          <w:rFonts w:ascii="Times New Roman" w:hAnsi="Times New Roman"/>
        </w:rPr>
        <w:t xml:space="preserve">An outline of the major elements of the Council’s methodology for determining achievable conservation potential, including the Total Resource Cost test, is available on the Council’s website </w:t>
      </w:r>
      <w:proofErr w:type="gramStart"/>
      <w:r w:rsidRPr="002F3BC3">
        <w:rPr>
          <w:rFonts w:ascii="Times New Roman" w:hAnsi="Times New Roman"/>
        </w:rPr>
        <w:t>at</w:t>
      </w:r>
      <w:r>
        <w:rPr>
          <w:rFonts w:ascii="Times New Roman" w:hAnsi="Times New Roman"/>
        </w:rPr>
        <w:t>(</w:t>
      </w:r>
      <w:proofErr w:type="gramEnd"/>
      <w:r>
        <w:rPr>
          <w:rFonts w:ascii="Times New Roman" w:hAnsi="Times New Roman"/>
        </w:rPr>
        <w:t>:)</w:t>
      </w:r>
      <w:r w:rsidRPr="002F3BC3">
        <w:rPr>
          <w:rFonts w:ascii="Times New Roman" w:hAnsi="Times New Roman"/>
        </w:rPr>
        <w:t xml:space="preserve"> </w:t>
      </w:r>
    </w:p>
    <w:p w:rsidR="00997261" w:rsidRDefault="00782D75" w:rsidP="00997261">
      <w:pPr>
        <w:ind w:left="720"/>
        <w:rPr>
          <w:rFonts w:ascii="Times New Roman" w:hAnsi="Times New Roman"/>
        </w:rPr>
      </w:pPr>
      <w:hyperlink r:id="rId41" w:history="1">
        <w:r w:rsidR="00997261" w:rsidRPr="002F3BC3">
          <w:rPr>
            <w:rStyle w:val="Hyperlink"/>
            <w:rFonts w:ascii="Times New Roman" w:hAnsi="Times New Roman"/>
          </w:rPr>
          <w:t>http://www.nwcouncil.org/energy/powerplan/6/supplycurves/I937/CouncilMethodology_outline%20_2_.pdf</w:t>
        </w:r>
      </w:hyperlink>
      <w:r w:rsidR="00997261" w:rsidRPr="002F3BC3">
        <w:rPr>
          <w:rFonts w:ascii="Times New Roman" w:hAnsi="Times New Roman"/>
        </w:rPr>
        <w:t>.</w:t>
      </w:r>
    </w:p>
    <w:p w:rsidR="00997261" w:rsidRDefault="00997261" w:rsidP="007A6F51">
      <w:pPr>
        <w:ind w:left="360"/>
        <w:rPr>
          <w:rFonts w:cs="Arial"/>
        </w:rPr>
      </w:pPr>
      <w:r w:rsidRPr="00DF0425">
        <w:rPr>
          <w:rFonts w:cs="Arial"/>
        </w:rPr>
        <w:t xml:space="preserve">Further, </w:t>
      </w:r>
      <w:r>
        <w:rPr>
          <w:rFonts w:cs="Arial"/>
        </w:rPr>
        <w:t>with reference to condition (10</w:t>
      </w:r>
      <w:proofErr w:type="gramStart"/>
      <w:r>
        <w:rPr>
          <w:rFonts w:cs="Arial"/>
        </w:rPr>
        <w:t>)(</w:t>
      </w:r>
      <w:proofErr w:type="gramEnd"/>
      <w:r>
        <w:rPr>
          <w:rFonts w:cs="Arial"/>
        </w:rPr>
        <w:t xml:space="preserve">a), </w:t>
      </w:r>
      <w:r w:rsidRPr="00DF0425">
        <w:rPr>
          <w:rFonts w:cs="Arial"/>
        </w:rPr>
        <w:t>PSE</w:t>
      </w:r>
      <w:r>
        <w:rPr>
          <w:rFonts w:cs="Arial"/>
        </w:rPr>
        <w:t>’s application of cost-effectiveness is consistent with the definitions enumerated in RCW 80.52.030(7) and (8):</w:t>
      </w:r>
    </w:p>
    <w:p w:rsidR="00997261" w:rsidRPr="00DF0425" w:rsidRDefault="00997261" w:rsidP="00997261">
      <w:pPr>
        <w:spacing w:before="0" w:after="0"/>
        <w:ind w:left="720"/>
        <w:rPr>
          <w:rFonts w:ascii="Times New Roman" w:hAnsi="Times New Roman"/>
        </w:rPr>
      </w:pPr>
      <w:r w:rsidRPr="00DF0425">
        <w:rPr>
          <w:rFonts w:ascii="Times New Roman" w:hAnsi="Times New Roman"/>
        </w:rPr>
        <w:t xml:space="preserve">(7) "Cost-effective" means that a project or resource </w:t>
      </w:r>
      <w:proofErr w:type="gramStart"/>
      <w:r w:rsidRPr="00DF0425">
        <w:rPr>
          <w:rFonts w:ascii="Times New Roman" w:hAnsi="Times New Roman"/>
        </w:rPr>
        <w:t>is forecast</w:t>
      </w:r>
      <w:proofErr w:type="gramEnd"/>
      <w:r w:rsidRPr="00DF0425">
        <w:rPr>
          <w:rFonts w:ascii="Times New Roman" w:hAnsi="Times New Roman"/>
        </w:rPr>
        <w:t>:</w:t>
      </w:r>
    </w:p>
    <w:p w:rsidR="00997261" w:rsidRPr="00DF0425" w:rsidRDefault="00997261" w:rsidP="00997261">
      <w:pPr>
        <w:spacing w:before="0" w:after="0"/>
        <w:ind w:left="1440" w:hanging="360"/>
        <w:rPr>
          <w:rFonts w:ascii="Times New Roman" w:hAnsi="Times New Roman"/>
        </w:rPr>
      </w:pPr>
      <w:r w:rsidRPr="00DF0425">
        <w:rPr>
          <w:rFonts w:ascii="Times New Roman" w:hAnsi="Times New Roman"/>
        </w:rPr>
        <w:t>(a) To be reliable and available within the time it is needed; and</w:t>
      </w:r>
    </w:p>
    <w:p w:rsidR="00997261" w:rsidRPr="00DF0425" w:rsidRDefault="00997261" w:rsidP="000A39A1">
      <w:pPr>
        <w:spacing w:before="0" w:after="120"/>
        <w:ind w:left="1440" w:hanging="360"/>
        <w:rPr>
          <w:rFonts w:ascii="Times New Roman" w:hAnsi="Times New Roman"/>
        </w:rPr>
      </w:pPr>
      <w:r w:rsidRPr="00DF0425">
        <w:rPr>
          <w:rFonts w:ascii="Times New Roman" w:hAnsi="Times New Roman"/>
        </w:rPr>
        <w:t>(b) To meet or reduce the electric power demand of the intended consumers at an estimated incremental system cost no greater than that of the least-cost similarly reliable and available alternative project or resource, or any combination thereof.</w:t>
      </w:r>
    </w:p>
    <w:p w:rsidR="00997261" w:rsidRPr="00DF0425" w:rsidRDefault="00997261" w:rsidP="00997261">
      <w:pPr>
        <w:spacing w:before="0"/>
        <w:ind w:left="1166" w:hanging="446"/>
        <w:rPr>
          <w:rFonts w:ascii="Times New Roman" w:hAnsi="Times New Roman"/>
        </w:rPr>
      </w:pPr>
      <w:r w:rsidRPr="00DF0425">
        <w:rPr>
          <w:rFonts w:ascii="Times New Roman" w:hAnsi="Times New Roman"/>
        </w:rPr>
        <w:t>(8) "System cost" means an estimate of all direct costs of a project or resource over its effective life, including, if applicable, the costs of distribution to the consumer, and, among other factors, waste disposal costs, end-of-cycle costs, and fuel costs (including projected increases), and such quantifiable environmental costs and benefits as are directly attributable to the project or resource.</w:t>
      </w:r>
    </w:p>
    <w:p w:rsidR="00997261" w:rsidRDefault="00997261" w:rsidP="00484E49"/>
    <w:p w:rsidR="00997261" w:rsidRDefault="00997261" w:rsidP="00484E49">
      <w:pPr>
        <w:sectPr w:rsidR="00997261" w:rsidSect="00384AA1">
          <w:headerReference w:type="even" r:id="rId42"/>
          <w:headerReference w:type="default" r:id="rId43"/>
          <w:headerReference w:type="first" r:id="rId44"/>
          <w:pgSz w:w="12240" w:h="15840"/>
          <w:pgMar w:top="1980" w:right="1440" w:bottom="1440" w:left="1440" w:header="720" w:footer="720" w:gutter="0"/>
          <w:cols w:space="720"/>
          <w:docGrid w:linePitch="360"/>
        </w:sectPr>
      </w:pPr>
    </w:p>
    <w:p w:rsidR="00E2099C" w:rsidRDefault="00E2099C" w:rsidP="00DD0048">
      <w:pPr>
        <w:pStyle w:val="Heading1"/>
      </w:pPr>
      <w:bookmarkStart w:id="82" w:name="_Toc450627085"/>
      <w:r>
        <w:lastRenderedPageBreak/>
        <w:t>Stakeholder Engagement</w:t>
      </w:r>
      <w:bookmarkEnd w:id="82"/>
    </w:p>
    <w:p w:rsidR="00662025" w:rsidRDefault="00E2099C" w:rsidP="00036C2E">
      <w:r>
        <w:t xml:space="preserve">In addition to </w:t>
      </w:r>
      <w:r w:rsidR="00852796">
        <w:t>Integrated Resource Plan Advisory Group (</w:t>
      </w:r>
      <w:r w:rsidR="009646D9">
        <w:t>“</w:t>
      </w:r>
      <w:r>
        <w:t>IRPAG</w:t>
      </w:r>
      <w:r w:rsidR="009646D9">
        <w:t>”</w:t>
      </w:r>
      <w:r w:rsidR="00852796">
        <w:t>)</w:t>
      </w:r>
      <w:r>
        <w:t xml:space="preserve"> and CRAG involvement in the IRP development</w:t>
      </w:r>
      <w:r w:rsidR="009646D9">
        <w:t xml:space="preserve"> throughout 2013</w:t>
      </w:r>
      <w:r>
        <w:t xml:space="preserve">, PSE maintained a close </w:t>
      </w:r>
      <w:r w:rsidR="00CD5974">
        <w:t>associati</w:t>
      </w:r>
      <w:r w:rsidR="009641DD">
        <w:t>on with the CRAG throughout 2014 and 2015</w:t>
      </w:r>
      <w:proofErr w:type="gramStart"/>
      <w:r>
        <w:t>.</w:t>
      </w:r>
      <w:r w:rsidR="00FB1265">
        <w:t xml:space="preserve"> </w:t>
      </w:r>
      <w:proofErr w:type="gramEnd"/>
      <w:r w:rsidR="00CD5974">
        <w:t xml:space="preserve">CRAG meetings </w:t>
      </w:r>
      <w:r w:rsidR="00CC3C98">
        <w:t xml:space="preserve">that focused </w:t>
      </w:r>
      <w:r w:rsidR="00CD5974">
        <w:t xml:space="preserve">on </w:t>
      </w:r>
      <w:r w:rsidR="00EB75CE">
        <w:t>2014-2015</w:t>
      </w:r>
      <w:r>
        <w:t xml:space="preserve"> plann</w:t>
      </w:r>
      <w:r w:rsidR="00CD5974">
        <w:t xml:space="preserve">ing began with the </w:t>
      </w:r>
      <w:r w:rsidR="009641DD">
        <w:t>June 6, 2013</w:t>
      </w:r>
      <w:r w:rsidR="004262FE">
        <w:t xml:space="preserve"> meeting</w:t>
      </w:r>
      <w:proofErr w:type="gramStart"/>
      <w:r w:rsidR="004262FE">
        <w:t>.</w:t>
      </w:r>
      <w:r w:rsidR="00FB1265">
        <w:t xml:space="preserve"> </w:t>
      </w:r>
      <w:proofErr w:type="gramEnd"/>
      <w:r w:rsidR="004262FE">
        <w:t>Savings goals</w:t>
      </w:r>
      <w:r w:rsidR="009641DD">
        <w:t xml:space="preserve"> were the </w:t>
      </w:r>
      <w:r w:rsidR="00761BC9">
        <w:t xml:space="preserve">primary topic </w:t>
      </w:r>
      <w:r w:rsidR="009641DD">
        <w:t>of the July 18, 2013</w:t>
      </w:r>
      <w:r w:rsidR="00A4159F">
        <w:t xml:space="preserve"> meeting</w:t>
      </w:r>
      <w:proofErr w:type="gramStart"/>
      <w:r>
        <w:t>.</w:t>
      </w:r>
      <w:r w:rsidR="00FB1265">
        <w:t xml:space="preserve"> </w:t>
      </w:r>
      <w:proofErr w:type="gramEnd"/>
      <w:r>
        <w:t xml:space="preserve">In the </w:t>
      </w:r>
      <w:r w:rsidR="00A4159F">
        <w:t>August</w:t>
      </w:r>
      <w:r w:rsidR="009641DD">
        <w:t xml:space="preserve"> 22</w:t>
      </w:r>
      <w:r>
        <w:t xml:space="preserve"> CRAG meeting, PSE shared its draft budget </w:t>
      </w:r>
      <w:r w:rsidR="009646D9">
        <w:t xml:space="preserve">and program </w:t>
      </w:r>
      <w:r>
        <w:t>details</w:t>
      </w:r>
      <w:r w:rsidR="00A4159F">
        <w:t>, and the draft tariff revisions we</w:t>
      </w:r>
      <w:r w:rsidR="009641DD">
        <w:t>re presented in the October 1</w:t>
      </w:r>
      <w:r w:rsidR="00A4159F">
        <w:t xml:space="preserve"> meeting</w:t>
      </w:r>
      <w:proofErr w:type="gramStart"/>
      <w:r>
        <w:t>.</w:t>
      </w:r>
      <w:r w:rsidR="0067778C">
        <w:t xml:space="preserve"> </w:t>
      </w:r>
      <w:proofErr w:type="gramEnd"/>
      <w:r w:rsidR="009641DD">
        <w:t>PSE also partnered with CRAG members throughout the last half of 2013 to collaboratively design the set of biennial conditions</w:t>
      </w:r>
      <w:r w:rsidR="00761BC9">
        <w:t xml:space="preserve"> listed in Attachment A of Order 01 in Docket No</w:t>
      </w:r>
      <w:proofErr w:type="gramStart"/>
      <w:r w:rsidR="00761BC9">
        <w:t xml:space="preserve">. </w:t>
      </w:r>
      <w:proofErr w:type="gramEnd"/>
      <w:r w:rsidR="00761BC9">
        <w:t>UE-132043</w:t>
      </w:r>
      <w:proofErr w:type="gramStart"/>
      <w:r w:rsidR="009641DD">
        <w:t>.</w:t>
      </w:r>
      <w:r w:rsidR="00BC4729">
        <w:t xml:space="preserve"> </w:t>
      </w:r>
      <w:proofErr w:type="gramEnd"/>
      <w:r w:rsidR="00BC4729">
        <w:t xml:space="preserve">This work led to the Commission approving the Ten-Year Achievable Conservation Potential and Two-year Conservation Target on December </w:t>
      </w:r>
      <w:r w:rsidR="00BC4729" w:rsidRPr="00280652">
        <w:t>19</w:t>
      </w:r>
      <w:r w:rsidR="00BC4729">
        <w:t>, 2013</w:t>
      </w:r>
      <w:r w:rsidR="00F37538">
        <w:t xml:space="preserve"> in the same Docket</w:t>
      </w:r>
      <w:r w:rsidR="00BC4729">
        <w:t>.</w:t>
      </w:r>
    </w:p>
    <w:p w:rsidR="00D50F4A" w:rsidRDefault="009641DD" w:rsidP="00BA0B10">
      <w:r>
        <w:t xml:space="preserve">Consistent with regulatory requirements and </w:t>
      </w:r>
      <w:r w:rsidR="009646D9">
        <w:t>TQM</w:t>
      </w:r>
      <w:r>
        <w:t xml:space="preserve"> principles, </w:t>
      </w:r>
      <w:r w:rsidR="00611433">
        <w:t xml:space="preserve">PSE provided numerous opportunities for the CRAG to </w:t>
      </w:r>
      <w:r>
        <w:t xml:space="preserve">review the progress of program development and implementation, </w:t>
      </w:r>
      <w:r w:rsidR="00BC4729">
        <w:t xml:space="preserve">its suite of customer offerings, </w:t>
      </w:r>
      <w:r w:rsidR="00611433">
        <w:t>preview measure and savings plans and measure revisions</w:t>
      </w:r>
      <w:r>
        <w:t>, and BECAR drafts</w:t>
      </w:r>
      <w:r w:rsidR="00611433">
        <w:t xml:space="preserve"> throughout the biennium</w:t>
      </w:r>
      <w:proofErr w:type="gramStart"/>
      <w:r w:rsidR="00611433">
        <w:t>.</w:t>
      </w:r>
      <w:r w:rsidR="00FB1265">
        <w:t xml:space="preserve"> </w:t>
      </w:r>
      <w:proofErr w:type="gramEnd"/>
      <w:r w:rsidR="00D50F4A">
        <w:t>PSE presented a major update to its programs</w:t>
      </w:r>
      <w:r w:rsidR="00C74A81">
        <w:t>,</w:t>
      </w:r>
      <w:r w:rsidR="00D50F4A">
        <w:t xml:space="preserve"> </w:t>
      </w:r>
      <w:r w:rsidR="00BC4729">
        <w:t>measure offerings</w:t>
      </w:r>
      <w:r w:rsidR="00C74A81">
        <w:t>, and budgets</w:t>
      </w:r>
      <w:r w:rsidR="00BC4729">
        <w:t xml:space="preserve"> in the 2015</w:t>
      </w:r>
      <w:r w:rsidR="00D50F4A">
        <w:t xml:space="preserve"> </w:t>
      </w:r>
      <w:r w:rsidR="009646D9">
        <w:t>ACP</w:t>
      </w:r>
      <w:r w:rsidR="00D50F4A">
        <w:t xml:space="preserve"> to the CRAG for review and comment prior to its filing.</w:t>
      </w:r>
      <w:r w:rsidR="00FB1265">
        <w:t xml:space="preserve"> </w:t>
      </w:r>
    </w:p>
    <w:p w:rsidR="007545F7" w:rsidRDefault="009C402F" w:rsidP="00BA0B10">
      <w:r>
        <w:t xml:space="preserve">PSE consistently demonstrated its adaptive management in sharing </w:t>
      </w:r>
      <w:r w:rsidR="007545F7">
        <w:t xml:space="preserve">details of </w:t>
      </w:r>
      <w:r>
        <w:t xml:space="preserve">new and modified programs, updated Exhibits, </w:t>
      </w:r>
      <w:r w:rsidR="007545F7">
        <w:t xml:space="preserve">marketing initiatives, current and forecast expenditures, </w:t>
      </w:r>
      <w:r w:rsidR="00D95F90">
        <w:t>and review</w:t>
      </w:r>
      <w:r w:rsidR="007545F7">
        <w:t>s</w:t>
      </w:r>
      <w:r w:rsidR="00D95F90">
        <w:t xml:space="preserve"> of </w:t>
      </w:r>
      <w:r w:rsidR="007545F7">
        <w:t>measure revisions</w:t>
      </w:r>
      <w:proofErr w:type="gramStart"/>
      <w:r w:rsidR="007545F7">
        <w:t>.</w:t>
      </w:r>
      <w:r w:rsidR="00FB1265">
        <w:t xml:space="preserve"> </w:t>
      </w:r>
      <w:r w:rsidR="004C3F8F" w:rsidRPr="007A2C38">
        <w:t xml:space="preserve">These efforts have been acknowledged by </w:t>
      </w:r>
      <w:r w:rsidR="007A2C38" w:rsidRPr="007A2C38">
        <w:t xml:space="preserve">certain </w:t>
      </w:r>
      <w:r w:rsidR="004C3F8F" w:rsidRPr="007A2C38">
        <w:t>CRAG members</w:t>
      </w:r>
      <w:proofErr w:type="gramEnd"/>
      <w:r w:rsidR="004C3F8F" w:rsidRPr="007A2C38">
        <w:t>.</w:t>
      </w:r>
    </w:p>
    <w:p w:rsidR="007545F7" w:rsidRDefault="007545F7" w:rsidP="00BA0B10">
      <w:r>
        <w:t xml:space="preserve">Relative specifically to measure offerings and their savings values, PSE also provided several updates to its </w:t>
      </w:r>
      <w:r w:rsidRPr="001A4964">
        <w:t>Exhibit 4:</w:t>
      </w:r>
      <w:r w:rsidRPr="00662025">
        <w:rPr>
          <w:i/>
        </w:rPr>
        <w:t xml:space="preserve"> Energy Efficiency Measures, Incentives &amp; Eligibility</w:t>
      </w:r>
      <w:r>
        <w:t xml:space="preserve"> to the CRAG</w:t>
      </w:r>
      <w:proofErr w:type="gramStart"/>
      <w:r>
        <w:t>.</w:t>
      </w:r>
      <w:r w:rsidR="00FB1265">
        <w:t xml:space="preserve"> </w:t>
      </w:r>
      <w:proofErr w:type="gramEnd"/>
      <w:r>
        <w:t>To make document review more effective, PSE provided CRAG members with a mark-up Exhibit 4, that made comparing existing versus updated values more straightforward, in addition to the “clean” version of Exhibit 4</w:t>
      </w:r>
      <w:proofErr w:type="gramStart"/>
      <w:r>
        <w:t>.</w:t>
      </w:r>
      <w:r w:rsidR="00FB1265">
        <w:t xml:space="preserve"> </w:t>
      </w:r>
      <w:proofErr w:type="gramEnd"/>
      <w:r w:rsidR="00D95F90">
        <w:t>In i</w:t>
      </w:r>
      <w:r w:rsidR="00BC4729">
        <w:t>ts 2014 and 2015</w:t>
      </w:r>
      <w:r>
        <w:t xml:space="preserve"> Annual Reports</w:t>
      </w:r>
      <w:r w:rsidR="00D95F90">
        <w:t xml:space="preserve"> </w:t>
      </w:r>
      <w:r>
        <w:t xml:space="preserve">and the </w:t>
      </w:r>
      <w:r w:rsidR="00EB75CE">
        <w:t>2014-2015</w:t>
      </w:r>
      <w:r w:rsidR="004C3F8F">
        <w:t xml:space="preserve"> </w:t>
      </w:r>
      <w:r>
        <w:t>planning documents,</w:t>
      </w:r>
      <w:r>
        <w:rPr>
          <w:rStyle w:val="FootnoteReference"/>
        </w:rPr>
        <w:footnoteReference w:id="37"/>
      </w:r>
      <w:r>
        <w:t xml:space="preserve"> PSE included a comprehensive list of prescriptive and selected calculated measures that were available for </w:t>
      </w:r>
      <w:r w:rsidR="004C3F8F">
        <w:t xml:space="preserve">or planned for </w:t>
      </w:r>
      <w:r>
        <w:t>program use during the reporting period</w:t>
      </w:r>
      <w:proofErr w:type="gramStart"/>
      <w:r>
        <w:t>.</w:t>
      </w:r>
      <w:r w:rsidR="00FB1265">
        <w:t xml:space="preserve"> </w:t>
      </w:r>
      <w:proofErr w:type="gramEnd"/>
      <w:r w:rsidR="004C3F8F">
        <w:t>Each CRAG member received their own copy of these documents prior to or concurrent with its filing.</w:t>
      </w:r>
      <w:r w:rsidR="004C3F8F">
        <w:rPr>
          <w:rStyle w:val="FootnoteReference"/>
        </w:rPr>
        <w:footnoteReference w:id="38"/>
      </w:r>
    </w:p>
    <w:p w:rsidR="00BC4729" w:rsidRDefault="00BC4729" w:rsidP="00BA0B10">
      <w:r>
        <w:br w:type="page"/>
      </w:r>
    </w:p>
    <w:p w:rsidR="007769C0" w:rsidRDefault="00D352C7" w:rsidP="00BA0B10">
      <w:r>
        <w:lastRenderedPageBreak/>
        <w:t xml:space="preserve">Throughout the biennium, PSE met with the CRAG </w:t>
      </w:r>
      <w:r w:rsidR="00BC4729">
        <w:t>eight</w:t>
      </w:r>
      <w:r>
        <w:t xml:space="preserve"> times</w:t>
      </w:r>
      <w:r w:rsidR="00503C69">
        <w:t xml:space="preserve"> to provide program updates, discuss program implementation strategies, and long-term conservation goals</w:t>
      </w:r>
      <w:proofErr w:type="gramStart"/>
      <w:r>
        <w:t>.</w:t>
      </w:r>
      <w:r w:rsidR="00FB1265">
        <w:t xml:space="preserve"> </w:t>
      </w:r>
      <w:proofErr w:type="gramEnd"/>
      <w:r>
        <w:t>CRAG members received each meeting’</w:t>
      </w:r>
      <w:r w:rsidR="007769C0">
        <w:t xml:space="preserve">s presentation slides, along with meeting summary notes that capture agreements, </w:t>
      </w:r>
      <w:r w:rsidR="00AB4870">
        <w:t>decisions,</w:t>
      </w:r>
      <w:r w:rsidR="007769C0">
        <w:t xml:space="preserve"> and action items.</w:t>
      </w:r>
    </w:p>
    <w:p w:rsidR="00D95F90" w:rsidRDefault="00D95F90" w:rsidP="00BA0B10">
      <w:r>
        <w:t xml:space="preserve">PSE </w:t>
      </w:r>
      <w:r w:rsidR="007769C0">
        <w:t xml:space="preserve">also </w:t>
      </w:r>
      <w:r>
        <w:t xml:space="preserve">provided comprehensive reviews of program, sector, and portfolio-level cost-effectiveness calculations, leading to Utility Cost (UC) </w:t>
      </w:r>
      <w:r w:rsidR="009646D9">
        <w:t xml:space="preserve">Test </w:t>
      </w:r>
      <w:r>
        <w:t xml:space="preserve">and Total Resource Cost (TRC) </w:t>
      </w:r>
      <w:r w:rsidR="009646D9">
        <w:t xml:space="preserve">Test </w:t>
      </w:r>
      <w:r>
        <w:t>results</w:t>
      </w:r>
      <w:proofErr w:type="gramStart"/>
      <w:r>
        <w:t>.</w:t>
      </w:r>
      <w:r w:rsidR="00FB1265">
        <w:t xml:space="preserve"> </w:t>
      </w:r>
      <w:proofErr w:type="gramEnd"/>
      <w:r w:rsidR="007545F7" w:rsidRPr="00335FEC">
        <w:t>Exhibit 2:</w:t>
      </w:r>
      <w:r w:rsidR="007545F7" w:rsidRPr="004C3F8F">
        <w:rPr>
          <w:i/>
        </w:rPr>
        <w:t xml:space="preserve"> </w:t>
      </w:r>
      <w:r w:rsidR="00BC4729">
        <w:rPr>
          <w:i/>
        </w:rPr>
        <w:t xml:space="preserve">2014-2015 </w:t>
      </w:r>
      <w:r w:rsidR="001A4964">
        <w:rPr>
          <w:i/>
        </w:rPr>
        <w:t xml:space="preserve">Electric </w:t>
      </w:r>
      <w:r w:rsidR="007545F7" w:rsidRPr="004C3F8F">
        <w:rPr>
          <w:i/>
        </w:rPr>
        <w:t xml:space="preserve">Cost-Effectiveness </w:t>
      </w:r>
      <w:r w:rsidR="004C3F8F" w:rsidRPr="004C3F8F">
        <w:rPr>
          <w:i/>
        </w:rPr>
        <w:t>Results</w:t>
      </w:r>
      <w:r w:rsidR="004C3F8F">
        <w:t xml:space="preserve"> </w:t>
      </w:r>
      <w:r w:rsidR="00BC4729">
        <w:t>is</w:t>
      </w:r>
      <w:r w:rsidR="007545F7">
        <w:t xml:space="preserve"> i</w:t>
      </w:r>
      <w:r w:rsidR="004C3F8F">
        <w:t>ncluded in this R</w:t>
      </w:r>
      <w:r w:rsidR="007545F7">
        <w:t>eport</w:t>
      </w:r>
      <w:r w:rsidR="00BC4729">
        <w:t>,</w:t>
      </w:r>
      <w:r w:rsidR="004C3F8F">
        <w:t xml:space="preserve"> incorporates the savings revisions discussed in Chapter </w:t>
      </w:r>
      <w:r w:rsidR="004C3F8F" w:rsidRPr="00280652">
        <w:t>2</w:t>
      </w:r>
      <w:r w:rsidR="007545F7">
        <w:t>.</w:t>
      </w:r>
    </w:p>
    <w:p w:rsidR="007545F7" w:rsidRDefault="007545F7" w:rsidP="00484E49"/>
    <w:p w:rsidR="00E2099C" w:rsidRDefault="00E2099C" w:rsidP="00484E49"/>
    <w:p w:rsidR="00DD0048" w:rsidRDefault="00DD0048" w:rsidP="00484E49">
      <w:pPr>
        <w:sectPr w:rsidR="00DD0048" w:rsidSect="00384AA1">
          <w:headerReference w:type="even" r:id="rId45"/>
          <w:headerReference w:type="default" r:id="rId46"/>
          <w:headerReference w:type="first" r:id="rId47"/>
          <w:pgSz w:w="12240" w:h="15840"/>
          <w:pgMar w:top="1980" w:right="1440" w:bottom="1440" w:left="1440" w:header="720" w:footer="720" w:gutter="0"/>
          <w:cols w:space="720"/>
          <w:docGrid w:linePitch="360"/>
        </w:sectPr>
      </w:pPr>
    </w:p>
    <w:p w:rsidR="00E2099C" w:rsidRDefault="00E2099C" w:rsidP="00DD0048">
      <w:pPr>
        <w:pStyle w:val="Heading1"/>
      </w:pPr>
      <w:bookmarkStart w:id="83" w:name="_Toc450627086"/>
      <w:r>
        <w:lastRenderedPageBreak/>
        <w:t>References</w:t>
      </w:r>
      <w:bookmarkEnd w:id="83"/>
    </w:p>
    <w:p w:rsidR="00E2099C" w:rsidRDefault="00D05523" w:rsidP="0021667C">
      <w:r>
        <w:t xml:space="preserve">PSE </w:t>
      </w:r>
      <w:r w:rsidR="00E2099C">
        <w:t xml:space="preserve">provides Docket numbers for all </w:t>
      </w:r>
      <w:r w:rsidR="00D50F4A">
        <w:t xml:space="preserve">publications filed with the UTC relative to the </w:t>
      </w:r>
      <w:r w:rsidR="00EB75CE">
        <w:t>2014-2015</w:t>
      </w:r>
      <w:r w:rsidR="004262FE">
        <w:t xml:space="preserve"> electric conservation </w:t>
      </w:r>
      <w:r w:rsidR="00EB525E">
        <w:t xml:space="preserve">EIA </w:t>
      </w:r>
      <w:r w:rsidR="004262FE">
        <w:t>T</w:t>
      </w:r>
      <w:r w:rsidR="00D50F4A">
        <w:t>arget</w:t>
      </w:r>
      <w:r w:rsidR="00E2099C">
        <w:rPr>
          <w:rStyle w:val="FootnoteReference"/>
        </w:rPr>
        <w:footnoteReference w:id="39"/>
      </w:r>
      <w:r w:rsidR="00BA0B10">
        <w:t xml:space="preserve"> and </w:t>
      </w:r>
      <w:r w:rsidR="00E2099C">
        <w:t>UTC filings pertaining to the development, progress reporting, an</w:t>
      </w:r>
      <w:r w:rsidR="00384AA1">
        <w:t xml:space="preserve">d confirming results of the </w:t>
      </w:r>
      <w:r w:rsidR="00EB75CE">
        <w:t>2014-2015</w:t>
      </w:r>
      <w:r w:rsidR="00E2099C">
        <w:t xml:space="preserve"> biennial conservation achievement</w:t>
      </w:r>
      <w:r>
        <w:t xml:space="preserve"> in </w:t>
      </w:r>
      <w:r>
        <w:fldChar w:fldCharType="begin"/>
      </w:r>
      <w:r>
        <w:instrText xml:space="preserve"> REF _Ref447106667 \h </w:instrText>
      </w:r>
      <w:r>
        <w:fldChar w:fldCharType="separate"/>
      </w:r>
      <w:r w:rsidR="001A7098">
        <w:t xml:space="preserve">Table </w:t>
      </w:r>
      <w:r w:rsidR="001A7098">
        <w:rPr>
          <w:noProof/>
        </w:rPr>
        <w:t>V</w:t>
      </w:r>
      <w:r w:rsidR="001A7098">
        <w:noBreakHyphen/>
      </w:r>
      <w:r w:rsidR="001A7098">
        <w:rPr>
          <w:noProof/>
        </w:rPr>
        <w:t>1</w:t>
      </w:r>
      <w:r>
        <w:fldChar w:fldCharType="end"/>
      </w:r>
      <w:proofErr w:type="gramStart"/>
      <w:r w:rsidR="00E2099C">
        <w:t>.</w:t>
      </w:r>
      <w:r w:rsidR="00FB1265">
        <w:t xml:space="preserve"> </w:t>
      </w:r>
      <w:proofErr w:type="gramEnd"/>
      <w:r w:rsidR="00D50F4A">
        <w:t xml:space="preserve">This Biennial Conservation Report of verified </w:t>
      </w:r>
      <w:r w:rsidR="00EB75CE">
        <w:t>2014-2015</w:t>
      </w:r>
      <w:r w:rsidR="00D50F4A">
        <w:t xml:space="preserve"> electric conservation savings and expenditures summarizes information contained in these publications and reviewed with the CRAG at prescribed intervals throughout the biennium.</w:t>
      </w:r>
    </w:p>
    <w:p w:rsidR="00E2099C" w:rsidRPr="00926931" w:rsidRDefault="007A6F51" w:rsidP="007A6F51">
      <w:pPr>
        <w:pStyle w:val="Heading9"/>
        <w:rPr>
          <w:bCs/>
        </w:rPr>
      </w:pPr>
      <w:bookmarkStart w:id="84" w:name="_Ref447106667"/>
      <w:bookmarkStart w:id="85" w:name="_Toc450627243"/>
      <w:r>
        <w:t xml:space="preserve">Table </w:t>
      </w:r>
      <w:fldSimple w:instr=" STYLEREF 1 \s ">
        <w:r w:rsidR="001A7098">
          <w:rPr>
            <w:noProof/>
          </w:rPr>
          <w:t>V</w:t>
        </w:r>
      </w:fldSimple>
      <w:r w:rsidR="00040BFE">
        <w:noBreakHyphen/>
      </w:r>
      <w:fldSimple w:instr=" SEQ Table \* ARABIC \s 1 ">
        <w:r w:rsidR="001A7098">
          <w:rPr>
            <w:noProof/>
          </w:rPr>
          <w:t>1</w:t>
        </w:r>
      </w:fldSimple>
      <w:bookmarkEnd w:id="84"/>
      <w:r w:rsidR="00E2099C" w:rsidRPr="00AA46B7">
        <w:rPr>
          <w:bCs/>
        </w:rPr>
        <w:t>:</w:t>
      </w:r>
      <w:r>
        <w:t xml:space="preserve"> Substantiating 2014-2015</w:t>
      </w:r>
      <w:r w:rsidR="00E2099C">
        <w:rPr>
          <w:bCs/>
        </w:rPr>
        <w:t xml:space="preserve"> Electric Savings Documents and Their Associated Docket Numbers</w:t>
      </w:r>
      <w:bookmarkEnd w:id="85"/>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168"/>
        <w:gridCol w:w="1985"/>
        <w:gridCol w:w="1728"/>
      </w:tblGrid>
      <w:tr w:rsidR="00E2099C" w:rsidRPr="00AD0168" w:rsidTr="00822374">
        <w:tc>
          <w:tcPr>
            <w:tcW w:w="2808" w:type="dxa"/>
            <w:shd w:val="clear" w:color="auto" w:fill="004E54"/>
            <w:vAlign w:val="bottom"/>
          </w:tcPr>
          <w:p w:rsidR="00E2099C" w:rsidRPr="00AD0168" w:rsidRDefault="00E2099C" w:rsidP="00A4159F">
            <w:pPr>
              <w:spacing w:before="0" w:after="0"/>
              <w:jc w:val="left"/>
              <w:rPr>
                <w:b/>
                <w:color w:val="FFFFFF"/>
              </w:rPr>
            </w:pPr>
            <w:r w:rsidRPr="00AD0168">
              <w:rPr>
                <w:b/>
                <w:color w:val="FFFFFF"/>
              </w:rPr>
              <w:t>Document</w:t>
            </w:r>
            <w:r>
              <w:rPr>
                <w:b/>
                <w:color w:val="FFFFFF"/>
              </w:rPr>
              <w:t xml:space="preserve"> Description</w:t>
            </w:r>
          </w:p>
        </w:tc>
        <w:tc>
          <w:tcPr>
            <w:tcW w:w="3168" w:type="dxa"/>
            <w:shd w:val="clear" w:color="auto" w:fill="004E54"/>
            <w:vAlign w:val="bottom"/>
          </w:tcPr>
          <w:p w:rsidR="00E2099C" w:rsidRPr="00AD0168" w:rsidRDefault="00E2099C" w:rsidP="00A4159F">
            <w:pPr>
              <w:spacing w:before="0" w:after="0"/>
              <w:jc w:val="left"/>
              <w:rPr>
                <w:b/>
                <w:color w:val="FFFFFF"/>
              </w:rPr>
            </w:pPr>
            <w:r>
              <w:rPr>
                <w:b/>
                <w:color w:val="FFFFFF"/>
              </w:rPr>
              <w:t>Pertaining to</w:t>
            </w:r>
          </w:p>
        </w:tc>
        <w:tc>
          <w:tcPr>
            <w:tcW w:w="1985" w:type="dxa"/>
            <w:shd w:val="clear" w:color="auto" w:fill="004E54"/>
            <w:vAlign w:val="bottom"/>
          </w:tcPr>
          <w:p w:rsidR="00E2099C" w:rsidRPr="00AD0168" w:rsidRDefault="00A4159F" w:rsidP="00A4159F">
            <w:pPr>
              <w:spacing w:before="0" w:after="0"/>
              <w:jc w:val="left"/>
              <w:rPr>
                <w:b/>
                <w:color w:val="FFFFFF"/>
              </w:rPr>
            </w:pPr>
            <w:r>
              <w:rPr>
                <w:b/>
                <w:color w:val="FFFFFF"/>
              </w:rPr>
              <w:t>WUTC Docket Number</w:t>
            </w:r>
          </w:p>
        </w:tc>
        <w:tc>
          <w:tcPr>
            <w:tcW w:w="1728" w:type="dxa"/>
            <w:shd w:val="clear" w:color="auto" w:fill="004E54"/>
            <w:vAlign w:val="bottom"/>
          </w:tcPr>
          <w:p w:rsidR="00E2099C" w:rsidRPr="00AD0168" w:rsidRDefault="00E2099C" w:rsidP="00A4159F">
            <w:pPr>
              <w:spacing w:before="0" w:after="0"/>
              <w:jc w:val="left"/>
              <w:rPr>
                <w:b/>
                <w:color w:val="FFFFFF"/>
              </w:rPr>
            </w:pPr>
            <w:r w:rsidRPr="00AD0168">
              <w:rPr>
                <w:b/>
                <w:color w:val="FFFFFF"/>
              </w:rPr>
              <w:t>Date Filed</w:t>
            </w:r>
          </w:p>
        </w:tc>
      </w:tr>
      <w:tr w:rsidR="00E2099C" w:rsidRPr="00775628" w:rsidTr="00822374">
        <w:tc>
          <w:tcPr>
            <w:tcW w:w="2808" w:type="dxa"/>
          </w:tcPr>
          <w:p w:rsidR="00E2099C" w:rsidRPr="00775628" w:rsidRDefault="00D05523" w:rsidP="00D8396A">
            <w:pPr>
              <w:spacing w:before="0" w:after="60"/>
              <w:jc w:val="left"/>
              <w:rPr>
                <w:sz w:val="20"/>
              </w:rPr>
            </w:pPr>
            <w:r w:rsidRPr="00775628">
              <w:rPr>
                <w:sz w:val="20"/>
              </w:rPr>
              <w:t>2013</w:t>
            </w:r>
            <w:r w:rsidR="00E2099C" w:rsidRPr="00775628">
              <w:rPr>
                <w:sz w:val="20"/>
              </w:rPr>
              <w:t xml:space="preserve"> IRP</w:t>
            </w:r>
          </w:p>
        </w:tc>
        <w:tc>
          <w:tcPr>
            <w:tcW w:w="3168" w:type="dxa"/>
          </w:tcPr>
          <w:p w:rsidR="00E2099C" w:rsidRPr="00775628" w:rsidRDefault="00E2099C" w:rsidP="00503C69">
            <w:pPr>
              <w:spacing w:before="0" w:after="120"/>
              <w:jc w:val="left"/>
              <w:rPr>
                <w:sz w:val="20"/>
              </w:rPr>
            </w:pPr>
            <w:r w:rsidRPr="00775628">
              <w:rPr>
                <w:sz w:val="20"/>
              </w:rPr>
              <w:t>Development of th</w:t>
            </w:r>
            <w:r w:rsidR="004262FE" w:rsidRPr="00775628">
              <w:rPr>
                <w:sz w:val="20"/>
              </w:rPr>
              <w:t>e 10-year Potential and 2-year t</w:t>
            </w:r>
            <w:r w:rsidRPr="00775628">
              <w:rPr>
                <w:sz w:val="20"/>
              </w:rPr>
              <w:t>arget</w:t>
            </w:r>
          </w:p>
        </w:tc>
        <w:tc>
          <w:tcPr>
            <w:tcW w:w="1985" w:type="dxa"/>
          </w:tcPr>
          <w:p w:rsidR="00E2099C" w:rsidRPr="00775628" w:rsidRDefault="00477214" w:rsidP="00D8396A">
            <w:pPr>
              <w:spacing w:before="0" w:after="60"/>
              <w:jc w:val="left"/>
              <w:rPr>
                <w:sz w:val="20"/>
              </w:rPr>
            </w:pPr>
            <w:r w:rsidRPr="00775628">
              <w:rPr>
                <w:sz w:val="20"/>
              </w:rPr>
              <w:t>UE-</w:t>
            </w:r>
            <w:r w:rsidR="001E206C" w:rsidRPr="00775628">
              <w:rPr>
                <w:sz w:val="20"/>
              </w:rPr>
              <w:t>1</w:t>
            </w:r>
            <w:r w:rsidR="00D05523" w:rsidRPr="00775628">
              <w:rPr>
                <w:sz w:val="20"/>
              </w:rPr>
              <w:t>20767</w:t>
            </w:r>
          </w:p>
        </w:tc>
        <w:tc>
          <w:tcPr>
            <w:tcW w:w="1728" w:type="dxa"/>
          </w:tcPr>
          <w:p w:rsidR="00E2099C" w:rsidRPr="00775628" w:rsidRDefault="00D05523" w:rsidP="00D8396A">
            <w:pPr>
              <w:spacing w:before="0" w:after="60"/>
              <w:jc w:val="left"/>
              <w:rPr>
                <w:sz w:val="20"/>
              </w:rPr>
            </w:pPr>
            <w:r w:rsidRPr="00775628">
              <w:rPr>
                <w:sz w:val="20"/>
              </w:rPr>
              <w:t>Initial: May 25</w:t>
            </w:r>
            <w:r w:rsidR="00BA0B10" w:rsidRPr="00775628">
              <w:rPr>
                <w:sz w:val="20"/>
              </w:rPr>
              <w:t>, 201</w:t>
            </w:r>
            <w:r w:rsidRPr="00775628">
              <w:rPr>
                <w:sz w:val="20"/>
              </w:rPr>
              <w:t>2</w:t>
            </w:r>
          </w:p>
        </w:tc>
      </w:tr>
      <w:tr w:rsidR="00E2099C" w:rsidRPr="00775628" w:rsidTr="00822374">
        <w:tc>
          <w:tcPr>
            <w:tcW w:w="2808" w:type="dxa"/>
          </w:tcPr>
          <w:p w:rsidR="00E2099C" w:rsidRPr="00775628" w:rsidRDefault="00EB75CE" w:rsidP="001E206C">
            <w:pPr>
              <w:spacing w:before="0" w:after="60"/>
              <w:jc w:val="left"/>
              <w:rPr>
                <w:sz w:val="20"/>
              </w:rPr>
            </w:pPr>
            <w:r w:rsidRPr="00775628">
              <w:rPr>
                <w:sz w:val="20"/>
              </w:rPr>
              <w:t>2014-2015</w:t>
            </w:r>
            <w:r w:rsidR="00E2099C" w:rsidRPr="00775628">
              <w:rPr>
                <w:sz w:val="20"/>
              </w:rPr>
              <w:t xml:space="preserve"> </w:t>
            </w:r>
            <w:r w:rsidR="001E206C" w:rsidRPr="00775628">
              <w:rPr>
                <w:sz w:val="20"/>
              </w:rPr>
              <w:t xml:space="preserve">Biennial </w:t>
            </w:r>
            <w:r w:rsidR="00E2099C" w:rsidRPr="00775628">
              <w:rPr>
                <w:sz w:val="20"/>
              </w:rPr>
              <w:t xml:space="preserve">Conservation </w:t>
            </w:r>
            <w:r w:rsidR="001E206C" w:rsidRPr="00775628">
              <w:rPr>
                <w:sz w:val="20"/>
              </w:rPr>
              <w:t>Plan</w:t>
            </w:r>
          </w:p>
        </w:tc>
        <w:tc>
          <w:tcPr>
            <w:tcW w:w="3168" w:type="dxa"/>
          </w:tcPr>
          <w:p w:rsidR="00E2099C" w:rsidRPr="00775628" w:rsidRDefault="00D50F4A" w:rsidP="00503C69">
            <w:pPr>
              <w:spacing w:before="0" w:after="120"/>
              <w:jc w:val="left"/>
              <w:rPr>
                <w:sz w:val="20"/>
              </w:rPr>
            </w:pPr>
            <w:proofErr w:type="gramStart"/>
            <w:r w:rsidRPr="00775628">
              <w:rPr>
                <w:sz w:val="20"/>
              </w:rPr>
              <w:t>D</w:t>
            </w:r>
            <w:r w:rsidR="00E2099C" w:rsidRPr="00775628">
              <w:rPr>
                <w:sz w:val="20"/>
              </w:rPr>
              <w:t xml:space="preserve">ocumentation of the </w:t>
            </w:r>
            <w:r w:rsidR="004262FE" w:rsidRPr="00775628">
              <w:rPr>
                <w:sz w:val="20"/>
              </w:rPr>
              <w:t>10-year P</w:t>
            </w:r>
            <w:r w:rsidRPr="00775628">
              <w:rPr>
                <w:sz w:val="20"/>
              </w:rPr>
              <w:t xml:space="preserve">otential and </w:t>
            </w:r>
            <w:r w:rsidR="004262FE" w:rsidRPr="00775628">
              <w:rPr>
                <w:sz w:val="20"/>
              </w:rPr>
              <w:t>2-year T</w:t>
            </w:r>
            <w:r w:rsidR="00E2099C" w:rsidRPr="00775628">
              <w:rPr>
                <w:sz w:val="20"/>
              </w:rPr>
              <w:t>arget</w:t>
            </w:r>
            <w:r w:rsidRPr="00775628">
              <w:rPr>
                <w:sz w:val="20"/>
              </w:rPr>
              <w:t>, along with program and measure details.</w:t>
            </w:r>
            <w:proofErr w:type="gramEnd"/>
          </w:p>
        </w:tc>
        <w:tc>
          <w:tcPr>
            <w:tcW w:w="1985" w:type="dxa"/>
          </w:tcPr>
          <w:p w:rsidR="00E2099C" w:rsidRPr="00775628" w:rsidRDefault="00E2099C" w:rsidP="001E206C">
            <w:pPr>
              <w:spacing w:before="0" w:after="60"/>
              <w:jc w:val="left"/>
              <w:rPr>
                <w:sz w:val="20"/>
              </w:rPr>
            </w:pPr>
            <w:r w:rsidRPr="00775628">
              <w:rPr>
                <w:sz w:val="20"/>
              </w:rPr>
              <w:t>UE-</w:t>
            </w:r>
            <w:r w:rsidR="001E206C" w:rsidRPr="00775628">
              <w:rPr>
                <w:sz w:val="20"/>
              </w:rPr>
              <w:t>1</w:t>
            </w:r>
            <w:r w:rsidR="00D05523" w:rsidRPr="00775628">
              <w:rPr>
                <w:sz w:val="20"/>
              </w:rPr>
              <w:t>32043</w:t>
            </w:r>
          </w:p>
        </w:tc>
        <w:tc>
          <w:tcPr>
            <w:tcW w:w="1728" w:type="dxa"/>
          </w:tcPr>
          <w:p w:rsidR="00E2099C" w:rsidRPr="00775628" w:rsidRDefault="00D05523" w:rsidP="00D8396A">
            <w:pPr>
              <w:spacing w:before="0" w:after="60"/>
              <w:jc w:val="left"/>
              <w:rPr>
                <w:sz w:val="20"/>
              </w:rPr>
            </w:pPr>
            <w:r w:rsidRPr="00775628">
              <w:rPr>
                <w:sz w:val="20"/>
              </w:rPr>
              <w:t>November 1</w:t>
            </w:r>
            <w:r w:rsidR="001E206C" w:rsidRPr="00775628">
              <w:rPr>
                <w:sz w:val="20"/>
              </w:rPr>
              <w:t>, 201</w:t>
            </w:r>
            <w:r w:rsidRPr="00775628">
              <w:rPr>
                <w:sz w:val="20"/>
              </w:rPr>
              <w:t>3</w:t>
            </w:r>
          </w:p>
        </w:tc>
      </w:tr>
      <w:tr w:rsidR="00503C69" w:rsidRPr="00775628" w:rsidTr="00822374">
        <w:tc>
          <w:tcPr>
            <w:tcW w:w="2808" w:type="dxa"/>
          </w:tcPr>
          <w:p w:rsidR="00503C69" w:rsidRPr="00775628" w:rsidRDefault="00D05523" w:rsidP="00773DAD">
            <w:pPr>
              <w:spacing w:before="0" w:after="60"/>
              <w:jc w:val="left"/>
              <w:rPr>
                <w:sz w:val="20"/>
              </w:rPr>
            </w:pPr>
            <w:r w:rsidRPr="00775628">
              <w:rPr>
                <w:sz w:val="20"/>
              </w:rPr>
              <w:t>2014</w:t>
            </w:r>
            <w:r w:rsidR="00503C69" w:rsidRPr="00775628">
              <w:rPr>
                <w:sz w:val="20"/>
              </w:rPr>
              <w:t xml:space="preserve"> Ten-year Potential &amp; Two-year Conservation Target</w:t>
            </w:r>
          </w:p>
        </w:tc>
        <w:tc>
          <w:tcPr>
            <w:tcW w:w="3168" w:type="dxa"/>
          </w:tcPr>
          <w:p w:rsidR="009B0E89" w:rsidRPr="00775628" w:rsidRDefault="00503C69" w:rsidP="009B0E89">
            <w:pPr>
              <w:spacing w:before="0" w:after="0"/>
              <w:jc w:val="left"/>
              <w:rPr>
                <w:sz w:val="20"/>
              </w:rPr>
            </w:pPr>
            <w:r w:rsidRPr="00775628">
              <w:rPr>
                <w:sz w:val="20"/>
              </w:rPr>
              <w:t xml:space="preserve">RCW 19.285.040 requirement </w:t>
            </w:r>
          </w:p>
          <w:p w:rsidR="00503C69" w:rsidRPr="00775628" w:rsidRDefault="00503C69" w:rsidP="00D05523">
            <w:pPr>
              <w:spacing w:before="0" w:after="120"/>
              <w:jc w:val="left"/>
              <w:rPr>
                <w:sz w:val="20"/>
              </w:rPr>
            </w:pPr>
            <w:r w:rsidRPr="00775628">
              <w:rPr>
                <w:sz w:val="20"/>
              </w:rPr>
              <w:t xml:space="preserve">(Exhibit </w:t>
            </w:r>
            <w:proofErr w:type="spellStart"/>
            <w:r w:rsidRPr="00775628">
              <w:rPr>
                <w:sz w:val="20"/>
              </w:rPr>
              <w:t>i</w:t>
            </w:r>
            <w:proofErr w:type="spellEnd"/>
            <w:r w:rsidRPr="00775628">
              <w:rPr>
                <w:sz w:val="20"/>
              </w:rPr>
              <w:t>)</w:t>
            </w:r>
          </w:p>
        </w:tc>
        <w:tc>
          <w:tcPr>
            <w:tcW w:w="1985" w:type="dxa"/>
          </w:tcPr>
          <w:p w:rsidR="00503C69" w:rsidRPr="00775628" w:rsidRDefault="00D05523" w:rsidP="00D8396A">
            <w:pPr>
              <w:spacing w:before="0" w:after="60"/>
              <w:jc w:val="left"/>
              <w:rPr>
                <w:sz w:val="20"/>
              </w:rPr>
            </w:pPr>
            <w:r w:rsidRPr="00775628">
              <w:rPr>
                <w:sz w:val="20"/>
              </w:rPr>
              <w:t>UE-132043</w:t>
            </w:r>
          </w:p>
        </w:tc>
        <w:tc>
          <w:tcPr>
            <w:tcW w:w="1728" w:type="dxa"/>
          </w:tcPr>
          <w:p w:rsidR="00503C69" w:rsidRPr="00775628" w:rsidRDefault="00D05523" w:rsidP="00D8396A">
            <w:pPr>
              <w:spacing w:before="0" w:after="60"/>
              <w:jc w:val="left"/>
              <w:rPr>
                <w:sz w:val="20"/>
              </w:rPr>
            </w:pPr>
            <w:r w:rsidRPr="00775628">
              <w:rPr>
                <w:sz w:val="20"/>
              </w:rPr>
              <w:t>November 1, 2013</w:t>
            </w:r>
          </w:p>
        </w:tc>
      </w:tr>
      <w:tr w:rsidR="00D50F4A" w:rsidRPr="00775628" w:rsidTr="00822374">
        <w:tc>
          <w:tcPr>
            <w:tcW w:w="2808" w:type="dxa"/>
          </w:tcPr>
          <w:p w:rsidR="00D50F4A" w:rsidRPr="00775628" w:rsidRDefault="00D05523" w:rsidP="00773DAD">
            <w:pPr>
              <w:spacing w:before="0" w:after="60"/>
              <w:jc w:val="left"/>
              <w:rPr>
                <w:sz w:val="20"/>
              </w:rPr>
            </w:pPr>
            <w:r w:rsidRPr="00775628">
              <w:rPr>
                <w:sz w:val="20"/>
              </w:rPr>
              <w:t>2014</w:t>
            </w:r>
            <w:r w:rsidR="00D50F4A" w:rsidRPr="00775628">
              <w:rPr>
                <w:sz w:val="20"/>
              </w:rPr>
              <w:t xml:space="preserve"> Annual Conservation Report &amp;</w:t>
            </w:r>
            <w:r w:rsidR="00FB1265" w:rsidRPr="00775628">
              <w:rPr>
                <w:sz w:val="20"/>
              </w:rPr>
              <w:t xml:space="preserve"> </w:t>
            </w:r>
            <w:r w:rsidRPr="00775628">
              <w:rPr>
                <w:sz w:val="20"/>
              </w:rPr>
              <w:t>Exhibits</w:t>
            </w:r>
          </w:p>
        </w:tc>
        <w:tc>
          <w:tcPr>
            <w:tcW w:w="3168" w:type="dxa"/>
          </w:tcPr>
          <w:p w:rsidR="00D50F4A" w:rsidRPr="00775628" w:rsidRDefault="00D05523" w:rsidP="0020789A">
            <w:pPr>
              <w:spacing w:before="0" w:after="120"/>
              <w:jc w:val="left"/>
              <w:rPr>
                <w:sz w:val="20"/>
              </w:rPr>
            </w:pPr>
            <w:r w:rsidRPr="00775628">
              <w:rPr>
                <w:sz w:val="20"/>
              </w:rPr>
              <w:t>Reporting 2014</w:t>
            </w:r>
            <w:r w:rsidR="00D50F4A" w:rsidRPr="00775628">
              <w:rPr>
                <w:sz w:val="20"/>
              </w:rPr>
              <w:t xml:space="preserve"> conservation accomplishments and program details</w:t>
            </w:r>
          </w:p>
        </w:tc>
        <w:tc>
          <w:tcPr>
            <w:tcW w:w="1985" w:type="dxa"/>
          </w:tcPr>
          <w:p w:rsidR="00D50F4A" w:rsidRPr="00775628" w:rsidRDefault="00D50F4A" w:rsidP="00D8396A">
            <w:pPr>
              <w:spacing w:before="0" w:after="60"/>
              <w:jc w:val="left"/>
              <w:rPr>
                <w:sz w:val="20"/>
              </w:rPr>
            </w:pPr>
            <w:r w:rsidRPr="00775628">
              <w:rPr>
                <w:sz w:val="20"/>
              </w:rPr>
              <w:t>UE-970686 &amp;</w:t>
            </w:r>
          </w:p>
          <w:p w:rsidR="00D50F4A" w:rsidRPr="00775628" w:rsidRDefault="00D05523" w:rsidP="00D8396A">
            <w:pPr>
              <w:spacing w:before="0" w:after="60"/>
              <w:jc w:val="left"/>
              <w:rPr>
                <w:sz w:val="20"/>
              </w:rPr>
            </w:pPr>
            <w:r w:rsidRPr="00775628">
              <w:rPr>
                <w:sz w:val="20"/>
              </w:rPr>
              <w:t>UE-132043</w:t>
            </w:r>
          </w:p>
        </w:tc>
        <w:tc>
          <w:tcPr>
            <w:tcW w:w="1728" w:type="dxa"/>
          </w:tcPr>
          <w:p w:rsidR="00D50F4A" w:rsidRPr="00775628" w:rsidRDefault="00D05523" w:rsidP="00D8396A">
            <w:pPr>
              <w:spacing w:before="0" w:after="60"/>
              <w:jc w:val="left"/>
              <w:rPr>
                <w:sz w:val="20"/>
              </w:rPr>
            </w:pPr>
            <w:r w:rsidRPr="00775628">
              <w:rPr>
                <w:sz w:val="20"/>
              </w:rPr>
              <w:t>February 27, 2015</w:t>
            </w:r>
          </w:p>
        </w:tc>
      </w:tr>
      <w:tr w:rsidR="00E2099C" w:rsidRPr="00775628" w:rsidTr="00822374">
        <w:tc>
          <w:tcPr>
            <w:tcW w:w="2808" w:type="dxa"/>
          </w:tcPr>
          <w:p w:rsidR="00E2099C" w:rsidRPr="00775628" w:rsidRDefault="00D05523" w:rsidP="00D8396A">
            <w:pPr>
              <w:spacing w:before="0" w:after="60"/>
              <w:jc w:val="left"/>
              <w:rPr>
                <w:sz w:val="20"/>
              </w:rPr>
            </w:pPr>
            <w:r w:rsidRPr="00775628">
              <w:rPr>
                <w:sz w:val="20"/>
              </w:rPr>
              <w:t>2015</w:t>
            </w:r>
            <w:r w:rsidR="00E2099C" w:rsidRPr="00775628">
              <w:rPr>
                <w:sz w:val="20"/>
              </w:rPr>
              <w:t xml:space="preserve"> Annual Conservation Plan</w:t>
            </w:r>
          </w:p>
        </w:tc>
        <w:tc>
          <w:tcPr>
            <w:tcW w:w="3168" w:type="dxa"/>
          </w:tcPr>
          <w:p w:rsidR="00E2099C" w:rsidRPr="00775628" w:rsidRDefault="001E206C" w:rsidP="00503C69">
            <w:pPr>
              <w:spacing w:before="0" w:after="120"/>
              <w:jc w:val="left"/>
              <w:rPr>
                <w:sz w:val="20"/>
              </w:rPr>
            </w:pPr>
            <w:r w:rsidRPr="00775628">
              <w:rPr>
                <w:sz w:val="20"/>
              </w:rPr>
              <w:t>Detailed plan revisions</w:t>
            </w:r>
            <w:r w:rsidR="00D50F4A" w:rsidRPr="00775628">
              <w:rPr>
                <w:sz w:val="20"/>
              </w:rPr>
              <w:t xml:space="preserve">, updating the </w:t>
            </w:r>
            <w:r w:rsidR="00EB75CE" w:rsidRPr="00775628">
              <w:rPr>
                <w:sz w:val="20"/>
              </w:rPr>
              <w:t>2014-2015</w:t>
            </w:r>
            <w:r w:rsidR="00D50F4A" w:rsidRPr="00775628">
              <w:rPr>
                <w:sz w:val="20"/>
              </w:rPr>
              <w:t xml:space="preserve"> BCP,</w:t>
            </w:r>
            <w:r w:rsidR="00D05523" w:rsidRPr="00775628">
              <w:rPr>
                <w:sz w:val="20"/>
              </w:rPr>
              <w:t xml:space="preserve"> for 2015</w:t>
            </w:r>
            <w:r w:rsidR="00E2099C" w:rsidRPr="00775628">
              <w:rPr>
                <w:sz w:val="20"/>
              </w:rPr>
              <w:t xml:space="preserve"> spending and savings</w:t>
            </w:r>
          </w:p>
        </w:tc>
        <w:tc>
          <w:tcPr>
            <w:tcW w:w="1985" w:type="dxa"/>
          </w:tcPr>
          <w:p w:rsidR="00E2099C" w:rsidRPr="00775628" w:rsidRDefault="00477214" w:rsidP="00D8396A">
            <w:pPr>
              <w:spacing w:before="0" w:after="60"/>
              <w:jc w:val="left"/>
              <w:rPr>
                <w:sz w:val="20"/>
              </w:rPr>
            </w:pPr>
            <w:r w:rsidRPr="00775628">
              <w:rPr>
                <w:sz w:val="20"/>
              </w:rPr>
              <w:t>UE-1</w:t>
            </w:r>
            <w:r w:rsidR="00D05523" w:rsidRPr="00775628">
              <w:rPr>
                <w:sz w:val="20"/>
              </w:rPr>
              <w:t>32043</w:t>
            </w:r>
          </w:p>
        </w:tc>
        <w:tc>
          <w:tcPr>
            <w:tcW w:w="1728" w:type="dxa"/>
          </w:tcPr>
          <w:p w:rsidR="00E2099C" w:rsidRPr="00775628" w:rsidRDefault="00D05523" w:rsidP="00D8396A">
            <w:pPr>
              <w:spacing w:before="0" w:after="60"/>
              <w:jc w:val="left"/>
              <w:rPr>
                <w:sz w:val="20"/>
              </w:rPr>
            </w:pPr>
            <w:r w:rsidRPr="00775628">
              <w:rPr>
                <w:sz w:val="20"/>
              </w:rPr>
              <w:t>November 26, 2014</w:t>
            </w:r>
          </w:p>
        </w:tc>
      </w:tr>
      <w:tr w:rsidR="001E206C" w:rsidRPr="00775628" w:rsidTr="00822374">
        <w:tc>
          <w:tcPr>
            <w:tcW w:w="2808" w:type="dxa"/>
          </w:tcPr>
          <w:p w:rsidR="001E206C" w:rsidRPr="00775628" w:rsidRDefault="00D05523" w:rsidP="00D05523">
            <w:pPr>
              <w:spacing w:before="0" w:after="60"/>
              <w:jc w:val="left"/>
              <w:rPr>
                <w:sz w:val="20"/>
              </w:rPr>
            </w:pPr>
            <w:r w:rsidRPr="00775628">
              <w:rPr>
                <w:sz w:val="20"/>
              </w:rPr>
              <w:t>2015</w:t>
            </w:r>
            <w:r w:rsidR="001E206C" w:rsidRPr="00775628">
              <w:rPr>
                <w:sz w:val="20"/>
              </w:rPr>
              <w:t xml:space="preserve"> Annual Conservation Report</w:t>
            </w:r>
            <w:r w:rsidR="00773DAD" w:rsidRPr="00775628">
              <w:rPr>
                <w:sz w:val="20"/>
              </w:rPr>
              <w:t xml:space="preserve"> &amp; Exhibits</w:t>
            </w:r>
          </w:p>
        </w:tc>
        <w:tc>
          <w:tcPr>
            <w:tcW w:w="3168" w:type="dxa"/>
          </w:tcPr>
          <w:p w:rsidR="001E206C" w:rsidRPr="00775628" w:rsidRDefault="00D05523" w:rsidP="00503C69">
            <w:pPr>
              <w:spacing w:before="0" w:after="120"/>
              <w:jc w:val="left"/>
              <w:rPr>
                <w:sz w:val="20"/>
              </w:rPr>
            </w:pPr>
            <w:r w:rsidRPr="00775628">
              <w:rPr>
                <w:sz w:val="20"/>
              </w:rPr>
              <w:t>Reporting 2015</w:t>
            </w:r>
            <w:r w:rsidR="00D50F4A" w:rsidRPr="00775628">
              <w:rPr>
                <w:sz w:val="20"/>
              </w:rPr>
              <w:t xml:space="preserve"> conservation accomplishments and program details</w:t>
            </w:r>
          </w:p>
        </w:tc>
        <w:tc>
          <w:tcPr>
            <w:tcW w:w="1985" w:type="dxa"/>
          </w:tcPr>
          <w:p w:rsidR="001E206C" w:rsidRPr="00775628" w:rsidRDefault="00D05523" w:rsidP="004C0EB0">
            <w:pPr>
              <w:spacing w:before="0" w:after="60"/>
              <w:jc w:val="left"/>
              <w:rPr>
                <w:sz w:val="20"/>
              </w:rPr>
            </w:pPr>
            <w:r w:rsidRPr="00775628">
              <w:rPr>
                <w:sz w:val="20"/>
              </w:rPr>
              <w:t>UE-132043</w:t>
            </w:r>
          </w:p>
        </w:tc>
        <w:tc>
          <w:tcPr>
            <w:tcW w:w="1728" w:type="dxa"/>
          </w:tcPr>
          <w:p w:rsidR="001E206C" w:rsidRPr="00775628" w:rsidRDefault="00D05523" w:rsidP="004C0EB0">
            <w:pPr>
              <w:spacing w:before="0" w:after="60"/>
              <w:jc w:val="left"/>
              <w:rPr>
                <w:sz w:val="20"/>
              </w:rPr>
            </w:pPr>
            <w:r w:rsidRPr="00775628">
              <w:rPr>
                <w:sz w:val="20"/>
              </w:rPr>
              <w:t>February 26, 2016</w:t>
            </w:r>
          </w:p>
        </w:tc>
      </w:tr>
    </w:tbl>
    <w:p w:rsidR="00E2099C" w:rsidRDefault="00E2099C" w:rsidP="00484E49"/>
    <w:p w:rsidR="00E35CDA" w:rsidRDefault="00E35CDA" w:rsidP="00484E49">
      <w:r>
        <w:br w:type="page"/>
      </w:r>
    </w:p>
    <w:p w:rsidR="00E35CDA" w:rsidRDefault="00E35CDA" w:rsidP="00484E49">
      <w:r>
        <w:lastRenderedPageBreak/>
        <w:t xml:space="preserve">With the exception of this sentence, this page </w:t>
      </w:r>
      <w:proofErr w:type="gramStart"/>
      <w:r>
        <w:t>was intentionally left</w:t>
      </w:r>
      <w:proofErr w:type="gramEnd"/>
      <w:r>
        <w:t xml:space="preserve"> blank.</w:t>
      </w:r>
    </w:p>
    <w:p w:rsidR="00756138" w:rsidRDefault="00756138" w:rsidP="00484E49"/>
    <w:p w:rsidR="00DD0048" w:rsidRDefault="00DD0048" w:rsidP="00484E49">
      <w:pPr>
        <w:rPr>
          <w:rFonts w:cs="Arial"/>
        </w:rPr>
        <w:sectPr w:rsidR="00DD0048" w:rsidSect="00384AA1">
          <w:headerReference w:type="even" r:id="rId48"/>
          <w:headerReference w:type="default" r:id="rId49"/>
          <w:headerReference w:type="first" r:id="rId50"/>
          <w:pgSz w:w="12240" w:h="15840"/>
          <w:pgMar w:top="1980" w:right="1440" w:bottom="1440" w:left="1440" w:header="720" w:footer="720" w:gutter="0"/>
          <w:cols w:space="720"/>
          <w:docGrid w:linePitch="360"/>
        </w:sectPr>
      </w:pPr>
    </w:p>
    <w:p w:rsidR="00E2099C" w:rsidRPr="006B2805" w:rsidRDefault="00E2099C" w:rsidP="00DD0048">
      <w:pPr>
        <w:pStyle w:val="Heading1"/>
      </w:pPr>
      <w:bookmarkStart w:id="86" w:name="_Toc450627087"/>
      <w:r>
        <w:lastRenderedPageBreak/>
        <w:t>Acknowledgements</w:t>
      </w:r>
      <w:bookmarkEnd w:id="86"/>
    </w:p>
    <w:p w:rsidR="003D0725" w:rsidRDefault="003D0725" w:rsidP="003D0725">
      <w:pPr>
        <w:rPr>
          <w:rFonts w:cs="Arial"/>
        </w:rPr>
      </w:pPr>
      <w:r>
        <w:rPr>
          <w:rFonts w:cs="Arial"/>
        </w:rPr>
        <w:t>Puget Sound Energy believes that it is important to recognize our customers, who provide the energy efficiency funding and make efficient choices daily</w:t>
      </w:r>
      <w:proofErr w:type="gramStart"/>
      <w:r>
        <w:rPr>
          <w:rFonts w:cs="Arial"/>
        </w:rPr>
        <w:t>.</w:t>
      </w:r>
      <w:r w:rsidR="00FB1265">
        <w:rPr>
          <w:rFonts w:cs="Arial"/>
        </w:rPr>
        <w:t xml:space="preserve"> </w:t>
      </w:r>
      <w:proofErr w:type="gramEnd"/>
      <w:r>
        <w:rPr>
          <w:rFonts w:cs="Arial"/>
        </w:rPr>
        <w:t>PSE appreciates retailers, contractors, and its trade allies, who act as our partners, providing expertise and installation “boots on the ground” to engage our customers.</w:t>
      </w:r>
      <w:r w:rsidR="00FB1265">
        <w:rPr>
          <w:rFonts w:cs="Arial"/>
        </w:rPr>
        <w:t xml:space="preserve"> </w:t>
      </w:r>
    </w:p>
    <w:p w:rsidR="00E2099C" w:rsidRDefault="003D0725" w:rsidP="007519F5">
      <w:pPr>
        <w:rPr>
          <w:rFonts w:cs="Arial"/>
        </w:rPr>
      </w:pPr>
      <w:r>
        <w:rPr>
          <w:rFonts w:cs="Arial"/>
        </w:rPr>
        <w:t>PSE</w:t>
      </w:r>
      <w:r w:rsidR="00E2099C">
        <w:rPr>
          <w:rFonts w:cs="Arial"/>
        </w:rPr>
        <w:t xml:space="preserve"> </w:t>
      </w:r>
      <w:r>
        <w:rPr>
          <w:rFonts w:cs="Arial"/>
        </w:rPr>
        <w:t xml:space="preserve">also </w:t>
      </w:r>
      <w:r w:rsidR="00E2099C">
        <w:rPr>
          <w:rFonts w:cs="Arial"/>
        </w:rPr>
        <w:t xml:space="preserve">appreciates the concerted and focused effort of its </w:t>
      </w:r>
      <w:r w:rsidR="00384AA1">
        <w:rPr>
          <w:rFonts w:cs="Arial"/>
        </w:rPr>
        <w:t xml:space="preserve">CRAG members throughout the </w:t>
      </w:r>
      <w:r w:rsidR="00EB75CE">
        <w:rPr>
          <w:rFonts w:cs="Arial"/>
        </w:rPr>
        <w:t>2014-2015</w:t>
      </w:r>
      <w:r w:rsidR="00E2099C">
        <w:rPr>
          <w:rFonts w:cs="Arial"/>
        </w:rPr>
        <w:t xml:space="preserve"> biennium</w:t>
      </w:r>
      <w:proofErr w:type="gramStart"/>
      <w:r w:rsidR="00E2099C">
        <w:rPr>
          <w:rFonts w:cs="Arial"/>
        </w:rPr>
        <w:t>.</w:t>
      </w:r>
      <w:r w:rsidR="00FB1265">
        <w:rPr>
          <w:rFonts w:cs="Arial"/>
        </w:rPr>
        <w:t xml:space="preserve"> </w:t>
      </w:r>
      <w:proofErr w:type="gramEnd"/>
      <w:r w:rsidR="00E2099C">
        <w:rPr>
          <w:rFonts w:cs="Arial"/>
        </w:rPr>
        <w:t>CRAG members demonstrated a commitment t</w:t>
      </w:r>
      <w:r w:rsidR="0029116D">
        <w:rPr>
          <w:rFonts w:cs="Arial"/>
        </w:rPr>
        <w:t>o our shared vision for success by</w:t>
      </w:r>
      <w:r w:rsidR="00E2099C">
        <w:rPr>
          <w:rFonts w:cs="Arial"/>
        </w:rPr>
        <w:t xml:space="preserve"> actively part</w:t>
      </w:r>
      <w:r w:rsidR="0029116D">
        <w:rPr>
          <w:rFonts w:cs="Arial"/>
        </w:rPr>
        <w:t>icipating</w:t>
      </w:r>
      <w:r w:rsidR="00E2099C">
        <w:rPr>
          <w:rFonts w:cs="Arial"/>
        </w:rPr>
        <w:t xml:space="preserve"> in all planning and review processes, and were forthcoming and positive in expressing their ideas and suggestions</w:t>
      </w:r>
      <w:proofErr w:type="gramStart"/>
      <w:r w:rsidR="00E2099C">
        <w:rPr>
          <w:rFonts w:cs="Arial"/>
        </w:rPr>
        <w:t>.</w:t>
      </w:r>
      <w:r w:rsidR="00FB1265">
        <w:rPr>
          <w:rFonts w:cs="Arial"/>
        </w:rPr>
        <w:t xml:space="preserve"> </w:t>
      </w:r>
      <w:proofErr w:type="gramEnd"/>
      <w:r w:rsidR="00E2099C">
        <w:rPr>
          <w:rFonts w:cs="Arial"/>
        </w:rPr>
        <w:t>Together, we made significant strides in establishing a candid forum, focusing on customer needs, maximizing business transparency,</w:t>
      </w:r>
      <w:r w:rsidR="0029116D">
        <w:rPr>
          <w:rFonts w:cs="Arial"/>
        </w:rPr>
        <w:t xml:space="preserve"> and earned</w:t>
      </w:r>
      <w:r w:rsidR="00E2099C">
        <w:rPr>
          <w:rFonts w:cs="Arial"/>
        </w:rPr>
        <w:t xml:space="preserve"> a </w:t>
      </w:r>
      <w:r w:rsidR="0029116D">
        <w:rPr>
          <w:rFonts w:cs="Arial"/>
        </w:rPr>
        <w:t>healthy</w:t>
      </w:r>
      <w:r w:rsidR="00384AA1">
        <w:rPr>
          <w:rFonts w:cs="Arial"/>
        </w:rPr>
        <w:t xml:space="preserve"> </w:t>
      </w:r>
      <w:r w:rsidR="00E2099C">
        <w:rPr>
          <w:rFonts w:cs="Arial"/>
        </w:rPr>
        <w:t>level of trust</w:t>
      </w:r>
      <w:proofErr w:type="gramStart"/>
      <w:r w:rsidR="00E2099C">
        <w:rPr>
          <w:rFonts w:cs="Arial"/>
        </w:rPr>
        <w:t>.</w:t>
      </w:r>
      <w:r w:rsidR="00FB1265">
        <w:rPr>
          <w:rFonts w:cs="Arial"/>
        </w:rPr>
        <w:t xml:space="preserve"> </w:t>
      </w:r>
      <w:proofErr w:type="gramEnd"/>
      <w:r w:rsidR="00E2099C">
        <w:rPr>
          <w:rFonts w:cs="Arial"/>
        </w:rPr>
        <w:t>We look forward t</w:t>
      </w:r>
      <w:r w:rsidR="00384AA1">
        <w:rPr>
          <w:rFonts w:cs="Arial"/>
        </w:rPr>
        <w:t>o an energized and positive 2014-2015</w:t>
      </w:r>
      <w:r w:rsidR="00E2099C">
        <w:rPr>
          <w:rFonts w:cs="Arial"/>
        </w:rPr>
        <w:t xml:space="preserve"> biennium.</w:t>
      </w:r>
    </w:p>
    <w:p w:rsidR="00E2099C" w:rsidRDefault="0029116D" w:rsidP="007519F5">
      <w:pPr>
        <w:rPr>
          <w:rFonts w:cs="Arial"/>
        </w:rPr>
      </w:pPr>
      <w:r>
        <w:rPr>
          <w:rFonts w:cs="Arial"/>
        </w:rPr>
        <w:t>Lastly</w:t>
      </w:r>
      <w:r w:rsidR="007A6F51">
        <w:rPr>
          <w:rFonts w:cs="Arial"/>
        </w:rPr>
        <w:t>, as SBW indicated in their 2014-2015</w:t>
      </w:r>
      <w:r w:rsidR="00E2099C">
        <w:rPr>
          <w:rFonts w:cs="Arial"/>
        </w:rPr>
        <w:t xml:space="preserve"> electric savings review, the veracity of PSE’s electric conservation savings is </w:t>
      </w:r>
      <w:r w:rsidR="004F6401">
        <w:rPr>
          <w:rFonts w:cs="Arial"/>
        </w:rPr>
        <w:t>well-documented and carefully verified</w:t>
      </w:r>
      <w:proofErr w:type="gramStart"/>
      <w:r w:rsidR="004F6401">
        <w:rPr>
          <w:rFonts w:cs="Arial"/>
        </w:rPr>
        <w:t>.</w:t>
      </w:r>
      <w:r w:rsidR="00FB1265">
        <w:rPr>
          <w:rFonts w:cs="Arial"/>
        </w:rPr>
        <w:t xml:space="preserve"> </w:t>
      </w:r>
      <w:proofErr w:type="gramEnd"/>
      <w:r w:rsidR="00E2099C">
        <w:rPr>
          <w:rFonts w:cs="Arial"/>
        </w:rPr>
        <w:t xml:space="preserve">This would not be possible without our dedicated Energy Efficiency </w:t>
      </w:r>
      <w:r w:rsidR="007C00C2">
        <w:rPr>
          <w:rFonts w:cs="Arial"/>
        </w:rPr>
        <w:t xml:space="preserve">staff, </w:t>
      </w:r>
      <w:proofErr w:type="gramStart"/>
      <w:r>
        <w:rPr>
          <w:rFonts w:cs="Arial"/>
        </w:rPr>
        <w:t>who</w:t>
      </w:r>
      <w:proofErr w:type="gramEnd"/>
      <w:r w:rsidR="007C00C2">
        <w:rPr>
          <w:rFonts w:cs="Arial"/>
        </w:rPr>
        <w:t xml:space="preserve"> </w:t>
      </w:r>
      <w:r w:rsidR="004F6401">
        <w:rPr>
          <w:color w:val="000000"/>
          <w:szCs w:val="20"/>
        </w:rPr>
        <w:t>consistently exceed</w:t>
      </w:r>
      <w:r w:rsidR="00E2099C">
        <w:rPr>
          <w:color w:val="000000"/>
          <w:szCs w:val="20"/>
        </w:rPr>
        <w:t xml:space="preserve"> customer expectations while meeting challenging goals and demo</w:t>
      </w:r>
      <w:r w:rsidR="0022050B">
        <w:rPr>
          <w:color w:val="000000"/>
          <w:szCs w:val="20"/>
        </w:rPr>
        <w:t>nstrate</w:t>
      </w:r>
      <w:r>
        <w:rPr>
          <w:color w:val="000000"/>
          <w:szCs w:val="20"/>
        </w:rPr>
        <w:t xml:space="preserve"> fiscal responsibility</w:t>
      </w:r>
      <w:r w:rsidR="00E2099C">
        <w:rPr>
          <w:color w:val="000000"/>
          <w:szCs w:val="20"/>
        </w:rPr>
        <w:t xml:space="preserve"> with a high degree of attention to detail.</w:t>
      </w:r>
    </w:p>
    <w:p w:rsidR="00E2099C" w:rsidRDefault="00E2099C" w:rsidP="00AE0CB6">
      <w:pPr>
        <w:spacing w:before="0" w:after="0"/>
        <w:rPr>
          <w:rFonts w:ascii="Lucida Handwriting" w:hAnsi="Lucida Handwriting" w:cs="Arial"/>
          <w:sz w:val="32"/>
          <w:szCs w:val="32"/>
        </w:rPr>
      </w:pPr>
    </w:p>
    <w:p w:rsidR="00E2099C" w:rsidRPr="00AE0CB6" w:rsidRDefault="00E2099C" w:rsidP="00AE0CB6">
      <w:pPr>
        <w:spacing w:before="0" w:after="0"/>
        <w:rPr>
          <w:rFonts w:ascii="Lucida Handwriting" w:hAnsi="Lucida Handwriting" w:cs="Arial"/>
          <w:sz w:val="32"/>
          <w:szCs w:val="32"/>
        </w:rPr>
      </w:pPr>
      <w:r w:rsidRPr="00AE0CB6">
        <w:rPr>
          <w:rFonts w:ascii="Lucida Handwriting" w:hAnsi="Lucida Handwriting" w:cs="Arial"/>
          <w:sz w:val="32"/>
          <w:szCs w:val="32"/>
        </w:rPr>
        <w:t>Thank you!</w:t>
      </w:r>
    </w:p>
    <w:sectPr w:rsidR="00E2099C" w:rsidRPr="00AE0CB6" w:rsidSect="00384AA1">
      <w:headerReference w:type="even" r:id="rId51"/>
      <w:headerReference w:type="default" r:id="rId52"/>
      <w:headerReference w:type="first" r:id="rId53"/>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D75" w:rsidRDefault="00782D75" w:rsidP="00810149">
      <w:pPr>
        <w:spacing w:line="240" w:lineRule="auto"/>
      </w:pPr>
      <w:r>
        <w:separator/>
      </w:r>
    </w:p>
  </w:endnote>
  <w:endnote w:type="continuationSeparator" w:id="0">
    <w:p w:rsidR="00782D75" w:rsidRDefault="00782D75" w:rsidP="00810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Default="00782D75" w:rsidP="00234638">
    <w:pPr>
      <w:pStyle w:val="Footer"/>
      <w:pBdr>
        <w:top w:val="double" w:sz="4" w:space="1" w:color="auto"/>
      </w:pBdr>
      <w:spacing w:before="0" w:after="0"/>
      <w:rPr>
        <w:b/>
      </w:rPr>
    </w:pPr>
  </w:p>
  <w:p w:rsidR="00782D75" w:rsidRPr="00234638" w:rsidRDefault="00782D75" w:rsidP="007C00C2">
    <w:pPr>
      <w:pStyle w:val="Footer"/>
      <w:pBdr>
        <w:top w:val="double" w:sz="4" w:space="1" w:color="auto"/>
      </w:pBdr>
      <w:tabs>
        <w:tab w:val="clear" w:pos="4680"/>
      </w:tabs>
      <w:spacing w:before="0" w:after="0"/>
      <w:rPr>
        <w:rFonts w:cs="Arial"/>
        <w:b/>
      </w:rPr>
    </w:pPr>
    <w:r w:rsidRPr="00AE32CD">
      <w:rPr>
        <w:rFonts w:cs="Arial"/>
        <w:sz w:val="20"/>
        <w:szCs w:val="20"/>
      </w:rPr>
      <w:fldChar w:fldCharType="begin"/>
    </w:r>
    <w:r w:rsidRPr="00AE32CD">
      <w:rPr>
        <w:rFonts w:cs="Arial"/>
        <w:sz w:val="20"/>
        <w:szCs w:val="20"/>
      </w:rPr>
      <w:instrText xml:space="preserve"> PAGE   \* MERGEFORMAT </w:instrText>
    </w:r>
    <w:r w:rsidRPr="00AE32CD">
      <w:rPr>
        <w:rFonts w:cs="Arial"/>
        <w:sz w:val="20"/>
        <w:szCs w:val="20"/>
      </w:rPr>
      <w:fldChar w:fldCharType="separate"/>
    </w:r>
    <w:r w:rsidR="00124B7D">
      <w:rPr>
        <w:rFonts w:cs="Arial"/>
        <w:noProof/>
        <w:sz w:val="20"/>
        <w:szCs w:val="20"/>
      </w:rPr>
      <w:t>34</w:t>
    </w:r>
    <w:r w:rsidRPr="00AE32CD">
      <w:rPr>
        <w:rFonts w:cs="Arial"/>
        <w:sz w:val="20"/>
        <w:szCs w:val="20"/>
      </w:rPr>
      <w:fldChar w:fldCharType="end"/>
    </w:r>
    <w:r>
      <w:rPr>
        <w:rFonts w:cs="Arial"/>
        <w:sz w:val="20"/>
        <w:szCs w:val="20"/>
      </w:rPr>
      <w:tab/>
    </w:r>
    <w:r>
      <w:rPr>
        <w:b/>
      </w:rPr>
      <w:t>2014-2015</w:t>
    </w:r>
    <w:r w:rsidRPr="00234638">
      <w:rPr>
        <w:b/>
      </w:rPr>
      <w:t xml:space="preserve"> Biennial Electric Conservation Report</w:t>
    </w:r>
    <w:r>
      <w:rPr>
        <w: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Default="00782D75" w:rsidP="0030193A">
    <w:pPr>
      <w:pStyle w:val="Footer"/>
      <w:pBdr>
        <w:top w:val="double" w:sz="4" w:space="1" w:color="auto"/>
      </w:pBdr>
      <w:spacing w:before="0" w:after="0"/>
      <w:rPr>
        <w:rFonts w:cs="Arial"/>
        <w:b/>
      </w:rPr>
    </w:pPr>
    <w:r>
      <w:rPr>
        <w:rFonts w:cs="Arial"/>
        <w:b/>
      </w:rPr>
      <w:tab/>
    </w:r>
  </w:p>
  <w:p w:rsidR="00782D75" w:rsidRPr="007519F5" w:rsidRDefault="00782D75" w:rsidP="0030193A">
    <w:pPr>
      <w:pStyle w:val="Footer"/>
      <w:pBdr>
        <w:top w:val="double" w:sz="4" w:space="1" w:color="auto"/>
      </w:pBdr>
      <w:spacing w:before="0" w:after="0"/>
      <w:rPr>
        <w:rFonts w:cs="Arial"/>
        <w:b/>
      </w:rPr>
    </w:pPr>
    <w:r>
      <w:rPr>
        <w:noProof/>
      </w:rPr>
      <w:drawing>
        <wp:anchor distT="0" distB="0" distL="114300" distR="114300" simplePos="0" relativeHeight="251658240" behindDoc="0" locked="0" layoutInCell="1" allowOverlap="1" wp14:anchorId="116A1910" wp14:editId="2E5036E8">
          <wp:simplePos x="0" y="0"/>
          <wp:positionH relativeFrom="margin">
            <wp:posOffset>-19050</wp:posOffset>
          </wp:positionH>
          <wp:positionV relativeFrom="margin">
            <wp:posOffset>8057515</wp:posOffset>
          </wp:positionV>
          <wp:extent cx="2066925" cy="333375"/>
          <wp:effectExtent l="0" t="0" r="9525"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33375"/>
                  </a:xfrm>
                  <a:prstGeom prst="rect">
                    <a:avLst/>
                  </a:prstGeom>
                  <a:noFill/>
                </pic:spPr>
              </pic:pic>
            </a:graphicData>
          </a:graphic>
          <wp14:sizeRelH relativeFrom="page">
            <wp14:pctWidth>0</wp14:pctWidth>
          </wp14:sizeRelH>
          <wp14:sizeRelV relativeFrom="page">
            <wp14:pctHeight>0</wp14:pctHeight>
          </wp14:sizeRelV>
        </wp:anchor>
      </w:drawing>
    </w:r>
    <w:r>
      <w:rPr>
        <w:rFonts w:cs="Arial"/>
        <w:b/>
      </w:rPr>
      <w:tab/>
    </w:r>
    <w:r>
      <w:rPr>
        <w:rFonts w:cs="Arial"/>
        <w:b/>
      </w:rPr>
      <w:tab/>
    </w:r>
    <w:r w:rsidRPr="00AE32CD">
      <w:rPr>
        <w:rFonts w:cs="Arial"/>
        <w:sz w:val="20"/>
        <w:szCs w:val="20"/>
      </w:rPr>
      <w:fldChar w:fldCharType="begin"/>
    </w:r>
    <w:r w:rsidRPr="00AE32CD">
      <w:rPr>
        <w:rFonts w:cs="Arial"/>
        <w:sz w:val="20"/>
        <w:szCs w:val="20"/>
      </w:rPr>
      <w:instrText xml:space="preserve"> PAGE   \* MERGEFORMAT </w:instrText>
    </w:r>
    <w:r w:rsidRPr="00AE32CD">
      <w:rPr>
        <w:rFonts w:cs="Arial"/>
        <w:sz w:val="20"/>
        <w:szCs w:val="20"/>
      </w:rPr>
      <w:fldChar w:fldCharType="separate"/>
    </w:r>
    <w:r w:rsidR="00124B7D">
      <w:rPr>
        <w:rFonts w:cs="Arial"/>
        <w:noProof/>
        <w:sz w:val="20"/>
        <w:szCs w:val="20"/>
      </w:rPr>
      <w:t>35</w:t>
    </w:r>
    <w:r w:rsidRPr="00AE32CD">
      <w:rP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D75" w:rsidRDefault="00782D75" w:rsidP="00810149">
      <w:pPr>
        <w:spacing w:line="240" w:lineRule="auto"/>
      </w:pPr>
      <w:r>
        <w:separator/>
      </w:r>
    </w:p>
  </w:footnote>
  <w:footnote w:type="continuationSeparator" w:id="0">
    <w:p w:rsidR="00782D75" w:rsidRDefault="00782D75" w:rsidP="00810149">
      <w:pPr>
        <w:spacing w:line="240" w:lineRule="auto"/>
      </w:pPr>
      <w:r>
        <w:continuationSeparator/>
      </w:r>
    </w:p>
  </w:footnote>
  <w:footnote w:id="1">
    <w:p w:rsidR="00782D75" w:rsidRPr="001B34D5" w:rsidRDefault="00782D75" w:rsidP="00F97091">
      <w:pPr>
        <w:pStyle w:val="FootnoteText"/>
        <w:spacing w:before="0" w:after="120" w:line="240" w:lineRule="auto"/>
        <w:rPr>
          <w:rFonts w:ascii="Times New Roman" w:hAnsi="Times New Roman"/>
        </w:rPr>
      </w:pPr>
      <w:r w:rsidRPr="001B34D5">
        <w:rPr>
          <w:rStyle w:val="FootnoteReference"/>
          <w:rFonts w:ascii="Times New Roman" w:hAnsi="Times New Roman"/>
        </w:rPr>
        <w:footnoteRef/>
      </w:r>
      <w:r w:rsidRPr="001B34D5">
        <w:rPr>
          <w:rFonts w:ascii="Times New Roman" w:hAnsi="Times New Roman"/>
        </w:rPr>
        <w:t xml:space="preserve"> The Condition Compliance Checklist is referred to as Exhibit 9 in </w:t>
      </w:r>
      <w:r>
        <w:rPr>
          <w:rFonts w:ascii="Times New Roman" w:hAnsi="Times New Roman"/>
        </w:rPr>
        <w:t>all PSE</w:t>
      </w:r>
      <w:r w:rsidRPr="001B34D5">
        <w:rPr>
          <w:rFonts w:ascii="Times New Roman" w:hAnsi="Times New Roman"/>
        </w:rPr>
        <w:t xml:space="preserve"> reporting and planning packages.</w:t>
      </w:r>
    </w:p>
  </w:footnote>
  <w:footnote w:id="2">
    <w:p w:rsidR="00782D75" w:rsidRPr="002973D4" w:rsidRDefault="00782D75" w:rsidP="002973D4">
      <w:pPr>
        <w:pStyle w:val="FootnoteText"/>
        <w:spacing w:before="0" w:after="120" w:line="240" w:lineRule="auto"/>
        <w:rPr>
          <w:rFonts w:ascii="Times New Roman" w:hAnsi="Times New Roman"/>
        </w:rPr>
      </w:pPr>
      <w:r w:rsidRPr="002973D4">
        <w:rPr>
          <w:rStyle w:val="FootnoteReference"/>
          <w:rFonts w:ascii="Times New Roman" w:hAnsi="Times New Roman"/>
        </w:rPr>
        <w:footnoteRef/>
      </w:r>
      <w:r w:rsidRPr="002973D4">
        <w:rPr>
          <w:rFonts w:ascii="Times New Roman" w:hAnsi="Times New Roman"/>
        </w:rPr>
        <w:t xml:space="preserve"> This total </w:t>
      </w:r>
      <w:r>
        <w:rPr>
          <w:rFonts w:ascii="Times New Roman" w:hAnsi="Times New Roman"/>
        </w:rPr>
        <w:t>includes</w:t>
      </w:r>
      <w:r w:rsidRPr="002973D4">
        <w:rPr>
          <w:rFonts w:ascii="Times New Roman" w:hAnsi="Times New Roman"/>
        </w:rPr>
        <w:t xml:space="preserve"> all savings adjustments</w:t>
      </w:r>
      <w:r>
        <w:rPr>
          <w:rFonts w:ascii="Times New Roman" w:hAnsi="Times New Roman"/>
        </w:rPr>
        <w:t>, discussed in section C.1</w:t>
      </w:r>
      <w:r w:rsidRPr="002973D4">
        <w:rPr>
          <w:rFonts w:ascii="Times New Roman" w:hAnsi="Times New Roman"/>
        </w:rPr>
        <w:t>.</w:t>
      </w:r>
    </w:p>
  </w:footnote>
  <w:footnote w:id="3">
    <w:p w:rsidR="00782D75" w:rsidRPr="002973D4" w:rsidRDefault="00782D75" w:rsidP="007F2268">
      <w:pPr>
        <w:pStyle w:val="FootnoteText"/>
        <w:spacing w:before="0" w:after="120" w:line="240" w:lineRule="auto"/>
        <w:rPr>
          <w:rFonts w:ascii="Times New Roman" w:hAnsi="Times New Roman"/>
        </w:rPr>
      </w:pPr>
      <w:r w:rsidRPr="002973D4">
        <w:rPr>
          <w:rStyle w:val="FootnoteReference"/>
          <w:rFonts w:ascii="Times New Roman" w:hAnsi="Times New Roman"/>
        </w:rPr>
        <w:footnoteRef/>
      </w:r>
      <w:r w:rsidRPr="002973D4">
        <w:rPr>
          <w:rFonts w:ascii="Times New Roman" w:hAnsi="Times New Roman"/>
        </w:rPr>
        <w:t xml:space="preserve"> As discussed further in Chapter 2, although </w:t>
      </w:r>
      <w:r>
        <w:rPr>
          <w:rFonts w:ascii="Times New Roman" w:hAnsi="Times New Roman"/>
        </w:rPr>
        <w:t xml:space="preserve">they are </w:t>
      </w:r>
      <w:r w:rsidRPr="002973D4">
        <w:rPr>
          <w:rFonts w:ascii="Times New Roman" w:hAnsi="Times New Roman"/>
        </w:rPr>
        <w:t>funded by the Conservation Rider, NEEA and Individual Energy Report Pilot savings are excluded from the EIA Target.</w:t>
      </w:r>
    </w:p>
  </w:footnote>
  <w:footnote w:id="4">
    <w:p w:rsidR="00782D75" w:rsidRDefault="00782D75" w:rsidP="001016C6">
      <w:pPr>
        <w:pStyle w:val="FootnoteText"/>
        <w:spacing w:before="0" w:after="120"/>
      </w:pPr>
      <w:r w:rsidRPr="00FF5EAA">
        <w:rPr>
          <w:rStyle w:val="FootnoteReference"/>
          <w:rFonts w:ascii="Times New Roman" w:hAnsi="Times New Roman"/>
        </w:rPr>
        <w:footnoteRef/>
      </w:r>
      <w:r>
        <w:rPr>
          <w:rFonts w:ascii="Times New Roman" w:hAnsi="Times New Roman"/>
        </w:rPr>
        <w:t xml:space="preserve"> Order 01, Docket No. UE-132043, December 19, 2013</w:t>
      </w:r>
      <w:r w:rsidRPr="00FF5EAA">
        <w:rPr>
          <w:rFonts w:ascii="Times New Roman" w:hAnsi="Times New Roman"/>
        </w:rPr>
        <w:t>.</w:t>
      </w:r>
    </w:p>
  </w:footnote>
  <w:footnote w:id="5">
    <w:p w:rsidR="00782D75" w:rsidRPr="0052117C" w:rsidRDefault="00782D75" w:rsidP="001016C6">
      <w:pPr>
        <w:pStyle w:val="FootnoteText"/>
        <w:spacing w:before="0" w:after="120" w:line="240" w:lineRule="auto"/>
        <w:rPr>
          <w:rFonts w:ascii="Times New Roman" w:hAnsi="Times New Roman"/>
        </w:rPr>
      </w:pPr>
      <w:r w:rsidRPr="0052117C">
        <w:rPr>
          <w:rStyle w:val="FootnoteReference"/>
          <w:rFonts w:ascii="Times New Roman" w:hAnsi="Times New Roman"/>
        </w:rPr>
        <w:footnoteRef/>
      </w:r>
      <w:r w:rsidRPr="0052117C">
        <w:rPr>
          <w:rFonts w:ascii="Times New Roman" w:hAnsi="Times New Roman"/>
        </w:rPr>
        <w:t xml:space="preserve"> Exhibit 1: </w:t>
      </w:r>
      <w:r w:rsidRPr="00D073C7">
        <w:rPr>
          <w:rFonts w:ascii="Times New Roman" w:hAnsi="Times New Roman"/>
          <w:i/>
        </w:rPr>
        <w:t>2014-2015 Electric Savings and Expenses</w:t>
      </w:r>
      <w:r w:rsidRPr="0052117C">
        <w:rPr>
          <w:rFonts w:ascii="Times New Roman" w:hAnsi="Times New Roman"/>
        </w:rPr>
        <w:t xml:space="preserve"> also notes $2.44 million in Other Electric Programs spending</w:t>
      </w:r>
      <w:r>
        <w:rPr>
          <w:rFonts w:ascii="Times New Roman" w:hAnsi="Times New Roman"/>
        </w:rPr>
        <w:t xml:space="preserve"> (lines </w:t>
      </w:r>
      <w:r w:rsidRPr="00217E95">
        <w:rPr>
          <w:rFonts w:ascii="Times New Roman" w:hAnsi="Times New Roman"/>
          <w:b/>
          <w:i/>
        </w:rPr>
        <w:t>bx</w:t>
      </w:r>
      <w:r>
        <w:rPr>
          <w:rFonts w:ascii="Times New Roman" w:hAnsi="Times New Roman"/>
        </w:rPr>
        <w:t xml:space="preserve"> through </w:t>
      </w:r>
      <w:r w:rsidRPr="00217E95">
        <w:rPr>
          <w:rFonts w:ascii="Times New Roman" w:hAnsi="Times New Roman"/>
          <w:b/>
          <w:i/>
        </w:rPr>
        <w:t>cb</w:t>
      </w:r>
      <w:r>
        <w:rPr>
          <w:rFonts w:ascii="Times New Roman" w:hAnsi="Times New Roman"/>
        </w:rPr>
        <w:t>)</w:t>
      </w:r>
      <w:proofErr w:type="gramStart"/>
      <w:r w:rsidRPr="0052117C">
        <w:rPr>
          <w:rFonts w:ascii="Times New Roman" w:hAnsi="Times New Roman"/>
        </w:rPr>
        <w:t xml:space="preserve">. </w:t>
      </w:r>
      <w:proofErr w:type="gramEnd"/>
      <w:r w:rsidRPr="0052117C">
        <w:rPr>
          <w:rFonts w:ascii="Times New Roman" w:hAnsi="Times New Roman"/>
        </w:rPr>
        <w:t>This amount, attributable to Net Metering administrative expenses and Electric Vehicle Incentives, is excluded from cost-effectiveness tests. PSE notes it on Exhibit 1 to indicate that these are Conservation Rider expenses.</w:t>
      </w:r>
    </w:p>
  </w:footnote>
  <w:footnote w:id="6">
    <w:p w:rsidR="00782D75" w:rsidRPr="006B0BA5" w:rsidRDefault="00782D75" w:rsidP="006B0BA5">
      <w:pPr>
        <w:pStyle w:val="FootnoteText"/>
        <w:spacing w:before="0" w:after="120" w:line="240" w:lineRule="auto"/>
        <w:rPr>
          <w:rFonts w:ascii="Times New Roman" w:hAnsi="Times New Roman"/>
        </w:rPr>
      </w:pPr>
      <w:r w:rsidRPr="006B0BA5">
        <w:rPr>
          <w:rStyle w:val="FootnoteReference"/>
          <w:rFonts w:ascii="Times New Roman" w:hAnsi="Times New Roman"/>
        </w:rPr>
        <w:footnoteRef/>
      </w:r>
      <w:r w:rsidRPr="006B0BA5">
        <w:rPr>
          <w:rFonts w:ascii="Times New Roman" w:hAnsi="Times New Roman"/>
        </w:rPr>
        <w:t xml:space="preserve"> Order 01, Docket No. UE-111881.</w:t>
      </w:r>
    </w:p>
  </w:footnote>
  <w:footnote w:id="7">
    <w:p w:rsidR="00782D75" w:rsidRPr="006D24EA" w:rsidRDefault="00782D75" w:rsidP="006B0BA5">
      <w:pPr>
        <w:pStyle w:val="FootnoteText"/>
        <w:spacing w:before="0" w:after="120" w:line="240" w:lineRule="auto"/>
        <w:rPr>
          <w:rFonts w:ascii="Times New Roman" w:hAnsi="Times New Roman"/>
        </w:rPr>
      </w:pPr>
      <w:r w:rsidRPr="006D24EA">
        <w:rPr>
          <w:rStyle w:val="FootnoteReference"/>
          <w:rFonts w:ascii="Times New Roman" w:hAnsi="Times New Roman"/>
        </w:rPr>
        <w:footnoteRef/>
      </w:r>
      <w:r w:rsidRPr="006D24EA">
        <w:rPr>
          <w:rFonts w:ascii="Times New Roman" w:hAnsi="Times New Roman"/>
        </w:rPr>
        <w:t xml:space="preserve"> Only the 2014 Annual Report was filed into Docket No. UE-970686. On July 25, 2014, the Commission terminated the requirement to fi</w:t>
      </w:r>
      <w:r>
        <w:rPr>
          <w:rFonts w:ascii="Times New Roman" w:hAnsi="Times New Roman"/>
        </w:rPr>
        <w:t>le semi-annual reports into that Docket in Order 03 of that Docket</w:t>
      </w:r>
      <w:r w:rsidRPr="006D24EA">
        <w:rPr>
          <w:rFonts w:ascii="Times New Roman" w:hAnsi="Times New Roman"/>
        </w:rPr>
        <w:t>.</w:t>
      </w:r>
    </w:p>
  </w:footnote>
  <w:footnote w:id="8">
    <w:p w:rsidR="00782D75" w:rsidRPr="00C10803" w:rsidRDefault="00782D75" w:rsidP="00C10803">
      <w:pPr>
        <w:pStyle w:val="FootnoteText"/>
        <w:spacing w:before="0" w:after="120" w:line="240" w:lineRule="auto"/>
        <w:rPr>
          <w:rFonts w:ascii="Times New Roman" w:hAnsi="Times New Roman"/>
        </w:rPr>
      </w:pPr>
      <w:r w:rsidRPr="00C10803">
        <w:rPr>
          <w:rStyle w:val="FootnoteReference"/>
          <w:rFonts w:ascii="Times New Roman" w:hAnsi="Times New Roman"/>
        </w:rPr>
        <w:footnoteRef/>
      </w:r>
      <w:r w:rsidRPr="00C10803">
        <w:rPr>
          <w:rFonts w:ascii="Times New Roman" w:hAnsi="Times New Roman"/>
        </w:rPr>
        <w:t xml:space="preserve"> Extracted </w:t>
      </w:r>
      <w:r>
        <w:rPr>
          <w:rFonts w:ascii="Times New Roman" w:hAnsi="Times New Roman"/>
        </w:rPr>
        <w:t xml:space="preserve">and paraphrased </w:t>
      </w:r>
      <w:r w:rsidRPr="00C10803">
        <w:rPr>
          <w:rFonts w:ascii="Times New Roman" w:hAnsi="Times New Roman"/>
        </w:rPr>
        <w:t>from the draft final “</w:t>
      </w:r>
      <w:r w:rsidRPr="00C10803">
        <w:rPr>
          <w:rFonts w:ascii="Times New Roman" w:hAnsi="Times New Roman"/>
          <w:i/>
        </w:rPr>
        <w:t>Puget Sound Energy 2014-15 Biennial Electric Conservation Achievement Review (BECAR) Final Report”</w:t>
      </w:r>
      <w:r w:rsidRPr="00C10803">
        <w:rPr>
          <w:rFonts w:ascii="Times New Roman" w:hAnsi="Times New Roman"/>
        </w:rPr>
        <w:t>, Executive Summary.</w:t>
      </w:r>
    </w:p>
  </w:footnote>
  <w:footnote w:id="9">
    <w:p w:rsidR="00782D75" w:rsidRPr="00C10803" w:rsidRDefault="00782D75" w:rsidP="00C10803">
      <w:pPr>
        <w:pStyle w:val="FootnoteText"/>
        <w:spacing w:before="0" w:after="120" w:line="240" w:lineRule="auto"/>
        <w:rPr>
          <w:rFonts w:ascii="Times New Roman" w:hAnsi="Times New Roman"/>
        </w:rPr>
      </w:pPr>
      <w:r w:rsidRPr="00C10803">
        <w:rPr>
          <w:rStyle w:val="FootnoteReference"/>
          <w:rFonts w:ascii="Times New Roman" w:hAnsi="Times New Roman"/>
        </w:rPr>
        <w:footnoteRef/>
      </w:r>
      <w:r w:rsidRPr="00C10803">
        <w:rPr>
          <w:rFonts w:ascii="Times New Roman" w:hAnsi="Times New Roman"/>
        </w:rPr>
        <w:t xml:space="preserve"> “ACR” is SBW’s acronym for PSE’s Annual Reports of Energy Conservation Accomplishments.</w:t>
      </w:r>
    </w:p>
  </w:footnote>
  <w:footnote w:id="10">
    <w:p w:rsidR="00782D75" w:rsidRPr="004D2F24" w:rsidRDefault="00782D75" w:rsidP="004D2F24">
      <w:pPr>
        <w:pStyle w:val="FootnoteText"/>
        <w:spacing w:before="0" w:after="120"/>
        <w:rPr>
          <w:rFonts w:ascii="Times New Roman" w:hAnsi="Times New Roman"/>
        </w:rPr>
      </w:pPr>
      <w:r w:rsidRPr="004D2F24">
        <w:rPr>
          <w:rStyle w:val="FootnoteReference"/>
          <w:rFonts w:ascii="Times New Roman" w:hAnsi="Times New Roman"/>
        </w:rPr>
        <w:footnoteRef/>
      </w:r>
      <w:r w:rsidRPr="004D2F24">
        <w:rPr>
          <w:rFonts w:ascii="Times New Roman" w:hAnsi="Times New Roman"/>
        </w:rPr>
        <w:t xml:space="preserve"> At the time of the required 2014-2015 BCR filing deadline, the </w:t>
      </w:r>
      <w:r>
        <w:rPr>
          <w:rFonts w:ascii="Times New Roman" w:hAnsi="Times New Roman"/>
        </w:rPr>
        <w:t xml:space="preserve">complete </w:t>
      </w:r>
      <w:r w:rsidRPr="004D2F24">
        <w:rPr>
          <w:rFonts w:ascii="Times New Roman" w:hAnsi="Times New Roman"/>
        </w:rPr>
        <w:t xml:space="preserve">evaluation </w:t>
      </w:r>
      <w:proofErr w:type="gramStart"/>
      <w:r w:rsidRPr="004D2F24">
        <w:rPr>
          <w:rFonts w:ascii="Times New Roman" w:hAnsi="Times New Roman"/>
        </w:rPr>
        <w:t>isn’t</w:t>
      </w:r>
      <w:proofErr w:type="gramEnd"/>
      <w:r w:rsidRPr="004D2F24">
        <w:rPr>
          <w:rFonts w:ascii="Times New Roman" w:hAnsi="Times New Roman"/>
        </w:rPr>
        <w:t xml:space="preserve"> available from DNV-GL.</w:t>
      </w:r>
    </w:p>
  </w:footnote>
  <w:footnote w:id="11">
    <w:p w:rsidR="00782D75" w:rsidRPr="00325156" w:rsidRDefault="00782D75" w:rsidP="00325156">
      <w:pPr>
        <w:pStyle w:val="FootnoteText"/>
        <w:spacing w:before="0" w:after="120" w:line="240" w:lineRule="auto"/>
        <w:rPr>
          <w:rFonts w:ascii="Times New Roman" w:hAnsi="Times New Roman"/>
        </w:rPr>
      </w:pPr>
      <w:r w:rsidRPr="00325156">
        <w:rPr>
          <w:rStyle w:val="FootnoteReference"/>
          <w:rFonts w:ascii="Times New Roman" w:hAnsi="Times New Roman"/>
        </w:rPr>
        <w:footnoteRef/>
      </w:r>
      <w:r w:rsidRPr="00325156">
        <w:rPr>
          <w:rFonts w:ascii="Times New Roman" w:hAnsi="Times New Roman"/>
        </w:rPr>
        <w:t xml:space="preserve"> Readers will recognize </w:t>
      </w:r>
      <w:r>
        <w:rPr>
          <w:rFonts w:ascii="Times New Roman" w:hAnsi="Times New Roman"/>
        </w:rPr>
        <w:t>these</w:t>
      </w:r>
      <w:r w:rsidRPr="00325156">
        <w:rPr>
          <w:rFonts w:ascii="Times New Roman" w:hAnsi="Times New Roman"/>
        </w:rPr>
        <w:t xml:space="preserve"> as standard PSE Exhibits, which are provided as part of its biennial planning and annual reporting documents.</w:t>
      </w:r>
    </w:p>
  </w:footnote>
  <w:footnote w:id="12">
    <w:p w:rsidR="00782D75" w:rsidRPr="00A71139" w:rsidRDefault="00782D75" w:rsidP="00094E5C">
      <w:pPr>
        <w:pStyle w:val="FootnoteText"/>
        <w:spacing w:before="0" w:after="120" w:line="240" w:lineRule="auto"/>
        <w:rPr>
          <w:rFonts w:ascii="Times New Roman" w:hAnsi="Times New Roman"/>
        </w:rPr>
      </w:pPr>
      <w:r w:rsidRPr="00A71139">
        <w:rPr>
          <w:rStyle w:val="FootnoteReference"/>
          <w:rFonts w:ascii="Times New Roman" w:hAnsi="Times New Roman"/>
        </w:rPr>
        <w:footnoteRef/>
      </w:r>
      <w:r w:rsidRPr="00A71139">
        <w:rPr>
          <w:rFonts w:ascii="Times New Roman" w:hAnsi="Times New Roman"/>
        </w:rPr>
        <w:t xml:space="preserve"> A significant portion of the workbook address</w:t>
      </w:r>
      <w:r>
        <w:rPr>
          <w:rFonts w:ascii="Times New Roman" w:hAnsi="Times New Roman"/>
        </w:rPr>
        <w:t>es renewables, which PSE reports</w:t>
      </w:r>
      <w:r w:rsidRPr="00A71139">
        <w:rPr>
          <w:rFonts w:ascii="Times New Roman" w:hAnsi="Times New Roman"/>
        </w:rPr>
        <w:t xml:space="preserve"> to the </w:t>
      </w:r>
      <w:r w:rsidR="00616564">
        <w:rPr>
          <w:rFonts w:ascii="Times New Roman" w:hAnsi="Times New Roman"/>
        </w:rPr>
        <w:t xml:space="preserve">WA </w:t>
      </w:r>
      <w:r w:rsidRPr="00A71139">
        <w:rPr>
          <w:rFonts w:ascii="Times New Roman" w:hAnsi="Times New Roman"/>
        </w:rPr>
        <w:t>Department of Commerce in a separate presentation</w:t>
      </w:r>
      <w:r>
        <w:rPr>
          <w:rFonts w:ascii="Times New Roman" w:hAnsi="Times New Roman"/>
        </w:rPr>
        <w:t xml:space="preserve"> on June 1, 2016</w:t>
      </w:r>
      <w:r w:rsidRPr="00A71139">
        <w:rPr>
          <w:rFonts w:ascii="Times New Roman" w:hAnsi="Times New Roman"/>
        </w:rPr>
        <w:t>.</w:t>
      </w:r>
    </w:p>
  </w:footnote>
  <w:footnote w:id="13">
    <w:p w:rsidR="003B6A39" w:rsidRDefault="003B6A39" w:rsidP="003B6A39">
      <w:pPr>
        <w:pStyle w:val="FootnoteText"/>
        <w:spacing w:before="0" w:after="120" w:line="240" w:lineRule="auto"/>
      </w:pPr>
      <w:r w:rsidRPr="001773C3">
        <w:rPr>
          <w:rStyle w:val="FootnoteReference"/>
          <w:rFonts w:ascii="Times New Roman" w:hAnsi="Times New Roman"/>
        </w:rPr>
        <w:footnoteRef/>
      </w:r>
      <w:r>
        <w:t xml:space="preserve"> </w:t>
      </w:r>
      <w:r w:rsidRPr="0052117C">
        <w:rPr>
          <w:rFonts w:ascii="Times New Roman" w:hAnsi="Times New Roman"/>
        </w:rPr>
        <w:t xml:space="preserve">Exhibit 1: </w:t>
      </w:r>
      <w:r w:rsidRPr="00D073C7">
        <w:rPr>
          <w:rFonts w:ascii="Times New Roman" w:hAnsi="Times New Roman"/>
          <w:i/>
        </w:rPr>
        <w:t>2014-2015 Electric Savings and Expenses</w:t>
      </w:r>
      <w:r w:rsidRPr="0052117C">
        <w:rPr>
          <w:rFonts w:ascii="Times New Roman" w:hAnsi="Times New Roman"/>
        </w:rPr>
        <w:t xml:space="preserve"> also notes $2.44 million in Other Electric Programs spending</w:t>
      </w:r>
      <w:r>
        <w:rPr>
          <w:rFonts w:ascii="Times New Roman" w:hAnsi="Times New Roman"/>
        </w:rPr>
        <w:t xml:space="preserve"> (lines </w:t>
      </w:r>
      <w:proofErr w:type="spellStart"/>
      <w:r w:rsidRPr="00217E95">
        <w:rPr>
          <w:rFonts w:ascii="Times New Roman" w:hAnsi="Times New Roman"/>
          <w:b/>
          <w:i/>
        </w:rPr>
        <w:t>bx</w:t>
      </w:r>
      <w:proofErr w:type="spellEnd"/>
      <w:r>
        <w:rPr>
          <w:rFonts w:ascii="Times New Roman" w:hAnsi="Times New Roman"/>
        </w:rPr>
        <w:t xml:space="preserve"> through </w:t>
      </w:r>
      <w:proofErr w:type="spellStart"/>
      <w:r w:rsidRPr="00217E95">
        <w:rPr>
          <w:rFonts w:ascii="Times New Roman" w:hAnsi="Times New Roman"/>
          <w:b/>
          <w:i/>
        </w:rPr>
        <w:t>cb</w:t>
      </w:r>
      <w:proofErr w:type="spellEnd"/>
      <w:r>
        <w:rPr>
          <w:rFonts w:ascii="Times New Roman" w:hAnsi="Times New Roman"/>
        </w:rPr>
        <w:t>)</w:t>
      </w:r>
      <w:proofErr w:type="gramStart"/>
      <w:r w:rsidRPr="0052117C">
        <w:rPr>
          <w:rFonts w:ascii="Times New Roman" w:hAnsi="Times New Roman"/>
        </w:rPr>
        <w:t xml:space="preserve">. </w:t>
      </w:r>
      <w:proofErr w:type="gramEnd"/>
      <w:r w:rsidRPr="0052117C">
        <w:rPr>
          <w:rFonts w:ascii="Times New Roman" w:hAnsi="Times New Roman"/>
        </w:rPr>
        <w:t>This amount, attributable to Net Metering administrative expenses and Electric Vehicle Incentives, is excluded from cost-effectiveness tests</w:t>
      </w:r>
      <w:proofErr w:type="gramStart"/>
      <w:r w:rsidRPr="0052117C">
        <w:rPr>
          <w:rFonts w:ascii="Times New Roman" w:hAnsi="Times New Roman"/>
        </w:rPr>
        <w:t xml:space="preserve">. </w:t>
      </w:r>
      <w:proofErr w:type="gramEnd"/>
      <w:r w:rsidRPr="0052117C">
        <w:rPr>
          <w:rFonts w:ascii="Times New Roman" w:hAnsi="Times New Roman"/>
        </w:rPr>
        <w:t>PSE notes it on Exhibit 1 to indicate that these are Conservation Rider expenses.</w:t>
      </w:r>
    </w:p>
  </w:footnote>
  <w:footnote w:id="14">
    <w:p w:rsidR="00782D75" w:rsidRPr="00E04383" w:rsidRDefault="00782D75" w:rsidP="00E04383">
      <w:pPr>
        <w:pStyle w:val="FootnoteText"/>
        <w:spacing w:before="0" w:after="120" w:line="240" w:lineRule="auto"/>
        <w:rPr>
          <w:rFonts w:ascii="Times New Roman" w:hAnsi="Times New Roman"/>
        </w:rPr>
      </w:pPr>
      <w:r w:rsidRPr="00E04383">
        <w:rPr>
          <w:rStyle w:val="FootnoteReference"/>
          <w:rFonts w:ascii="Times New Roman" w:hAnsi="Times New Roman"/>
        </w:rPr>
        <w:footnoteRef/>
      </w:r>
      <w:r w:rsidRPr="00E04383">
        <w:rPr>
          <w:rFonts w:ascii="Times New Roman" w:hAnsi="Times New Roman"/>
        </w:rPr>
        <w:t xml:space="preserve"> Although WAC 480-109 had not </w:t>
      </w:r>
      <w:proofErr w:type="gramStart"/>
      <w:r w:rsidRPr="00E04383">
        <w:rPr>
          <w:rFonts w:ascii="Times New Roman" w:hAnsi="Times New Roman"/>
        </w:rPr>
        <w:t>been revised</w:t>
      </w:r>
      <w:proofErr w:type="gramEnd"/>
      <w:r w:rsidRPr="00E04383">
        <w:rPr>
          <w:rFonts w:ascii="Times New Roman" w:hAnsi="Times New Roman"/>
        </w:rPr>
        <w:t xml:space="preserve"> at the time </w:t>
      </w:r>
      <w:r>
        <w:rPr>
          <w:rFonts w:ascii="Times New Roman" w:hAnsi="Times New Roman"/>
        </w:rPr>
        <w:t>the Commission issued</w:t>
      </w:r>
      <w:r w:rsidRPr="00E04383">
        <w:rPr>
          <w:rFonts w:ascii="Times New Roman" w:hAnsi="Times New Roman"/>
        </w:rPr>
        <w:t xml:space="preserve"> Order 01, PSE and its Regulatory Stakeholders </w:t>
      </w:r>
      <w:r>
        <w:rPr>
          <w:rFonts w:ascii="Times New Roman" w:hAnsi="Times New Roman"/>
        </w:rPr>
        <w:t>followed processes and considered program design elements that would eventually make their way into the revised WAC.</w:t>
      </w:r>
    </w:p>
  </w:footnote>
  <w:footnote w:id="15">
    <w:p w:rsidR="00782D75" w:rsidRPr="0049160F" w:rsidRDefault="00782D75" w:rsidP="00CF05ED">
      <w:pPr>
        <w:pStyle w:val="FootnoteText"/>
        <w:spacing w:before="0" w:after="120" w:line="240" w:lineRule="auto"/>
        <w:rPr>
          <w:rFonts w:ascii="Times New Roman" w:hAnsi="Times New Roman"/>
        </w:rPr>
      </w:pPr>
      <w:r w:rsidRPr="0049160F">
        <w:rPr>
          <w:rStyle w:val="FootnoteReference"/>
          <w:rFonts w:ascii="Times New Roman" w:hAnsi="Times New Roman"/>
        </w:rPr>
        <w:footnoteRef/>
      </w:r>
      <w:r w:rsidRPr="0049160F">
        <w:rPr>
          <w:rFonts w:ascii="Times New Roman" w:hAnsi="Times New Roman"/>
        </w:rPr>
        <w:t xml:space="preserve"> Docket No. UE-111881 applied to the development of the 2014-2015 BCP. Docket No. UE-132043 was created when the 2014-2015 BCP was filed.</w:t>
      </w:r>
    </w:p>
  </w:footnote>
  <w:footnote w:id="16">
    <w:p w:rsidR="00782D75" w:rsidRPr="009C79FC" w:rsidRDefault="00782D75" w:rsidP="009C79FC">
      <w:pPr>
        <w:pStyle w:val="FootnoteText"/>
        <w:spacing w:before="0" w:after="120" w:line="240" w:lineRule="auto"/>
        <w:rPr>
          <w:rFonts w:ascii="Times New Roman" w:hAnsi="Times New Roman"/>
        </w:rPr>
      </w:pPr>
      <w:r w:rsidRPr="009C79FC">
        <w:rPr>
          <w:rStyle w:val="FootnoteReference"/>
          <w:rFonts w:ascii="Times New Roman" w:hAnsi="Times New Roman"/>
        </w:rPr>
        <w:footnoteRef/>
      </w:r>
      <w:r w:rsidRPr="009C79FC">
        <w:rPr>
          <w:rFonts w:ascii="Times New Roman" w:hAnsi="Times New Roman"/>
        </w:rPr>
        <w:t xml:space="preserve"> “Top-down” is only used in this </w:t>
      </w:r>
      <w:r>
        <w:rPr>
          <w:rFonts w:ascii="Times New Roman" w:hAnsi="Times New Roman"/>
        </w:rPr>
        <w:t>discussion</w:t>
      </w:r>
      <w:r w:rsidRPr="009C79FC">
        <w:rPr>
          <w:rFonts w:ascii="Times New Roman" w:hAnsi="Times New Roman"/>
        </w:rPr>
        <w:t xml:space="preserve"> to describe the orientation of </w:t>
      </w:r>
      <w:r w:rsidRPr="009C79FC">
        <w:rPr>
          <w:rFonts w:ascii="Times New Roman" w:hAnsi="Times New Roman"/>
        </w:rPr>
        <w:fldChar w:fldCharType="begin"/>
      </w:r>
      <w:r w:rsidRPr="009C79FC">
        <w:rPr>
          <w:rFonts w:ascii="Times New Roman" w:hAnsi="Times New Roman"/>
        </w:rPr>
        <w:instrText xml:space="preserve"> REF _Ref446067247 \h </w:instrText>
      </w:r>
      <w:r>
        <w:rPr>
          <w:rFonts w:ascii="Times New Roman" w:hAnsi="Times New Roman"/>
        </w:rPr>
        <w:instrText xml:space="preserve"> \* MERGEFORMAT </w:instrText>
      </w:r>
      <w:r w:rsidRPr="009C79FC">
        <w:rPr>
          <w:rFonts w:ascii="Times New Roman" w:hAnsi="Times New Roman"/>
        </w:rPr>
      </w:r>
      <w:r w:rsidRPr="009C79FC">
        <w:rPr>
          <w:rFonts w:ascii="Times New Roman" w:hAnsi="Times New Roman"/>
        </w:rPr>
        <w:fldChar w:fldCharType="separate"/>
      </w:r>
      <w:r w:rsidR="001A7098" w:rsidRPr="001A7098">
        <w:rPr>
          <w:rFonts w:ascii="Times New Roman" w:hAnsi="Times New Roman"/>
        </w:rPr>
        <w:t xml:space="preserve">Table </w:t>
      </w:r>
      <w:r w:rsidR="001A7098" w:rsidRPr="001A7098">
        <w:rPr>
          <w:rFonts w:ascii="Times New Roman" w:hAnsi="Times New Roman"/>
          <w:noProof/>
        </w:rPr>
        <w:t>II</w:t>
      </w:r>
      <w:r w:rsidR="001A7098" w:rsidRPr="001A7098">
        <w:rPr>
          <w:rFonts w:ascii="Times New Roman" w:hAnsi="Times New Roman"/>
          <w:noProof/>
        </w:rPr>
        <w:noBreakHyphen/>
        <w:t>1</w:t>
      </w:r>
      <w:r w:rsidRPr="009C79FC">
        <w:rPr>
          <w:rFonts w:ascii="Times New Roman" w:hAnsi="Times New Roman"/>
        </w:rPr>
        <w:fldChar w:fldCharType="end"/>
      </w:r>
      <w:r>
        <w:rPr>
          <w:rFonts w:ascii="Times New Roman" w:hAnsi="Times New Roman"/>
        </w:rPr>
        <w:t>, establishing the premise that PSE started the EIA Target-setting process using its 2013 IRP guidance, and making adjustments from there</w:t>
      </w:r>
      <w:proofErr w:type="gramStart"/>
      <w:r>
        <w:rPr>
          <w:rFonts w:ascii="Times New Roman" w:hAnsi="Times New Roman"/>
        </w:rPr>
        <w:t xml:space="preserve">. </w:t>
      </w:r>
      <w:proofErr w:type="gramEnd"/>
      <w:r>
        <w:rPr>
          <w:rFonts w:ascii="Times New Roman" w:hAnsi="Times New Roman"/>
        </w:rPr>
        <w:t>In development and execution, all Energy Efficiency programs—</w:t>
      </w:r>
      <w:r w:rsidRPr="009C79FC">
        <w:rPr>
          <w:rFonts w:ascii="Times New Roman" w:hAnsi="Times New Roman"/>
        </w:rPr>
        <w:t>consisten</w:t>
      </w:r>
      <w:r>
        <w:rPr>
          <w:rFonts w:ascii="Times New Roman" w:hAnsi="Times New Roman"/>
        </w:rPr>
        <w:t>t with regulatory requirements—</w:t>
      </w:r>
      <w:r w:rsidRPr="009C79FC">
        <w:rPr>
          <w:rFonts w:ascii="Times New Roman" w:hAnsi="Times New Roman"/>
        </w:rPr>
        <w:t>built their 2014-2015 portfolios from the bottom-up.</w:t>
      </w:r>
    </w:p>
  </w:footnote>
  <w:footnote w:id="17">
    <w:p w:rsidR="00782D75" w:rsidRPr="00785D6C" w:rsidRDefault="00782D75" w:rsidP="00785D6C">
      <w:pPr>
        <w:pStyle w:val="FootnoteText"/>
        <w:spacing w:before="0" w:after="120" w:line="240" w:lineRule="auto"/>
        <w:rPr>
          <w:rFonts w:ascii="Times New Roman" w:hAnsi="Times New Roman"/>
        </w:rPr>
      </w:pPr>
      <w:r w:rsidRPr="00785D6C">
        <w:rPr>
          <w:rStyle w:val="FootnoteReference"/>
          <w:rFonts w:ascii="Times New Roman" w:hAnsi="Times New Roman"/>
        </w:rPr>
        <w:footnoteRef/>
      </w:r>
      <w:r w:rsidRPr="00785D6C">
        <w:rPr>
          <w:rFonts w:ascii="Times New Roman" w:hAnsi="Times New Roman"/>
        </w:rPr>
        <w:t xml:space="preserve"> Due to its location within the table, NEEA savings are not sequentially represented in the </w:t>
      </w:r>
      <w:r w:rsidRPr="00785D6C">
        <w:rPr>
          <w:rFonts w:ascii="Times New Roman" w:hAnsi="Times New Roman"/>
          <w:b/>
          <w:u w:val="single"/>
        </w:rPr>
        <w:t>MWh Actual</w:t>
      </w:r>
      <w:r w:rsidRPr="00785D6C">
        <w:rPr>
          <w:rFonts w:ascii="Times New Roman" w:hAnsi="Times New Roman"/>
        </w:rPr>
        <w:t xml:space="preserve"> column.</w:t>
      </w:r>
    </w:p>
  </w:footnote>
  <w:footnote w:id="18">
    <w:p w:rsidR="00782D75" w:rsidRPr="00CF0337" w:rsidRDefault="00782D75" w:rsidP="00BB2939">
      <w:pPr>
        <w:pStyle w:val="FootnoteText"/>
        <w:spacing w:before="0" w:after="120" w:line="240" w:lineRule="auto"/>
        <w:rPr>
          <w:rFonts w:ascii="Times New Roman" w:hAnsi="Times New Roman"/>
        </w:rPr>
      </w:pPr>
      <w:r w:rsidRPr="00CF0337">
        <w:rPr>
          <w:rStyle w:val="FootnoteReference"/>
          <w:rFonts w:ascii="Times New Roman" w:hAnsi="Times New Roman"/>
        </w:rPr>
        <w:footnoteRef/>
      </w:r>
      <w:r w:rsidRPr="00CF0337">
        <w:rPr>
          <w:rFonts w:ascii="Times New Roman" w:hAnsi="Times New Roman"/>
        </w:rPr>
        <w:t xml:space="preserve"> In Docket Nos. UE-121697 and UG-121705, Amended Petition for Decoupling Mechanisms, Section G.31, PSE indicated it would agree to achieve electric conservation 5 percent above the biennial targets set by the Commission.</w:t>
      </w:r>
    </w:p>
  </w:footnote>
  <w:footnote w:id="19">
    <w:p w:rsidR="00782D75" w:rsidRPr="001C3199" w:rsidRDefault="00782D75" w:rsidP="001C3199">
      <w:pPr>
        <w:pStyle w:val="FootnoteText"/>
        <w:spacing w:before="0" w:after="120" w:line="240" w:lineRule="auto"/>
        <w:rPr>
          <w:rFonts w:ascii="Times New Roman" w:hAnsi="Times New Roman"/>
        </w:rPr>
      </w:pPr>
      <w:r w:rsidRPr="001C3199">
        <w:rPr>
          <w:rStyle w:val="FootnoteReference"/>
          <w:rFonts w:ascii="Times New Roman" w:hAnsi="Times New Roman"/>
        </w:rPr>
        <w:footnoteRef/>
      </w:r>
      <w:r w:rsidRPr="001C3199">
        <w:rPr>
          <w:rFonts w:ascii="Times New Roman" w:hAnsi="Times New Roman"/>
        </w:rPr>
        <w:t xml:space="preserve"> Subparts (c)(ii) and (c)(iii) discuss single large facility conservation savings contributions to potential excess, and utilities with an industrial facility located in counties with a specific population for a specific period of time.</w:t>
      </w:r>
    </w:p>
  </w:footnote>
  <w:footnote w:id="20">
    <w:p w:rsidR="00782D75" w:rsidRPr="00EC20B5" w:rsidRDefault="00782D75" w:rsidP="00EC20B5">
      <w:pPr>
        <w:pStyle w:val="FootnoteText"/>
        <w:spacing w:before="0" w:after="120" w:line="240" w:lineRule="auto"/>
        <w:rPr>
          <w:rFonts w:ascii="Times New Roman" w:hAnsi="Times New Roman"/>
        </w:rPr>
      </w:pPr>
      <w:r w:rsidRPr="00EC20B5">
        <w:rPr>
          <w:rStyle w:val="FootnoteReference"/>
          <w:rFonts w:ascii="Times New Roman" w:hAnsi="Times New Roman"/>
        </w:rPr>
        <w:footnoteRef/>
      </w:r>
      <w:r w:rsidRPr="00EC20B5">
        <w:rPr>
          <w:rFonts w:ascii="Times New Roman" w:hAnsi="Times New Roman"/>
        </w:rPr>
        <w:t xml:space="preserve"> Please note that “Regional” savings includes NEEA savings of 91,630 MWh plus Generation, Transmission and Distribution savings of 1,496 MWh.</w:t>
      </w:r>
    </w:p>
  </w:footnote>
  <w:footnote w:id="21">
    <w:p w:rsidR="004F6DDD" w:rsidRPr="002D27BE" w:rsidRDefault="004F6DDD" w:rsidP="004F6DDD">
      <w:pPr>
        <w:pStyle w:val="FootnoteText"/>
        <w:spacing w:before="0" w:after="120"/>
        <w:rPr>
          <w:rFonts w:ascii="Times New Roman" w:hAnsi="Times New Roman"/>
        </w:rPr>
      </w:pPr>
      <w:r w:rsidRPr="002D27BE">
        <w:rPr>
          <w:rStyle w:val="FootnoteReference"/>
          <w:rFonts w:ascii="Times New Roman" w:hAnsi="Times New Roman"/>
        </w:rPr>
        <w:footnoteRef/>
      </w:r>
      <w:r w:rsidRPr="002D27BE">
        <w:rPr>
          <w:rFonts w:ascii="Times New Roman" w:hAnsi="Times New Roman"/>
        </w:rPr>
        <w:t xml:space="preserve"> </w:t>
      </w:r>
      <w:proofErr w:type="spellStart"/>
      <w:proofErr w:type="gramStart"/>
      <w:r w:rsidRPr="002D27BE">
        <w:rPr>
          <w:rFonts w:ascii="Times New Roman" w:hAnsi="Times New Roman"/>
        </w:rPr>
        <w:t>SoX</w:t>
      </w:r>
      <w:proofErr w:type="spellEnd"/>
      <w:r w:rsidRPr="002D27BE">
        <w:rPr>
          <w:rFonts w:ascii="Times New Roman" w:hAnsi="Times New Roman"/>
        </w:rPr>
        <w:t xml:space="preserve"> is</w:t>
      </w:r>
      <w:proofErr w:type="gramEnd"/>
      <w:r w:rsidRPr="002D27BE">
        <w:rPr>
          <w:rFonts w:ascii="Times New Roman" w:hAnsi="Times New Roman"/>
        </w:rPr>
        <w:t xml:space="preserve"> the acronym</w:t>
      </w:r>
      <w:r>
        <w:rPr>
          <w:rFonts w:ascii="Times New Roman" w:hAnsi="Times New Roman"/>
        </w:rPr>
        <w:t xml:space="preserve"> that PSE uses</w:t>
      </w:r>
      <w:r w:rsidRPr="002D27BE">
        <w:rPr>
          <w:rFonts w:ascii="Times New Roman" w:hAnsi="Times New Roman"/>
        </w:rPr>
        <w:t xml:space="preserve"> for the Sarbanes-Oxley Act of 2002. </w:t>
      </w:r>
    </w:p>
  </w:footnote>
  <w:footnote w:id="22">
    <w:p w:rsidR="00782D75" w:rsidRPr="00EA35E0" w:rsidRDefault="00782D75" w:rsidP="00EA35E0">
      <w:pPr>
        <w:pStyle w:val="FootnoteText"/>
        <w:spacing w:before="0" w:after="120"/>
        <w:rPr>
          <w:rFonts w:ascii="Times New Roman" w:hAnsi="Times New Roman"/>
        </w:rPr>
      </w:pPr>
      <w:r w:rsidRPr="00EA35E0">
        <w:rPr>
          <w:rStyle w:val="FootnoteReference"/>
          <w:rFonts w:ascii="Times New Roman" w:hAnsi="Times New Roman"/>
        </w:rPr>
        <w:footnoteRef/>
      </w:r>
      <w:r w:rsidRPr="00EA35E0">
        <w:rPr>
          <w:rFonts w:ascii="Times New Roman" w:hAnsi="Times New Roman"/>
        </w:rPr>
        <w:t xml:space="preserve"> This process </w:t>
      </w:r>
      <w:proofErr w:type="gramStart"/>
      <w:r w:rsidRPr="00EA35E0">
        <w:rPr>
          <w:rFonts w:ascii="Times New Roman" w:hAnsi="Times New Roman"/>
        </w:rPr>
        <w:t>is discussed</w:t>
      </w:r>
      <w:proofErr w:type="gramEnd"/>
      <w:r w:rsidRPr="00EA35E0">
        <w:rPr>
          <w:rFonts w:ascii="Times New Roman" w:hAnsi="Times New Roman"/>
        </w:rPr>
        <w:t xml:space="preserve"> in more detail on page 133 of the 2015 Annual Report.</w:t>
      </w:r>
    </w:p>
  </w:footnote>
  <w:footnote w:id="23">
    <w:p w:rsidR="00782D75" w:rsidRPr="00246AD1" w:rsidRDefault="00782D75" w:rsidP="00E442E8">
      <w:pPr>
        <w:pStyle w:val="FootnoteText"/>
        <w:spacing w:before="0" w:after="120" w:line="240" w:lineRule="auto"/>
        <w:rPr>
          <w:rFonts w:ascii="Times New Roman" w:hAnsi="Times New Roman"/>
        </w:rPr>
      </w:pPr>
      <w:r w:rsidRPr="00246AD1">
        <w:rPr>
          <w:rStyle w:val="FootnoteReference"/>
          <w:rFonts w:ascii="Times New Roman" w:hAnsi="Times New Roman"/>
        </w:rPr>
        <w:footnoteRef/>
      </w:r>
      <w:r w:rsidRPr="00246AD1">
        <w:rPr>
          <w:rFonts w:ascii="Times New Roman" w:hAnsi="Times New Roman"/>
        </w:rPr>
        <w:t xml:space="preserve"> Although this process may seem entirely expenditure-focused, the point is included due to the key savings reporting relationship: savings are not reported until a rebate or grant is paid.</w:t>
      </w:r>
    </w:p>
  </w:footnote>
  <w:footnote w:id="24">
    <w:p w:rsidR="00782D75" w:rsidRPr="005B0099" w:rsidRDefault="00782D75" w:rsidP="005B0099">
      <w:pPr>
        <w:pStyle w:val="FootnoteText"/>
        <w:spacing w:before="0" w:after="120" w:line="240" w:lineRule="auto"/>
        <w:rPr>
          <w:rFonts w:ascii="Times New Roman" w:hAnsi="Times New Roman"/>
        </w:rPr>
      </w:pPr>
      <w:r w:rsidRPr="005B0099">
        <w:rPr>
          <w:rStyle w:val="FootnoteReference"/>
          <w:rFonts w:ascii="Times New Roman" w:hAnsi="Times New Roman"/>
        </w:rPr>
        <w:footnoteRef/>
      </w:r>
      <w:r w:rsidRPr="005B0099">
        <w:rPr>
          <w:rFonts w:ascii="Times New Roman" w:hAnsi="Times New Roman"/>
        </w:rPr>
        <w:t xml:space="preserve"> Some of whom assisted in the development of several measure business cases.</w:t>
      </w:r>
    </w:p>
  </w:footnote>
  <w:footnote w:id="25">
    <w:p w:rsidR="00782D75" w:rsidRPr="00600A58" w:rsidRDefault="00782D75" w:rsidP="00A3598A">
      <w:pPr>
        <w:pStyle w:val="FootnoteText"/>
        <w:spacing w:before="0" w:after="120" w:line="240" w:lineRule="auto"/>
        <w:rPr>
          <w:rFonts w:ascii="Times New Roman" w:hAnsi="Times New Roman"/>
        </w:rPr>
      </w:pPr>
      <w:r w:rsidRPr="00600A58">
        <w:rPr>
          <w:rStyle w:val="FootnoteReference"/>
          <w:rFonts w:ascii="Times New Roman" w:hAnsi="Times New Roman"/>
        </w:rPr>
        <w:footnoteRef/>
      </w:r>
      <w:r w:rsidRPr="00600A58">
        <w:rPr>
          <w:rFonts w:ascii="Times New Roman" w:hAnsi="Times New Roman"/>
        </w:rPr>
        <w:t xml:space="preserve"> </w:t>
      </w:r>
      <w:r>
        <w:rPr>
          <w:rFonts w:ascii="Times New Roman" w:hAnsi="Times New Roman"/>
        </w:rPr>
        <w:t>Invoiced cost only</w:t>
      </w:r>
      <w:r w:rsidRPr="00600A58">
        <w:rPr>
          <w:rFonts w:ascii="Times New Roman" w:hAnsi="Times New Roman"/>
        </w:rPr>
        <w:t>.</w:t>
      </w:r>
      <w:r>
        <w:rPr>
          <w:rFonts w:ascii="Times New Roman" w:hAnsi="Times New Roman"/>
        </w:rPr>
        <w:t xml:space="preserve"> This amount does not include PSE staff labor costs.</w:t>
      </w:r>
    </w:p>
  </w:footnote>
  <w:footnote w:id="26">
    <w:p w:rsidR="00782D75" w:rsidRPr="00271E13" w:rsidRDefault="00782D75" w:rsidP="00A3598A">
      <w:pPr>
        <w:pStyle w:val="FootnoteText"/>
        <w:spacing w:before="0" w:after="120" w:line="240" w:lineRule="auto"/>
        <w:rPr>
          <w:rFonts w:ascii="Times New Roman" w:hAnsi="Times New Roman"/>
        </w:rPr>
      </w:pPr>
      <w:r w:rsidRPr="00271E13">
        <w:rPr>
          <w:rStyle w:val="FootnoteReference"/>
          <w:rFonts w:ascii="Times New Roman" w:hAnsi="Times New Roman"/>
        </w:rPr>
        <w:footnoteRef/>
      </w:r>
      <w:r w:rsidRPr="00271E13">
        <w:rPr>
          <w:rFonts w:ascii="Times New Roman" w:hAnsi="Times New Roman"/>
        </w:rPr>
        <w:t xml:space="preserve"> “ACR” is SBW’s acronym for PSE’s Annual Reports</w:t>
      </w:r>
      <w:r>
        <w:rPr>
          <w:rFonts w:ascii="Times New Roman" w:hAnsi="Times New Roman"/>
        </w:rPr>
        <w:t xml:space="preserve"> of Energy Conservation Accomplishments</w:t>
      </w:r>
      <w:r w:rsidRPr="00271E13">
        <w:rPr>
          <w:rFonts w:ascii="Times New Roman" w:hAnsi="Times New Roman"/>
        </w:rPr>
        <w:t>.</w:t>
      </w:r>
    </w:p>
  </w:footnote>
  <w:footnote w:id="27">
    <w:p w:rsidR="00782D75" w:rsidRPr="00271E13" w:rsidRDefault="00782D75" w:rsidP="00A3598A">
      <w:pPr>
        <w:pStyle w:val="FootnoteText"/>
        <w:spacing w:before="0" w:after="120" w:line="240" w:lineRule="auto"/>
        <w:rPr>
          <w:rFonts w:ascii="Times New Roman" w:hAnsi="Times New Roman"/>
          <w:color w:val="000000" w:themeColor="text1"/>
        </w:rPr>
      </w:pPr>
      <w:r w:rsidRPr="00271E13">
        <w:rPr>
          <w:rStyle w:val="FootnoteReference"/>
          <w:rFonts w:ascii="Times New Roman" w:hAnsi="Times New Roman"/>
          <w:color w:val="000000" w:themeColor="text1"/>
        </w:rPr>
        <w:footnoteRef/>
      </w:r>
      <w:r w:rsidRPr="00271E13">
        <w:rPr>
          <w:rFonts w:ascii="Times New Roman" w:hAnsi="Times New Roman"/>
          <w:color w:val="000000" w:themeColor="text1"/>
        </w:rPr>
        <w:t xml:space="preserve"> Draft of final </w:t>
      </w:r>
      <w:r>
        <w:rPr>
          <w:rFonts w:ascii="Times New Roman" w:hAnsi="Times New Roman"/>
          <w:color w:val="000000" w:themeColor="text1"/>
        </w:rPr>
        <w:t>“</w:t>
      </w:r>
      <w:r w:rsidRPr="00AC2902">
        <w:rPr>
          <w:rFonts w:cs="Arial"/>
          <w:color w:val="000000" w:themeColor="text1"/>
          <w:sz w:val="18"/>
        </w:rPr>
        <w:t>Puget Sound Energy 2014-15 Biennial Electric Conservation Achievement Review (BECAR) Final Report</w:t>
      </w:r>
      <w:r w:rsidRPr="00271E13">
        <w:rPr>
          <w:rFonts w:ascii="Times New Roman" w:hAnsi="Times New Roman"/>
          <w:color w:val="000000" w:themeColor="text1"/>
        </w:rPr>
        <w:t>,</w:t>
      </w:r>
      <w:r>
        <w:rPr>
          <w:rFonts w:ascii="Times New Roman" w:hAnsi="Times New Roman"/>
          <w:color w:val="000000" w:themeColor="text1"/>
        </w:rPr>
        <w:t>”</w:t>
      </w:r>
      <w:r w:rsidRPr="00271E13">
        <w:rPr>
          <w:rFonts w:ascii="Times New Roman" w:hAnsi="Times New Roman"/>
          <w:color w:val="000000" w:themeColor="text1"/>
        </w:rPr>
        <w:t xml:space="preserve"> Section 2.2.3, Recommendations, page 2</w:t>
      </w:r>
      <w:r>
        <w:rPr>
          <w:rFonts w:ascii="Times New Roman" w:hAnsi="Times New Roman"/>
          <w:color w:val="000000" w:themeColor="text1"/>
        </w:rPr>
        <w:t>7</w:t>
      </w:r>
      <w:r w:rsidRPr="00271E13">
        <w:rPr>
          <w:rFonts w:ascii="Times New Roman" w:hAnsi="Times New Roman"/>
          <w:color w:val="000000" w:themeColor="text1"/>
        </w:rPr>
        <w:t xml:space="preserve">. </w:t>
      </w:r>
    </w:p>
  </w:footnote>
  <w:footnote w:id="28">
    <w:p w:rsidR="00782D75" w:rsidRPr="00271E13" w:rsidRDefault="00782D75" w:rsidP="00A3598A">
      <w:pPr>
        <w:pStyle w:val="FootnoteText"/>
        <w:spacing w:before="0" w:after="120" w:line="240" w:lineRule="auto"/>
        <w:rPr>
          <w:rFonts w:ascii="Times New Roman" w:hAnsi="Times New Roman"/>
          <w:color w:val="000000" w:themeColor="text1"/>
        </w:rPr>
      </w:pPr>
      <w:r w:rsidRPr="00271E13">
        <w:rPr>
          <w:rStyle w:val="FootnoteReference"/>
          <w:rFonts w:ascii="Times New Roman" w:hAnsi="Times New Roman"/>
          <w:color w:val="000000" w:themeColor="text1"/>
        </w:rPr>
        <w:footnoteRef/>
      </w:r>
      <w:r w:rsidRPr="00271E13">
        <w:rPr>
          <w:rFonts w:ascii="Times New Roman" w:hAnsi="Times New Roman"/>
          <w:color w:val="000000" w:themeColor="text1"/>
        </w:rPr>
        <w:t xml:space="preserve"> Ibid, Sec</w:t>
      </w:r>
      <w:r>
        <w:rPr>
          <w:rFonts w:ascii="Times New Roman" w:hAnsi="Times New Roman"/>
          <w:color w:val="000000" w:themeColor="text1"/>
        </w:rPr>
        <w:t>tion 2.2.1, Methodology, page 16</w:t>
      </w:r>
      <w:r w:rsidRPr="00271E13">
        <w:rPr>
          <w:rFonts w:ascii="Times New Roman" w:hAnsi="Times New Roman"/>
          <w:color w:val="000000" w:themeColor="text1"/>
        </w:rPr>
        <w:t>.</w:t>
      </w:r>
    </w:p>
  </w:footnote>
  <w:footnote w:id="29">
    <w:p w:rsidR="00782D75" w:rsidRPr="00271E13" w:rsidRDefault="00782D75" w:rsidP="00A3598A">
      <w:pPr>
        <w:pStyle w:val="FootnoteText"/>
        <w:spacing w:before="0" w:after="120" w:line="240" w:lineRule="auto"/>
        <w:rPr>
          <w:rFonts w:ascii="Times New Roman" w:hAnsi="Times New Roman"/>
          <w:color w:val="000000" w:themeColor="text1"/>
        </w:rPr>
      </w:pPr>
      <w:r w:rsidRPr="00271E13">
        <w:rPr>
          <w:rStyle w:val="FootnoteReference"/>
          <w:rFonts w:ascii="Times New Roman" w:hAnsi="Times New Roman"/>
          <w:color w:val="000000" w:themeColor="text1"/>
        </w:rPr>
        <w:footnoteRef/>
      </w:r>
      <w:r w:rsidRPr="00271E13">
        <w:rPr>
          <w:rFonts w:ascii="Times New Roman" w:hAnsi="Times New Roman"/>
          <w:color w:val="000000" w:themeColor="text1"/>
        </w:rPr>
        <w:t xml:space="preserve"> Ibid, </w:t>
      </w:r>
      <w:r>
        <w:rPr>
          <w:rFonts w:ascii="Times New Roman" w:hAnsi="Times New Roman"/>
          <w:color w:val="000000" w:themeColor="text1"/>
        </w:rPr>
        <w:t>Section 2.3.2, Findings, page 31</w:t>
      </w:r>
      <w:r w:rsidRPr="00271E13">
        <w:rPr>
          <w:rFonts w:ascii="Times New Roman" w:hAnsi="Times New Roman"/>
          <w:color w:val="000000" w:themeColor="text1"/>
        </w:rPr>
        <w:t>.</w:t>
      </w:r>
    </w:p>
  </w:footnote>
  <w:footnote w:id="30">
    <w:p w:rsidR="00782D75" w:rsidRPr="00271E13" w:rsidRDefault="00782D75" w:rsidP="00A3598A">
      <w:pPr>
        <w:pStyle w:val="FootnoteText"/>
        <w:spacing w:before="0" w:after="120" w:line="240" w:lineRule="auto"/>
        <w:rPr>
          <w:rFonts w:ascii="Times New Roman" w:hAnsi="Times New Roman"/>
          <w:color w:val="000000" w:themeColor="text1"/>
        </w:rPr>
      </w:pPr>
      <w:r w:rsidRPr="00271E13">
        <w:rPr>
          <w:rStyle w:val="FootnoteReference"/>
          <w:rFonts w:ascii="Times New Roman" w:hAnsi="Times New Roman"/>
          <w:color w:val="000000" w:themeColor="text1"/>
        </w:rPr>
        <w:footnoteRef/>
      </w:r>
      <w:r w:rsidRPr="00271E13">
        <w:rPr>
          <w:rFonts w:ascii="Times New Roman" w:hAnsi="Times New Roman"/>
          <w:color w:val="000000" w:themeColor="text1"/>
        </w:rPr>
        <w:t xml:space="preserve"> </w:t>
      </w:r>
      <w:r>
        <w:rPr>
          <w:rFonts w:ascii="Times New Roman" w:hAnsi="Times New Roman"/>
          <w:color w:val="000000" w:themeColor="text1"/>
        </w:rPr>
        <w:t>Ibid</w:t>
      </w:r>
      <w:r w:rsidRPr="00271E13">
        <w:rPr>
          <w:rFonts w:ascii="Times New Roman" w:hAnsi="Times New Roman"/>
          <w:color w:val="000000" w:themeColor="text1"/>
        </w:rPr>
        <w:t>.</w:t>
      </w:r>
      <w:r>
        <w:rPr>
          <w:rFonts w:ascii="Times New Roman" w:hAnsi="Times New Roman"/>
          <w:color w:val="000000" w:themeColor="text1"/>
        </w:rPr>
        <w:t xml:space="preserve"> </w:t>
      </w:r>
    </w:p>
  </w:footnote>
  <w:footnote w:id="31">
    <w:p w:rsidR="00782D75" w:rsidRPr="00271E13" w:rsidRDefault="00782D75" w:rsidP="00A3598A">
      <w:pPr>
        <w:pStyle w:val="FootnoteText"/>
        <w:spacing w:before="0" w:after="120" w:line="240" w:lineRule="auto"/>
        <w:rPr>
          <w:rFonts w:ascii="Times New Roman" w:hAnsi="Times New Roman"/>
          <w:color w:val="000000" w:themeColor="text1"/>
        </w:rPr>
      </w:pPr>
      <w:r w:rsidRPr="00271E13">
        <w:rPr>
          <w:rStyle w:val="FootnoteReference"/>
          <w:rFonts w:ascii="Times New Roman" w:hAnsi="Times New Roman"/>
          <w:color w:val="000000" w:themeColor="text1"/>
        </w:rPr>
        <w:footnoteRef/>
      </w:r>
      <w:r w:rsidRPr="00271E13">
        <w:rPr>
          <w:rFonts w:ascii="Times New Roman" w:hAnsi="Times New Roman"/>
          <w:color w:val="000000" w:themeColor="text1"/>
        </w:rPr>
        <w:t xml:space="preserve"> Draft of final </w:t>
      </w:r>
      <w:r>
        <w:rPr>
          <w:rFonts w:ascii="Times New Roman" w:hAnsi="Times New Roman"/>
          <w:color w:val="000000" w:themeColor="text1"/>
        </w:rPr>
        <w:t>“</w:t>
      </w:r>
      <w:r w:rsidRPr="00AC2902">
        <w:rPr>
          <w:rFonts w:cs="Arial"/>
          <w:color w:val="000000" w:themeColor="text1"/>
          <w:sz w:val="18"/>
        </w:rPr>
        <w:t>Puget Sound Energy 2014-15 Biennial Electric Conservation Achievement Review (BECAR) Final Report</w:t>
      </w:r>
      <w:r w:rsidRPr="00271E13">
        <w:rPr>
          <w:rFonts w:ascii="Times New Roman" w:hAnsi="Times New Roman"/>
          <w:color w:val="000000" w:themeColor="text1"/>
        </w:rPr>
        <w:t>,</w:t>
      </w:r>
      <w:r>
        <w:rPr>
          <w:rFonts w:ascii="Times New Roman" w:hAnsi="Times New Roman"/>
          <w:color w:val="000000" w:themeColor="text1"/>
        </w:rPr>
        <w:t>”</w:t>
      </w:r>
      <w:r w:rsidRPr="00271E13">
        <w:rPr>
          <w:rFonts w:ascii="Times New Roman" w:hAnsi="Times New Roman"/>
          <w:color w:val="000000" w:themeColor="text1"/>
        </w:rPr>
        <w:t xml:space="preserve"> Section 2.4.2.3, Impact Evaluations, page</w:t>
      </w:r>
      <w:r>
        <w:rPr>
          <w:rFonts w:ascii="Times New Roman" w:hAnsi="Times New Roman"/>
          <w:color w:val="000000" w:themeColor="text1"/>
        </w:rPr>
        <w:t>s 36-37.</w:t>
      </w:r>
    </w:p>
  </w:footnote>
  <w:footnote w:id="32">
    <w:p w:rsidR="00782D75" w:rsidRPr="00271E13" w:rsidRDefault="00782D75" w:rsidP="00847F62">
      <w:pPr>
        <w:pStyle w:val="FootnoteText"/>
        <w:spacing w:before="0" w:after="120" w:line="240" w:lineRule="auto"/>
        <w:rPr>
          <w:rFonts w:ascii="Times New Roman" w:hAnsi="Times New Roman"/>
          <w:color w:val="000000" w:themeColor="text1"/>
        </w:rPr>
      </w:pPr>
      <w:r w:rsidRPr="00271E13">
        <w:rPr>
          <w:rStyle w:val="FootnoteReference"/>
          <w:rFonts w:ascii="Times New Roman" w:hAnsi="Times New Roman"/>
          <w:color w:val="000000" w:themeColor="text1"/>
        </w:rPr>
        <w:footnoteRef/>
      </w:r>
      <w:r w:rsidRPr="00271E13">
        <w:rPr>
          <w:rFonts w:ascii="Times New Roman" w:hAnsi="Times New Roman"/>
          <w:color w:val="000000" w:themeColor="text1"/>
        </w:rPr>
        <w:t xml:space="preserve"> Draft of </w:t>
      </w:r>
      <w:r w:rsidRPr="00BB4419">
        <w:rPr>
          <w:rFonts w:cs="Arial"/>
          <w:sz w:val="18"/>
        </w:rPr>
        <w:t>“Puget Sound Energy 2014-15 Biennial Electric Conservation Achievement Review (BECAR) Final Report</w:t>
      </w:r>
      <w:proofErr w:type="gramStart"/>
      <w:r w:rsidRPr="00BB4419">
        <w:rPr>
          <w:rFonts w:cs="Arial"/>
          <w:sz w:val="18"/>
        </w:rPr>
        <w:t>”</w:t>
      </w:r>
      <w:r w:rsidRPr="00BB4419">
        <w:rPr>
          <w:rFonts w:cs="Arial"/>
          <w:color w:val="000000" w:themeColor="text1"/>
          <w:sz w:val="18"/>
        </w:rPr>
        <w:t>,</w:t>
      </w:r>
      <w:proofErr w:type="gramEnd"/>
      <w:r w:rsidRPr="00E414DD">
        <w:rPr>
          <w:rFonts w:ascii="Times New Roman" w:hAnsi="Times New Roman"/>
          <w:color w:val="000000" w:themeColor="text1"/>
          <w:sz w:val="18"/>
        </w:rPr>
        <w:t xml:space="preserve"> </w:t>
      </w:r>
      <w:r w:rsidRPr="00271E13">
        <w:rPr>
          <w:rFonts w:ascii="Times New Roman" w:hAnsi="Times New Roman"/>
          <w:color w:val="000000" w:themeColor="text1"/>
        </w:rPr>
        <w:t>Section 2.3.3, Recommendations, page 30.</w:t>
      </w:r>
    </w:p>
  </w:footnote>
  <w:footnote w:id="33">
    <w:p w:rsidR="00782D75" w:rsidRPr="006F3F30" w:rsidRDefault="00782D75" w:rsidP="00595AA5">
      <w:pPr>
        <w:pStyle w:val="FootnoteText"/>
        <w:spacing w:before="0" w:after="120" w:line="240" w:lineRule="auto"/>
        <w:rPr>
          <w:rFonts w:ascii="Times New Roman" w:hAnsi="Times New Roman"/>
        </w:rPr>
      </w:pPr>
      <w:r w:rsidRPr="006F3F30">
        <w:rPr>
          <w:rStyle w:val="FootnoteReference"/>
          <w:rFonts w:ascii="Times New Roman" w:hAnsi="Times New Roman"/>
        </w:rPr>
        <w:footnoteRef/>
      </w:r>
      <w:r w:rsidRPr="006F3F30">
        <w:rPr>
          <w:rFonts w:ascii="Times New Roman" w:hAnsi="Times New Roman"/>
        </w:rPr>
        <w:t xml:space="preserve"> Apparent differences between tables in the two-year electric savings totals stems from rounding functions</w:t>
      </w:r>
      <w:r>
        <w:rPr>
          <w:rFonts w:ascii="Times New Roman" w:hAnsi="Times New Roman"/>
        </w:rPr>
        <w:t xml:space="preserve"> applied to earlier summary tables</w:t>
      </w:r>
      <w:r w:rsidRPr="006F3F30">
        <w:rPr>
          <w:rFonts w:ascii="Times New Roman" w:hAnsi="Times New Roman"/>
        </w:rPr>
        <w:t>.</w:t>
      </w:r>
    </w:p>
  </w:footnote>
  <w:footnote w:id="34">
    <w:p w:rsidR="00782D75" w:rsidRDefault="00782D75" w:rsidP="00F51FEF">
      <w:pPr>
        <w:pStyle w:val="FootnoteText"/>
        <w:spacing w:before="0" w:after="120" w:line="240" w:lineRule="auto"/>
      </w:pPr>
      <w:r w:rsidRPr="002202FB">
        <w:rPr>
          <w:rStyle w:val="FootnoteReference"/>
          <w:rFonts w:ascii="Times New Roman" w:hAnsi="Times New Roman"/>
        </w:rPr>
        <w:footnoteRef/>
      </w:r>
      <w:r w:rsidRPr="002202FB">
        <w:rPr>
          <w:rFonts w:ascii="Times New Roman" w:hAnsi="Times New Roman"/>
        </w:rPr>
        <w:t xml:space="preserve"> </w:t>
      </w:r>
      <w:r>
        <w:rPr>
          <w:rFonts w:ascii="Times New Roman" w:hAnsi="Times New Roman"/>
          <w:color w:val="000000"/>
        </w:rPr>
        <w:t>Attachment A in Order 01, Docket No. UE-132043.</w:t>
      </w:r>
    </w:p>
  </w:footnote>
  <w:footnote w:id="35">
    <w:p w:rsidR="00782D75" w:rsidRDefault="00782D75" w:rsidP="00DD2C42">
      <w:pPr>
        <w:pStyle w:val="FootnoteText"/>
        <w:spacing w:before="0" w:after="120"/>
      </w:pPr>
      <w:r w:rsidRPr="00B75A5E">
        <w:rPr>
          <w:rStyle w:val="FootnoteReference"/>
          <w:rFonts w:ascii="Times New Roman" w:hAnsi="Times New Roman"/>
        </w:rPr>
        <w:footnoteRef/>
      </w:r>
      <w:r w:rsidRPr="00B75A5E">
        <w:rPr>
          <w:rFonts w:ascii="Times New Roman" w:hAnsi="Times New Roman"/>
        </w:rPr>
        <w:t xml:space="preserve"> </w:t>
      </w:r>
      <w:r>
        <w:rPr>
          <w:rFonts w:ascii="Times New Roman" w:hAnsi="Times New Roman"/>
        </w:rPr>
        <w:t>Docket No</w:t>
      </w:r>
      <w:proofErr w:type="gramStart"/>
      <w:r w:rsidRPr="00B75A5E">
        <w:rPr>
          <w:rFonts w:ascii="Times New Roman" w:hAnsi="Times New Roman"/>
        </w:rPr>
        <w:t>.</w:t>
      </w:r>
      <w:r>
        <w:rPr>
          <w:rFonts w:ascii="Times New Roman" w:hAnsi="Times New Roman"/>
        </w:rPr>
        <w:t xml:space="preserve"> </w:t>
      </w:r>
      <w:proofErr w:type="gramEnd"/>
      <w:r>
        <w:rPr>
          <w:rFonts w:ascii="Times New Roman" w:hAnsi="Times New Roman"/>
        </w:rPr>
        <w:t>UE-120767.</w:t>
      </w:r>
    </w:p>
  </w:footnote>
  <w:footnote w:id="36">
    <w:p w:rsidR="00FA0976" w:rsidRPr="00277EBB" w:rsidRDefault="00FA0976" w:rsidP="00FA0976">
      <w:pPr>
        <w:pStyle w:val="FootnoteText"/>
        <w:spacing w:before="0" w:after="120" w:line="240" w:lineRule="auto"/>
        <w:rPr>
          <w:rFonts w:ascii="Times New Roman" w:hAnsi="Times New Roman"/>
        </w:rPr>
      </w:pPr>
      <w:r w:rsidRPr="00277EBB">
        <w:rPr>
          <w:rStyle w:val="FootnoteReference"/>
          <w:rFonts w:ascii="Times New Roman" w:hAnsi="Times New Roman"/>
        </w:rPr>
        <w:footnoteRef/>
      </w:r>
      <w:r w:rsidRPr="00277EBB">
        <w:rPr>
          <w:rFonts w:ascii="Times New Roman" w:hAnsi="Times New Roman"/>
        </w:rPr>
        <w:t xml:space="preserve"> The </w:t>
      </w:r>
      <w:r>
        <w:rPr>
          <w:rFonts w:ascii="Times New Roman" w:hAnsi="Times New Roman"/>
        </w:rPr>
        <w:t>two</w:t>
      </w:r>
      <w:r w:rsidRPr="00277EBB">
        <w:rPr>
          <w:rFonts w:ascii="Times New Roman" w:hAnsi="Times New Roman"/>
        </w:rPr>
        <w:t xml:space="preserve"> remaining </w:t>
      </w:r>
      <w:r w:rsidR="00124B7D">
        <w:rPr>
          <w:rFonts w:ascii="Times New Roman" w:hAnsi="Times New Roman"/>
        </w:rPr>
        <w:t>requirements</w:t>
      </w:r>
      <w:r w:rsidRPr="00277EBB">
        <w:rPr>
          <w:rFonts w:ascii="Times New Roman" w:hAnsi="Times New Roman"/>
        </w:rPr>
        <w:t xml:space="preserve"> </w:t>
      </w:r>
      <w:r>
        <w:rPr>
          <w:rFonts w:ascii="Times New Roman" w:hAnsi="Times New Roman"/>
        </w:rPr>
        <w:t>are</w:t>
      </w:r>
      <w:r w:rsidRPr="00277EBB">
        <w:rPr>
          <w:rFonts w:ascii="Times New Roman" w:hAnsi="Times New Roman"/>
        </w:rPr>
        <w:t xml:space="preserve"> pending Commission approval of this 2014-20</w:t>
      </w:r>
      <w:r>
        <w:rPr>
          <w:rFonts w:ascii="Times New Roman" w:hAnsi="Times New Roman"/>
        </w:rPr>
        <w:t>15 Biennial Conservation Report.</w:t>
      </w:r>
    </w:p>
  </w:footnote>
  <w:footnote w:id="37">
    <w:p w:rsidR="00782D75" w:rsidRPr="007545F7" w:rsidRDefault="00782D75" w:rsidP="00BC4729">
      <w:pPr>
        <w:pStyle w:val="FootnoteText"/>
        <w:spacing w:before="0" w:after="120" w:line="240" w:lineRule="auto"/>
        <w:rPr>
          <w:rFonts w:ascii="Times New Roman" w:hAnsi="Times New Roman"/>
        </w:rPr>
      </w:pPr>
      <w:r w:rsidRPr="007545F7">
        <w:rPr>
          <w:rStyle w:val="FootnoteReference"/>
          <w:rFonts w:ascii="Times New Roman" w:hAnsi="Times New Roman"/>
        </w:rPr>
        <w:footnoteRef/>
      </w:r>
      <w:r w:rsidRPr="007545F7">
        <w:rPr>
          <w:rFonts w:ascii="Times New Roman" w:hAnsi="Times New Roman"/>
        </w:rPr>
        <w:t xml:space="preserve"> The </w:t>
      </w:r>
      <w:r>
        <w:rPr>
          <w:rFonts w:ascii="Times New Roman" w:hAnsi="Times New Roman"/>
        </w:rPr>
        <w:t>2014-2015</w:t>
      </w:r>
      <w:r w:rsidRPr="007545F7">
        <w:rPr>
          <w:rFonts w:ascii="Times New Roman" w:hAnsi="Times New Roman"/>
        </w:rPr>
        <w:t xml:space="preserve"> Biennial Conservation Plan and the 201</w:t>
      </w:r>
      <w:r>
        <w:rPr>
          <w:rFonts w:ascii="Times New Roman" w:hAnsi="Times New Roman"/>
        </w:rPr>
        <w:t>5</w:t>
      </w:r>
      <w:r w:rsidRPr="007545F7">
        <w:rPr>
          <w:rFonts w:ascii="Times New Roman" w:hAnsi="Times New Roman"/>
        </w:rPr>
        <w:t xml:space="preserve"> Annual Conservation Plan.</w:t>
      </w:r>
    </w:p>
  </w:footnote>
  <w:footnote w:id="38">
    <w:p w:rsidR="00782D75" w:rsidRPr="004C3F8F" w:rsidRDefault="00782D75" w:rsidP="004C3F8F">
      <w:pPr>
        <w:pStyle w:val="FootnoteText"/>
        <w:spacing w:before="0" w:after="120" w:line="240" w:lineRule="auto"/>
        <w:rPr>
          <w:rFonts w:ascii="Times New Roman" w:hAnsi="Times New Roman"/>
        </w:rPr>
      </w:pPr>
      <w:r w:rsidRPr="004C3F8F">
        <w:rPr>
          <w:rStyle w:val="FootnoteReference"/>
          <w:rFonts w:ascii="Times New Roman" w:hAnsi="Times New Roman"/>
        </w:rPr>
        <w:footnoteRef/>
      </w:r>
      <w:r w:rsidRPr="004C3F8F">
        <w:rPr>
          <w:rFonts w:ascii="Times New Roman" w:hAnsi="Times New Roman"/>
        </w:rPr>
        <w:t xml:space="preserve"> As the biennium progressed, documentation evolved from paper copies to DVDs</w:t>
      </w:r>
      <w:r>
        <w:rPr>
          <w:rFonts w:ascii="Times New Roman" w:hAnsi="Times New Roman"/>
        </w:rPr>
        <w:t xml:space="preserve">, </w:t>
      </w:r>
      <w:r w:rsidRPr="004C3F8F">
        <w:rPr>
          <w:rFonts w:ascii="Times New Roman" w:hAnsi="Times New Roman"/>
        </w:rPr>
        <w:t>USB flash drives</w:t>
      </w:r>
      <w:r>
        <w:rPr>
          <w:rFonts w:ascii="Times New Roman" w:hAnsi="Times New Roman"/>
        </w:rPr>
        <w:t>, and currently, providing conservation documents on PSE’s secure file transfer site</w:t>
      </w:r>
      <w:r w:rsidRPr="004C3F8F">
        <w:rPr>
          <w:rFonts w:ascii="Times New Roman" w:hAnsi="Times New Roman"/>
        </w:rPr>
        <w:t>.</w:t>
      </w:r>
      <w:r>
        <w:rPr>
          <w:rFonts w:ascii="Times New Roman" w:hAnsi="Times New Roman"/>
        </w:rPr>
        <w:t xml:space="preserve"> </w:t>
      </w:r>
      <w:r w:rsidRPr="004C3F8F">
        <w:rPr>
          <w:rFonts w:ascii="Times New Roman" w:hAnsi="Times New Roman"/>
        </w:rPr>
        <w:t xml:space="preserve">These efforts have increased efficiency and reduced costs to </w:t>
      </w:r>
      <w:r>
        <w:rPr>
          <w:rFonts w:ascii="Times New Roman" w:hAnsi="Times New Roman"/>
        </w:rPr>
        <w:t>customers</w:t>
      </w:r>
      <w:r w:rsidRPr="004C3F8F">
        <w:rPr>
          <w:rFonts w:ascii="Times New Roman" w:hAnsi="Times New Roman"/>
        </w:rPr>
        <w:t>.</w:t>
      </w:r>
    </w:p>
  </w:footnote>
  <w:footnote w:id="39">
    <w:p w:rsidR="00782D75" w:rsidRDefault="00782D75" w:rsidP="00756765">
      <w:pPr>
        <w:pStyle w:val="FootnoteText"/>
        <w:spacing w:before="0" w:after="120"/>
      </w:pPr>
      <w:r w:rsidRPr="00013828">
        <w:rPr>
          <w:rStyle w:val="FootnoteReference"/>
          <w:rFonts w:ascii="Times New Roman" w:hAnsi="Times New Roman"/>
        </w:rPr>
        <w:footnoteRef/>
      </w:r>
      <w:r w:rsidRPr="00013828">
        <w:rPr>
          <w:rFonts w:ascii="Times New Roman" w:hAnsi="Times New Roman"/>
        </w:rPr>
        <w:t xml:space="preserve"> Please note that these are the descriptions of the documents, rather than the formal names.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234638" w:rsidRDefault="00782D75" w:rsidP="00234638">
    <w:pPr>
      <w:pStyle w:val="Header"/>
      <w:spacing w:before="0" w:after="0"/>
      <w:rPr>
        <w:color w:val="000000" w:themeColor="text1"/>
        <w:sz w:val="24"/>
        <w:szCs w:val="24"/>
      </w:rPr>
    </w:pPr>
    <w:r>
      <w:rPr>
        <w:noProof/>
        <w:color w:val="000000" w:themeColor="text1"/>
        <w:sz w:val="24"/>
        <w:szCs w:val="24"/>
      </w:rPr>
      <w:drawing>
        <wp:anchor distT="0" distB="0" distL="114300" distR="114300" simplePos="0" relativeHeight="251674624" behindDoc="0" locked="0" layoutInCell="1" allowOverlap="1" wp14:anchorId="587292AD" wp14:editId="3E71D99B">
          <wp:simplePos x="0" y="0"/>
          <wp:positionH relativeFrom="column">
            <wp:posOffset>0</wp:posOffset>
          </wp:positionH>
          <wp:positionV relativeFrom="paragraph">
            <wp:posOffset>-287655</wp:posOffset>
          </wp:positionV>
          <wp:extent cx="2190750" cy="547370"/>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2190750" cy="54737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4"/>
        <w:szCs w:val="24"/>
      </w:rPr>
      <w:tab/>
    </w:r>
    <w:r w:rsidRPr="00234638">
      <w:rPr>
        <w:color w:val="000000" w:themeColor="text1"/>
        <w:sz w:val="24"/>
        <w:szCs w:val="24"/>
      </w:rPr>
      <w:tab/>
    </w:r>
    <w:r w:rsidRPr="00234638">
      <w:rPr>
        <w:color w:val="000000" w:themeColor="text1"/>
        <w:sz w:val="24"/>
        <w:szCs w:val="24"/>
      </w:rPr>
      <w:tab/>
    </w:r>
  </w:p>
  <w:p w:rsidR="00782D75" w:rsidRPr="004A395D" w:rsidRDefault="00782D75" w:rsidP="00234638">
    <w:pPr>
      <w:pStyle w:val="Header"/>
      <w:spacing w:before="0" w:after="0"/>
      <w:rPr>
        <w:color w:val="35ADA2"/>
        <w:u w:val="single" w:color="006A71"/>
      </w:rPr>
    </w:pPr>
    <w:r w:rsidRPr="004A395D">
      <w:rPr>
        <w:color w:val="35ADA2"/>
        <w:u w:val="single" w:color="006A71"/>
      </w:rPr>
      <w:tab/>
    </w:r>
    <w:r w:rsidRPr="004A395D">
      <w:rPr>
        <w:color w:val="35ADA2"/>
        <w:u w:val="single" w:color="006A71"/>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Default="00782D7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234638" w:rsidRDefault="00782D75" w:rsidP="00234638">
    <w:pPr>
      <w:pStyle w:val="Header"/>
      <w:spacing w:before="0" w:after="0"/>
      <w:rPr>
        <w:color w:val="000000" w:themeColor="text1"/>
        <w:sz w:val="24"/>
        <w:szCs w:val="24"/>
      </w:rPr>
    </w:pPr>
    <w:r>
      <w:rPr>
        <w:noProof/>
        <w:color w:val="000000" w:themeColor="text1"/>
        <w:sz w:val="24"/>
        <w:szCs w:val="24"/>
      </w:rPr>
      <w:drawing>
        <wp:anchor distT="0" distB="0" distL="114300" distR="114300" simplePos="0" relativeHeight="251680768" behindDoc="0" locked="0" layoutInCell="1" allowOverlap="1" wp14:anchorId="5699FA3D" wp14:editId="6C21D158">
          <wp:simplePos x="0" y="0"/>
          <wp:positionH relativeFrom="column">
            <wp:posOffset>31750</wp:posOffset>
          </wp:positionH>
          <wp:positionV relativeFrom="paragraph">
            <wp:posOffset>-243205</wp:posOffset>
          </wp:positionV>
          <wp:extent cx="2190750" cy="547370"/>
          <wp:effectExtent l="0" t="0" r="0"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2190750" cy="54737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4"/>
        <w:szCs w:val="24"/>
      </w:rPr>
      <w:tab/>
    </w:r>
    <w:r w:rsidRPr="00234638">
      <w:rPr>
        <w:color w:val="000000" w:themeColor="text1"/>
        <w:sz w:val="24"/>
        <w:szCs w:val="24"/>
      </w:rPr>
      <w:tab/>
    </w:r>
    <w:r w:rsidRPr="00234638">
      <w:rPr>
        <w:color w:val="000000" w:themeColor="text1"/>
        <w:sz w:val="24"/>
        <w:szCs w:val="24"/>
      </w:rPr>
      <w:tab/>
    </w:r>
  </w:p>
  <w:p w:rsidR="00782D75" w:rsidRPr="007A6F51" w:rsidRDefault="00782D75" w:rsidP="00234638">
    <w:pPr>
      <w:pStyle w:val="Header"/>
      <w:spacing w:before="0" w:after="0"/>
    </w:pPr>
    <w:r>
      <w:rPr>
        <w:color w:val="35ADA2"/>
        <w:u w:val="single" w:color="006A71"/>
      </w:rPr>
      <w:tab/>
    </w:r>
    <w:r w:rsidRPr="007A6F51">
      <w:rPr>
        <w:color w:val="35ADA2"/>
        <w:u w:val="single" w:color="006A71"/>
      </w:rPr>
      <w:tab/>
    </w:r>
    <w:r w:rsidRPr="007A6F51">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92157D" w:rsidRDefault="00782D75" w:rsidP="007519F5">
    <w:pPr>
      <w:pStyle w:val="Header"/>
      <w:tabs>
        <w:tab w:val="clear" w:pos="4680"/>
      </w:tabs>
      <w:spacing w:before="0" w:after="0"/>
      <w:rPr>
        <w:sz w:val="28"/>
        <w:szCs w:val="28"/>
      </w:rPr>
    </w:pPr>
    <w:r>
      <w:rPr>
        <w:color w:val="000000"/>
        <w:sz w:val="24"/>
        <w:szCs w:val="24"/>
      </w:rPr>
      <w:tab/>
      <w:t>Chapter 3</w:t>
    </w:r>
    <w:r w:rsidRPr="00234638">
      <w:rPr>
        <w:color w:val="000000"/>
        <w:sz w:val="24"/>
        <w:szCs w:val="24"/>
      </w:rPr>
      <w:t>:</w:t>
    </w:r>
    <w:r>
      <w:rPr>
        <w:color w:val="000000"/>
        <w:sz w:val="24"/>
        <w:szCs w:val="24"/>
      </w:rPr>
      <w:t xml:space="preserve"> Compliance</w:t>
    </w:r>
  </w:p>
  <w:p w:rsidR="00782D75" w:rsidRPr="00020EAB" w:rsidRDefault="00782D75" w:rsidP="00020EAB">
    <w:pPr>
      <w:pStyle w:val="Header"/>
      <w:spacing w:before="0" w:after="0"/>
      <w:rPr>
        <w:color w:val="35ADA2"/>
        <w:u w:val="single"/>
      </w:rPr>
    </w:pPr>
    <w:r>
      <w:rPr>
        <w:color w:val="35ADA2"/>
        <w:u w:val="single"/>
      </w:rPr>
      <w:tab/>
    </w:r>
    <w:r>
      <w:rPr>
        <w:color w:val="35ADA2"/>
        <w:u w:val="single"/>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Default="00782D7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234638" w:rsidRDefault="00782D75" w:rsidP="00234638">
    <w:pPr>
      <w:pStyle w:val="Header"/>
      <w:spacing w:before="0" w:after="0"/>
      <w:rPr>
        <w:color w:val="000000" w:themeColor="text1"/>
        <w:sz w:val="24"/>
        <w:szCs w:val="24"/>
      </w:rPr>
    </w:pPr>
    <w:r>
      <w:rPr>
        <w:noProof/>
        <w:color w:val="000000" w:themeColor="text1"/>
        <w:sz w:val="24"/>
        <w:szCs w:val="24"/>
      </w:rPr>
      <w:drawing>
        <wp:anchor distT="0" distB="0" distL="114300" distR="114300" simplePos="0" relativeHeight="251682816" behindDoc="0" locked="0" layoutInCell="1" allowOverlap="1" wp14:anchorId="68691F58" wp14:editId="23E44EE8">
          <wp:simplePos x="0" y="0"/>
          <wp:positionH relativeFrom="column">
            <wp:posOffset>38100</wp:posOffset>
          </wp:positionH>
          <wp:positionV relativeFrom="paragraph">
            <wp:posOffset>-262255</wp:posOffset>
          </wp:positionV>
          <wp:extent cx="2190750" cy="547370"/>
          <wp:effectExtent l="0" t="0" r="0" b="508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2190750" cy="54737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4"/>
        <w:szCs w:val="24"/>
      </w:rPr>
      <w:tab/>
    </w:r>
    <w:r w:rsidRPr="00234638">
      <w:rPr>
        <w:color w:val="000000" w:themeColor="text1"/>
        <w:sz w:val="24"/>
        <w:szCs w:val="24"/>
      </w:rPr>
      <w:tab/>
    </w:r>
    <w:r w:rsidRPr="00234638">
      <w:rPr>
        <w:color w:val="000000" w:themeColor="text1"/>
        <w:sz w:val="24"/>
        <w:szCs w:val="24"/>
      </w:rPr>
      <w:tab/>
    </w:r>
  </w:p>
  <w:p w:rsidR="00782D75" w:rsidRPr="00234638" w:rsidRDefault="00782D75" w:rsidP="00234638">
    <w:pPr>
      <w:pStyle w:val="Header"/>
      <w:spacing w:before="0" w:after="0"/>
      <w:rPr>
        <w:color w:val="35ADA2"/>
        <w:u w:val="single"/>
      </w:rPr>
    </w:pPr>
    <w:r>
      <w:rPr>
        <w:color w:val="35ADA2"/>
        <w:u w:val="single"/>
      </w:rPr>
      <w:tab/>
    </w:r>
    <w:r>
      <w:rPr>
        <w:color w:val="35ADA2"/>
        <w:u w:val="single"/>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92157D" w:rsidRDefault="00782D75" w:rsidP="007519F5">
    <w:pPr>
      <w:pStyle w:val="Header"/>
      <w:tabs>
        <w:tab w:val="clear" w:pos="4680"/>
      </w:tabs>
      <w:spacing w:before="0" w:after="0"/>
      <w:rPr>
        <w:sz w:val="28"/>
        <w:szCs w:val="28"/>
      </w:rPr>
    </w:pPr>
    <w:r>
      <w:rPr>
        <w:color w:val="000000"/>
        <w:sz w:val="24"/>
        <w:szCs w:val="24"/>
      </w:rPr>
      <w:tab/>
      <w:t>Chapter 4</w:t>
    </w:r>
    <w:r w:rsidRPr="00234638">
      <w:rPr>
        <w:color w:val="000000"/>
        <w:sz w:val="24"/>
        <w:szCs w:val="24"/>
      </w:rPr>
      <w:t>:</w:t>
    </w:r>
    <w:r>
      <w:rPr>
        <w:color w:val="000000"/>
        <w:sz w:val="24"/>
        <w:szCs w:val="24"/>
      </w:rPr>
      <w:t xml:space="preserve"> Stakeholder Engagement</w:t>
    </w:r>
  </w:p>
  <w:p w:rsidR="00782D75" w:rsidRPr="007A6F51" w:rsidRDefault="00782D75" w:rsidP="00020EAB">
    <w:pPr>
      <w:pStyle w:val="Header"/>
      <w:spacing w:before="0" w:after="0"/>
      <w:rPr>
        <w:color w:val="35ADA2"/>
        <w:u w:val="single" w:color="006A71"/>
      </w:rPr>
    </w:pPr>
    <w:r w:rsidRPr="007A6F51">
      <w:rPr>
        <w:color w:val="35ADA2"/>
        <w:u w:val="single" w:color="006A71"/>
      </w:rPr>
      <w:tab/>
    </w:r>
    <w:r w:rsidRPr="007A6F51">
      <w:rPr>
        <w:color w:val="35ADA2"/>
        <w:u w:val="single" w:color="006A71"/>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Default="00782D7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234638" w:rsidRDefault="00782D75" w:rsidP="00234638">
    <w:pPr>
      <w:pStyle w:val="Header"/>
      <w:spacing w:before="0" w:after="0"/>
      <w:rPr>
        <w:color w:val="000000" w:themeColor="text1"/>
        <w:sz w:val="24"/>
        <w:szCs w:val="24"/>
      </w:rPr>
    </w:pPr>
    <w:r>
      <w:rPr>
        <w:noProof/>
        <w:color w:val="000000" w:themeColor="text1"/>
        <w:sz w:val="24"/>
        <w:szCs w:val="24"/>
      </w:rPr>
      <w:drawing>
        <wp:anchor distT="0" distB="0" distL="114300" distR="114300" simplePos="0" relativeHeight="251684864" behindDoc="0" locked="0" layoutInCell="1" allowOverlap="1" wp14:anchorId="08B3EF41" wp14:editId="79EE4356">
          <wp:simplePos x="0" y="0"/>
          <wp:positionH relativeFrom="column">
            <wp:posOffset>12700</wp:posOffset>
          </wp:positionH>
          <wp:positionV relativeFrom="paragraph">
            <wp:posOffset>-236855</wp:posOffset>
          </wp:positionV>
          <wp:extent cx="2190750" cy="547370"/>
          <wp:effectExtent l="0" t="0" r="0" b="508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2190750" cy="54737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4"/>
        <w:szCs w:val="24"/>
      </w:rPr>
      <w:tab/>
    </w:r>
    <w:r w:rsidRPr="00234638">
      <w:rPr>
        <w:color w:val="000000" w:themeColor="text1"/>
        <w:sz w:val="24"/>
        <w:szCs w:val="24"/>
      </w:rPr>
      <w:tab/>
    </w:r>
    <w:r w:rsidRPr="00234638">
      <w:rPr>
        <w:color w:val="000000" w:themeColor="text1"/>
        <w:sz w:val="24"/>
        <w:szCs w:val="24"/>
      </w:rPr>
      <w:tab/>
    </w:r>
  </w:p>
  <w:p w:rsidR="00782D75" w:rsidRPr="007A6F51" w:rsidRDefault="00782D75" w:rsidP="00234638">
    <w:pPr>
      <w:pStyle w:val="Header"/>
      <w:spacing w:before="0" w:after="0"/>
      <w:rPr>
        <w:color w:val="35ADA2"/>
        <w:u w:val="single" w:color="006A71"/>
      </w:rPr>
    </w:pPr>
    <w:r w:rsidRPr="007A6F51">
      <w:rPr>
        <w:color w:val="35ADA2"/>
        <w:u w:val="single" w:color="006A71"/>
      </w:rPr>
      <w:tab/>
    </w:r>
    <w:r w:rsidRPr="007A6F51">
      <w:rPr>
        <w:color w:val="35ADA2"/>
        <w:u w:val="single" w:color="006A71"/>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92157D" w:rsidRDefault="00782D75" w:rsidP="007519F5">
    <w:pPr>
      <w:pStyle w:val="Header"/>
      <w:tabs>
        <w:tab w:val="clear" w:pos="4680"/>
      </w:tabs>
      <w:spacing w:before="0" w:after="0"/>
      <w:rPr>
        <w:sz w:val="28"/>
        <w:szCs w:val="28"/>
      </w:rPr>
    </w:pPr>
    <w:r>
      <w:rPr>
        <w:color w:val="000000"/>
        <w:sz w:val="24"/>
        <w:szCs w:val="24"/>
      </w:rPr>
      <w:tab/>
      <w:t>Chapter 5</w:t>
    </w:r>
    <w:r w:rsidRPr="00234638">
      <w:rPr>
        <w:color w:val="000000"/>
        <w:sz w:val="24"/>
        <w:szCs w:val="24"/>
      </w:rPr>
      <w:t>:</w:t>
    </w:r>
    <w:r>
      <w:rPr>
        <w:color w:val="000000"/>
        <w:sz w:val="24"/>
        <w:szCs w:val="24"/>
      </w:rPr>
      <w:t xml:space="preserve"> References</w:t>
    </w:r>
  </w:p>
  <w:p w:rsidR="00782D75" w:rsidRPr="007A6F51" w:rsidRDefault="00782D75" w:rsidP="00020EAB">
    <w:pPr>
      <w:pStyle w:val="Header"/>
      <w:spacing w:before="0" w:after="0"/>
      <w:rPr>
        <w:color w:val="35ADA2"/>
        <w:u w:val="single" w:color="006A71"/>
      </w:rPr>
    </w:pPr>
    <w:r w:rsidRPr="007A6F51">
      <w:rPr>
        <w:color w:val="35ADA2"/>
        <w:u w:val="single" w:color="006A71"/>
      </w:rPr>
      <w:tab/>
    </w:r>
    <w:r w:rsidRPr="007A6F51">
      <w:rPr>
        <w:color w:val="35ADA2"/>
        <w:u w:val="single" w:color="006A71"/>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Default="00782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234638" w:rsidRDefault="00782D75" w:rsidP="00775628">
    <w:pPr>
      <w:pStyle w:val="Header"/>
      <w:spacing w:before="0" w:after="0"/>
      <w:rPr>
        <w:color w:val="000000" w:themeColor="text1"/>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5346" type="#_x0000_t136" style="position:absolute;left:0;text-align:left;margin-left:0;margin-top:0;width:265.8pt;height:89.4pt;rotation:315;z-index:-251576320;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r>
      <w:rPr>
        <w:noProof/>
        <w:color w:val="000000" w:themeColor="text1"/>
        <w:sz w:val="24"/>
        <w:szCs w:val="24"/>
      </w:rPr>
      <w:drawing>
        <wp:anchor distT="0" distB="0" distL="114300" distR="114300" simplePos="0" relativeHeight="251739136" behindDoc="0" locked="0" layoutInCell="1" allowOverlap="1" wp14:anchorId="05AFC8EC" wp14:editId="43BBA9B3">
          <wp:simplePos x="0" y="0"/>
          <wp:positionH relativeFrom="column">
            <wp:posOffset>-31750</wp:posOffset>
          </wp:positionH>
          <wp:positionV relativeFrom="paragraph">
            <wp:posOffset>-243205</wp:posOffset>
          </wp:positionV>
          <wp:extent cx="2190750" cy="54737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2190750" cy="54737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4"/>
        <w:szCs w:val="24"/>
      </w:rPr>
      <w:tab/>
    </w:r>
    <w:r w:rsidRPr="00234638">
      <w:rPr>
        <w:color w:val="000000" w:themeColor="text1"/>
        <w:sz w:val="24"/>
        <w:szCs w:val="24"/>
      </w:rPr>
      <w:tab/>
    </w:r>
    <w:r w:rsidRPr="00234638">
      <w:rPr>
        <w:color w:val="000000" w:themeColor="text1"/>
        <w:sz w:val="24"/>
        <w:szCs w:val="24"/>
      </w:rPr>
      <w:tab/>
    </w:r>
  </w:p>
  <w:p w:rsidR="00782D75" w:rsidRPr="00775628" w:rsidRDefault="00782D75" w:rsidP="00775628">
    <w:pPr>
      <w:pStyle w:val="Header"/>
      <w:spacing w:before="0" w:after="0"/>
      <w:rPr>
        <w:color w:val="35ADA2"/>
        <w:u w:val="single" w:color="006A71"/>
      </w:rPr>
    </w:pPr>
    <w:r>
      <w:rPr>
        <w:color w:val="35ADA2"/>
        <w:u w:val="single" w:color="006A71"/>
      </w:rPr>
      <w:tab/>
    </w:r>
    <w:r>
      <w:rPr>
        <w:color w:val="35ADA2"/>
        <w:u w:val="single" w:color="006A71"/>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234638" w:rsidRDefault="00782D75" w:rsidP="00C84C68">
    <w:pPr>
      <w:pStyle w:val="Header"/>
      <w:spacing w:before="0" w:after="0"/>
      <w:rPr>
        <w:color w:val="000000" w:themeColor="text1"/>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5345" type="#_x0000_t136" style="position:absolute;left:0;text-align:left;margin-left:0;margin-top:0;width:265.8pt;height:89.4pt;rotation:315;z-index:-251579392;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r>
      <w:rPr>
        <w:noProof/>
        <w:color w:val="000000" w:themeColor="text1"/>
        <w:sz w:val="24"/>
        <w:szCs w:val="24"/>
      </w:rPr>
      <w:drawing>
        <wp:anchor distT="0" distB="0" distL="114300" distR="114300" simplePos="0" relativeHeight="251736064" behindDoc="0" locked="0" layoutInCell="1" allowOverlap="1" wp14:anchorId="73EE4560" wp14:editId="16E876B4">
          <wp:simplePos x="0" y="0"/>
          <wp:positionH relativeFrom="column">
            <wp:posOffset>38100</wp:posOffset>
          </wp:positionH>
          <wp:positionV relativeFrom="paragraph">
            <wp:posOffset>-262255</wp:posOffset>
          </wp:positionV>
          <wp:extent cx="2190750" cy="547370"/>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2190750" cy="54737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4"/>
        <w:szCs w:val="24"/>
      </w:rPr>
      <w:tab/>
    </w:r>
    <w:r w:rsidRPr="00234638">
      <w:rPr>
        <w:color w:val="000000" w:themeColor="text1"/>
        <w:sz w:val="24"/>
        <w:szCs w:val="24"/>
      </w:rPr>
      <w:tab/>
    </w:r>
    <w:r w:rsidRPr="00234638">
      <w:rPr>
        <w:color w:val="000000" w:themeColor="text1"/>
        <w:sz w:val="24"/>
        <w:szCs w:val="24"/>
      </w:rPr>
      <w:tab/>
    </w:r>
  </w:p>
  <w:p w:rsidR="00782D75" w:rsidRPr="00C84C68" w:rsidRDefault="00782D75" w:rsidP="00C84C68">
    <w:pPr>
      <w:pStyle w:val="Header"/>
      <w:spacing w:before="0" w:after="0"/>
      <w:rPr>
        <w:color w:val="35ADA2"/>
        <w:u w:val="single"/>
      </w:rPr>
    </w:pPr>
    <w:r>
      <w:rPr>
        <w:color w:val="35ADA2"/>
        <w:u w:val="single"/>
      </w:rPr>
      <w:tab/>
    </w:r>
    <w:r>
      <w:rPr>
        <w:color w:val="35ADA2"/>
        <w:u w:val="single"/>
      </w:rP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92157D" w:rsidRDefault="00782D75" w:rsidP="007519F5">
    <w:pPr>
      <w:pStyle w:val="Header"/>
      <w:tabs>
        <w:tab w:val="clear" w:pos="4680"/>
      </w:tabs>
      <w:spacing w:before="0" w:after="0"/>
      <w:rPr>
        <w:sz w:val="28"/>
        <w:szCs w:val="28"/>
      </w:rPr>
    </w:pPr>
    <w:r>
      <w:rPr>
        <w:color w:val="000000"/>
        <w:sz w:val="24"/>
        <w:szCs w:val="24"/>
      </w:rPr>
      <w:tab/>
      <w:t>Acknowledgements</w:t>
    </w:r>
  </w:p>
  <w:p w:rsidR="00782D75" w:rsidRPr="00020EAB" w:rsidRDefault="00782D75" w:rsidP="00020EAB">
    <w:pPr>
      <w:pStyle w:val="Header"/>
      <w:spacing w:before="0" w:after="0"/>
      <w:rPr>
        <w:color w:val="35ADA2"/>
        <w:u w:val="single"/>
      </w:rPr>
    </w:pPr>
    <w:r>
      <w:rPr>
        <w:color w:val="35ADA2"/>
        <w:u w:val="single"/>
      </w:rPr>
      <w:tab/>
    </w:r>
    <w:r>
      <w:rPr>
        <w:color w:val="35ADA2"/>
        <w:u w:val="single"/>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Default="00782D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92157D" w:rsidRDefault="00782D75" w:rsidP="007519F5">
    <w:pPr>
      <w:pStyle w:val="Header"/>
      <w:tabs>
        <w:tab w:val="clear" w:pos="4680"/>
      </w:tabs>
      <w:spacing w:before="0" w:after="0"/>
      <w:rPr>
        <w:sz w:val="28"/>
        <w:szCs w:val="28"/>
      </w:rPr>
    </w:pPr>
    <w:r>
      <w:rPr>
        <w:color w:val="000000"/>
        <w:sz w:val="24"/>
        <w:szCs w:val="24"/>
      </w:rPr>
      <w:tab/>
      <w:t>Contents</w:t>
    </w:r>
  </w:p>
  <w:p w:rsidR="00782D75" w:rsidRPr="00020EAB" w:rsidRDefault="00782D75" w:rsidP="00020EAB">
    <w:pPr>
      <w:pStyle w:val="Header"/>
      <w:spacing w:before="0" w:after="0"/>
      <w:rPr>
        <w:color w:val="35ADA2"/>
        <w:u w:val="single"/>
      </w:rPr>
    </w:pPr>
    <w:r>
      <w:rPr>
        <w:color w:val="35ADA2"/>
        <w:u w:val="single"/>
      </w:rPr>
      <w:tab/>
    </w:r>
    <w:r>
      <w:rPr>
        <w:color w:val="35ADA2"/>
        <w:u w:val="single"/>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Default="00782D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234638" w:rsidRDefault="00782D75" w:rsidP="00234638">
    <w:pPr>
      <w:pStyle w:val="Header"/>
      <w:spacing w:before="0" w:after="0"/>
      <w:rPr>
        <w:color w:val="000000" w:themeColor="text1"/>
        <w:sz w:val="24"/>
        <w:szCs w:val="24"/>
      </w:rPr>
    </w:pPr>
    <w:r>
      <w:rPr>
        <w:noProof/>
        <w:color w:val="000000" w:themeColor="text1"/>
        <w:sz w:val="24"/>
        <w:szCs w:val="24"/>
      </w:rPr>
      <w:drawing>
        <wp:anchor distT="0" distB="0" distL="114300" distR="114300" simplePos="0" relativeHeight="251676672" behindDoc="0" locked="0" layoutInCell="1" allowOverlap="1" wp14:anchorId="2C4F6A86" wp14:editId="7DB669C6">
          <wp:simplePos x="0" y="0"/>
          <wp:positionH relativeFrom="column">
            <wp:posOffset>-31750</wp:posOffset>
          </wp:positionH>
          <wp:positionV relativeFrom="paragraph">
            <wp:posOffset>-243205</wp:posOffset>
          </wp:positionV>
          <wp:extent cx="2190750" cy="547370"/>
          <wp:effectExtent l="0" t="0" r="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2190750" cy="54737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4"/>
        <w:szCs w:val="24"/>
      </w:rPr>
      <w:tab/>
    </w:r>
    <w:r w:rsidRPr="00234638">
      <w:rPr>
        <w:color w:val="000000" w:themeColor="text1"/>
        <w:sz w:val="24"/>
        <w:szCs w:val="24"/>
      </w:rPr>
      <w:tab/>
    </w:r>
    <w:r w:rsidRPr="00234638">
      <w:rPr>
        <w:color w:val="000000" w:themeColor="text1"/>
        <w:sz w:val="24"/>
        <w:szCs w:val="24"/>
      </w:rPr>
      <w:tab/>
    </w:r>
  </w:p>
  <w:p w:rsidR="00782D75" w:rsidRPr="0085697C" w:rsidRDefault="00782D75" w:rsidP="00234638">
    <w:pPr>
      <w:pStyle w:val="Header"/>
      <w:spacing w:before="0" w:after="0"/>
      <w:rPr>
        <w:color w:val="35ADA2"/>
        <w:u w:val="single" w:color="006A71"/>
      </w:rPr>
    </w:pPr>
    <w:r w:rsidRPr="0085697C">
      <w:rPr>
        <w:color w:val="35ADA2"/>
        <w:u w:val="single" w:color="006A71"/>
      </w:rPr>
      <w:tab/>
    </w:r>
    <w:r w:rsidRPr="0085697C">
      <w:rPr>
        <w:color w:val="35ADA2"/>
        <w:u w:val="single" w:color="006A71"/>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92157D" w:rsidRDefault="00782D75" w:rsidP="007519F5">
    <w:pPr>
      <w:pStyle w:val="Header"/>
      <w:tabs>
        <w:tab w:val="clear" w:pos="4680"/>
      </w:tabs>
      <w:spacing w:before="0" w:after="0"/>
      <w:rPr>
        <w:sz w:val="28"/>
        <w:szCs w:val="28"/>
      </w:rPr>
    </w:pPr>
    <w:r>
      <w:rPr>
        <w:color w:val="000000"/>
        <w:sz w:val="24"/>
        <w:szCs w:val="24"/>
      </w:rPr>
      <w:tab/>
      <w:t>Chapter 1</w:t>
    </w:r>
    <w:r w:rsidRPr="00234638">
      <w:rPr>
        <w:color w:val="000000"/>
        <w:sz w:val="24"/>
        <w:szCs w:val="24"/>
      </w:rPr>
      <w:t>:</w:t>
    </w:r>
    <w:r>
      <w:rPr>
        <w:color w:val="000000"/>
        <w:sz w:val="24"/>
        <w:szCs w:val="24"/>
      </w:rPr>
      <w:t xml:space="preserve"> Executive Summary</w:t>
    </w:r>
  </w:p>
  <w:p w:rsidR="00782D75" w:rsidRPr="004A395D" w:rsidRDefault="00782D75" w:rsidP="00020EAB">
    <w:pPr>
      <w:pStyle w:val="Header"/>
      <w:spacing w:before="0" w:after="0"/>
      <w:rPr>
        <w:color w:val="35ADA2"/>
        <w:u w:val="single" w:color="006A71"/>
      </w:rPr>
    </w:pPr>
    <w:r w:rsidRPr="004A395D">
      <w:rPr>
        <w:color w:val="35ADA2"/>
        <w:u w:val="single" w:color="006A71"/>
      </w:rPr>
      <w:tab/>
    </w:r>
    <w:r w:rsidRPr="004A395D">
      <w:rPr>
        <w:color w:val="35ADA2"/>
        <w:u w:val="single" w:color="006A71"/>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Default="00782D7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234638" w:rsidRDefault="00782D75" w:rsidP="00234638">
    <w:pPr>
      <w:pStyle w:val="Header"/>
      <w:spacing w:before="0" w:after="0"/>
      <w:rPr>
        <w:color w:val="000000" w:themeColor="text1"/>
        <w:sz w:val="24"/>
        <w:szCs w:val="24"/>
      </w:rPr>
    </w:pPr>
    <w:r>
      <w:rPr>
        <w:noProof/>
        <w:color w:val="000000" w:themeColor="text1"/>
        <w:sz w:val="24"/>
        <w:szCs w:val="24"/>
      </w:rPr>
      <w:drawing>
        <wp:anchor distT="0" distB="0" distL="114300" distR="114300" simplePos="0" relativeHeight="251678720" behindDoc="0" locked="0" layoutInCell="1" allowOverlap="1" wp14:anchorId="3FDB05DC" wp14:editId="507C962C">
          <wp:simplePos x="0" y="0"/>
          <wp:positionH relativeFrom="column">
            <wp:posOffset>0</wp:posOffset>
          </wp:positionH>
          <wp:positionV relativeFrom="paragraph">
            <wp:posOffset>-236855</wp:posOffset>
          </wp:positionV>
          <wp:extent cx="2190750" cy="547370"/>
          <wp:effectExtent l="0" t="0" r="0" b="508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2190750" cy="54737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4"/>
        <w:szCs w:val="24"/>
      </w:rPr>
      <w:tab/>
    </w:r>
    <w:r w:rsidRPr="00234638">
      <w:rPr>
        <w:color w:val="000000" w:themeColor="text1"/>
        <w:sz w:val="24"/>
        <w:szCs w:val="24"/>
      </w:rPr>
      <w:tab/>
    </w:r>
    <w:r w:rsidRPr="00234638">
      <w:rPr>
        <w:color w:val="000000" w:themeColor="text1"/>
        <w:sz w:val="24"/>
        <w:szCs w:val="24"/>
      </w:rPr>
      <w:tab/>
    </w:r>
  </w:p>
  <w:p w:rsidR="00782D75" w:rsidRPr="00234638" w:rsidRDefault="00782D75" w:rsidP="00234638">
    <w:pPr>
      <w:pStyle w:val="Header"/>
      <w:spacing w:before="0" w:after="0"/>
      <w:rPr>
        <w:color w:val="35ADA2"/>
        <w:u w:val="single"/>
      </w:rPr>
    </w:pPr>
    <w:r>
      <w:rPr>
        <w:color w:val="35ADA2"/>
        <w:u w:val="single"/>
      </w:rPr>
      <w:tab/>
    </w:r>
    <w:r>
      <w:rPr>
        <w:color w:val="35ADA2"/>
        <w:u w:val="single"/>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75" w:rsidRPr="0092157D" w:rsidRDefault="00782D75" w:rsidP="007519F5">
    <w:pPr>
      <w:pStyle w:val="Header"/>
      <w:tabs>
        <w:tab w:val="clear" w:pos="4680"/>
      </w:tabs>
      <w:spacing w:before="0" w:after="0"/>
      <w:rPr>
        <w:sz w:val="28"/>
        <w:szCs w:val="28"/>
      </w:rPr>
    </w:pPr>
    <w:r>
      <w:rPr>
        <w:color w:val="000000"/>
        <w:sz w:val="24"/>
        <w:szCs w:val="24"/>
      </w:rPr>
      <w:tab/>
      <w:t>Chapter 2</w:t>
    </w:r>
    <w:r w:rsidRPr="00234638">
      <w:rPr>
        <w:color w:val="000000"/>
        <w:sz w:val="24"/>
        <w:szCs w:val="24"/>
      </w:rPr>
      <w:t>:</w:t>
    </w:r>
    <w:r>
      <w:rPr>
        <w:color w:val="000000"/>
        <w:sz w:val="24"/>
        <w:szCs w:val="24"/>
      </w:rPr>
      <w:t xml:space="preserve"> Electric Conservation Results</w:t>
    </w:r>
  </w:p>
  <w:p w:rsidR="00782D75" w:rsidRPr="00D2090B" w:rsidRDefault="00782D75" w:rsidP="00020EAB">
    <w:pPr>
      <w:pStyle w:val="Header"/>
      <w:spacing w:before="0" w:after="0"/>
      <w:rPr>
        <w:color w:val="35ADA2"/>
        <w:u w:val="single" w:color="006A71"/>
      </w:rPr>
    </w:pPr>
    <w:r w:rsidRPr="00D2090B">
      <w:rPr>
        <w:color w:val="35ADA2"/>
        <w:u w:val="single" w:color="006A71"/>
      </w:rPr>
      <w:tab/>
    </w:r>
    <w:r w:rsidRPr="00D2090B">
      <w:rPr>
        <w:color w:val="35ADA2"/>
        <w:u w:val="single" w:color="006A7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3E7"/>
    <w:multiLevelType w:val="hybridMultilevel"/>
    <w:tmpl w:val="1A64EB60"/>
    <w:lvl w:ilvl="0" w:tplc="259C22B2">
      <w:start w:val="1"/>
      <w:numFmt w:val="bullet"/>
      <w:lvlText w:val=""/>
      <w:lvlJc w:val="left"/>
      <w:pPr>
        <w:ind w:left="720" w:hanging="360"/>
      </w:pPr>
      <w:rPr>
        <w:rFonts w:ascii="Symbol" w:hAnsi="Symbol" w:hint="default"/>
        <w:color w:val="006A7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18E"/>
    <w:multiLevelType w:val="hybridMultilevel"/>
    <w:tmpl w:val="20A6F72A"/>
    <w:lvl w:ilvl="0" w:tplc="258A731E">
      <w:start w:val="1"/>
      <w:numFmt w:val="bullet"/>
      <w:lvlText w:val=""/>
      <w:lvlJc w:val="left"/>
      <w:pPr>
        <w:ind w:left="720" w:hanging="360"/>
      </w:pPr>
      <w:rPr>
        <w:rFonts w:ascii="Wingdings" w:hAnsi="Wingdings" w:hint="default"/>
        <w:color w:val="006A71"/>
      </w:rPr>
    </w:lvl>
    <w:lvl w:ilvl="1" w:tplc="ADE6FC4A">
      <w:start w:val="1"/>
      <w:numFmt w:val="bullet"/>
      <w:lvlText w:val="o"/>
      <w:lvlJc w:val="left"/>
      <w:pPr>
        <w:ind w:left="1440" w:hanging="360"/>
      </w:pPr>
      <w:rPr>
        <w:rFonts w:ascii="Courier New" w:hAnsi="Courier New" w:cs="Courier New" w:hint="default"/>
        <w:color w:val="006A7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42287"/>
    <w:multiLevelType w:val="hybridMultilevel"/>
    <w:tmpl w:val="B52859D6"/>
    <w:lvl w:ilvl="0" w:tplc="B67C2920">
      <w:start w:val="1"/>
      <w:numFmt w:val="bullet"/>
      <w:lvlText w:val=""/>
      <w:lvlJc w:val="left"/>
      <w:pPr>
        <w:ind w:left="720" w:hanging="360"/>
      </w:pPr>
      <w:rPr>
        <w:rFonts w:ascii="Wingdings" w:hAnsi="Wingdings" w:hint="default"/>
        <w:color w:val="006A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3143B"/>
    <w:multiLevelType w:val="hybridMultilevel"/>
    <w:tmpl w:val="1B3C38B8"/>
    <w:lvl w:ilvl="0" w:tplc="5F7A53D8">
      <w:start w:val="1"/>
      <w:numFmt w:val="decimal"/>
      <w:lvlText w:val="%1."/>
      <w:lvlJc w:val="left"/>
      <w:pPr>
        <w:ind w:left="720" w:hanging="360"/>
      </w:pPr>
      <w:rPr>
        <w:rFonts w:ascii="Arial" w:hAnsi="Arial" w:cs="Arial" w:hint="default"/>
        <w:color w:val="006A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17561"/>
    <w:multiLevelType w:val="hybridMultilevel"/>
    <w:tmpl w:val="C05AD4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CA65BA"/>
    <w:multiLevelType w:val="hybridMultilevel"/>
    <w:tmpl w:val="CCB84E42"/>
    <w:lvl w:ilvl="0" w:tplc="00A63636">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42FF5"/>
    <w:multiLevelType w:val="hybridMultilevel"/>
    <w:tmpl w:val="083C3402"/>
    <w:lvl w:ilvl="0" w:tplc="B67C2920">
      <w:start w:val="1"/>
      <w:numFmt w:val="bullet"/>
      <w:lvlText w:val=""/>
      <w:lvlJc w:val="left"/>
      <w:pPr>
        <w:ind w:left="1080" w:hanging="360"/>
      </w:pPr>
      <w:rPr>
        <w:rFonts w:ascii="Wingdings" w:hAnsi="Wingdings" w:hint="default"/>
        <w:color w:val="006A7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326087"/>
    <w:multiLevelType w:val="hybridMultilevel"/>
    <w:tmpl w:val="BCD0EFBA"/>
    <w:lvl w:ilvl="0" w:tplc="21C027C6">
      <w:start w:val="1"/>
      <w:numFmt w:val="lowerLetter"/>
      <w:lvlText w:val="%1."/>
      <w:lvlJc w:val="left"/>
      <w:pPr>
        <w:ind w:left="5220" w:hanging="360"/>
      </w:pPr>
      <w:rPr>
        <w:rFonts w:hint="default"/>
        <w:color w:val="006A7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E60DF9"/>
    <w:multiLevelType w:val="hybridMultilevel"/>
    <w:tmpl w:val="8D36CF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138214D"/>
    <w:multiLevelType w:val="hybridMultilevel"/>
    <w:tmpl w:val="62826FAE"/>
    <w:lvl w:ilvl="0" w:tplc="73588FAC">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C2650"/>
    <w:multiLevelType w:val="hybridMultilevel"/>
    <w:tmpl w:val="05C46BF6"/>
    <w:lvl w:ilvl="0" w:tplc="B67C2920">
      <w:start w:val="1"/>
      <w:numFmt w:val="bullet"/>
      <w:lvlText w:val=""/>
      <w:lvlJc w:val="left"/>
      <w:pPr>
        <w:ind w:left="2160" w:hanging="360"/>
      </w:pPr>
      <w:rPr>
        <w:rFonts w:ascii="Wingdings" w:hAnsi="Wingdings" w:hint="default"/>
        <w:color w:val="006A7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B47010"/>
    <w:multiLevelType w:val="hybridMultilevel"/>
    <w:tmpl w:val="50147A6A"/>
    <w:lvl w:ilvl="0" w:tplc="21C027C6">
      <w:start w:val="1"/>
      <w:numFmt w:val="lowerLetter"/>
      <w:lvlText w:val="%1."/>
      <w:lvlJc w:val="left"/>
      <w:pPr>
        <w:ind w:left="720" w:hanging="360"/>
      </w:pPr>
      <w:rPr>
        <w:rFonts w:hint="default"/>
        <w:color w:val="006A7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B2AA6"/>
    <w:multiLevelType w:val="hybridMultilevel"/>
    <w:tmpl w:val="2A881D9E"/>
    <w:lvl w:ilvl="0" w:tplc="A04282C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16DDC"/>
    <w:multiLevelType w:val="hybridMultilevel"/>
    <w:tmpl w:val="C4489B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576F7F"/>
    <w:multiLevelType w:val="hybridMultilevel"/>
    <w:tmpl w:val="AF0AA15A"/>
    <w:lvl w:ilvl="0" w:tplc="21C027C6">
      <w:start w:val="1"/>
      <w:numFmt w:val="lowerLetter"/>
      <w:lvlText w:val="%1."/>
      <w:lvlJc w:val="left"/>
      <w:pPr>
        <w:ind w:left="1080" w:hanging="360"/>
      </w:pPr>
      <w:rPr>
        <w:rFonts w:hint="default"/>
        <w:color w:val="006A7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220549"/>
    <w:multiLevelType w:val="hybridMultilevel"/>
    <w:tmpl w:val="BF887C7E"/>
    <w:lvl w:ilvl="0" w:tplc="48BCC0BE">
      <w:start w:val="1"/>
      <w:numFmt w:val="decimal"/>
      <w:lvlText w:val="%1)"/>
      <w:lvlJc w:val="left"/>
      <w:pPr>
        <w:ind w:left="1440" w:hanging="360"/>
      </w:pPr>
      <w:rPr>
        <w:rFonts w:hint="default"/>
        <w:color w:val="006A7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27026F"/>
    <w:multiLevelType w:val="hybridMultilevel"/>
    <w:tmpl w:val="F4BEA846"/>
    <w:lvl w:ilvl="0" w:tplc="48BCC0BE">
      <w:start w:val="1"/>
      <w:numFmt w:val="decimal"/>
      <w:lvlText w:val="%1)"/>
      <w:lvlJc w:val="left"/>
      <w:pPr>
        <w:ind w:left="1440" w:hanging="360"/>
      </w:pPr>
      <w:rPr>
        <w:rFonts w:hint="default"/>
        <w:color w:val="006A7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3EA5CF4"/>
    <w:multiLevelType w:val="hybridMultilevel"/>
    <w:tmpl w:val="79F29706"/>
    <w:lvl w:ilvl="0" w:tplc="258A731E">
      <w:start w:val="1"/>
      <w:numFmt w:val="bullet"/>
      <w:lvlText w:val=""/>
      <w:lvlJc w:val="left"/>
      <w:pPr>
        <w:ind w:left="720" w:hanging="360"/>
      </w:pPr>
      <w:rPr>
        <w:rFonts w:ascii="Wingdings" w:hAnsi="Wingdings" w:hint="default"/>
        <w:color w:val="006A7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026F7D"/>
    <w:multiLevelType w:val="hybridMultilevel"/>
    <w:tmpl w:val="763434AC"/>
    <w:lvl w:ilvl="0" w:tplc="25325EDE">
      <w:start w:val="1"/>
      <w:numFmt w:val="upperRoman"/>
      <w:pStyle w:val="Heading1"/>
      <w:lvlText w:val="%1."/>
      <w:lvlJc w:val="right"/>
      <w:pPr>
        <w:ind w:left="720" w:hanging="360"/>
      </w:pPr>
    </w:lvl>
    <w:lvl w:ilvl="1" w:tplc="31AAB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33932"/>
    <w:multiLevelType w:val="hybridMultilevel"/>
    <w:tmpl w:val="DA765A92"/>
    <w:lvl w:ilvl="0" w:tplc="2D2E9654">
      <w:start w:val="1"/>
      <w:numFmt w:val="lowerLetter"/>
      <w:lvlText w:val="%1."/>
      <w:lvlJc w:val="left"/>
      <w:pPr>
        <w:ind w:left="1800" w:hanging="360"/>
      </w:pPr>
      <w:rPr>
        <w:rFonts w:hint="default"/>
        <w:color w:val="006A7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A8A7CC0"/>
    <w:multiLevelType w:val="hybridMultilevel"/>
    <w:tmpl w:val="6D8E5F02"/>
    <w:lvl w:ilvl="0" w:tplc="F6107228">
      <w:start w:val="1"/>
      <w:numFmt w:val="decimal"/>
      <w:lvlText w:val="%1)"/>
      <w:lvlJc w:val="left"/>
      <w:pPr>
        <w:ind w:left="720" w:hanging="360"/>
      </w:pPr>
      <w:rPr>
        <w:color w:val="006A7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2A25FA"/>
    <w:multiLevelType w:val="hybridMultilevel"/>
    <w:tmpl w:val="49A83A96"/>
    <w:lvl w:ilvl="0" w:tplc="258A731E">
      <w:start w:val="1"/>
      <w:numFmt w:val="bullet"/>
      <w:lvlText w:val=""/>
      <w:lvlJc w:val="left"/>
      <w:pPr>
        <w:ind w:left="720" w:hanging="360"/>
      </w:pPr>
      <w:rPr>
        <w:rFonts w:ascii="Wingdings" w:hAnsi="Wingdings" w:hint="default"/>
        <w:color w:val="006A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090B02"/>
    <w:multiLevelType w:val="hybridMultilevel"/>
    <w:tmpl w:val="9A985CEC"/>
    <w:lvl w:ilvl="0" w:tplc="48BCC0BE">
      <w:start w:val="1"/>
      <w:numFmt w:val="decimal"/>
      <w:lvlText w:val="%1)"/>
      <w:lvlJc w:val="left"/>
      <w:pPr>
        <w:ind w:left="1080" w:hanging="360"/>
      </w:pPr>
      <w:rPr>
        <w:rFonts w:hint="default"/>
        <w:color w:val="006A71"/>
      </w:rPr>
    </w:lvl>
    <w:lvl w:ilvl="1" w:tplc="21C027C6">
      <w:start w:val="1"/>
      <w:numFmt w:val="lowerLetter"/>
      <w:lvlText w:val="%2."/>
      <w:lvlJc w:val="left"/>
      <w:pPr>
        <w:ind w:left="1800" w:hanging="360"/>
      </w:pPr>
      <w:rPr>
        <w:color w:val="006A7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7A29C5"/>
    <w:multiLevelType w:val="hybridMultilevel"/>
    <w:tmpl w:val="1DE2BA28"/>
    <w:lvl w:ilvl="0" w:tplc="04090019">
      <w:start w:val="1"/>
      <w:numFmt w:val="lowerLetter"/>
      <w:lvlText w:val="%1."/>
      <w:lvlJc w:val="left"/>
      <w:pPr>
        <w:ind w:left="1080" w:hanging="360"/>
      </w:pPr>
      <w:rPr>
        <w:rFonts w:hint="default"/>
        <w:color w:val="006A7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3365A6"/>
    <w:multiLevelType w:val="hybridMultilevel"/>
    <w:tmpl w:val="A63CBB1A"/>
    <w:lvl w:ilvl="0" w:tplc="6BB6901A">
      <w:start w:val="1"/>
      <w:numFmt w:val="decimal"/>
      <w:lvlText w:val="%1)"/>
      <w:lvlJc w:val="left"/>
      <w:pPr>
        <w:ind w:left="1080" w:hanging="360"/>
      </w:pPr>
      <w:rPr>
        <w:rFonts w:hint="default"/>
        <w:color w:val="006A7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4"/>
  </w:num>
  <w:num w:numId="3">
    <w:abstractNumId w:val="1"/>
  </w:num>
  <w:num w:numId="4">
    <w:abstractNumId w:val="20"/>
  </w:num>
  <w:num w:numId="5">
    <w:abstractNumId w:val="21"/>
  </w:num>
  <w:num w:numId="6">
    <w:abstractNumId w:val="18"/>
  </w:num>
  <w:num w:numId="7">
    <w:abstractNumId w:val="18"/>
    <w:lvlOverride w:ilvl="0">
      <w:startOverride w:val="1"/>
    </w:lvlOverride>
  </w:num>
  <w:num w:numId="8">
    <w:abstractNumId w:val="9"/>
  </w:num>
  <w:num w:numId="9">
    <w:abstractNumId w:val="12"/>
    <w:lvlOverride w:ilvl="0">
      <w:startOverride w:val="1"/>
    </w:lvlOverride>
  </w:num>
  <w:num w:numId="10">
    <w:abstractNumId w:val="5"/>
    <w:lvlOverride w:ilvl="0">
      <w:startOverride w:val="1"/>
    </w:lvlOverride>
  </w:num>
  <w:num w:numId="11">
    <w:abstractNumId w:val="5"/>
  </w:num>
  <w:num w:numId="12">
    <w:abstractNumId w:val="9"/>
    <w:lvlOverride w:ilvl="0">
      <w:startOverride w:val="1"/>
    </w:lvlOverride>
  </w:num>
  <w:num w:numId="13">
    <w:abstractNumId w:val="5"/>
  </w:num>
  <w:num w:numId="14">
    <w:abstractNumId w:val="12"/>
    <w:lvlOverride w:ilvl="0">
      <w:startOverride w:val="2"/>
    </w:lvlOverride>
  </w:num>
  <w:num w:numId="15">
    <w:abstractNumId w:val="12"/>
  </w:num>
  <w:num w:numId="16">
    <w:abstractNumId w:val="5"/>
    <w:lvlOverride w:ilvl="0">
      <w:startOverride w:val="1"/>
    </w:lvlOverride>
  </w:num>
  <w:num w:numId="17">
    <w:abstractNumId w:val="12"/>
    <w:lvlOverride w:ilvl="0">
      <w:startOverride w:val="2"/>
    </w:lvlOverride>
  </w:num>
  <w:num w:numId="18">
    <w:abstractNumId w:val="12"/>
    <w:lvlOverride w:ilvl="0">
      <w:startOverride w:val="1"/>
    </w:lvlOverride>
  </w:num>
  <w:num w:numId="19">
    <w:abstractNumId w:val="17"/>
  </w:num>
  <w:num w:numId="20">
    <w:abstractNumId w:val="11"/>
  </w:num>
  <w:num w:numId="21">
    <w:abstractNumId w:val="2"/>
  </w:num>
  <w:num w:numId="22">
    <w:abstractNumId w:val="6"/>
  </w:num>
  <w:num w:numId="23">
    <w:abstractNumId w:val="15"/>
  </w:num>
  <w:num w:numId="24">
    <w:abstractNumId w:val="16"/>
  </w:num>
  <w:num w:numId="25">
    <w:abstractNumId w:val="10"/>
  </w:num>
  <w:num w:numId="26">
    <w:abstractNumId w:val="22"/>
  </w:num>
  <w:num w:numId="27">
    <w:abstractNumId w:val="23"/>
  </w:num>
  <w:num w:numId="28">
    <w:abstractNumId w:val="13"/>
  </w:num>
  <w:num w:numId="29">
    <w:abstractNumId w:val="14"/>
  </w:num>
  <w:num w:numId="30">
    <w:abstractNumId w:val="7"/>
  </w:num>
  <w:num w:numId="31">
    <w:abstractNumId w:val="5"/>
    <w:lvlOverride w:ilvl="0">
      <w:startOverride w:val="1"/>
    </w:lvlOverride>
  </w:num>
  <w:num w:numId="32">
    <w:abstractNumId w:val="19"/>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9"/>
    <w:lvlOverride w:ilvl="0">
      <w:startOverride w:val="1"/>
    </w:lvlOverride>
  </w:num>
  <w:num w:numId="37">
    <w:abstractNumId w:val="3"/>
  </w:num>
  <w:num w:numId="38">
    <w:abstractNumId w:val="4"/>
    <w:lvlOverride w:ilvl="0"/>
    <w:lvlOverride w:ilvl="1">
      <w:startOverride w:val="1"/>
    </w:lvlOverride>
    <w:lvlOverride w:ilvl="2"/>
    <w:lvlOverride w:ilvl="3"/>
    <w:lvlOverride w:ilvl="4"/>
    <w:lvlOverride w:ilvl="5"/>
    <w:lvlOverride w:ilvl="6"/>
    <w:lvlOverride w:ilvl="7"/>
    <w:lvlOverride w:ilvl="8"/>
  </w:num>
  <w:num w:numId="39">
    <w:abstractNumId w:val="8"/>
    <w:lvlOverride w:ilvl="0"/>
    <w:lvlOverride w:ilvl="1">
      <w:startOverride w:val="1"/>
    </w:lvlOverride>
    <w:lvlOverride w:ilvl="2"/>
    <w:lvlOverride w:ilvl="3"/>
    <w:lvlOverride w:ilvl="4"/>
    <w:lvlOverride w:ilvl="5"/>
    <w:lvlOverride w:ilvl="6"/>
    <w:lvlOverride w:ilvl="7"/>
    <w:lvlOverride w:ilvl="8"/>
  </w:num>
  <w:num w:numId="40">
    <w:abstractNumId w:val="4"/>
  </w:num>
  <w:num w:numId="41">
    <w:abstractNumId w:val="5"/>
    <w:lvlOverride w:ilvl="0">
      <w:startOverride w:val="1"/>
    </w:lvlOverride>
  </w:num>
  <w:num w:numId="42">
    <w:abstractNumId w:val="9"/>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55347"/>
    <o:shapelayout v:ext="edit">
      <o:idmap v:ext="edit" data="5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45"/>
    <w:rsid w:val="0000079B"/>
    <w:rsid w:val="00001F95"/>
    <w:rsid w:val="00002AC3"/>
    <w:rsid w:val="0000649F"/>
    <w:rsid w:val="000071B7"/>
    <w:rsid w:val="00010E51"/>
    <w:rsid w:val="00011F24"/>
    <w:rsid w:val="00011F2D"/>
    <w:rsid w:val="00013828"/>
    <w:rsid w:val="00015A50"/>
    <w:rsid w:val="00017193"/>
    <w:rsid w:val="00017E03"/>
    <w:rsid w:val="0002040C"/>
    <w:rsid w:val="00020EAB"/>
    <w:rsid w:val="00022694"/>
    <w:rsid w:val="00024869"/>
    <w:rsid w:val="00034797"/>
    <w:rsid w:val="00035E0D"/>
    <w:rsid w:val="00036121"/>
    <w:rsid w:val="00036C2E"/>
    <w:rsid w:val="00037097"/>
    <w:rsid w:val="00037651"/>
    <w:rsid w:val="00037B1A"/>
    <w:rsid w:val="0004021E"/>
    <w:rsid w:val="00040565"/>
    <w:rsid w:val="00040BFE"/>
    <w:rsid w:val="0004203B"/>
    <w:rsid w:val="00044ED7"/>
    <w:rsid w:val="0004566C"/>
    <w:rsid w:val="00045A96"/>
    <w:rsid w:val="00045FA7"/>
    <w:rsid w:val="0004649C"/>
    <w:rsid w:val="0004695F"/>
    <w:rsid w:val="0005008F"/>
    <w:rsid w:val="00050BE7"/>
    <w:rsid w:val="0005241C"/>
    <w:rsid w:val="000532FE"/>
    <w:rsid w:val="00054997"/>
    <w:rsid w:val="00054A83"/>
    <w:rsid w:val="00054AA8"/>
    <w:rsid w:val="00055C7D"/>
    <w:rsid w:val="00062E01"/>
    <w:rsid w:val="0006566E"/>
    <w:rsid w:val="000668E4"/>
    <w:rsid w:val="00066CDF"/>
    <w:rsid w:val="00066F5B"/>
    <w:rsid w:val="00067074"/>
    <w:rsid w:val="0007042A"/>
    <w:rsid w:val="00074C11"/>
    <w:rsid w:val="0008195D"/>
    <w:rsid w:val="00082710"/>
    <w:rsid w:val="000827AC"/>
    <w:rsid w:val="00083E7D"/>
    <w:rsid w:val="00085D03"/>
    <w:rsid w:val="00086F36"/>
    <w:rsid w:val="00090E03"/>
    <w:rsid w:val="0009162D"/>
    <w:rsid w:val="00093AA0"/>
    <w:rsid w:val="00094404"/>
    <w:rsid w:val="0009456F"/>
    <w:rsid w:val="00094E5C"/>
    <w:rsid w:val="00097261"/>
    <w:rsid w:val="000A214B"/>
    <w:rsid w:val="000A39A1"/>
    <w:rsid w:val="000A44C2"/>
    <w:rsid w:val="000A7F2F"/>
    <w:rsid w:val="000B0878"/>
    <w:rsid w:val="000B2C6B"/>
    <w:rsid w:val="000B2D19"/>
    <w:rsid w:val="000B3C35"/>
    <w:rsid w:val="000B6AF0"/>
    <w:rsid w:val="000C1961"/>
    <w:rsid w:val="000C1DD6"/>
    <w:rsid w:val="000C38D1"/>
    <w:rsid w:val="000C46EE"/>
    <w:rsid w:val="000C7F8F"/>
    <w:rsid w:val="000D0236"/>
    <w:rsid w:val="000D039C"/>
    <w:rsid w:val="000D446C"/>
    <w:rsid w:val="000D55B4"/>
    <w:rsid w:val="000D6E43"/>
    <w:rsid w:val="000E02ED"/>
    <w:rsid w:val="000E0C01"/>
    <w:rsid w:val="000E24BB"/>
    <w:rsid w:val="000E2D81"/>
    <w:rsid w:val="000E3EA1"/>
    <w:rsid w:val="000E5416"/>
    <w:rsid w:val="000E5B6F"/>
    <w:rsid w:val="000E70F1"/>
    <w:rsid w:val="000F0050"/>
    <w:rsid w:val="000F0F52"/>
    <w:rsid w:val="000F193B"/>
    <w:rsid w:val="000F20FB"/>
    <w:rsid w:val="000F271B"/>
    <w:rsid w:val="000F504A"/>
    <w:rsid w:val="000F56EE"/>
    <w:rsid w:val="000F5911"/>
    <w:rsid w:val="000F59BF"/>
    <w:rsid w:val="000F714D"/>
    <w:rsid w:val="001007D5"/>
    <w:rsid w:val="001016C6"/>
    <w:rsid w:val="001018A1"/>
    <w:rsid w:val="00103990"/>
    <w:rsid w:val="00104097"/>
    <w:rsid w:val="001044B8"/>
    <w:rsid w:val="00104EC3"/>
    <w:rsid w:val="00106DF4"/>
    <w:rsid w:val="00111718"/>
    <w:rsid w:val="00113857"/>
    <w:rsid w:val="00117AD4"/>
    <w:rsid w:val="00117B0C"/>
    <w:rsid w:val="00121BBC"/>
    <w:rsid w:val="00122D99"/>
    <w:rsid w:val="00124B7D"/>
    <w:rsid w:val="00124C8A"/>
    <w:rsid w:val="00125B15"/>
    <w:rsid w:val="00126EF1"/>
    <w:rsid w:val="00127A2F"/>
    <w:rsid w:val="00130FB0"/>
    <w:rsid w:val="001313E9"/>
    <w:rsid w:val="00131B71"/>
    <w:rsid w:val="00132444"/>
    <w:rsid w:val="00132546"/>
    <w:rsid w:val="00132705"/>
    <w:rsid w:val="001330C5"/>
    <w:rsid w:val="00133F27"/>
    <w:rsid w:val="001345F8"/>
    <w:rsid w:val="00141857"/>
    <w:rsid w:val="00141A85"/>
    <w:rsid w:val="001443DA"/>
    <w:rsid w:val="001458AC"/>
    <w:rsid w:val="00147E46"/>
    <w:rsid w:val="00152C17"/>
    <w:rsid w:val="00153D4E"/>
    <w:rsid w:val="001542E3"/>
    <w:rsid w:val="00154A62"/>
    <w:rsid w:val="001568F5"/>
    <w:rsid w:val="00160806"/>
    <w:rsid w:val="001616FD"/>
    <w:rsid w:val="00163AB1"/>
    <w:rsid w:val="001653ED"/>
    <w:rsid w:val="00166A41"/>
    <w:rsid w:val="00170AFE"/>
    <w:rsid w:val="0017100A"/>
    <w:rsid w:val="001720CD"/>
    <w:rsid w:val="00172F69"/>
    <w:rsid w:val="0017446A"/>
    <w:rsid w:val="00174E83"/>
    <w:rsid w:val="00174FB0"/>
    <w:rsid w:val="001773C3"/>
    <w:rsid w:val="0018073B"/>
    <w:rsid w:val="00180EA7"/>
    <w:rsid w:val="00181535"/>
    <w:rsid w:val="001823DB"/>
    <w:rsid w:val="00182CD0"/>
    <w:rsid w:val="00183A52"/>
    <w:rsid w:val="00183F5C"/>
    <w:rsid w:val="00194164"/>
    <w:rsid w:val="00195B44"/>
    <w:rsid w:val="00195F2F"/>
    <w:rsid w:val="00196E05"/>
    <w:rsid w:val="00197A40"/>
    <w:rsid w:val="00197ECF"/>
    <w:rsid w:val="001A07CA"/>
    <w:rsid w:val="001A0CC7"/>
    <w:rsid w:val="001A1B85"/>
    <w:rsid w:val="001A20A1"/>
    <w:rsid w:val="001A2BC5"/>
    <w:rsid w:val="001A3643"/>
    <w:rsid w:val="001A4964"/>
    <w:rsid w:val="001A669D"/>
    <w:rsid w:val="001A6A33"/>
    <w:rsid w:val="001A7098"/>
    <w:rsid w:val="001A7890"/>
    <w:rsid w:val="001B34D5"/>
    <w:rsid w:val="001B6DBE"/>
    <w:rsid w:val="001C020A"/>
    <w:rsid w:val="001C1637"/>
    <w:rsid w:val="001C1FA0"/>
    <w:rsid w:val="001C3199"/>
    <w:rsid w:val="001C5449"/>
    <w:rsid w:val="001C6CC7"/>
    <w:rsid w:val="001C7777"/>
    <w:rsid w:val="001D0136"/>
    <w:rsid w:val="001D0D47"/>
    <w:rsid w:val="001D19C7"/>
    <w:rsid w:val="001D24AA"/>
    <w:rsid w:val="001D3502"/>
    <w:rsid w:val="001D4609"/>
    <w:rsid w:val="001D475D"/>
    <w:rsid w:val="001D55A7"/>
    <w:rsid w:val="001D7E84"/>
    <w:rsid w:val="001E206C"/>
    <w:rsid w:val="001E29B0"/>
    <w:rsid w:val="001E56EF"/>
    <w:rsid w:val="001E644C"/>
    <w:rsid w:val="001E6EED"/>
    <w:rsid w:val="001E735F"/>
    <w:rsid w:val="001E7417"/>
    <w:rsid w:val="001E7916"/>
    <w:rsid w:val="001F3E84"/>
    <w:rsid w:val="001F47C5"/>
    <w:rsid w:val="001F6877"/>
    <w:rsid w:val="002004F2"/>
    <w:rsid w:val="002019CD"/>
    <w:rsid w:val="00204B67"/>
    <w:rsid w:val="00207041"/>
    <w:rsid w:val="0020789A"/>
    <w:rsid w:val="00207E8E"/>
    <w:rsid w:val="002107AD"/>
    <w:rsid w:val="00210D4D"/>
    <w:rsid w:val="00211390"/>
    <w:rsid w:val="00211573"/>
    <w:rsid w:val="002128F7"/>
    <w:rsid w:val="00213440"/>
    <w:rsid w:val="0021494B"/>
    <w:rsid w:val="00214AC6"/>
    <w:rsid w:val="00214E86"/>
    <w:rsid w:val="002151A8"/>
    <w:rsid w:val="00215D47"/>
    <w:rsid w:val="0021667C"/>
    <w:rsid w:val="00217E95"/>
    <w:rsid w:val="002202FB"/>
    <w:rsid w:val="0022050B"/>
    <w:rsid w:val="00220A10"/>
    <w:rsid w:val="00220E19"/>
    <w:rsid w:val="00221DBE"/>
    <w:rsid w:val="002223B1"/>
    <w:rsid w:val="00222E60"/>
    <w:rsid w:val="002234FC"/>
    <w:rsid w:val="002265C0"/>
    <w:rsid w:val="002274FA"/>
    <w:rsid w:val="00230AEC"/>
    <w:rsid w:val="00231080"/>
    <w:rsid w:val="002312AF"/>
    <w:rsid w:val="00231AEB"/>
    <w:rsid w:val="00231DB0"/>
    <w:rsid w:val="0023211A"/>
    <w:rsid w:val="0023311A"/>
    <w:rsid w:val="00234638"/>
    <w:rsid w:val="00236425"/>
    <w:rsid w:val="002364FA"/>
    <w:rsid w:val="00237E5C"/>
    <w:rsid w:val="00240469"/>
    <w:rsid w:val="0024104F"/>
    <w:rsid w:val="00242799"/>
    <w:rsid w:val="00243305"/>
    <w:rsid w:val="00243FEC"/>
    <w:rsid w:val="00244F40"/>
    <w:rsid w:val="00245714"/>
    <w:rsid w:val="002465B6"/>
    <w:rsid w:val="002466AD"/>
    <w:rsid w:val="00246AD1"/>
    <w:rsid w:val="002479A8"/>
    <w:rsid w:val="00247DFD"/>
    <w:rsid w:val="002514D0"/>
    <w:rsid w:val="002519AE"/>
    <w:rsid w:val="002520B0"/>
    <w:rsid w:val="0025232E"/>
    <w:rsid w:val="00253749"/>
    <w:rsid w:val="00254A99"/>
    <w:rsid w:val="002564BE"/>
    <w:rsid w:val="00256586"/>
    <w:rsid w:val="0025778D"/>
    <w:rsid w:val="00260CA5"/>
    <w:rsid w:val="00263AC6"/>
    <w:rsid w:val="002646F9"/>
    <w:rsid w:val="0026763A"/>
    <w:rsid w:val="00271E13"/>
    <w:rsid w:val="00273EA9"/>
    <w:rsid w:val="00274DC6"/>
    <w:rsid w:val="002758C9"/>
    <w:rsid w:val="002758CD"/>
    <w:rsid w:val="002759E0"/>
    <w:rsid w:val="00277545"/>
    <w:rsid w:val="00277EBB"/>
    <w:rsid w:val="00280652"/>
    <w:rsid w:val="00281A7C"/>
    <w:rsid w:val="0028240A"/>
    <w:rsid w:val="00284B4D"/>
    <w:rsid w:val="002851D0"/>
    <w:rsid w:val="00285437"/>
    <w:rsid w:val="00286061"/>
    <w:rsid w:val="00287085"/>
    <w:rsid w:val="00291037"/>
    <w:rsid w:val="0029116D"/>
    <w:rsid w:val="00292BAB"/>
    <w:rsid w:val="002936CF"/>
    <w:rsid w:val="0029429B"/>
    <w:rsid w:val="00294D74"/>
    <w:rsid w:val="002973D4"/>
    <w:rsid w:val="0029762D"/>
    <w:rsid w:val="002A0BA0"/>
    <w:rsid w:val="002A14EF"/>
    <w:rsid w:val="002A2EFD"/>
    <w:rsid w:val="002A49E7"/>
    <w:rsid w:val="002A6427"/>
    <w:rsid w:val="002A6BDC"/>
    <w:rsid w:val="002A7606"/>
    <w:rsid w:val="002B0B64"/>
    <w:rsid w:val="002B1849"/>
    <w:rsid w:val="002B2D67"/>
    <w:rsid w:val="002B3121"/>
    <w:rsid w:val="002B50C4"/>
    <w:rsid w:val="002B6359"/>
    <w:rsid w:val="002B7028"/>
    <w:rsid w:val="002C0D3F"/>
    <w:rsid w:val="002C120E"/>
    <w:rsid w:val="002C28CC"/>
    <w:rsid w:val="002C2DAD"/>
    <w:rsid w:val="002C30B6"/>
    <w:rsid w:val="002C3408"/>
    <w:rsid w:val="002C38CE"/>
    <w:rsid w:val="002C53D2"/>
    <w:rsid w:val="002D04DF"/>
    <w:rsid w:val="002D1382"/>
    <w:rsid w:val="002D27BE"/>
    <w:rsid w:val="002D4A33"/>
    <w:rsid w:val="002D50EA"/>
    <w:rsid w:val="002D56FF"/>
    <w:rsid w:val="002D66F9"/>
    <w:rsid w:val="002D6970"/>
    <w:rsid w:val="002D6C22"/>
    <w:rsid w:val="002D6F92"/>
    <w:rsid w:val="002D78AD"/>
    <w:rsid w:val="002E0545"/>
    <w:rsid w:val="002E125C"/>
    <w:rsid w:val="002E49CC"/>
    <w:rsid w:val="002E51B2"/>
    <w:rsid w:val="002E6DF5"/>
    <w:rsid w:val="002F2C66"/>
    <w:rsid w:val="002F3476"/>
    <w:rsid w:val="002F390B"/>
    <w:rsid w:val="002F3BC3"/>
    <w:rsid w:val="002F3C9B"/>
    <w:rsid w:val="002F5FBD"/>
    <w:rsid w:val="002F60C6"/>
    <w:rsid w:val="003004EB"/>
    <w:rsid w:val="0030193A"/>
    <w:rsid w:val="003019BB"/>
    <w:rsid w:val="00303053"/>
    <w:rsid w:val="0030474A"/>
    <w:rsid w:val="00304E50"/>
    <w:rsid w:val="003065D8"/>
    <w:rsid w:val="003075C2"/>
    <w:rsid w:val="0031184A"/>
    <w:rsid w:val="00311B56"/>
    <w:rsid w:val="00312684"/>
    <w:rsid w:val="00312BDA"/>
    <w:rsid w:val="00313311"/>
    <w:rsid w:val="003155CC"/>
    <w:rsid w:val="00316F94"/>
    <w:rsid w:val="00317246"/>
    <w:rsid w:val="00322FBC"/>
    <w:rsid w:val="00323078"/>
    <w:rsid w:val="00324D2E"/>
    <w:rsid w:val="00324E14"/>
    <w:rsid w:val="00325156"/>
    <w:rsid w:val="0032735D"/>
    <w:rsid w:val="003300A2"/>
    <w:rsid w:val="00330780"/>
    <w:rsid w:val="00331BEF"/>
    <w:rsid w:val="00331DB4"/>
    <w:rsid w:val="00332439"/>
    <w:rsid w:val="0033275B"/>
    <w:rsid w:val="00332B97"/>
    <w:rsid w:val="00334E32"/>
    <w:rsid w:val="003354F0"/>
    <w:rsid w:val="00335B6A"/>
    <w:rsid w:val="00335FEC"/>
    <w:rsid w:val="00336BFF"/>
    <w:rsid w:val="003373B6"/>
    <w:rsid w:val="00340719"/>
    <w:rsid w:val="00341941"/>
    <w:rsid w:val="00342BC5"/>
    <w:rsid w:val="00342BD0"/>
    <w:rsid w:val="00343771"/>
    <w:rsid w:val="00347497"/>
    <w:rsid w:val="00347920"/>
    <w:rsid w:val="00351E77"/>
    <w:rsid w:val="0035216D"/>
    <w:rsid w:val="00353A6B"/>
    <w:rsid w:val="0035697C"/>
    <w:rsid w:val="0035704F"/>
    <w:rsid w:val="00357D57"/>
    <w:rsid w:val="00360801"/>
    <w:rsid w:val="00360F82"/>
    <w:rsid w:val="00362E65"/>
    <w:rsid w:val="00362EF5"/>
    <w:rsid w:val="00363BE5"/>
    <w:rsid w:val="00367117"/>
    <w:rsid w:val="00370096"/>
    <w:rsid w:val="00370F69"/>
    <w:rsid w:val="00372BC2"/>
    <w:rsid w:val="00374865"/>
    <w:rsid w:val="00375FB5"/>
    <w:rsid w:val="00376273"/>
    <w:rsid w:val="003771BB"/>
    <w:rsid w:val="00377910"/>
    <w:rsid w:val="00380939"/>
    <w:rsid w:val="00382148"/>
    <w:rsid w:val="00384A78"/>
    <w:rsid w:val="00384AA1"/>
    <w:rsid w:val="003858C4"/>
    <w:rsid w:val="003860D6"/>
    <w:rsid w:val="00386238"/>
    <w:rsid w:val="003873A8"/>
    <w:rsid w:val="00387612"/>
    <w:rsid w:val="00391F07"/>
    <w:rsid w:val="00393920"/>
    <w:rsid w:val="003961BF"/>
    <w:rsid w:val="00396CDD"/>
    <w:rsid w:val="00396FE8"/>
    <w:rsid w:val="003A1CCE"/>
    <w:rsid w:val="003A1E6C"/>
    <w:rsid w:val="003A30C0"/>
    <w:rsid w:val="003A3ADF"/>
    <w:rsid w:val="003B0850"/>
    <w:rsid w:val="003B0D4F"/>
    <w:rsid w:val="003B1727"/>
    <w:rsid w:val="003B4451"/>
    <w:rsid w:val="003B4701"/>
    <w:rsid w:val="003B5B42"/>
    <w:rsid w:val="003B6A39"/>
    <w:rsid w:val="003B75C9"/>
    <w:rsid w:val="003B7853"/>
    <w:rsid w:val="003C07BB"/>
    <w:rsid w:val="003C3CC5"/>
    <w:rsid w:val="003C601F"/>
    <w:rsid w:val="003D04D8"/>
    <w:rsid w:val="003D0725"/>
    <w:rsid w:val="003D2137"/>
    <w:rsid w:val="003D30D2"/>
    <w:rsid w:val="003D437D"/>
    <w:rsid w:val="003D4423"/>
    <w:rsid w:val="003E0A26"/>
    <w:rsid w:val="003E0D22"/>
    <w:rsid w:val="003E3D5E"/>
    <w:rsid w:val="003E44E2"/>
    <w:rsid w:val="003E61E5"/>
    <w:rsid w:val="003E6450"/>
    <w:rsid w:val="003F0510"/>
    <w:rsid w:val="003F0BC0"/>
    <w:rsid w:val="003F2DEF"/>
    <w:rsid w:val="003F310C"/>
    <w:rsid w:val="003F3559"/>
    <w:rsid w:val="003F5162"/>
    <w:rsid w:val="003F5295"/>
    <w:rsid w:val="003F5477"/>
    <w:rsid w:val="003F65D3"/>
    <w:rsid w:val="00401EFF"/>
    <w:rsid w:val="00402E6C"/>
    <w:rsid w:val="004045B6"/>
    <w:rsid w:val="00405920"/>
    <w:rsid w:val="004067FB"/>
    <w:rsid w:val="00406A05"/>
    <w:rsid w:val="0041192C"/>
    <w:rsid w:val="00412018"/>
    <w:rsid w:val="004126FA"/>
    <w:rsid w:val="00412DD2"/>
    <w:rsid w:val="00412F10"/>
    <w:rsid w:val="004135F8"/>
    <w:rsid w:val="00422E6C"/>
    <w:rsid w:val="00423A0C"/>
    <w:rsid w:val="0042550A"/>
    <w:rsid w:val="004262FE"/>
    <w:rsid w:val="00427BC6"/>
    <w:rsid w:val="00430F56"/>
    <w:rsid w:val="0043408C"/>
    <w:rsid w:val="00436742"/>
    <w:rsid w:val="00440ACB"/>
    <w:rsid w:val="004424D4"/>
    <w:rsid w:val="00443DB6"/>
    <w:rsid w:val="0044418B"/>
    <w:rsid w:val="0044489E"/>
    <w:rsid w:val="0044572C"/>
    <w:rsid w:val="00445945"/>
    <w:rsid w:val="004502E4"/>
    <w:rsid w:val="00453039"/>
    <w:rsid w:val="00453ED6"/>
    <w:rsid w:val="0045593F"/>
    <w:rsid w:val="00455958"/>
    <w:rsid w:val="00456055"/>
    <w:rsid w:val="00456A9D"/>
    <w:rsid w:val="00461C61"/>
    <w:rsid w:val="00462918"/>
    <w:rsid w:val="00462D10"/>
    <w:rsid w:val="00462D34"/>
    <w:rsid w:val="00463B6C"/>
    <w:rsid w:val="00463C9F"/>
    <w:rsid w:val="00463E83"/>
    <w:rsid w:val="00465C3D"/>
    <w:rsid w:val="00466A7E"/>
    <w:rsid w:val="00467199"/>
    <w:rsid w:val="00471491"/>
    <w:rsid w:val="00472A9D"/>
    <w:rsid w:val="00473040"/>
    <w:rsid w:val="00473EBD"/>
    <w:rsid w:val="00474EBD"/>
    <w:rsid w:val="00476BF3"/>
    <w:rsid w:val="00477214"/>
    <w:rsid w:val="0047758F"/>
    <w:rsid w:val="00482DD1"/>
    <w:rsid w:val="004833D3"/>
    <w:rsid w:val="00483B4D"/>
    <w:rsid w:val="00484E49"/>
    <w:rsid w:val="004855D7"/>
    <w:rsid w:val="0049160F"/>
    <w:rsid w:val="00491986"/>
    <w:rsid w:val="004927DE"/>
    <w:rsid w:val="00493B3C"/>
    <w:rsid w:val="0049452D"/>
    <w:rsid w:val="00496069"/>
    <w:rsid w:val="004A00DC"/>
    <w:rsid w:val="004A2C5F"/>
    <w:rsid w:val="004A2C83"/>
    <w:rsid w:val="004A395D"/>
    <w:rsid w:val="004A3DE9"/>
    <w:rsid w:val="004A6C89"/>
    <w:rsid w:val="004B0C45"/>
    <w:rsid w:val="004B27FF"/>
    <w:rsid w:val="004B3E44"/>
    <w:rsid w:val="004B6E8A"/>
    <w:rsid w:val="004C003F"/>
    <w:rsid w:val="004C0B48"/>
    <w:rsid w:val="004C0CF4"/>
    <w:rsid w:val="004C0EB0"/>
    <w:rsid w:val="004C1163"/>
    <w:rsid w:val="004C31DC"/>
    <w:rsid w:val="004C3F8F"/>
    <w:rsid w:val="004C4067"/>
    <w:rsid w:val="004C438A"/>
    <w:rsid w:val="004C452A"/>
    <w:rsid w:val="004C504A"/>
    <w:rsid w:val="004C62A7"/>
    <w:rsid w:val="004C716B"/>
    <w:rsid w:val="004C7830"/>
    <w:rsid w:val="004C7C4C"/>
    <w:rsid w:val="004C7FCF"/>
    <w:rsid w:val="004D1F88"/>
    <w:rsid w:val="004D24D4"/>
    <w:rsid w:val="004D2F24"/>
    <w:rsid w:val="004D3997"/>
    <w:rsid w:val="004D3A93"/>
    <w:rsid w:val="004D5891"/>
    <w:rsid w:val="004D6020"/>
    <w:rsid w:val="004E02CC"/>
    <w:rsid w:val="004E432B"/>
    <w:rsid w:val="004E4C55"/>
    <w:rsid w:val="004E5EE6"/>
    <w:rsid w:val="004E6A73"/>
    <w:rsid w:val="004E7255"/>
    <w:rsid w:val="004E76BB"/>
    <w:rsid w:val="004F2B69"/>
    <w:rsid w:val="004F3360"/>
    <w:rsid w:val="004F40E4"/>
    <w:rsid w:val="004F52CC"/>
    <w:rsid w:val="004F5489"/>
    <w:rsid w:val="004F6401"/>
    <w:rsid w:val="004F6DDD"/>
    <w:rsid w:val="004F7E7A"/>
    <w:rsid w:val="004F7F1B"/>
    <w:rsid w:val="00500D31"/>
    <w:rsid w:val="00501411"/>
    <w:rsid w:val="0050158B"/>
    <w:rsid w:val="00503C69"/>
    <w:rsid w:val="00504372"/>
    <w:rsid w:val="0050620F"/>
    <w:rsid w:val="00507AE3"/>
    <w:rsid w:val="00507BF1"/>
    <w:rsid w:val="00511ED2"/>
    <w:rsid w:val="00514063"/>
    <w:rsid w:val="005161CD"/>
    <w:rsid w:val="00516D18"/>
    <w:rsid w:val="00516E50"/>
    <w:rsid w:val="005174CD"/>
    <w:rsid w:val="0051778E"/>
    <w:rsid w:val="00517939"/>
    <w:rsid w:val="005205B7"/>
    <w:rsid w:val="005207E1"/>
    <w:rsid w:val="0052117C"/>
    <w:rsid w:val="00521A44"/>
    <w:rsid w:val="00523E7B"/>
    <w:rsid w:val="0052543C"/>
    <w:rsid w:val="0052695C"/>
    <w:rsid w:val="005269F5"/>
    <w:rsid w:val="00526A66"/>
    <w:rsid w:val="005273E4"/>
    <w:rsid w:val="00527882"/>
    <w:rsid w:val="00530399"/>
    <w:rsid w:val="005348AE"/>
    <w:rsid w:val="0053511B"/>
    <w:rsid w:val="00535923"/>
    <w:rsid w:val="00536EAB"/>
    <w:rsid w:val="00536F02"/>
    <w:rsid w:val="00544FFA"/>
    <w:rsid w:val="005459FB"/>
    <w:rsid w:val="00545BBB"/>
    <w:rsid w:val="00545DE7"/>
    <w:rsid w:val="00545E4D"/>
    <w:rsid w:val="00550220"/>
    <w:rsid w:val="00550D80"/>
    <w:rsid w:val="0055149D"/>
    <w:rsid w:val="0055559F"/>
    <w:rsid w:val="005563E5"/>
    <w:rsid w:val="00556F36"/>
    <w:rsid w:val="0056088D"/>
    <w:rsid w:val="00564FA1"/>
    <w:rsid w:val="00566DD6"/>
    <w:rsid w:val="005673B6"/>
    <w:rsid w:val="0057064B"/>
    <w:rsid w:val="005715BC"/>
    <w:rsid w:val="005719F0"/>
    <w:rsid w:val="00571B65"/>
    <w:rsid w:val="00571CBA"/>
    <w:rsid w:val="00572891"/>
    <w:rsid w:val="00572AEB"/>
    <w:rsid w:val="00572C2F"/>
    <w:rsid w:val="00573778"/>
    <w:rsid w:val="00574D47"/>
    <w:rsid w:val="0057765D"/>
    <w:rsid w:val="005804F2"/>
    <w:rsid w:val="00581180"/>
    <w:rsid w:val="00581C52"/>
    <w:rsid w:val="0058477D"/>
    <w:rsid w:val="00585FD4"/>
    <w:rsid w:val="0058773B"/>
    <w:rsid w:val="00591017"/>
    <w:rsid w:val="00592979"/>
    <w:rsid w:val="00594214"/>
    <w:rsid w:val="00594C99"/>
    <w:rsid w:val="005953F2"/>
    <w:rsid w:val="005959C1"/>
    <w:rsid w:val="00595AA5"/>
    <w:rsid w:val="00596369"/>
    <w:rsid w:val="005966B6"/>
    <w:rsid w:val="00597BD2"/>
    <w:rsid w:val="005A0729"/>
    <w:rsid w:val="005A0F79"/>
    <w:rsid w:val="005A1747"/>
    <w:rsid w:val="005A18C0"/>
    <w:rsid w:val="005A19BA"/>
    <w:rsid w:val="005A1BFB"/>
    <w:rsid w:val="005A425C"/>
    <w:rsid w:val="005A4342"/>
    <w:rsid w:val="005A533D"/>
    <w:rsid w:val="005A5F1D"/>
    <w:rsid w:val="005A74A7"/>
    <w:rsid w:val="005A74B8"/>
    <w:rsid w:val="005A7FC8"/>
    <w:rsid w:val="005B0099"/>
    <w:rsid w:val="005B1AC1"/>
    <w:rsid w:val="005B32E7"/>
    <w:rsid w:val="005B4AA3"/>
    <w:rsid w:val="005B4D4E"/>
    <w:rsid w:val="005B6E7F"/>
    <w:rsid w:val="005C0177"/>
    <w:rsid w:val="005C1E90"/>
    <w:rsid w:val="005C3082"/>
    <w:rsid w:val="005C433C"/>
    <w:rsid w:val="005C55C3"/>
    <w:rsid w:val="005C62A9"/>
    <w:rsid w:val="005D08FB"/>
    <w:rsid w:val="005D64AC"/>
    <w:rsid w:val="005D7013"/>
    <w:rsid w:val="005D7C1B"/>
    <w:rsid w:val="005E212F"/>
    <w:rsid w:val="005F0257"/>
    <w:rsid w:val="005F11D7"/>
    <w:rsid w:val="005F14DD"/>
    <w:rsid w:val="005F1BB0"/>
    <w:rsid w:val="005F1F7C"/>
    <w:rsid w:val="005F3A19"/>
    <w:rsid w:val="005F3D4A"/>
    <w:rsid w:val="005F6806"/>
    <w:rsid w:val="005F6C4A"/>
    <w:rsid w:val="00600339"/>
    <w:rsid w:val="00600A58"/>
    <w:rsid w:val="00601C3B"/>
    <w:rsid w:val="00602123"/>
    <w:rsid w:val="00602478"/>
    <w:rsid w:val="0060327D"/>
    <w:rsid w:val="006032AB"/>
    <w:rsid w:val="00603DF3"/>
    <w:rsid w:val="00604386"/>
    <w:rsid w:val="00605C20"/>
    <w:rsid w:val="00610074"/>
    <w:rsid w:val="00610BFA"/>
    <w:rsid w:val="00611433"/>
    <w:rsid w:val="00611F4B"/>
    <w:rsid w:val="00612A44"/>
    <w:rsid w:val="006139BD"/>
    <w:rsid w:val="00615404"/>
    <w:rsid w:val="00616564"/>
    <w:rsid w:val="006165D3"/>
    <w:rsid w:val="006178FE"/>
    <w:rsid w:val="00617AC7"/>
    <w:rsid w:val="00617C15"/>
    <w:rsid w:val="00620490"/>
    <w:rsid w:val="0062077A"/>
    <w:rsid w:val="006226A7"/>
    <w:rsid w:val="00623559"/>
    <w:rsid w:val="00623625"/>
    <w:rsid w:val="00624E30"/>
    <w:rsid w:val="0062538D"/>
    <w:rsid w:val="006261B1"/>
    <w:rsid w:val="006305C7"/>
    <w:rsid w:val="00630B54"/>
    <w:rsid w:val="00634145"/>
    <w:rsid w:val="00634669"/>
    <w:rsid w:val="00635D8C"/>
    <w:rsid w:val="0063630E"/>
    <w:rsid w:val="00636F2A"/>
    <w:rsid w:val="0063740F"/>
    <w:rsid w:val="006375F4"/>
    <w:rsid w:val="0064210C"/>
    <w:rsid w:val="00642EA4"/>
    <w:rsid w:val="00643672"/>
    <w:rsid w:val="00644951"/>
    <w:rsid w:val="00644CE1"/>
    <w:rsid w:val="00644E21"/>
    <w:rsid w:val="00644FD5"/>
    <w:rsid w:val="00645DCF"/>
    <w:rsid w:val="00646993"/>
    <w:rsid w:val="006504B7"/>
    <w:rsid w:val="00651C5A"/>
    <w:rsid w:val="006569C3"/>
    <w:rsid w:val="00656E33"/>
    <w:rsid w:val="00657339"/>
    <w:rsid w:val="006574F1"/>
    <w:rsid w:val="00657853"/>
    <w:rsid w:val="00660263"/>
    <w:rsid w:val="00662025"/>
    <w:rsid w:val="00662282"/>
    <w:rsid w:val="0066295B"/>
    <w:rsid w:val="00663090"/>
    <w:rsid w:val="00665D4E"/>
    <w:rsid w:val="00666747"/>
    <w:rsid w:val="00671331"/>
    <w:rsid w:val="00671ECB"/>
    <w:rsid w:val="006761D7"/>
    <w:rsid w:val="0067658C"/>
    <w:rsid w:val="00676A67"/>
    <w:rsid w:val="00676B95"/>
    <w:rsid w:val="0067778C"/>
    <w:rsid w:val="006801B3"/>
    <w:rsid w:val="006801C2"/>
    <w:rsid w:val="006808E9"/>
    <w:rsid w:val="00683EEF"/>
    <w:rsid w:val="006842FF"/>
    <w:rsid w:val="0069040B"/>
    <w:rsid w:val="00690768"/>
    <w:rsid w:val="00692E20"/>
    <w:rsid w:val="0069372D"/>
    <w:rsid w:val="00693738"/>
    <w:rsid w:val="00693F34"/>
    <w:rsid w:val="0069497A"/>
    <w:rsid w:val="00694DFF"/>
    <w:rsid w:val="006964BC"/>
    <w:rsid w:val="006969FA"/>
    <w:rsid w:val="0069732B"/>
    <w:rsid w:val="006A10C0"/>
    <w:rsid w:val="006A5775"/>
    <w:rsid w:val="006A6DB1"/>
    <w:rsid w:val="006A7329"/>
    <w:rsid w:val="006B0A0B"/>
    <w:rsid w:val="006B0BA5"/>
    <w:rsid w:val="006B20C3"/>
    <w:rsid w:val="006B2805"/>
    <w:rsid w:val="006B418C"/>
    <w:rsid w:val="006B4D5B"/>
    <w:rsid w:val="006B4E70"/>
    <w:rsid w:val="006B654C"/>
    <w:rsid w:val="006B694C"/>
    <w:rsid w:val="006B7DFF"/>
    <w:rsid w:val="006C660F"/>
    <w:rsid w:val="006C7D82"/>
    <w:rsid w:val="006D1AD8"/>
    <w:rsid w:val="006D24EA"/>
    <w:rsid w:val="006D24ED"/>
    <w:rsid w:val="006D67B7"/>
    <w:rsid w:val="006E1781"/>
    <w:rsid w:val="006E3B92"/>
    <w:rsid w:val="006E3FE9"/>
    <w:rsid w:val="006E59CB"/>
    <w:rsid w:val="006E5AEB"/>
    <w:rsid w:val="006E701A"/>
    <w:rsid w:val="006F1B54"/>
    <w:rsid w:val="006F1E0F"/>
    <w:rsid w:val="006F254B"/>
    <w:rsid w:val="006F26CF"/>
    <w:rsid w:val="006F2E2F"/>
    <w:rsid w:val="006F2ECA"/>
    <w:rsid w:val="006F38DF"/>
    <w:rsid w:val="006F3F30"/>
    <w:rsid w:val="006F4224"/>
    <w:rsid w:val="006F4AAD"/>
    <w:rsid w:val="006F636F"/>
    <w:rsid w:val="006F6841"/>
    <w:rsid w:val="006F7ADC"/>
    <w:rsid w:val="007038A5"/>
    <w:rsid w:val="00703C34"/>
    <w:rsid w:val="0070534B"/>
    <w:rsid w:val="00705F11"/>
    <w:rsid w:val="0070691F"/>
    <w:rsid w:val="0070745D"/>
    <w:rsid w:val="007124E0"/>
    <w:rsid w:val="00712792"/>
    <w:rsid w:val="0071448E"/>
    <w:rsid w:val="00715F70"/>
    <w:rsid w:val="00717A10"/>
    <w:rsid w:val="00721E11"/>
    <w:rsid w:val="00726FBC"/>
    <w:rsid w:val="00727614"/>
    <w:rsid w:val="00727EC0"/>
    <w:rsid w:val="00732412"/>
    <w:rsid w:val="007344CE"/>
    <w:rsid w:val="0073611A"/>
    <w:rsid w:val="0073798E"/>
    <w:rsid w:val="0074083A"/>
    <w:rsid w:val="00740E07"/>
    <w:rsid w:val="00743209"/>
    <w:rsid w:val="00743868"/>
    <w:rsid w:val="00743DE3"/>
    <w:rsid w:val="00745128"/>
    <w:rsid w:val="0074647D"/>
    <w:rsid w:val="007470B8"/>
    <w:rsid w:val="0074721B"/>
    <w:rsid w:val="0074793A"/>
    <w:rsid w:val="007519F5"/>
    <w:rsid w:val="00754317"/>
    <w:rsid w:val="007545F7"/>
    <w:rsid w:val="00756138"/>
    <w:rsid w:val="00756765"/>
    <w:rsid w:val="00756BDF"/>
    <w:rsid w:val="007605C0"/>
    <w:rsid w:val="00761676"/>
    <w:rsid w:val="00761BC9"/>
    <w:rsid w:val="00762B11"/>
    <w:rsid w:val="0076753C"/>
    <w:rsid w:val="007717C9"/>
    <w:rsid w:val="00772091"/>
    <w:rsid w:val="00773DAD"/>
    <w:rsid w:val="007746EA"/>
    <w:rsid w:val="00775628"/>
    <w:rsid w:val="00775C73"/>
    <w:rsid w:val="00775E32"/>
    <w:rsid w:val="007769C0"/>
    <w:rsid w:val="00777A0D"/>
    <w:rsid w:val="007813C1"/>
    <w:rsid w:val="00781C31"/>
    <w:rsid w:val="00782746"/>
    <w:rsid w:val="00782D75"/>
    <w:rsid w:val="00783030"/>
    <w:rsid w:val="0078316B"/>
    <w:rsid w:val="00785B02"/>
    <w:rsid w:val="00785CEE"/>
    <w:rsid w:val="00785D6C"/>
    <w:rsid w:val="00787317"/>
    <w:rsid w:val="00790EAF"/>
    <w:rsid w:val="00793F87"/>
    <w:rsid w:val="0079668C"/>
    <w:rsid w:val="007A056B"/>
    <w:rsid w:val="007A14C1"/>
    <w:rsid w:val="007A203D"/>
    <w:rsid w:val="007A28FC"/>
    <w:rsid w:val="007A2C38"/>
    <w:rsid w:val="007A55FE"/>
    <w:rsid w:val="007A6F51"/>
    <w:rsid w:val="007A7E56"/>
    <w:rsid w:val="007B0E48"/>
    <w:rsid w:val="007B1193"/>
    <w:rsid w:val="007B1C90"/>
    <w:rsid w:val="007B3408"/>
    <w:rsid w:val="007B60D5"/>
    <w:rsid w:val="007B6A96"/>
    <w:rsid w:val="007C00C2"/>
    <w:rsid w:val="007C146B"/>
    <w:rsid w:val="007C600D"/>
    <w:rsid w:val="007C74A4"/>
    <w:rsid w:val="007D54C9"/>
    <w:rsid w:val="007D6772"/>
    <w:rsid w:val="007D700A"/>
    <w:rsid w:val="007E15EB"/>
    <w:rsid w:val="007E1D04"/>
    <w:rsid w:val="007E2EB8"/>
    <w:rsid w:val="007E36EA"/>
    <w:rsid w:val="007E3F5E"/>
    <w:rsid w:val="007E45A7"/>
    <w:rsid w:val="007E575A"/>
    <w:rsid w:val="007F0540"/>
    <w:rsid w:val="007F0F96"/>
    <w:rsid w:val="007F1FA2"/>
    <w:rsid w:val="007F2268"/>
    <w:rsid w:val="007F32B9"/>
    <w:rsid w:val="007F485F"/>
    <w:rsid w:val="007F4DAD"/>
    <w:rsid w:val="007F5460"/>
    <w:rsid w:val="007F798C"/>
    <w:rsid w:val="008000EB"/>
    <w:rsid w:val="00800887"/>
    <w:rsid w:val="008014BE"/>
    <w:rsid w:val="008016A7"/>
    <w:rsid w:val="008019CD"/>
    <w:rsid w:val="00802945"/>
    <w:rsid w:val="00804482"/>
    <w:rsid w:val="00806BBE"/>
    <w:rsid w:val="00806D5A"/>
    <w:rsid w:val="00806E37"/>
    <w:rsid w:val="00810149"/>
    <w:rsid w:val="0081033F"/>
    <w:rsid w:val="00810CE0"/>
    <w:rsid w:val="008111A4"/>
    <w:rsid w:val="00811CA7"/>
    <w:rsid w:val="00811EFC"/>
    <w:rsid w:val="008125E1"/>
    <w:rsid w:val="00812D69"/>
    <w:rsid w:val="00814668"/>
    <w:rsid w:val="008158FD"/>
    <w:rsid w:val="008177ED"/>
    <w:rsid w:val="008203EB"/>
    <w:rsid w:val="008215BF"/>
    <w:rsid w:val="00822374"/>
    <w:rsid w:val="00823D79"/>
    <w:rsid w:val="00825D61"/>
    <w:rsid w:val="008272E6"/>
    <w:rsid w:val="00833AF4"/>
    <w:rsid w:val="00835374"/>
    <w:rsid w:val="0083539A"/>
    <w:rsid w:val="008353CE"/>
    <w:rsid w:val="00837641"/>
    <w:rsid w:val="008411DD"/>
    <w:rsid w:val="008434A8"/>
    <w:rsid w:val="008443F9"/>
    <w:rsid w:val="008445F5"/>
    <w:rsid w:val="00847F62"/>
    <w:rsid w:val="008500CC"/>
    <w:rsid w:val="00850A54"/>
    <w:rsid w:val="00851517"/>
    <w:rsid w:val="00852076"/>
    <w:rsid w:val="00852796"/>
    <w:rsid w:val="00855933"/>
    <w:rsid w:val="0085697C"/>
    <w:rsid w:val="008638FE"/>
    <w:rsid w:val="00865DDD"/>
    <w:rsid w:val="00866576"/>
    <w:rsid w:val="008674AB"/>
    <w:rsid w:val="00870B8E"/>
    <w:rsid w:val="008715C1"/>
    <w:rsid w:val="008750FF"/>
    <w:rsid w:val="008751F2"/>
    <w:rsid w:val="00875C20"/>
    <w:rsid w:val="008763FE"/>
    <w:rsid w:val="00876A72"/>
    <w:rsid w:val="008811F9"/>
    <w:rsid w:val="008813EA"/>
    <w:rsid w:val="00883195"/>
    <w:rsid w:val="00883A79"/>
    <w:rsid w:val="0088680A"/>
    <w:rsid w:val="00886B2C"/>
    <w:rsid w:val="00886FD4"/>
    <w:rsid w:val="008872C6"/>
    <w:rsid w:val="00890DE3"/>
    <w:rsid w:val="00892AFD"/>
    <w:rsid w:val="00892C92"/>
    <w:rsid w:val="00893CBC"/>
    <w:rsid w:val="0089424C"/>
    <w:rsid w:val="00894469"/>
    <w:rsid w:val="0089524C"/>
    <w:rsid w:val="00896A5D"/>
    <w:rsid w:val="008975D3"/>
    <w:rsid w:val="00897E1E"/>
    <w:rsid w:val="008A0433"/>
    <w:rsid w:val="008A2693"/>
    <w:rsid w:val="008A2F22"/>
    <w:rsid w:val="008A3185"/>
    <w:rsid w:val="008A3DBC"/>
    <w:rsid w:val="008B2EA6"/>
    <w:rsid w:val="008B3802"/>
    <w:rsid w:val="008B3A3A"/>
    <w:rsid w:val="008B4847"/>
    <w:rsid w:val="008B57E9"/>
    <w:rsid w:val="008B7AA0"/>
    <w:rsid w:val="008C0378"/>
    <w:rsid w:val="008C3584"/>
    <w:rsid w:val="008C4C29"/>
    <w:rsid w:val="008D0D0A"/>
    <w:rsid w:val="008D141C"/>
    <w:rsid w:val="008D19F9"/>
    <w:rsid w:val="008D28A3"/>
    <w:rsid w:val="008D546A"/>
    <w:rsid w:val="008D7B77"/>
    <w:rsid w:val="008E0DA4"/>
    <w:rsid w:val="008E1843"/>
    <w:rsid w:val="008E1872"/>
    <w:rsid w:val="008E2139"/>
    <w:rsid w:val="008E32F7"/>
    <w:rsid w:val="008E37B3"/>
    <w:rsid w:val="008E6B7D"/>
    <w:rsid w:val="008E6D93"/>
    <w:rsid w:val="008E7A34"/>
    <w:rsid w:val="008F0471"/>
    <w:rsid w:val="008F3FD6"/>
    <w:rsid w:val="008F56FE"/>
    <w:rsid w:val="008F7901"/>
    <w:rsid w:val="00901345"/>
    <w:rsid w:val="009026FD"/>
    <w:rsid w:val="009031A0"/>
    <w:rsid w:val="00903C68"/>
    <w:rsid w:val="00906D17"/>
    <w:rsid w:val="00906E24"/>
    <w:rsid w:val="009074A5"/>
    <w:rsid w:val="00910814"/>
    <w:rsid w:val="0091085D"/>
    <w:rsid w:val="0091157E"/>
    <w:rsid w:val="009116C2"/>
    <w:rsid w:val="00912664"/>
    <w:rsid w:val="00913F55"/>
    <w:rsid w:val="009150A5"/>
    <w:rsid w:val="00915899"/>
    <w:rsid w:val="009162A3"/>
    <w:rsid w:val="009170A9"/>
    <w:rsid w:val="0092157D"/>
    <w:rsid w:val="0092258F"/>
    <w:rsid w:val="0092465E"/>
    <w:rsid w:val="00926931"/>
    <w:rsid w:val="00930291"/>
    <w:rsid w:val="00931ABB"/>
    <w:rsid w:val="00931CE8"/>
    <w:rsid w:val="00933BEF"/>
    <w:rsid w:val="00935C3B"/>
    <w:rsid w:val="00935CE2"/>
    <w:rsid w:val="00937D2F"/>
    <w:rsid w:val="00940D32"/>
    <w:rsid w:val="00941A7F"/>
    <w:rsid w:val="00944B35"/>
    <w:rsid w:val="0094708C"/>
    <w:rsid w:val="0094710C"/>
    <w:rsid w:val="009472EE"/>
    <w:rsid w:val="00947EB9"/>
    <w:rsid w:val="00947FF0"/>
    <w:rsid w:val="00950602"/>
    <w:rsid w:val="00951002"/>
    <w:rsid w:val="009517CA"/>
    <w:rsid w:val="00952080"/>
    <w:rsid w:val="00952667"/>
    <w:rsid w:val="00952B0A"/>
    <w:rsid w:val="00956D4C"/>
    <w:rsid w:val="009571E0"/>
    <w:rsid w:val="00957CD5"/>
    <w:rsid w:val="0096076A"/>
    <w:rsid w:val="00962F31"/>
    <w:rsid w:val="009641DD"/>
    <w:rsid w:val="009646D9"/>
    <w:rsid w:val="0096535C"/>
    <w:rsid w:val="009657B4"/>
    <w:rsid w:val="009658C8"/>
    <w:rsid w:val="0096623F"/>
    <w:rsid w:val="009664F1"/>
    <w:rsid w:val="00967351"/>
    <w:rsid w:val="00967D67"/>
    <w:rsid w:val="00970661"/>
    <w:rsid w:val="009709B6"/>
    <w:rsid w:val="009718CC"/>
    <w:rsid w:val="0097280C"/>
    <w:rsid w:val="00973606"/>
    <w:rsid w:val="00975839"/>
    <w:rsid w:val="00976E9E"/>
    <w:rsid w:val="00980047"/>
    <w:rsid w:val="009821D0"/>
    <w:rsid w:val="009836FA"/>
    <w:rsid w:val="00986128"/>
    <w:rsid w:val="0098624E"/>
    <w:rsid w:val="009878E6"/>
    <w:rsid w:val="00987C93"/>
    <w:rsid w:val="0099301A"/>
    <w:rsid w:val="00994314"/>
    <w:rsid w:val="0099547E"/>
    <w:rsid w:val="00997261"/>
    <w:rsid w:val="00997B0F"/>
    <w:rsid w:val="00997C56"/>
    <w:rsid w:val="009A0C0D"/>
    <w:rsid w:val="009A14E2"/>
    <w:rsid w:val="009A1ECC"/>
    <w:rsid w:val="009A307B"/>
    <w:rsid w:val="009A36CF"/>
    <w:rsid w:val="009A4944"/>
    <w:rsid w:val="009A5635"/>
    <w:rsid w:val="009B0E89"/>
    <w:rsid w:val="009B11FA"/>
    <w:rsid w:val="009B2292"/>
    <w:rsid w:val="009B36AF"/>
    <w:rsid w:val="009B3AD6"/>
    <w:rsid w:val="009B526A"/>
    <w:rsid w:val="009B5763"/>
    <w:rsid w:val="009C1731"/>
    <w:rsid w:val="009C1796"/>
    <w:rsid w:val="009C36DD"/>
    <w:rsid w:val="009C402F"/>
    <w:rsid w:val="009C41C6"/>
    <w:rsid w:val="009C437B"/>
    <w:rsid w:val="009C4E0B"/>
    <w:rsid w:val="009C6197"/>
    <w:rsid w:val="009C619F"/>
    <w:rsid w:val="009C63EA"/>
    <w:rsid w:val="009C71C2"/>
    <w:rsid w:val="009C7736"/>
    <w:rsid w:val="009C79FC"/>
    <w:rsid w:val="009D17B1"/>
    <w:rsid w:val="009D1C13"/>
    <w:rsid w:val="009D4A74"/>
    <w:rsid w:val="009D67B8"/>
    <w:rsid w:val="009D75A6"/>
    <w:rsid w:val="009D7CB6"/>
    <w:rsid w:val="009D7FBE"/>
    <w:rsid w:val="009E0318"/>
    <w:rsid w:val="009E1A8B"/>
    <w:rsid w:val="009E4DCD"/>
    <w:rsid w:val="009E5B02"/>
    <w:rsid w:val="009E6094"/>
    <w:rsid w:val="009E7AB6"/>
    <w:rsid w:val="009F1240"/>
    <w:rsid w:val="009F2413"/>
    <w:rsid w:val="009F24F9"/>
    <w:rsid w:val="009F3949"/>
    <w:rsid w:val="009F44FD"/>
    <w:rsid w:val="009F74AC"/>
    <w:rsid w:val="009F780B"/>
    <w:rsid w:val="009F7AD9"/>
    <w:rsid w:val="00A03040"/>
    <w:rsid w:val="00A032EE"/>
    <w:rsid w:val="00A10A0D"/>
    <w:rsid w:val="00A11D89"/>
    <w:rsid w:val="00A1291B"/>
    <w:rsid w:val="00A15E49"/>
    <w:rsid w:val="00A21C33"/>
    <w:rsid w:val="00A21CEA"/>
    <w:rsid w:val="00A22556"/>
    <w:rsid w:val="00A2371B"/>
    <w:rsid w:val="00A24F0A"/>
    <w:rsid w:val="00A25428"/>
    <w:rsid w:val="00A25D0A"/>
    <w:rsid w:val="00A27C57"/>
    <w:rsid w:val="00A30FC3"/>
    <w:rsid w:val="00A31C23"/>
    <w:rsid w:val="00A34248"/>
    <w:rsid w:val="00A3598A"/>
    <w:rsid w:val="00A35E42"/>
    <w:rsid w:val="00A37AF1"/>
    <w:rsid w:val="00A4159F"/>
    <w:rsid w:val="00A4205C"/>
    <w:rsid w:val="00A42CA6"/>
    <w:rsid w:val="00A431DF"/>
    <w:rsid w:val="00A4415D"/>
    <w:rsid w:val="00A448C2"/>
    <w:rsid w:val="00A44CDB"/>
    <w:rsid w:val="00A44EEA"/>
    <w:rsid w:val="00A4555F"/>
    <w:rsid w:val="00A46E2D"/>
    <w:rsid w:val="00A475B8"/>
    <w:rsid w:val="00A50062"/>
    <w:rsid w:val="00A50D17"/>
    <w:rsid w:val="00A51745"/>
    <w:rsid w:val="00A53CCB"/>
    <w:rsid w:val="00A54EE7"/>
    <w:rsid w:val="00A550E4"/>
    <w:rsid w:val="00A55963"/>
    <w:rsid w:val="00A56D7C"/>
    <w:rsid w:val="00A5760A"/>
    <w:rsid w:val="00A57856"/>
    <w:rsid w:val="00A60AF4"/>
    <w:rsid w:val="00A64C7E"/>
    <w:rsid w:val="00A71139"/>
    <w:rsid w:val="00A71496"/>
    <w:rsid w:val="00A716F0"/>
    <w:rsid w:val="00A7363D"/>
    <w:rsid w:val="00A73C19"/>
    <w:rsid w:val="00A740F4"/>
    <w:rsid w:val="00A74E41"/>
    <w:rsid w:val="00A75440"/>
    <w:rsid w:val="00A77160"/>
    <w:rsid w:val="00A81148"/>
    <w:rsid w:val="00A82682"/>
    <w:rsid w:val="00A829BA"/>
    <w:rsid w:val="00A8338C"/>
    <w:rsid w:val="00A83892"/>
    <w:rsid w:val="00A83CBC"/>
    <w:rsid w:val="00A83E40"/>
    <w:rsid w:val="00A8434C"/>
    <w:rsid w:val="00A8560F"/>
    <w:rsid w:val="00A85B40"/>
    <w:rsid w:val="00A90582"/>
    <w:rsid w:val="00A938AD"/>
    <w:rsid w:val="00A93D6D"/>
    <w:rsid w:val="00A94304"/>
    <w:rsid w:val="00A944C3"/>
    <w:rsid w:val="00A950B1"/>
    <w:rsid w:val="00A96967"/>
    <w:rsid w:val="00A96BE9"/>
    <w:rsid w:val="00AA2914"/>
    <w:rsid w:val="00AA46B7"/>
    <w:rsid w:val="00AA6FCB"/>
    <w:rsid w:val="00AA7CE7"/>
    <w:rsid w:val="00AB03E4"/>
    <w:rsid w:val="00AB3931"/>
    <w:rsid w:val="00AB3C98"/>
    <w:rsid w:val="00AB4228"/>
    <w:rsid w:val="00AB4870"/>
    <w:rsid w:val="00AB492A"/>
    <w:rsid w:val="00AB51AF"/>
    <w:rsid w:val="00AB54A1"/>
    <w:rsid w:val="00AB7D7E"/>
    <w:rsid w:val="00AC0FBF"/>
    <w:rsid w:val="00AC2362"/>
    <w:rsid w:val="00AC2765"/>
    <w:rsid w:val="00AC2902"/>
    <w:rsid w:val="00AC4CAF"/>
    <w:rsid w:val="00AC7419"/>
    <w:rsid w:val="00AD0168"/>
    <w:rsid w:val="00AD05EE"/>
    <w:rsid w:val="00AD1128"/>
    <w:rsid w:val="00AD411E"/>
    <w:rsid w:val="00AD6291"/>
    <w:rsid w:val="00AD65B0"/>
    <w:rsid w:val="00AE0CB6"/>
    <w:rsid w:val="00AE12F6"/>
    <w:rsid w:val="00AE1DC5"/>
    <w:rsid w:val="00AE32CD"/>
    <w:rsid w:val="00AE4421"/>
    <w:rsid w:val="00AE462D"/>
    <w:rsid w:val="00AE7743"/>
    <w:rsid w:val="00AF1C49"/>
    <w:rsid w:val="00AF34C7"/>
    <w:rsid w:val="00AF3ECD"/>
    <w:rsid w:val="00AF507A"/>
    <w:rsid w:val="00AF587D"/>
    <w:rsid w:val="00AF6DE7"/>
    <w:rsid w:val="00AF70FD"/>
    <w:rsid w:val="00AF711D"/>
    <w:rsid w:val="00AF7360"/>
    <w:rsid w:val="00B0111E"/>
    <w:rsid w:val="00B02088"/>
    <w:rsid w:val="00B0266C"/>
    <w:rsid w:val="00B02AE0"/>
    <w:rsid w:val="00B032DB"/>
    <w:rsid w:val="00B0341F"/>
    <w:rsid w:val="00B0762D"/>
    <w:rsid w:val="00B11734"/>
    <w:rsid w:val="00B11FEA"/>
    <w:rsid w:val="00B144E6"/>
    <w:rsid w:val="00B154D3"/>
    <w:rsid w:val="00B15975"/>
    <w:rsid w:val="00B176FA"/>
    <w:rsid w:val="00B1787C"/>
    <w:rsid w:val="00B20017"/>
    <w:rsid w:val="00B2087D"/>
    <w:rsid w:val="00B247BB"/>
    <w:rsid w:val="00B25A49"/>
    <w:rsid w:val="00B3082A"/>
    <w:rsid w:val="00B30EEC"/>
    <w:rsid w:val="00B32792"/>
    <w:rsid w:val="00B34473"/>
    <w:rsid w:val="00B34811"/>
    <w:rsid w:val="00B353C9"/>
    <w:rsid w:val="00B370D9"/>
    <w:rsid w:val="00B37513"/>
    <w:rsid w:val="00B40C75"/>
    <w:rsid w:val="00B433B6"/>
    <w:rsid w:val="00B43912"/>
    <w:rsid w:val="00B44A95"/>
    <w:rsid w:val="00B44B67"/>
    <w:rsid w:val="00B4685D"/>
    <w:rsid w:val="00B51D8C"/>
    <w:rsid w:val="00B5497A"/>
    <w:rsid w:val="00B54986"/>
    <w:rsid w:val="00B54FF4"/>
    <w:rsid w:val="00B55731"/>
    <w:rsid w:val="00B57AD0"/>
    <w:rsid w:val="00B6010A"/>
    <w:rsid w:val="00B60D27"/>
    <w:rsid w:val="00B61074"/>
    <w:rsid w:val="00B62692"/>
    <w:rsid w:val="00B637A0"/>
    <w:rsid w:val="00B63941"/>
    <w:rsid w:val="00B63F87"/>
    <w:rsid w:val="00B642EE"/>
    <w:rsid w:val="00B6558B"/>
    <w:rsid w:val="00B6733D"/>
    <w:rsid w:val="00B712D9"/>
    <w:rsid w:val="00B73481"/>
    <w:rsid w:val="00B73A49"/>
    <w:rsid w:val="00B7482F"/>
    <w:rsid w:val="00B75A5E"/>
    <w:rsid w:val="00B76496"/>
    <w:rsid w:val="00B76931"/>
    <w:rsid w:val="00B76EC2"/>
    <w:rsid w:val="00B80662"/>
    <w:rsid w:val="00B82659"/>
    <w:rsid w:val="00B831FC"/>
    <w:rsid w:val="00B837F0"/>
    <w:rsid w:val="00B83CAA"/>
    <w:rsid w:val="00B8461D"/>
    <w:rsid w:val="00B848AA"/>
    <w:rsid w:val="00B860C6"/>
    <w:rsid w:val="00B87207"/>
    <w:rsid w:val="00B931AD"/>
    <w:rsid w:val="00B94ECB"/>
    <w:rsid w:val="00B9509F"/>
    <w:rsid w:val="00B957F8"/>
    <w:rsid w:val="00B9709D"/>
    <w:rsid w:val="00B976AB"/>
    <w:rsid w:val="00BA0B10"/>
    <w:rsid w:val="00BA0E59"/>
    <w:rsid w:val="00BA395B"/>
    <w:rsid w:val="00BA3DFE"/>
    <w:rsid w:val="00BA4AF1"/>
    <w:rsid w:val="00BA5140"/>
    <w:rsid w:val="00BA689E"/>
    <w:rsid w:val="00BB2939"/>
    <w:rsid w:val="00BB37B2"/>
    <w:rsid w:val="00BB4419"/>
    <w:rsid w:val="00BB5054"/>
    <w:rsid w:val="00BB54AB"/>
    <w:rsid w:val="00BB5980"/>
    <w:rsid w:val="00BB5F6F"/>
    <w:rsid w:val="00BB6AFE"/>
    <w:rsid w:val="00BB78E3"/>
    <w:rsid w:val="00BB7C8E"/>
    <w:rsid w:val="00BC02CA"/>
    <w:rsid w:val="00BC09D2"/>
    <w:rsid w:val="00BC1973"/>
    <w:rsid w:val="00BC3C3B"/>
    <w:rsid w:val="00BC4571"/>
    <w:rsid w:val="00BC4729"/>
    <w:rsid w:val="00BC4EF7"/>
    <w:rsid w:val="00BC7A1E"/>
    <w:rsid w:val="00BD20F5"/>
    <w:rsid w:val="00BD3109"/>
    <w:rsid w:val="00BD3407"/>
    <w:rsid w:val="00BD4EC6"/>
    <w:rsid w:val="00BD5D46"/>
    <w:rsid w:val="00BD7D61"/>
    <w:rsid w:val="00BE57FF"/>
    <w:rsid w:val="00BF183B"/>
    <w:rsid w:val="00BF1CA6"/>
    <w:rsid w:val="00BF3293"/>
    <w:rsid w:val="00BF521F"/>
    <w:rsid w:val="00BF7746"/>
    <w:rsid w:val="00BF7791"/>
    <w:rsid w:val="00BF7D9D"/>
    <w:rsid w:val="00C00DA9"/>
    <w:rsid w:val="00C02481"/>
    <w:rsid w:val="00C03C44"/>
    <w:rsid w:val="00C03CF7"/>
    <w:rsid w:val="00C0456C"/>
    <w:rsid w:val="00C0595A"/>
    <w:rsid w:val="00C06AE3"/>
    <w:rsid w:val="00C072BE"/>
    <w:rsid w:val="00C10803"/>
    <w:rsid w:val="00C11DB9"/>
    <w:rsid w:val="00C12D19"/>
    <w:rsid w:val="00C13E96"/>
    <w:rsid w:val="00C16957"/>
    <w:rsid w:val="00C2232B"/>
    <w:rsid w:val="00C2375F"/>
    <w:rsid w:val="00C27274"/>
    <w:rsid w:val="00C27F26"/>
    <w:rsid w:val="00C32271"/>
    <w:rsid w:val="00C328CF"/>
    <w:rsid w:val="00C32988"/>
    <w:rsid w:val="00C3303B"/>
    <w:rsid w:val="00C34122"/>
    <w:rsid w:val="00C34AAC"/>
    <w:rsid w:val="00C34DBE"/>
    <w:rsid w:val="00C35368"/>
    <w:rsid w:val="00C36015"/>
    <w:rsid w:val="00C41E27"/>
    <w:rsid w:val="00C41FEA"/>
    <w:rsid w:val="00C445E3"/>
    <w:rsid w:val="00C45A76"/>
    <w:rsid w:val="00C45FAF"/>
    <w:rsid w:val="00C46F26"/>
    <w:rsid w:val="00C51098"/>
    <w:rsid w:val="00C529B3"/>
    <w:rsid w:val="00C56638"/>
    <w:rsid w:val="00C57246"/>
    <w:rsid w:val="00C5762A"/>
    <w:rsid w:val="00C61DD7"/>
    <w:rsid w:val="00C63632"/>
    <w:rsid w:val="00C700A7"/>
    <w:rsid w:val="00C72048"/>
    <w:rsid w:val="00C728C3"/>
    <w:rsid w:val="00C72C82"/>
    <w:rsid w:val="00C74924"/>
    <w:rsid w:val="00C74A81"/>
    <w:rsid w:val="00C75118"/>
    <w:rsid w:val="00C75445"/>
    <w:rsid w:val="00C777BD"/>
    <w:rsid w:val="00C8399A"/>
    <w:rsid w:val="00C83B9B"/>
    <w:rsid w:val="00C84C68"/>
    <w:rsid w:val="00C84EFC"/>
    <w:rsid w:val="00C86F21"/>
    <w:rsid w:val="00C87850"/>
    <w:rsid w:val="00C90805"/>
    <w:rsid w:val="00C90C92"/>
    <w:rsid w:val="00C90F71"/>
    <w:rsid w:val="00C935A6"/>
    <w:rsid w:val="00C94C32"/>
    <w:rsid w:val="00CA01B6"/>
    <w:rsid w:val="00CA6B91"/>
    <w:rsid w:val="00CB261C"/>
    <w:rsid w:val="00CB2BB8"/>
    <w:rsid w:val="00CB3229"/>
    <w:rsid w:val="00CC31A4"/>
    <w:rsid w:val="00CC3BFE"/>
    <w:rsid w:val="00CC3C98"/>
    <w:rsid w:val="00CC4875"/>
    <w:rsid w:val="00CC5C46"/>
    <w:rsid w:val="00CD2541"/>
    <w:rsid w:val="00CD3843"/>
    <w:rsid w:val="00CD5974"/>
    <w:rsid w:val="00CD664C"/>
    <w:rsid w:val="00CD7404"/>
    <w:rsid w:val="00CD7E6E"/>
    <w:rsid w:val="00CE1498"/>
    <w:rsid w:val="00CE541B"/>
    <w:rsid w:val="00CE6F82"/>
    <w:rsid w:val="00CF0337"/>
    <w:rsid w:val="00CF05ED"/>
    <w:rsid w:val="00CF2E73"/>
    <w:rsid w:val="00CF2F67"/>
    <w:rsid w:val="00CF4139"/>
    <w:rsid w:val="00CF5073"/>
    <w:rsid w:val="00D00409"/>
    <w:rsid w:val="00D02360"/>
    <w:rsid w:val="00D02FE3"/>
    <w:rsid w:val="00D04379"/>
    <w:rsid w:val="00D05523"/>
    <w:rsid w:val="00D073C7"/>
    <w:rsid w:val="00D102E7"/>
    <w:rsid w:val="00D1340A"/>
    <w:rsid w:val="00D15323"/>
    <w:rsid w:val="00D1632A"/>
    <w:rsid w:val="00D16BFE"/>
    <w:rsid w:val="00D2090B"/>
    <w:rsid w:val="00D2143D"/>
    <w:rsid w:val="00D218FF"/>
    <w:rsid w:val="00D234DE"/>
    <w:rsid w:val="00D23CA7"/>
    <w:rsid w:val="00D25611"/>
    <w:rsid w:val="00D3057C"/>
    <w:rsid w:val="00D3057F"/>
    <w:rsid w:val="00D32E62"/>
    <w:rsid w:val="00D352C7"/>
    <w:rsid w:val="00D35FD2"/>
    <w:rsid w:val="00D4179D"/>
    <w:rsid w:val="00D43444"/>
    <w:rsid w:val="00D44C35"/>
    <w:rsid w:val="00D44FE8"/>
    <w:rsid w:val="00D45D2C"/>
    <w:rsid w:val="00D5041E"/>
    <w:rsid w:val="00D50F4A"/>
    <w:rsid w:val="00D53E57"/>
    <w:rsid w:val="00D5494C"/>
    <w:rsid w:val="00D57627"/>
    <w:rsid w:val="00D57937"/>
    <w:rsid w:val="00D605B3"/>
    <w:rsid w:val="00D60DA2"/>
    <w:rsid w:val="00D61B24"/>
    <w:rsid w:val="00D62204"/>
    <w:rsid w:val="00D649EC"/>
    <w:rsid w:val="00D64DBD"/>
    <w:rsid w:val="00D6570A"/>
    <w:rsid w:val="00D660B4"/>
    <w:rsid w:val="00D673E4"/>
    <w:rsid w:val="00D70089"/>
    <w:rsid w:val="00D72F34"/>
    <w:rsid w:val="00D73C28"/>
    <w:rsid w:val="00D7514E"/>
    <w:rsid w:val="00D8396A"/>
    <w:rsid w:val="00D8505E"/>
    <w:rsid w:val="00D865BA"/>
    <w:rsid w:val="00D87AAE"/>
    <w:rsid w:val="00D9034D"/>
    <w:rsid w:val="00D90C30"/>
    <w:rsid w:val="00D92CC3"/>
    <w:rsid w:val="00D93FE4"/>
    <w:rsid w:val="00D952E4"/>
    <w:rsid w:val="00D95F90"/>
    <w:rsid w:val="00D96778"/>
    <w:rsid w:val="00DA0E60"/>
    <w:rsid w:val="00DA0E8D"/>
    <w:rsid w:val="00DA1BEB"/>
    <w:rsid w:val="00DA1EE4"/>
    <w:rsid w:val="00DA4055"/>
    <w:rsid w:val="00DA415B"/>
    <w:rsid w:val="00DA4951"/>
    <w:rsid w:val="00DA5717"/>
    <w:rsid w:val="00DB1366"/>
    <w:rsid w:val="00DB1644"/>
    <w:rsid w:val="00DB1A84"/>
    <w:rsid w:val="00DB1E04"/>
    <w:rsid w:val="00DB1E67"/>
    <w:rsid w:val="00DB28B0"/>
    <w:rsid w:val="00DB2CA8"/>
    <w:rsid w:val="00DB3952"/>
    <w:rsid w:val="00DB3EAA"/>
    <w:rsid w:val="00DB431B"/>
    <w:rsid w:val="00DB7F9E"/>
    <w:rsid w:val="00DC129E"/>
    <w:rsid w:val="00DC2BF3"/>
    <w:rsid w:val="00DC2C59"/>
    <w:rsid w:val="00DC3519"/>
    <w:rsid w:val="00DD0048"/>
    <w:rsid w:val="00DD0606"/>
    <w:rsid w:val="00DD1403"/>
    <w:rsid w:val="00DD1C82"/>
    <w:rsid w:val="00DD24B4"/>
    <w:rsid w:val="00DD2BA5"/>
    <w:rsid w:val="00DD2C42"/>
    <w:rsid w:val="00DD531D"/>
    <w:rsid w:val="00DD5E43"/>
    <w:rsid w:val="00DD77FE"/>
    <w:rsid w:val="00DD7BE8"/>
    <w:rsid w:val="00DE008B"/>
    <w:rsid w:val="00DE05BF"/>
    <w:rsid w:val="00DE2ADE"/>
    <w:rsid w:val="00DE4AFF"/>
    <w:rsid w:val="00DE50EA"/>
    <w:rsid w:val="00DE6547"/>
    <w:rsid w:val="00DE6C49"/>
    <w:rsid w:val="00DE7111"/>
    <w:rsid w:val="00DF0085"/>
    <w:rsid w:val="00DF0425"/>
    <w:rsid w:val="00DF275C"/>
    <w:rsid w:val="00DF29D7"/>
    <w:rsid w:val="00DF3591"/>
    <w:rsid w:val="00DF37A1"/>
    <w:rsid w:val="00DF4726"/>
    <w:rsid w:val="00DF472A"/>
    <w:rsid w:val="00DF644D"/>
    <w:rsid w:val="00E00ACF"/>
    <w:rsid w:val="00E01BC5"/>
    <w:rsid w:val="00E03D40"/>
    <w:rsid w:val="00E03DBC"/>
    <w:rsid w:val="00E04383"/>
    <w:rsid w:val="00E05509"/>
    <w:rsid w:val="00E058C9"/>
    <w:rsid w:val="00E05B23"/>
    <w:rsid w:val="00E0730D"/>
    <w:rsid w:val="00E10786"/>
    <w:rsid w:val="00E10DF5"/>
    <w:rsid w:val="00E16943"/>
    <w:rsid w:val="00E172C9"/>
    <w:rsid w:val="00E177F7"/>
    <w:rsid w:val="00E2099C"/>
    <w:rsid w:val="00E21084"/>
    <w:rsid w:val="00E22606"/>
    <w:rsid w:val="00E22F79"/>
    <w:rsid w:val="00E23EBA"/>
    <w:rsid w:val="00E267CB"/>
    <w:rsid w:val="00E269D6"/>
    <w:rsid w:val="00E26BE4"/>
    <w:rsid w:val="00E30CAB"/>
    <w:rsid w:val="00E3221B"/>
    <w:rsid w:val="00E33481"/>
    <w:rsid w:val="00E33627"/>
    <w:rsid w:val="00E344F4"/>
    <w:rsid w:val="00E35CDA"/>
    <w:rsid w:val="00E376F9"/>
    <w:rsid w:val="00E37C92"/>
    <w:rsid w:val="00E4005B"/>
    <w:rsid w:val="00E40D10"/>
    <w:rsid w:val="00E414DD"/>
    <w:rsid w:val="00E41752"/>
    <w:rsid w:val="00E41D01"/>
    <w:rsid w:val="00E424D0"/>
    <w:rsid w:val="00E43E71"/>
    <w:rsid w:val="00E442E8"/>
    <w:rsid w:val="00E45923"/>
    <w:rsid w:val="00E4657A"/>
    <w:rsid w:val="00E47365"/>
    <w:rsid w:val="00E47445"/>
    <w:rsid w:val="00E50696"/>
    <w:rsid w:val="00E50FE7"/>
    <w:rsid w:val="00E514A1"/>
    <w:rsid w:val="00E5206F"/>
    <w:rsid w:val="00E53DF0"/>
    <w:rsid w:val="00E55848"/>
    <w:rsid w:val="00E57FCB"/>
    <w:rsid w:val="00E61D10"/>
    <w:rsid w:val="00E62302"/>
    <w:rsid w:val="00E62B0C"/>
    <w:rsid w:val="00E64D37"/>
    <w:rsid w:val="00E667A3"/>
    <w:rsid w:val="00E66D8A"/>
    <w:rsid w:val="00E67EFF"/>
    <w:rsid w:val="00E705A5"/>
    <w:rsid w:val="00E70661"/>
    <w:rsid w:val="00E723BA"/>
    <w:rsid w:val="00E731F3"/>
    <w:rsid w:val="00E73228"/>
    <w:rsid w:val="00E767A1"/>
    <w:rsid w:val="00E768A1"/>
    <w:rsid w:val="00E80770"/>
    <w:rsid w:val="00E80D54"/>
    <w:rsid w:val="00E85E47"/>
    <w:rsid w:val="00E869E0"/>
    <w:rsid w:val="00E87091"/>
    <w:rsid w:val="00E87D9F"/>
    <w:rsid w:val="00E91D88"/>
    <w:rsid w:val="00E9208A"/>
    <w:rsid w:val="00E9251E"/>
    <w:rsid w:val="00E92B29"/>
    <w:rsid w:val="00E93AB0"/>
    <w:rsid w:val="00E95B3B"/>
    <w:rsid w:val="00E96876"/>
    <w:rsid w:val="00E97068"/>
    <w:rsid w:val="00EA2589"/>
    <w:rsid w:val="00EA2B9C"/>
    <w:rsid w:val="00EA35E0"/>
    <w:rsid w:val="00EA393C"/>
    <w:rsid w:val="00EA4418"/>
    <w:rsid w:val="00EA7673"/>
    <w:rsid w:val="00EA79EE"/>
    <w:rsid w:val="00EA7F1B"/>
    <w:rsid w:val="00EB0752"/>
    <w:rsid w:val="00EB248A"/>
    <w:rsid w:val="00EB2813"/>
    <w:rsid w:val="00EB33F6"/>
    <w:rsid w:val="00EB3A17"/>
    <w:rsid w:val="00EB435E"/>
    <w:rsid w:val="00EB525E"/>
    <w:rsid w:val="00EB5A10"/>
    <w:rsid w:val="00EB75CE"/>
    <w:rsid w:val="00EC20B5"/>
    <w:rsid w:val="00EC20EA"/>
    <w:rsid w:val="00EC3CFB"/>
    <w:rsid w:val="00EC4726"/>
    <w:rsid w:val="00EC633C"/>
    <w:rsid w:val="00EC68C5"/>
    <w:rsid w:val="00EC7956"/>
    <w:rsid w:val="00ED1DD7"/>
    <w:rsid w:val="00ED1DE2"/>
    <w:rsid w:val="00ED397D"/>
    <w:rsid w:val="00ED4913"/>
    <w:rsid w:val="00ED4D16"/>
    <w:rsid w:val="00ED5AF6"/>
    <w:rsid w:val="00EE0949"/>
    <w:rsid w:val="00EE132C"/>
    <w:rsid w:val="00EE1517"/>
    <w:rsid w:val="00EE2A34"/>
    <w:rsid w:val="00EE2B98"/>
    <w:rsid w:val="00EE2D3E"/>
    <w:rsid w:val="00EE2FA4"/>
    <w:rsid w:val="00EE392C"/>
    <w:rsid w:val="00EE4A67"/>
    <w:rsid w:val="00EE5AE6"/>
    <w:rsid w:val="00EF0BB5"/>
    <w:rsid w:val="00EF1669"/>
    <w:rsid w:val="00EF326C"/>
    <w:rsid w:val="00EF3C05"/>
    <w:rsid w:val="00EF3D46"/>
    <w:rsid w:val="00EF5906"/>
    <w:rsid w:val="00EF5F9E"/>
    <w:rsid w:val="00F003AA"/>
    <w:rsid w:val="00F0454B"/>
    <w:rsid w:val="00F067BC"/>
    <w:rsid w:val="00F0704F"/>
    <w:rsid w:val="00F108DB"/>
    <w:rsid w:val="00F11E4A"/>
    <w:rsid w:val="00F1253E"/>
    <w:rsid w:val="00F12C5E"/>
    <w:rsid w:val="00F13C87"/>
    <w:rsid w:val="00F147DE"/>
    <w:rsid w:val="00F15B9E"/>
    <w:rsid w:val="00F16C85"/>
    <w:rsid w:val="00F22301"/>
    <w:rsid w:val="00F22F1D"/>
    <w:rsid w:val="00F26FAD"/>
    <w:rsid w:val="00F270F5"/>
    <w:rsid w:val="00F2768B"/>
    <w:rsid w:val="00F27A50"/>
    <w:rsid w:val="00F30930"/>
    <w:rsid w:val="00F32222"/>
    <w:rsid w:val="00F3680B"/>
    <w:rsid w:val="00F37538"/>
    <w:rsid w:val="00F40969"/>
    <w:rsid w:val="00F40ED8"/>
    <w:rsid w:val="00F418A2"/>
    <w:rsid w:val="00F44314"/>
    <w:rsid w:val="00F45FA1"/>
    <w:rsid w:val="00F46931"/>
    <w:rsid w:val="00F51FEF"/>
    <w:rsid w:val="00F55D01"/>
    <w:rsid w:val="00F55EE3"/>
    <w:rsid w:val="00F55F00"/>
    <w:rsid w:val="00F5670D"/>
    <w:rsid w:val="00F56992"/>
    <w:rsid w:val="00F56A99"/>
    <w:rsid w:val="00F56C11"/>
    <w:rsid w:val="00F6037F"/>
    <w:rsid w:val="00F613AA"/>
    <w:rsid w:val="00F62434"/>
    <w:rsid w:val="00F62B7C"/>
    <w:rsid w:val="00F645BA"/>
    <w:rsid w:val="00F66438"/>
    <w:rsid w:val="00F66C7D"/>
    <w:rsid w:val="00F701A3"/>
    <w:rsid w:val="00F70E8D"/>
    <w:rsid w:val="00F7369B"/>
    <w:rsid w:val="00F73CE2"/>
    <w:rsid w:val="00F73DC0"/>
    <w:rsid w:val="00F76842"/>
    <w:rsid w:val="00F76E2B"/>
    <w:rsid w:val="00F809A5"/>
    <w:rsid w:val="00F812F7"/>
    <w:rsid w:val="00F81525"/>
    <w:rsid w:val="00F82ACA"/>
    <w:rsid w:val="00F82D61"/>
    <w:rsid w:val="00F83189"/>
    <w:rsid w:val="00F84D99"/>
    <w:rsid w:val="00F8635C"/>
    <w:rsid w:val="00F941D2"/>
    <w:rsid w:val="00F95246"/>
    <w:rsid w:val="00F966EC"/>
    <w:rsid w:val="00F96B22"/>
    <w:rsid w:val="00F97088"/>
    <w:rsid w:val="00F97091"/>
    <w:rsid w:val="00FA072D"/>
    <w:rsid w:val="00FA0976"/>
    <w:rsid w:val="00FA0F01"/>
    <w:rsid w:val="00FA2623"/>
    <w:rsid w:val="00FA2D92"/>
    <w:rsid w:val="00FA36C4"/>
    <w:rsid w:val="00FA38CE"/>
    <w:rsid w:val="00FA3A01"/>
    <w:rsid w:val="00FA4D04"/>
    <w:rsid w:val="00FA5FD6"/>
    <w:rsid w:val="00FA74D8"/>
    <w:rsid w:val="00FA76D9"/>
    <w:rsid w:val="00FB06A1"/>
    <w:rsid w:val="00FB1140"/>
    <w:rsid w:val="00FB1265"/>
    <w:rsid w:val="00FB3781"/>
    <w:rsid w:val="00FB3F52"/>
    <w:rsid w:val="00FB4613"/>
    <w:rsid w:val="00FB569E"/>
    <w:rsid w:val="00FB5FCF"/>
    <w:rsid w:val="00FC111B"/>
    <w:rsid w:val="00FC14F9"/>
    <w:rsid w:val="00FC1C8F"/>
    <w:rsid w:val="00FC2B56"/>
    <w:rsid w:val="00FC5403"/>
    <w:rsid w:val="00FC56C2"/>
    <w:rsid w:val="00FC684B"/>
    <w:rsid w:val="00FC73F2"/>
    <w:rsid w:val="00FD1C10"/>
    <w:rsid w:val="00FD2AB6"/>
    <w:rsid w:val="00FD3BB8"/>
    <w:rsid w:val="00FE1489"/>
    <w:rsid w:val="00FE1947"/>
    <w:rsid w:val="00FE382B"/>
    <w:rsid w:val="00FE3E11"/>
    <w:rsid w:val="00FE44F2"/>
    <w:rsid w:val="00FE451E"/>
    <w:rsid w:val="00FE47BC"/>
    <w:rsid w:val="00FE4B15"/>
    <w:rsid w:val="00FE5E07"/>
    <w:rsid w:val="00FE60D2"/>
    <w:rsid w:val="00FE7E54"/>
    <w:rsid w:val="00FF0254"/>
    <w:rsid w:val="00FF20F3"/>
    <w:rsid w:val="00FF34EA"/>
    <w:rsid w:val="00FF3DDE"/>
    <w:rsid w:val="00FF3FA1"/>
    <w:rsid w:val="00FF430C"/>
    <w:rsid w:val="00FF51E7"/>
    <w:rsid w:val="00FF5EAA"/>
    <w:rsid w:val="00FF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3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986128"/>
    <w:pPr>
      <w:spacing w:before="120" w:after="240" w:line="276" w:lineRule="auto"/>
      <w:jc w:val="both"/>
    </w:pPr>
    <w:rPr>
      <w:rFonts w:ascii="Arial" w:hAnsi="Arial"/>
    </w:rPr>
  </w:style>
  <w:style w:type="paragraph" w:styleId="Heading1">
    <w:name w:val="heading 1"/>
    <w:basedOn w:val="Normal"/>
    <w:next w:val="Normal"/>
    <w:link w:val="Heading1Char"/>
    <w:uiPriority w:val="99"/>
    <w:qFormat/>
    <w:rsid w:val="0085697C"/>
    <w:pPr>
      <w:keepNext/>
      <w:numPr>
        <w:numId w:val="6"/>
      </w:numPr>
      <w:spacing w:before="240"/>
      <w:outlineLvl w:val="0"/>
    </w:pPr>
    <w:rPr>
      <w:b/>
      <w:bCs/>
      <w:kern w:val="32"/>
      <w:sz w:val="32"/>
      <w:szCs w:val="32"/>
    </w:rPr>
  </w:style>
  <w:style w:type="paragraph" w:styleId="Heading2">
    <w:name w:val="heading 2"/>
    <w:basedOn w:val="Normal"/>
    <w:next w:val="Normal"/>
    <w:link w:val="Heading2Char"/>
    <w:uiPriority w:val="99"/>
    <w:qFormat/>
    <w:rsid w:val="0085697C"/>
    <w:pPr>
      <w:keepNext/>
      <w:numPr>
        <w:numId w:val="15"/>
      </w:numPr>
      <w:spacing w:before="240" w:after="360"/>
      <w:outlineLvl w:val="1"/>
    </w:pPr>
    <w:rPr>
      <w:bCs/>
      <w:i/>
      <w:iCs/>
      <w:sz w:val="28"/>
      <w:szCs w:val="28"/>
    </w:rPr>
  </w:style>
  <w:style w:type="paragraph" w:styleId="Heading3">
    <w:name w:val="heading 3"/>
    <w:basedOn w:val="Normal"/>
    <w:next w:val="Normal"/>
    <w:link w:val="Heading3Char"/>
    <w:uiPriority w:val="99"/>
    <w:qFormat/>
    <w:rsid w:val="00240469"/>
    <w:pPr>
      <w:keepNext/>
      <w:numPr>
        <w:numId w:val="11"/>
      </w:numPr>
      <w:spacing w:before="240"/>
      <w:jc w:val="left"/>
      <w:outlineLvl w:val="2"/>
    </w:pPr>
    <w:rPr>
      <w:b/>
      <w:bCs/>
      <w:color w:val="006A71"/>
      <w:sz w:val="24"/>
      <w:szCs w:val="26"/>
    </w:rPr>
  </w:style>
  <w:style w:type="paragraph" w:styleId="Heading4">
    <w:name w:val="heading 4"/>
    <w:basedOn w:val="Normal"/>
    <w:next w:val="Normal"/>
    <w:link w:val="Heading4Char"/>
    <w:unhideWhenUsed/>
    <w:qFormat/>
    <w:locked/>
    <w:rsid w:val="00240469"/>
    <w:pPr>
      <w:keepNext/>
      <w:keepLines/>
      <w:numPr>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9B36AF"/>
    <w:pPr>
      <w:spacing w:before="360" w:after="360"/>
      <w:jc w:val="center"/>
      <w:outlineLvl w:val="4"/>
    </w:pPr>
    <w:rPr>
      <w:rFonts w:eastAsiaTheme="minorEastAsia" w:cstheme="minorBidi"/>
      <w:b/>
      <w:bCs/>
      <w:iCs/>
      <w:szCs w:val="26"/>
    </w:rPr>
  </w:style>
  <w:style w:type="paragraph" w:styleId="Heading9">
    <w:name w:val="heading 9"/>
    <w:basedOn w:val="Normal"/>
    <w:next w:val="Normal"/>
    <w:link w:val="Heading9Char"/>
    <w:uiPriority w:val="99"/>
    <w:qFormat/>
    <w:rsid w:val="0085697C"/>
    <w:pPr>
      <w:spacing w:before="24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697C"/>
    <w:rPr>
      <w:rFonts w:ascii="Arial" w:hAnsi="Arial"/>
      <w:b/>
      <w:bCs/>
      <w:kern w:val="32"/>
      <w:sz w:val="32"/>
      <w:szCs w:val="32"/>
    </w:rPr>
  </w:style>
  <w:style w:type="character" w:customStyle="1" w:styleId="Heading2Char">
    <w:name w:val="Heading 2 Char"/>
    <w:basedOn w:val="DefaultParagraphFont"/>
    <w:link w:val="Heading2"/>
    <w:uiPriority w:val="99"/>
    <w:locked/>
    <w:rsid w:val="0085697C"/>
    <w:rPr>
      <w:rFonts w:ascii="Arial" w:hAnsi="Arial"/>
      <w:bCs/>
      <w:i/>
      <w:iCs/>
      <w:sz w:val="28"/>
      <w:szCs w:val="28"/>
    </w:rPr>
  </w:style>
  <w:style w:type="character" w:customStyle="1" w:styleId="Heading3Char">
    <w:name w:val="Heading 3 Char"/>
    <w:basedOn w:val="DefaultParagraphFont"/>
    <w:link w:val="Heading3"/>
    <w:uiPriority w:val="99"/>
    <w:locked/>
    <w:rsid w:val="00240469"/>
    <w:rPr>
      <w:rFonts w:ascii="Arial" w:hAnsi="Arial"/>
      <w:b/>
      <w:bCs/>
      <w:color w:val="006A71"/>
      <w:sz w:val="24"/>
      <w:szCs w:val="26"/>
    </w:rPr>
  </w:style>
  <w:style w:type="character" w:customStyle="1" w:styleId="Heading9Char">
    <w:name w:val="Heading 9 Char"/>
    <w:basedOn w:val="DefaultParagraphFont"/>
    <w:link w:val="Heading9"/>
    <w:uiPriority w:val="99"/>
    <w:locked/>
    <w:rsid w:val="0085697C"/>
    <w:rPr>
      <w:rFonts w:ascii="Arial" w:hAnsi="Arial"/>
      <w:b/>
    </w:rPr>
  </w:style>
  <w:style w:type="character" w:styleId="Hyperlink">
    <w:name w:val="Hyperlink"/>
    <w:basedOn w:val="DefaultParagraphFont"/>
    <w:uiPriority w:val="99"/>
    <w:rsid w:val="00A15E49"/>
    <w:rPr>
      <w:rFonts w:cs="Times New Roman"/>
      <w:color w:val="2B674D"/>
      <w:u w:val="single"/>
    </w:rPr>
  </w:style>
  <w:style w:type="paragraph" w:styleId="FootnoteText">
    <w:name w:val="footnote text"/>
    <w:basedOn w:val="Normal"/>
    <w:link w:val="FootnoteTextChar"/>
    <w:uiPriority w:val="99"/>
    <w:rsid w:val="00810149"/>
    <w:rPr>
      <w:sz w:val="20"/>
      <w:szCs w:val="20"/>
    </w:rPr>
  </w:style>
  <w:style w:type="character" w:customStyle="1" w:styleId="FootnoteTextChar">
    <w:name w:val="Footnote Text Char"/>
    <w:basedOn w:val="DefaultParagraphFont"/>
    <w:link w:val="FootnoteText"/>
    <w:uiPriority w:val="99"/>
    <w:locked/>
    <w:rsid w:val="00810149"/>
    <w:rPr>
      <w:rFonts w:ascii="Arial" w:hAnsi="Arial" w:cs="Times New Roman"/>
    </w:rPr>
  </w:style>
  <w:style w:type="character" w:styleId="FootnoteReference">
    <w:name w:val="footnote reference"/>
    <w:basedOn w:val="DefaultParagraphFont"/>
    <w:uiPriority w:val="99"/>
    <w:rsid w:val="00810149"/>
    <w:rPr>
      <w:rFonts w:cs="Times New Roman"/>
      <w:vertAlign w:val="superscript"/>
    </w:rPr>
  </w:style>
  <w:style w:type="character" w:styleId="CommentReference">
    <w:name w:val="annotation reference"/>
    <w:basedOn w:val="DefaultParagraphFont"/>
    <w:uiPriority w:val="99"/>
    <w:semiHidden/>
    <w:rsid w:val="00810149"/>
    <w:rPr>
      <w:rFonts w:cs="Times New Roman"/>
      <w:sz w:val="16"/>
      <w:szCs w:val="16"/>
    </w:rPr>
  </w:style>
  <w:style w:type="paragraph" w:styleId="CommentText">
    <w:name w:val="annotation text"/>
    <w:basedOn w:val="Normal"/>
    <w:link w:val="CommentTextChar"/>
    <w:uiPriority w:val="99"/>
    <w:semiHidden/>
    <w:rsid w:val="00810149"/>
    <w:rPr>
      <w:sz w:val="20"/>
      <w:szCs w:val="20"/>
    </w:rPr>
  </w:style>
  <w:style w:type="character" w:customStyle="1" w:styleId="CommentTextChar">
    <w:name w:val="Comment Text Char"/>
    <w:basedOn w:val="DefaultParagraphFont"/>
    <w:link w:val="CommentText"/>
    <w:uiPriority w:val="99"/>
    <w:semiHidden/>
    <w:locked/>
    <w:rsid w:val="00810149"/>
    <w:rPr>
      <w:rFonts w:ascii="Arial" w:hAnsi="Arial" w:cs="Times New Roman"/>
    </w:rPr>
  </w:style>
  <w:style w:type="paragraph" w:styleId="CommentSubject">
    <w:name w:val="annotation subject"/>
    <w:basedOn w:val="CommentText"/>
    <w:next w:val="CommentText"/>
    <w:link w:val="CommentSubjectChar"/>
    <w:uiPriority w:val="99"/>
    <w:semiHidden/>
    <w:rsid w:val="00810149"/>
    <w:rPr>
      <w:b/>
      <w:bCs/>
    </w:rPr>
  </w:style>
  <w:style w:type="character" w:customStyle="1" w:styleId="CommentSubjectChar">
    <w:name w:val="Comment Subject Char"/>
    <w:basedOn w:val="CommentTextChar"/>
    <w:link w:val="CommentSubject"/>
    <w:uiPriority w:val="99"/>
    <w:semiHidden/>
    <w:locked/>
    <w:rsid w:val="00810149"/>
    <w:rPr>
      <w:rFonts w:ascii="Arial" w:hAnsi="Arial" w:cs="Times New Roman"/>
      <w:b/>
      <w:bCs/>
    </w:rPr>
  </w:style>
  <w:style w:type="paragraph" w:styleId="BalloonText">
    <w:name w:val="Balloon Text"/>
    <w:basedOn w:val="Normal"/>
    <w:link w:val="BalloonTextChar"/>
    <w:uiPriority w:val="99"/>
    <w:semiHidden/>
    <w:rsid w:val="008101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0149"/>
    <w:rPr>
      <w:rFonts w:ascii="Tahoma" w:hAnsi="Tahoma" w:cs="Tahoma"/>
      <w:sz w:val="16"/>
      <w:szCs w:val="16"/>
    </w:rPr>
  </w:style>
  <w:style w:type="paragraph" w:styleId="Header">
    <w:name w:val="header"/>
    <w:basedOn w:val="Normal"/>
    <w:link w:val="HeaderChar"/>
    <w:uiPriority w:val="99"/>
    <w:rsid w:val="00AA46B7"/>
    <w:pPr>
      <w:tabs>
        <w:tab w:val="center" w:pos="4680"/>
        <w:tab w:val="right" w:pos="9360"/>
      </w:tabs>
    </w:pPr>
  </w:style>
  <w:style w:type="character" w:customStyle="1" w:styleId="HeaderChar">
    <w:name w:val="Header Char"/>
    <w:basedOn w:val="DefaultParagraphFont"/>
    <w:link w:val="Header"/>
    <w:uiPriority w:val="99"/>
    <w:semiHidden/>
    <w:locked/>
    <w:rsid w:val="00AA46B7"/>
    <w:rPr>
      <w:rFonts w:ascii="Arial" w:hAnsi="Arial" w:cs="Times New Roman"/>
      <w:sz w:val="22"/>
      <w:szCs w:val="22"/>
    </w:rPr>
  </w:style>
  <w:style w:type="paragraph" w:styleId="Footer">
    <w:name w:val="footer"/>
    <w:basedOn w:val="Normal"/>
    <w:link w:val="FooterChar"/>
    <w:uiPriority w:val="99"/>
    <w:rsid w:val="00AA46B7"/>
    <w:pPr>
      <w:tabs>
        <w:tab w:val="center" w:pos="4680"/>
        <w:tab w:val="right" w:pos="9360"/>
      </w:tabs>
    </w:pPr>
  </w:style>
  <w:style w:type="character" w:customStyle="1" w:styleId="FooterChar">
    <w:name w:val="Footer Char"/>
    <w:basedOn w:val="DefaultParagraphFont"/>
    <w:link w:val="Footer"/>
    <w:uiPriority w:val="99"/>
    <w:semiHidden/>
    <w:locked/>
    <w:rsid w:val="00AA46B7"/>
    <w:rPr>
      <w:rFonts w:ascii="Arial" w:hAnsi="Arial" w:cs="Times New Roman"/>
      <w:sz w:val="22"/>
      <w:szCs w:val="22"/>
    </w:rPr>
  </w:style>
  <w:style w:type="table" w:styleId="TableGrid">
    <w:name w:val="Table Grid"/>
    <w:basedOn w:val="TableNormal"/>
    <w:uiPriority w:val="99"/>
    <w:rsid w:val="001D01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CD664C"/>
    <w:pPr>
      <w:keepLines/>
      <w:spacing w:before="480" w:after="0"/>
      <w:outlineLvl w:val="9"/>
    </w:pPr>
    <w:rPr>
      <w:rFonts w:ascii="Cambria" w:hAnsi="Cambria"/>
      <w:color w:val="365F91"/>
      <w:kern w:val="0"/>
      <w:sz w:val="28"/>
      <w:szCs w:val="28"/>
    </w:rPr>
  </w:style>
  <w:style w:type="paragraph" w:styleId="TOC2">
    <w:name w:val="toc 2"/>
    <w:basedOn w:val="Normal"/>
    <w:next w:val="Normal"/>
    <w:autoRedefine/>
    <w:uiPriority w:val="39"/>
    <w:rsid w:val="00915899"/>
    <w:pPr>
      <w:tabs>
        <w:tab w:val="left" w:pos="660"/>
        <w:tab w:val="right" w:leader="dot" w:pos="9350"/>
      </w:tabs>
      <w:spacing w:before="0" w:after="0" w:line="240" w:lineRule="auto"/>
      <w:ind w:left="220"/>
    </w:pPr>
    <w:rPr>
      <w:rFonts w:ascii="Calibri" w:hAnsi="Calibri"/>
    </w:rPr>
  </w:style>
  <w:style w:type="paragraph" w:styleId="TOC1">
    <w:name w:val="toc 1"/>
    <w:basedOn w:val="Normal"/>
    <w:next w:val="Normal"/>
    <w:autoRedefine/>
    <w:uiPriority w:val="39"/>
    <w:rsid w:val="00CD664C"/>
    <w:pPr>
      <w:spacing w:before="0" w:after="100"/>
    </w:pPr>
    <w:rPr>
      <w:rFonts w:ascii="Calibri" w:hAnsi="Calibri"/>
    </w:rPr>
  </w:style>
  <w:style w:type="paragraph" w:styleId="TOC3">
    <w:name w:val="toc 3"/>
    <w:basedOn w:val="Normal"/>
    <w:next w:val="Normal"/>
    <w:autoRedefine/>
    <w:uiPriority w:val="39"/>
    <w:rsid w:val="00CD664C"/>
    <w:pPr>
      <w:spacing w:before="0" w:after="100"/>
      <w:ind w:left="440"/>
    </w:pPr>
    <w:rPr>
      <w:rFonts w:ascii="Calibri" w:hAnsi="Calibri"/>
    </w:rPr>
  </w:style>
  <w:style w:type="paragraph" w:styleId="TableofFigures">
    <w:name w:val="table of figures"/>
    <w:basedOn w:val="Normal"/>
    <w:next w:val="Normal"/>
    <w:uiPriority w:val="99"/>
    <w:rsid w:val="007B6A96"/>
  </w:style>
  <w:style w:type="paragraph" w:customStyle="1" w:styleId="BodyArial">
    <w:name w:val="Body Arial"/>
    <w:basedOn w:val="Normal"/>
    <w:link w:val="BodyArialChar"/>
    <w:uiPriority w:val="99"/>
    <w:rsid w:val="003B0D4F"/>
    <w:pPr>
      <w:widowControl w:val="0"/>
      <w:spacing w:before="60" w:line="240" w:lineRule="auto"/>
    </w:pPr>
    <w:rPr>
      <w:rFonts w:cs="Arial"/>
    </w:rPr>
  </w:style>
  <w:style w:type="character" w:customStyle="1" w:styleId="BodyArialChar">
    <w:name w:val="Body Arial Char"/>
    <w:basedOn w:val="DefaultParagraphFont"/>
    <w:link w:val="BodyArial"/>
    <w:uiPriority w:val="99"/>
    <w:locked/>
    <w:rsid w:val="003B0D4F"/>
    <w:rPr>
      <w:rFonts w:ascii="Arial" w:hAnsi="Arial" w:cs="Arial"/>
      <w:sz w:val="22"/>
      <w:szCs w:val="22"/>
    </w:rPr>
  </w:style>
  <w:style w:type="paragraph" w:styleId="NormalWeb">
    <w:name w:val="Normal (Web)"/>
    <w:basedOn w:val="Normal"/>
    <w:uiPriority w:val="99"/>
    <w:rsid w:val="004D6020"/>
    <w:pPr>
      <w:spacing w:before="100" w:beforeAutospacing="1" w:after="100" w:afterAutospacing="1" w:line="240" w:lineRule="auto"/>
    </w:pPr>
    <w:rPr>
      <w:rFonts w:ascii="Times New Roman" w:hAnsi="Times New Roman"/>
      <w:sz w:val="24"/>
      <w:szCs w:val="24"/>
    </w:rPr>
  </w:style>
  <w:style w:type="character" w:styleId="Strong">
    <w:name w:val="Strong"/>
    <w:aliases w:val="Bold Intro"/>
    <w:basedOn w:val="DefaultParagraphFont"/>
    <w:uiPriority w:val="99"/>
    <w:qFormat/>
    <w:rsid w:val="004D6020"/>
    <w:rPr>
      <w:rFonts w:cs="Times New Roman"/>
      <w:b/>
      <w:bCs/>
    </w:rPr>
  </w:style>
  <w:style w:type="paragraph" w:styleId="ListParagraph">
    <w:name w:val="List Paragraph"/>
    <w:aliases w:val="bullet,Bulleted List"/>
    <w:basedOn w:val="Normal"/>
    <w:link w:val="ListParagraphChar"/>
    <w:uiPriority w:val="34"/>
    <w:qFormat/>
    <w:rsid w:val="00535923"/>
    <w:pPr>
      <w:spacing w:before="0" w:after="200"/>
      <w:ind w:left="720"/>
      <w:contextualSpacing/>
    </w:pPr>
    <w:rPr>
      <w:rFonts w:ascii="Calibri" w:hAnsi="Calibri"/>
    </w:rPr>
  </w:style>
  <w:style w:type="character" w:styleId="FollowedHyperlink">
    <w:name w:val="FollowedHyperlink"/>
    <w:basedOn w:val="DefaultParagraphFont"/>
    <w:uiPriority w:val="99"/>
    <w:semiHidden/>
    <w:rsid w:val="00676B95"/>
    <w:rPr>
      <w:rFonts w:cs="Times New Roman"/>
      <w:color w:val="800080"/>
      <w:u w:val="single"/>
    </w:rPr>
  </w:style>
  <w:style w:type="character" w:customStyle="1" w:styleId="Heading5Char">
    <w:name w:val="Heading 5 Char"/>
    <w:basedOn w:val="DefaultParagraphFont"/>
    <w:link w:val="Heading5"/>
    <w:rsid w:val="009B36AF"/>
    <w:rPr>
      <w:rFonts w:ascii="Arial" w:eastAsiaTheme="minorEastAsia" w:hAnsi="Arial" w:cstheme="minorBidi"/>
      <w:b/>
      <w:bCs/>
      <w:iCs/>
      <w:szCs w:val="26"/>
    </w:rPr>
  </w:style>
  <w:style w:type="character" w:customStyle="1" w:styleId="Heading4Char">
    <w:name w:val="Heading 4 Char"/>
    <w:basedOn w:val="DefaultParagraphFont"/>
    <w:link w:val="Heading4"/>
    <w:rsid w:val="00240469"/>
    <w:rPr>
      <w:rFonts w:asciiTheme="majorHAnsi" w:eastAsiaTheme="majorEastAsia" w:hAnsiTheme="majorHAnsi" w:cstheme="majorBidi"/>
      <w:b/>
      <w:bCs/>
      <w:i/>
      <w:iCs/>
      <w:color w:val="4F81BD" w:themeColor="accent1"/>
    </w:rPr>
  </w:style>
  <w:style w:type="paragraph" w:styleId="Caption">
    <w:name w:val="caption"/>
    <w:basedOn w:val="Normal"/>
    <w:next w:val="Normal"/>
    <w:unhideWhenUsed/>
    <w:qFormat/>
    <w:locked/>
    <w:rsid w:val="0085697C"/>
    <w:pPr>
      <w:spacing w:before="0" w:after="200" w:line="240" w:lineRule="auto"/>
    </w:pPr>
    <w:rPr>
      <w:b/>
      <w:bCs/>
      <w:color w:val="4F81BD" w:themeColor="accent1"/>
      <w:sz w:val="18"/>
      <w:szCs w:val="18"/>
    </w:rPr>
  </w:style>
  <w:style w:type="paragraph" w:styleId="Revision">
    <w:name w:val="Revision"/>
    <w:hidden/>
    <w:uiPriority w:val="99"/>
    <w:semiHidden/>
    <w:rsid w:val="00EB5A10"/>
    <w:rPr>
      <w:rFonts w:ascii="Arial" w:hAnsi="Arial"/>
    </w:rPr>
  </w:style>
  <w:style w:type="paragraph" w:styleId="BodyText">
    <w:name w:val="Body Text"/>
    <w:basedOn w:val="Normal"/>
    <w:link w:val="BodyTextChar"/>
    <w:qFormat/>
    <w:rsid w:val="00DF0085"/>
    <w:pPr>
      <w:spacing w:before="0" w:after="120" w:line="240" w:lineRule="auto"/>
      <w:jc w:val="left"/>
    </w:pPr>
    <w:rPr>
      <w:rFonts w:ascii="Calibri" w:hAnsi="Calibri" w:cs="Calibri"/>
      <w:sz w:val="24"/>
    </w:rPr>
  </w:style>
  <w:style w:type="character" w:customStyle="1" w:styleId="BodyTextChar">
    <w:name w:val="Body Text Char"/>
    <w:basedOn w:val="DefaultParagraphFont"/>
    <w:link w:val="BodyText"/>
    <w:rsid w:val="00DF0085"/>
    <w:rPr>
      <w:rFonts w:cs="Calibri"/>
      <w:sz w:val="24"/>
    </w:rPr>
  </w:style>
  <w:style w:type="character" w:customStyle="1" w:styleId="ListParagraphChar">
    <w:name w:val="List Paragraph Char"/>
    <w:aliases w:val="bullet Char,Bulleted List Char"/>
    <w:link w:val="ListParagraph"/>
    <w:uiPriority w:val="34"/>
    <w:locked/>
    <w:rsid w:val="00EA3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986128"/>
    <w:pPr>
      <w:spacing w:before="120" w:after="240" w:line="276" w:lineRule="auto"/>
      <w:jc w:val="both"/>
    </w:pPr>
    <w:rPr>
      <w:rFonts w:ascii="Arial" w:hAnsi="Arial"/>
    </w:rPr>
  </w:style>
  <w:style w:type="paragraph" w:styleId="Heading1">
    <w:name w:val="heading 1"/>
    <w:basedOn w:val="Normal"/>
    <w:next w:val="Normal"/>
    <w:link w:val="Heading1Char"/>
    <w:uiPriority w:val="99"/>
    <w:qFormat/>
    <w:rsid w:val="0085697C"/>
    <w:pPr>
      <w:keepNext/>
      <w:numPr>
        <w:numId w:val="6"/>
      </w:numPr>
      <w:spacing w:before="240"/>
      <w:outlineLvl w:val="0"/>
    </w:pPr>
    <w:rPr>
      <w:b/>
      <w:bCs/>
      <w:kern w:val="32"/>
      <w:sz w:val="32"/>
      <w:szCs w:val="32"/>
    </w:rPr>
  </w:style>
  <w:style w:type="paragraph" w:styleId="Heading2">
    <w:name w:val="heading 2"/>
    <w:basedOn w:val="Normal"/>
    <w:next w:val="Normal"/>
    <w:link w:val="Heading2Char"/>
    <w:uiPriority w:val="99"/>
    <w:qFormat/>
    <w:rsid w:val="0085697C"/>
    <w:pPr>
      <w:keepNext/>
      <w:numPr>
        <w:numId w:val="15"/>
      </w:numPr>
      <w:spacing w:before="240" w:after="360"/>
      <w:outlineLvl w:val="1"/>
    </w:pPr>
    <w:rPr>
      <w:bCs/>
      <w:i/>
      <w:iCs/>
      <w:sz w:val="28"/>
      <w:szCs w:val="28"/>
    </w:rPr>
  </w:style>
  <w:style w:type="paragraph" w:styleId="Heading3">
    <w:name w:val="heading 3"/>
    <w:basedOn w:val="Normal"/>
    <w:next w:val="Normal"/>
    <w:link w:val="Heading3Char"/>
    <w:uiPriority w:val="99"/>
    <w:qFormat/>
    <w:rsid w:val="00240469"/>
    <w:pPr>
      <w:keepNext/>
      <w:numPr>
        <w:numId w:val="11"/>
      </w:numPr>
      <w:spacing w:before="240"/>
      <w:jc w:val="left"/>
      <w:outlineLvl w:val="2"/>
    </w:pPr>
    <w:rPr>
      <w:b/>
      <w:bCs/>
      <w:color w:val="006A71"/>
      <w:sz w:val="24"/>
      <w:szCs w:val="26"/>
    </w:rPr>
  </w:style>
  <w:style w:type="paragraph" w:styleId="Heading4">
    <w:name w:val="heading 4"/>
    <w:basedOn w:val="Normal"/>
    <w:next w:val="Normal"/>
    <w:link w:val="Heading4Char"/>
    <w:unhideWhenUsed/>
    <w:qFormat/>
    <w:locked/>
    <w:rsid w:val="00240469"/>
    <w:pPr>
      <w:keepNext/>
      <w:keepLines/>
      <w:numPr>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9B36AF"/>
    <w:pPr>
      <w:spacing w:before="360" w:after="360"/>
      <w:jc w:val="center"/>
      <w:outlineLvl w:val="4"/>
    </w:pPr>
    <w:rPr>
      <w:rFonts w:eastAsiaTheme="minorEastAsia" w:cstheme="minorBidi"/>
      <w:b/>
      <w:bCs/>
      <w:iCs/>
      <w:szCs w:val="26"/>
    </w:rPr>
  </w:style>
  <w:style w:type="paragraph" w:styleId="Heading9">
    <w:name w:val="heading 9"/>
    <w:basedOn w:val="Normal"/>
    <w:next w:val="Normal"/>
    <w:link w:val="Heading9Char"/>
    <w:uiPriority w:val="99"/>
    <w:qFormat/>
    <w:rsid w:val="0085697C"/>
    <w:pPr>
      <w:spacing w:before="24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697C"/>
    <w:rPr>
      <w:rFonts w:ascii="Arial" w:hAnsi="Arial"/>
      <w:b/>
      <w:bCs/>
      <w:kern w:val="32"/>
      <w:sz w:val="32"/>
      <w:szCs w:val="32"/>
    </w:rPr>
  </w:style>
  <w:style w:type="character" w:customStyle="1" w:styleId="Heading2Char">
    <w:name w:val="Heading 2 Char"/>
    <w:basedOn w:val="DefaultParagraphFont"/>
    <w:link w:val="Heading2"/>
    <w:uiPriority w:val="99"/>
    <w:locked/>
    <w:rsid w:val="0085697C"/>
    <w:rPr>
      <w:rFonts w:ascii="Arial" w:hAnsi="Arial"/>
      <w:bCs/>
      <w:i/>
      <w:iCs/>
      <w:sz w:val="28"/>
      <w:szCs w:val="28"/>
    </w:rPr>
  </w:style>
  <w:style w:type="character" w:customStyle="1" w:styleId="Heading3Char">
    <w:name w:val="Heading 3 Char"/>
    <w:basedOn w:val="DefaultParagraphFont"/>
    <w:link w:val="Heading3"/>
    <w:uiPriority w:val="99"/>
    <w:locked/>
    <w:rsid w:val="00240469"/>
    <w:rPr>
      <w:rFonts w:ascii="Arial" w:hAnsi="Arial"/>
      <w:b/>
      <w:bCs/>
      <w:color w:val="006A71"/>
      <w:sz w:val="24"/>
      <w:szCs w:val="26"/>
    </w:rPr>
  </w:style>
  <w:style w:type="character" w:customStyle="1" w:styleId="Heading9Char">
    <w:name w:val="Heading 9 Char"/>
    <w:basedOn w:val="DefaultParagraphFont"/>
    <w:link w:val="Heading9"/>
    <w:uiPriority w:val="99"/>
    <w:locked/>
    <w:rsid w:val="0085697C"/>
    <w:rPr>
      <w:rFonts w:ascii="Arial" w:hAnsi="Arial"/>
      <w:b/>
    </w:rPr>
  </w:style>
  <w:style w:type="character" w:styleId="Hyperlink">
    <w:name w:val="Hyperlink"/>
    <w:basedOn w:val="DefaultParagraphFont"/>
    <w:uiPriority w:val="99"/>
    <w:rsid w:val="00A15E49"/>
    <w:rPr>
      <w:rFonts w:cs="Times New Roman"/>
      <w:color w:val="2B674D"/>
      <w:u w:val="single"/>
    </w:rPr>
  </w:style>
  <w:style w:type="paragraph" w:styleId="FootnoteText">
    <w:name w:val="footnote text"/>
    <w:basedOn w:val="Normal"/>
    <w:link w:val="FootnoteTextChar"/>
    <w:uiPriority w:val="99"/>
    <w:rsid w:val="00810149"/>
    <w:rPr>
      <w:sz w:val="20"/>
      <w:szCs w:val="20"/>
    </w:rPr>
  </w:style>
  <w:style w:type="character" w:customStyle="1" w:styleId="FootnoteTextChar">
    <w:name w:val="Footnote Text Char"/>
    <w:basedOn w:val="DefaultParagraphFont"/>
    <w:link w:val="FootnoteText"/>
    <w:uiPriority w:val="99"/>
    <w:locked/>
    <w:rsid w:val="00810149"/>
    <w:rPr>
      <w:rFonts w:ascii="Arial" w:hAnsi="Arial" w:cs="Times New Roman"/>
    </w:rPr>
  </w:style>
  <w:style w:type="character" w:styleId="FootnoteReference">
    <w:name w:val="footnote reference"/>
    <w:basedOn w:val="DefaultParagraphFont"/>
    <w:uiPriority w:val="99"/>
    <w:rsid w:val="00810149"/>
    <w:rPr>
      <w:rFonts w:cs="Times New Roman"/>
      <w:vertAlign w:val="superscript"/>
    </w:rPr>
  </w:style>
  <w:style w:type="character" w:styleId="CommentReference">
    <w:name w:val="annotation reference"/>
    <w:basedOn w:val="DefaultParagraphFont"/>
    <w:uiPriority w:val="99"/>
    <w:semiHidden/>
    <w:rsid w:val="00810149"/>
    <w:rPr>
      <w:rFonts w:cs="Times New Roman"/>
      <w:sz w:val="16"/>
      <w:szCs w:val="16"/>
    </w:rPr>
  </w:style>
  <w:style w:type="paragraph" w:styleId="CommentText">
    <w:name w:val="annotation text"/>
    <w:basedOn w:val="Normal"/>
    <w:link w:val="CommentTextChar"/>
    <w:uiPriority w:val="99"/>
    <w:semiHidden/>
    <w:rsid w:val="00810149"/>
    <w:rPr>
      <w:sz w:val="20"/>
      <w:szCs w:val="20"/>
    </w:rPr>
  </w:style>
  <w:style w:type="character" w:customStyle="1" w:styleId="CommentTextChar">
    <w:name w:val="Comment Text Char"/>
    <w:basedOn w:val="DefaultParagraphFont"/>
    <w:link w:val="CommentText"/>
    <w:uiPriority w:val="99"/>
    <w:semiHidden/>
    <w:locked/>
    <w:rsid w:val="00810149"/>
    <w:rPr>
      <w:rFonts w:ascii="Arial" w:hAnsi="Arial" w:cs="Times New Roman"/>
    </w:rPr>
  </w:style>
  <w:style w:type="paragraph" w:styleId="CommentSubject">
    <w:name w:val="annotation subject"/>
    <w:basedOn w:val="CommentText"/>
    <w:next w:val="CommentText"/>
    <w:link w:val="CommentSubjectChar"/>
    <w:uiPriority w:val="99"/>
    <w:semiHidden/>
    <w:rsid w:val="00810149"/>
    <w:rPr>
      <w:b/>
      <w:bCs/>
    </w:rPr>
  </w:style>
  <w:style w:type="character" w:customStyle="1" w:styleId="CommentSubjectChar">
    <w:name w:val="Comment Subject Char"/>
    <w:basedOn w:val="CommentTextChar"/>
    <w:link w:val="CommentSubject"/>
    <w:uiPriority w:val="99"/>
    <w:semiHidden/>
    <w:locked/>
    <w:rsid w:val="00810149"/>
    <w:rPr>
      <w:rFonts w:ascii="Arial" w:hAnsi="Arial" w:cs="Times New Roman"/>
      <w:b/>
      <w:bCs/>
    </w:rPr>
  </w:style>
  <w:style w:type="paragraph" w:styleId="BalloonText">
    <w:name w:val="Balloon Text"/>
    <w:basedOn w:val="Normal"/>
    <w:link w:val="BalloonTextChar"/>
    <w:uiPriority w:val="99"/>
    <w:semiHidden/>
    <w:rsid w:val="008101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0149"/>
    <w:rPr>
      <w:rFonts w:ascii="Tahoma" w:hAnsi="Tahoma" w:cs="Tahoma"/>
      <w:sz w:val="16"/>
      <w:szCs w:val="16"/>
    </w:rPr>
  </w:style>
  <w:style w:type="paragraph" w:styleId="Header">
    <w:name w:val="header"/>
    <w:basedOn w:val="Normal"/>
    <w:link w:val="HeaderChar"/>
    <w:uiPriority w:val="99"/>
    <w:rsid w:val="00AA46B7"/>
    <w:pPr>
      <w:tabs>
        <w:tab w:val="center" w:pos="4680"/>
        <w:tab w:val="right" w:pos="9360"/>
      </w:tabs>
    </w:pPr>
  </w:style>
  <w:style w:type="character" w:customStyle="1" w:styleId="HeaderChar">
    <w:name w:val="Header Char"/>
    <w:basedOn w:val="DefaultParagraphFont"/>
    <w:link w:val="Header"/>
    <w:uiPriority w:val="99"/>
    <w:semiHidden/>
    <w:locked/>
    <w:rsid w:val="00AA46B7"/>
    <w:rPr>
      <w:rFonts w:ascii="Arial" w:hAnsi="Arial" w:cs="Times New Roman"/>
      <w:sz w:val="22"/>
      <w:szCs w:val="22"/>
    </w:rPr>
  </w:style>
  <w:style w:type="paragraph" w:styleId="Footer">
    <w:name w:val="footer"/>
    <w:basedOn w:val="Normal"/>
    <w:link w:val="FooterChar"/>
    <w:uiPriority w:val="99"/>
    <w:rsid w:val="00AA46B7"/>
    <w:pPr>
      <w:tabs>
        <w:tab w:val="center" w:pos="4680"/>
        <w:tab w:val="right" w:pos="9360"/>
      </w:tabs>
    </w:pPr>
  </w:style>
  <w:style w:type="character" w:customStyle="1" w:styleId="FooterChar">
    <w:name w:val="Footer Char"/>
    <w:basedOn w:val="DefaultParagraphFont"/>
    <w:link w:val="Footer"/>
    <w:uiPriority w:val="99"/>
    <w:semiHidden/>
    <w:locked/>
    <w:rsid w:val="00AA46B7"/>
    <w:rPr>
      <w:rFonts w:ascii="Arial" w:hAnsi="Arial" w:cs="Times New Roman"/>
      <w:sz w:val="22"/>
      <w:szCs w:val="22"/>
    </w:rPr>
  </w:style>
  <w:style w:type="table" w:styleId="TableGrid">
    <w:name w:val="Table Grid"/>
    <w:basedOn w:val="TableNormal"/>
    <w:uiPriority w:val="99"/>
    <w:rsid w:val="001D01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CD664C"/>
    <w:pPr>
      <w:keepLines/>
      <w:spacing w:before="480" w:after="0"/>
      <w:outlineLvl w:val="9"/>
    </w:pPr>
    <w:rPr>
      <w:rFonts w:ascii="Cambria" w:hAnsi="Cambria"/>
      <w:color w:val="365F91"/>
      <w:kern w:val="0"/>
      <w:sz w:val="28"/>
      <w:szCs w:val="28"/>
    </w:rPr>
  </w:style>
  <w:style w:type="paragraph" w:styleId="TOC2">
    <w:name w:val="toc 2"/>
    <w:basedOn w:val="Normal"/>
    <w:next w:val="Normal"/>
    <w:autoRedefine/>
    <w:uiPriority w:val="39"/>
    <w:rsid w:val="00915899"/>
    <w:pPr>
      <w:tabs>
        <w:tab w:val="left" w:pos="660"/>
        <w:tab w:val="right" w:leader="dot" w:pos="9350"/>
      </w:tabs>
      <w:spacing w:before="0" w:after="0" w:line="240" w:lineRule="auto"/>
      <w:ind w:left="220"/>
    </w:pPr>
    <w:rPr>
      <w:rFonts w:ascii="Calibri" w:hAnsi="Calibri"/>
    </w:rPr>
  </w:style>
  <w:style w:type="paragraph" w:styleId="TOC1">
    <w:name w:val="toc 1"/>
    <w:basedOn w:val="Normal"/>
    <w:next w:val="Normal"/>
    <w:autoRedefine/>
    <w:uiPriority w:val="39"/>
    <w:rsid w:val="00CD664C"/>
    <w:pPr>
      <w:spacing w:before="0" w:after="100"/>
    </w:pPr>
    <w:rPr>
      <w:rFonts w:ascii="Calibri" w:hAnsi="Calibri"/>
    </w:rPr>
  </w:style>
  <w:style w:type="paragraph" w:styleId="TOC3">
    <w:name w:val="toc 3"/>
    <w:basedOn w:val="Normal"/>
    <w:next w:val="Normal"/>
    <w:autoRedefine/>
    <w:uiPriority w:val="39"/>
    <w:rsid w:val="00CD664C"/>
    <w:pPr>
      <w:spacing w:before="0" w:after="100"/>
      <w:ind w:left="440"/>
    </w:pPr>
    <w:rPr>
      <w:rFonts w:ascii="Calibri" w:hAnsi="Calibri"/>
    </w:rPr>
  </w:style>
  <w:style w:type="paragraph" w:styleId="TableofFigures">
    <w:name w:val="table of figures"/>
    <w:basedOn w:val="Normal"/>
    <w:next w:val="Normal"/>
    <w:uiPriority w:val="99"/>
    <w:rsid w:val="007B6A96"/>
  </w:style>
  <w:style w:type="paragraph" w:customStyle="1" w:styleId="BodyArial">
    <w:name w:val="Body Arial"/>
    <w:basedOn w:val="Normal"/>
    <w:link w:val="BodyArialChar"/>
    <w:uiPriority w:val="99"/>
    <w:rsid w:val="003B0D4F"/>
    <w:pPr>
      <w:widowControl w:val="0"/>
      <w:spacing w:before="60" w:line="240" w:lineRule="auto"/>
    </w:pPr>
    <w:rPr>
      <w:rFonts w:cs="Arial"/>
    </w:rPr>
  </w:style>
  <w:style w:type="character" w:customStyle="1" w:styleId="BodyArialChar">
    <w:name w:val="Body Arial Char"/>
    <w:basedOn w:val="DefaultParagraphFont"/>
    <w:link w:val="BodyArial"/>
    <w:uiPriority w:val="99"/>
    <w:locked/>
    <w:rsid w:val="003B0D4F"/>
    <w:rPr>
      <w:rFonts w:ascii="Arial" w:hAnsi="Arial" w:cs="Arial"/>
      <w:sz w:val="22"/>
      <w:szCs w:val="22"/>
    </w:rPr>
  </w:style>
  <w:style w:type="paragraph" w:styleId="NormalWeb">
    <w:name w:val="Normal (Web)"/>
    <w:basedOn w:val="Normal"/>
    <w:uiPriority w:val="99"/>
    <w:rsid w:val="004D6020"/>
    <w:pPr>
      <w:spacing w:before="100" w:beforeAutospacing="1" w:after="100" w:afterAutospacing="1" w:line="240" w:lineRule="auto"/>
    </w:pPr>
    <w:rPr>
      <w:rFonts w:ascii="Times New Roman" w:hAnsi="Times New Roman"/>
      <w:sz w:val="24"/>
      <w:szCs w:val="24"/>
    </w:rPr>
  </w:style>
  <w:style w:type="character" w:styleId="Strong">
    <w:name w:val="Strong"/>
    <w:aliases w:val="Bold Intro"/>
    <w:basedOn w:val="DefaultParagraphFont"/>
    <w:uiPriority w:val="99"/>
    <w:qFormat/>
    <w:rsid w:val="004D6020"/>
    <w:rPr>
      <w:rFonts w:cs="Times New Roman"/>
      <w:b/>
      <w:bCs/>
    </w:rPr>
  </w:style>
  <w:style w:type="paragraph" w:styleId="ListParagraph">
    <w:name w:val="List Paragraph"/>
    <w:aliases w:val="bullet,Bulleted List"/>
    <w:basedOn w:val="Normal"/>
    <w:link w:val="ListParagraphChar"/>
    <w:uiPriority w:val="34"/>
    <w:qFormat/>
    <w:rsid w:val="00535923"/>
    <w:pPr>
      <w:spacing w:before="0" w:after="200"/>
      <w:ind w:left="720"/>
      <w:contextualSpacing/>
    </w:pPr>
    <w:rPr>
      <w:rFonts w:ascii="Calibri" w:hAnsi="Calibri"/>
    </w:rPr>
  </w:style>
  <w:style w:type="character" w:styleId="FollowedHyperlink">
    <w:name w:val="FollowedHyperlink"/>
    <w:basedOn w:val="DefaultParagraphFont"/>
    <w:uiPriority w:val="99"/>
    <w:semiHidden/>
    <w:rsid w:val="00676B95"/>
    <w:rPr>
      <w:rFonts w:cs="Times New Roman"/>
      <w:color w:val="800080"/>
      <w:u w:val="single"/>
    </w:rPr>
  </w:style>
  <w:style w:type="character" w:customStyle="1" w:styleId="Heading5Char">
    <w:name w:val="Heading 5 Char"/>
    <w:basedOn w:val="DefaultParagraphFont"/>
    <w:link w:val="Heading5"/>
    <w:rsid w:val="009B36AF"/>
    <w:rPr>
      <w:rFonts w:ascii="Arial" w:eastAsiaTheme="minorEastAsia" w:hAnsi="Arial" w:cstheme="minorBidi"/>
      <w:b/>
      <w:bCs/>
      <w:iCs/>
      <w:szCs w:val="26"/>
    </w:rPr>
  </w:style>
  <w:style w:type="character" w:customStyle="1" w:styleId="Heading4Char">
    <w:name w:val="Heading 4 Char"/>
    <w:basedOn w:val="DefaultParagraphFont"/>
    <w:link w:val="Heading4"/>
    <w:rsid w:val="00240469"/>
    <w:rPr>
      <w:rFonts w:asciiTheme="majorHAnsi" w:eastAsiaTheme="majorEastAsia" w:hAnsiTheme="majorHAnsi" w:cstheme="majorBidi"/>
      <w:b/>
      <w:bCs/>
      <w:i/>
      <w:iCs/>
      <w:color w:val="4F81BD" w:themeColor="accent1"/>
    </w:rPr>
  </w:style>
  <w:style w:type="paragraph" w:styleId="Caption">
    <w:name w:val="caption"/>
    <w:basedOn w:val="Normal"/>
    <w:next w:val="Normal"/>
    <w:unhideWhenUsed/>
    <w:qFormat/>
    <w:locked/>
    <w:rsid w:val="0085697C"/>
    <w:pPr>
      <w:spacing w:before="0" w:after="200" w:line="240" w:lineRule="auto"/>
    </w:pPr>
    <w:rPr>
      <w:b/>
      <w:bCs/>
      <w:color w:val="4F81BD" w:themeColor="accent1"/>
      <w:sz w:val="18"/>
      <w:szCs w:val="18"/>
    </w:rPr>
  </w:style>
  <w:style w:type="paragraph" w:styleId="Revision">
    <w:name w:val="Revision"/>
    <w:hidden/>
    <w:uiPriority w:val="99"/>
    <w:semiHidden/>
    <w:rsid w:val="00EB5A10"/>
    <w:rPr>
      <w:rFonts w:ascii="Arial" w:hAnsi="Arial"/>
    </w:rPr>
  </w:style>
  <w:style w:type="paragraph" w:styleId="BodyText">
    <w:name w:val="Body Text"/>
    <w:basedOn w:val="Normal"/>
    <w:link w:val="BodyTextChar"/>
    <w:qFormat/>
    <w:rsid w:val="00DF0085"/>
    <w:pPr>
      <w:spacing w:before="0" w:after="120" w:line="240" w:lineRule="auto"/>
      <w:jc w:val="left"/>
    </w:pPr>
    <w:rPr>
      <w:rFonts w:ascii="Calibri" w:hAnsi="Calibri" w:cs="Calibri"/>
      <w:sz w:val="24"/>
    </w:rPr>
  </w:style>
  <w:style w:type="character" w:customStyle="1" w:styleId="BodyTextChar">
    <w:name w:val="Body Text Char"/>
    <w:basedOn w:val="DefaultParagraphFont"/>
    <w:link w:val="BodyText"/>
    <w:rsid w:val="00DF0085"/>
    <w:rPr>
      <w:rFonts w:cs="Calibri"/>
      <w:sz w:val="24"/>
    </w:rPr>
  </w:style>
  <w:style w:type="character" w:customStyle="1" w:styleId="ListParagraphChar">
    <w:name w:val="List Paragraph Char"/>
    <w:aliases w:val="bullet Char,Bulleted List Char"/>
    <w:link w:val="ListParagraph"/>
    <w:uiPriority w:val="34"/>
    <w:locked/>
    <w:rsid w:val="00EA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07018">
      <w:bodyDiv w:val="1"/>
      <w:marLeft w:val="0"/>
      <w:marRight w:val="0"/>
      <w:marTop w:val="0"/>
      <w:marBottom w:val="0"/>
      <w:divBdr>
        <w:top w:val="none" w:sz="0" w:space="0" w:color="auto"/>
        <w:left w:val="none" w:sz="0" w:space="0" w:color="auto"/>
        <w:bottom w:val="none" w:sz="0" w:space="0" w:color="auto"/>
        <w:right w:val="none" w:sz="0" w:space="0" w:color="auto"/>
      </w:divBdr>
    </w:div>
    <w:div w:id="846167964">
      <w:bodyDiv w:val="1"/>
      <w:marLeft w:val="0"/>
      <w:marRight w:val="0"/>
      <w:marTop w:val="0"/>
      <w:marBottom w:val="0"/>
      <w:divBdr>
        <w:top w:val="none" w:sz="0" w:space="0" w:color="auto"/>
        <w:left w:val="none" w:sz="0" w:space="0" w:color="auto"/>
        <w:bottom w:val="none" w:sz="0" w:space="0" w:color="auto"/>
        <w:right w:val="none" w:sz="0" w:space="0" w:color="auto"/>
      </w:divBdr>
    </w:div>
    <w:div w:id="1307515468">
      <w:marLeft w:val="0"/>
      <w:marRight w:val="0"/>
      <w:marTop w:val="0"/>
      <w:marBottom w:val="0"/>
      <w:divBdr>
        <w:top w:val="none" w:sz="0" w:space="0" w:color="auto"/>
        <w:left w:val="none" w:sz="0" w:space="0" w:color="auto"/>
        <w:bottom w:val="none" w:sz="0" w:space="0" w:color="auto"/>
        <w:right w:val="none" w:sz="0" w:space="0" w:color="auto"/>
      </w:divBdr>
    </w:div>
    <w:div w:id="1307515469">
      <w:marLeft w:val="0"/>
      <w:marRight w:val="0"/>
      <w:marTop w:val="0"/>
      <w:marBottom w:val="0"/>
      <w:divBdr>
        <w:top w:val="none" w:sz="0" w:space="0" w:color="auto"/>
        <w:left w:val="none" w:sz="0" w:space="0" w:color="auto"/>
        <w:bottom w:val="none" w:sz="0" w:space="0" w:color="auto"/>
        <w:right w:val="none" w:sz="0" w:space="0" w:color="auto"/>
      </w:divBdr>
    </w:div>
    <w:div w:id="1307515470">
      <w:marLeft w:val="0"/>
      <w:marRight w:val="0"/>
      <w:marTop w:val="0"/>
      <w:marBottom w:val="0"/>
      <w:divBdr>
        <w:top w:val="none" w:sz="0" w:space="0" w:color="auto"/>
        <w:left w:val="none" w:sz="0" w:space="0" w:color="auto"/>
        <w:bottom w:val="none" w:sz="0" w:space="0" w:color="auto"/>
        <w:right w:val="none" w:sz="0" w:space="0" w:color="auto"/>
      </w:divBdr>
    </w:div>
    <w:div w:id="1307515471">
      <w:marLeft w:val="0"/>
      <w:marRight w:val="0"/>
      <w:marTop w:val="0"/>
      <w:marBottom w:val="0"/>
      <w:divBdr>
        <w:top w:val="none" w:sz="0" w:space="0" w:color="auto"/>
        <w:left w:val="none" w:sz="0" w:space="0" w:color="auto"/>
        <w:bottom w:val="none" w:sz="0" w:space="0" w:color="auto"/>
        <w:right w:val="none" w:sz="0" w:space="0" w:color="auto"/>
      </w:divBdr>
    </w:div>
    <w:div w:id="1307515472">
      <w:marLeft w:val="0"/>
      <w:marRight w:val="0"/>
      <w:marTop w:val="0"/>
      <w:marBottom w:val="0"/>
      <w:divBdr>
        <w:top w:val="none" w:sz="0" w:space="0" w:color="auto"/>
        <w:left w:val="none" w:sz="0" w:space="0" w:color="auto"/>
        <w:bottom w:val="none" w:sz="0" w:space="0" w:color="auto"/>
        <w:right w:val="none" w:sz="0" w:space="0" w:color="auto"/>
      </w:divBdr>
    </w:div>
    <w:div w:id="1307515473">
      <w:marLeft w:val="0"/>
      <w:marRight w:val="0"/>
      <w:marTop w:val="0"/>
      <w:marBottom w:val="0"/>
      <w:divBdr>
        <w:top w:val="none" w:sz="0" w:space="0" w:color="auto"/>
        <w:left w:val="none" w:sz="0" w:space="0" w:color="auto"/>
        <w:bottom w:val="none" w:sz="0" w:space="0" w:color="auto"/>
        <w:right w:val="none" w:sz="0" w:space="0" w:color="auto"/>
      </w:divBdr>
    </w:div>
    <w:div w:id="1416055085">
      <w:bodyDiv w:val="1"/>
      <w:marLeft w:val="0"/>
      <w:marRight w:val="0"/>
      <w:marTop w:val="0"/>
      <w:marBottom w:val="0"/>
      <w:divBdr>
        <w:top w:val="none" w:sz="0" w:space="0" w:color="auto"/>
        <w:left w:val="none" w:sz="0" w:space="0" w:color="auto"/>
        <w:bottom w:val="none" w:sz="0" w:space="0" w:color="auto"/>
        <w:right w:val="none" w:sz="0" w:space="0" w:color="auto"/>
      </w:divBdr>
    </w:div>
    <w:div w:id="1638141081">
      <w:bodyDiv w:val="1"/>
      <w:marLeft w:val="0"/>
      <w:marRight w:val="0"/>
      <w:marTop w:val="0"/>
      <w:marBottom w:val="0"/>
      <w:divBdr>
        <w:top w:val="none" w:sz="0" w:space="0" w:color="auto"/>
        <w:left w:val="none" w:sz="0" w:space="0" w:color="auto"/>
        <w:bottom w:val="none" w:sz="0" w:space="0" w:color="auto"/>
        <w:right w:val="none" w:sz="0" w:space="0" w:color="auto"/>
      </w:divBdr>
    </w:div>
    <w:div w:id="1766729952">
      <w:bodyDiv w:val="1"/>
      <w:marLeft w:val="0"/>
      <w:marRight w:val="0"/>
      <w:marTop w:val="0"/>
      <w:marBottom w:val="0"/>
      <w:divBdr>
        <w:top w:val="none" w:sz="0" w:space="0" w:color="auto"/>
        <w:left w:val="none" w:sz="0" w:space="0" w:color="auto"/>
        <w:bottom w:val="none" w:sz="0" w:space="0" w:color="auto"/>
        <w:right w:val="none" w:sz="0" w:space="0" w:color="auto"/>
      </w:divBdr>
    </w:div>
    <w:div w:id="1968268362">
      <w:bodyDiv w:val="1"/>
      <w:marLeft w:val="0"/>
      <w:marRight w:val="0"/>
      <w:marTop w:val="0"/>
      <w:marBottom w:val="0"/>
      <w:divBdr>
        <w:top w:val="none" w:sz="0" w:space="0" w:color="auto"/>
        <w:left w:val="none" w:sz="0" w:space="0" w:color="auto"/>
        <w:bottom w:val="none" w:sz="0" w:space="0" w:color="auto"/>
        <w:right w:val="none" w:sz="0" w:space="0" w:color="auto"/>
      </w:divBdr>
    </w:div>
    <w:div w:id="20147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11.emf"/><Relationship Id="rId39" Type="http://schemas.openxmlformats.org/officeDocument/2006/relationships/image" Target="media/image16.emf"/><Relationship Id="rId21" Type="http://schemas.openxmlformats.org/officeDocument/2006/relationships/image" Target="media/image6.emf"/><Relationship Id="rId34" Type="http://schemas.openxmlformats.org/officeDocument/2006/relationships/hyperlink" Target="http://apps.leg.wa.gov/rcw/default.aspx?cite=19.285.040" TargetMode="External"/><Relationship Id="rId42" Type="http://schemas.openxmlformats.org/officeDocument/2006/relationships/header" Target="header11.xml"/><Relationship Id="rId47" Type="http://schemas.openxmlformats.org/officeDocument/2006/relationships/header" Target="header16.xml"/><Relationship Id="rId50" Type="http://schemas.openxmlformats.org/officeDocument/2006/relationships/header" Target="header19.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4.emf"/><Relationship Id="rId11" Type="http://schemas.openxmlformats.org/officeDocument/2006/relationships/footer" Target="footer1.xml"/><Relationship Id="rId24" Type="http://schemas.openxmlformats.org/officeDocument/2006/relationships/image" Target="media/image9.emf"/><Relationship Id="rId32" Type="http://schemas.openxmlformats.org/officeDocument/2006/relationships/header" Target="header9.xml"/><Relationship Id="rId37" Type="http://schemas.openxmlformats.org/officeDocument/2006/relationships/hyperlink" Target="http://apps.leg.wa.gov/rcw/default.aspx?cite=19.29A" TargetMode="External"/><Relationship Id="rId40" Type="http://schemas.openxmlformats.org/officeDocument/2006/relationships/image" Target="media/image17.emf"/><Relationship Id="rId45"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customXml" Target="../customXml/item4.xml"/><Relationship Id="rId5" Type="http://schemas.openxmlformats.org/officeDocument/2006/relationships/settings" Target="settings.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hyperlink" Target="http://apps.leg.wa.gov/rcw/default.aspx?cite=19.285.040" TargetMode="External"/><Relationship Id="rId43" Type="http://schemas.openxmlformats.org/officeDocument/2006/relationships/header" Target="header12.xml"/><Relationship Id="rId48" Type="http://schemas.openxmlformats.org/officeDocument/2006/relationships/header" Target="header17.xml"/><Relationship Id="rId56"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image" Target="media/image10.emf"/><Relationship Id="rId33" Type="http://schemas.openxmlformats.org/officeDocument/2006/relationships/header" Target="header10.xml"/><Relationship Id="rId38" Type="http://schemas.openxmlformats.org/officeDocument/2006/relationships/hyperlink" Target="http://www.pse.com/savingsandenergycenter/ForBusinesses/Pages/Combined-Heat-and-Power.aspx" TargetMode="External"/><Relationship Id="rId46" Type="http://schemas.openxmlformats.org/officeDocument/2006/relationships/header" Target="header15.xml"/><Relationship Id="rId59" Type="http://schemas.openxmlformats.org/officeDocument/2006/relationships/customXml" Target="../customXml/item5.xml"/><Relationship Id="rId20" Type="http://schemas.openxmlformats.org/officeDocument/2006/relationships/header" Target="header7.xml"/><Relationship Id="rId41" Type="http://schemas.openxmlformats.org/officeDocument/2006/relationships/hyperlink" Target="http://www.nwcouncil.org/energy/powerplan/6/supplycurves/I937/CouncilMethodology_outline%20_2_.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hyperlink" Target="http://apps.leg.wa.gov/rcw/default.aspx?cite=19.285.050" TargetMode="External"/><Relationship Id="rId49" Type="http://schemas.openxmlformats.org/officeDocument/2006/relationships/header" Target="header18.xml"/><Relationship Id="rId57" Type="http://schemas.openxmlformats.org/officeDocument/2006/relationships/customXml" Target="../customXml/item3.xml"/><Relationship Id="rId10" Type="http://schemas.openxmlformats.org/officeDocument/2006/relationships/header" Target="header1.xml"/><Relationship Id="rId31" Type="http://schemas.openxmlformats.org/officeDocument/2006/relationships/header" Target="header8.xml"/><Relationship Id="rId44" Type="http://schemas.openxmlformats.org/officeDocument/2006/relationships/header" Target="header13.xml"/><Relationship Id="rId52" Type="http://schemas.openxmlformats.org/officeDocument/2006/relationships/header" Target="header2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20.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A720EA-74F6-4D53-B018-C18E34046367}"/>
</file>

<file path=customXml/itemProps2.xml><?xml version="1.0" encoding="utf-8"?>
<ds:datastoreItem xmlns:ds="http://schemas.openxmlformats.org/officeDocument/2006/customXml" ds:itemID="{43C9DD49-35B9-4E71-8C36-D58BA712F0EF}"/>
</file>

<file path=customXml/itemProps3.xml><?xml version="1.0" encoding="utf-8"?>
<ds:datastoreItem xmlns:ds="http://schemas.openxmlformats.org/officeDocument/2006/customXml" ds:itemID="{C94ED302-7B67-42A4-BE36-9CFF1050799F}"/>
</file>

<file path=customXml/itemProps4.xml><?xml version="1.0" encoding="utf-8"?>
<ds:datastoreItem xmlns:ds="http://schemas.openxmlformats.org/officeDocument/2006/customXml" ds:itemID="{E3E5245B-CA76-450D-B7FE-7C3BEC37EA7B}"/>
</file>

<file path=customXml/itemProps5.xml><?xml version="1.0" encoding="utf-8"?>
<ds:datastoreItem xmlns:ds="http://schemas.openxmlformats.org/officeDocument/2006/customXml" ds:itemID="{060A12C5-8FD5-44B2-B6B7-CB8F08AA3D3D}"/>
</file>

<file path=docProps/app.xml><?xml version="1.0" encoding="utf-8"?>
<Properties xmlns="http://schemas.openxmlformats.org/officeDocument/2006/extended-properties" xmlns:vt="http://schemas.openxmlformats.org/officeDocument/2006/docPropsVTypes">
  <Template>Normal.dotm</Template>
  <TotalTime>1</TotalTime>
  <Pages>47</Pages>
  <Words>9048</Words>
  <Characters>56822</Characters>
  <Application>Microsoft Office Word</Application>
  <DocSecurity>0</DocSecurity>
  <Lines>473</Lines>
  <Paragraphs>131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Hemstreet</dc:creator>
  <cp:lastModifiedBy>Andy Hemstreet</cp:lastModifiedBy>
  <cp:revision>2</cp:revision>
  <cp:lastPrinted>2016-05-25T20:13:00Z</cp:lastPrinted>
  <dcterms:created xsi:type="dcterms:W3CDTF">2016-05-25T21:57:00Z</dcterms:created>
  <dcterms:modified xsi:type="dcterms:W3CDTF">2016-05-25T21:57:00Z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0x0101006E56B4D1795A2E4DB2F0B01679ED314A0011940A5867748F42B23F2496B49568D7</vt:lpwstr>
  </property>
  <property fmtid="{D5CDD505-2E9C-101B-9397-08002B2CF9AE}" pid="3" name="_docset_NoMedatataSyncRequired">
    <vt:lpwstr>False</vt:lpwstr>
  </property>
</Properties>
</file>