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word/numbering.xml" ContentType="application/vnd.openxmlformats-officedocument.wordprocessingml.numbering+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E16F5B" w14:textId="77777777" w:rsidR="00D57785" w:rsidRDefault="00D57785">
      <w:pPr>
        <w:pStyle w:val="Title"/>
      </w:pPr>
    </w:p>
    <w:p w14:paraId="4279ED45" w14:textId="77777777" w:rsidR="00AF1736" w:rsidRDefault="00AF1736" w:rsidP="00306137">
      <w:pPr>
        <w:jc w:val="center"/>
        <w:outlineLvl w:val="0"/>
        <w:rPr>
          <w:b/>
          <w:bCs/>
        </w:rPr>
      </w:pPr>
      <w:r>
        <w:rPr>
          <w:b/>
          <w:bCs/>
        </w:rPr>
        <w:t xml:space="preserve">BEFORE THE WASHINGTON </w:t>
      </w:r>
    </w:p>
    <w:p w14:paraId="4A5B06D8" w14:textId="77777777" w:rsidR="0096084F" w:rsidRDefault="0096084F">
      <w:pPr>
        <w:jc w:val="center"/>
        <w:rPr>
          <w:b/>
          <w:bCs/>
        </w:rPr>
      </w:pPr>
    </w:p>
    <w:p w14:paraId="5A90499B" w14:textId="77777777" w:rsidR="00B43A04" w:rsidRDefault="00AF1736" w:rsidP="00306137">
      <w:pPr>
        <w:jc w:val="center"/>
        <w:outlineLvl w:val="0"/>
        <w:rPr>
          <w:b/>
          <w:bCs/>
        </w:rPr>
      </w:pPr>
      <w:r>
        <w:rPr>
          <w:b/>
          <w:bCs/>
        </w:rPr>
        <w:t xml:space="preserve">UTILITIES AND TRANSPORTATION COMMISSION </w:t>
      </w:r>
    </w:p>
    <w:p w14:paraId="6C649B78" w14:textId="77777777" w:rsidR="00B43A04" w:rsidRDefault="00B43A04">
      <w:pPr>
        <w:jc w:val="center"/>
      </w:pPr>
    </w:p>
    <w:tbl>
      <w:tblPr>
        <w:tblW w:w="0" w:type="auto"/>
        <w:tblLayout w:type="fixed"/>
        <w:tblCellMar>
          <w:left w:w="0" w:type="dxa"/>
          <w:right w:w="0" w:type="dxa"/>
        </w:tblCellMar>
        <w:tblLook w:val="0000" w:firstRow="0" w:lastRow="0" w:firstColumn="0" w:lastColumn="0" w:noHBand="0" w:noVBand="0"/>
      </w:tblPr>
      <w:tblGrid>
        <w:gridCol w:w="4508"/>
        <w:gridCol w:w="310"/>
        <w:gridCol w:w="4542"/>
      </w:tblGrid>
      <w:tr w:rsidR="00B43A04" w14:paraId="1E00A790" w14:textId="77777777" w:rsidTr="00CA1E04">
        <w:trPr>
          <w:trHeight w:val="1593"/>
        </w:trPr>
        <w:tc>
          <w:tcPr>
            <w:tcW w:w="4508" w:type="dxa"/>
            <w:tcBorders>
              <w:bottom w:val="single" w:sz="4" w:space="0" w:color="auto"/>
            </w:tcBorders>
          </w:tcPr>
          <w:p w14:paraId="6AAD3477" w14:textId="77777777" w:rsidR="00AF1736" w:rsidRDefault="00AF1736" w:rsidP="00AF1736">
            <w:pPr>
              <w:tabs>
                <w:tab w:val="left" w:pos="2160"/>
              </w:tabs>
              <w:rPr>
                <w:bCs/>
              </w:rPr>
            </w:pPr>
            <w:r>
              <w:rPr>
                <w:bCs/>
              </w:rPr>
              <w:t>WASHINGTON UTILITIES AND TRANSPORTATION COMMISSION,</w:t>
            </w:r>
          </w:p>
          <w:p w14:paraId="11C2AC66" w14:textId="77777777" w:rsidR="00AF1736" w:rsidRDefault="00AF1736" w:rsidP="00AF1736">
            <w:pPr>
              <w:tabs>
                <w:tab w:val="left" w:pos="2160"/>
              </w:tabs>
              <w:rPr>
                <w:bCs/>
              </w:rPr>
            </w:pPr>
          </w:p>
          <w:p w14:paraId="745C7F7F" w14:textId="77777777" w:rsidR="00AF1736" w:rsidRDefault="00AF1736" w:rsidP="00525E22">
            <w:pPr>
              <w:tabs>
                <w:tab w:val="left" w:pos="1440"/>
              </w:tabs>
              <w:rPr>
                <w:bCs/>
              </w:rPr>
            </w:pPr>
            <w:r>
              <w:rPr>
                <w:bCs/>
              </w:rPr>
              <w:tab/>
              <w:t>Complainant,</w:t>
            </w:r>
          </w:p>
          <w:p w14:paraId="1B941F0E" w14:textId="77777777" w:rsidR="00AF1736" w:rsidRDefault="00AF1736" w:rsidP="00AF1736">
            <w:pPr>
              <w:tabs>
                <w:tab w:val="left" w:pos="2160"/>
              </w:tabs>
              <w:rPr>
                <w:bCs/>
              </w:rPr>
            </w:pPr>
          </w:p>
          <w:p w14:paraId="1C780F90" w14:textId="77777777" w:rsidR="00AF1736" w:rsidRDefault="00AF1736" w:rsidP="00AF1736">
            <w:pPr>
              <w:rPr>
                <w:bCs/>
              </w:rPr>
            </w:pPr>
            <w:r>
              <w:rPr>
                <w:bCs/>
              </w:rPr>
              <w:t>v.</w:t>
            </w:r>
          </w:p>
          <w:p w14:paraId="44F9D8FC" w14:textId="77777777" w:rsidR="00AF1736" w:rsidRDefault="00AF1736" w:rsidP="00AF1736">
            <w:pPr>
              <w:tabs>
                <w:tab w:val="left" w:pos="2160"/>
              </w:tabs>
              <w:rPr>
                <w:bCs/>
              </w:rPr>
            </w:pPr>
          </w:p>
          <w:p w14:paraId="400614F0" w14:textId="54E431E6" w:rsidR="00AF1736" w:rsidRDefault="0046324C" w:rsidP="00AF1736">
            <w:pPr>
              <w:tabs>
                <w:tab w:val="left" w:pos="2160"/>
              </w:tabs>
              <w:rPr>
                <w:bCs/>
              </w:rPr>
            </w:pPr>
            <w:r>
              <w:rPr>
                <w:bCs/>
              </w:rPr>
              <w:t>PUGET SOUND ENERGY</w:t>
            </w:r>
            <w:r w:rsidR="00AF1736" w:rsidRPr="001A5EFC">
              <w:rPr>
                <w:bCs/>
              </w:rPr>
              <w:t xml:space="preserve">, </w:t>
            </w:r>
          </w:p>
          <w:p w14:paraId="445E096A" w14:textId="77777777" w:rsidR="00AF1736" w:rsidRDefault="00AF1736" w:rsidP="00AF1736">
            <w:pPr>
              <w:tabs>
                <w:tab w:val="left" w:pos="2160"/>
              </w:tabs>
              <w:rPr>
                <w:bCs/>
              </w:rPr>
            </w:pPr>
          </w:p>
          <w:p w14:paraId="669BF342" w14:textId="77777777" w:rsidR="00454391" w:rsidRPr="00625777" w:rsidRDefault="00AF1736" w:rsidP="00AF1736">
            <w:pPr>
              <w:tabs>
                <w:tab w:val="left" w:pos="1456"/>
              </w:tabs>
              <w:autoSpaceDE w:val="0"/>
              <w:autoSpaceDN w:val="0"/>
              <w:adjustRightInd w:val="0"/>
              <w:rPr>
                <w:color w:val="000000"/>
              </w:rPr>
            </w:pPr>
            <w:r>
              <w:rPr>
                <w:bCs/>
              </w:rPr>
              <w:tab/>
              <w:t>Respondent.</w:t>
            </w:r>
          </w:p>
        </w:tc>
        <w:tc>
          <w:tcPr>
            <w:tcW w:w="310" w:type="dxa"/>
          </w:tcPr>
          <w:p w14:paraId="07D01D52" w14:textId="77777777" w:rsidR="00B43A04" w:rsidRDefault="00B43A04">
            <w:pPr>
              <w:pStyle w:val="SingleSpacing"/>
              <w:spacing w:line="240" w:lineRule="auto"/>
            </w:pPr>
            <w:r>
              <w:t>)</w:t>
            </w:r>
          </w:p>
          <w:p w14:paraId="56018D4F" w14:textId="77777777" w:rsidR="00B43A04" w:rsidRDefault="00B43A04">
            <w:pPr>
              <w:pStyle w:val="SingleSpacing"/>
              <w:spacing w:line="240" w:lineRule="auto"/>
            </w:pPr>
            <w:r>
              <w:t>)</w:t>
            </w:r>
          </w:p>
          <w:p w14:paraId="1496E439" w14:textId="77777777" w:rsidR="00B43A04" w:rsidRDefault="00B43A04">
            <w:pPr>
              <w:pStyle w:val="SingleSpacing"/>
              <w:spacing w:line="240" w:lineRule="auto"/>
            </w:pPr>
            <w:r>
              <w:t>)</w:t>
            </w:r>
          </w:p>
          <w:p w14:paraId="7BBE0DFC" w14:textId="77777777" w:rsidR="00B43A04" w:rsidRDefault="00B43A04">
            <w:pPr>
              <w:pStyle w:val="SingleSpacing"/>
              <w:spacing w:line="240" w:lineRule="auto"/>
            </w:pPr>
            <w:r>
              <w:t>)</w:t>
            </w:r>
          </w:p>
          <w:p w14:paraId="452B6DFD" w14:textId="77777777" w:rsidR="00625777" w:rsidRDefault="00B43A04">
            <w:pPr>
              <w:pStyle w:val="SingleSpacing"/>
              <w:spacing w:line="240" w:lineRule="auto"/>
            </w:pPr>
            <w:r>
              <w:t>)</w:t>
            </w:r>
          </w:p>
          <w:p w14:paraId="2E275D0D" w14:textId="77777777" w:rsidR="00E34B0B" w:rsidRDefault="00E34B0B">
            <w:pPr>
              <w:pStyle w:val="SingleSpacing"/>
              <w:spacing w:line="240" w:lineRule="auto"/>
            </w:pPr>
            <w:r>
              <w:t>)</w:t>
            </w:r>
          </w:p>
          <w:p w14:paraId="372982E8" w14:textId="77777777" w:rsidR="00AF1736" w:rsidRDefault="00AF1736">
            <w:pPr>
              <w:pStyle w:val="SingleSpacing"/>
              <w:spacing w:line="240" w:lineRule="auto"/>
            </w:pPr>
            <w:r>
              <w:t>)</w:t>
            </w:r>
          </w:p>
          <w:p w14:paraId="4E8FC730" w14:textId="77777777" w:rsidR="00AF1736" w:rsidRDefault="00AF1736">
            <w:pPr>
              <w:pStyle w:val="SingleSpacing"/>
              <w:spacing w:line="240" w:lineRule="auto"/>
            </w:pPr>
            <w:r>
              <w:t>)</w:t>
            </w:r>
          </w:p>
          <w:p w14:paraId="7CD94C28" w14:textId="77777777" w:rsidR="00AF1736" w:rsidRDefault="00AF1736">
            <w:pPr>
              <w:pStyle w:val="SingleSpacing"/>
              <w:spacing w:line="240" w:lineRule="auto"/>
            </w:pPr>
            <w:r>
              <w:t>)</w:t>
            </w:r>
          </w:p>
          <w:p w14:paraId="374BA4ED" w14:textId="77777777" w:rsidR="00AF1736" w:rsidRDefault="00AF1736">
            <w:pPr>
              <w:pStyle w:val="SingleSpacing"/>
              <w:spacing w:line="240" w:lineRule="auto"/>
            </w:pPr>
            <w:r>
              <w:t>)</w:t>
            </w:r>
          </w:p>
          <w:p w14:paraId="6C02DE74" w14:textId="77777777" w:rsidR="00AF1736" w:rsidRDefault="00AF1736">
            <w:pPr>
              <w:pStyle w:val="SingleSpacing"/>
              <w:spacing w:line="240" w:lineRule="auto"/>
            </w:pPr>
            <w:r>
              <w:t>)</w:t>
            </w:r>
          </w:p>
        </w:tc>
        <w:tc>
          <w:tcPr>
            <w:tcW w:w="4542" w:type="dxa"/>
          </w:tcPr>
          <w:p w14:paraId="451CF77C" w14:textId="6A0A2BE3" w:rsidR="00B43A04" w:rsidRPr="0096084F" w:rsidRDefault="00AF1736" w:rsidP="00EA17EA">
            <w:pPr>
              <w:pStyle w:val="SingleSpacing"/>
              <w:spacing w:line="240" w:lineRule="auto"/>
              <w:ind w:left="492" w:hanging="90"/>
            </w:pPr>
            <w:bookmarkStart w:id="0" w:name="CaseNumber"/>
            <w:bookmarkEnd w:id="0"/>
            <w:r w:rsidRPr="0096084F">
              <w:t>DOCKET NO. UE-</w:t>
            </w:r>
            <w:r w:rsidR="00F865D1" w:rsidRPr="0096084F">
              <w:t>161123</w:t>
            </w:r>
          </w:p>
          <w:p w14:paraId="55457B7B" w14:textId="77777777" w:rsidR="00AF1736" w:rsidRPr="0096084F" w:rsidRDefault="00AF1736" w:rsidP="00AF1736">
            <w:pPr>
              <w:pStyle w:val="BodyText2"/>
              <w:ind w:left="410"/>
              <w:rPr>
                <w:b w:val="0"/>
                <w:bCs w:val="0"/>
              </w:rPr>
            </w:pPr>
          </w:p>
          <w:p w14:paraId="659EF3ED" w14:textId="2302FB21" w:rsidR="00B43A04" w:rsidRPr="008249F9" w:rsidRDefault="00041E4D" w:rsidP="00AF1736">
            <w:pPr>
              <w:pStyle w:val="BodyText2"/>
              <w:ind w:left="410"/>
              <w:rPr>
                <w:bCs w:val="0"/>
              </w:rPr>
            </w:pPr>
            <w:r>
              <w:rPr>
                <w:b w:val="0"/>
                <w:bCs w:val="0"/>
              </w:rPr>
              <w:t xml:space="preserve">THE </w:t>
            </w:r>
            <w:r w:rsidR="001B6CE1">
              <w:rPr>
                <w:b w:val="0"/>
                <w:bCs w:val="0"/>
              </w:rPr>
              <w:t>NORTHWEST AND INTERMOUNTAIN POWER PR</w:t>
            </w:r>
            <w:r w:rsidR="00252395">
              <w:rPr>
                <w:b w:val="0"/>
                <w:bCs w:val="0"/>
              </w:rPr>
              <w:t>ODUCERS COALITION REPLY</w:t>
            </w:r>
            <w:r w:rsidR="001B6CE1">
              <w:rPr>
                <w:b w:val="0"/>
                <w:bCs w:val="0"/>
              </w:rPr>
              <w:t xml:space="preserve"> TO PUGET SOUND ENERGY’S </w:t>
            </w:r>
            <w:r w:rsidR="00252395">
              <w:rPr>
                <w:b w:val="0"/>
                <w:bCs w:val="0"/>
              </w:rPr>
              <w:t xml:space="preserve">RESPONSE IN OPPOSITION TO THE </w:t>
            </w:r>
            <w:r w:rsidR="00B43A04" w:rsidRPr="0096084F">
              <w:rPr>
                <w:b w:val="0"/>
                <w:bCs w:val="0"/>
              </w:rPr>
              <w:t>PETITION</w:t>
            </w:r>
            <w:r w:rsidR="000A4BD2" w:rsidRPr="0096084F">
              <w:rPr>
                <w:b w:val="0"/>
                <w:bCs w:val="0"/>
              </w:rPr>
              <w:t xml:space="preserve"> TO INTERVENE</w:t>
            </w:r>
            <w:r w:rsidR="00B43A04" w:rsidRPr="0096084F">
              <w:rPr>
                <w:b w:val="0"/>
                <w:bCs w:val="0"/>
              </w:rPr>
              <w:t xml:space="preserve"> </w:t>
            </w:r>
            <w:r w:rsidR="00443EC1" w:rsidRPr="0096084F">
              <w:rPr>
                <w:b w:val="0"/>
                <w:bCs w:val="0"/>
              </w:rPr>
              <w:t>OF</w:t>
            </w:r>
            <w:r w:rsidR="00B11CD9" w:rsidRPr="0096084F">
              <w:rPr>
                <w:b w:val="0"/>
                <w:bCs w:val="0"/>
              </w:rPr>
              <w:t xml:space="preserve"> </w:t>
            </w:r>
            <w:r w:rsidR="00AF1736" w:rsidRPr="0096084F">
              <w:rPr>
                <w:b w:val="0"/>
                <w:bCs w:val="0"/>
              </w:rPr>
              <w:t xml:space="preserve">THE </w:t>
            </w:r>
            <w:r w:rsidR="00A50BD4" w:rsidRPr="0096084F">
              <w:rPr>
                <w:b w:val="0"/>
                <w:bCs w:val="0"/>
              </w:rPr>
              <w:t xml:space="preserve">NORTHWEST AND INTERMOUNTAIN POWER PRODUCERS </w:t>
            </w:r>
            <w:r w:rsidR="00E34C41" w:rsidRPr="0096084F">
              <w:rPr>
                <w:b w:val="0"/>
                <w:bCs w:val="0"/>
              </w:rPr>
              <w:t>COALITION</w:t>
            </w:r>
            <w:r w:rsidR="00E34C41" w:rsidRPr="008249F9">
              <w:rPr>
                <w:bCs w:val="0"/>
              </w:rPr>
              <w:t xml:space="preserve"> </w:t>
            </w:r>
          </w:p>
        </w:tc>
      </w:tr>
    </w:tbl>
    <w:p w14:paraId="1A28F856" w14:textId="77777777" w:rsidR="00B43A04" w:rsidRPr="006A3AAB" w:rsidRDefault="00B43A04" w:rsidP="00656B7E">
      <w:pPr>
        <w:ind w:hanging="540"/>
      </w:pPr>
    </w:p>
    <w:p w14:paraId="5531EB8D" w14:textId="7801ABF1" w:rsidR="00410E54" w:rsidRPr="00410E54" w:rsidRDefault="00410E54" w:rsidP="00410E54">
      <w:pPr>
        <w:spacing w:line="480" w:lineRule="auto"/>
        <w:jc w:val="center"/>
        <w:rPr>
          <w:b/>
        </w:rPr>
      </w:pPr>
      <w:r>
        <w:rPr>
          <w:b/>
        </w:rPr>
        <w:t>I.</w:t>
      </w:r>
      <w:r>
        <w:rPr>
          <w:b/>
        </w:rPr>
        <w:tab/>
        <w:t>INTRODUCTION</w:t>
      </w:r>
    </w:p>
    <w:p w14:paraId="02EFE871" w14:textId="67D4C140" w:rsidR="000712A9" w:rsidRDefault="00410E54" w:rsidP="00656B7E">
      <w:pPr>
        <w:pStyle w:val="ListParagraph"/>
        <w:numPr>
          <w:ilvl w:val="0"/>
          <w:numId w:val="27"/>
        </w:numPr>
        <w:spacing w:line="480" w:lineRule="auto"/>
        <w:ind w:hanging="540"/>
      </w:pPr>
      <w:r>
        <w:tab/>
      </w:r>
      <w:r w:rsidR="00AF1736">
        <w:t>Pursuant to Washington Administrative Code (“WAC”) § 480-07-355, the</w:t>
      </w:r>
      <w:r w:rsidR="007932B6">
        <w:t xml:space="preserve"> </w:t>
      </w:r>
      <w:r w:rsidR="00A22901" w:rsidRPr="00501FAA">
        <w:rPr>
          <w:rFonts w:eastAsia="ＭＳ 明朝"/>
          <w:szCs w:val="24"/>
          <w:lang w:eastAsia="ja-JP"/>
        </w:rPr>
        <w:t>Northwest and Intermountain Power Producers Coalition</w:t>
      </w:r>
      <w:r w:rsidR="00B11CD9">
        <w:t xml:space="preserve"> </w:t>
      </w:r>
      <w:r w:rsidR="008732C9">
        <w:t>(</w:t>
      </w:r>
      <w:r w:rsidR="00AF1736">
        <w:t>“</w:t>
      </w:r>
      <w:r w:rsidR="00A22901">
        <w:t>NIPPC</w:t>
      </w:r>
      <w:r w:rsidR="008732C9">
        <w:t>”)</w:t>
      </w:r>
      <w:r w:rsidR="00A15373">
        <w:t xml:space="preserve"> </w:t>
      </w:r>
      <w:r w:rsidR="00AC57D6">
        <w:t xml:space="preserve">files this reply to Puget Sound Energy’s (“PSE”) response in opposition to NIPPC’s </w:t>
      </w:r>
      <w:r w:rsidR="00EA17EA">
        <w:t>pe</w:t>
      </w:r>
      <w:r w:rsidR="00AF1736">
        <w:t xml:space="preserve">titions </w:t>
      </w:r>
      <w:r w:rsidR="006866C4">
        <w:t>to intervene</w:t>
      </w:r>
      <w:r w:rsidR="00AF1736">
        <w:t xml:space="preserve"> </w:t>
      </w:r>
      <w:r w:rsidR="000712A9">
        <w:t>in this proceeding.</w:t>
      </w:r>
      <w:r w:rsidR="003C694D">
        <w:rPr>
          <w:rStyle w:val="FootnoteReference"/>
        </w:rPr>
        <w:footnoteReference w:id="1"/>
      </w:r>
      <w:r w:rsidR="000712A9">
        <w:t xml:space="preserve">  T</w:t>
      </w:r>
      <w:r w:rsidR="000712A9" w:rsidRPr="000712A9">
        <w:t>he Washington Utilities and Transportation Commission (the “Commission”)</w:t>
      </w:r>
      <w:r w:rsidR="000712A9">
        <w:t xml:space="preserve"> should grant NIPPC’s intervention in this proceeding because </w:t>
      </w:r>
      <w:r w:rsidR="00041E4D">
        <w:t xml:space="preserve">NIPPC </w:t>
      </w:r>
      <w:r w:rsidR="00A54626">
        <w:t>has a substantial interest in this proceeding</w:t>
      </w:r>
      <w:r w:rsidR="003C694D">
        <w:t>,</w:t>
      </w:r>
      <w:r w:rsidR="00A54626">
        <w:t xml:space="preserve"> and its participation will </w:t>
      </w:r>
      <w:r w:rsidR="00B96F34">
        <w:t>further the public interest and develop a record that more fully informs the Commission on key issues than would be the case without NIPPC’s participation.</w:t>
      </w:r>
    </w:p>
    <w:p w14:paraId="63EAD45E" w14:textId="3460FACF" w:rsidR="008B030C" w:rsidRPr="008B030C" w:rsidRDefault="00126218" w:rsidP="008B030C">
      <w:pPr>
        <w:pStyle w:val="ListParagraph"/>
        <w:numPr>
          <w:ilvl w:val="0"/>
          <w:numId w:val="27"/>
        </w:numPr>
        <w:spacing w:line="480" w:lineRule="auto"/>
        <w:ind w:hanging="540"/>
      </w:pPr>
      <w:r>
        <w:tab/>
      </w:r>
      <w:r w:rsidR="004923C6" w:rsidRPr="004923C6">
        <w:t>NIPPC is a non-profit trade association whose primary purpose is to develop rules and policies that help achieve a competitive electric power supply market in the Pacific Northwest</w:t>
      </w:r>
      <w:r w:rsidR="003C694D">
        <w:t xml:space="preserve">, </w:t>
      </w:r>
      <w:r w:rsidR="003C694D" w:rsidRPr="003C694D">
        <w:t>including functioning retail wheeling programs</w:t>
      </w:r>
      <w:r w:rsidR="004923C6" w:rsidRPr="004923C6">
        <w:t xml:space="preserve">.  </w:t>
      </w:r>
      <w:r w:rsidR="00120BF2">
        <w:t>The key issues in this proceeding include</w:t>
      </w:r>
      <w:r w:rsidR="00E12329">
        <w:t>: 1)</w:t>
      </w:r>
      <w:r w:rsidR="00120BF2">
        <w:t xml:space="preserve"> designing a tariff under which eligible </w:t>
      </w:r>
      <w:r w:rsidR="00120BF2" w:rsidRPr="00120BF2">
        <w:t>customer</w:t>
      </w:r>
      <w:r w:rsidR="00120BF2">
        <w:t>s</w:t>
      </w:r>
      <w:r w:rsidR="00120BF2" w:rsidRPr="00120BF2">
        <w:t xml:space="preserve"> shall arrange to</w:t>
      </w:r>
      <w:r w:rsidR="00120BF2" w:rsidRPr="00120BF2">
        <w:rPr>
          <w:b/>
        </w:rPr>
        <w:t xml:space="preserve"> </w:t>
      </w:r>
      <w:r w:rsidR="00120BF2">
        <w:lastRenderedPageBreak/>
        <w:t xml:space="preserve">purchase supplied power from one or more </w:t>
      </w:r>
      <w:r w:rsidR="006F06E7">
        <w:t xml:space="preserve">third party </w:t>
      </w:r>
      <w:r w:rsidR="00120BF2">
        <w:t>pow</w:t>
      </w:r>
      <w:r w:rsidR="00E12329">
        <w:t>er suppliers; 2) ensuring that the customer, or its power s</w:t>
      </w:r>
      <w:r w:rsidR="00E12329" w:rsidRPr="00E12329">
        <w:t>upplie</w:t>
      </w:r>
      <w:r w:rsidR="00E12329">
        <w:t>r acquires required</w:t>
      </w:r>
      <w:r w:rsidR="0094250C">
        <w:t xml:space="preserve"> transmission,</w:t>
      </w:r>
      <w:r w:rsidR="00E12329" w:rsidRPr="00E12329">
        <w:t xml:space="preserve"> </w:t>
      </w:r>
      <w:r w:rsidR="0094250C">
        <w:t xml:space="preserve">ancillary, scheduling, coordination, and energy imbalance that may be purchased from a </w:t>
      </w:r>
      <w:r w:rsidR="006F06E7">
        <w:t>power supplier</w:t>
      </w:r>
      <w:r w:rsidR="0094250C">
        <w:t xml:space="preserve">; 3) </w:t>
      </w:r>
      <w:r w:rsidR="003C694D">
        <w:t xml:space="preserve">addressing </w:t>
      </w:r>
      <w:r w:rsidR="006F06E7">
        <w:t xml:space="preserve">the risk of wholesale market prices; and 4) </w:t>
      </w:r>
      <w:r w:rsidR="003C694D">
        <w:t xml:space="preserve">calculating </w:t>
      </w:r>
      <w:r w:rsidR="006F06E7">
        <w:t xml:space="preserve">the appropriate stranded costs.  NIPPC’s members </w:t>
      </w:r>
      <w:r w:rsidR="009852BA">
        <w:t>could be “pow</w:t>
      </w:r>
      <w:r w:rsidR="002F5ECF">
        <w:t>er suppliers” under Schedule 451</w:t>
      </w:r>
      <w:r w:rsidR="00382121">
        <w:t xml:space="preserve"> (Large Customer Retail Wheeling)</w:t>
      </w:r>
      <w:r w:rsidR="009852BA">
        <w:t xml:space="preserve"> because some of them already are </w:t>
      </w:r>
      <w:r w:rsidR="006F06E7">
        <w:t xml:space="preserve">third party power suppliers </w:t>
      </w:r>
      <w:r w:rsidR="00225958">
        <w:t xml:space="preserve">that directly </w:t>
      </w:r>
      <w:r w:rsidR="008D70CE">
        <w:t xml:space="preserve">sell power to end use consumers. </w:t>
      </w:r>
      <w:r w:rsidR="002D6A91">
        <w:t xml:space="preserve"> </w:t>
      </w:r>
      <w:r w:rsidR="00225958">
        <w:t xml:space="preserve">As </w:t>
      </w:r>
      <w:r w:rsidR="009852BA">
        <w:t xml:space="preserve">NIPPC and its members have extensive expertise </w:t>
      </w:r>
      <w:r w:rsidR="002D6A91">
        <w:t xml:space="preserve">and will provide a unique perspective </w:t>
      </w:r>
      <w:r w:rsidR="009852BA">
        <w:t xml:space="preserve">on these issues, the </w:t>
      </w:r>
      <w:r w:rsidR="008B030C" w:rsidRPr="008B030C">
        <w:t>Commission has a strong interest in seeing that the record is fully develope</w:t>
      </w:r>
      <w:r w:rsidR="008B030C">
        <w:t>d relative to changes PSE</w:t>
      </w:r>
      <w:r w:rsidR="008B030C" w:rsidRPr="008B030C">
        <w:t xml:space="preserve"> proposes</w:t>
      </w:r>
      <w:r w:rsidR="008B030C">
        <w:t>.</w:t>
      </w:r>
      <w:r w:rsidR="008B030C" w:rsidRPr="008B030C">
        <w:t xml:space="preserve"> </w:t>
      </w:r>
    </w:p>
    <w:p w14:paraId="515CB7D3" w14:textId="744231AD" w:rsidR="00302FF1" w:rsidRDefault="00DC7ED6" w:rsidP="00B96F34">
      <w:pPr>
        <w:pStyle w:val="ListParagraph"/>
        <w:numPr>
          <w:ilvl w:val="0"/>
          <w:numId w:val="27"/>
        </w:numPr>
        <w:spacing w:line="480" w:lineRule="auto"/>
        <w:ind w:hanging="540"/>
      </w:pPr>
      <w:r>
        <w:tab/>
      </w:r>
      <w:r w:rsidR="00FD1A82">
        <w:t>While NIPPC does not advocate on behalf of any specific NIPPC members, its</w:t>
      </w:r>
      <w:r w:rsidR="008A1B45" w:rsidRPr="008A1B45">
        <w:t xml:space="preserve"> members’ ability to participate in </w:t>
      </w:r>
      <w:r w:rsidR="009D2D95">
        <w:t xml:space="preserve">the </w:t>
      </w:r>
      <w:r w:rsidR="002F5ECF">
        <w:t>Commission approved Schedule 451</w:t>
      </w:r>
      <w:r w:rsidR="009D2D95">
        <w:t xml:space="preserve"> </w:t>
      </w:r>
      <w:r w:rsidR="000378B1">
        <w:t xml:space="preserve">and </w:t>
      </w:r>
      <w:r w:rsidR="008A1B45" w:rsidRPr="008A1B45">
        <w:t xml:space="preserve">sell power to </w:t>
      </w:r>
      <w:r w:rsidR="009D2D95">
        <w:t xml:space="preserve">eligible </w:t>
      </w:r>
      <w:proofErr w:type="gramStart"/>
      <w:r w:rsidR="008A1B45" w:rsidRPr="008A1B45">
        <w:t>customers may be directly impacted by this proceeding</w:t>
      </w:r>
      <w:proofErr w:type="gramEnd"/>
      <w:r w:rsidR="000378B1">
        <w:t xml:space="preserve">.  </w:t>
      </w:r>
      <w:r w:rsidR="000378B1" w:rsidRPr="000378B1">
        <w:t>This provides NIPPC a substantial interest in the outcome of this proceeding.  PSE fails to note that, while NIPPC’s member are generally competitors of PSE in wholesale and retail markets, they will not be PSE’s direct competitors under Schedule 451 because end use customers will stop buying from PSE and purchase power from third parties.  Even more important, the</w:t>
      </w:r>
      <w:r w:rsidR="00302FF1">
        <w:t xml:space="preserve"> Commission will set the terms and conditions of </w:t>
      </w:r>
      <w:r w:rsidR="003D06C9">
        <w:t>this retail wheeling program, which could significantly harm any NIPPC member whose ability to sell power is limited</w:t>
      </w:r>
      <w:r w:rsidR="006F6E2E">
        <w:t xml:space="preserve">.  This could also </w:t>
      </w:r>
      <w:r w:rsidR="00F01DBC">
        <w:t>harm any eligible customer whose options to purchase power could be severely constrained</w:t>
      </w:r>
      <w:r w:rsidR="007C6F8F">
        <w:t xml:space="preserve"> </w:t>
      </w:r>
      <w:r w:rsidR="007C6F8F" w:rsidRPr="007C6F8F">
        <w:t>if insufficient power suppliers can qualify to participate in the program</w:t>
      </w:r>
      <w:r w:rsidR="00F01DBC">
        <w:t>.</w:t>
      </w:r>
      <w:r w:rsidR="00682F9B">
        <w:t xml:space="preserve"> </w:t>
      </w:r>
    </w:p>
    <w:p w14:paraId="71CC4B27" w14:textId="0C3DD047" w:rsidR="0027602A" w:rsidRDefault="0065148D" w:rsidP="00B96F34">
      <w:pPr>
        <w:pStyle w:val="ListParagraph"/>
        <w:numPr>
          <w:ilvl w:val="0"/>
          <w:numId w:val="27"/>
        </w:numPr>
        <w:spacing w:line="480" w:lineRule="auto"/>
        <w:ind w:hanging="540"/>
      </w:pPr>
      <w:r>
        <w:lastRenderedPageBreak/>
        <w:tab/>
      </w:r>
      <w:r w:rsidR="007C6F8F" w:rsidRPr="007C6F8F">
        <w:t xml:space="preserve">PSE misstates the legal standard and relevant Washington law regarding interventions in Commission proceedings, including extensive reliance on case law that this Commission has acknowledged no longer directly governs this situation.  PSE failed to refer to numerous Commission decisions in which it allowed non-profit trade associations and other parties whose primary interest reason for participation is not based on their status as end use consumers. </w:t>
      </w:r>
      <w:r w:rsidR="006A742F">
        <w:t xml:space="preserve"> </w:t>
      </w:r>
      <w:r w:rsidR="007C6F8F" w:rsidRPr="007C6F8F">
        <w:t xml:space="preserve">In fact, the Commission has allowed direct competitors of electric utilities to participate in proceedings to address the competitive impacts of the utility’s tariffs, including </w:t>
      </w:r>
      <w:proofErr w:type="gramStart"/>
      <w:r w:rsidR="007C6F8F" w:rsidRPr="007C6F8F">
        <w:t>retail wheeling</w:t>
      </w:r>
      <w:proofErr w:type="gramEnd"/>
      <w:r w:rsidR="007C6F8F" w:rsidRPr="007C6F8F">
        <w:t xml:space="preserve"> tariffs.  </w:t>
      </w:r>
    </w:p>
    <w:p w14:paraId="67EC3707" w14:textId="6B5D6F43" w:rsidR="00AB715E" w:rsidRDefault="00AB715E" w:rsidP="00AB715E">
      <w:pPr>
        <w:spacing w:line="480" w:lineRule="auto"/>
        <w:jc w:val="center"/>
        <w:rPr>
          <w:b/>
        </w:rPr>
      </w:pPr>
      <w:r>
        <w:rPr>
          <w:b/>
        </w:rPr>
        <w:t>II.</w:t>
      </w:r>
      <w:r>
        <w:rPr>
          <w:b/>
        </w:rPr>
        <w:tab/>
        <w:t>REPLY</w:t>
      </w:r>
    </w:p>
    <w:p w14:paraId="7A825CA4" w14:textId="4BEC5217" w:rsidR="00AB715E" w:rsidRPr="00AB715E" w:rsidRDefault="00AB715E" w:rsidP="00306137">
      <w:pPr>
        <w:spacing w:line="480" w:lineRule="auto"/>
        <w:outlineLvl w:val="0"/>
        <w:rPr>
          <w:b/>
        </w:rPr>
      </w:pPr>
      <w:r>
        <w:rPr>
          <w:b/>
        </w:rPr>
        <w:t>1.</w:t>
      </w:r>
      <w:r>
        <w:rPr>
          <w:b/>
        </w:rPr>
        <w:tab/>
        <w:t>NIPPC’s Intervention Will Benefit the Public Inter</w:t>
      </w:r>
      <w:r w:rsidR="00A07925">
        <w:rPr>
          <w:b/>
        </w:rPr>
        <w:t>e</w:t>
      </w:r>
      <w:r>
        <w:rPr>
          <w:b/>
        </w:rPr>
        <w:t>st</w:t>
      </w:r>
    </w:p>
    <w:p w14:paraId="5F228553" w14:textId="3F349695" w:rsidR="0027602A" w:rsidRDefault="00FE50D8" w:rsidP="00B96F34">
      <w:pPr>
        <w:pStyle w:val="ListParagraph"/>
        <w:numPr>
          <w:ilvl w:val="0"/>
          <w:numId w:val="27"/>
        </w:numPr>
        <w:spacing w:line="480" w:lineRule="auto"/>
        <w:ind w:hanging="540"/>
      </w:pPr>
      <w:r>
        <w:tab/>
        <w:t xml:space="preserve">NIPPC’s participation in this case will </w:t>
      </w:r>
      <w:r w:rsidR="00DD4DC4">
        <w:t xml:space="preserve">benefit the Commission and the public interest because </w:t>
      </w:r>
      <w:r w:rsidR="00682F9B">
        <w:t xml:space="preserve">NIPPC </w:t>
      </w:r>
      <w:r w:rsidR="00ED08B1">
        <w:t xml:space="preserve">has experience and expertise in all of the key issues that will be addressed in this proceeding.  </w:t>
      </w:r>
      <w:r w:rsidR="00173BBE">
        <w:t>T</w:t>
      </w:r>
      <w:r w:rsidR="00173BBE" w:rsidRPr="00173BBE">
        <w:t>he</w:t>
      </w:r>
      <w:r w:rsidR="00AF3BCC">
        <w:t xml:space="preserve"> </w:t>
      </w:r>
      <w:r w:rsidR="00FE39A1">
        <w:t>success of Schedule 451 depends on the active participation of independent power producers and retail wheeling power suppliers</w:t>
      </w:r>
      <w:r w:rsidR="000D6727">
        <w:t xml:space="preserve"> </w:t>
      </w:r>
      <w:r w:rsidR="00411DC6">
        <w:t>operating under</w:t>
      </w:r>
      <w:r w:rsidR="000D6727">
        <w:t xml:space="preserve"> the new tariff.  T</w:t>
      </w:r>
      <w:r w:rsidR="00ED08B1">
        <w:t xml:space="preserve">he public interest and PSE’s </w:t>
      </w:r>
      <w:r w:rsidR="00411DC6">
        <w:t xml:space="preserve">current customers eligible for Schedule 451 </w:t>
      </w:r>
      <w:r w:rsidR="00D03BF1">
        <w:t xml:space="preserve">will be harmed by a more limited record that fails to fully inform the Commission on these matters than would be the case with NIPPC’s participation.  </w:t>
      </w:r>
    </w:p>
    <w:p w14:paraId="634692BA" w14:textId="0BDC17D3" w:rsidR="00280817" w:rsidRDefault="00280817" w:rsidP="00B96F34">
      <w:pPr>
        <w:pStyle w:val="ListParagraph"/>
        <w:numPr>
          <w:ilvl w:val="0"/>
          <w:numId w:val="27"/>
        </w:numPr>
        <w:spacing w:line="480" w:lineRule="auto"/>
        <w:ind w:hanging="540"/>
      </w:pPr>
      <w:r>
        <w:tab/>
        <w:t xml:space="preserve">The Commission should also grant NIPPC’s intervention because NIPPC is a non-profit trade association whose goals and purposes </w:t>
      </w:r>
      <w:r w:rsidR="00E70913">
        <w:t xml:space="preserve">are to foster </w:t>
      </w:r>
      <w:r w:rsidR="0037368A">
        <w:t>healthy electricity markets</w:t>
      </w:r>
      <w:r w:rsidR="00E70913">
        <w:t xml:space="preserve"> and not the specific commercial interests of any particular members.  Non-profit trade associations, including those whose members are utility competitors and independent power producers</w:t>
      </w:r>
      <w:r w:rsidR="00EE6DB2">
        <w:t xml:space="preserve">, frequently intervene in Commission proceedings.  Finally, PSE’s characterization of the legal standard for intervention is unduly narrow, which is </w:t>
      </w:r>
      <w:r w:rsidR="00EE6DB2">
        <w:lastRenderedPageBreak/>
        <w:t xml:space="preserve">demonstrated by the Company’s failure to cite </w:t>
      </w:r>
      <w:r w:rsidR="0037368A">
        <w:t xml:space="preserve">more recent precedent allowing the intervention of entities and companies whose primary purpose was to address </w:t>
      </w:r>
      <w:r w:rsidR="008963A3">
        <w:t>potentially anti-competitive</w:t>
      </w:r>
      <w:r w:rsidR="00D667A9">
        <w:t xml:space="preserve"> utility actions that harmed their business interests.</w:t>
      </w:r>
    </w:p>
    <w:p w14:paraId="278C5C7C" w14:textId="1B429158" w:rsidR="0039146C" w:rsidRDefault="0039146C" w:rsidP="00295DC3">
      <w:pPr>
        <w:ind w:left="1440" w:hanging="720"/>
        <w:rPr>
          <w:b/>
        </w:rPr>
      </w:pPr>
      <w:r>
        <w:rPr>
          <w:b/>
        </w:rPr>
        <w:t>A.</w:t>
      </w:r>
      <w:r>
        <w:rPr>
          <w:b/>
        </w:rPr>
        <w:tab/>
      </w:r>
      <w:r w:rsidR="003312B5">
        <w:rPr>
          <w:b/>
        </w:rPr>
        <w:t>NIPPC’s Purpose Is to</w:t>
      </w:r>
      <w:r w:rsidR="00707ACE">
        <w:rPr>
          <w:b/>
        </w:rPr>
        <w:t xml:space="preserve"> Promote the Development of Electricity Markets and Retail Direct Access</w:t>
      </w:r>
      <w:r w:rsidR="00295DC3">
        <w:rPr>
          <w:b/>
        </w:rPr>
        <w:t xml:space="preserve"> </w:t>
      </w:r>
    </w:p>
    <w:p w14:paraId="5FA001A8" w14:textId="77777777" w:rsidR="00BA76E4" w:rsidRDefault="00BA76E4" w:rsidP="00BA76E4">
      <w:pPr>
        <w:ind w:left="720" w:right="720"/>
        <w:jc w:val="both"/>
      </w:pPr>
    </w:p>
    <w:p w14:paraId="3D9B56AA" w14:textId="4CE58AF1" w:rsidR="00945329" w:rsidRDefault="00BA76E4" w:rsidP="00945329">
      <w:pPr>
        <w:pStyle w:val="ListParagraph"/>
        <w:numPr>
          <w:ilvl w:val="0"/>
          <w:numId w:val="27"/>
        </w:numPr>
        <w:spacing w:line="480" w:lineRule="auto"/>
        <w:ind w:hanging="540"/>
      </w:pPr>
      <w:r>
        <w:t xml:space="preserve"> </w:t>
      </w:r>
      <w:r w:rsidR="008F3319">
        <w:tab/>
      </w:r>
      <w:proofErr w:type="gramStart"/>
      <w:r w:rsidR="00AB20CC">
        <w:t>As a preliminary matter, NIPPC object</w:t>
      </w:r>
      <w:r w:rsidR="003571CE">
        <w:t xml:space="preserve">s to only being </w:t>
      </w:r>
      <w:r w:rsidR="008963A3">
        <w:t xml:space="preserve">narrowly </w:t>
      </w:r>
      <w:r w:rsidR="003571CE">
        <w:t xml:space="preserve">labeled as </w:t>
      </w:r>
      <w:r w:rsidR="008963A3">
        <w:t xml:space="preserve">only </w:t>
      </w:r>
      <w:r w:rsidR="00BF1B4D">
        <w:t>representing PSE’s competitors.</w:t>
      </w:r>
      <w:proofErr w:type="gramEnd"/>
      <w:r w:rsidR="00BF1B4D">
        <w:t xml:space="preserve"> </w:t>
      </w:r>
      <w:r w:rsidR="006D68DA">
        <w:t xml:space="preserve"> </w:t>
      </w:r>
      <w:r w:rsidR="00682F9B">
        <w:t xml:space="preserve">NIPPC is not intervening to advocate on behalf of its members.  </w:t>
      </w:r>
      <w:r w:rsidR="003E4345">
        <w:t xml:space="preserve">The </w:t>
      </w:r>
      <w:r w:rsidR="00C854C0">
        <w:t xml:space="preserve">Commission often looks </w:t>
      </w:r>
      <w:r w:rsidR="00682F9B">
        <w:t xml:space="preserve">to </w:t>
      </w:r>
      <w:r w:rsidR="00945329">
        <w:t>the broad public policy goals of particular organizations when justifying the intervention and full participation of particular parties.  For example, the Commi</w:t>
      </w:r>
      <w:r w:rsidR="00682F9B">
        <w:t>ssion recently allowed the late-</w:t>
      </w:r>
      <w:r w:rsidR="00945329">
        <w:t>filed intervention and full participation of the Northwest Energy Coalition</w:t>
      </w:r>
      <w:r w:rsidR="009B1E3A">
        <w:t xml:space="preserve"> in part because </w:t>
      </w:r>
      <w:r w:rsidR="00682F9B">
        <w:t xml:space="preserve">it </w:t>
      </w:r>
      <w:r w:rsidR="009B1E3A">
        <w:t>has a broad and diverse membership including “</w:t>
      </w:r>
      <w:r w:rsidR="00945329" w:rsidRPr="00945329">
        <w:t>environmental groups and utilities, low-income advoca</w:t>
      </w:r>
      <w:r w:rsidR="009B1E3A">
        <w:t>tes and clean energy businesses” and it offered a “unique perspective that isn’</w:t>
      </w:r>
      <w:r w:rsidR="00945329" w:rsidRPr="00945329">
        <w:t>t otherwise replicated among the current intervenors.</w:t>
      </w:r>
      <w:r w:rsidR="00F9070E">
        <w:t>”</w:t>
      </w:r>
      <w:r w:rsidR="00F9070E">
        <w:rPr>
          <w:rStyle w:val="FootnoteReference"/>
        </w:rPr>
        <w:footnoteReference w:id="2"/>
      </w:r>
      <w:r w:rsidR="00F9070E">
        <w:t xml:space="preserve">  </w:t>
      </w:r>
      <w:r w:rsidR="00EF2870">
        <w:t>The Commission has also allowed the intervention of unions, environmental advocates, and Renewable Northwest, which is a non-profit</w:t>
      </w:r>
      <w:r w:rsidR="009919CE">
        <w:t xml:space="preserve"> with overlapping members with NIPPC and</w:t>
      </w:r>
      <w:r w:rsidR="00EF2870">
        <w:t xml:space="preserve"> </w:t>
      </w:r>
      <w:r w:rsidR="006D68DA">
        <w:t>that “</w:t>
      </w:r>
      <w:r w:rsidR="00EF2870" w:rsidRPr="00EF2870">
        <w:t>supports expanded development of renewable energy and energy efficiency programs in Washington.</w:t>
      </w:r>
      <w:r w:rsidR="006D68DA">
        <w:t>”</w:t>
      </w:r>
      <w:r w:rsidR="006D68DA">
        <w:rPr>
          <w:rStyle w:val="FootnoteReference"/>
        </w:rPr>
        <w:footnoteReference w:id="3"/>
      </w:r>
      <w:r w:rsidR="006D68DA">
        <w:t xml:space="preserve"> </w:t>
      </w:r>
      <w:r w:rsidR="00EF2870" w:rsidRPr="00EF2870">
        <w:t xml:space="preserve">  </w:t>
      </w:r>
      <w:r w:rsidR="00945329" w:rsidRPr="00945329">
        <w:t xml:space="preserve"> </w:t>
      </w:r>
    </w:p>
    <w:p w14:paraId="61155839" w14:textId="6214BF8E" w:rsidR="006D68DA" w:rsidRDefault="006D68DA" w:rsidP="00945329">
      <w:pPr>
        <w:pStyle w:val="ListParagraph"/>
        <w:numPr>
          <w:ilvl w:val="0"/>
          <w:numId w:val="27"/>
        </w:numPr>
        <w:spacing w:line="480" w:lineRule="auto"/>
        <w:ind w:hanging="540"/>
      </w:pPr>
      <w:r>
        <w:tab/>
      </w:r>
      <w:r w:rsidRPr="006D68DA">
        <w:t>NIPPC is a non-profit trade association whose</w:t>
      </w:r>
      <w:r w:rsidR="00BA1FCC">
        <w:t xml:space="preserve"> primary</w:t>
      </w:r>
      <w:r w:rsidRPr="006D68DA">
        <w:t xml:space="preserve"> purpose is to promote market </w:t>
      </w:r>
      <w:r w:rsidR="00A06CD2">
        <w:t xml:space="preserve">competition and retail access.  NIPPC, like Renewable Northwest, supports expanded development of competitive markets, independent power producers, and retail </w:t>
      </w:r>
      <w:r w:rsidR="00A06CD2">
        <w:lastRenderedPageBreak/>
        <w:t xml:space="preserve">access and wheeling.  </w:t>
      </w:r>
      <w:r w:rsidR="005660C3">
        <w:t xml:space="preserve"> Similar to</w:t>
      </w:r>
      <w:r w:rsidR="00411DC6">
        <w:t xml:space="preserve"> the Northwest Energy Coalition with its diverse membership,</w:t>
      </w:r>
      <w:r w:rsidR="005660C3">
        <w:t xml:space="preserve"> NIPPC offers a unique perspective that is not replicated among the current intervenors. </w:t>
      </w:r>
    </w:p>
    <w:p w14:paraId="317F40F2" w14:textId="45923E06" w:rsidR="00CA1E22" w:rsidRDefault="00CA1E22" w:rsidP="00945329">
      <w:pPr>
        <w:pStyle w:val="ListParagraph"/>
        <w:numPr>
          <w:ilvl w:val="0"/>
          <w:numId w:val="27"/>
        </w:numPr>
        <w:spacing w:line="480" w:lineRule="auto"/>
        <w:ind w:hanging="540"/>
      </w:pPr>
      <w:r>
        <w:tab/>
        <w:t>NIPPC also intervenes and participates routinely in other states.</w:t>
      </w:r>
      <w:r w:rsidR="00444AE3">
        <w:t xml:space="preserve">  For example, NIPPC has been a party without opposition in numerous proceedings in Oregon, Idaho a</w:t>
      </w:r>
      <w:r w:rsidR="00682F9B">
        <w:t>nd before the Bonneville Power Administration</w:t>
      </w:r>
      <w:r w:rsidR="00444AE3">
        <w:t>.</w:t>
      </w:r>
      <w:r w:rsidR="00444AE3">
        <w:rPr>
          <w:rStyle w:val="FootnoteReference"/>
        </w:rPr>
        <w:footnoteReference w:id="4"/>
      </w:r>
      <w:r w:rsidR="00473B04">
        <w:t xml:space="preserve">  NIPPC has never been denied intervention in a </w:t>
      </w:r>
      <w:r w:rsidR="00484E40">
        <w:t xml:space="preserve">state </w:t>
      </w:r>
      <w:r w:rsidR="00473B04">
        <w:t>regulatory proceeding.</w:t>
      </w:r>
    </w:p>
    <w:p w14:paraId="2FBD36F1" w14:textId="761761AD" w:rsidR="00707ACE" w:rsidRDefault="000D32D5" w:rsidP="004A7C3F">
      <w:pPr>
        <w:ind w:left="1440" w:hanging="720"/>
        <w:rPr>
          <w:b/>
        </w:rPr>
      </w:pPr>
      <w:r>
        <w:rPr>
          <w:b/>
        </w:rPr>
        <w:t>B.</w:t>
      </w:r>
      <w:r>
        <w:rPr>
          <w:b/>
        </w:rPr>
        <w:tab/>
        <w:t xml:space="preserve">The Commission Frequently Grants the Intervention of Organizations and Specific Utility Competitors When It Benefits the Public Interest and the Development of the Record </w:t>
      </w:r>
    </w:p>
    <w:p w14:paraId="5E971B11" w14:textId="77777777" w:rsidR="004A7C3F" w:rsidRPr="000D32D5" w:rsidRDefault="004A7C3F" w:rsidP="000D32D5">
      <w:pPr>
        <w:ind w:left="720" w:hanging="720"/>
        <w:rPr>
          <w:b/>
        </w:rPr>
      </w:pPr>
    </w:p>
    <w:p w14:paraId="525D8555" w14:textId="6CB39D72" w:rsidR="000D32D5" w:rsidRDefault="008C3C35" w:rsidP="0082308A">
      <w:pPr>
        <w:pStyle w:val="ListParagraph"/>
        <w:numPr>
          <w:ilvl w:val="0"/>
          <w:numId w:val="27"/>
        </w:numPr>
        <w:spacing w:line="480" w:lineRule="auto"/>
        <w:ind w:hanging="540"/>
      </w:pPr>
      <w:r>
        <w:tab/>
        <w:t xml:space="preserve">Even </w:t>
      </w:r>
      <w:r w:rsidR="00682F9B">
        <w:t xml:space="preserve">assuming </w:t>
      </w:r>
      <w:r w:rsidR="00682F9B" w:rsidRPr="00682F9B">
        <w:rPr>
          <w:i/>
        </w:rPr>
        <w:t>arguendo</w:t>
      </w:r>
      <w:r w:rsidR="00682F9B">
        <w:t xml:space="preserve"> that</w:t>
      </w:r>
      <w:r>
        <w:t xml:space="preserve"> NIPPC’s interests were solely parochial </w:t>
      </w:r>
      <w:r w:rsidR="00682F9B">
        <w:t>and</w:t>
      </w:r>
      <w:r>
        <w:t xml:space="preserve"> based on the competitive impacts upon its members (which it is not), intervention would </w:t>
      </w:r>
      <w:r w:rsidR="00682F9B">
        <w:t xml:space="preserve">still </w:t>
      </w:r>
      <w:r>
        <w:t xml:space="preserve">be warranted because </w:t>
      </w:r>
      <w:r w:rsidR="0027706D">
        <w:t xml:space="preserve">it would benefit the public interest.  </w:t>
      </w:r>
      <w:r w:rsidR="007B2893">
        <w:t xml:space="preserve">Entities representing </w:t>
      </w:r>
      <w:r w:rsidR="00682F9B">
        <w:t xml:space="preserve">general </w:t>
      </w:r>
      <w:r w:rsidR="007B2893">
        <w:t xml:space="preserve">competitors as well as specific competitors should be granted intervention when </w:t>
      </w:r>
      <w:r w:rsidR="003B5383">
        <w:t xml:space="preserve">they “bring an expertise to the table that may assist the Commission” regarding the key issues </w:t>
      </w:r>
      <w:r w:rsidR="003B5383">
        <w:lastRenderedPageBreak/>
        <w:t xml:space="preserve">in the proceeding, including </w:t>
      </w:r>
      <w:r w:rsidR="0025279A">
        <w:t>how the case “will affect the Commission policy favoring a competitive model in the electric industry.”</w:t>
      </w:r>
      <w:r w:rsidR="0025279A">
        <w:rPr>
          <w:rStyle w:val="FootnoteReference"/>
        </w:rPr>
        <w:footnoteReference w:id="5"/>
      </w:r>
      <w:r w:rsidR="0025279A">
        <w:t xml:space="preserve">  </w:t>
      </w:r>
    </w:p>
    <w:p w14:paraId="57717363" w14:textId="58D8F884" w:rsidR="000D32D5" w:rsidRPr="000D32D5" w:rsidRDefault="000D32D5" w:rsidP="000D32D5">
      <w:pPr>
        <w:numPr>
          <w:ilvl w:val="0"/>
          <w:numId w:val="27"/>
        </w:numPr>
        <w:spacing w:line="480" w:lineRule="auto"/>
      </w:pPr>
      <w:r w:rsidRPr="000D32D5">
        <w:t xml:space="preserve">PSE argues that the public interest is only benefited by the participation </w:t>
      </w:r>
      <w:r w:rsidR="00682F9B">
        <w:t>of</w:t>
      </w:r>
      <w:r w:rsidR="00B308C5">
        <w:t xml:space="preserve"> entities that represent end-</w:t>
      </w:r>
      <w:r w:rsidRPr="000D32D5">
        <w:t xml:space="preserve">use customers and not competitors, repeatedly citing </w:t>
      </w:r>
      <w:r w:rsidRPr="000D32D5">
        <w:rPr>
          <w:u w:val="single"/>
        </w:rPr>
        <w:t>Cole v. Wash. Utils. &amp; Transp. Comm’n</w:t>
      </w:r>
      <w:r w:rsidRPr="000D32D5">
        <w:t xml:space="preserve"> (“</w:t>
      </w:r>
      <w:r w:rsidRPr="000D32D5">
        <w:rPr>
          <w:u w:val="single"/>
        </w:rPr>
        <w:t>Cole</w:t>
      </w:r>
      <w:r w:rsidRPr="000D32D5">
        <w:t>”)</w:t>
      </w:r>
      <w:r w:rsidR="00682F9B">
        <w:t xml:space="preserve"> and various other cases relying on it</w:t>
      </w:r>
      <w:r w:rsidRPr="000D32D5">
        <w:t>.</w:t>
      </w:r>
      <w:r w:rsidRPr="000D32D5">
        <w:rPr>
          <w:vertAlign w:val="superscript"/>
        </w:rPr>
        <w:footnoteReference w:id="6"/>
      </w:r>
      <w:r w:rsidR="00F56559">
        <w:t xml:space="preserve">  </w:t>
      </w:r>
      <w:r w:rsidRPr="000D32D5">
        <w:rPr>
          <w:u w:val="single"/>
        </w:rPr>
        <w:t>Cole</w:t>
      </w:r>
      <w:r w:rsidR="00874113">
        <w:t xml:space="preserve">’s relevance has been limited, </w:t>
      </w:r>
      <w:r w:rsidR="00682F9B">
        <w:t xml:space="preserve">however, </w:t>
      </w:r>
      <w:r w:rsidR="00874113">
        <w:t xml:space="preserve">as </w:t>
      </w:r>
      <w:r w:rsidRPr="000D32D5">
        <w:t xml:space="preserve">the Commission has </w:t>
      </w:r>
      <w:r w:rsidR="00682F9B">
        <w:t xml:space="preserve">repeatedly </w:t>
      </w:r>
      <w:r w:rsidRPr="000D32D5">
        <w:t xml:space="preserve">recognized that </w:t>
      </w:r>
      <w:r w:rsidRPr="000D32D5">
        <w:rPr>
          <w:u w:val="single"/>
        </w:rPr>
        <w:t>Cole</w:t>
      </w:r>
      <w:r w:rsidRPr="000D32D5">
        <w:t xml:space="preserve"> was decided </w:t>
      </w:r>
      <w:r w:rsidR="002E3DA9">
        <w:t xml:space="preserve">in 1971 and </w:t>
      </w:r>
      <w:r w:rsidRPr="000D32D5">
        <w:t>prior to the passage of the modern Administrative Procedure Act</w:t>
      </w:r>
      <w:r w:rsidR="002F1B90">
        <w:t xml:space="preserve"> (“APA”)</w:t>
      </w:r>
      <w:r w:rsidR="00682F9B">
        <w:t>, which</w:t>
      </w:r>
      <w:r w:rsidRPr="000D32D5">
        <w:t xml:space="preserve"> provides broader grounds to allow interventions.</w:t>
      </w:r>
      <w:r w:rsidR="002F1B90">
        <w:t xml:space="preserve"> </w:t>
      </w:r>
      <w:r w:rsidR="00874113">
        <w:t xml:space="preserve"> </w:t>
      </w:r>
      <w:r w:rsidRPr="000D32D5">
        <w:t xml:space="preserve">As </w:t>
      </w:r>
      <w:r w:rsidR="00C72019">
        <w:t>the</w:t>
      </w:r>
      <w:r w:rsidRPr="000D32D5">
        <w:t xml:space="preserve"> Commission </w:t>
      </w:r>
      <w:r w:rsidR="00C72019">
        <w:t xml:space="preserve">has </w:t>
      </w:r>
      <w:r w:rsidRPr="000D32D5">
        <w:t>explained in rejecting a utility’s effort to keep a competitor from intervening in a case</w:t>
      </w:r>
      <w:r w:rsidR="00675976">
        <w:t xml:space="preserve"> by relying upon </w:t>
      </w:r>
      <w:r w:rsidR="00675976" w:rsidRPr="00874113">
        <w:rPr>
          <w:u w:val="single"/>
        </w:rPr>
        <w:t>Cole</w:t>
      </w:r>
      <w:r w:rsidRPr="000D32D5">
        <w:t>:</w:t>
      </w:r>
    </w:p>
    <w:p w14:paraId="34B1C8D9" w14:textId="451A797E" w:rsidR="000D32D5" w:rsidRDefault="000D32D5" w:rsidP="00483F16">
      <w:pPr>
        <w:ind w:left="720" w:right="720"/>
        <w:jc w:val="both"/>
      </w:pPr>
      <w:r w:rsidRPr="000D32D5">
        <w:t xml:space="preserve">We disagree with Commission Staff and PacifiCorp that the </w:t>
      </w:r>
      <w:r w:rsidRPr="00C72019">
        <w:rPr>
          <w:i/>
        </w:rPr>
        <w:t>Cole</w:t>
      </w:r>
      <w:r w:rsidRPr="000D32D5">
        <w:t xml:space="preserve"> decision controls our decision in this case. </w:t>
      </w:r>
      <w:r w:rsidR="00C72019">
        <w:t xml:space="preserve"> </w:t>
      </w:r>
      <w:r w:rsidRPr="000D32D5">
        <w:t xml:space="preserve">The </w:t>
      </w:r>
      <w:r w:rsidRPr="00C72019">
        <w:rPr>
          <w:i/>
        </w:rPr>
        <w:t>Cole</w:t>
      </w:r>
      <w:r w:rsidRPr="000D32D5">
        <w:t xml:space="preserve"> case was decided in 1971, and precedes the adoption of the Administrative Procedure Act. </w:t>
      </w:r>
      <w:r w:rsidRPr="00C72019">
        <w:rPr>
          <w:i/>
        </w:rPr>
        <w:t xml:space="preserve">RCW 34.05.443 </w:t>
      </w:r>
      <w:r w:rsidRPr="000D32D5">
        <w:t>governs intervention and provides broad discretion in granting a petition for intervention.</w:t>
      </w:r>
      <w:r w:rsidRPr="000D32D5">
        <w:rPr>
          <w:vertAlign w:val="superscript"/>
        </w:rPr>
        <w:footnoteReference w:id="7"/>
      </w:r>
    </w:p>
    <w:p w14:paraId="2F8339A2" w14:textId="77777777" w:rsidR="00874113" w:rsidRDefault="00874113" w:rsidP="00483F16">
      <w:pPr>
        <w:ind w:left="720" w:right="720"/>
        <w:jc w:val="both"/>
      </w:pPr>
    </w:p>
    <w:p w14:paraId="11D57DAB" w14:textId="2D2AC4B2" w:rsidR="007E0403" w:rsidRDefault="00874113" w:rsidP="00A65B74">
      <w:pPr>
        <w:tabs>
          <w:tab w:val="left" w:pos="8190"/>
          <w:tab w:val="left" w:pos="8550"/>
        </w:tabs>
        <w:spacing w:line="480" w:lineRule="auto"/>
      </w:pPr>
      <w:r w:rsidRPr="00874113">
        <w:t xml:space="preserve">The standards for intervention under the APA </w:t>
      </w:r>
      <w:r w:rsidR="00A65B74">
        <w:t xml:space="preserve">that govern modern interventions </w:t>
      </w:r>
      <w:r w:rsidRPr="00874113">
        <w:t>should be liberally interpreted.</w:t>
      </w:r>
      <w:r w:rsidRPr="00874113">
        <w:rPr>
          <w:vertAlign w:val="superscript"/>
        </w:rPr>
        <w:footnoteReference w:id="8"/>
      </w:r>
      <w:r w:rsidRPr="00874113">
        <w:t xml:space="preserve">  </w:t>
      </w:r>
    </w:p>
    <w:p w14:paraId="5CC8AA3E" w14:textId="62860488" w:rsidR="007E0403" w:rsidRDefault="007E0403" w:rsidP="004277C7">
      <w:pPr>
        <w:pStyle w:val="ListParagraph"/>
        <w:numPr>
          <w:ilvl w:val="0"/>
          <w:numId w:val="27"/>
        </w:numPr>
        <w:spacing w:line="480" w:lineRule="auto"/>
        <w:ind w:hanging="540"/>
      </w:pPr>
      <w:r>
        <w:lastRenderedPageBreak/>
        <w:tab/>
        <w:t xml:space="preserve">PSE’s arguments and cases either extensively rely upon Cole </w:t>
      </w:r>
      <w:r w:rsidR="00BB77C5">
        <w:t xml:space="preserve">or otherwise suffer from </w:t>
      </w:r>
      <w:r w:rsidR="006460BA">
        <w:t>infirmities.</w:t>
      </w:r>
      <w:r w:rsidR="005C57A5">
        <w:rPr>
          <w:rStyle w:val="FootnoteReference"/>
        </w:rPr>
        <w:footnoteReference w:id="9"/>
      </w:r>
      <w:r w:rsidR="00460E80">
        <w:t xml:space="preserve">  For example, </w:t>
      </w:r>
      <w:r w:rsidR="00670BB8">
        <w:t>PSE relies upon a 1981 decision by the Ohio Public Utilities Commission</w:t>
      </w:r>
      <w:r w:rsidR="001E5384">
        <w:t xml:space="preserve"> in which there were </w:t>
      </w:r>
      <w:r w:rsidR="001E5384" w:rsidRPr="001E5384">
        <w:t xml:space="preserve">19 </w:t>
      </w:r>
      <w:r w:rsidR="001E5384">
        <w:t xml:space="preserve">other companies that </w:t>
      </w:r>
      <w:r w:rsidR="001E5384" w:rsidRPr="001E5384">
        <w:t>had intervened in the proceeding and wou</w:t>
      </w:r>
      <w:r w:rsidR="001E5384">
        <w:t>ld adequately represent the potential intervenor’s</w:t>
      </w:r>
      <w:r w:rsidR="001E5384" w:rsidRPr="001E5384">
        <w:t xml:space="preserve"> interests</w:t>
      </w:r>
      <w:r w:rsidR="001E5384">
        <w:t>.</w:t>
      </w:r>
      <w:r w:rsidR="001E5384">
        <w:rPr>
          <w:rStyle w:val="FootnoteReference"/>
        </w:rPr>
        <w:footnoteReference w:id="10"/>
      </w:r>
      <w:r w:rsidR="006460BA">
        <w:t xml:space="preserve"> </w:t>
      </w:r>
      <w:r w:rsidR="002E4750">
        <w:t xml:space="preserve"> </w:t>
      </w:r>
      <w:proofErr w:type="gramStart"/>
      <w:r w:rsidR="002E4750" w:rsidRPr="002E4750">
        <w:t>including</w:t>
      </w:r>
      <w:proofErr w:type="gramEnd"/>
      <w:r w:rsidR="002E4750" w:rsidRPr="002E4750">
        <w:t xml:space="preserve"> cases in which: 1) the party sought to intervene in a messy telecommunications case would raise “a significant probability of impediment to the proceeding;”</w:t>
      </w:r>
      <w:r w:rsidR="002E4750" w:rsidRPr="002E4750">
        <w:rPr>
          <w:vertAlign w:val="superscript"/>
        </w:rPr>
        <w:footnoteReference w:id="11"/>
      </w:r>
      <w:r w:rsidR="002E4750" w:rsidRPr="002E4750">
        <w:t xml:space="preserve"> 2) a company that petitioned to intervene and sought to consolidate the case with a separate complaint filing;</w:t>
      </w:r>
      <w:r w:rsidR="002E4750" w:rsidRPr="002E4750">
        <w:rPr>
          <w:vertAlign w:val="superscript"/>
        </w:rPr>
        <w:footnoteReference w:id="12"/>
      </w:r>
      <w:r w:rsidR="002E4750" w:rsidRPr="002E4750">
        <w:t xml:space="preserve"> 3) were based on an ancient and extinct version of the Commission’s intervention rule;</w:t>
      </w:r>
      <w:r w:rsidR="002E4750" w:rsidRPr="002E4750">
        <w:rPr>
          <w:vertAlign w:val="superscript"/>
        </w:rPr>
        <w:footnoteReference w:id="13"/>
      </w:r>
      <w:r w:rsidR="002E4750" w:rsidRPr="002E4750">
        <w:t xml:space="preserve"> 4) the attorney failed to appear at the prehearing conference;</w:t>
      </w:r>
      <w:r w:rsidR="002E4750" w:rsidRPr="002E4750">
        <w:rPr>
          <w:vertAlign w:val="superscript"/>
        </w:rPr>
        <w:footnoteReference w:id="14"/>
      </w:r>
      <w:r w:rsidR="002E4750" w:rsidRPr="002E4750">
        <w:t xml:space="preserve"> and 5) </w:t>
      </w:r>
      <w:r w:rsidR="002E4750" w:rsidRPr="002E4750">
        <w:lastRenderedPageBreak/>
        <w:t>when the intervenors had filed a federal lawsuit against the utility and apparently sought to use their intervention as leverage in the separate case.</w:t>
      </w:r>
      <w:r w:rsidR="002E4750" w:rsidRPr="002E4750">
        <w:rPr>
          <w:vertAlign w:val="superscript"/>
        </w:rPr>
        <w:footnoteReference w:id="15"/>
      </w:r>
      <w:r w:rsidR="002E4750" w:rsidRPr="002E4750">
        <w:t xml:space="preserve"> </w:t>
      </w:r>
      <w:r w:rsidR="006460BA">
        <w:t xml:space="preserve"> </w:t>
      </w:r>
      <w:r>
        <w:t xml:space="preserve">  </w:t>
      </w:r>
    </w:p>
    <w:p w14:paraId="3F5FD40B" w14:textId="4564BC80" w:rsidR="004277C7" w:rsidRDefault="00493A6F" w:rsidP="004277C7">
      <w:pPr>
        <w:pStyle w:val="ListParagraph"/>
        <w:numPr>
          <w:ilvl w:val="0"/>
          <w:numId w:val="27"/>
        </w:numPr>
        <w:spacing w:line="480" w:lineRule="auto"/>
        <w:ind w:hanging="540"/>
      </w:pPr>
      <w:r>
        <w:tab/>
        <w:t xml:space="preserve">The Commission rejected PSE’s reliance upon </w:t>
      </w:r>
      <w:r w:rsidRPr="00493A6F">
        <w:rPr>
          <w:u w:val="single"/>
        </w:rPr>
        <w:t>Cole</w:t>
      </w:r>
      <w:r>
        <w:t xml:space="preserve"> to </w:t>
      </w:r>
      <w:r w:rsidR="00FB220B">
        <w:t xml:space="preserve">bar the intervention of the </w:t>
      </w:r>
      <w:r w:rsidR="00AF69AA">
        <w:t xml:space="preserve">Public Utility </w:t>
      </w:r>
      <w:r w:rsidR="00AF69AA" w:rsidRPr="00AF69AA">
        <w:t>District No. 1 of Snohomish County (</w:t>
      </w:r>
      <w:r w:rsidR="00AF69AA">
        <w:t>“</w:t>
      </w:r>
      <w:r w:rsidR="00AF69AA" w:rsidRPr="00AF69AA">
        <w:t>Snohomish PUD</w:t>
      </w:r>
      <w:r w:rsidR="00AF69AA">
        <w:t>”),</w:t>
      </w:r>
      <w:r w:rsidR="00AF69AA" w:rsidRPr="00AF69AA">
        <w:t xml:space="preserve"> Public Power Council</w:t>
      </w:r>
      <w:r w:rsidR="00AF69AA">
        <w:t xml:space="preserve">, and </w:t>
      </w:r>
      <w:r w:rsidR="00FB220B">
        <w:t>Washington Public Utility</w:t>
      </w:r>
      <w:r w:rsidR="00AF69AA">
        <w:t xml:space="preserve"> District Association (“WPUD”)</w:t>
      </w:r>
      <w:r w:rsidR="00FB220B">
        <w:t xml:space="preserve"> </w:t>
      </w:r>
      <w:r w:rsidR="00CF398C">
        <w:t>in a consolidated proceeding regar</w:t>
      </w:r>
      <w:r w:rsidR="004F1700">
        <w:t>ding retail wheeling</w:t>
      </w:r>
      <w:r w:rsidR="00CF398C">
        <w:t xml:space="preserve"> and the </w:t>
      </w:r>
      <w:r w:rsidR="00B603B7" w:rsidRPr="00B603B7">
        <w:t>merger of Washington Energy Company and Washington Natural Gas Company with</w:t>
      </w:r>
      <w:r w:rsidR="00B603B7">
        <w:t xml:space="preserve"> </w:t>
      </w:r>
      <w:r w:rsidR="00B603B7" w:rsidRPr="00B603B7">
        <w:t>and into P</w:t>
      </w:r>
      <w:r w:rsidR="00B603B7">
        <w:t>uget Sound Power &amp;</w:t>
      </w:r>
      <w:r w:rsidR="004F1700">
        <w:t xml:space="preserve"> </w:t>
      </w:r>
      <w:r w:rsidR="00B603B7">
        <w:t>Light Company</w:t>
      </w:r>
      <w:r w:rsidR="00133BE3">
        <w:t xml:space="preserve"> (“PSP&amp;L”)</w:t>
      </w:r>
      <w:r w:rsidR="00B603B7">
        <w:t>.</w:t>
      </w:r>
      <w:r w:rsidR="004277C7">
        <w:rPr>
          <w:rStyle w:val="FootnoteReference"/>
        </w:rPr>
        <w:footnoteReference w:id="16"/>
      </w:r>
      <w:r w:rsidR="00B603B7">
        <w:t xml:space="preserve">  </w:t>
      </w:r>
      <w:r w:rsidR="00DD423F">
        <w:t>Snohomish PUD asserted</w:t>
      </w:r>
      <w:r w:rsidR="004F1700" w:rsidRPr="004F1700">
        <w:t xml:space="preserve"> an interest as a competitor of</w:t>
      </w:r>
      <w:r w:rsidR="00DD423F">
        <w:t xml:space="preserve"> </w:t>
      </w:r>
      <w:r w:rsidR="004F1700" w:rsidRPr="004F1700">
        <w:t>the merged company</w:t>
      </w:r>
      <w:r w:rsidR="00DD423F">
        <w:t xml:space="preserve"> and sought to address “</w:t>
      </w:r>
      <w:r w:rsidR="00DD423F" w:rsidRPr="00DD423F">
        <w:t>retail wheeling</w:t>
      </w:r>
      <w:r w:rsidR="004277C7">
        <w:t>”.</w:t>
      </w:r>
      <w:r w:rsidR="004277C7">
        <w:rPr>
          <w:rStyle w:val="FootnoteReference"/>
        </w:rPr>
        <w:footnoteReference w:id="17"/>
      </w:r>
      <w:r w:rsidR="004277C7">
        <w:t xml:space="preserve"> </w:t>
      </w:r>
      <w:r w:rsidR="00B90AF7">
        <w:t xml:space="preserve"> The WPUDA </w:t>
      </w:r>
      <w:r w:rsidR="00133BE3">
        <w:t>consisted non-regulated competitors of PSP&amp;L and argued its intervention should be granted</w:t>
      </w:r>
      <w:r w:rsidR="00672274">
        <w:t xml:space="preserve">, in part, because </w:t>
      </w:r>
      <w:r w:rsidR="001253A0">
        <w:t>it “</w:t>
      </w:r>
      <w:r w:rsidR="00672274">
        <w:t>would bring a unique perspective to this case concerning the impact of the merger on competition.”</w:t>
      </w:r>
      <w:r w:rsidR="00672274">
        <w:rPr>
          <w:rStyle w:val="FootnoteReference"/>
        </w:rPr>
        <w:footnoteReference w:id="18"/>
      </w:r>
      <w:r w:rsidR="00672274">
        <w:t xml:space="preserve">  </w:t>
      </w:r>
    </w:p>
    <w:p w14:paraId="37EE1A2E" w14:textId="4BB96588" w:rsidR="00483F16" w:rsidRDefault="00966A79" w:rsidP="00DD423F">
      <w:pPr>
        <w:pStyle w:val="ListParagraph"/>
        <w:numPr>
          <w:ilvl w:val="0"/>
          <w:numId w:val="27"/>
        </w:numPr>
        <w:spacing w:line="480" w:lineRule="auto"/>
        <w:ind w:hanging="540"/>
      </w:pPr>
      <w:r>
        <w:tab/>
        <w:t xml:space="preserve">The Commission granted the interventions of the competitor utilities, even after recognizing </w:t>
      </w:r>
      <w:r w:rsidR="002E3DA9">
        <w:t xml:space="preserve">the rationale and limitations addressed in </w:t>
      </w:r>
      <w:r w:rsidR="00A0597B" w:rsidRPr="00A0597B">
        <w:rPr>
          <w:u w:val="single"/>
        </w:rPr>
        <w:t>Cole</w:t>
      </w:r>
      <w:r w:rsidR="00A0597B">
        <w:t xml:space="preserve">.  The Commission explained that the case was </w:t>
      </w:r>
      <w:r w:rsidR="00682F9B">
        <w:t>unlike</w:t>
      </w:r>
      <w:r w:rsidR="00A0597B">
        <w:t xml:space="preserve"> a typical rate case, </w:t>
      </w:r>
      <w:r w:rsidR="00682F9B">
        <w:t>because</w:t>
      </w:r>
      <w:r w:rsidR="00A0597B">
        <w:t xml:space="preserve"> issues of competition, including retail access, were front and center, and that it would be in the public interest to allow the utility’s competitors </w:t>
      </w:r>
      <w:r w:rsidR="008F1890">
        <w:t>to bring their expertise to bear on these issues.  Specifically, the Commission explained:</w:t>
      </w:r>
    </w:p>
    <w:p w14:paraId="78277DA2" w14:textId="174076C0" w:rsidR="00D04F7F" w:rsidRDefault="00D04F7F" w:rsidP="00D04F7F">
      <w:pPr>
        <w:ind w:left="720" w:right="720"/>
        <w:jc w:val="both"/>
      </w:pPr>
      <w:r w:rsidRPr="008A05C1">
        <w:rPr>
          <w:b/>
          <w:u w:val="single"/>
        </w:rPr>
        <w:t>This proceeding raises significant competitive issues beyond those involved in a typical rate case.  The transition from monopoly to retail competition in the electric industry is a basic issue in this proceeding</w:t>
      </w:r>
      <w:r w:rsidRPr="00D04F7F">
        <w:t xml:space="preserve">.  In this transitional environment, the Commission believes that it is in the </w:t>
      </w:r>
      <w:r w:rsidRPr="00D04F7F">
        <w:lastRenderedPageBreak/>
        <w:t xml:space="preserve">public interest for it to be generous in allowing issues on the table.  </w:t>
      </w:r>
      <w:r w:rsidRPr="008A05C1">
        <w:rPr>
          <w:b/>
          <w:u w:val="single"/>
        </w:rPr>
        <w:t>WPUDA and other competitors can bring an expertise to the table that may assist the Commission in determining how the merger will affect the Commission policy favoring a competitive model in the electric industry</w:t>
      </w:r>
      <w:r w:rsidRPr="00D04F7F">
        <w:t>.</w:t>
      </w:r>
      <w:r w:rsidR="00757109">
        <w:rPr>
          <w:rStyle w:val="FootnoteReference"/>
        </w:rPr>
        <w:footnoteReference w:id="19"/>
      </w:r>
    </w:p>
    <w:p w14:paraId="41AD17FD" w14:textId="77777777" w:rsidR="00D04F7F" w:rsidRDefault="00D04F7F" w:rsidP="00D04F7F">
      <w:pPr>
        <w:ind w:left="720" w:right="720"/>
        <w:jc w:val="both"/>
      </w:pPr>
    </w:p>
    <w:p w14:paraId="5E2B5445" w14:textId="6B278FF8" w:rsidR="00EB24B1" w:rsidRDefault="00483F16" w:rsidP="0082308A">
      <w:pPr>
        <w:pStyle w:val="ListParagraph"/>
        <w:numPr>
          <w:ilvl w:val="0"/>
          <w:numId w:val="27"/>
        </w:numPr>
        <w:spacing w:line="480" w:lineRule="auto"/>
        <w:ind w:hanging="540"/>
      </w:pPr>
      <w:r>
        <w:tab/>
      </w:r>
      <w:r w:rsidR="0027706D">
        <w:t>An</w:t>
      </w:r>
      <w:r w:rsidR="003776F8">
        <w:t>other</w:t>
      </w:r>
      <w:r w:rsidR="0027706D">
        <w:t xml:space="preserve"> illustrative example is when t</w:t>
      </w:r>
      <w:r w:rsidR="008F3319">
        <w:t>he Commission twice denied PacifiCorp’s attempt</w:t>
      </w:r>
      <w:r w:rsidR="00757109">
        <w:t>s,</w:t>
      </w:r>
      <w:r w:rsidR="008F3319">
        <w:t xml:space="preserve"> </w:t>
      </w:r>
      <w:r w:rsidR="003776F8">
        <w:t>in two different proceedings</w:t>
      </w:r>
      <w:r w:rsidR="00757109">
        <w:t xml:space="preserve"> and </w:t>
      </w:r>
      <w:r w:rsidR="00411DC6">
        <w:t>over a decade a</w:t>
      </w:r>
      <w:r w:rsidR="00F664DA">
        <w:t>part</w:t>
      </w:r>
      <w:r w:rsidR="00757109">
        <w:t>,</w:t>
      </w:r>
      <w:r w:rsidR="003776F8">
        <w:t xml:space="preserve"> </w:t>
      </w:r>
      <w:r w:rsidR="008F3319">
        <w:t>to bar the intervention of Columbia Rural Electr</w:t>
      </w:r>
      <w:r w:rsidR="001A7432">
        <w:t>ic Association, Inc. (“C</w:t>
      </w:r>
      <w:r w:rsidR="008F3319">
        <w:t>REA”) in i</w:t>
      </w:r>
      <w:r w:rsidR="00247EEA">
        <w:t>ts rate cases</w:t>
      </w:r>
      <w:r w:rsidR="00682F9B">
        <w:t xml:space="preserve"> by citing </w:t>
      </w:r>
      <w:r w:rsidR="00682F9B" w:rsidRPr="00682F9B">
        <w:rPr>
          <w:u w:val="single"/>
        </w:rPr>
        <w:t>Cole</w:t>
      </w:r>
      <w:r w:rsidR="00247EEA">
        <w:t>.</w:t>
      </w:r>
      <w:r w:rsidR="00594B2F">
        <w:rPr>
          <w:rStyle w:val="FootnoteReference"/>
        </w:rPr>
        <w:footnoteReference w:id="20"/>
      </w:r>
      <w:r w:rsidR="001A7432">
        <w:t xml:space="preserve">  C</w:t>
      </w:r>
      <w:r w:rsidR="00247EEA">
        <w:t>REA and PacifiCorp do not have an exclusive service territory agreement, and the cooperative is</w:t>
      </w:r>
      <w:r w:rsidR="008F3319">
        <w:t xml:space="preserve"> a direct competitor of PacifiCorp </w:t>
      </w:r>
      <w:r w:rsidR="00247EEA">
        <w:t xml:space="preserve">for end use consumers. </w:t>
      </w:r>
      <w:r w:rsidR="004E08DB">
        <w:t xml:space="preserve"> </w:t>
      </w:r>
      <w:r w:rsidR="00A02E8B">
        <w:t xml:space="preserve">Despite the fact that </w:t>
      </w:r>
      <w:r w:rsidR="000D2785">
        <w:t>C</w:t>
      </w:r>
      <w:r w:rsidR="00247EEA">
        <w:t xml:space="preserve">REA’s primary interest </w:t>
      </w:r>
      <w:r w:rsidR="004E08DB">
        <w:t xml:space="preserve">in the cases was the </w:t>
      </w:r>
      <w:r w:rsidR="00A02E8B">
        <w:t xml:space="preserve">competitive </w:t>
      </w:r>
      <w:r w:rsidR="004E08DB">
        <w:t>imp</w:t>
      </w:r>
      <w:r w:rsidR="003776F8">
        <w:t>act of PacifiCorp’s tariffs, which</w:t>
      </w:r>
      <w:r w:rsidR="004E08DB">
        <w:t xml:space="preserve"> were designed to charge net removal costs upon </w:t>
      </w:r>
      <w:r w:rsidR="00A02E8B">
        <w:t xml:space="preserve">departing </w:t>
      </w:r>
      <w:r w:rsidR="004E08DB">
        <w:t>customers</w:t>
      </w:r>
      <w:r w:rsidR="003776F8">
        <w:t xml:space="preserve">, the Commission </w:t>
      </w:r>
      <w:r w:rsidR="00A02E8B">
        <w:t>allowed its intervention</w:t>
      </w:r>
      <w:r w:rsidR="000D2785">
        <w:t xml:space="preserve"> on the grounds of it benefiting the public interest</w:t>
      </w:r>
      <w:r w:rsidR="00A02E8B">
        <w:t>.</w:t>
      </w:r>
      <w:r w:rsidR="00EB24B1">
        <w:t xml:space="preserve">  Judge Moss explained:</w:t>
      </w:r>
    </w:p>
    <w:p w14:paraId="7E3AA923" w14:textId="036140C0" w:rsidR="00EB24B1" w:rsidRDefault="00EB24B1" w:rsidP="004D761D">
      <w:pPr>
        <w:ind w:left="720" w:right="720"/>
        <w:jc w:val="both"/>
      </w:pPr>
      <w:r w:rsidRPr="00EB24B1">
        <w:t>CREA is a competitor of PacifiCorp in Washington. CREA’s concern in this proceeding stems from PacifiCorp’s proposed changes to Schedule 300</w:t>
      </w:r>
      <w:r>
        <w:t>….</w:t>
      </w:r>
      <w:r w:rsidRPr="00EB24B1">
        <w:t xml:space="preserve"> </w:t>
      </w:r>
      <w:r w:rsidR="001A7432">
        <w:t>[T]</w:t>
      </w:r>
      <w:r w:rsidRPr="00EB24B1">
        <w:t>he Commission has a strong interest in seeing that the record is fully developed relative to changes PacifiCorp proposes. CREA’s participation, limited to this issue, may result in a record that more fully informs the Commission on this matter than would be the case without CREA’s participation. The Commission determines for this reason that CREA’s participation is in the public interest, which establishes sufficient grounds for allowing it to intervene.</w:t>
      </w:r>
      <w:r w:rsidR="000D2785">
        <w:rPr>
          <w:rStyle w:val="FootnoteReference"/>
        </w:rPr>
        <w:footnoteReference w:id="21"/>
      </w:r>
      <w:r w:rsidRPr="00EB24B1">
        <w:t xml:space="preserve"> </w:t>
      </w:r>
    </w:p>
    <w:p w14:paraId="44FDAA17" w14:textId="77777777" w:rsidR="004D761D" w:rsidRDefault="004D761D" w:rsidP="004D761D">
      <w:pPr>
        <w:ind w:left="720" w:right="720"/>
        <w:jc w:val="both"/>
      </w:pPr>
    </w:p>
    <w:p w14:paraId="61596546" w14:textId="539094BD" w:rsidR="00731394" w:rsidRDefault="00A02E8B" w:rsidP="00DF7DC2">
      <w:pPr>
        <w:pStyle w:val="ListParagraph"/>
        <w:numPr>
          <w:ilvl w:val="0"/>
          <w:numId w:val="27"/>
        </w:numPr>
        <w:spacing w:line="480" w:lineRule="auto"/>
        <w:ind w:hanging="540"/>
      </w:pPr>
      <w:r>
        <w:t xml:space="preserve">   </w:t>
      </w:r>
      <w:r w:rsidR="004E08DB">
        <w:t xml:space="preserve"> </w:t>
      </w:r>
      <w:r w:rsidR="004D761D">
        <w:tab/>
        <w:t xml:space="preserve">The Commission more recently allowed the intervention </w:t>
      </w:r>
      <w:r w:rsidR="0080306D">
        <w:t xml:space="preserve">of PSE’s competitors, the </w:t>
      </w:r>
      <w:r w:rsidR="0080306D" w:rsidRPr="0080306D">
        <w:t>Washington State Heating, Ventilation, and Air Conditioning Contractors Association</w:t>
      </w:r>
      <w:r w:rsidR="004A7C3F">
        <w:t xml:space="preserve"> </w:t>
      </w:r>
      <w:r w:rsidR="0080306D">
        <w:t xml:space="preserve">and </w:t>
      </w:r>
      <w:r w:rsidR="0080306D" w:rsidRPr="0080306D">
        <w:t>the Western Washington</w:t>
      </w:r>
      <w:r w:rsidR="00271006">
        <w:t xml:space="preserve"> </w:t>
      </w:r>
      <w:r w:rsidR="0080306D" w:rsidRPr="0080306D">
        <w:t xml:space="preserve">Chapter of the Sheet Metal and Air Conditioning </w:t>
      </w:r>
      <w:r w:rsidR="0080306D" w:rsidRPr="0080306D">
        <w:lastRenderedPageBreak/>
        <w:t>Contractors National Association</w:t>
      </w:r>
      <w:r w:rsidR="00C805FB">
        <w:t xml:space="preserve"> despite PSE’s same </w:t>
      </w:r>
      <w:r w:rsidR="00C805FB" w:rsidRPr="00C805FB">
        <w:rPr>
          <w:u w:val="single"/>
        </w:rPr>
        <w:t>Cole</w:t>
      </w:r>
      <w:r w:rsidR="00C805FB">
        <w:t xml:space="preserve"> argument</w:t>
      </w:r>
      <w:r w:rsidR="0080306D" w:rsidRPr="0080306D">
        <w:t>.</w:t>
      </w:r>
      <w:r w:rsidR="00271006">
        <w:rPr>
          <w:rStyle w:val="FootnoteReference"/>
        </w:rPr>
        <w:footnoteReference w:id="22"/>
      </w:r>
      <w:r w:rsidR="00655FEB">
        <w:t xml:space="preserve">  The Commission concluded “</w:t>
      </w:r>
      <w:r w:rsidR="00655FEB" w:rsidRPr="00655FEB">
        <w:t>that both of the</w:t>
      </w:r>
      <w:r w:rsidR="00655FEB">
        <w:t xml:space="preserve"> </w:t>
      </w:r>
      <w:r w:rsidR="00655FEB" w:rsidRPr="00655FEB">
        <w:t>HVAC associations have a substantial interest in the subject matter of the proceeding and that their participation is in</w:t>
      </w:r>
      <w:r w:rsidR="00655FEB">
        <w:t xml:space="preserve"> the public interest.”</w:t>
      </w:r>
      <w:r w:rsidR="00655FEB">
        <w:rPr>
          <w:rStyle w:val="FootnoteReference"/>
        </w:rPr>
        <w:footnoteReference w:id="23"/>
      </w:r>
      <w:r w:rsidR="00655FEB">
        <w:t xml:space="preserve"> </w:t>
      </w:r>
      <w:r w:rsidR="00352C3B">
        <w:t xml:space="preserve"> The Commission concluded that PSE’s filing implicated the </w:t>
      </w:r>
      <w:r w:rsidR="00503A59">
        <w:t>market for HVAC equipment and “</w:t>
      </w:r>
      <w:r w:rsidR="00503A59" w:rsidRPr="00503A59">
        <w:t>PSE has placed the HVAC equipment market at issue in this proceeding.</w:t>
      </w:r>
      <w:r w:rsidR="00503A59">
        <w:t>”</w:t>
      </w:r>
      <w:r w:rsidR="003B17B5">
        <w:rPr>
          <w:rStyle w:val="FootnoteReference"/>
        </w:rPr>
        <w:footnoteReference w:id="24"/>
      </w:r>
      <w:r w:rsidR="00503A59">
        <w:t xml:space="preserve"> </w:t>
      </w:r>
    </w:p>
    <w:p w14:paraId="456200EB" w14:textId="30AC8F93" w:rsidR="003A2846" w:rsidRDefault="00731394" w:rsidP="00DF7DC2">
      <w:pPr>
        <w:pStyle w:val="ListParagraph"/>
        <w:numPr>
          <w:ilvl w:val="0"/>
          <w:numId w:val="27"/>
        </w:numPr>
        <w:spacing w:line="480" w:lineRule="auto"/>
        <w:ind w:hanging="540"/>
      </w:pPr>
      <w:r>
        <w:tab/>
      </w:r>
      <w:r w:rsidR="00483F16">
        <w:t xml:space="preserve">These </w:t>
      </w:r>
      <w:r w:rsidR="003B17B5">
        <w:t>cases illustrate that</w:t>
      </w:r>
      <w:r w:rsidR="00C805FB">
        <w:t xml:space="preserve"> it is well within</w:t>
      </w:r>
      <w:r w:rsidR="003B17B5">
        <w:t xml:space="preserve"> </w:t>
      </w:r>
      <w:r w:rsidR="0061021E">
        <w:t>the Commission</w:t>
      </w:r>
      <w:r w:rsidR="00C805FB">
        <w:t>’s discretion to allow intervention of</w:t>
      </w:r>
      <w:r w:rsidR="0061021E">
        <w:t xml:space="preserve"> electric utility competitors, especially when the utility’s filing places the issue competition directly at issue. </w:t>
      </w:r>
      <w:r w:rsidR="00260651">
        <w:t xml:space="preserve"> It is hard to imagine there being any</w:t>
      </w:r>
      <w:r w:rsidR="00411DC6">
        <w:t xml:space="preserve"> case</w:t>
      </w:r>
      <w:r w:rsidR="00260651">
        <w:t xml:space="preserve"> more on point than the PSP&amp;L merger case in which the Commission allowed the participation of utility competitors and their trade associations </w:t>
      </w:r>
      <w:r w:rsidR="00DF7DC2">
        <w:t>when one of the issues</w:t>
      </w:r>
      <w:r w:rsidR="00260651">
        <w:t xml:space="preserve"> specifically addressed the issues of compe</w:t>
      </w:r>
      <w:r w:rsidR="00DF7DC2">
        <w:t>tition and retail direct access.  In this proceeding, retail access and competition are not just one of a number of relevant issues, but they are the central, if not only, issues</w:t>
      </w:r>
      <w:r w:rsidR="00260651">
        <w:t>.</w:t>
      </w:r>
      <w:r w:rsidR="00260651" w:rsidRPr="00D04F7F">
        <w:t xml:space="preserve">  </w:t>
      </w:r>
      <w:r w:rsidR="0061021E">
        <w:t xml:space="preserve">In </w:t>
      </w:r>
      <w:r w:rsidR="002E2771">
        <w:t>CREA’s example</w:t>
      </w:r>
      <w:r w:rsidR="0061021E">
        <w:t>,</w:t>
      </w:r>
      <w:r w:rsidR="002E2771">
        <w:t xml:space="preserve"> PacifiCorp placed at issue the utility’s tariff provisions that could limit the ability of its customers to choose to take service from PacifiCorp’s competitor.  In PSE’s HVAC example, </w:t>
      </w:r>
      <w:r w:rsidR="00516B2A">
        <w:t>PSE placed at issue a market for equipment that directly imp</w:t>
      </w:r>
      <w:r>
        <w:t>acted its competitors.  In all the above</w:t>
      </w:r>
      <w:r w:rsidR="00516B2A">
        <w:t xml:space="preserve"> examples, the participation of the utility’s competitors benefited the public interest because </w:t>
      </w:r>
      <w:r w:rsidR="00A1612A">
        <w:t>it allow</w:t>
      </w:r>
      <w:r w:rsidR="00C805FB">
        <w:t>ed</w:t>
      </w:r>
      <w:r w:rsidR="00A1612A">
        <w:t xml:space="preserve"> the Commission</w:t>
      </w:r>
      <w:r w:rsidR="00A1612A" w:rsidRPr="00A1612A">
        <w:t xml:space="preserve"> to </w:t>
      </w:r>
      <w:r w:rsidR="00411DC6">
        <w:t>fully ascertain</w:t>
      </w:r>
      <w:r w:rsidR="00A1612A" w:rsidRPr="00A1612A">
        <w:t xml:space="preserve"> th</w:t>
      </w:r>
      <w:r w:rsidR="00A1612A">
        <w:t>e effect of the tariffs on PSE’s and PacifiCorp’s</w:t>
      </w:r>
      <w:r w:rsidR="00A1612A" w:rsidRPr="00A1612A">
        <w:t xml:space="preserve"> customers, </w:t>
      </w:r>
      <w:r w:rsidR="00573BED">
        <w:t xml:space="preserve">competition, and </w:t>
      </w:r>
      <w:r>
        <w:t>retail choice</w:t>
      </w:r>
      <w:r w:rsidR="00A1612A">
        <w:t>.</w:t>
      </w:r>
      <w:r w:rsidR="00A1612A">
        <w:rPr>
          <w:rStyle w:val="FootnoteReference"/>
        </w:rPr>
        <w:footnoteReference w:id="25"/>
      </w:r>
      <w:r w:rsidR="00A1612A">
        <w:t xml:space="preserve">  </w:t>
      </w:r>
      <w:r w:rsidR="003A2846">
        <w:tab/>
      </w:r>
    </w:p>
    <w:p w14:paraId="47C7844E" w14:textId="270B5F8D" w:rsidR="00731394" w:rsidRDefault="004A7C3F" w:rsidP="005C6C15">
      <w:pPr>
        <w:ind w:left="1440" w:hanging="720"/>
        <w:rPr>
          <w:b/>
        </w:rPr>
      </w:pPr>
      <w:r>
        <w:rPr>
          <w:b/>
        </w:rPr>
        <w:lastRenderedPageBreak/>
        <w:t>C.</w:t>
      </w:r>
      <w:r>
        <w:rPr>
          <w:b/>
        </w:rPr>
        <w:tab/>
        <w:t>NIP</w:t>
      </w:r>
      <w:r w:rsidR="00C55838">
        <w:rPr>
          <w:b/>
        </w:rPr>
        <w:t xml:space="preserve">PC’s Participation Will Assist in the Commission’s Consideration of the Key Issues of Retail Competition, Electricity Markets, and Whether PSE’s Schedule 451 Is in the Public Interest </w:t>
      </w:r>
    </w:p>
    <w:p w14:paraId="1DFC24B5" w14:textId="77777777" w:rsidR="005C6C15" w:rsidRPr="004A7C3F" w:rsidRDefault="005C6C15" w:rsidP="005C6C15">
      <w:pPr>
        <w:ind w:left="1440" w:hanging="720"/>
        <w:rPr>
          <w:b/>
        </w:rPr>
      </w:pPr>
    </w:p>
    <w:p w14:paraId="78FA5D14" w14:textId="31633B36" w:rsidR="0015218E" w:rsidRDefault="0044758C" w:rsidP="003F0D3A">
      <w:pPr>
        <w:pStyle w:val="ListParagraph"/>
        <w:numPr>
          <w:ilvl w:val="0"/>
          <w:numId w:val="27"/>
        </w:numPr>
        <w:spacing w:line="480" w:lineRule="auto"/>
        <w:ind w:hanging="540"/>
      </w:pPr>
      <w:r>
        <w:tab/>
      </w:r>
      <w:r w:rsidR="005660C3">
        <w:t>Whether considered as</w:t>
      </w:r>
      <w:r w:rsidR="0033507C">
        <w:t xml:space="preserve"> a </w:t>
      </w:r>
      <w:r w:rsidR="00D57451">
        <w:t xml:space="preserve">non-profit </w:t>
      </w:r>
      <w:r w:rsidR="0033507C">
        <w:t xml:space="preserve">entity </w:t>
      </w:r>
      <w:r w:rsidR="00D57451">
        <w:t xml:space="preserve">interested in promoting competitive market and retail access, or as representing PSE’s competitors, </w:t>
      </w:r>
      <w:r>
        <w:t>NIPPC will help inform the record and benefit the public interest on nearly all the rel</w:t>
      </w:r>
      <w:r w:rsidR="00D57451">
        <w:t xml:space="preserve">evant issues in this proceeding.  </w:t>
      </w:r>
      <w:r w:rsidR="00F74171">
        <w:t xml:space="preserve">PSE’s Advice Letter, the direct testimony of PSE witness Jon </w:t>
      </w:r>
      <w:r w:rsidR="00F74171" w:rsidRPr="00F74171">
        <w:t>Piliaris</w:t>
      </w:r>
      <w:r w:rsidR="00F74171">
        <w:t>, and the direct testimony of Microsoft witness</w:t>
      </w:r>
      <w:r w:rsidR="002E3E08">
        <w:t xml:space="preserve"> </w:t>
      </w:r>
      <w:r w:rsidR="002E3E08" w:rsidRPr="002E3E08">
        <w:t>Irene Plenefisch</w:t>
      </w:r>
      <w:r w:rsidR="00D57451">
        <w:t xml:space="preserve"> </w:t>
      </w:r>
      <w:r w:rsidR="003F0D3A">
        <w:t>placed</w:t>
      </w:r>
      <w:r w:rsidR="004908C8">
        <w:t xml:space="preserve"> issues </w:t>
      </w:r>
      <w:r w:rsidR="00603DEC">
        <w:t xml:space="preserve">related to retail access, alternative power suppliers, retail and wholesale markets, transmission service, and stranded costs </w:t>
      </w:r>
      <w:r w:rsidR="004908C8">
        <w:t xml:space="preserve">front and center of the proceeding.  </w:t>
      </w:r>
      <w:r w:rsidR="004848B6">
        <w:t>The Commission’s understanding</w:t>
      </w:r>
      <w:r w:rsidR="00803747">
        <w:t xml:space="preserve"> of the</w:t>
      </w:r>
      <w:r w:rsidR="00A60EA8">
        <w:t>se</w:t>
      </w:r>
      <w:r w:rsidR="00803747">
        <w:t xml:space="preserve"> issues and its ability to fulfill its statutory responsibilities will be diminished without </w:t>
      </w:r>
      <w:r w:rsidR="004908C8">
        <w:t>NIPPC’s participation</w:t>
      </w:r>
      <w:r w:rsidR="00A60EA8">
        <w:t xml:space="preserve"> and knowledge </w:t>
      </w:r>
      <w:r w:rsidR="00411DC6">
        <w:t>which</w:t>
      </w:r>
      <w:r w:rsidR="00A60EA8">
        <w:t xml:space="preserve"> no other party is capable of providing</w:t>
      </w:r>
      <w:r w:rsidR="004908C8">
        <w:t xml:space="preserve">.  </w:t>
      </w:r>
    </w:p>
    <w:p w14:paraId="3A9A8D89" w14:textId="6B880A56" w:rsidR="00A1672E" w:rsidRDefault="00196687" w:rsidP="003F0D3A">
      <w:pPr>
        <w:pStyle w:val="ListParagraph"/>
        <w:numPr>
          <w:ilvl w:val="0"/>
          <w:numId w:val="27"/>
        </w:numPr>
        <w:spacing w:line="480" w:lineRule="auto"/>
        <w:ind w:hanging="540"/>
      </w:pPr>
      <w:r>
        <w:t xml:space="preserve"> </w:t>
      </w:r>
      <w:r w:rsidR="00856342">
        <w:tab/>
        <w:t>A key issue raised by PSE</w:t>
      </w:r>
      <w:r w:rsidR="000F5148">
        <w:t>’s Advice Filing</w:t>
      </w:r>
      <w:r w:rsidR="00856342">
        <w:t xml:space="preserve"> is “Alternative Power Suppliers and Supplied Power.”</w:t>
      </w:r>
      <w:r w:rsidR="00856342">
        <w:rPr>
          <w:rStyle w:val="FootnoteReference"/>
        </w:rPr>
        <w:footnoteReference w:id="26"/>
      </w:r>
      <w:r w:rsidR="00856342">
        <w:t xml:space="preserve"> </w:t>
      </w:r>
      <w:r w:rsidR="00A1672E">
        <w:t xml:space="preserve"> </w:t>
      </w:r>
      <w:r w:rsidR="00900FED">
        <w:t>Service under</w:t>
      </w:r>
      <w:r w:rsidR="00856342">
        <w:t xml:space="preserve"> Schedule 451 will occur when the eligible customer </w:t>
      </w:r>
      <w:r w:rsidR="000630EB">
        <w:t xml:space="preserve">arranges to purchase power from non-PSE power suppliers in specific amounts </w:t>
      </w:r>
      <w:r w:rsidR="001D786B">
        <w:t>and consistent with the</w:t>
      </w:r>
      <w:r w:rsidR="000630EB">
        <w:t xml:space="preserve"> terms and billing arrangements specified in the rate schedule.</w:t>
      </w:r>
      <w:r w:rsidR="00A1672E">
        <w:rPr>
          <w:rStyle w:val="FootnoteReference"/>
        </w:rPr>
        <w:footnoteReference w:id="27"/>
      </w:r>
      <w:r w:rsidR="000630EB">
        <w:t xml:space="preserve">  </w:t>
      </w:r>
      <w:r w:rsidR="000B1B3D">
        <w:t xml:space="preserve">As explained by PSE witness Jon </w:t>
      </w:r>
      <w:r w:rsidR="000B1B3D" w:rsidRPr="000B1B3D">
        <w:t>Piliaris</w:t>
      </w:r>
      <w:r w:rsidR="00A1672E">
        <w:t xml:space="preserve"> “</w:t>
      </w:r>
      <w:r w:rsidR="00A1672E" w:rsidRPr="00A1672E">
        <w:t>Power supply is arranged directly between the customer and their supplier.</w:t>
      </w:r>
      <w:r w:rsidR="00A1672E">
        <w:t>”</w:t>
      </w:r>
      <w:r w:rsidR="004F2196">
        <w:rPr>
          <w:rStyle w:val="FootnoteReference"/>
        </w:rPr>
        <w:footnoteReference w:id="28"/>
      </w:r>
      <w:r w:rsidR="00A1672E">
        <w:t xml:space="preserve"> </w:t>
      </w:r>
      <w:r w:rsidR="007111DB">
        <w:t xml:space="preserve"> </w:t>
      </w:r>
    </w:p>
    <w:p w14:paraId="7817C466" w14:textId="5A1D499C" w:rsidR="00196687" w:rsidRDefault="007111DB" w:rsidP="003F0D3A">
      <w:pPr>
        <w:pStyle w:val="ListParagraph"/>
        <w:numPr>
          <w:ilvl w:val="0"/>
          <w:numId w:val="27"/>
        </w:numPr>
        <w:spacing w:line="480" w:lineRule="auto"/>
        <w:ind w:hanging="540"/>
      </w:pPr>
      <w:r>
        <w:tab/>
        <w:t>Despite being a critical component of the success of Schedule 451, PSE wants to exclude the participation of the arranger of this power supply from this case.</w:t>
      </w:r>
      <w:r w:rsidR="009E242E">
        <w:t xml:space="preserve">  However, t</w:t>
      </w:r>
      <w:r w:rsidR="00213E36">
        <w:t xml:space="preserve">here is no party that represents the interests of alternative power suppliers or who better </w:t>
      </w:r>
      <w:r w:rsidR="00213E36">
        <w:lastRenderedPageBreak/>
        <w:t xml:space="preserve">understands how or whether PSE’s Schedule 451 can be successfully used to provide </w:t>
      </w:r>
      <w:r w:rsidR="00565DBE">
        <w:t>alternative supplied power to eligible customers</w:t>
      </w:r>
      <w:r w:rsidR="009E242E">
        <w:t xml:space="preserve"> than NIPPC</w:t>
      </w:r>
      <w:r w:rsidR="00565DBE">
        <w:t>.  The Commission, PSE and eligible customers will all benefit from NIPPC’s expertise</w:t>
      </w:r>
      <w:r w:rsidR="009E242E">
        <w:t>,</w:t>
      </w:r>
      <w:r w:rsidR="00565DBE">
        <w:t xml:space="preserve"> which may be invaluable in creating a successful program.  Simply put, Schedule 451</w:t>
      </w:r>
      <w:r w:rsidR="003F56E6">
        <w:t xml:space="preserve"> cannot be successful without entities willing and able to sell power to eligible customers, and it would behoove the Commission not to take advantage of this expertise.  </w:t>
      </w:r>
    </w:p>
    <w:p w14:paraId="0D9E37AE" w14:textId="73C7E94D" w:rsidR="00196687" w:rsidRDefault="000229F5" w:rsidP="003F0D3A">
      <w:pPr>
        <w:pStyle w:val="ListParagraph"/>
        <w:numPr>
          <w:ilvl w:val="0"/>
          <w:numId w:val="27"/>
        </w:numPr>
        <w:spacing w:line="480" w:lineRule="auto"/>
        <w:ind w:hanging="540"/>
      </w:pPr>
      <w:r>
        <w:tab/>
        <w:t>Under PSE’s proposed Schedule 451, a Power Supplier may be responsible for taking tra</w:t>
      </w:r>
      <w:r w:rsidR="008936FC">
        <w:t>nsmission, ancillary,</w:t>
      </w:r>
      <w:r>
        <w:t xml:space="preserve"> imbalance</w:t>
      </w:r>
      <w:r w:rsidR="008936FC">
        <w:t>, scheduling, coordination and other</w:t>
      </w:r>
      <w:r>
        <w:t xml:space="preserve"> services</w:t>
      </w:r>
      <w:r w:rsidR="000D61BF">
        <w:t xml:space="preserve"> prior to an eligible customer purchasing alternative power.</w:t>
      </w:r>
      <w:r w:rsidR="008936FC">
        <w:rPr>
          <w:rStyle w:val="FootnoteReference"/>
        </w:rPr>
        <w:footnoteReference w:id="29"/>
      </w:r>
      <w:r w:rsidR="000D61BF">
        <w:t xml:space="preserve">  NIPPC has extensive knowledge regarding transmission service and its members are experience</w:t>
      </w:r>
      <w:r w:rsidR="00411DC6">
        <w:t>d</w:t>
      </w:r>
      <w:r w:rsidR="000D61BF">
        <w:t xml:space="preserve"> in obtaining transmission service for their own generation and selling power under retail access programs in states</w:t>
      </w:r>
      <w:r w:rsidR="00411DC6">
        <w:t xml:space="preserve"> across the country</w:t>
      </w:r>
      <w:r w:rsidR="000D61BF">
        <w:t xml:space="preserve">.  </w:t>
      </w:r>
      <w:r w:rsidR="005832B2">
        <w:t>Again, the Commission could benefit from NIPPC’s review and participation to ensure that these provisions are workable.</w:t>
      </w:r>
    </w:p>
    <w:p w14:paraId="62735268" w14:textId="11C40959" w:rsidR="000D61BF" w:rsidRDefault="005832B2" w:rsidP="00BC4D8F">
      <w:pPr>
        <w:pStyle w:val="ListParagraph"/>
        <w:numPr>
          <w:ilvl w:val="0"/>
          <w:numId w:val="27"/>
        </w:numPr>
        <w:spacing w:line="480" w:lineRule="auto"/>
        <w:ind w:hanging="540"/>
      </w:pPr>
      <w:r>
        <w:tab/>
      </w:r>
      <w:r w:rsidR="00412077">
        <w:t>NIPPC could provide unique elucidation on nearly all the other issues in this case.  PSE has proposed specific eligibility</w:t>
      </w:r>
      <w:r w:rsidR="0022407B">
        <w:t xml:space="preserve"> of service requirements,</w:t>
      </w:r>
      <w:r w:rsidR="000B6EB0">
        <w:rPr>
          <w:rStyle w:val="FootnoteReference"/>
        </w:rPr>
        <w:footnoteReference w:id="30"/>
      </w:r>
      <w:r w:rsidR="0022407B">
        <w:t xml:space="preserve"> and NIPPC’s members have worked on direct access eligibility criteria in numerous states and can bring invaluable perspectives.   </w:t>
      </w:r>
      <w:r w:rsidR="000B6EB0">
        <w:t>Other issues identified by PSE and Microsoft include the risk of market prices and stranded costs.</w:t>
      </w:r>
      <w:r w:rsidR="000B6EB0">
        <w:rPr>
          <w:rStyle w:val="FootnoteReference"/>
        </w:rPr>
        <w:footnoteReference w:id="31"/>
      </w:r>
      <w:r w:rsidR="00B07B9C">
        <w:t xml:space="preserve">  As the only parties in this case that own significant amounts of non-utility generation and that have survived the </w:t>
      </w:r>
      <w:r w:rsidR="00BC4D8F">
        <w:t>vaga</w:t>
      </w:r>
      <w:r w:rsidR="00411DC6">
        <w:t xml:space="preserve">ries of the power market, NIPPC’s members endow NIPPC with </w:t>
      </w:r>
      <w:r w:rsidR="00BC4D8F">
        <w:t xml:space="preserve">specialized and relevant knowledge on </w:t>
      </w:r>
      <w:r w:rsidR="00BC4D8F">
        <w:lastRenderedPageBreak/>
        <w:t xml:space="preserve">these topics. </w:t>
      </w:r>
      <w:r w:rsidR="001D786B">
        <w:t xml:space="preserve"> </w:t>
      </w:r>
      <w:r w:rsidR="001D786B" w:rsidRPr="001D786B">
        <w:t xml:space="preserve">NIPPC and its members have participated in numerous stranded cost valuation cases.   </w:t>
      </w:r>
    </w:p>
    <w:p w14:paraId="2FC90DCC" w14:textId="0BE0774D" w:rsidR="00400A18" w:rsidRPr="00400A18" w:rsidRDefault="002B7BD4" w:rsidP="00400A18">
      <w:pPr>
        <w:pStyle w:val="ListParagraph"/>
        <w:numPr>
          <w:ilvl w:val="0"/>
          <w:numId w:val="27"/>
        </w:numPr>
        <w:spacing w:line="480" w:lineRule="auto"/>
        <w:ind w:hanging="540"/>
      </w:pPr>
      <w:r>
        <w:tab/>
        <w:t>Microsoft</w:t>
      </w:r>
      <w:r w:rsidR="000F5148">
        <w:t xml:space="preserve">’s testimony also </w:t>
      </w:r>
      <w:r w:rsidR="000B1B3D">
        <w:t>illustrates the ways in which NIPPC’s participation will benefit both customers and the Commission.</w:t>
      </w:r>
      <w:r w:rsidR="000F5148">
        <w:t xml:space="preserve"> </w:t>
      </w:r>
      <w:r w:rsidR="008E7BFC">
        <w:t xml:space="preserve"> Microsoft witness </w:t>
      </w:r>
      <w:r w:rsidR="008E7BFC" w:rsidRPr="008E7BFC">
        <w:t>Irene Plenefisch</w:t>
      </w:r>
      <w:r w:rsidR="008E7BFC">
        <w:t xml:space="preserve"> explains that </w:t>
      </w:r>
      <w:r w:rsidR="008E7BFC" w:rsidRPr="008E7BFC">
        <w:t xml:space="preserve">Microsoft engages with </w:t>
      </w:r>
      <w:r w:rsidR="008E7BFC">
        <w:t>“</w:t>
      </w:r>
      <w:r w:rsidR="008E7BFC" w:rsidRPr="008E7BFC">
        <w:t>independent power producers to identify sources of reliable, affordable, sustainable energy</w:t>
      </w:r>
      <w:r w:rsidR="008E7BFC">
        <w:t>” and wants to c</w:t>
      </w:r>
      <w:r w:rsidR="004C0F29">
        <w:t>ontinue those efforts in Washington</w:t>
      </w:r>
      <w:r w:rsidR="008E7BFC" w:rsidRPr="008E7BFC">
        <w:t>.</w:t>
      </w:r>
      <w:r w:rsidR="004C0F29">
        <w:rPr>
          <w:rStyle w:val="FootnoteReference"/>
        </w:rPr>
        <w:footnoteReference w:id="32"/>
      </w:r>
      <w:r w:rsidR="00400A18">
        <w:t xml:space="preserve">  </w:t>
      </w:r>
      <w:r w:rsidR="00F861A4">
        <w:t>Ms. Plenefisch further explained that: “</w:t>
      </w:r>
      <w:r w:rsidR="00F861A4" w:rsidRPr="00F861A4">
        <w:t>Microsoft, however, is capable of and wishes to select its own suppliers, enter into contracts with them, and assume the related risks and benefits</w:t>
      </w:r>
      <w:r w:rsidR="00F861A4">
        <w:t>”</w:t>
      </w:r>
      <w:r w:rsidR="009D4581">
        <w:rPr>
          <w:rStyle w:val="FootnoteReference"/>
        </w:rPr>
        <w:footnoteReference w:id="33"/>
      </w:r>
      <w:r w:rsidR="00F861A4">
        <w:t xml:space="preserve"> and </w:t>
      </w:r>
      <w:r w:rsidR="009D4581">
        <w:t>“</w:t>
      </w:r>
      <w:r w:rsidR="009D4581" w:rsidRPr="009D4581">
        <w:t>wants more certainty in its pricing and can achieve more certainty by conduct</w:t>
      </w:r>
      <w:r w:rsidR="009D4581">
        <w:t>ing its own procurement process</w:t>
      </w:r>
      <w:r w:rsidR="00411DC6">
        <w:t xml:space="preserve"> . . . .</w:t>
      </w:r>
      <w:r w:rsidR="009D4581">
        <w:t>”</w:t>
      </w:r>
      <w:r w:rsidR="009D4581">
        <w:rPr>
          <w:rStyle w:val="FootnoteReference"/>
        </w:rPr>
        <w:footnoteReference w:id="34"/>
      </w:r>
      <w:r w:rsidR="00F861A4">
        <w:t xml:space="preserve"> </w:t>
      </w:r>
      <w:r w:rsidR="009D4581">
        <w:t xml:space="preserve"> </w:t>
      </w:r>
      <w:r w:rsidR="00A63891">
        <w:t>As representing the interests of in</w:t>
      </w:r>
      <w:r w:rsidR="00411DC6">
        <w:t>dependent power producers and marketers in</w:t>
      </w:r>
      <w:r w:rsidR="00A63891">
        <w:t xml:space="preserve"> promoting competitive markets, </w:t>
      </w:r>
      <w:r w:rsidR="009D4581">
        <w:t xml:space="preserve">NIPPC </w:t>
      </w:r>
      <w:r w:rsidR="00C94D62">
        <w:t>has unique knowledge</w:t>
      </w:r>
      <w:r w:rsidR="00A63891">
        <w:t xml:space="preserve"> about whether </w:t>
      </w:r>
      <w:r w:rsidR="00C94D62">
        <w:t xml:space="preserve">and how </w:t>
      </w:r>
      <w:r w:rsidR="00A63891">
        <w:t>Microsoft</w:t>
      </w:r>
      <w:r w:rsidR="00C957CE">
        <w:t xml:space="preserve"> and other eligible customers’</w:t>
      </w:r>
      <w:r w:rsidR="00C94D62">
        <w:t xml:space="preserve"> goals can be achieved</w:t>
      </w:r>
      <w:r w:rsidR="0020510F">
        <w:t>.</w:t>
      </w:r>
      <w:r w:rsidR="00A63891">
        <w:t xml:space="preserve"> </w:t>
      </w:r>
    </w:p>
    <w:p w14:paraId="5F1B9228" w14:textId="450155EC" w:rsidR="00B03837" w:rsidRPr="001C5006" w:rsidRDefault="001C5006" w:rsidP="00306137">
      <w:pPr>
        <w:spacing w:line="480" w:lineRule="auto"/>
        <w:outlineLvl w:val="0"/>
        <w:rPr>
          <w:b/>
        </w:rPr>
      </w:pPr>
      <w:r>
        <w:rPr>
          <w:b/>
        </w:rPr>
        <w:t>2.</w:t>
      </w:r>
      <w:r>
        <w:rPr>
          <w:b/>
        </w:rPr>
        <w:tab/>
        <w:t>NIPPC and Its Members Have a Substantial Interest in This Proceeding</w:t>
      </w:r>
    </w:p>
    <w:p w14:paraId="09CAD279" w14:textId="7CA1EBCA" w:rsidR="00196687" w:rsidRDefault="001C5006" w:rsidP="003F0D3A">
      <w:pPr>
        <w:pStyle w:val="ListParagraph"/>
        <w:numPr>
          <w:ilvl w:val="0"/>
          <w:numId w:val="27"/>
        </w:numPr>
        <w:spacing w:line="480" w:lineRule="auto"/>
        <w:ind w:hanging="540"/>
      </w:pPr>
      <w:r>
        <w:tab/>
      </w:r>
      <w:r w:rsidR="005373F6">
        <w:t>PSE has placed the retail market at issue in this proceeding</w:t>
      </w:r>
      <w:r w:rsidR="00484637">
        <w:t xml:space="preserve"> and has designed a tariff upon which the participation of alternative power suppliers is required, which provides NIPPC and its members a substantial interest.</w:t>
      </w:r>
      <w:r w:rsidR="00634CD1">
        <w:t xml:space="preserve">  NIPPC </w:t>
      </w:r>
      <w:r w:rsidR="00762AFF">
        <w:t xml:space="preserve">also </w:t>
      </w:r>
      <w:r w:rsidR="00634CD1">
        <w:t>has standing</w:t>
      </w:r>
      <w:r w:rsidR="00762AFF">
        <w:t xml:space="preserve"> because its members could be directly harmed by </w:t>
      </w:r>
      <w:r w:rsidR="001A4E79">
        <w:t>the terms and conditions of Sche</w:t>
      </w:r>
      <w:r w:rsidR="007D33C4">
        <w:t>dule 451 if the tariff</w:t>
      </w:r>
      <w:r w:rsidR="00DB71E8">
        <w:t xml:space="preserve"> allows only certain </w:t>
      </w:r>
      <w:r w:rsidR="001A4E79">
        <w:t xml:space="preserve">or otherwise </w:t>
      </w:r>
      <w:r w:rsidR="00DB71E8">
        <w:t>unlawfully discriminates between</w:t>
      </w:r>
      <w:r w:rsidR="001A4E79">
        <w:t xml:space="preserve"> particular </w:t>
      </w:r>
      <w:r w:rsidR="00DB71E8">
        <w:t xml:space="preserve">non-utility </w:t>
      </w:r>
      <w:r w:rsidR="001A4E79">
        <w:t xml:space="preserve">power suppliers. </w:t>
      </w:r>
    </w:p>
    <w:p w14:paraId="20ABFB48" w14:textId="2765D0FC" w:rsidR="00634CD1" w:rsidRDefault="00634CD1" w:rsidP="003F0D3A">
      <w:pPr>
        <w:pStyle w:val="ListParagraph"/>
        <w:numPr>
          <w:ilvl w:val="0"/>
          <w:numId w:val="27"/>
        </w:numPr>
        <w:spacing w:line="480" w:lineRule="auto"/>
        <w:ind w:hanging="540"/>
      </w:pPr>
      <w:r>
        <w:lastRenderedPageBreak/>
        <w:tab/>
        <w:t>A</w:t>
      </w:r>
      <w:r w:rsidRPr="00634CD1">
        <w:t xml:space="preserve"> person whose interests may be </w:t>
      </w:r>
      <w:r w:rsidR="001723F0">
        <w:t xml:space="preserve">adversely affected by an order </w:t>
      </w:r>
      <w:r>
        <w:t>has</w:t>
      </w:r>
      <w:r w:rsidRPr="00634CD1">
        <w:t xml:space="preserve"> standing to obtain or to participate in an adjudicative proceeding. </w:t>
      </w:r>
      <w:r w:rsidR="001723F0">
        <w:t xml:space="preserve"> </w:t>
      </w:r>
      <w:r w:rsidRPr="00634CD1">
        <w:t>An</w:t>
      </w:r>
      <w:r w:rsidRPr="001723F0">
        <w:t xml:space="preserve"> </w:t>
      </w:r>
      <w:r w:rsidRPr="001723F0">
        <w:rPr>
          <w:iCs/>
        </w:rPr>
        <w:t>order</w:t>
      </w:r>
      <w:r w:rsidR="001723F0" w:rsidRPr="001723F0">
        <w:t xml:space="preserve"> </w:t>
      </w:r>
      <w:r w:rsidRPr="00634CD1">
        <w:t>is “a written statement of particular applicability that finally determines the legal rights, duties, privileges, immunities, or other legal interests of a specific person or persons.”</w:t>
      </w:r>
      <w:r w:rsidR="001723F0">
        <w:rPr>
          <w:rStyle w:val="FootnoteReference"/>
        </w:rPr>
        <w:footnoteReference w:id="35"/>
      </w:r>
      <w:r w:rsidR="00C55293">
        <w:t xml:space="preserve">  </w:t>
      </w:r>
      <w:r w:rsidR="00D43F68">
        <w:t>A party has standing to challenge an order when it directly impacts their</w:t>
      </w:r>
      <w:r w:rsidR="00D43F68" w:rsidRPr="00D43F68">
        <w:t xml:space="preserve"> interest </w:t>
      </w:r>
      <w:r w:rsidR="00310096">
        <w:t xml:space="preserve">and they have </w:t>
      </w:r>
      <w:r w:rsidR="00D43F68" w:rsidRPr="00D43F68">
        <w:t>sufficient facts to demonstrate an injury in fact</w:t>
      </w:r>
      <w:r w:rsidR="00310096">
        <w:t>.</w:t>
      </w:r>
      <w:r w:rsidR="00310096">
        <w:rPr>
          <w:rStyle w:val="FootnoteReference"/>
        </w:rPr>
        <w:footnoteReference w:id="36"/>
      </w:r>
    </w:p>
    <w:p w14:paraId="745BBD4F" w14:textId="77777777" w:rsidR="003246BF" w:rsidRDefault="003B0964" w:rsidP="003F0D3A">
      <w:pPr>
        <w:pStyle w:val="ListParagraph"/>
        <w:numPr>
          <w:ilvl w:val="0"/>
          <w:numId w:val="27"/>
        </w:numPr>
        <w:spacing w:line="480" w:lineRule="auto"/>
        <w:ind w:hanging="540"/>
      </w:pPr>
      <w:r>
        <w:tab/>
      </w:r>
      <w:r w:rsidR="00DC2C55">
        <w:t xml:space="preserve">PSE’s </w:t>
      </w:r>
      <w:r w:rsidR="004342C5">
        <w:t>Schedule 451</w:t>
      </w:r>
      <w:r w:rsidR="00DC2C55" w:rsidRPr="00DC2C55">
        <w:t xml:space="preserve"> </w:t>
      </w:r>
      <w:r w:rsidR="00DC2C55">
        <w:t>is specifically designed to</w:t>
      </w:r>
      <w:r w:rsidR="0039794E">
        <w:t xml:space="preserve"> sets the conditions for which alternative power suppliers can sell power to eligible customers</w:t>
      </w:r>
      <w:r w:rsidR="00DC2C55">
        <w:t xml:space="preserve">, providing </w:t>
      </w:r>
      <w:r w:rsidR="004A3434">
        <w:t xml:space="preserve">NIPPC and its members a </w:t>
      </w:r>
      <w:r w:rsidR="00607479">
        <w:t>substantial in</w:t>
      </w:r>
      <w:r w:rsidR="00DC2C55">
        <w:t>terest in the outcome of this proceeding</w:t>
      </w:r>
      <w:r w:rsidR="00C75662">
        <w:t xml:space="preserve">. </w:t>
      </w:r>
      <w:r w:rsidR="003246BF">
        <w:t xml:space="preserve"> </w:t>
      </w:r>
      <w:r w:rsidR="00A34CDA">
        <w:t>PSE has decided to no longer sell power</w:t>
      </w:r>
      <w:r w:rsidR="00891E36">
        <w:t xml:space="preserve"> to </w:t>
      </w:r>
      <w:r w:rsidR="00DC2C55">
        <w:t xml:space="preserve">otherwise </w:t>
      </w:r>
      <w:r w:rsidR="00891E36">
        <w:t>eligible customers</w:t>
      </w:r>
      <w:r w:rsidR="00F01B4E">
        <w:t xml:space="preserve">, and </w:t>
      </w:r>
      <w:r w:rsidR="001F2F22">
        <w:t>allowing</w:t>
      </w:r>
      <w:r w:rsidR="00F01B4E">
        <w:t xml:space="preserve"> alternative power suppliers</w:t>
      </w:r>
      <w:r w:rsidR="001F2F22">
        <w:t xml:space="preserve"> to fulfill this need</w:t>
      </w:r>
      <w:r w:rsidR="00F01B4E">
        <w:t>.</w:t>
      </w:r>
      <w:r w:rsidR="00851181">
        <w:rPr>
          <w:rStyle w:val="FootnoteReference"/>
        </w:rPr>
        <w:footnoteReference w:id="37"/>
      </w:r>
      <w:r w:rsidR="00F01B4E">
        <w:t xml:space="preserve">  </w:t>
      </w:r>
      <w:r w:rsidR="003246BF" w:rsidRPr="003246BF">
        <w:t xml:space="preserve">At least for Microsoft and other eligible customers, NIPPC’s members are no longer PSE’s competitors.  </w:t>
      </w:r>
    </w:p>
    <w:p w14:paraId="47BA1D0B" w14:textId="4BBC38B4" w:rsidR="003B0964" w:rsidRDefault="003246BF" w:rsidP="003F0D3A">
      <w:pPr>
        <w:pStyle w:val="ListParagraph"/>
        <w:numPr>
          <w:ilvl w:val="0"/>
          <w:numId w:val="27"/>
        </w:numPr>
        <w:spacing w:line="480" w:lineRule="auto"/>
        <w:ind w:hanging="540"/>
      </w:pPr>
      <w:r>
        <w:tab/>
        <w:t xml:space="preserve">NIPPC’s members direct harm </w:t>
      </w:r>
      <w:r w:rsidR="000B5AE2">
        <w:t>could be that Schedule 451’s</w:t>
      </w:r>
      <w:r w:rsidR="00423D4A">
        <w:t xml:space="preserve"> terms, conditions, and requirements that could allow some, but not other, alternative power suppliers to sell power to Microsoft and other eligible customers.  Thus, the Commission’s decision in this case will </w:t>
      </w:r>
      <w:r w:rsidR="00281D4E">
        <w:t xml:space="preserve">not have just a generic impact on market competition, but will directly determine the rights and responsibilities of specific companies.  </w:t>
      </w:r>
      <w:r w:rsidR="00683788">
        <w:t xml:space="preserve">If these alternative power supplies or their </w:t>
      </w:r>
      <w:r w:rsidR="00411DC6">
        <w:t>regional</w:t>
      </w:r>
      <w:r w:rsidR="00683788">
        <w:t xml:space="preserve"> industry representative are unable to participate in this case, then they will have no ability </w:t>
      </w:r>
      <w:r w:rsidR="005D3B9F">
        <w:t xml:space="preserve">challenge or otherwise participate in an </w:t>
      </w:r>
      <w:r w:rsidR="00A06B1A">
        <w:t>proceeding</w:t>
      </w:r>
      <w:r w:rsidR="00423D4A">
        <w:t xml:space="preserve"> </w:t>
      </w:r>
      <w:r w:rsidR="00A06B1A">
        <w:t xml:space="preserve">that </w:t>
      </w:r>
      <w:r w:rsidR="00A06B1A" w:rsidRPr="00A06B1A">
        <w:t xml:space="preserve">directly impacts their interest and </w:t>
      </w:r>
      <w:r w:rsidR="00A06B1A">
        <w:t>causes</w:t>
      </w:r>
      <w:r w:rsidR="00A06B1A" w:rsidRPr="00A06B1A">
        <w:t xml:space="preserve"> an injury in fact</w:t>
      </w:r>
      <w:r w:rsidR="00A06B1A">
        <w:t>.</w:t>
      </w:r>
    </w:p>
    <w:p w14:paraId="14C5E0C4" w14:textId="1666A7D2" w:rsidR="0065148D" w:rsidRDefault="00B65E26" w:rsidP="006229B0">
      <w:pPr>
        <w:pStyle w:val="ListParagraph"/>
        <w:numPr>
          <w:ilvl w:val="0"/>
          <w:numId w:val="27"/>
        </w:numPr>
        <w:spacing w:line="480" w:lineRule="auto"/>
        <w:ind w:hanging="540"/>
      </w:pPr>
      <w:r>
        <w:lastRenderedPageBreak/>
        <w:t xml:space="preserve"> </w:t>
      </w:r>
      <w:r w:rsidR="00891E36">
        <w:tab/>
        <w:t>In addition, t</w:t>
      </w:r>
      <w:r w:rsidR="00CE19DD">
        <w:t>his proceeding is</w:t>
      </w:r>
      <w:r w:rsidR="00A06B1A">
        <w:t xml:space="preserve"> </w:t>
      </w:r>
      <w:r w:rsidR="004342C5">
        <w:t>similar</w:t>
      </w:r>
      <w:r w:rsidR="00F0314E">
        <w:t xml:space="preserve"> to PSE’s </w:t>
      </w:r>
      <w:r w:rsidR="004342C5">
        <w:t xml:space="preserve">recent </w:t>
      </w:r>
      <w:r w:rsidR="00F0314E">
        <w:t xml:space="preserve">HVAC proceeding in which the Commission found that a trade association of impacted competitors </w:t>
      </w:r>
      <w:r w:rsidR="004536CE">
        <w:t xml:space="preserve">had a substantial interest in the outcome of the proceeding.  PSE’s </w:t>
      </w:r>
      <w:r w:rsidR="004536CE" w:rsidRPr="004536CE">
        <w:t>tariff implicate</w:t>
      </w:r>
      <w:r w:rsidR="006229B0">
        <w:t xml:space="preserve">d the market for HVAC equipment and </w:t>
      </w:r>
      <w:r w:rsidR="006229B0" w:rsidRPr="006229B0">
        <w:t>placed the HVAC equipment ma</w:t>
      </w:r>
      <w:r w:rsidR="006229B0">
        <w:t>rket at issue</w:t>
      </w:r>
      <w:r w:rsidR="006229B0" w:rsidRPr="006229B0">
        <w:t>.</w:t>
      </w:r>
      <w:r w:rsidR="006229B0">
        <w:rPr>
          <w:rStyle w:val="FootnoteReference"/>
        </w:rPr>
        <w:footnoteReference w:id="38"/>
      </w:r>
      <w:r w:rsidR="006229B0">
        <w:t xml:space="preserve">  The Commission concluded that</w:t>
      </w:r>
      <w:r w:rsidR="003B0964">
        <w:t xml:space="preserve"> the competitors</w:t>
      </w:r>
      <w:r w:rsidR="006229B0">
        <w:t xml:space="preserve"> “</w:t>
      </w:r>
      <w:r w:rsidR="006229B0" w:rsidRPr="006229B0">
        <w:t>have a</w:t>
      </w:r>
      <w:r w:rsidR="003B0964">
        <w:t xml:space="preserve"> </w:t>
      </w:r>
      <w:r w:rsidR="006229B0" w:rsidRPr="006229B0">
        <w:t>substantial interest in that market as current participants.</w:t>
      </w:r>
      <w:r w:rsidR="006229B0">
        <w:t>”</w:t>
      </w:r>
      <w:r w:rsidR="003B0964">
        <w:rPr>
          <w:rStyle w:val="FootnoteReference"/>
        </w:rPr>
        <w:footnoteReference w:id="39"/>
      </w:r>
      <w:r w:rsidR="006229B0">
        <w:t xml:space="preserve"> </w:t>
      </w:r>
      <w:r w:rsidR="004A3434">
        <w:t xml:space="preserve"> Similarly, PSE has directly placed the retail electric market and retail wheeling at issue in this proceeding, and NIPPC and its members have a substantial interest in that market as current participants.</w:t>
      </w:r>
    </w:p>
    <w:p w14:paraId="58B1A6D8" w14:textId="6C53B206" w:rsidR="00831B59" w:rsidRDefault="00484637" w:rsidP="00B96F34">
      <w:pPr>
        <w:pStyle w:val="ListParagraph"/>
        <w:numPr>
          <w:ilvl w:val="0"/>
          <w:numId w:val="27"/>
        </w:numPr>
        <w:spacing w:line="480" w:lineRule="auto"/>
        <w:ind w:hanging="540"/>
      </w:pPr>
      <w:r>
        <w:tab/>
      </w:r>
      <w:r w:rsidR="0013490A">
        <w:t xml:space="preserve">While NIPPC is responding to PSE’s response in less than one business day, </w:t>
      </w:r>
      <w:r w:rsidR="003C4A62">
        <w:t>NIPPC is not aware of any jurisdiction in which the entities that sell power and will participate in a retail access program are not permitted to participate.</w:t>
      </w:r>
      <w:r w:rsidR="0013490A">
        <w:t xml:space="preserve">  For example, Oregon has a retail access</w:t>
      </w:r>
      <w:r w:rsidR="00DF4497">
        <w:t xml:space="preserve"> program that has specific administratively determined policies</w:t>
      </w:r>
      <w:r w:rsidR="0013490A">
        <w:t xml:space="preserve"> regarding eligibility of energy service suppliers that sell power to end use consumers, </w:t>
      </w:r>
      <w:r w:rsidR="00DF4497">
        <w:t>eligibility of retail customers to participate, and stranded cost and benefits</w:t>
      </w:r>
      <w:r w:rsidR="00F07B58">
        <w:t xml:space="preserve"> calculations.</w:t>
      </w:r>
      <w:r w:rsidR="004A48F4">
        <w:rPr>
          <w:rStyle w:val="FootnoteReference"/>
        </w:rPr>
        <w:footnoteReference w:id="40"/>
      </w:r>
      <w:r w:rsidR="00F07B58">
        <w:t xml:space="preserve">  </w:t>
      </w:r>
      <w:r w:rsidR="003C5CCB">
        <w:t>NIPPC and individual i</w:t>
      </w:r>
      <w:r w:rsidR="00584403">
        <w:t>ndependent power suppliers that sell to end use customers frequently participate in those proceedings without opposition.</w:t>
      </w:r>
      <w:r w:rsidR="00584403" w:rsidRPr="00584403">
        <w:rPr>
          <w:vertAlign w:val="superscript"/>
        </w:rPr>
        <w:t xml:space="preserve"> </w:t>
      </w:r>
      <w:r w:rsidR="00584403" w:rsidRPr="00F97CC7">
        <w:rPr>
          <w:vertAlign w:val="superscript"/>
        </w:rPr>
        <w:footnoteReference w:id="41"/>
      </w:r>
      <w:r w:rsidR="00584403" w:rsidRPr="004E7B2B">
        <w:t xml:space="preserve"> </w:t>
      </w:r>
      <w:r w:rsidR="00584403">
        <w:t xml:space="preserve"> </w:t>
      </w:r>
    </w:p>
    <w:p w14:paraId="5FB5AD4B" w14:textId="7BDBCD75" w:rsidR="000712A9" w:rsidRDefault="00831B59" w:rsidP="00656B7E">
      <w:pPr>
        <w:pStyle w:val="ListParagraph"/>
        <w:numPr>
          <w:ilvl w:val="0"/>
          <w:numId w:val="27"/>
        </w:numPr>
        <w:spacing w:line="480" w:lineRule="auto"/>
        <w:ind w:hanging="540"/>
      </w:pPr>
      <w:r>
        <w:lastRenderedPageBreak/>
        <w:tab/>
        <w:t>The participation of direct access eligible customers has not been sufficient to fully address issues related to the reasonableness of Oregon’s direct access program.  For example, eligible retail access customers have at times been active in addressing the reasonableness of the terms of the utilities</w:t>
      </w:r>
      <w:r w:rsidR="00AF0A08">
        <w:t xml:space="preserve"> programs.</w:t>
      </w:r>
      <w:r w:rsidR="007A3C73">
        <w:rPr>
          <w:rStyle w:val="FootnoteReference"/>
        </w:rPr>
        <w:footnoteReference w:id="42"/>
      </w:r>
      <w:r w:rsidR="00621C27">
        <w:t xml:space="preserve">  However, in other cases</w:t>
      </w:r>
      <w:r w:rsidR="00AF0A08">
        <w:t xml:space="preserve"> they have deferred to energy service suppliers to identify and litigate retail access issues because they have more experience and understanding regarding how the programs actually work.</w:t>
      </w:r>
      <w:r w:rsidR="00621C27">
        <w:rPr>
          <w:rStyle w:val="FootnoteReference"/>
        </w:rPr>
        <w:footnoteReference w:id="43"/>
      </w:r>
      <w:r>
        <w:t xml:space="preserve"> </w:t>
      </w:r>
      <w:r w:rsidR="00A06B1A">
        <w:t xml:space="preserve"> </w:t>
      </w:r>
      <w:r w:rsidR="001F5789">
        <w:t>W</w:t>
      </w:r>
      <w:r w:rsidR="00A06B1A">
        <w:t>ithout the</w:t>
      </w:r>
      <w:r w:rsidR="007E2C68">
        <w:t xml:space="preserve"> participation and expertise</w:t>
      </w:r>
      <w:r w:rsidR="00A06B1A">
        <w:t xml:space="preserve"> of entities that sell power to retail customers</w:t>
      </w:r>
      <w:r w:rsidR="007E2C68">
        <w:t xml:space="preserve">, it would be nearly impossible to adequately investigate and address whether the retail access programs are consistent with the law and </w:t>
      </w:r>
      <w:r w:rsidR="001F5789">
        <w:t xml:space="preserve">the interest of </w:t>
      </w:r>
      <w:r w:rsidR="0033507C">
        <w:t xml:space="preserve">remaining </w:t>
      </w:r>
      <w:r w:rsidR="001F5789">
        <w:t xml:space="preserve">customers.  </w:t>
      </w:r>
    </w:p>
    <w:p w14:paraId="57C5FFAB" w14:textId="1A6C2090" w:rsidR="000712A9" w:rsidRPr="00006E78" w:rsidRDefault="00006E78" w:rsidP="00006E78">
      <w:pPr>
        <w:spacing w:line="480" w:lineRule="auto"/>
        <w:jc w:val="center"/>
        <w:rPr>
          <w:b/>
        </w:rPr>
      </w:pPr>
      <w:r>
        <w:rPr>
          <w:b/>
        </w:rPr>
        <w:t>III.</w:t>
      </w:r>
      <w:r>
        <w:rPr>
          <w:b/>
        </w:rPr>
        <w:tab/>
        <w:t>CONCLUSION</w:t>
      </w:r>
    </w:p>
    <w:p w14:paraId="07FA77A0" w14:textId="5A78B4E7" w:rsidR="00B43A04" w:rsidRPr="00656B7E" w:rsidRDefault="00F81F53" w:rsidP="00656B7E">
      <w:pPr>
        <w:pStyle w:val="ListParagraph"/>
        <w:numPr>
          <w:ilvl w:val="0"/>
          <w:numId w:val="27"/>
        </w:numPr>
        <w:spacing w:line="480" w:lineRule="auto"/>
        <w:ind w:hanging="540"/>
        <w:rPr>
          <w:rFonts w:eastAsia="Cambria"/>
        </w:rPr>
      </w:pPr>
      <w:r>
        <w:tab/>
      </w:r>
      <w:r w:rsidR="00A22901">
        <w:t>NIPPC</w:t>
      </w:r>
      <w:r w:rsidR="00267A25">
        <w:t xml:space="preserve"> </w:t>
      </w:r>
      <w:r w:rsidR="00B43A04">
        <w:t xml:space="preserve">respectfully requests that the Commission grant its petition to intervene with full </w:t>
      </w:r>
      <w:r w:rsidR="005D1E67">
        <w:t xml:space="preserve">party </w:t>
      </w:r>
      <w:r w:rsidR="00CE19DD">
        <w:t>status in this proceeding</w:t>
      </w:r>
      <w:r w:rsidR="005D1E67">
        <w:t>.</w:t>
      </w:r>
      <w:r w:rsidR="00CE19DD">
        <w:t xml:space="preserve">  Denying NIPPC’s intervention will harm both </w:t>
      </w:r>
      <w:r w:rsidR="00CE19DD">
        <w:lastRenderedPageBreak/>
        <w:t>the public interest, fail to fully develop a record, and injure the substantial interests of NIPPC and its members.</w:t>
      </w:r>
      <w:r w:rsidR="00B43A04">
        <w:t xml:space="preserve">  </w:t>
      </w:r>
    </w:p>
    <w:p w14:paraId="2ECBF078" w14:textId="45104E21" w:rsidR="00B43A04" w:rsidRDefault="00B43A04" w:rsidP="00D301DA">
      <w:pPr>
        <w:keepNext/>
        <w:spacing w:line="480" w:lineRule="auto"/>
        <w:ind w:left="1980"/>
      </w:pPr>
      <w:r>
        <w:t xml:space="preserve">Dated this </w:t>
      </w:r>
      <w:r w:rsidR="00006E78">
        <w:t>7th</w:t>
      </w:r>
      <w:r>
        <w:t xml:space="preserve"> day of </w:t>
      </w:r>
      <w:r w:rsidR="00A22901">
        <w:t>November, 2016</w:t>
      </w:r>
      <w:r w:rsidR="00833F04">
        <w:t>.</w:t>
      </w:r>
    </w:p>
    <w:p w14:paraId="1025EC20" w14:textId="1086C660" w:rsidR="00CD1028" w:rsidRDefault="00B43A04" w:rsidP="000932B6">
      <w:pPr>
        <w:keepNext/>
        <w:spacing w:line="480" w:lineRule="auto"/>
        <w:ind w:left="2880" w:firstLine="720"/>
      </w:pPr>
      <w:r>
        <w:t>Respectfully submitted,</w:t>
      </w:r>
    </w:p>
    <w:p w14:paraId="11FF32AD" w14:textId="77777777" w:rsidR="00CD1028" w:rsidRDefault="00CD1028" w:rsidP="00B17330">
      <w:pPr>
        <w:keepNext/>
        <w:ind w:left="2880" w:firstLine="720"/>
      </w:pPr>
    </w:p>
    <w:p w14:paraId="3728BD6C" w14:textId="4B7E4F7D" w:rsidR="000A6484" w:rsidRDefault="000A6484" w:rsidP="00B17330">
      <w:pPr>
        <w:keepNext/>
        <w:ind w:left="2880" w:firstLine="720"/>
        <w:rPr>
          <w:noProof/>
        </w:rPr>
      </w:pPr>
    </w:p>
    <w:p w14:paraId="47BC4434" w14:textId="77777777" w:rsidR="007C5867" w:rsidRDefault="007C5867" w:rsidP="00B17330">
      <w:pPr>
        <w:keepNext/>
        <w:ind w:left="2880" w:firstLine="720"/>
        <w:rPr>
          <w:noProof/>
        </w:rPr>
      </w:pPr>
    </w:p>
    <w:p w14:paraId="1C9157E8" w14:textId="77777777" w:rsidR="007C5867" w:rsidRPr="00AA50E0" w:rsidRDefault="007C5867" w:rsidP="00B17330">
      <w:pPr>
        <w:keepNext/>
        <w:ind w:left="2880" w:firstLine="720"/>
      </w:pPr>
    </w:p>
    <w:p w14:paraId="0647C9A7" w14:textId="086921A7" w:rsidR="00CD1028" w:rsidRPr="00AA50E0" w:rsidRDefault="00AA50E0" w:rsidP="00B17330">
      <w:pPr>
        <w:keepNext/>
        <w:ind w:left="2880" w:firstLine="720"/>
      </w:pPr>
      <w:r w:rsidRPr="00AA50E0">
        <w:rPr>
          <w:i/>
          <w:noProof/>
        </w:rPr>
        <w:t>__</w:t>
      </w:r>
      <w:r w:rsidRPr="00AA50E0">
        <w:rPr>
          <w:noProof/>
        </w:rPr>
        <w:t>____________</w:t>
      </w:r>
    </w:p>
    <w:p w14:paraId="65E2F554" w14:textId="27182D40" w:rsidR="00CD1028" w:rsidRDefault="00CD1028" w:rsidP="00306137">
      <w:pPr>
        <w:keepNext/>
        <w:ind w:left="2880" w:firstLine="720"/>
        <w:outlineLvl w:val="0"/>
      </w:pPr>
      <w:r>
        <w:t>Irion A. Sanger</w:t>
      </w:r>
    </w:p>
    <w:p w14:paraId="1D750ED8" w14:textId="2EC73043" w:rsidR="000932B6" w:rsidRDefault="000932B6" w:rsidP="00B17330">
      <w:pPr>
        <w:keepNext/>
        <w:ind w:left="2880" w:firstLine="720"/>
      </w:pPr>
      <w:r>
        <w:t>Sidney Villanueva</w:t>
      </w:r>
    </w:p>
    <w:p w14:paraId="414F9D0B" w14:textId="77777777" w:rsidR="00CD1028" w:rsidRDefault="00CD1028" w:rsidP="00B17330">
      <w:pPr>
        <w:keepNext/>
        <w:ind w:left="2880" w:firstLine="720"/>
      </w:pPr>
      <w:r>
        <w:t>Sanger Law, PC</w:t>
      </w:r>
    </w:p>
    <w:p w14:paraId="0A825A5D" w14:textId="77777777" w:rsidR="00CD1028" w:rsidRDefault="00CD1028" w:rsidP="00B17330">
      <w:pPr>
        <w:keepNext/>
        <w:ind w:left="2880" w:firstLine="720"/>
      </w:pPr>
      <w:r w:rsidRPr="00CD1028">
        <w:t>1117 SE 53rd Avenue</w:t>
      </w:r>
    </w:p>
    <w:p w14:paraId="135945C7" w14:textId="77777777" w:rsidR="00CD1028" w:rsidRDefault="00CD1028" w:rsidP="00B17330">
      <w:pPr>
        <w:keepNext/>
        <w:ind w:left="2880" w:firstLine="720"/>
      </w:pPr>
      <w:r w:rsidRPr="00CD1028">
        <w:t>Portland, OR 97215</w:t>
      </w:r>
    </w:p>
    <w:p w14:paraId="40EB9AFF" w14:textId="77777777" w:rsidR="00CD1028" w:rsidRDefault="00CD1028" w:rsidP="00B17330">
      <w:pPr>
        <w:keepNext/>
        <w:ind w:left="2880" w:firstLine="720"/>
      </w:pPr>
      <w:r w:rsidRPr="00CD1028">
        <w:t>Telephone: 503-756-7533</w:t>
      </w:r>
    </w:p>
    <w:p w14:paraId="00FF8F31" w14:textId="77777777" w:rsidR="00CD1028" w:rsidRDefault="00CD1028" w:rsidP="00B17330">
      <w:pPr>
        <w:keepNext/>
        <w:ind w:left="2880" w:firstLine="720"/>
      </w:pPr>
      <w:r w:rsidRPr="00CD1028">
        <w:t>Fax: 503-334-2235</w:t>
      </w:r>
    </w:p>
    <w:p w14:paraId="373CA299" w14:textId="6725035F" w:rsidR="00CD1028" w:rsidRDefault="00CD1028" w:rsidP="00B17330">
      <w:pPr>
        <w:keepNext/>
        <w:ind w:left="2880" w:firstLine="720"/>
      </w:pPr>
      <w:r w:rsidRPr="00CD1028">
        <w:t>irion@sanger-law.com</w:t>
      </w:r>
    </w:p>
    <w:p w14:paraId="69DD4815" w14:textId="77777777" w:rsidR="00B17330" w:rsidRDefault="00B17330" w:rsidP="00B17330">
      <w:pPr>
        <w:keepNext/>
        <w:ind w:left="2880" w:firstLine="720"/>
      </w:pPr>
    </w:p>
    <w:p w14:paraId="571BFBE6" w14:textId="1C79A14C" w:rsidR="0000482B" w:rsidRDefault="00F81F53" w:rsidP="00B547C4">
      <w:pPr>
        <w:keepNext/>
        <w:ind w:left="4320" w:hanging="720"/>
      </w:pPr>
      <w:r>
        <w:t>Of A</w:t>
      </w:r>
      <w:r w:rsidR="00B17330">
        <w:t>ttorneys fo</w:t>
      </w:r>
      <w:r>
        <w:t xml:space="preserve">r the </w:t>
      </w:r>
      <w:r w:rsidR="00B547C4">
        <w:t xml:space="preserve">Northwest and Intermountain Power Producers Coalition </w:t>
      </w:r>
    </w:p>
    <w:sectPr w:rsidR="0000482B">
      <w:footerReference w:type="default" r:id="rId8"/>
      <w:pgSz w:w="12240" w:h="15840"/>
      <w:pgMar w:top="1440" w:right="1800" w:bottom="1440" w:left="1800" w:header="720" w:footer="720" w:gutter="0"/>
      <w:cols w:space="720"/>
      <w:docGrid w:linePitch="36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73393AA"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E3C45B" w14:textId="77777777" w:rsidR="00663CD7" w:rsidRDefault="00663CD7">
      <w:r>
        <w:separator/>
      </w:r>
    </w:p>
  </w:endnote>
  <w:endnote w:type="continuationSeparator" w:id="0">
    <w:p w14:paraId="46B38E3C" w14:textId="77777777" w:rsidR="00663CD7" w:rsidRDefault="00663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Univers">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66C2D1" w14:textId="20DD69D3" w:rsidR="00663CD7" w:rsidRPr="00D04330" w:rsidRDefault="00663CD7">
    <w:pPr>
      <w:pStyle w:val="Footer"/>
      <w:rPr>
        <w:szCs w:val="24"/>
      </w:rPr>
    </w:pPr>
    <w:r>
      <w:rPr>
        <w:szCs w:val="24"/>
      </w:rPr>
      <w:t>NIPPC</w:t>
    </w:r>
    <w:r w:rsidRPr="00D04330">
      <w:rPr>
        <w:szCs w:val="24"/>
      </w:rPr>
      <w:t xml:space="preserve"> </w:t>
    </w:r>
    <w:r>
      <w:rPr>
        <w:szCs w:val="24"/>
      </w:rPr>
      <w:t xml:space="preserve">REPLY TO PSE RESPONSE TO PETITION TO INTERVENE </w:t>
    </w:r>
    <w:r w:rsidRPr="00D04330">
      <w:rPr>
        <w:szCs w:val="24"/>
      </w:rPr>
      <w:tab/>
      <w:t xml:space="preserve">Page </w:t>
    </w:r>
    <w:r w:rsidRPr="00D04330">
      <w:rPr>
        <w:rStyle w:val="PageNumber"/>
        <w:szCs w:val="24"/>
      </w:rPr>
      <w:fldChar w:fldCharType="begin"/>
    </w:r>
    <w:r w:rsidRPr="00D04330">
      <w:rPr>
        <w:rStyle w:val="PageNumber"/>
        <w:szCs w:val="24"/>
      </w:rPr>
      <w:instrText xml:space="preserve"> PAGE </w:instrText>
    </w:r>
    <w:r w:rsidRPr="00D04330">
      <w:rPr>
        <w:rStyle w:val="PageNumber"/>
        <w:szCs w:val="24"/>
      </w:rPr>
      <w:fldChar w:fldCharType="separate"/>
    </w:r>
    <w:r w:rsidR="001A62E2">
      <w:rPr>
        <w:rStyle w:val="PageNumber"/>
        <w:noProof/>
        <w:szCs w:val="24"/>
      </w:rPr>
      <w:t>7</w:t>
    </w:r>
    <w:r w:rsidRPr="00D04330">
      <w:rPr>
        <w:rStyle w:val="PageNumber"/>
        <w:szCs w:val="24"/>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306CF9" w14:textId="77777777" w:rsidR="00663CD7" w:rsidRDefault="00663CD7">
      <w:r>
        <w:separator/>
      </w:r>
    </w:p>
  </w:footnote>
  <w:footnote w:type="continuationSeparator" w:id="0">
    <w:p w14:paraId="3B293BFC" w14:textId="77777777" w:rsidR="00663CD7" w:rsidRDefault="00663CD7">
      <w:r>
        <w:continuationSeparator/>
      </w:r>
    </w:p>
  </w:footnote>
  <w:footnote w:id="1">
    <w:p w14:paraId="48E25F14" w14:textId="77777777" w:rsidR="00663CD7" w:rsidRDefault="00663CD7" w:rsidP="007553B6">
      <w:pPr>
        <w:pStyle w:val="FootnoteText"/>
        <w:tabs>
          <w:tab w:val="left" w:pos="810"/>
        </w:tabs>
        <w:ind w:left="720" w:hanging="720"/>
      </w:pPr>
      <w:r>
        <w:rPr>
          <w:rStyle w:val="FootnoteReference"/>
        </w:rPr>
        <w:footnoteRef/>
      </w:r>
      <w:r>
        <w:t xml:space="preserve"> </w:t>
      </w:r>
      <w:r>
        <w:tab/>
        <w:t xml:space="preserve">NIPPC notes that PSE filed their response less than two businesses days (and less than two business hours) before the prehearing conference. </w:t>
      </w:r>
      <w:r w:rsidRPr="00E405D6">
        <w:t xml:space="preserve"> </w:t>
      </w:r>
      <w:proofErr w:type="gramStart"/>
      <w:r w:rsidRPr="00E405D6">
        <w:t>WAC 480-07-355(2) (</w:t>
      </w:r>
      <w:r w:rsidRPr="00E405D6">
        <w:rPr>
          <w:u w:val="single"/>
        </w:rPr>
        <w:t>A party’s written response to a petition to intervene must be filed and served at least two business days before the next prehearing conference or hearing date</w:t>
      </w:r>
      <w:r w:rsidRPr="00E405D6">
        <w:t>).</w:t>
      </w:r>
      <w:proofErr w:type="gramEnd"/>
      <w:r>
        <w:rPr>
          <w:b/>
        </w:rPr>
        <w:t xml:space="preserve">  </w:t>
      </w:r>
      <w:r>
        <w:t xml:space="preserve">The Commission has the discretion to ignore the written filing because it unfairly prejudices NIPPC.  </w:t>
      </w:r>
    </w:p>
  </w:footnote>
  <w:footnote w:id="2">
    <w:p w14:paraId="003C72D7" w14:textId="24540AB3" w:rsidR="00663CD7" w:rsidRDefault="00663CD7" w:rsidP="007553B6">
      <w:pPr>
        <w:pStyle w:val="FootnoteText"/>
        <w:tabs>
          <w:tab w:val="left" w:pos="810"/>
        </w:tabs>
        <w:ind w:left="720" w:hanging="720"/>
      </w:pPr>
      <w:r>
        <w:rPr>
          <w:rStyle w:val="FootnoteReference"/>
        </w:rPr>
        <w:footnoteRef/>
      </w:r>
      <w:r>
        <w:t xml:space="preserve"> </w:t>
      </w:r>
      <w:r>
        <w:tab/>
      </w:r>
      <w:r w:rsidRPr="000669E6">
        <w:rPr>
          <w:iCs/>
          <w:u w:val="single"/>
        </w:rPr>
        <w:t>Wash. Utils. &amp; Transp. Co</w:t>
      </w:r>
      <w:r>
        <w:rPr>
          <w:iCs/>
          <w:u w:val="single"/>
        </w:rPr>
        <w:t>mm’n</w:t>
      </w:r>
      <w:r w:rsidRPr="00594B2F">
        <w:rPr>
          <w:u w:val="single"/>
        </w:rPr>
        <w:t xml:space="preserve"> </w:t>
      </w:r>
      <w:r>
        <w:rPr>
          <w:u w:val="single"/>
        </w:rPr>
        <w:t>v. Pac.</w:t>
      </w:r>
      <w:r w:rsidRPr="00682781">
        <w:rPr>
          <w:u w:val="single"/>
        </w:rPr>
        <w:t xml:space="preserve"> Power &amp; Light Co.</w:t>
      </w:r>
      <w:r>
        <w:t xml:space="preserve">, Docket No. UE-152253, Order Granting NWEC’s Late-Filed Petition for Intervention at </w:t>
      </w:r>
      <w:r w:rsidRPr="00121AD5">
        <w:t>¶</w:t>
      </w:r>
      <w:r>
        <w:t xml:space="preserve"> 11 (Feb. 4, 2016).</w:t>
      </w:r>
    </w:p>
  </w:footnote>
  <w:footnote w:id="3">
    <w:p w14:paraId="235A82E1" w14:textId="17176AE8" w:rsidR="00663CD7" w:rsidRDefault="00663CD7" w:rsidP="007553B6">
      <w:pPr>
        <w:pStyle w:val="FootnoteText"/>
        <w:tabs>
          <w:tab w:val="left" w:pos="810"/>
        </w:tabs>
        <w:ind w:left="720" w:hanging="720"/>
      </w:pPr>
      <w:r>
        <w:rPr>
          <w:rStyle w:val="FootnoteReference"/>
        </w:rPr>
        <w:footnoteRef/>
      </w:r>
      <w:r>
        <w:t xml:space="preserve"> </w:t>
      </w:r>
      <w:r>
        <w:tab/>
      </w:r>
      <w:r w:rsidRPr="00682781">
        <w:rPr>
          <w:u w:val="single"/>
        </w:rPr>
        <w:t xml:space="preserve">Re Petition of PSE For an Order Authorizing the use of the Proceeds from the Sale of </w:t>
      </w:r>
      <w:r>
        <w:rPr>
          <w:u w:val="single"/>
        </w:rPr>
        <w:t xml:space="preserve">RECs </w:t>
      </w:r>
      <w:r w:rsidRPr="00682781">
        <w:rPr>
          <w:u w:val="single"/>
        </w:rPr>
        <w:t>and Carbon Financial Instruments</w:t>
      </w:r>
      <w:r>
        <w:t xml:space="preserve">, Docket UE-070725, Petition to Intervene of Renewable Northwest Project at </w:t>
      </w:r>
      <w:r w:rsidRPr="00121AD5">
        <w:t>¶</w:t>
      </w:r>
      <w:r>
        <w:t xml:space="preserve"> 4 (Nov. 24, 2009).</w:t>
      </w:r>
    </w:p>
  </w:footnote>
  <w:footnote w:id="4">
    <w:p w14:paraId="7E93449E" w14:textId="2A6A3E9D" w:rsidR="00663CD7" w:rsidRDefault="00663CD7" w:rsidP="007553B6">
      <w:pPr>
        <w:pStyle w:val="FootnoteText"/>
        <w:tabs>
          <w:tab w:val="left" w:pos="810"/>
        </w:tabs>
        <w:ind w:left="720" w:hanging="720"/>
      </w:pPr>
      <w:r>
        <w:rPr>
          <w:rStyle w:val="FootnoteReference"/>
        </w:rPr>
        <w:footnoteRef/>
      </w:r>
      <w:r>
        <w:t xml:space="preserve"> </w:t>
      </w:r>
      <w:r>
        <w:tab/>
      </w:r>
      <w:r w:rsidRPr="00B80EE3">
        <w:rPr>
          <w:u w:val="single"/>
        </w:rPr>
        <w:t>Re Investigation Regarding Competitive Bidding</w:t>
      </w:r>
      <w:r>
        <w:t xml:space="preserve">, OPUC Docket No. UM 1182, Ruling at 1 (Mar. 31, 2005); </w:t>
      </w:r>
      <w:r>
        <w:rPr>
          <w:u w:val="single"/>
        </w:rPr>
        <w:t>Re PacifiCorp, dba Pac.</w:t>
      </w:r>
      <w:r w:rsidRPr="00B80EE3">
        <w:rPr>
          <w:u w:val="single"/>
        </w:rPr>
        <w:t xml:space="preserve"> Power, Petition for Approval of the 2017 PacifiCorp Inter-Jurisdictional Allocation Protocol</w:t>
      </w:r>
      <w:r>
        <w:t xml:space="preserve">, OPUC Docket No. UM 1050, Ruling at 1 (Apr. 11, 2016); </w:t>
      </w:r>
      <w:r w:rsidRPr="00B80EE3">
        <w:rPr>
          <w:u w:val="single"/>
        </w:rPr>
        <w:t xml:space="preserve">Re PGE Petition for Partial Waiver of Competitive Bidding Guidelines and Approval of </w:t>
      </w:r>
      <w:r>
        <w:rPr>
          <w:u w:val="single"/>
        </w:rPr>
        <w:t>RFP</w:t>
      </w:r>
      <w:r w:rsidRPr="00B80EE3">
        <w:rPr>
          <w:u w:val="single"/>
        </w:rPr>
        <w:t xml:space="preserve"> Schedule</w:t>
      </w:r>
      <w:r>
        <w:t xml:space="preserve">, OPUC Docket No. UM 1773, Ruling at 1 (May 24, 2016); </w:t>
      </w:r>
      <w:r w:rsidRPr="00B80EE3">
        <w:rPr>
          <w:u w:val="single"/>
        </w:rPr>
        <w:t>Re PacifiC</w:t>
      </w:r>
      <w:r>
        <w:rPr>
          <w:u w:val="single"/>
        </w:rPr>
        <w:t>orp, dba Pac.</w:t>
      </w:r>
      <w:r w:rsidRPr="00B80EE3">
        <w:rPr>
          <w:u w:val="single"/>
        </w:rPr>
        <w:t xml:space="preserve"> Power, Application to Reduce QF Contract Term and Lower the QF Standard Contract Eligibility Cap</w:t>
      </w:r>
      <w:r>
        <w:t>, OPUC Docket No. UM 1734, Ruling at 1 (June 12, 2015);</w:t>
      </w:r>
      <w:r w:rsidRPr="00B9345B">
        <w:t xml:space="preserve"> </w:t>
      </w:r>
      <w:r w:rsidRPr="00B80EE3">
        <w:rPr>
          <w:u w:val="single"/>
        </w:rPr>
        <w:t>Re Commission Investigation of Competitive Bidding Guidelines Related to Senate Bill 1547</w:t>
      </w:r>
      <w:r>
        <w:t xml:space="preserve">, OPUC Docket No. UM 1776, Ruling at 1 (June 20, 2016); </w:t>
      </w:r>
      <w:r>
        <w:rPr>
          <w:u w:val="single"/>
        </w:rPr>
        <w:t>Re Joint Petition of Idaho Power Co., Avista Corp., and PacifiCorp, dba Rocky Mountain Power to Address Avoided Cost Issues and to Adjust the Published Avoided Cost Rate Eligibility Cap</w:t>
      </w:r>
      <w:r w:rsidRPr="005C55CD">
        <w:t xml:space="preserve">, IPUC Case No. GNR-E-10-04, Order No. 32143 at 1 (Dec. 22, 2010); </w:t>
      </w:r>
      <w:r w:rsidRPr="00ED4016">
        <w:rPr>
          <w:u w:val="single"/>
        </w:rPr>
        <w:t>Bonneville Power Administration 2016 Rate Adjustment Proceeding</w:t>
      </w:r>
      <w:r>
        <w:t>, BPA Docket No. BP-16, Order Granting Intervention and Amending Service List at 1 (Feb. 3, 2015)</w:t>
      </w:r>
      <w:r w:rsidRPr="00B06D19">
        <w:t>.</w:t>
      </w:r>
    </w:p>
  </w:footnote>
  <w:footnote w:id="5">
    <w:p w14:paraId="012BBA59" w14:textId="4A132597" w:rsidR="00663CD7" w:rsidRPr="00A15E83" w:rsidRDefault="00663CD7" w:rsidP="007553B6">
      <w:pPr>
        <w:pStyle w:val="FootnoteText"/>
        <w:tabs>
          <w:tab w:val="left" w:pos="810"/>
        </w:tabs>
        <w:ind w:left="720" w:hanging="720"/>
      </w:pPr>
      <w:r>
        <w:rPr>
          <w:rStyle w:val="FootnoteReference"/>
        </w:rPr>
        <w:footnoteRef/>
      </w:r>
      <w:r>
        <w:t xml:space="preserve"> </w:t>
      </w:r>
      <w:r>
        <w:tab/>
      </w:r>
      <w:r>
        <w:rPr>
          <w:u w:val="single"/>
        </w:rPr>
        <w:t xml:space="preserve">Re Proposal of Puget Sound Power &amp; Light Co. </w:t>
      </w:r>
      <w:r w:rsidRPr="00A15E83">
        <w:rPr>
          <w:u w:val="single"/>
        </w:rPr>
        <w:t>to Transfer Revenues from PRAM Rates</w:t>
      </w:r>
      <w:r>
        <w:rPr>
          <w:u w:val="single"/>
        </w:rPr>
        <w:t xml:space="preserve"> to General Rates</w:t>
      </w:r>
      <w:r>
        <w:t>, Docket Nos. UE-951270 and UE-960195 (consolidated) Third Suppl. Order Modifying Prehearing Order at 7 (June 10, 1998).</w:t>
      </w:r>
    </w:p>
  </w:footnote>
  <w:footnote w:id="6">
    <w:p w14:paraId="479329FB" w14:textId="77777777" w:rsidR="00663CD7" w:rsidRDefault="00663CD7" w:rsidP="007553B6">
      <w:pPr>
        <w:pStyle w:val="FootnoteText"/>
        <w:tabs>
          <w:tab w:val="left" w:pos="810"/>
        </w:tabs>
        <w:ind w:left="720" w:hanging="720"/>
      </w:pPr>
      <w:r>
        <w:rPr>
          <w:rStyle w:val="FootnoteReference"/>
        </w:rPr>
        <w:footnoteRef/>
      </w:r>
      <w:r>
        <w:t xml:space="preserve"> </w:t>
      </w:r>
      <w:r>
        <w:tab/>
        <w:t xml:space="preserve">PSE Response at 6-8 citing </w:t>
      </w:r>
      <w:r w:rsidRPr="003D7413">
        <w:rPr>
          <w:u w:val="single"/>
        </w:rPr>
        <w:t>Cole</w:t>
      </w:r>
      <w:r>
        <w:t xml:space="preserve">, </w:t>
      </w:r>
      <w:r w:rsidRPr="003D7413">
        <w:t>79 Wn.2d 30</w:t>
      </w:r>
      <w:r>
        <w:t>2, 305-06, 485 P.2d 71 (1971).  Eleven of PSE’s 24 footnotes that refer to cases or decisions cite to Cole.</w:t>
      </w:r>
    </w:p>
  </w:footnote>
  <w:footnote w:id="7">
    <w:p w14:paraId="73BE64C9" w14:textId="2BC711F2" w:rsidR="00663CD7" w:rsidRDefault="00663CD7" w:rsidP="007553B6">
      <w:pPr>
        <w:pStyle w:val="FootnoteText"/>
        <w:tabs>
          <w:tab w:val="left" w:pos="810"/>
        </w:tabs>
        <w:ind w:left="720" w:hanging="720"/>
      </w:pPr>
      <w:r>
        <w:rPr>
          <w:rStyle w:val="FootnoteReference"/>
        </w:rPr>
        <w:footnoteRef/>
      </w:r>
      <w:r>
        <w:t xml:space="preserve"> </w:t>
      </w:r>
      <w:r>
        <w:tab/>
      </w:r>
      <w:r w:rsidRPr="000669E6">
        <w:rPr>
          <w:iCs/>
          <w:u w:val="single"/>
        </w:rPr>
        <w:t>Wash. Utils. &amp; Transp. Co</w:t>
      </w:r>
      <w:r>
        <w:rPr>
          <w:iCs/>
          <w:u w:val="single"/>
        </w:rPr>
        <w:t>mm’n.</w:t>
      </w:r>
      <w:r w:rsidRPr="00594B2F">
        <w:rPr>
          <w:u w:val="single"/>
        </w:rPr>
        <w:t xml:space="preserve"> </w:t>
      </w:r>
      <w:r w:rsidRPr="00121AD5">
        <w:rPr>
          <w:u w:val="single"/>
        </w:rPr>
        <w:t>v. PacifiCor</w:t>
      </w:r>
      <w:r>
        <w:rPr>
          <w:u w:val="single"/>
        </w:rPr>
        <w:t>p, dba Pac. Power &amp; Light Co.</w:t>
      </w:r>
      <w:r w:rsidRPr="00754813">
        <w:t>,</w:t>
      </w:r>
      <w:r w:rsidRPr="00121AD5">
        <w:t xml:space="preserve"> Docket No. UE-001734, Second Suppl. Order</w:t>
      </w:r>
      <w:r>
        <w:t xml:space="preserve"> Denying Motion to Dismiss and Granting Petition to Intervene at</w:t>
      </w:r>
      <w:r w:rsidRPr="00121AD5">
        <w:t xml:space="preserve"> </w:t>
      </w:r>
      <w:r>
        <w:t xml:space="preserve">¶ 29 (July 9, 2001); </w:t>
      </w:r>
      <w:r w:rsidRPr="000669E6">
        <w:rPr>
          <w:iCs/>
          <w:u w:val="single"/>
        </w:rPr>
        <w:t>Wash. Utils. &amp; Transp. Co</w:t>
      </w:r>
      <w:r>
        <w:rPr>
          <w:iCs/>
          <w:u w:val="single"/>
        </w:rPr>
        <w:t>mm’n.</w:t>
      </w:r>
      <w:r w:rsidRPr="00594B2F">
        <w:rPr>
          <w:u w:val="single"/>
        </w:rPr>
        <w:t xml:space="preserve"> </w:t>
      </w:r>
      <w:r>
        <w:rPr>
          <w:u w:val="single"/>
        </w:rPr>
        <w:t>v. PacifiCorp dba Pac. Power &amp; Light Co.</w:t>
      </w:r>
      <w:r w:rsidRPr="00754813">
        <w:t xml:space="preserve">, </w:t>
      </w:r>
      <w:r>
        <w:t>Docket No. UE-130043</w:t>
      </w:r>
      <w:r w:rsidRPr="00594B2F">
        <w:t xml:space="preserve">, </w:t>
      </w:r>
      <w:r>
        <w:t>Order 03 at ¶ 6 (Feb. 14, 2013)</w:t>
      </w:r>
      <w:r w:rsidRPr="00594B2F">
        <w:t>.</w:t>
      </w:r>
    </w:p>
  </w:footnote>
  <w:footnote w:id="8">
    <w:p w14:paraId="3A281486" w14:textId="5F4F29E9" w:rsidR="00663CD7" w:rsidRDefault="00663CD7" w:rsidP="007553B6">
      <w:pPr>
        <w:pStyle w:val="FootnoteText"/>
        <w:tabs>
          <w:tab w:val="left" w:pos="810"/>
        </w:tabs>
        <w:ind w:left="720" w:hanging="720"/>
      </w:pPr>
      <w:r>
        <w:rPr>
          <w:rStyle w:val="FootnoteReference"/>
        </w:rPr>
        <w:footnoteRef/>
      </w:r>
      <w:r>
        <w:t xml:space="preserve"> </w:t>
      </w:r>
      <w:r>
        <w:tab/>
      </w:r>
      <w:r w:rsidRPr="00D4430B">
        <w:rPr>
          <w:iCs/>
          <w:u w:val="single"/>
        </w:rPr>
        <w:t>Columbia Gorg</w:t>
      </w:r>
      <w:r>
        <w:rPr>
          <w:iCs/>
          <w:u w:val="single"/>
        </w:rPr>
        <w:t>e Audubon Soc. v. Klickitat C</w:t>
      </w:r>
      <w:r w:rsidRPr="00D4430B">
        <w:rPr>
          <w:iCs/>
          <w:u w:val="single"/>
        </w:rPr>
        <w:t>ty</w:t>
      </w:r>
      <w:r>
        <w:t>, 98 Wash</w:t>
      </w:r>
      <w:r w:rsidRPr="00D4430B">
        <w:t>. App. 618,</w:t>
      </w:r>
      <w:r>
        <w:t xml:space="preserve"> 623,</w:t>
      </w:r>
      <w:r w:rsidRPr="00D4430B">
        <w:t xml:space="preserve"> 989 P.2d 1260 (1999).</w:t>
      </w:r>
    </w:p>
  </w:footnote>
  <w:footnote w:id="9">
    <w:p w14:paraId="2EAB2F30" w14:textId="3D4844BC" w:rsidR="00663CD7" w:rsidRDefault="00663CD7" w:rsidP="007553B6">
      <w:pPr>
        <w:pStyle w:val="FootnoteText"/>
        <w:tabs>
          <w:tab w:val="left" w:pos="810"/>
        </w:tabs>
        <w:ind w:left="720" w:hanging="720"/>
      </w:pPr>
      <w:r>
        <w:rPr>
          <w:rStyle w:val="FootnoteReference"/>
        </w:rPr>
        <w:footnoteRef/>
      </w:r>
      <w:r>
        <w:t xml:space="preserve"> </w:t>
      </w:r>
      <w:r>
        <w:tab/>
      </w:r>
      <w:r w:rsidRPr="000669E6">
        <w:t xml:space="preserve">The following cases cited by PSE rely upon </w:t>
      </w:r>
      <w:r w:rsidRPr="00DF21B5">
        <w:rPr>
          <w:u w:val="single"/>
        </w:rPr>
        <w:t>Cole</w:t>
      </w:r>
      <w:r w:rsidRPr="000669E6">
        <w:t xml:space="preserve"> to deny intervention: </w:t>
      </w:r>
      <w:r w:rsidRPr="000669E6">
        <w:rPr>
          <w:iCs/>
          <w:u w:val="single"/>
        </w:rPr>
        <w:t xml:space="preserve">Re Application of the Ohio Bell Tel. Co. for Auth. </w:t>
      </w:r>
      <w:r>
        <w:rPr>
          <w:iCs/>
          <w:u w:val="single"/>
        </w:rPr>
        <w:t>to Amend &amp; Increase Certain of its Intrastate Tariffs and to Change Regulations and</w:t>
      </w:r>
      <w:r w:rsidRPr="000669E6">
        <w:rPr>
          <w:iCs/>
          <w:u w:val="single"/>
        </w:rPr>
        <w:t xml:space="preserve"> Practices Affecting the Same</w:t>
      </w:r>
      <w:r w:rsidRPr="000669E6">
        <w:t xml:space="preserve">, </w:t>
      </w:r>
      <w:r>
        <w:t xml:space="preserve">Case No. </w:t>
      </w:r>
      <w:r w:rsidRPr="000669E6">
        <w:t>81-436-TP-AIR, 1981 WL 703630 (</w:t>
      </w:r>
      <w:r>
        <w:t>Ohio P.U.C.</w:t>
      </w:r>
      <w:r w:rsidRPr="000669E6">
        <w:t xml:space="preserve"> Sept. 2, 1981); </w:t>
      </w:r>
      <w:r w:rsidRPr="000669E6">
        <w:rPr>
          <w:iCs/>
          <w:u w:val="single"/>
        </w:rPr>
        <w:t>Wash. Utils. &amp; Transp. Co</w:t>
      </w:r>
      <w:r>
        <w:rPr>
          <w:iCs/>
          <w:u w:val="single"/>
        </w:rPr>
        <w:t>mm’n. v. Wash. Nat.</w:t>
      </w:r>
      <w:r w:rsidRPr="000669E6">
        <w:rPr>
          <w:iCs/>
          <w:u w:val="single"/>
        </w:rPr>
        <w:t xml:space="preserve"> Gas</w:t>
      </w:r>
      <w:r w:rsidRPr="000669E6">
        <w:t xml:space="preserve">, Docket UG-940814, </w:t>
      </w:r>
      <w:r>
        <w:t>Third Suppl. Ord</w:t>
      </w:r>
      <w:bookmarkStart w:id="1" w:name="_GoBack"/>
      <w:bookmarkEnd w:id="1"/>
      <w:r>
        <w:t>er</w:t>
      </w:r>
      <w:r w:rsidRPr="000669E6">
        <w:t xml:space="preserve"> (Aug. 24, 1994); </w:t>
      </w:r>
      <w:r>
        <w:rPr>
          <w:iCs/>
          <w:u w:val="single"/>
        </w:rPr>
        <w:t>Re</w:t>
      </w:r>
      <w:r w:rsidRPr="000669E6">
        <w:rPr>
          <w:iCs/>
          <w:u w:val="single"/>
        </w:rPr>
        <w:t xml:space="preserve"> Petition of GTE </w:t>
      </w:r>
      <w:r>
        <w:rPr>
          <w:iCs/>
          <w:u w:val="single"/>
        </w:rPr>
        <w:t>Nw.</w:t>
      </w:r>
      <w:r w:rsidRPr="000669E6">
        <w:rPr>
          <w:iCs/>
          <w:u w:val="single"/>
        </w:rPr>
        <w:t xml:space="preserve"> Inc. For Depreciation Accounting Changes</w:t>
      </w:r>
      <w:r>
        <w:t xml:space="preserve">, Docket UT-961632, Third Suppl. Order </w:t>
      </w:r>
      <w:r w:rsidRPr="000669E6">
        <w:t xml:space="preserve">(Mar. 28, 1997); </w:t>
      </w:r>
      <w:r w:rsidRPr="000669E6">
        <w:rPr>
          <w:iCs/>
          <w:u w:val="single"/>
        </w:rPr>
        <w:t>Cost Mgmt. Serv., Inc. v. Cascade Nat. Gas Corp</w:t>
      </w:r>
      <w:r w:rsidRPr="000669E6">
        <w:rPr>
          <w:iCs/>
        </w:rPr>
        <w:t>.</w:t>
      </w:r>
      <w:r w:rsidRPr="000669E6">
        <w:t>, Dockets UG-070639, UG-070332, U</w:t>
      </w:r>
      <w:r>
        <w:t xml:space="preserve">G-070639, Order 05 </w:t>
      </w:r>
      <w:r w:rsidRPr="000669E6">
        <w:t xml:space="preserve">(Oct. 12, 2007); </w:t>
      </w:r>
      <w:r w:rsidRPr="00DF21B5">
        <w:rPr>
          <w:u w:val="single"/>
        </w:rPr>
        <w:t>In re Application CHA-221 of Brown’s Limousine Crew Car, Inc.</w:t>
      </w:r>
      <w:r>
        <w:t>, Order M. V</w:t>
      </w:r>
      <w:r w:rsidRPr="000669E6">
        <w:t>.</w:t>
      </w:r>
      <w:r>
        <w:t xml:space="preserve"> CH. No 950, 1983 WL 908124 (</w:t>
      </w:r>
      <w:r w:rsidRPr="000669E6">
        <w:t>July 18, 1983</w:t>
      </w:r>
      <w:r w:rsidRPr="00DF21B5">
        <w:t xml:space="preserve">); </w:t>
      </w:r>
      <w:r>
        <w:rPr>
          <w:iCs/>
          <w:u w:val="single"/>
        </w:rPr>
        <w:t>R</w:t>
      </w:r>
      <w:r w:rsidRPr="00DF21B5">
        <w:rPr>
          <w:iCs/>
          <w:u w:val="single"/>
        </w:rPr>
        <w:t>e Wash. Water Power Co</w:t>
      </w:r>
      <w:r>
        <w:rPr>
          <w:iCs/>
          <w:u w:val="single"/>
        </w:rPr>
        <w:t>.</w:t>
      </w:r>
      <w:r w:rsidRPr="000669E6">
        <w:rPr>
          <w:iCs/>
        </w:rPr>
        <w:t>, Docket</w:t>
      </w:r>
      <w:r>
        <w:rPr>
          <w:iCs/>
        </w:rPr>
        <w:t xml:space="preserve"> Nos. UE-941053 and UE-941054 (consolidated), Fourth Suppl. Order </w:t>
      </w:r>
      <w:r>
        <w:rPr>
          <w:color w:val="212121"/>
        </w:rPr>
        <w:t>(</w:t>
      </w:r>
      <w:r w:rsidRPr="000669E6">
        <w:rPr>
          <w:color w:val="212121"/>
        </w:rPr>
        <w:t xml:space="preserve">Dec. 22, 1994); </w:t>
      </w:r>
      <w:r w:rsidRPr="00DF21B5">
        <w:rPr>
          <w:iCs/>
          <w:u w:val="single"/>
        </w:rPr>
        <w:t>Re Puget Sound Power &amp; Light Co.</w:t>
      </w:r>
      <w:r w:rsidRPr="000669E6">
        <w:t>, Docket</w:t>
      </w:r>
      <w:r>
        <w:t xml:space="preserve"> No</w:t>
      </w:r>
      <w:r w:rsidRPr="000669E6">
        <w:t>s</w:t>
      </w:r>
      <w:r>
        <w:t>. UE-951270 and</w:t>
      </w:r>
      <w:r w:rsidRPr="000669E6">
        <w:t xml:space="preserve"> UE-960195</w:t>
      </w:r>
      <w:r>
        <w:t xml:space="preserve"> </w:t>
      </w:r>
      <w:r w:rsidRPr="00F365E6">
        <w:t>(consolidated)</w:t>
      </w:r>
      <w:r w:rsidRPr="000669E6">
        <w:t xml:space="preserve">, </w:t>
      </w:r>
      <w:r>
        <w:t>10</w:t>
      </w:r>
      <w:r w:rsidRPr="00DF21B5">
        <w:rPr>
          <w:vertAlign w:val="superscript"/>
        </w:rPr>
        <w:t>th</w:t>
      </w:r>
      <w:r>
        <w:t xml:space="preserve"> Suppl. Order</w:t>
      </w:r>
      <w:r w:rsidRPr="000669E6">
        <w:t xml:space="preserve"> (Oct. 25, 1996).</w:t>
      </w:r>
      <w:r>
        <w:t xml:space="preserve"> </w:t>
      </w:r>
    </w:p>
  </w:footnote>
  <w:footnote w:id="10">
    <w:p w14:paraId="4585CF13" w14:textId="2EC04C8B" w:rsidR="00663CD7" w:rsidRPr="00F365E6" w:rsidRDefault="00663CD7" w:rsidP="007553B6">
      <w:pPr>
        <w:pStyle w:val="FootnoteText"/>
        <w:tabs>
          <w:tab w:val="left" w:pos="810"/>
        </w:tabs>
        <w:ind w:left="720" w:hanging="720"/>
      </w:pPr>
      <w:r>
        <w:rPr>
          <w:rStyle w:val="FootnoteReference"/>
        </w:rPr>
        <w:footnoteRef/>
      </w:r>
      <w:r>
        <w:t xml:space="preserve"> </w:t>
      </w:r>
      <w:r>
        <w:tab/>
        <w:t xml:space="preserve">Ohio P.U.C. Case No. </w:t>
      </w:r>
      <w:r w:rsidRPr="000669E6">
        <w:t>81-436-TP-AIR</w:t>
      </w:r>
      <w:r>
        <w:t xml:space="preserve"> at ¶ 11.</w:t>
      </w:r>
    </w:p>
  </w:footnote>
  <w:footnote w:id="11">
    <w:p w14:paraId="2ECCC1E7" w14:textId="77777777" w:rsidR="00663CD7" w:rsidRDefault="00663CD7" w:rsidP="007553B6">
      <w:pPr>
        <w:pStyle w:val="FootnoteText"/>
        <w:tabs>
          <w:tab w:val="left" w:pos="810"/>
        </w:tabs>
        <w:ind w:left="720" w:hanging="720"/>
      </w:pPr>
      <w:r w:rsidRPr="00384536">
        <w:rPr>
          <w:rStyle w:val="FootnoteReference"/>
        </w:rPr>
        <w:footnoteRef/>
      </w:r>
      <w:r w:rsidRPr="00384536">
        <w:t xml:space="preserve"> </w:t>
      </w:r>
      <w:r w:rsidRPr="00384536">
        <w:tab/>
      </w:r>
      <w:proofErr w:type="gramStart"/>
      <w:r w:rsidRPr="00384536">
        <w:rPr>
          <w:iCs/>
          <w:u w:val="single"/>
        </w:rPr>
        <w:t>Re Petition of GTE Northwest Inc.</w:t>
      </w:r>
      <w:proofErr w:type="gramEnd"/>
      <w:r w:rsidRPr="00384536">
        <w:rPr>
          <w:iCs/>
          <w:u w:val="single"/>
        </w:rPr>
        <w:t xml:space="preserve"> </w:t>
      </w:r>
      <w:proofErr w:type="gramStart"/>
      <w:r w:rsidRPr="00384536">
        <w:rPr>
          <w:iCs/>
          <w:u w:val="single"/>
        </w:rPr>
        <w:t>For Depreciation Accounting Changes</w:t>
      </w:r>
      <w:r w:rsidRPr="00384536">
        <w:t>, Docket UT-961632</w:t>
      </w:r>
      <w:r w:rsidRPr="00FF3619">
        <w:t>, Third Supplemental Order (Mar. 28, 1997).</w:t>
      </w:r>
      <w:proofErr w:type="gramEnd"/>
    </w:p>
  </w:footnote>
  <w:footnote w:id="12">
    <w:p w14:paraId="003787B9" w14:textId="16AE60F0" w:rsidR="00663CD7" w:rsidRDefault="00663CD7" w:rsidP="007553B6">
      <w:pPr>
        <w:pStyle w:val="FootnoteText"/>
        <w:tabs>
          <w:tab w:val="left" w:pos="810"/>
        </w:tabs>
        <w:ind w:left="720" w:hanging="720"/>
      </w:pPr>
      <w:r>
        <w:rPr>
          <w:rStyle w:val="FootnoteReference"/>
        </w:rPr>
        <w:footnoteRef/>
      </w:r>
      <w:r>
        <w:t xml:space="preserve"> </w:t>
      </w:r>
      <w:r>
        <w:tab/>
      </w:r>
      <w:r w:rsidR="001A62E2" w:rsidRPr="001A62E2">
        <w:rPr>
          <w:u w:val="single"/>
        </w:rPr>
        <w:t>Cost Mgmt. Serv., Inc. v. Cascade Nat. Gas Corp.</w:t>
      </w:r>
      <w:r w:rsidR="001A62E2" w:rsidRPr="001A62E2">
        <w:t>, Dockets UG-061256, UG-070332, UG-070639, Order 05 (Oct. 12, 2007).</w:t>
      </w:r>
    </w:p>
  </w:footnote>
  <w:footnote w:id="13">
    <w:p w14:paraId="6D5E7EA6" w14:textId="0004E235" w:rsidR="00663CD7" w:rsidRDefault="00663CD7" w:rsidP="007553B6">
      <w:pPr>
        <w:pStyle w:val="FootnoteText"/>
        <w:tabs>
          <w:tab w:val="left" w:pos="810"/>
        </w:tabs>
        <w:ind w:left="720" w:hanging="720"/>
      </w:pPr>
      <w:r>
        <w:rPr>
          <w:rStyle w:val="FootnoteReference"/>
        </w:rPr>
        <w:footnoteRef/>
      </w:r>
      <w:r>
        <w:t xml:space="preserve"> </w:t>
      </w:r>
      <w:r>
        <w:tab/>
      </w:r>
      <w:proofErr w:type="gramStart"/>
      <w:r w:rsidRPr="00DF21B5">
        <w:rPr>
          <w:u w:val="single"/>
        </w:rPr>
        <w:t>In re Application CHA-221 of Brown’s Limousine Crew Car, Inc.</w:t>
      </w:r>
      <w:r>
        <w:t>, Order M. V</w:t>
      </w:r>
      <w:r w:rsidRPr="000669E6">
        <w:t>.</w:t>
      </w:r>
      <w:r>
        <w:t xml:space="preserve"> CH.</w:t>
      </w:r>
      <w:proofErr w:type="gramEnd"/>
      <w:r>
        <w:t xml:space="preserve"> No 950, 1983 WL 908124 (</w:t>
      </w:r>
      <w:r w:rsidRPr="000669E6">
        <w:t>July 18, 1983</w:t>
      </w:r>
      <w:r>
        <w:t>)</w:t>
      </w:r>
      <w:r w:rsidRPr="00DF21B5">
        <w:t xml:space="preserve"> </w:t>
      </w:r>
      <w:r>
        <w:t xml:space="preserve">(the then current rule provided that: </w:t>
      </w:r>
      <w:r w:rsidRPr="005C5189">
        <w:t>“Persons whose interests would be adversely, affected, by the granting of an application or by a rate schedule becoming effec</w:t>
      </w:r>
      <w:r>
        <w:t>tive may file protests thereto . . .”)</w:t>
      </w:r>
    </w:p>
  </w:footnote>
  <w:footnote w:id="14">
    <w:p w14:paraId="5D2D9A38" w14:textId="6DFE76F8" w:rsidR="00663CD7" w:rsidRDefault="00663CD7" w:rsidP="007553B6">
      <w:pPr>
        <w:pStyle w:val="FootnoteText"/>
        <w:tabs>
          <w:tab w:val="left" w:pos="810"/>
        </w:tabs>
        <w:ind w:left="720" w:hanging="720"/>
      </w:pPr>
      <w:r>
        <w:rPr>
          <w:rStyle w:val="FootnoteReference"/>
        </w:rPr>
        <w:footnoteRef/>
      </w:r>
      <w:r>
        <w:t xml:space="preserve"> </w:t>
      </w:r>
      <w:r>
        <w:tab/>
      </w:r>
      <w:proofErr w:type="gramStart"/>
      <w:r w:rsidRPr="009035F4">
        <w:rPr>
          <w:iCs/>
          <w:u w:val="single"/>
        </w:rPr>
        <w:t>Re Wash. Water Power Co.</w:t>
      </w:r>
      <w:r w:rsidRPr="009035F4">
        <w:rPr>
          <w:iCs/>
        </w:rPr>
        <w:t>, Docket Nos. UE-941053 and UE-941054 (consolidated), Fourth Suppl. Order (</w:t>
      </w:r>
      <w:r>
        <w:rPr>
          <w:iCs/>
        </w:rPr>
        <w:t>Dec. 22, 1994).</w:t>
      </w:r>
      <w:proofErr w:type="gramEnd"/>
    </w:p>
  </w:footnote>
  <w:footnote w:id="15">
    <w:p w14:paraId="39823E92" w14:textId="77777777" w:rsidR="00663CD7" w:rsidRDefault="00663CD7" w:rsidP="007553B6">
      <w:pPr>
        <w:pStyle w:val="FootnoteText"/>
        <w:tabs>
          <w:tab w:val="left" w:pos="810"/>
        </w:tabs>
        <w:ind w:left="720" w:hanging="720"/>
      </w:pPr>
      <w:r>
        <w:rPr>
          <w:rStyle w:val="FootnoteReference"/>
        </w:rPr>
        <w:footnoteRef/>
      </w:r>
      <w:r>
        <w:t xml:space="preserve"> </w:t>
      </w:r>
      <w:r>
        <w:tab/>
      </w:r>
      <w:r w:rsidRPr="00EA0925">
        <w:rPr>
          <w:iCs/>
          <w:u w:val="single"/>
        </w:rPr>
        <w:t>Re Puget Sound Power &amp; Light Co.</w:t>
      </w:r>
      <w:r w:rsidRPr="00EA0925">
        <w:t>, 1996 WL 760071</w:t>
      </w:r>
      <w:r>
        <w:t>.</w:t>
      </w:r>
    </w:p>
  </w:footnote>
  <w:footnote w:id="16">
    <w:p w14:paraId="1BFBE291" w14:textId="12619437" w:rsidR="00663CD7" w:rsidRDefault="00663CD7" w:rsidP="007553B6">
      <w:pPr>
        <w:pStyle w:val="FootnoteText"/>
        <w:tabs>
          <w:tab w:val="left" w:pos="810"/>
        </w:tabs>
        <w:ind w:left="720" w:hanging="720"/>
      </w:pPr>
      <w:r w:rsidRPr="00F365E6">
        <w:rPr>
          <w:rStyle w:val="FootnoteReference"/>
        </w:rPr>
        <w:footnoteRef/>
      </w:r>
      <w:r w:rsidRPr="00F365E6">
        <w:t xml:space="preserve"> </w:t>
      </w:r>
      <w:r w:rsidRPr="00F365E6">
        <w:tab/>
        <w:t xml:space="preserve">Docket Nos. UE-951270 and UE-960195 (consolidated) Third Suppl. Order </w:t>
      </w:r>
      <w:r>
        <w:t>at 6-7.</w:t>
      </w:r>
    </w:p>
  </w:footnote>
  <w:footnote w:id="17">
    <w:p w14:paraId="4C83BEA6" w14:textId="42205CC4" w:rsidR="00663CD7" w:rsidRDefault="00663CD7" w:rsidP="007553B6">
      <w:pPr>
        <w:pStyle w:val="FootnoteText"/>
        <w:tabs>
          <w:tab w:val="left" w:pos="810"/>
        </w:tabs>
        <w:ind w:left="720" w:hanging="720"/>
      </w:pPr>
      <w:r>
        <w:rPr>
          <w:rStyle w:val="FootnoteReference"/>
        </w:rPr>
        <w:footnoteRef/>
      </w:r>
      <w:r>
        <w:t xml:space="preserve"> </w:t>
      </w:r>
      <w:r>
        <w:tab/>
      </w:r>
      <w:r w:rsidRPr="00FC1FEC">
        <w:rPr>
          <w:u w:val="single"/>
        </w:rPr>
        <w:t>Id.</w:t>
      </w:r>
      <w:r>
        <w:t xml:space="preserve"> at 2.</w:t>
      </w:r>
    </w:p>
  </w:footnote>
  <w:footnote w:id="18">
    <w:p w14:paraId="1FE981D7" w14:textId="5F9F6FF3" w:rsidR="00663CD7" w:rsidRDefault="00663CD7" w:rsidP="007553B6">
      <w:pPr>
        <w:pStyle w:val="FootnoteText"/>
        <w:tabs>
          <w:tab w:val="left" w:pos="810"/>
        </w:tabs>
        <w:ind w:left="720" w:hanging="720"/>
      </w:pPr>
      <w:r>
        <w:rPr>
          <w:rStyle w:val="FootnoteReference"/>
        </w:rPr>
        <w:footnoteRef/>
      </w:r>
      <w:r>
        <w:t xml:space="preserve"> </w:t>
      </w:r>
      <w:r>
        <w:tab/>
      </w:r>
      <w:r w:rsidRPr="00FC1FEC">
        <w:rPr>
          <w:u w:val="single"/>
        </w:rPr>
        <w:t>Id.</w:t>
      </w:r>
      <w:r>
        <w:t xml:space="preserve"> at 4.</w:t>
      </w:r>
    </w:p>
  </w:footnote>
  <w:footnote w:id="19">
    <w:p w14:paraId="1F185C53" w14:textId="6808D2EE" w:rsidR="00663CD7" w:rsidRDefault="00663CD7" w:rsidP="007553B6">
      <w:pPr>
        <w:pStyle w:val="FootnoteText"/>
        <w:tabs>
          <w:tab w:val="left" w:pos="810"/>
        </w:tabs>
        <w:ind w:left="720" w:hanging="720"/>
      </w:pPr>
      <w:r>
        <w:rPr>
          <w:rStyle w:val="FootnoteReference"/>
        </w:rPr>
        <w:footnoteRef/>
      </w:r>
      <w:r>
        <w:t xml:space="preserve"> </w:t>
      </w:r>
      <w:r>
        <w:tab/>
      </w:r>
      <w:proofErr w:type="gramStart"/>
      <w:r w:rsidRPr="00FC1FEC">
        <w:rPr>
          <w:u w:val="single"/>
        </w:rPr>
        <w:t>Id.</w:t>
      </w:r>
      <w:r>
        <w:t xml:space="preserve"> at 7 (emphasis added).</w:t>
      </w:r>
      <w:proofErr w:type="gramEnd"/>
    </w:p>
  </w:footnote>
  <w:footnote w:id="20">
    <w:p w14:paraId="418BF91E" w14:textId="348C771E" w:rsidR="00663CD7" w:rsidRDefault="00663CD7" w:rsidP="007553B6">
      <w:pPr>
        <w:pStyle w:val="FootnoteText"/>
        <w:tabs>
          <w:tab w:val="left" w:pos="810"/>
        </w:tabs>
        <w:ind w:left="720" w:hanging="720"/>
      </w:pPr>
      <w:r>
        <w:rPr>
          <w:rStyle w:val="FootnoteReference"/>
        </w:rPr>
        <w:footnoteRef/>
      </w:r>
      <w:r>
        <w:t xml:space="preserve"> </w:t>
      </w:r>
      <w:r>
        <w:tab/>
      </w:r>
      <w:r w:rsidRPr="00F664DA">
        <w:t>Docket No. UE-001734, Second Suppl. Order</w:t>
      </w:r>
      <w:r>
        <w:t xml:space="preserve"> at</w:t>
      </w:r>
      <w:r w:rsidRPr="00F664DA">
        <w:t xml:space="preserve"> ¶ 29</w:t>
      </w:r>
      <w:r>
        <w:t>; Docket No. UE-130043</w:t>
      </w:r>
      <w:r w:rsidRPr="00594B2F">
        <w:t xml:space="preserve">, </w:t>
      </w:r>
      <w:r>
        <w:t>Order 03 at ¶ 6</w:t>
      </w:r>
      <w:r w:rsidRPr="00594B2F">
        <w:t>.</w:t>
      </w:r>
      <w:r>
        <w:t xml:space="preserve"> </w:t>
      </w:r>
    </w:p>
  </w:footnote>
  <w:footnote w:id="21">
    <w:p w14:paraId="033486BD" w14:textId="1CAD9FDD" w:rsidR="00663CD7" w:rsidRDefault="00663CD7" w:rsidP="007553B6">
      <w:pPr>
        <w:pStyle w:val="FootnoteText"/>
        <w:tabs>
          <w:tab w:val="left" w:pos="810"/>
        </w:tabs>
        <w:ind w:left="720" w:hanging="720"/>
      </w:pPr>
      <w:r>
        <w:rPr>
          <w:rStyle w:val="FootnoteReference"/>
        </w:rPr>
        <w:footnoteRef/>
      </w:r>
      <w:r>
        <w:t xml:space="preserve"> </w:t>
      </w:r>
      <w:r>
        <w:tab/>
        <w:t>Docket No. UE-130043</w:t>
      </w:r>
      <w:r w:rsidRPr="000D2785">
        <w:t>, Order 03 at ¶ 6</w:t>
      </w:r>
      <w:r>
        <w:t>.</w:t>
      </w:r>
    </w:p>
  </w:footnote>
  <w:footnote w:id="22">
    <w:p w14:paraId="1FB29AC0" w14:textId="6FF0EED7" w:rsidR="00663CD7" w:rsidRPr="00271006" w:rsidRDefault="00663CD7" w:rsidP="007553B6">
      <w:pPr>
        <w:pStyle w:val="FootnoteText"/>
        <w:tabs>
          <w:tab w:val="left" w:pos="810"/>
        </w:tabs>
        <w:ind w:left="720" w:hanging="720"/>
      </w:pPr>
      <w:r>
        <w:rPr>
          <w:rStyle w:val="FootnoteReference"/>
        </w:rPr>
        <w:footnoteRef/>
      </w:r>
      <w:r>
        <w:t xml:space="preserve"> </w:t>
      </w:r>
      <w:r>
        <w:tab/>
      </w:r>
      <w:r w:rsidRPr="000669E6">
        <w:rPr>
          <w:iCs/>
          <w:u w:val="single"/>
        </w:rPr>
        <w:t>Wash. Utils. &amp; Transp. Co</w:t>
      </w:r>
      <w:r>
        <w:rPr>
          <w:iCs/>
          <w:u w:val="single"/>
        </w:rPr>
        <w:t>mm’n.</w:t>
      </w:r>
      <w:r w:rsidRPr="00594B2F">
        <w:rPr>
          <w:u w:val="single"/>
        </w:rPr>
        <w:t xml:space="preserve"> </w:t>
      </w:r>
      <w:r>
        <w:rPr>
          <w:u w:val="single"/>
        </w:rPr>
        <w:t xml:space="preserve">v. </w:t>
      </w:r>
      <w:r w:rsidRPr="00271006">
        <w:rPr>
          <w:u w:val="single"/>
        </w:rPr>
        <w:t>PSE</w:t>
      </w:r>
      <w:r>
        <w:t xml:space="preserve">, </w:t>
      </w:r>
      <w:r w:rsidRPr="00271006">
        <w:t>Dockets UE-1518</w:t>
      </w:r>
      <w:r>
        <w:t xml:space="preserve">71 and UG-151872 (consolidated), </w:t>
      </w:r>
      <w:r w:rsidRPr="00271006">
        <w:t>Order 02</w:t>
      </w:r>
      <w:r>
        <w:t xml:space="preserve"> at ¶ 8 (Jan. 7, 2016).</w:t>
      </w:r>
    </w:p>
  </w:footnote>
  <w:footnote w:id="23">
    <w:p w14:paraId="5D49B963" w14:textId="36E50C24" w:rsidR="00663CD7" w:rsidRDefault="00663CD7" w:rsidP="007553B6">
      <w:pPr>
        <w:pStyle w:val="FootnoteText"/>
        <w:tabs>
          <w:tab w:val="left" w:pos="810"/>
        </w:tabs>
        <w:ind w:left="720" w:hanging="720"/>
      </w:pPr>
      <w:r>
        <w:rPr>
          <w:rStyle w:val="FootnoteReference"/>
        </w:rPr>
        <w:footnoteRef/>
      </w:r>
      <w:r>
        <w:t xml:space="preserve"> </w:t>
      </w:r>
      <w:r>
        <w:tab/>
      </w:r>
      <w:r w:rsidRPr="00655FEB">
        <w:rPr>
          <w:u w:val="single"/>
        </w:rPr>
        <w:t>Id.</w:t>
      </w:r>
      <w:r>
        <w:t xml:space="preserve"> </w:t>
      </w:r>
      <w:r w:rsidRPr="00306137">
        <w:t xml:space="preserve">at ¶ </w:t>
      </w:r>
      <w:r>
        <w:t>9.</w:t>
      </w:r>
    </w:p>
  </w:footnote>
  <w:footnote w:id="24">
    <w:p w14:paraId="7FE0F13C" w14:textId="6FC54D98" w:rsidR="00663CD7" w:rsidRDefault="00663CD7" w:rsidP="007553B6">
      <w:pPr>
        <w:pStyle w:val="FootnoteText"/>
        <w:tabs>
          <w:tab w:val="left" w:pos="810"/>
        </w:tabs>
        <w:ind w:left="720" w:hanging="720"/>
      </w:pPr>
      <w:r>
        <w:rPr>
          <w:rStyle w:val="FootnoteReference"/>
        </w:rPr>
        <w:footnoteRef/>
      </w:r>
      <w:r>
        <w:t xml:space="preserve"> </w:t>
      </w:r>
      <w:r>
        <w:tab/>
      </w:r>
      <w:r w:rsidRPr="003B17B5">
        <w:rPr>
          <w:u w:val="single"/>
        </w:rPr>
        <w:t>Id.</w:t>
      </w:r>
      <w:r>
        <w:t xml:space="preserve"> at ¶ 11.</w:t>
      </w:r>
    </w:p>
  </w:footnote>
  <w:footnote w:id="25">
    <w:p w14:paraId="4F677D65" w14:textId="4B678549" w:rsidR="00663CD7" w:rsidRDefault="00663CD7" w:rsidP="007553B6">
      <w:pPr>
        <w:pStyle w:val="FootnoteText"/>
        <w:tabs>
          <w:tab w:val="left" w:pos="810"/>
        </w:tabs>
        <w:ind w:left="720" w:hanging="720"/>
      </w:pPr>
      <w:r>
        <w:rPr>
          <w:rStyle w:val="FootnoteReference"/>
        </w:rPr>
        <w:footnoteRef/>
      </w:r>
      <w:r>
        <w:t xml:space="preserve"> </w:t>
      </w:r>
      <w:r>
        <w:tab/>
      </w:r>
      <w:r w:rsidRPr="00CF4F20">
        <w:rPr>
          <w:u w:val="single"/>
        </w:rPr>
        <w:t>Id.</w:t>
      </w:r>
      <w:r>
        <w:t xml:space="preserve"> at ¶ 13; Docket No. UE-130043</w:t>
      </w:r>
      <w:r w:rsidRPr="00CD46AB">
        <w:t>, Order 03 at ¶ 6.</w:t>
      </w:r>
    </w:p>
  </w:footnote>
  <w:footnote w:id="26">
    <w:p w14:paraId="6832D3BE" w14:textId="1E3B48B4" w:rsidR="00663CD7" w:rsidRDefault="00663CD7" w:rsidP="007553B6">
      <w:pPr>
        <w:pStyle w:val="FootnoteText"/>
        <w:tabs>
          <w:tab w:val="left" w:pos="810"/>
        </w:tabs>
        <w:ind w:left="720" w:hanging="720"/>
      </w:pPr>
      <w:r>
        <w:rPr>
          <w:rStyle w:val="FootnoteReference"/>
        </w:rPr>
        <w:footnoteRef/>
      </w:r>
      <w:r>
        <w:t xml:space="preserve"> </w:t>
      </w:r>
      <w:r>
        <w:tab/>
        <w:t>Advice Letter at 2.</w:t>
      </w:r>
    </w:p>
  </w:footnote>
  <w:footnote w:id="27">
    <w:p w14:paraId="1DC859AA" w14:textId="38ED3D91" w:rsidR="00663CD7" w:rsidRDefault="00663CD7" w:rsidP="007553B6">
      <w:pPr>
        <w:pStyle w:val="FootnoteText"/>
        <w:tabs>
          <w:tab w:val="left" w:pos="810"/>
        </w:tabs>
        <w:ind w:left="720" w:hanging="720"/>
      </w:pPr>
      <w:r>
        <w:rPr>
          <w:rStyle w:val="FootnoteReference"/>
        </w:rPr>
        <w:footnoteRef/>
      </w:r>
      <w:r>
        <w:t xml:space="preserve"> </w:t>
      </w:r>
      <w:r>
        <w:tab/>
      </w:r>
      <w:r w:rsidRPr="00C805FB">
        <w:rPr>
          <w:u w:val="single"/>
        </w:rPr>
        <w:t>Id.</w:t>
      </w:r>
    </w:p>
  </w:footnote>
  <w:footnote w:id="28">
    <w:p w14:paraId="003E3CC3" w14:textId="74BA76EF" w:rsidR="00663CD7" w:rsidRDefault="00663CD7" w:rsidP="007553B6">
      <w:pPr>
        <w:pStyle w:val="FootnoteText"/>
        <w:tabs>
          <w:tab w:val="left" w:pos="810"/>
        </w:tabs>
        <w:ind w:left="720" w:hanging="720"/>
      </w:pPr>
      <w:r>
        <w:rPr>
          <w:rStyle w:val="FootnoteReference"/>
        </w:rPr>
        <w:footnoteRef/>
      </w:r>
      <w:r>
        <w:t xml:space="preserve"> </w:t>
      </w:r>
      <w:r>
        <w:tab/>
      </w:r>
      <w:r w:rsidRPr="004F2196">
        <w:t>Prefiled Direct Testimony of Jon A. Piliaris</w:t>
      </w:r>
      <w:r>
        <w:t xml:space="preserve"> Exhibit No. ___(JAP-1CT) at 16.</w:t>
      </w:r>
    </w:p>
  </w:footnote>
  <w:footnote w:id="29">
    <w:p w14:paraId="386CD230" w14:textId="3A08AF26" w:rsidR="00663CD7" w:rsidRDefault="00663CD7" w:rsidP="007553B6">
      <w:pPr>
        <w:pStyle w:val="FootnoteText"/>
        <w:tabs>
          <w:tab w:val="left" w:pos="810"/>
        </w:tabs>
        <w:ind w:left="720" w:hanging="720"/>
      </w:pPr>
      <w:r>
        <w:rPr>
          <w:rStyle w:val="FootnoteReference"/>
        </w:rPr>
        <w:footnoteRef/>
      </w:r>
      <w:r>
        <w:t xml:space="preserve"> </w:t>
      </w:r>
      <w:r>
        <w:tab/>
        <w:t>Advice Letter at 2-5.</w:t>
      </w:r>
    </w:p>
  </w:footnote>
  <w:footnote w:id="30">
    <w:p w14:paraId="5DA4C59F" w14:textId="2F6B9F58" w:rsidR="00663CD7" w:rsidRDefault="00663CD7" w:rsidP="007553B6">
      <w:pPr>
        <w:pStyle w:val="FootnoteText"/>
        <w:tabs>
          <w:tab w:val="left" w:pos="810"/>
        </w:tabs>
        <w:ind w:left="720" w:hanging="720"/>
      </w:pPr>
      <w:r>
        <w:rPr>
          <w:rStyle w:val="FootnoteReference"/>
        </w:rPr>
        <w:footnoteRef/>
      </w:r>
      <w:r>
        <w:t xml:space="preserve"> </w:t>
      </w:r>
      <w:r>
        <w:tab/>
      </w:r>
      <w:r w:rsidRPr="009D7E3F">
        <w:rPr>
          <w:u w:val="single"/>
        </w:rPr>
        <w:t>Id.</w:t>
      </w:r>
      <w:r>
        <w:t xml:space="preserve"> at 2.</w:t>
      </w:r>
    </w:p>
  </w:footnote>
  <w:footnote w:id="31">
    <w:p w14:paraId="3B6AFC9E" w14:textId="392BB5EA" w:rsidR="00663CD7" w:rsidRDefault="00663CD7" w:rsidP="007553B6">
      <w:pPr>
        <w:pStyle w:val="FootnoteText"/>
        <w:tabs>
          <w:tab w:val="left" w:pos="810"/>
        </w:tabs>
        <w:ind w:left="720" w:hanging="720"/>
      </w:pPr>
      <w:r>
        <w:rPr>
          <w:rStyle w:val="FootnoteReference"/>
        </w:rPr>
        <w:footnoteRef/>
      </w:r>
      <w:r>
        <w:t xml:space="preserve"> </w:t>
      </w:r>
      <w:r>
        <w:tab/>
      </w:r>
      <w:r w:rsidRPr="002A4FCD">
        <w:rPr>
          <w:u w:val="single"/>
        </w:rPr>
        <w:t>Id.</w:t>
      </w:r>
      <w:r>
        <w:t xml:space="preserve"> at 4.</w:t>
      </w:r>
    </w:p>
  </w:footnote>
  <w:footnote w:id="32">
    <w:p w14:paraId="1B54C908" w14:textId="3F4B3339" w:rsidR="00663CD7" w:rsidRDefault="00663CD7" w:rsidP="007553B6">
      <w:pPr>
        <w:pStyle w:val="FootnoteText"/>
        <w:tabs>
          <w:tab w:val="left" w:pos="810"/>
        </w:tabs>
        <w:ind w:left="720" w:hanging="720"/>
      </w:pPr>
      <w:r>
        <w:rPr>
          <w:rStyle w:val="FootnoteReference"/>
        </w:rPr>
        <w:footnoteRef/>
      </w:r>
      <w:r>
        <w:t xml:space="preserve"> </w:t>
      </w:r>
      <w:r>
        <w:tab/>
      </w:r>
      <w:r w:rsidRPr="004C0F29">
        <w:t xml:space="preserve">Direct Testimony of Irene Plenefisch Exhibit No. ____ (IP-IT) </w:t>
      </w:r>
      <w:r>
        <w:t>at 3, 5.</w:t>
      </w:r>
    </w:p>
  </w:footnote>
  <w:footnote w:id="33">
    <w:p w14:paraId="2810F56C" w14:textId="3C92A470" w:rsidR="00663CD7" w:rsidRDefault="00663CD7" w:rsidP="007553B6">
      <w:pPr>
        <w:pStyle w:val="FootnoteText"/>
        <w:tabs>
          <w:tab w:val="left" w:pos="810"/>
        </w:tabs>
        <w:ind w:left="720" w:hanging="720"/>
      </w:pPr>
      <w:r>
        <w:rPr>
          <w:rStyle w:val="FootnoteReference"/>
        </w:rPr>
        <w:footnoteRef/>
      </w:r>
      <w:r>
        <w:t xml:space="preserve"> </w:t>
      </w:r>
      <w:r>
        <w:tab/>
      </w:r>
      <w:r w:rsidRPr="001A3599">
        <w:rPr>
          <w:u w:val="single"/>
        </w:rPr>
        <w:t>Id.</w:t>
      </w:r>
      <w:r>
        <w:t xml:space="preserve"> at 6</w:t>
      </w:r>
    </w:p>
  </w:footnote>
  <w:footnote w:id="34">
    <w:p w14:paraId="0C79C1C0" w14:textId="6B5D24F8" w:rsidR="00663CD7" w:rsidRDefault="00663CD7" w:rsidP="007553B6">
      <w:pPr>
        <w:pStyle w:val="FootnoteText"/>
        <w:tabs>
          <w:tab w:val="left" w:pos="810"/>
        </w:tabs>
        <w:ind w:left="720" w:hanging="720"/>
      </w:pPr>
      <w:r>
        <w:rPr>
          <w:rStyle w:val="FootnoteReference"/>
        </w:rPr>
        <w:footnoteRef/>
      </w:r>
      <w:r>
        <w:t xml:space="preserve"> </w:t>
      </w:r>
      <w:r>
        <w:tab/>
      </w:r>
      <w:r w:rsidRPr="001A3599">
        <w:rPr>
          <w:u w:val="single"/>
        </w:rPr>
        <w:t>Id.</w:t>
      </w:r>
      <w:r>
        <w:t xml:space="preserve"> at 7.</w:t>
      </w:r>
    </w:p>
  </w:footnote>
  <w:footnote w:id="35">
    <w:p w14:paraId="1B56BEC0" w14:textId="75D1B73D" w:rsidR="00663CD7" w:rsidRDefault="00663CD7" w:rsidP="007553B6">
      <w:pPr>
        <w:pStyle w:val="FootnoteText"/>
        <w:tabs>
          <w:tab w:val="left" w:pos="810"/>
        </w:tabs>
        <w:ind w:left="720" w:hanging="720"/>
      </w:pPr>
      <w:r>
        <w:rPr>
          <w:rStyle w:val="FootnoteReference"/>
        </w:rPr>
        <w:footnoteRef/>
      </w:r>
      <w:r>
        <w:t xml:space="preserve"> </w:t>
      </w:r>
      <w:r>
        <w:tab/>
      </w:r>
      <w:r w:rsidRPr="001723F0">
        <w:t>RCW 34.05.010(11)(a).</w:t>
      </w:r>
    </w:p>
  </w:footnote>
  <w:footnote w:id="36">
    <w:p w14:paraId="080F1E41" w14:textId="427F38DB" w:rsidR="00663CD7" w:rsidRDefault="00663CD7" w:rsidP="007553B6">
      <w:pPr>
        <w:pStyle w:val="FootnoteText"/>
        <w:tabs>
          <w:tab w:val="left" w:pos="810"/>
        </w:tabs>
        <w:ind w:left="720" w:hanging="720"/>
      </w:pPr>
      <w:r>
        <w:rPr>
          <w:rStyle w:val="FootnoteReference"/>
        </w:rPr>
        <w:footnoteRef/>
      </w:r>
      <w:r>
        <w:t xml:space="preserve"> </w:t>
      </w:r>
      <w:r>
        <w:tab/>
      </w:r>
      <w:r w:rsidRPr="00604BD3">
        <w:rPr>
          <w:u w:val="single"/>
        </w:rPr>
        <w:t>City of Burlington v. Wash. State Liquor Control Bd.</w:t>
      </w:r>
      <w:r w:rsidRPr="00604BD3">
        <w:t xml:space="preserve">, </w:t>
      </w:r>
      <w:r>
        <w:t>187 Wash</w:t>
      </w:r>
      <w:r w:rsidRPr="00F05456">
        <w:t>. App. 853, 876</w:t>
      </w:r>
      <w:r>
        <w:t>-77</w:t>
      </w:r>
      <w:r w:rsidRPr="00F05456">
        <w:t>, 351 P.3d 875 (2015)</w:t>
      </w:r>
      <w:r>
        <w:t xml:space="preserve">; </w:t>
      </w:r>
      <w:r w:rsidRPr="00C3412B">
        <w:rPr>
          <w:u w:val="single"/>
        </w:rPr>
        <w:t>see</w:t>
      </w:r>
      <w:r>
        <w:t xml:space="preserve"> </w:t>
      </w:r>
      <w:r w:rsidRPr="00C3412B">
        <w:rPr>
          <w:u w:val="single"/>
        </w:rPr>
        <w:t>also</w:t>
      </w:r>
      <w:r>
        <w:t xml:space="preserve"> </w:t>
      </w:r>
      <w:r w:rsidRPr="00C3412B">
        <w:rPr>
          <w:u w:val="single"/>
        </w:rPr>
        <w:t>Seattle Bldg. &amp; Constr. Trades Council v. Washington State Apprenticeship &amp; Training Council</w:t>
      </w:r>
      <w:r w:rsidRPr="00C3412B">
        <w:t>, 129 Wn.2</w:t>
      </w:r>
      <w:r>
        <w:t>d 787, 804, 920 P.2d 581 (1996).</w:t>
      </w:r>
    </w:p>
  </w:footnote>
  <w:footnote w:id="37">
    <w:p w14:paraId="0654DBB0" w14:textId="2E8125A1" w:rsidR="00663CD7" w:rsidRDefault="00663CD7" w:rsidP="007553B6">
      <w:pPr>
        <w:pStyle w:val="FootnoteText"/>
        <w:tabs>
          <w:tab w:val="left" w:pos="810"/>
        </w:tabs>
        <w:ind w:left="720" w:hanging="720"/>
      </w:pPr>
      <w:r>
        <w:rPr>
          <w:rStyle w:val="FootnoteReference"/>
        </w:rPr>
        <w:footnoteRef/>
      </w:r>
      <w:r>
        <w:t xml:space="preserve"> </w:t>
      </w:r>
      <w:r>
        <w:tab/>
      </w:r>
      <w:r w:rsidRPr="00D818B3">
        <w:rPr>
          <w:u w:val="single"/>
        </w:rPr>
        <w:t>See</w:t>
      </w:r>
      <w:r>
        <w:t xml:space="preserve"> </w:t>
      </w:r>
      <w:r w:rsidRPr="00D818B3">
        <w:rPr>
          <w:u w:val="single"/>
        </w:rPr>
        <w:t>generally</w:t>
      </w:r>
      <w:r>
        <w:t xml:space="preserve"> Advice Letter.</w:t>
      </w:r>
    </w:p>
  </w:footnote>
  <w:footnote w:id="38">
    <w:p w14:paraId="68A932A7" w14:textId="3726277D" w:rsidR="00663CD7" w:rsidRDefault="00663CD7" w:rsidP="007553B6">
      <w:pPr>
        <w:pStyle w:val="FootnoteText"/>
        <w:tabs>
          <w:tab w:val="left" w:pos="810"/>
        </w:tabs>
        <w:ind w:left="720" w:hanging="720"/>
      </w:pPr>
      <w:r>
        <w:rPr>
          <w:rStyle w:val="FootnoteReference"/>
        </w:rPr>
        <w:footnoteRef/>
      </w:r>
      <w:r w:rsidRPr="00306137">
        <w:rPr>
          <w:rStyle w:val="FootnoteReference"/>
        </w:rPr>
        <w:t xml:space="preserve"> </w:t>
      </w:r>
      <w:r w:rsidRPr="00306137">
        <w:rPr>
          <w:rStyle w:val="FootnoteReference"/>
        </w:rPr>
        <w:tab/>
      </w:r>
      <w:r w:rsidRPr="00306137">
        <w:t>Dockets UE-151871 and UG-1518</w:t>
      </w:r>
      <w:r>
        <w:t>72 (c</w:t>
      </w:r>
      <w:r w:rsidRPr="00306137">
        <w:t>onsolidated), Order</w:t>
      </w:r>
      <w:r>
        <w:t xml:space="preserve"> 02 at ¶ 10</w:t>
      </w:r>
      <w:r w:rsidRPr="00306137">
        <w:t>.</w:t>
      </w:r>
    </w:p>
  </w:footnote>
  <w:footnote w:id="39">
    <w:p w14:paraId="47117B63" w14:textId="0BE1D208" w:rsidR="00663CD7" w:rsidRDefault="00663CD7" w:rsidP="007553B6">
      <w:pPr>
        <w:pStyle w:val="FootnoteText"/>
        <w:tabs>
          <w:tab w:val="left" w:pos="810"/>
        </w:tabs>
        <w:ind w:left="720" w:hanging="720"/>
      </w:pPr>
      <w:r>
        <w:rPr>
          <w:rStyle w:val="FootnoteReference"/>
        </w:rPr>
        <w:footnoteRef/>
      </w:r>
      <w:r>
        <w:t xml:space="preserve"> </w:t>
      </w:r>
      <w:r>
        <w:tab/>
      </w:r>
      <w:r w:rsidRPr="00306137">
        <w:rPr>
          <w:u w:val="single"/>
        </w:rPr>
        <w:t>Id.</w:t>
      </w:r>
      <w:r>
        <w:t xml:space="preserve"> </w:t>
      </w:r>
      <w:r w:rsidRPr="00306137">
        <w:t xml:space="preserve">at ¶ </w:t>
      </w:r>
      <w:r>
        <w:t>9.</w:t>
      </w:r>
    </w:p>
  </w:footnote>
  <w:footnote w:id="40">
    <w:p w14:paraId="61E182D1" w14:textId="650583BF" w:rsidR="00663CD7" w:rsidRDefault="00663CD7" w:rsidP="007553B6">
      <w:pPr>
        <w:pStyle w:val="FootnoteText"/>
        <w:tabs>
          <w:tab w:val="left" w:pos="810"/>
        </w:tabs>
        <w:ind w:left="720" w:hanging="720"/>
      </w:pPr>
      <w:r>
        <w:rPr>
          <w:rStyle w:val="FootnoteReference"/>
        </w:rPr>
        <w:footnoteRef/>
      </w:r>
      <w:r>
        <w:t xml:space="preserve"> </w:t>
      </w:r>
      <w:r>
        <w:tab/>
      </w:r>
      <w:r w:rsidRPr="004A48F4">
        <w:t>Oregon has a unique and burdensome approach to valuing stranded costs and benefits in which there are annual stranded cost</w:t>
      </w:r>
      <w:r>
        <w:t>/benefit</w:t>
      </w:r>
      <w:r w:rsidRPr="004A48F4">
        <w:t xml:space="preserve"> proceedings.</w:t>
      </w:r>
      <w:r>
        <w:t xml:space="preserve"> Oregon customers’ participation is generally on a one or five year basis, after which they can return to cost of service regulation.  In contrast, PSE’s proposed Schedule 451 and the existing Schedule 448/449 are permanent elections in which will not require annual re-evaluation of stranded costs for the customers that elect retail access. </w:t>
      </w:r>
    </w:p>
  </w:footnote>
  <w:footnote w:id="41">
    <w:p w14:paraId="42194738" w14:textId="32901390" w:rsidR="00663CD7" w:rsidRPr="003A273B" w:rsidRDefault="00663CD7" w:rsidP="007553B6">
      <w:pPr>
        <w:pStyle w:val="FootnoteText"/>
        <w:tabs>
          <w:tab w:val="left" w:pos="810"/>
        </w:tabs>
        <w:ind w:left="720" w:hanging="720"/>
      </w:pPr>
      <w:r w:rsidRPr="003A273B">
        <w:rPr>
          <w:rStyle w:val="FootnoteReference"/>
        </w:rPr>
        <w:footnoteRef/>
      </w:r>
      <w:r w:rsidRPr="003A273B">
        <w:t xml:space="preserve"> </w:t>
      </w:r>
      <w:r w:rsidRPr="003A273B">
        <w:tab/>
      </w:r>
      <w:r w:rsidRPr="00817B03">
        <w:rPr>
          <w:u w:val="single"/>
        </w:rPr>
        <w:t>E.g.</w:t>
      </w:r>
      <w:r>
        <w:t xml:space="preserve">, </w:t>
      </w:r>
      <w:r w:rsidRPr="001707CD">
        <w:rPr>
          <w:u w:val="single"/>
        </w:rPr>
        <w:t>Re PacifiCorp, dba Pac. Power, 2016 Transition Adjustment Mechanism</w:t>
      </w:r>
      <w:r>
        <w:t>, OPUC Docket No. UE 307, Prehearing Conference Memorandum at 1 (Apr. 26, 2016) (Noble Solutions, a energy service supplier has “s</w:t>
      </w:r>
      <w:r w:rsidRPr="00F11EDB">
        <w:t>ufficient interest in the proceedings to participate and that their participation will not unreasonably broaden the issues, burden the r</w:t>
      </w:r>
      <w:r>
        <w:t xml:space="preserve">ecord, or delay the proceedings.”); </w:t>
      </w:r>
      <w:r w:rsidRPr="006A0867">
        <w:rPr>
          <w:u w:val="single"/>
        </w:rPr>
        <w:t>Re PacifiCorp, dba Pac. Power, 201</w:t>
      </w:r>
      <w:r>
        <w:rPr>
          <w:u w:val="single"/>
        </w:rPr>
        <w:t>6</w:t>
      </w:r>
      <w:r w:rsidRPr="006A0867">
        <w:rPr>
          <w:u w:val="single"/>
        </w:rPr>
        <w:t xml:space="preserve"> Transition Adjustment Mechanism</w:t>
      </w:r>
      <w:r w:rsidRPr="006A0867">
        <w:t xml:space="preserve">, </w:t>
      </w:r>
      <w:r>
        <w:t>OPUC Docket No. UE 296</w:t>
      </w:r>
      <w:r w:rsidRPr="006A0867">
        <w:t xml:space="preserve">, </w:t>
      </w:r>
      <w:r>
        <w:t>Prehearing Conference Memorandum at 1</w:t>
      </w:r>
      <w:r w:rsidRPr="006A0867">
        <w:t xml:space="preserve"> </w:t>
      </w:r>
      <w:r>
        <w:t xml:space="preserve">(May 1, 2015) (Two energy service suppliers (Noble Solutions and YAM Services) were granted intervention); </w:t>
      </w:r>
      <w:r>
        <w:rPr>
          <w:u w:val="single"/>
        </w:rPr>
        <w:t>Re PacifiCorp, dba Pac.</w:t>
      </w:r>
      <w:r w:rsidRPr="005939A0">
        <w:rPr>
          <w:u w:val="single"/>
        </w:rPr>
        <w:t xml:space="preserve"> Power, Transition Adjustment, Five-Year Cost of Service Op</w:t>
      </w:r>
      <w:r>
        <w:rPr>
          <w:u w:val="single"/>
        </w:rPr>
        <w:t>t</w:t>
      </w:r>
      <w:r w:rsidRPr="005939A0">
        <w:rPr>
          <w:u w:val="single"/>
        </w:rPr>
        <w:t>-Out</w:t>
      </w:r>
      <w:r>
        <w:t xml:space="preserve">, OPUC Docket No. UE 267, Ruling at 1 (May 13, 2013) and Ruling at 1 (Apr. 4, 2013) (The interventions of NIPPC and three energy service suppliers (Noble, </w:t>
      </w:r>
      <w:r w:rsidRPr="005D2474">
        <w:t xml:space="preserve">Shell Energy, </w:t>
      </w:r>
      <w:r>
        <w:t xml:space="preserve">and </w:t>
      </w:r>
      <w:r w:rsidRPr="005D2474">
        <w:t>Constellation NewEnergy</w:t>
      </w:r>
      <w:r>
        <w:t xml:space="preserve">) were granted). </w:t>
      </w:r>
    </w:p>
  </w:footnote>
  <w:footnote w:id="42">
    <w:p w14:paraId="7374F34F" w14:textId="574472F1" w:rsidR="00663CD7" w:rsidRDefault="00663CD7" w:rsidP="007553B6">
      <w:pPr>
        <w:pStyle w:val="FootnoteText"/>
        <w:tabs>
          <w:tab w:val="left" w:pos="810"/>
        </w:tabs>
        <w:ind w:left="720" w:hanging="720"/>
      </w:pPr>
      <w:r>
        <w:rPr>
          <w:rStyle w:val="FootnoteReference"/>
        </w:rPr>
        <w:footnoteRef/>
      </w:r>
      <w:r>
        <w:t xml:space="preserve"> </w:t>
      </w:r>
      <w:r>
        <w:tab/>
        <w:t xml:space="preserve">E.g., </w:t>
      </w:r>
      <w:r w:rsidRPr="00983D66">
        <w:rPr>
          <w:u w:val="single"/>
        </w:rPr>
        <w:t>Re PacifiCorp, dba Pac. Power, Transition Adjustment, Five-Year Cost of Service Opt-Out</w:t>
      </w:r>
      <w:r w:rsidRPr="00983D66">
        <w:t xml:space="preserve">, </w:t>
      </w:r>
      <w:r>
        <w:t xml:space="preserve">OPUC </w:t>
      </w:r>
      <w:r w:rsidRPr="00983D66">
        <w:t xml:space="preserve">Docket No. UE 267, Order No. </w:t>
      </w:r>
      <w:r>
        <w:t xml:space="preserve">15-060 at 1, 4-13 (Feb. 24, 2015) (industrial customers, NIPPC and numerous energy service suppliers litigated retail access issues); </w:t>
      </w:r>
      <w:r w:rsidRPr="00983D66">
        <w:rPr>
          <w:u w:val="single"/>
        </w:rPr>
        <w:t xml:space="preserve">Re </w:t>
      </w:r>
      <w:r>
        <w:rPr>
          <w:u w:val="single"/>
        </w:rPr>
        <w:t>Commission</w:t>
      </w:r>
      <w:r w:rsidRPr="00983D66">
        <w:rPr>
          <w:u w:val="single"/>
        </w:rPr>
        <w:t xml:space="preserve"> Investigation into Direct Access Issues for Industrial and Commercial Customers Under SB 1149</w:t>
      </w:r>
      <w:r w:rsidRPr="00983D66">
        <w:t xml:space="preserve">, </w:t>
      </w:r>
      <w:r>
        <w:t xml:space="preserve">OPUC </w:t>
      </w:r>
      <w:r w:rsidRPr="00983D66">
        <w:t xml:space="preserve">Docket No. UM 1081, Order No. 04-516 at </w:t>
      </w:r>
      <w:r>
        <w:t>3-15</w:t>
      </w:r>
      <w:r w:rsidRPr="00983D66">
        <w:t xml:space="preserve"> (Sept. 14, 2004)</w:t>
      </w:r>
      <w:r>
        <w:t xml:space="preserve"> (eligible customers and energy service supplier litigated direct access issues)</w:t>
      </w:r>
      <w:r w:rsidRPr="00983D66">
        <w:t xml:space="preserve">.    </w:t>
      </w:r>
    </w:p>
  </w:footnote>
  <w:footnote w:id="43">
    <w:p w14:paraId="52984465" w14:textId="0DA36649" w:rsidR="00663CD7" w:rsidRDefault="00663CD7" w:rsidP="007553B6">
      <w:pPr>
        <w:pStyle w:val="FootnoteText"/>
        <w:tabs>
          <w:tab w:val="left" w:pos="810"/>
        </w:tabs>
        <w:ind w:left="720" w:hanging="720"/>
      </w:pPr>
      <w:r>
        <w:rPr>
          <w:rStyle w:val="FootnoteReference"/>
        </w:rPr>
        <w:footnoteRef/>
      </w:r>
      <w:r>
        <w:t xml:space="preserve"> </w:t>
      </w:r>
      <w:r>
        <w:tab/>
      </w:r>
      <w:r w:rsidRPr="00621C27">
        <w:rPr>
          <w:u w:val="single"/>
        </w:rPr>
        <w:t>E.g.</w:t>
      </w:r>
      <w:r>
        <w:t xml:space="preserve">, </w:t>
      </w:r>
      <w:r w:rsidRPr="00F94938">
        <w:rPr>
          <w:u w:val="single"/>
        </w:rPr>
        <w:t xml:space="preserve">Re </w:t>
      </w:r>
      <w:r>
        <w:rPr>
          <w:u w:val="single"/>
        </w:rPr>
        <w:t>PacifiCorp, dba Pac. Power, 2017</w:t>
      </w:r>
      <w:r w:rsidRPr="00F94938">
        <w:rPr>
          <w:u w:val="single"/>
        </w:rPr>
        <w:t xml:space="preserve"> Transition Adjustment Mechanism</w:t>
      </w:r>
      <w:r w:rsidRPr="00F94938">
        <w:t xml:space="preserve">, </w:t>
      </w:r>
      <w:r>
        <w:t xml:space="preserve">OPUC </w:t>
      </w:r>
      <w:r w:rsidRPr="00F94938">
        <w:t xml:space="preserve">Docket No. UE 307, </w:t>
      </w:r>
      <w:r>
        <w:t>Order No. 16-418 at 1-2 (Oct. 27, 2016) (only Noble Solutions raised retail access issues).</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7224D"/>
    <w:multiLevelType w:val="hybridMultilevel"/>
    <w:tmpl w:val="3DB48B48"/>
    <w:lvl w:ilvl="0" w:tplc="2DDC9F0E">
      <w:start w:val="1"/>
      <w:numFmt w:val="decimal"/>
      <w:lvlText w:val="%1."/>
      <w:lvlJc w:val="right"/>
      <w:pPr>
        <w:ind w:left="1440" w:hanging="360"/>
      </w:pPr>
      <w:rPr>
        <w:rFonts w:ascii="Times New Roman" w:hAnsi="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BC07FF6"/>
    <w:multiLevelType w:val="hybridMultilevel"/>
    <w:tmpl w:val="012C2C4C"/>
    <w:lvl w:ilvl="0" w:tplc="6C600760">
      <w:start w:val="1"/>
      <w:numFmt w:val="decimal"/>
      <w:lvlText w:val="%1."/>
      <w:lvlJc w:val="left"/>
      <w:pPr>
        <w:ind w:left="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0130E1"/>
    <w:multiLevelType w:val="multilevel"/>
    <w:tmpl w:val="66DA40B2"/>
    <w:lvl w:ilvl="0">
      <w:start w:val="1"/>
      <w:numFmt w:val="none"/>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15D4999"/>
    <w:multiLevelType w:val="hybridMultilevel"/>
    <w:tmpl w:val="B36E1A76"/>
    <w:lvl w:ilvl="0" w:tplc="6C600760">
      <w:start w:val="1"/>
      <w:numFmt w:val="decimal"/>
      <w:lvlText w:val="%1."/>
      <w:lvlJc w:val="left"/>
      <w:pPr>
        <w:ind w:left="0" w:hanging="360"/>
      </w:pPr>
      <w:rPr>
        <w:rFonts w:hint="default"/>
      </w:rPr>
    </w:lvl>
    <w:lvl w:ilvl="1" w:tplc="6C600760">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0E3AE8"/>
    <w:multiLevelType w:val="multilevel"/>
    <w:tmpl w:val="83E6A54C"/>
    <w:lvl w:ilvl="0">
      <w:start w:val="1"/>
      <w:numFmt w:val="decimal"/>
      <w:lvlText w:val="%1."/>
      <w:lvlJc w:val="left"/>
      <w:pPr>
        <w:ind w:left="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2126673C"/>
    <w:multiLevelType w:val="hybridMultilevel"/>
    <w:tmpl w:val="849A9B6C"/>
    <w:lvl w:ilvl="0" w:tplc="00528236">
      <w:start w:val="1"/>
      <w:numFmt w:val="decimal"/>
      <w:lvlText w:val="%1."/>
      <w:lvlJc w:val="left"/>
      <w:pPr>
        <w:ind w:left="1440" w:hanging="180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29AE42DB"/>
    <w:multiLevelType w:val="multilevel"/>
    <w:tmpl w:val="EB768D30"/>
    <w:lvl w:ilvl="0">
      <w:start w:val="1"/>
      <w:numFmt w:val="decimal"/>
      <w:lvlText w:val="%1."/>
      <w:lvlJc w:val="right"/>
      <w:pPr>
        <w:ind w:left="720" w:hanging="360"/>
      </w:pPr>
      <w:rPr>
        <w:rFonts w:ascii="Times New Roman" w:hAnsi="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2F9A5C57"/>
    <w:multiLevelType w:val="hybridMultilevel"/>
    <w:tmpl w:val="66DA40B2"/>
    <w:lvl w:ilvl="0" w:tplc="D74AED86">
      <w:start w:val="1"/>
      <w:numFmt w:val="none"/>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FE53170"/>
    <w:multiLevelType w:val="hybridMultilevel"/>
    <w:tmpl w:val="A1E69D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FEE7A10"/>
    <w:multiLevelType w:val="hybridMultilevel"/>
    <w:tmpl w:val="2F183434"/>
    <w:lvl w:ilvl="0" w:tplc="6C600760">
      <w:start w:val="1"/>
      <w:numFmt w:val="decimal"/>
      <w:lvlText w:val="%1."/>
      <w:lvlJc w:val="left"/>
      <w:pPr>
        <w:ind w:left="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4F013C2"/>
    <w:multiLevelType w:val="multilevel"/>
    <w:tmpl w:val="849A9B6C"/>
    <w:lvl w:ilvl="0">
      <w:start w:val="1"/>
      <w:numFmt w:val="decimal"/>
      <w:lvlText w:val="%1."/>
      <w:lvlJc w:val="left"/>
      <w:pPr>
        <w:ind w:left="1440" w:hanging="180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1">
    <w:nsid w:val="351F167A"/>
    <w:multiLevelType w:val="multilevel"/>
    <w:tmpl w:val="0186CD60"/>
    <w:lvl w:ilvl="0">
      <w:start w:val="1"/>
      <w:numFmt w:val="decimal"/>
      <w:lvlText w:val="%1."/>
      <w:lvlJc w:val="left"/>
      <w:pPr>
        <w:ind w:left="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3CFA108E"/>
    <w:multiLevelType w:val="hybridMultilevel"/>
    <w:tmpl w:val="97368E60"/>
    <w:lvl w:ilvl="0" w:tplc="6C600760">
      <w:start w:val="1"/>
      <w:numFmt w:val="decimal"/>
      <w:lvlText w:val="%1."/>
      <w:lvlJc w:val="left"/>
      <w:pPr>
        <w:ind w:left="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423F2A6B"/>
    <w:multiLevelType w:val="multilevel"/>
    <w:tmpl w:val="83E6A54C"/>
    <w:lvl w:ilvl="0">
      <w:start w:val="1"/>
      <w:numFmt w:val="decimal"/>
      <w:lvlText w:val="%1."/>
      <w:lvlJc w:val="left"/>
      <w:pPr>
        <w:ind w:left="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43F30150"/>
    <w:multiLevelType w:val="hybridMultilevel"/>
    <w:tmpl w:val="0186CD60"/>
    <w:lvl w:ilvl="0" w:tplc="6C600760">
      <w:start w:val="1"/>
      <w:numFmt w:val="decimal"/>
      <w:lvlText w:val="%1."/>
      <w:lvlJc w:val="left"/>
      <w:pPr>
        <w:ind w:left="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89116DD"/>
    <w:multiLevelType w:val="hybridMultilevel"/>
    <w:tmpl w:val="ADC637F2"/>
    <w:lvl w:ilvl="0" w:tplc="6C600760">
      <w:start w:val="1"/>
      <w:numFmt w:val="decimal"/>
      <w:lvlText w:val="%1."/>
      <w:lvlJc w:val="left"/>
      <w:pPr>
        <w:ind w:left="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D9D3624"/>
    <w:multiLevelType w:val="multilevel"/>
    <w:tmpl w:val="3DB48B48"/>
    <w:lvl w:ilvl="0">
      <w:start w:val="1"/>
      <w:numFmt w:val="decimal"/>
      <w:lvlText w:val="%1."/>
      <w:lvlJc w:val="right"/>
      <w:pPr>
        <w:ind w:left="1440" w:hanging="360"/>
      </w:pPr>
      <w:rPr>
        <w:rFonts w:ascii="Times New Roman" w:hAnsi="Times New Roman"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7">
    <w:nsid w:val="4F6A57F2"/>
    <w:multiLevelType w:val="hybridMultilevel"/>
    <w:tmpl w:val="3D6A5E4C"/>
    <w:lvl w:ilvl="0" w:tplc="565EB126">
      <w:start w:val="1"/>
      <w:numFmt w:val="decimal"/>
      <w:lvlText w:val="%1."/>
      <w:lvlJc w:val="right"/>
      <w:pPr>
        <w:ind w:left="1440" w:hanging="1440"/>
      </w:pPr>
      <w:rPr>
        <w:rFonts w:ascii="Times New Roman" w:hAnsi="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4FB767B2"/>
    <w:multiLevelType w:val="hybridMultilevel"/>
    <w:tmpl w:val="D920576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55BD0845"/>
    <w:multiLevelType w:val="hybridMultilevel"/>
    <w:tmpl w:val="EB768D30"/>
    <w:lvl w:ilvl="0" w:tplc="2DDC9F0E">
      <w:start w:val="1"/>
      <w:numFmt w:val="decimal"/>
      <w:lvlText w:val="%1."/>
      <w:lvlJc w:val="right"/>
      <w:pPr>
        <w:ind w:left="720" w:hanging="360"/>
      </w:pPr>
      <w:rPr>
        <w:rFonts w:ascii="Times New Roman" w:hAnsi="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2314193"/>
    <w:multiLevelType w:val="multilevel"/>
    <w:tmpl w:val="3D6A5E4C"/>
    <w:lvl w:ilvl="0">
      <w:start w:val="1"/>
      <w:numFmt w:val="decimal"/>
      <w:lvlText w:val="%1."/>
      <w:lvlJc w:val="right"/>
      <w:pPr>
        <w:ind w:left="1440" w:hanging="1440"/>
      </w:pPr>
      <w:rPr>
        <w:rFonts w:ascii="Times New Roman" w:hAnsi="Times New Roman"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1">
    <w:nsid w:val="68240538"/>
    <w:multiLevelType w:val="hybridMultilevel"/>
    <w:tmpl w:val="ED1CC8A0"/>
    <w:lvl w:ilvl="0" w:tplc="2DDC9F0E">
      <w:start w:val="1"/>
      <w:numFmt w:val="decimal"/>
      <w:lvlText w:val="%1."/>
      <w:lvlJc w:val="right"/>
      <w:pPr>
        <w:ind w:left="720" w:hanging="360"/>
      </w:pPr>
      <w:rPr>
        <w:rFonts w:ascii="Times New Roman" w:hAnsi="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D510EFE"/>
    <w:multiLevelType w:val="hybridMultilevel"/>
    <w:tmpl w:val="0A2224B8"/>
    <w:lvl w:ilvl="0" w:tplc="A3AEDB70">
      <w:start w:val="4"/>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3">
    <w:nsid w:val="70257E51"/>
    <w:multiLevelType w:val="hybridMultilevel"/>
    <w:tmpl w:val="923A47B6"/>
    <w:lvl w:ilvl="0" w:tplc="A552C492">
      <w:start w:val="1"/>
      <w:numFmt w:val="decimal"/>
      <w:lvlText w:val="%1."/>
      <w:lvlJc w:val="right"/>
      <w:pPr>
        <w:ind w:left="0" w:firstLine="0"/>
      </w:pPr>
      <w:rPr>
        <w:rFonts w:ascii="Times New Roman" w:hAnsi="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72707FB4"/>
    <w:multiLevelType w:val="hybridMultilevel"/>
    <w:tmpl w:val="E3CE190C"/>
    <w:lvl w:ilvl="0" w:tplc="6C600760">
      <w:start w:val="1"/>
      <w:numFmt w:val="decimal"/>
      <w:lvlText w:val="%1."/>
      <w:lvlJc w:val="left"/>
      <w:pPr>
        <w:ind w:left="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6C71166"/>
    <w:multiLevelType w:val="multilevel"/>
    <w:tmpl w:val="D9205766"/>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6">
    <w:nsid w:val="7F1A4D82"/>
    <w:multiLevelType w:val="multilevel"/>
    <w:tmpl w:val="97368E60"/>
    <w:lvl w:ilvl="0">
      <w:start w:val="1"/>
      <w:numFmt w:val="decimal"/>
      <w:lvlText w:val="%1."/>
      <w:lvlJc w:val="left"/>
      <w:pPr>
        <w:ind w:left="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22"/>
  </w:num>
  <w:num w:numId="2">
    <w:abstractNumId w:val="18"/>
  </w:num>
  <w:num w:numId="3">
    <w:abstractNumId w:val="25"/>
  </w:num>
  <w:num w:numId="4">
    <w:abstractNumId w:val="5"/>
  </w:num>
  <w:num w:numId="5">
    <w:abstractNumId w:val="10"/>
  </w:num>
  <w:num w:numId="6">
    <w:abstractNumId w:val="12"/>
  </w:num>
  <w:num w:numId="7">
    <w:abstractNumId w:val="26"/>
  </w:num>
  <w:num w:numId="8">
    <w:abstractNumId w:val="1"/>
  </w:num>
  <w:num w:numId="9">
    <w:abstractNumId w:val="4"/>
  </w:num>
  <w:num w:numId="10">
    <w:abstractNumId w:val="13"/>
  </w:num>
  <w:num w:numId="11">
    <w:abstractNumId w:val="3"/>
  </w:num>
  <w:num w:numId="12">
    <w:abstractNumId w:val="9"/>
  </w:num>
  <w:num w:numId="13">
    <w:abstractNumId w:val="15"/>
  </w:num>
  <w:num w:numId="14">
    <w:abstractNumId w:val="14"/>
  </w:num>
  <w:num w:numId="15">
    <w:abstractNumId w:val="11"/>
  </w:num>
  <w:num w:numId="16">
    <w:abstractNumId w:val="24"/>
  </w:num>
  <w:num w:numId="17">
    <w:abstractNumId w:val="8"/>
  </w:num>
  <w:num w:numId="18">
    <w:abstractNumId w:val="21"/>
  </w:num>
  <w:num w:numId="19">
    <w:abstractNumId w:val="7"/>
  </w:num>
  <w:num w:numId="20">
    <w:abstractNumId w:val="2"/>
  </w:num>
  <w:num w:numId="21">
    <w:abstractNumId w:val="19"/>
  </w:num>
  <w:num w:numId="22">
    <w:abstractNumId w:val="6"/>
  </w:num>
  <w:num w:numId="23">
    <w:abstractNumId w:val="0"/>
  </w:num>
  <w:num w:numId="24">
    <w:abstractNumId w:val="16"/>
  </w:num>
  <w:num w:numId="25">
    <w:abstractNumId w:val="17"/>
  </w:num>
  <w:num w:numId="26">
    <w:abstractNumId w:val="20"/>
  </w:num>
  <w:num w:numId="27">
    <w:abstractNumId w:val="23"/>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idney villanueva">
    <w15:presenceInfo w15:providerId="Windows Live" w15:userId="ee4f1ed307ebe0f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5"/>
  <w:drawingGridVerticalSpacing w:val="102"/>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202"/>
    <w:rsid w:val="0000482B"/>
    <w:rsid w:val="00006E78"/>
    <w:rsid w:val="00011931"/>
    <w:rsid w:val="00013F5A"/>
    <w:rsid w:val="00014CB0"/>
    <w:rsid w:val="000229F5"/>
    <w:rsid w:val="00023324"/>
    <w:rsid w:val="0002356E"/>
    <w:rsid w:val="00031D0A"/>
    <w:rsid w:val="000378B1"/>
    <w:rsid w:val="00040489"/>
    <w:rsid w:val="00041E4D"/>
    <w:rsid w:val="000457F0"/>
    <w:rsid w:val="00047277"/>
    <w:rsid w:val="00050975"/>
    <w:rsid w:val="00052728"/>
    <w:rsid w:val="000529E9"/>
    <w:rsid w:val="0006241B"/>
    <w:rsid w:val="000630EB"/>
    <w:rsid w:val="000669E6"/>
    <w:rsid w:val="000678A4"/>
    <w:rsid w:val="00070BAE"/>
    <w:rsid w:val="000712A9"/>
    <w:rsid w:val="000909C6"/>
    <w:rsid w:val="000932B6"/>
    <w:rsid w:val="000A119D"/>
    <w:rsid w:val="000A4BD2"/>
    <w:rsid w:val="000A6234"/>
    <w:rsid w:val="000A6484"/>
    <w:rsid w:val="000B1B3D"/>
    <w:rsid w:val="000B24D7"/>
    <w:rsid w:val="000B5AE2"/>
    <w:rsid w:val="000B6EB0"/>
    <w:rsid w:val="000C0C2C"/>
    <w:rsid w:val="000C3C3C"/>
    <w:rsid w:val="000D2785"/>
    <w:rsid w:val="000D32D5"/>
    <w:rsid w:val="000D61BF"/>
    <w:rsid w:val="000D6727"/>
    <w:rsid w:val="000F3D40"/>
    <w:rsid w:val="000F5148"/>
    <w:rsid w:val="00106DAF"/>
    <w:rsid w:val="00117E20"/>
    <w:rsid w:val="00120038"/>
    <w:rsid w:val="00120BF2"/>
    <w:rsid w:val="00121783"/>
    <w:rsid w:val="00121AD5"/>
    <w:rsid w:val="00123B3B"/>
    <w:rsid w:val="001253A0"/>
    <w:rsid w:val="00126218"/>
    <w:rsid w:val="00133BE3"/>
    <w:rsid w:val="0013490A"/>
    <w:rsid w:val="0014076F"/>
    <w:rsid w:val="00140C86"/>
    <w:rsid w:val="00141E33"/>
    <w:rsid w:val="0015218E"/>
    <w:rsid w:val="00152B33"/>
    <w:rsid w:val="00156A29"/>
    <w:rsid w:val="001707CD"/>
    <w:rsid w:val="001723F0"/>
    <w:rsid w:val="00173BBE"/>
    <w:rsid w:val="00180D95"/>
    <w:rsid w:val="00185833"/>
    <w:rsid w:val="0019573A"/>
    <w:rsid w:val="00196687"/>
    <w:rsid w:val="001A03E0"/>
    <w:rsid w:val="001A3599"/>
    <w:rsid w:val="001A4E79"/>
    <w:rsid w:val="001A62E2"/>
    <w:rsid w:val="001A7432"/>
    <w:rsid w:val="001B59EB"/>
    <w:rsid w:val="001B6CE1"/>
    <w:rsid w:val="001C5006"/>
    <w:rsid w:val="001D0AB3"/>
    <w:rsid w:val="001D13A1"/>
    <w:rsid w:val="001D437F"/>
    <w:rsid w:val="001D786B"/>
    <w:rsid w:val="001E0DFA"/>
    <w:rsid w:val="001E0F19"/>
    <w:rsid w:val="001E5384"/>
    <w:rsid w:val="001F2F22"/>
    <w:rsid w:val="001F5789"/>
    <w:rsid w:val="0020510F"/>
    <w:rsid w:val="00207AB6"/>
    <w:rsid w:val="00213E36"/>
    <w:rsid w:val="002225D8"/>
    <w:rsid w:val="0022407B"/>
    <w:rsid w:val="0022416A"/>
    <w:rsid w:val="00225958"/>
    <w:rsid w:val="002308AC"/>
    <w:rsid w:val="00245175"/>
    <w:rsid w:val="00247EEA"/>
    <w:rsid w:val="00252395"/>
    <w:rsid w:val="0025279A"/>
    <w:rsid w:val="00260651"/>
    <w:rsid w:val="00265EEB"/>
    <w:rsid w:val="00267A25"/>
    <w:rsid w:val="00271006"/>
    <w:rsid w:val="0027482A"/>
    <w:rsid w:val="0027602A"/>
    <w:rsid w:val="0027706D"/>
    <w:rsid w:val="00280817"/>
    <w:rsid w:val="00281D4E"/>
    <w:rsid w:val="00283EF2"/>
    <w:rsid w:val="002876B8"/>
    <w:rsid w:val="00290525"/>
    <w:rsid w:val="00295DC3"/>
    <w:rsid w:val="002A4FCD"/>
    <w:rsid w:val="002B7BD4"/>
    <w:rsid w:val="002D3711"/>
    <w:rsid w:val="002D4CA1"/>
    <w:rsid w:val="002D5C59"/>
    <w:rsid w:val="002D6A91"/>
    <w:rsid w:val="002E2771"/>
    <w:rsid w:val="002E3365"/>
    <w:rsid w:val="002E3DA9"/>
    <w:rsid w:val="002E3E08"/>
    <w:rsid w:val="002E4750"/>
    <w:rsid w:val="002E6011"/>
    <w:rsid w:val="002F0B88"/>
    <w:rsid w:val="002F1B90"/>
    <w:rsid w:val="002F5ECF"/>
    <w:rsid w:val="00301C91"/>
    <w:rsid w:val="00302C33"/>
    <w:rsid w:val="00302FF1"/>
    <w:rsid w:val="00306137"/>
    <w:rsid w:val="00310096"/>
    <w:rsid w:val="003139F2"/>
    <w:rsid w:val="0031421B"/>
    <w:rsid w:val="003151F3"/>
    <w:rsid w:val="00316C68"/>
    <w:rsid w:val="0032110B"/>
    <w:rsid w:val="003246BF"/>
    <w:rsid w:val="003312B5"/>
    <w:rsid w:val="00333D84"/>
    <w:rsid w:val="0033507C"/>
    <w:rsid w:val="00346F23"/>
    <w:rsid w:val="00352C3B"/>
    <w:rsid w:val="0035581D"/>
    <w:rsid w:val="003571CE"/>
    <w:rsid w:val="00371117"/>
    <w:rsid w:val="0037368A"/>
    <w:rsid w:val="0037612A"/>
    <w:rsid w:val="003776F8"/>
    <w:rsid w:val="00382121"/>
    <w:rsid w:val="0039146C"/>
    <w:rsid w:val="0039794E"/>
    <w:rsid w:val="003A2846"/>
    <w:rsid w:val="003A68D1"/>
    <w:rsid w:val="003B0964"/>
    <w:rsid w:val="003B09C5"/>
    <w:rsid w:val="003B17B5"/>
    <w:rsid w:val="003B40EF"/>
    <w:rsid w:val="003B5383"/>
    <w:rsid w:val="003B7F83"/>
    <w:rsid w:val="003C4A62"/>
    <w:rsid w:val="003C5CCB"/>
    <w:rsid w:val="003C694D"/>
    <w:rsid w:val="003C7C8A"/>
    <w:rsid w:val="003D06C9"/>
    <w:rsid w:val="003D7413"/>
    <w:rsid w:val="003E37F4"/>
    <w:rsid w:val="003E4345"/>
    <w:rsid w:val="003E76C0"/>
    <w:rsid w:val="003E7FE1"/>
    <w:rsid w:val="003F0D3A"/>
    <w:rsid w:val="003F56E6"/>
    <w:rsid w:val="00400A18"/>
    <w:rsid w:val="00410E54"/>
    <w:rsid w:val="00411DC6"/>
    <w:rsid w:val="00412077"/>
    <w:rsid w:val="004151FF"/>
    <w:rsid w:val="004169C9"/>
    <w:rsid w:val="00423D4A"/>
    <w:rsid w:val="004277C7"/>
    <w:rsid w:val="004342C5"/>
    <w:rsid w:val="004416B6"/>
    <w:rsid w:val="00442290"/>
    <w:rsid w:val="00443EC1"/>
    <w:rsid w:val="00444AE3"/>
    <w:rsid w:val="004453A7"/>
    <w:rsid w:val="0044758C"/>
    <w:rsid w:val="004536CE"/>
    <w:rsid w:val="00454391"/>
    <w:rsid w:val="004563C8"/>
    <w:rsid w:val="00460E80"/>
    <w:rsid w:val="0046324C"/>
    <w:rsid w:val="00472CBD"/>
    <w:rsid w:val="00473B04"/>
    <w:rsid w:val="00473F57"/>
    <w:rsid w:val="00475CD1"/>
    <w:rsid w:val="004779D2"/>
    <w:rsid w:val="0048270B"/>
    <w:rsid w:val="004836C5"/>
    <w:rsid w:val="00483F16"/>
    <w:rsid w:val="00484637"/>
    <w:rsid w:val="004848B6"/>
    <w:rsid w:val="00484E40"/>
    <w:rsid w:val="004908C8"/>
    <w:rsid w:val="004923C6"/>
    <w:rsid w:val="00493A6F"/>
    <w:rsid w:val="004A3434"/>
    <w:rsid w:val="004A48F4"/>
    <w:rsid w:val="004A7C3F"/>
    <w:rsid w:val="004C0276"/>
    <w:rsid w:val="004C0F29"/>
    <w:rsid w:val="004C7953"/>
    <w:rsid w:val="004D3519"/>
    <w:rsid w:val="004D761D"/>
    <w:rsid w:val="004E08DB"/>
    <w:rsid w:val="004E427D"/>
    <w:rsid w:val="004E6470"/>
    <w:rsid w:val="004E791C"/>
    <w:rsid w:val="004F1700"/>
    <w:rsid w:val="004F2196"/>
    <w:rsid w:val="0050087A"/>
    <w:rsid w:val="00502D17"/>
    <w:rsid w:val="00503A59"/>
    <w:rsid w:val="00505C91"/>
    <w:rsid w:val="00514992"/>
    <w:rsid w:val="00514DB2"/>
    <w:rsid w:val="0051556C"/>
    <w:rsid w:val="00516B2A"/>
    <w:rsid w:val="00523F20"/>
    <w:rsid w:val="00525829"/>
    <w:rsid w:val="00525CE3"/>
    <w:rsid w:val="00525E22"/>
    <w:rsid w:val="00530518"/>
    <w:rsid w:val="00531335"/>
    <w:rsid w:val="005373F6"/>
    <w:rsid w:val="0054485C"/>
    <w:rsid w:val="005608BE"/>
    <w:rsid w:val="00560FF2"/>
    <w:rsid w:val="00565DBE"/>
    <w:rsid w:val="005660C3"/>
    <w:rsid w:val="00571FC8"/>
    <w:rsid w:val="00573BED"/>
    <w:rsid w:val="005832B2"/>
    <w:rsid w:val="00583375"/>
    <w:rsid w:val="00583E21"/>
    <w:rsid w:val="00584403"/>
    <w:rsid w:val="00594B2F"/>
    <w:rsid w:val="00597E43"/>
    <w:rsid w:val="005A039A"/>
    <w:rsid w:val="005A36AA"/>
    <w:rsid w:val="005C3C17"/>
    <w:rsid w:val="005C55CD"/>
    <w:rsid w:val="005C57A5"/>
    <w:rsid w:val="005C69DD"/>
    <w:rsid w:val="005C6C15"/>
    <w:rsid w:val="005C6D32"/>
    <w:rsid w:val="005D1E67"/>
    <w:rsid w:val="005D2474"/>
    <w:rsid w:val="005D3B9F"/>
    <w:rsid w:val="005F33E9"/>
    <w:rsid w:val="006019CF"/>
    <w:rsid w:val="00603DEC"/>
    <w:rsid w:val="00604BD3"/>
    <w:rsid w:val="00605D23"/>
    <w:rsid w:val="00607479"/>
    <w:rsid w:val="0061021E"/>
    <w:rsid w:val="00610AB1"/>
    <w:rsid w:val="00621C27"/>
    <w:rsid w:val="006229B0"/>
    <w:rsid w:val="00625777"/>
    <w:rsid w:val="006336EC"/>
    <w:rsid w:val="00634CD1"/>
    <w:rsid w:val="006460BA"/>
    <w:rsid w:val="0065148D"/>
    <w:rsid w:val="00655FEB"/>
    <w:rsid w:val="00656B7E"/>
    <w:rsid w:val="00660D04"/>
    <w:rsid w:val="00663CD7"/>
    <w:rsid w:val="0066536E"/>
    <w:rsid w:val="00670BB8"/>
    <w:rsid w:val="00672274"/>
    <w:rsid w:val="00675402"/>
    <w:rsid w:val="00675976"/>
    <w:rsid w:val="00680C92"/>
    <w:rsid w:val="00682C44"/>
    <w:rsid w:val="00682F9B"/>
    <w:rsid w:val="00683788"/>
    <w:rsid w:val="006866C4"/>
    <w:rsid w:val="0068767D"/>
    <w:rsid w:val="006A0E97"/>
    <w:rsid w:val="006A3AAB"/>
    <w:rsid w:val="006A742F"/>
    <w:rsid w:val="006B19A1"/>
    <w:rsid w:val="006B59A5"/>
    <w:rsid w:val="006B5A28"/>
    <w:rsid w:val="006C321C"/>
    <w:rsid w:val="006C3849"/>
    <w:rsid w:val="006C5D37"/>
    <w:rsid w:val="006D68DA"/>
    <w:rsid w:val="006E08FC"/>
    <w:rsid w:val="006F06E7"/>
    <w:rsid w:val="006F6E2E"/>
    <w:rsid w:val="0070061A"/>
    <w:rsid w:val="007045C1"/>
    <w:rsid w:val="00706314"/>
    <w:rsid w:val="00707ACE"/>
    <w:rsid w:val="007111DB"/>
    <w:rsid w:val="00711BC2"/>
    <w:rsid w:val="00717189"/>
    <w:rsid w:val="0072035D"/>
    <w:rsid w:val="0072300E"/>
    <w:rsid w:val="007258F0"/>
    <w:rsid w:val="007261D1"/>
    <w:rsid w:val="007312BC"/>
    <w:rsid w:val="00731394"/>
    <w:rsid w:val="007346F1"/>
    <w:rsid w:val="00734BED"/>
    <w:rsid w:val="00754813"/>
    <w:rsid w:val="007553B6"/>
    <w:rsid w:val="007560BE"/>
    <w:rsid w:val="00757109"/>
    <w:rsid w:val="00762AFF"/>
    <w:rsid w:val="00782955"/>
    <w:rsid w:val="00790546"/>
    <w:rsid w:val="00792C00"/>
    <w:rsid w:val="007932B6"/>
    <w:rsid w:val="007A3C73"/>
    <w:rsid w:val="007B2893"/>
    <w:rsid w:val="007C5867"/>
    <w:rsid w:val="007C6A7D"/>
    <w:rsid w:val="007C6F8F"/>
    <w:rsid w:val="007D33C4"/>
    <w:rsid w:val="007D4A0A"/>
    <w:rsid w:val="007E0403"/>
    <w:rsid w:val="007E2C68"/>
    <w:rsid w:val="007E5EDB"/>
    <w:rsid w:val="007F2AD1"/>
    <w:rsid w:val="007F58E9"/>
    <w:rsid w:val="007F72EF"/>
    <w:rsid w:val="0080306D"/>
    <w:rsid w:val="00803747"/>
    <w:rsid w:val="00806445"/>
    <w:rsid w:val="00806854"/>
    <w:rsid w:val="00814C4F"/>
    <w:rsid w:val="0082308A"/>
    <w:rsid w:val="008249F9"/>
    <w:rsid w:val="00825355"/>
    <w:rsid w:val="00831B59"/>
    <w:rsid w:val="008323AE"/>
    <w:rsid w:val="00833F04"/>
    <w:rsid w:val="0084654D"/>
    <w:rsid w:val="00851181"/>
    <w:rsid w:val="00853359"/>
    <w:rsid w:val="00856342"/>
    <w:rsid w:val="00864507"/>
    <w:rsid w:val="00866F16"/>
    <w:rsid w:val="008726E2"/>
    <w:rsid w:val="008732C9"/>
    <w:rsid w:val="00874113"/>
    <w:rsid w:val="008776EA"/>
    <w:rsid w:val="00880E34"/>
    <w:rsid w:val="00891E36"/>
    <w:rsid w:val="008936FC"/>
    <w:rsid w:val="008963A3"/>
    <w:rsid w:val="00897869"/>
    <w:rsid w:val="008A05C1"/>
    <w:rsid w:val="008A0870"/>
    <w:rsid w:val="008A0A84"/>
    <w:rsid w:val="008A1B45"/>
    <w:rsid w:val="008B030C"/>
    <w:rsid w:val="008B26EC"/>
    <w:rsid w:val="008B4113"/>
    <w:rsid w:val="008B5B83"/>
    <w:rsid w:val="008C3C35"/>
    <w:rsid w:val="008D2582"/>
    <w:rsid w:val="008D70CE"/>
    <w:rsid w:val="008E1823"/>
    <w:rsid w:val="008E6225"/>
    <w:rsid w:val="008E7BFC"/>
    <w:rsid w:val="008F1890"/>
    <w:rsid w:val="008F3319"/>
    <w:rsid w:val="00900FED"/>
    <w:rsid w:val="009035F4"/>
    <w:rsid w:val="00906612"/>
    <w:rsid w:val="00910DB0"/>
    <w:rsid w:val="00913202"/>
    <w:rsid w:val="00914806"/>
    <w:rsid w:val="00917FC8"/>
    <w:rsid w:val="00922F96"/>
    <w:rsid w:val="00934279"/>
    <w:rsid w:val="00937522"/>
    <w:rsid w:val="00940580"/>
    <w:rsid w:val="00941E93"/>
    <w:rsid w:val="0094250C"/>
    <w:rsid w:val="00945329"/>
    <w:rsid w:val="00951509"/>
    <w:rsid w:val="00954ABA"/>
    <w:rsid w:val="0095713B"/>
    <w:rsid w:val="0096084F"/>
    <w:rsid w:val="009627B2"/>
    <w:rsid w:val="0096593A"/>
    <w:rsid w:val="00966A79"/>
    <w:rsid w:val="0097098F"/>
    <w:rsid w:val="00983D66"/>
    <w:rsid w:val="009848F1"/>
    <w:rsid w:val="009852BA"/>
    <w:rsid w:val="00985FC7"/>
    <w:rsid w:val="009919CE"/>
    <w:rsid w:val="00993CBD"/>
    <w:rsid w:val="009A3A76"/>
    <w:rsid w:val="009B1E3A"/>
    <w:rsid w:val="009B4296"/>
    <w:rsid w:val="009D2D95"/>
    <w:rsid w:val="009D4581"/>
    <w:rsid w:val="009D74B0"/>
    <w:rsid w:val="009D7E3F"/>
    <w:rsid w:val="009E242E"/>
    <w:rsid w:val="009E483A"/>
    <w:rsid w:val="009E7B11"/>
    <w:rsid w:val="009F16CD"/>
    <w:rsid w:val="009F56EF"/>
    <w:rsid w:val="009F63BF"/>
    <w:rsid w:val="00A02E8B"/>
    <w:rsid w:val="00A0597B"/>
    <w:rsid w:val="00A06B1A"/>
    <w:rsid w:val="00A06CD2"/>
    <w:rsid w:val="00A07925"/>
    <w:rsid w:val="00A10B84"/>
    <w:rsid w:val="00A13D1C"/>
    <w:rsid w:val="00A15373"/>
    <w:rsid w:val="00A15E83"/>
    <w:rsid w:val="00A1612A"/>
    <w:rsid w:val="00A1672E"/>
    <w:rsid w:val="00A22901"/>
    <w:rsid w:val="00A24557"/>
    <w:rsid w:val="00A3427B"/>
    <w:rsid w:val="00A34A88"/>
    <w:rsid w:val="00A34CDA"/>
    <w:rsid w:val="00A40AD0"/>
    <w:rsid w:val="00A50BD4"/>
    <w:rsid w:val="00A51F3D"/>
    <w:rsid w:val="00A53B54"/>
    <w:rsid w:val="00A54626"/>
    <w:rsid w:val="00A60EA8"/>
    <w:rsid w:val="00A63891"/>
    <w:rsid w:val="00A649DC"/>
    <w:rsid w:val="00A65B74"/>
    <w:rsid w:val="00A815B2"/>
    <w:rsid w:val="00A91456"/>
    <w:rsid w:val="00AA3C52"/>
    <w:rsid w:val="00AA50E0"/>
    <w:rsid w:val="00AB20CC"/>
    <w:rsid w:val="00AB6D48"/>
    <w:rsid w:val="00AB715E"/>
    <w:rsid w:val="00AC57D6"/>
    <w:rsid w:val="00AD17B3"/>
    <w:rsid w:val="00AD2538"/>
    <w:rsid w:val="00AE088F"/>
    <w:rsid w:val="00AE55C3"/>
    <w:rsid w:val="00AF0A08"/>
    <w:rsid w:val="00AF1736"/>
    <w:rsid w:val="00AF1D9E"/>
    <w:rsid w:val="00AF3BCC"/>
    <w:rsid w:val="00AF69AA"/>
    <w:rsid w:val="00B02F07"/>
    <w:rsid w:val="00B03837"/>
    <w:rsid w:val="00B07B9C"/>
    <w:rsid w:val="00B11CD9"/>
    <w:rsid w:val="00B149EA"/>
    <w:rsid w:val="00B17330"/>
    <w:rsid w:val="00B308C5"/>
    <w:rsid w:val="00B3334F"/>
    <w:rsid w:val="00B43A04"/>
    <w:rsid w:val="00B547C4"/>
    <w:rsid w:val="00B603B7"/>
    <w:rsid w:val="00B60B8A"/>
    <w:rsid w:val="00B65E26"/>
    <w:rsid w:val="00B90AF7"/>
    <w:rsid w:val="00B941FA"/>
    <w:rsid w:val="00B959B7"/>
    <w:rsid w:val="00B96F34"/>
    <w:rsid w:val="00B96FB7"/>
    <w:rsid w:val="00BA15CA"/>
    <w:rsid w:val="00BA1FCC"/>
    <w:rsid w:val="00BA2185"/>
    <w:rsid w:val="00BA6872"/>
    <w:rsid w:val="00BA76E4"/>
    <w:rsid w:val="00BB5B1B"/>
    <w:rsid w:val="00BB77C5"/>
    <w:rsid w:val="00BC4D8F"/>
    <w:rsid w:val="00BC76EB"/>
    <w:rsid w:val="00BD17F4"/>
    <w:rsid w:val="00BE0537"/>
    <w:rsid w:val="00BF1B4D"/>
    <w:rsid w:val="00BF57CA"/>
    <w:rsid w:val="00C02820"/>
    <w:rsid w:val="00C07BF6"/>
    <w:rsid w:val="00C1078A"/>
    <w:rsid w:val="00C30E31"/>
    <w:rsid w:val="00C3412B"/>
    <w:rsid w:val="00C40B3F"/>
    <w:rsid w:val="00C55293"/>
    <w:rsid w:val="00C55838"/>
    <w:rsid w:val="00C57A3C"/>
    <w:rsid w:val="00C702A4"/>
    <w:rsid w:val="00C72019"/>
    <w:rsid w:val="00C75662"/>
    <w:rsid w:val="00C805FB"/>
    <w:rsid w:val="00C854C0"/>
    <w:rsid w:val="00C94D62"/>
    <w:rsid w:val="00C9535E"/>
    <w:rsid w:val="00C957CE"/>
    <w:rsid w:val="00CA1D92"/>
    <w:rsid w:val="00CA1E04"/>
    <w:rsid w:val="00CA1E22"/>
    <w:rsid w:val="00CA4454"/>
    <w:rsid w:val="00CA5158"/>
    <w:rsid w:val="00CB28F8"/>
    <w:rsid w:val="00CB2BB8"/>
    <w:rsid w:val="00CC1B4B"/>
    <w:rsid w:val="00CC2460"/>
    <w:rsid w:val="00CD1028"/>
    <w:rsid w:val="00CD46AB"/>
    <w:rsid w:val="00CD6F7B"/>
    <w:rsid w:val="00CE19DD"/>
    <w:rsid w:val="00CE702F"/>
    <w:rsid w:val="00CF0CC4"/>
    <w:rsid w:val="00CF398C"/>
    <w:rsid w:val="00CF4F20"/>
    <w:rsid w:val="00D03BF1"/>
    <w:rsid w:val="00D04098"/>
    <w:rsid w:val="00D04330"/>
    <w:rsid w:val="00D04F7F"/>
    <w:rsid w:val="00D1552B"/>
    <w:rsid w:val="00D15775"/>
    <w:rsid w:val="00D16639"/>
    <w:rsid w:val="00D20786"/>
    <w:rsid w:val="00D301DA"/>
    <w:rsid w:val="00D40F5A"/>
    <w:rsid w:val="00D41FC5"/>
    <w:rsid w:val="00D43F68"/>
    <w:rsid w:val="00D4430B"/>
    <w:rsid w:val="00D50E34"/>
    <w:rsid w:val="00D57451"/>
    <w:rsid w:val="00D57785"/>
    <w:rsid w:val="00D6050F"/>
    <w:rsid w:val="00D62AC8"/>
    <w:rsid w:val="00D667A9"/>
    <w:rsid w:val="00D66A67"/>
    <w:rsid w:val="00D818B3"/>
    <w:rsid w:val="00D96E52"/>
    <w:rsid w:val="00DA46A2"/>
    <w:rsid w:val="00DB71E8"/>
    <w:rsid w:val="00DC2C55"/>
    <w:rsid w:val="00DC7ED6"/>
    <w:rsid w:val="00DD008F"/>
    <w:rsid w:val="00DD062A"/>
    <w:rsid w:val="00DD423F"/>
    <w:rsid w:val="00DD4DC4"/>
    <w:rsid w:val="00DD51C2"/>
    <w:rsid w:val="00DF21B5"/>
    <w:rsid w:val="00DF4497"/>
    <w:rsid w:val="00DF6D39"/>
    <w:rsid w:val="00DF7DC2"/>
    <w:rsid w:val="00E12329"/>
    <w:rsid w:val="00E14336"/>
    <w:rsid w:val="00E242C6"/>
    <w:rsid w:val="00E2432E"/>
    <w:rsid w:val="00E32D46"/>
    <w:rsid w:val="00E34B0B"/>
    <w:rsid w:val="00E34C41"/>
    <w:rsid w:val="00E46961"/>
    <w:rsid w:val="00E70913"/>
    <w:rsid w:val="00E744EF"/>
    <w:rsid w:val="00E91245"/>
    <w:rsid w:val="00EA17EA"/>
    <w:rsid w:val="00EA47A3"/>
    <w:rsid w:val="00EB24B1"/>
    <w:rsid w:val="00ED08B1"/>
    <w:rsid w:val="00ED153A"/>
    <w:rsid w:val="00ED4016"/>
    <w:rsid w:val="00EE3435"/>
    <w:rsid w:val="00EE3960"/>
    <w:rsid w:val="00EE455B"/>
    <w:rsid w:val="00EE5D09"/>
    <w:rsid w:val="00EE67BC"/>
    <w:rsid w:val="00EE6905"/>
    <w:rsid w:val="00EE6DB2"/>
    <w:rsid w:val="00EF2870"/>
    <w:rsid w:val="00F01B4E"/>
    <w:rsid w:val="00F01DBC"/>
    <w:rsid w:val="00F022C7"/>
    <w:rsid w:val="00F0314E"/>
    <w:rsid w:val="00F04F2C"/>
    <w:rsid w:val="00F05456"/>
    <w:rsid w:val="00F0715F"/>
    <w:rsid w:val="00F07B58"/>
    <w:rsid w:val="00F11EDB"/>
    <w:rsid w:val="00F13C02"/>
    <w:rsid w:val="00F27E03"/>
    <w:rsid w:val="00F31EA6"/>
    <w:rsid w:val="00F36092"/>
    <w:rsid w:val="00F365E6"/>
    <w:rsid w:val="00F413FE"/>
    <w:rsid w:val="00F5415E"/>
    <w:rsid w:val="00F55892"/>
    <w:rsid w:val="00F56559"/>
    <w:rsid w:val="00F57BBB"/>
    <w:rsid w:val="00F660F0"/>
    <w:rsid w:val="00F664DA"/>
    <w:rsid w:val="00F74171"/>
    <w:rsid w:val="00F81F53"/>
    <w:rsid w:val="00F861A4"/>
    <w:rsid w:val="00F865D1"/>
    <w:rsid w:val="00F9070E"/>
    <w:rsid w:val="00F9339B"/>
    <w:rsid w:val="00F93789"/>
    <w:rsid w:val="00F94938"/>
    <w:rsid w:val="00FA70C6"/>
    <w:rsid w:val="00FB220B"/>
    <w:rsid w:val="00FB4C09"/>
    <w:rsid w:val="00FC1FEC"/>
    <w:rsid w:val="00FD1A82"/>
    <w:rsid w:val="00FD73C7"/>
    <w:rsid w:val="00FE251C"/>
    <w:rsid w:val="00FE39A1"/>
    <w:rsid w:val="00FE50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78695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Subtitle">
    <w:name w:val="Subtitle"/>
    <w:basedOn w:val="Normal"/>
    <w:qFormat/>
    <w:pPr>
      <w:jc w:val="center"/>
    </w:pPr>
    <w:rPr>
      <w:b/>
      <w:bC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ingleSpacing">
    <w:name w:val="Single Spacing"/>
    <w:basedOn w:val="Normal"/>
    <w:pPr>
      <w:spacing w:line="254" w:lineRule="exact"/>
    </w:pPr>
  </w:style>
  <w:style w:type="character" w:styleId="PageNumber">
    <w:name w:val="page number"/>
    <w:basedOn w:val="DefaultParagraphFont"/>
  </w:style>
  <w:style w:type="character" w:styleId="Hyperlink">
    <w:name w:val="Hyperlink"/>
    <w:basedOn w:val="DefaultParagraphFont"/>
    <w:rPr>
      <w:color w:val="0000FF"/>
      <w:u w:val="single"/>
    </w:rPr>
  </w:style>
  <w:style w:type="paragraph" w:styleId="BodyTextIndent">
    <w:name w:val="Body Text Indent"/>
    <w:basedOn w:val="Normal"/>
    <w:pPr>
      <w:spacing w:line="480" w:lineRule="auto"/>
      <w:ind w:firstLine="1440"/>
    </w:pPr>
  </w:style>
  <w:style w:type="paragraph" w:styleId="BodyText2">
    <w:name w:val="Body Text 2"/>
    <w:basedOn w:val="Normal"/>
    <w:rPr>
      <w:b/>
      <w:bCs/>
    </w:rPr>
  </w:style>
  <w:style w:type="paragraph" w:styleId="EndnoteText">
    <w:name w:val="endnote text"/>
    <w:basedOn w:val="Normal"/>
    <w:semiHidden/>
    <w:pPr>
      <w:widowControl w:val="0"/>
      <w:overflowPunct w:val="0"/>
      <w:autoSpaceDE w:val="0"/>
      <w:autoSpaceDN w:val="0"/>
      <w:adjustRightInd w:val="0"/>
      <w:textAlignment w:val="baseline"/>
    </w:pPr>
    <w:rPr>
      <w:rFonts w:ascii="Courier" w:hAnsi="Courier"/>
    </w:rPr>
  </w:style>
  <w:style w:type="paragraph" w:customStyle="1" w:styleId="wfxRecipient">
    <w:name w:val="wfxRecipient"/>
    <w:basedOn w:val="Normal"/>
    <w:rsid w:val="003A68D1"/>
    <w:pPr>
      <w:overflowPunct w:val="0"/>
      <w:autoSpaceDE w:val="0"/>
      <w:autoSpaceDN w:val="0"/>
      <w:adjustRightInd w:val="0"/>
      <w:textAlignment w:val="baseline"/>
    </w:pPr>
    <w:rPr>
      <w:rFonts w:ascii="Univers" w:hAnsi="Univers" w:cs="Univers"/>
      <w:szCs w:val="24"/>
    </w:rPr>
  </w:style>
  <w:style w:type="character" w:styleId="FollowedHyperlink">
    <w:name w:val="FollowedHyperlink"/>
    <w:basedOn w:val="DefaultParagraphFont"/>
    <w:rsid w:val="008A0870"/>
    <w:rPr>
      <w:color w:val="800080"/>
      <w:u w:val="single"/>
    </w:rPr>
  </w:style>
  <w:style w:type="paragraph" w:customStyle="1" w:styleId="StyleBottomSinglesolidlineAuto15ptLinewidthFromte">
    <w:name w:val="Style Bottom: (Single solid line Auto  1.5 pt Line width From te..."/>
    <w:basedOn w:val="Normal"/>
    <w:next w:val="Normal"/>
    <w:rsid w:val="00E242C6"/>
    <w:pPr>
      <w:pBdr>
        <w:bottom w:val="single" w:sz="12" w:space="14" w:color="auto"/>
      </w:pBdr>
      <w:spacing w:line="480" w:lineRule="auto"/>
    </w:pPr>
  </w:style>
  <w:style w:type="table" w:styleId="TableGrid">
    <w:name w:val="Table Grid"/>
    <w:basedOn w:val="TableNormal"/>
    <w:rsid w:val="00F558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5F33E9"/>
    <w:rPr>
      <w:rFonts w:ascii="Tahoma" w:hAnsi="Tahoma" w:cs="Tahoma"/>
      <w:sz w:val="16"/>
      <w:szCs w:val="16"/>
    </w:rPr>
  </w:style>
  <w:style w:type="paragraph" w:styleId="ListParagraph">
    <w:name w:val="List Paragraph"/>
    <w:basedOn w:val="Normal"/>
    <w:uiPriority w:val="34"/>
    <w:qFormat/>
    <w:rsid w:val="00AF1736"/>
    <w:pPr>
      <w:ind w:left="720"/>
      <w:contextualSpacing/>
    </w:pPr>
  </w:style>
  <w:style w:type="paragraph" w:styleId="FootnoteText">
    <w:name w:val="footnote text"/>
    <w:basedOn w:val="Normal"/>
    <w:link w:val="FootnoteTextChar"/>
    <w:uiPriority w:val="99"/>
    <w:unhideWhenUsed/>
    <w:rsid w:val="00F57BBB"/>
    <w:rPr>
      <w:szCs w:val="24"/>
    </w:rPr>
  </w:style>
  <w:style w:type="character" w:customStyle="1" w:styleId="FootnoteTextChar">
    <w:name w:val="Footnote Text Char"/>
    <w:basedOn w:val="DefaultParagraphFont"/>
    <w:link w:val="FootnoteText"/>
    <w:uiPriority w:val="99"/>
    <w:rsid w:val="00F57BBB"/>
    <w:rPr>
      <w:sz w:val="24"/>
      <w:szCs w:val="24"/>
    </w:rPr>
  </w:style>
  <w:style w:type="character" w:styleId="FootnoteReference">
    <w:name w:val="footnote reference"/>
    <w:basedOn w:val="DefaultParagraphFont"/>
    <w:uiPriority w:val="99"/>
    <w:unhideWhenUsed/>
    <w:rsid w:val="00F57BBB"/>
    <w:rPr>
      <w:vertAlign w:val="superscript"/>
    </w:rPr>
  </w:style>
  <w:style w:type="character" w:styleId="CommentReference">
    <w:name w:val="annotation reference"/>
    <w:basedOn w:val="DefaultParagraphFont"/>
    <w:uiPriority w:val="99"/>
    <w:semiHidden/>
    <w:unhideWhenUsed/>
    <w:rsid w:val="00444AE3"/>
    <w:rPr>
      <w:sz w:val="18"/>
      <w:szCs w:val="18"/>
    </w:rPr>
  </w:style>
  <w:style w:type="paragraph" w:styleId="CommentText">
    <w:name w:val="annotation text"/>
    <w:basedOn w:val="Normal"/>
    <w:link w:val="CommentTextChar"/>
    <w:uiPriority w:val="99"/>
    <w:semiHidden/>
    <w:unhideWhenUsed/>
    <w:rsid w:val="00444AE3"/>
    <w:rPr>
      <w:szCs w:val="24"/>
    </w:rPr>
  </w:style>
  <w:style w:type="character" w:customStyle="1" w:styleId="CommentTextChar">
    <w:name w:val="Comment Text Char"/>
    <w:basedOn w:val="DefaultParagraphFont"/>
    <w:link w:val="CommentText"/>
    <w:uiPriority w:val="99"/>
    <w:semiHidden/>
    <w:rsid w:val="00444AE3"/>
    <w:rPr>
      <w:sz w:val="24"/>
      <w:szCs w:val="24"/>
    </w:rPr>
  </w:style>
  <w:style w:type="paragraph" w:styleId="CommentSubject">
    <w:name w:val="annotation subject"/>
    <w:basedOn w:val="CommentText"/>
    <w:next w:val="CommentText"/>
    <w:link w:val="CommentSubjectChar"/>
    <w:uiPriority w:val="99"/>
    <w:semiHidden/>
    <w:unhideWhenUsed/>
    <w:rsid w:val="00444AE3"/>
    <w:rPr>
      <w:b/>
      <w:bCs/>
      <w:sz w:val="20"/>
      <w:szCs w:val="20"/>
    </w:rPr>
  </w:style>
  <w:style w:type="character" w:customStyle="1" w:styleId="CommentSubjectChar">
    <w:name w:val="Comment Subject Char"/>
    <w:basedOn w:val="CommentTextChar"/>
    <w:link w:val="CommentSubject"/>
    <w:uiPriority w:val="99"/>
    <w:semiHidden/>
    <w:rsid w:val="00444AE3"/>
    <w:rPr>
      <w:b/>
      <w:bCs/>
      <w:sz w:val="24"/>
      <w:szCs w:val="24"/>
    </w:rPr>
  </w:style>
  <w:style w:type="paragraph" w:styleId="NormalWeb">
    <w:name w:val="Normal (Web)"/>
    <w:basedOn w:val="Normal"/>
    <w:uiPriority w:val="99"/>
    <w:semiHidden/>
    <w:unhideWhenUsed/>
    <w:rsid w:val="00F11EDB"/>
    <w:rPr>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Subtitle">
    <w:name w:val="Subtitle"/>
    <w:basedOn w:val="Normal"/>
    <w:qFormat/>
    <w:pPr>
      <w:jc w:val="center"/>
    </w:pPr>
    <w:rPr>
      <w:b/>
      <w:bC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ingleSpacing">
    <w:name w:val="Single Spacing"/>
    <w:basedOn w:val="Normal"/>
    <w:pPr>
      <w:spacing w:line="254" w:lineRule="exact"/>
    </w:pPr>
  </w:style>
  <w:style w:type="character" w:styleId="PageNumber">
    <w:name w:val="page number"/>
    <w:basedOn w:val="DefaultParagraphFont"/>
  </w:style>
  <w:style w:type="character" w:styleId="Hyperlink">
    <w:name w:val="Hyperlink"/>
    <w:basedOn w:val="DefaultParagraphFont"/>
    <w:rPr>
      <w:color w:val="0000FF"/>
      <w:u w:val="single"/>
    </w:rPr>
  </w:style>
  <w:style w:type="paragraph" w:styleId="BodyTextIndent">
    <w:name w:val="Body Text Indent"/>
    <w:basedOn w:val="Normal"/>
    <w:pPr>
      <w:spacing w:line="480" w:lineRule="auto"/>
      <w:ind w:firstLine="1440"/>
    </w:pPr>
  </w:style>
  <w:style w:type="paragraph" w:styleId="BodyText2">
    <w:name w:val="Body Text 2"/>
    <w:basedOn w:val="Normal"/>
    <w:rPr>
      <w:b/>
      <w:bCs/>
    </w:rPr>
  </w:style>
  <w:style w:type="paragraph" w:styleId="EndnoteText">
    <w:name w:val="endnote text"/>
    <w:basedOn w:val="Normal"/>
    <w:semiHidden/>
    <w:pPr>
      <w:widowControl w:val="0"/>
      <w:overflowPunct w:val="0"/>
      <w:autoSpaceDE w:val="0"/>
      <w:autoSpaceDN w:val="0"/>
      <w:adjustRightInd w:val="0"/>
      <w:textAlignment w:val="baseline"/>
    </w:pPr>
    <w:rPr>
      <w:rFonts w:ascii="Courier" w:hAnsi="Courier"/>
    </w:rPr>
  </w:style>
  <w:style w:type="paragraph" w:customStyle="1" w:styleId="wfxRecipient">
    <w:name w:val="wfxRecipient"/>
    <w:basedOn w:val="Normal"/>
    <w:rsid w:val="003A68D1"/>
    <w:pPr>
      <w:overflowPunct w:val="0"/>
      <w:autoSpaceDE w:val="0"/>
      <w:autoSpaceDN w:val="0"/>
      <w:adjustRightInd w:val="0"/>
      <w:textAlignment w:val="baseline"/>
    </w:pPr>
    <w:rPr>
      <w:rFonts w:ascii="Univers" w:hAnsi="Univers" w:cs="Univers"/>
      <w:szCs w:val="24"/>
    </w:rPr>
  </w:style>
  <w:style w:type="character" w:styleId="FollowedHyperlink">
    <w:name w:val="FollowedHyperlink"/>
    <w:basedOn w:val="DefaultParagraphFont"/>
    <w:rsid w:val="008A0870"/>
    <w:rPr>
      <w:color w:val="800080"/>
      <w:u w:val="single"/>
    </w:rPr>
  </w:style>
  <w:style w:type="paragraph" w:customStyle="1" w:styleId="StyleBottomSinglesolidlineAuto15ptLinewidthFromte">
    <w:name w:val="Style Bottom: (Single solid line Auto  1.5 pt Line width From te..."/>
    <w:basedOn w:val="Normal"/>
    <w:next w:val="Normal"/>
    <w:rsid w:val="00E242C6"/>
    <w:pPr>
      <w:pBdr>
        <w:bottom w:val="single" w:sz="12" w:space="14" w:color="auto"/>
      </w:pBdr>
      <w:spacing w:line="480" w:lineRule="auto"/>
    </w:pPr>
  </w:style>
  <w:style w:type="table" w:styleId="TableGrid">
    <w:name w:val="Table Grid"/>
    <w:basedOn w:val="TableNormal"/>
    <w:rsid w:val="00F558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5F33E9"/>
    <w:rPr>
      <w:rFonts w:ascii="Tahoma" w:hAnsi="Tahoma" w:cs="Tahoma"/>
      <w:sz w:val="16"/>
      <w:szCs w:val="16"/>
    </w:rPr>
  </w:style>
  <w:style w:type="paragraph" w:styleId="ListParagraph">
    <w:name w:val="List Paragraph"/>
    <w:basedOn w:val="Normal"/>
    <w:uiPriority w:val="34"/>
    <w:qFormat/>
    <w:rsid w:val="00AF1736"/>
    <w:pPr>
      <w:ind w:left="720"/>
      <w:contextualSpacing/>
    </w:pPr>
  </w:style>
  <w:style w:type="paragraph" w:styleId="FootnoteText">
    <w:name w:val="footnote text"/>
    <w:basedOn w:val="Normal"/>
    <w:link w:val="FootnoteTextChar"/>
    <w:uiPriority w:val="99"/>
    <w:unhideWhenUsed/>
    <w:rsid w:val="00F57BBB"/>
    <w:rPr>
      <w:szCs w:val="24"/>
    </w:rPr>
  </w:style>
  <w:style w:type="character" w:customStyle="1" w:styleId="FootnoteTextChar">
    <w:name w:val="Footnote Text Char"/>
    <w:basedOn w:val="DefaultParagraphFont"/>
    <w:link w:val="FootnoteText"/>
    <w:uiPriority w:val="99"/>
    <w:rsid w:val="00F57BBB"/>
    <w:rPr>
      <w:sz w:val="24"/>
      <w:szCs w:val="24"/>
    </w:rPr>
  </w:style>
  <w:style w:type="character" w:styleId="FootnoteReference">
    <w:name w:val="footnote reference"/>
    <w:basedOn w:val="DefaultParagraphFont"/>
    <w:uiPriority w:val="99"/>
    <w:unhideWhenUsed/>
    <w:rsid w:val="00F57BBB"/>
    <w:rPr>
      <w:vertAlign w:val="superscript"/>
    </w:rPr>
  </w:style>
  <w:style w:type="character" w:styleId="CommentReference">
    <w:name w:val="annotation reference"/>
    <w:basedOn w:val="DefaultParagraphFont"/>
    <w:uiPriority w:val="99"/>
    <w:semiHidden/>
    <w:unhideWhenUsed/>
    <w:rsid w:val="00444AE3"/>
    <w:rPr>
      <w:sz w:val="18"/>
      <w:szCs w:val="18"/>
    </w:rPr>
  </w:style>
  <w:style w:type="paragraph" w:styleId="CommentText">
    <w:name w:val="annotation text"/>
    <w:basedOn w:val="Normal"/>
    <w:link w:val="CommentTextChar"/>
    <w:uiPriority w:val="99"/>
    <w:semiHidden/>
    <w:unhideWhenUsed/>
    <w:rsid w:val="00444AE3"/>
    <w:rPr>
      <w:szCs w:val="24"/>
    </w:rPr>
  </w:style>
  <w:style w:type="character" w:customStyle="1" w:styleId="CommentTextChar">
    <w:name w:val="Comment Text Char"/>
    <w:basedOn w:val="DefaultParagraphFont"/>
    <w:link w:val="CommentText"/>
    <w:uiPriority w:val="99"/>
    <w:semiHidden/>
    <w:rsid w:val="00444AE3"/>
    <w:rPr>
      <w:sz w:val="24"/>
      <w:szCs w:val="24"/>
    </w:rPr>
  </w:style>
  <w:style w:type="paragraph" w:styleId="CommentSubject">
    <w:name w:val="annotation subject"/>
    <w:basedOn w:val="CommentText"/>
    <w:next w:val="CommentText"/>
    <w:link w:val="CommentSubjectChar"/>
    <w:uiPriority w:val="99"/>
    <w:semiHidden/>
    <w:unhideWhenUsed/>
    <w:rsid w:val="00444AE3"/>
    <w:rPr>
      <w:b/>
      <w:bCs/>
      <w:sz w:val="20"/>
      <w:szCs w:val="20"/>
    </w:rPr>
  </w:style>
  <w:style w:type="character" w:customStyle="1" w:styleId="CommentSubjectChar">
    <w:name w:val="Comment Subject Char"/>
    <w:basedOn w:val="CommentTextChar"/>
    <w:link w:val="CommentSubject"/>
    <w:uiPriority w:val="99"/>
    <w:semiHidden/>
    <w:rsid w:val="00444AE3"/>
    <w:rPr>
      <w:b/>
      <w:bCs/>
      <w:sz w:val="24"/>
      <w:szCs w:val="24"/>
    </w:rPr>
  </w:style>
  <w:style w:type="paragraph" w:styleId="NormalWeb">
    <w:name w:val="Normal (Web)"/>
    <w:basedOn w:val="Normal"/>
    <w:uiPriority w:val="99"/>
    <w:semiHidden/>
    <w:unhideWhenUsed/>
    <w:rsid w:val="00F11EDB"/>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2024125">
      <w:bodyDiv w:val="1"/>
      <w:marLeft w:val="0"/>
      <w:marRight w:val="0"/>
      <w:marTop w:val="0"/>
      <w:marBottom w:val="0"/>
      <w:divBdr>
        <w:top w:val="none" w:sz="0" w:space="0" w:color="auto"/>
        <w:left w:val="none" w:sz="0" w:space="0" w:color="auto"/>
        <w:bottom w:val="none" w:sz="0" w:space="0" w:color="auto"/>
        <w:right w:val="none" w:sz="0" w:space="0" w:color="auto"/>
      </w:divBdr>
      <w:divsChild>
        <w:div w:id="1739328332">
          <w:marLeft w:val="0"/>
          <w:marRight w:val="0"/>
          <w:marTop w:val="0"/>
          <w:marBottom w:val="0"/>
          <w:divBdr>
            <w:top w:val="none" w:sz="0" w:space="0" w:color="auto"/>
            <w:left w:val="none" w:sz="0" w:space="0" w:color="auto"/>
            <w:bottom w:val="none" w:sz="0" w:space="0" w:color="auto"/>
            <w:right w:val="none" w:sz="0" w:space="0" w:color="auto"/>
          </w:divBdr>
          <w:divsChild>
            <w:div w:id="480005488">
              <w:marLeft w:val="0"/>
              <w:marRight w:val="0"/>
              <w:marTop w:val="0"/>
              <w:marBottom w:val="0"/>
              <w:divBdr>
                <w:top w:val="none" w:sz="0" w:space="0" w:color="auto"/>
                <w:left w:val="none" w:sz="0" w:space="0" w:color="auto"/>
                <w:bottom w:val="none" w:sz="0" w:space="0" w:color="auto"/>
                <w:right w:val="none" w:sz="0" w:space="0" w:color="auto"/>
              </w:divBdr>
              <w:divsChild>
                <w:div w:id="1018700466">
                  <w:marLeft w:val="0"/>
                  <w:marRight w:val="0"/>
                  <w:marTop w:val="0"/>
                  <w:marBottom w:val="0"/>
                  <w:divBdr>
                    <w:top w:val="none" w:sz="0" w:space="0" w:color="auto"/>
                    <w:left w:val="none" w:sz="0" w:space="0" w:color="auto"/>
                    <w:bottom w:val="none" w:sz="0" w:space="0" w:color="auto"/>
                    <w:right w:val="none" w:sz="0" w:space="0" w:color="auto"/>
                  </w:divBdr>
                  <w:divsChild>
                    <w:div w:id="1797407710">
                      <w:marLeft w:val="0"/>
                      <w:marRight w:val="0"/>
                      <w:marTop w:val="0"/>
                      <w:marBottom w:val="0"/>
                      <w:divBdr>
                        <w:top w:val="none" w:sz="0" w:space="0" w:color="auto"/>
                        <w:left w:val="none" w:sz="0" w:space="0" w:color="auto"/>
                        <w:bottom w:val="none" w:sz="0" w:space="0" w:color="auto"/>
                        <w:right w:val="none" w:sz="0" w:space="0" w:color="auto"/>
                      </w:divBdr>
                    </w:div>
                  </w:divsChild>
                </w:div>
                <w:div w:id="1520466930">
                  <w:marLeft w:val="0"/>
                  <w:marRight w:val="0"/>
                  <w:marTop w:val="0"/>
                  <w:marBottom w:val="0"/>
                  <w:divBdr>
                    <w:top w:val="none" w:sz="0" w:space="0" w:color="auto"/>
                    <w:left w:val="none" w:sz="0" w:space="0" w:color="auto"/>
                    <w:bottom w:val="none" w:sz="0" w:space="0" w:color="auto"/>
                    <w:right w:val="none" w:sz="0" w:space="0" w:color="auto"/>
                  </w:divBdr>
                  <w:divsChild>
                    <w:div w:id="255749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009469">
      <w:bodyDiv w:val="1"/>
      <w:marLeft w:val="0"/>
      <w:marRight w:val="0"/>
      <w:marTop w:val="0"/>
      <w:marBottom w:val="0"/>
      <w:divBdr>
        <w:top w:val="none" w:sz="0" w:space="0" w:color="auto"/>
        <w:left w:val="none" w:sz="0" w:space="0" w:color="auto"/>
        <w:bottom w:val="none" w:sz="0" w:space="0" w:color="auto"/>
        <w:right w:val="none" w:sz="0" w:space="0" w:color="auto"/>
      </w:divBdr>
      <w:divsChild>
        <w:div w:id="931859977">
          <w:marLeft w:val="0"/>
          <w:marRight w:val="0"/>
          <w:marTop w:val="0"/>
          <w:marBottom w:val="0"/>
          <w:divBdr>
            <w:top w:val="none" w:sz="0" w:space="0" w:color="auto"/>
            <w:left w:val="none" w:sz="0" w:space="0" w:color="auto"/>
            <w:bottom w:val="none" w:sz="0" w:space="0" w:color="auto"/>
            <w:right w:val="none" w:sz="0" w:space="0" w:color="auto"/>
          </w:divBdr>
          <w:divsChild>
            <w:div w:id="457800327">
              <w:marLeft w:val="0"/>
              <w:marRight w:val="0"/>
              <w:marTop w:val="0"/>
              <w:marBottom w:val="0"/>
              <w:divBdr>
                <w:top w:val="none" w:sz="0" w:space="0" w:color="auto"/>
                <w:left w:val="none" w:sz="0" w:space="0" w:color="auto"/>
                <w:bottom w:val="none" w:sz="0" w:space="0" w:color="auto"/>
                <w:right w:val="none" w:sz="0" w:space="0" w:color="auto"/>
              </w:divBdr>
              <w:divsChild>
                <w:div w:id="782765928">
                  <w:marLeft w:val="0"/>
                  <w:marRight w:val="0"/>
                  <w:marTop w:val="0"/>
                  <w:marBottom w:val="0"/>
                  <w:divBdr>
                    <w:top w:val="none" w:sz="0" w:space="0" w:color="auto"/>
                    <w:left w:val="none" w:sz="0" w:space="0" w:color="auto"/>
                    <w:bottom w:val="none" w:sz="0" w:space="0" w:color="auto"/>
                    <w:right w:val="none" w:sz="0" w:space="0" w:color="auto"/>
                  </w:divBdr>
                  <w:divsChild>
                    <w:div w:id="2117095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9655875">
      <w:bodyDiv w:val="1"/>
      <w:marLeft w:val="0"/>
      <w:marRight w:val="0"/>
      <w:marTop w:val="0"/>
      <w:marBottom w:val="0"/>
      <w:divBdr>
        <w:top w:val="none" w:sz="0" w:space="0" w:color="auto"/>
        <w:left w:val="none" w:sz="0" w:space="0" w:color="auto"/>
        <w:bottom w:val="none" w:sz="0" w:space="0" w:color="auto"/>
        <w:right w:val="none" w:sz="0" w:space="0" w:color="auto"/>
      </w:divBdr>
    </w:div>
    <w:div w:id="2005551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1.xml"/><Relationship Id="rId3" Type="http://schemas.microsoft.com/office/2007/relationships/stylesWithEffects" Target="stylesWithEffects.xml"/><Relationship Id="rId12" Type="http://schemas.microsoft.com/office/2011/relationships/commentsExtended" Target="commentsExtended.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customXml" Target="../customXml/item4.xml"/><Relationship Id="rId11" Type="http://schemas.microsoft.com/office/2011/relationships/people" Target="people.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BE2A0141768AF4E89439EBF38DDE370" ma:contentTypeVersion="104" ma:contentTypeDescription="" ma:contentTypeScope="" ma:versionID="6d70f018867bfb572373b4b7d16e321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Response</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2016-10-07T07:00:00+00:00</OpenedDate>
    <Date1 xmlns="dc463f71-b30c-4ab2-9473-d307f9d35888">2016-11-07T08:00:00+00:00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161123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91FABEE3-2855-4497-BF30-B4E72557297D}"/>
</file>

<file path=customXml/itemProps2.xml><?xml version="1.0" encoding="utf-8"?>
<ds:datastoreItem xmlns:ds="http://schemas.openxmlformats.org/officeDocument/2006/customXml" ds:itemID="{E3051DDC-996D-4F65-AAB3-4D7DF6035ED9}"/>
</file>

<file path=customXml/itemProps3.xml><?xml version="1.0" encoding="utf-8"?>
<ds:datastoreItem xmlns:ds="http://schemas.openxmlformats.org/officeDocument/2006/customXml" ds:itemID="{5C2A1A6D-61CC-499B-AE3F-04D2A85EC000}"/>
</file>

<file path=customXml/itemProps4.xml><?xml version="1.0" encoding="utf-8"?>
<ds:datastoreItem xmlns:ds="http://schemas.openxmlformats.org/officeDocument/2006/customXml" ds:itemID="{F0A56566-EA08-449D-B1CC-4E84FBD4822D}"/>
</file>

<file path=docProps/app.xml><?xml version="1.0" encoding="utf-8"?>
<Properties xmlns="http://schemas.openxmlformats.org/officeDocument/2006/extended-properties" xmlns:vt="http://schemas.openxmlformats.org/officeDocument/2006/docPropsVTypes">
  <Template>Normal.dotm</Template>
  <TotalTime>11</TotalTime>
  <Pages>17</Pages>
  <Words>3577</Words>
  <Characters>20395</Characters>
  <Application>Microsoft Macintosh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BEFORE THE PUBLIC UTILITY COMMISSION</vt:lpstr>
    </vt:vector>
  </TitlesOfParts>
  <Company>Davison Van Cleve</Company>
  <LinksUpToDate>false</LinksUpToDate>
  <CharactersWithSpaces>23925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PUBLIC UTILITY COMMISSION</dc:title>
  <dc:creator>Linda Vitale</dc:creator>
  <cp:lastModifiedBy>Irion Sanger</cp:lastModifiedBy>
  <cp:revision>6</cp:revision>
  <cp:lastPrinted>2015-03-17T16:00:00Z</cp:lastPrinted>
  <dcterms:created xsi:type="dcterms:W3CDTF">2016-11-07T04:34:00Z</dcterms:created>
  <dcterms:modified xsi:type="dcterms:W3CDTF">2016-11-07T05:07:00Z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0x0101006E56B4D1795A2E4DB2F0B01679ED314A00DBE2A0141768AF4E89439EBF38DDE370</vt:lpwstr>
  </property>
  <property fmtid="{D5CDD505-2E9C-101B-9397-08002B2CF9AE}" pid="3" name="_docset_NoMedatataSyncRequired">
    <vt:lpwstr>False</vt:lpwstr>
  </property>
</Properties>
</file>