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D" w:rsidRPr="00BA5FD4" w:rsidRDefault="0025158D" w:rsidP="0025158D">
      <w:pPr>
        <w:jc w:val="center"/>
        <w:rPr>
          <w:rFonts w:ascii="Times New Roman" w:hAnsi="Times New Roman"/>
        </w:rPr>
      </w:pPr>
      <w:r w:rsidRPr="00BA5FD4">
        <w:rPr>
          <w:rFonts w:ascii="Times New Roman" w:hAnsi="Times New Roman"/>
        </w:rPr>
        <w:t>BEFORE THE WASHINGTON STATE</w:t>
      </w:r>
    </w:p>
    <w:p w:rsidR="0025158D" w:rsidRPr="00BA5FD4" w:rsidRDefault="0025158D" w:rsidP="0025158D">
      <w:pPr>
        <w:jc w:val="center"/>
        <w:rPr>
          <w:rFonts w:ascii="Times New Roman" w:hAnsi="Times New Roman"/>
        </w:rPr>
      </w:pPr>
    </w:p>
    <w:p w:rsidR="0025158D" w:rsidRPr="00BA5FD4" w:rsidRDefault="0025158D" w:rsidP="0025158D">
      <w:pPr>
        <w:jc w:val="center"/>
        <w:rPr>
          <w:rFonts w:ascii="Times New Roman" w:hAnsi="Times New Roman"/>
        </w:rPr>
      </w:pPr>
      <w:r w:rsidRPr="00BA5FD4">
        <w:rPr>
          <w:rFonts w:ascii="Times New Roman" w:hAnsi="Times New Roman"/>
        </w:rPr>
        <w:t>UTILITIES AND TRANSPORTATION COMMISSION</w:t>
      </w:r>
    </w:p>
    <w:p w:rsidR="0025158D" w:rsidRPr="00BA5FD4" w:rsidRDefault="0025158D" w:rsidP="0025158D">
      <w:pPr>
        <w:rPr>
          <w:rFonts w:ascii="Times New Roman" w:hAnsi="Times New Roman"/>
        </w:rPr>
      </w:pPr>
    </w:p>
    <w:p w:rsidR="0025158D" w:rsidRPr="00BA5FD4" w:rsidRDefault="0025158D" w:rsidP="0025158D">
      <w:pPr>
        <w:rPr>
          <w:rFonts w:ascii="Times New Roman" w:hAnsi="Times New Roman"/>
        </w:rPr>
      </w:pP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WASHINGTON UTILITIES AND</w:t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  <w:r w:rsidRPr="00BA5FD4">
        <w:rPr>
          <w:rFonts w:ascii="Times New Roman" w:hAnsi="Times New Roman"/>
        </w:rPr>
        <w:tab/>
        <w:t>DOCKET NO. UE-</w:t>
      </w:r>
      <w:r w:rsidR="008E38E1">
        <w:rPr>
          <w:rFonts w:ascii="Times New Roman" w:hAnsi="Times New Roman"/>
        </w:rPr>
        <w:t>152253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TRANSPORTATION COMMISSION</w:t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Complainant,</w:t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  <w:r w:rsidRPr="00BA5FD4">
        <w:rPr>
          <w:rFonts w:ascii="Times New Roman" w:hAnsi="Times New Roman"/>
        </w:rPr>
        <w:tab/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  <w:r w:rsidRPr="00BA5FD4">
        <w:rPr>
          <w:rFonts w:ascii="Times New Roman" w:hAnsi="Times New Roman"/>
        </w:rPr>
        <w:tab/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v.</w:t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PACIFICORP d/b/a/ PACIFIC POWER &amp;</w:t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LIGHT COMPANY</w:t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Respondent.</w:t>
      </w:r>
      <w:r w:rsidRPr="00BA5FD4">
        <w:rPr>
          <w:rFonts w:ascii="Times New Roman" w:hAnsi="Times New Roman"/>
        </w:rPr>
        <w:tab/>
      </w:r>
      <w:r w:rsidRPr="00BA5FD4">
        <w:rPr>
          <w:rFonts w:ascii="Times New Roman" w:hAnsi="Times New Roman"/>
        </w:rPr>
        <w:tab/>
        <w:t>)</w:t>
      </w:r>
    </w:p>
    <w:p w:rsidR="0025158D" w:rsidRPr="00BA5FD4" w:rsidRDefault="0025158D" w:rsidP="0025158D">
      <w:pPr>
        <w:rPr>
          <w:rFonts w:ascii="Times New Roman" w:hAnsi="Times New Roman"/>
        </w:rPr>
      </w:pPr>
      <w:r w:rsidRPr="00BA5FD4">
        <w:rPr>
          <w:rFonts w:ascii="Times New Roman" w:hAnsi="Times New Roman"/>
        </w:rPr>
        <w:t>. . . . . . . . . . . . . . . . . . . . . . . . . . . . . . . . . . . . )</w:t>
      </w:r>
    </w:p>
    <w:p w:rsidR="0025158D" w:rsidRPr="00BA5FD4" w:rsidRDefault="0025158D" w:rsidP="0025158D">
      <w:pPr>
        <w:pStyle w:val="Title"/>
        <w:jc w:val="left"/>
        <w:rPr>
          <w:b w:val="0"/>
          <w:szCs w:val="26"/>
        </w:rPr>
      </w:pPr>
    </w:p>
    <w:p w:rsidR="0025158D" w:rsidRPr="00BA5FD4" w:rsidRDefault="0025158D" w:rsidP="0025158D">
      <w:pPr>
        <w:autoSpaceDE w:val="0"/>
        <w:autoSpaceDN w:val="0"/>
        <w:adjustRightInd w:val="0"/>
        <w:rPr>
          <w:rFonts w:ascii="Times New Roman" w:hAnsi="Times New Roman"/>
        </w:rPr>
      </w:pPr>
    </w:p>
    <w:p w:rsidR="0025158D" w:rsidRPr="00BA5FD4" w:rsidRDefault="0025158D" w:rsidP="0025158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25158D" w:rsidRPr="00BA5FD4" w:rsidRDefault="008E38E1" w:rsidP="0025158D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POST-HEARING </w:t>
      </w:r>
      <w:r w:rsidR="0025158D" w:rsidRPr="00BA5FD4">
        <w:rPr>
          <w:rFonts w:ascii="Times New Roman" w:hAnsi="Times New Roman"/>
          <w:bCs/>
        </w:rPr>
        <w:t>BRIEF OF</w:t>
      </w:r>
    </w:p>
    <w:p w:rsidR="0025158D" w:rsidRPr="00BA5FD4" w:rsidRDefault="0025158D" w:rsidP="0025158D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A5FD4">
        <w:rPr>
          <w:rFonts w:ascii="Times New Roman" w:hAnsi="Times New Roman"/>
          <w:bCs/>
        </w:rPr>
        <w:t>THE ENERGY PROJECT</w:t>
      </w:r>
    </w:p>
    <w:p w:rsidR="0025158D" w:rsidRPr="00BA5FD4" w:rsidRDefault="0025158D" w:rsidP="0025158D">
      <w:pPr>
        <w:autoSpaceDE w:val="0"/>
        <w:autoSpaceDN w:val="0"/>
        <w:adjustRightInd w:val="0"/>
        <w:ind w:right="-720"/>
        <w:rPr>
          <w:rFonts w:ascii="Times New Roman" w:hAnsi="Times New Roman"/>
          <w:bCs/>
        </w:rPr>
      </w:pPr>
    </w:p>
    <w:p w:rsidR="0025158D" w:rsidRPr="00BA5FD4" w:rsidRDefault="0025158D" w:rsidP="0025158D">
      <w:pPr>
        <w:rPr>
          <w:rFonts w:ascii="Times New Roman" w:hAnsi="Times New Roman"/>
          <w:bCs/>
        </w:rPr>
      </w:pPr>
      <w:r w:rsidRPr="00BA5FD4">
        <w:rPr>
          <w:rFonts w:ascii="Times New Roman" w:hAnsi="Times New Roman"/>
          <w:bCs/>
        </w:rPr>
        <w:br w:type="page"/>
      </w:r>
    </w:p>
    <w:p w:rsidR="00602E9C" w:rsidRPr="00A46008" w:rsidRDefault="00DE7D3F" w:rsidP="005F79C9">
      <w:pPr>
        <w:jc w:val="center"/>
        <w:rPr>
          <w:rFonts w:ascii="Times New Roman" w:hAnsi="Times New Roman" w:cs="Times New Roman"/>
          <w:b/>
        </w:rPr>
      </w:pPr>
      <w:r w:rsidRPr="00A46008">
        <w:rPr>
          <w:rFonts w:ascii="Times New Roman" w:hAnsi="Times New Roman" w:cs="Times New Roman"/>
          <w:b/>
        </w:rPr>
        <w:lastRenderedPageBreak/>
        <w:t>I.</w:t>
      </w:r>
    </w:p>
    <w:p w:rsidR="00DE7D3F" w:rsidRPr="00CC65B3" w:rsidRDefault="00DE7D3F" w:rsidP="005F79C9">
      <w:pPr>
        <w:jc w:val="center"/>
        <w:rPr>
          <w:rFonts w:ascii="Times New Roman" w:hAnsi="Times New Roman" w:cs="Times New Roman"/>
        </w:rPr>
      </w:pPr>
      <w:r w:rsidRPr="00A46008">
        <w:rPr>
          <w:rFonts w:ascii="Times New Roman" w:hAnsi="Times New Roman" w:cs="Times New Roman"/>
          <w:b/>
        </w:rPr>
        <w:t>INTRODUCTION</w:t>
      </w:r>
    </w:p>
    <w:p w:rsidR="00DE7D3F" w:rsidRPr="00CC65B3" w:rsidRDefault="00DE7D3F" w:rsidP="005F79C9">
      <w:pPr>
        <w:jc w:val="center"/>
        <w:rPr>
          <w:rFonts w:ascii="Times New Roman" w:hAnsi="Times New Roman" w:cs="Times New Roman"/>
        </w:rPr>
      </w:pPr>
    </w:p>
    <w:p w:rsidR="00DE7D3F" w:rsidRPr="00CC65B3" w:rsidRDefault="00DE7D3F" w:rsidP="00A04E99">
      <w:pPr>
        <w:spacing w:line="480" w:lineRule="auto"/>
        <w:rPr>
          <w:rFonts w:ascii="Times New Roman" w:hAnsi="Times New Roman" w:cs="Times New Roman"/>
        </w:rPr>
      </w:pPr>
      <w:r w:rsidRPr="00CC65B3">
        <w:rPr>
          <w:rFonts w:ascii="Times New Roman" w:hAnsi="Times New Roman" w:cs="Times New Roman"/>
        </w:rPr>
        <w:tab/>
      </w:r>
      <w:r w:rsidR="00DC7E36" w:rsidRPr="00CC65B3">
        <w:rPr>
          <w:rFonts w:ascii="Times New Roman" w:hAnsi="Times New Roman" w:cs="Times New Roman"/>
        </w:rPr>
        <w:t xml:space="preserve">For the sake of brevity and the fact that the Commission is undoubtedly fully </w:t>
      </w:r>
      <w:r w:rsidR="00A04E99" w:rsidRPr="00CC65B3">
        <w:rPr>
          <w:rFonts w:ascii="Times New Roman" w:hAnsi="Times New Roman" w:cs="Times New Roman"/>
        </w:rPr>
        <w:t xml:space="preserve">aware of the underlying facts of this case, the Energy Project will dispense with a full factual and procedural case summary focusing, instead, </w:t>
      </w:r>
      <w:r w:rsidR="006065D6" w:rsidRPr="00CC65B3">
        <w:rPr>
          <w:rFonts w:ascii="Times New Roman" w:hAnsi="Times New Roman" w:cs="Times New Roman"/>
        </w:rPr>
        <w:t xml:space="preserve">on those issues still unresolved and/or clarifying </w:t>
      </w:r>
      <w:r w:rsidR="00E512A4" w:rsidRPr="00CC65B3">
        <w:rPr>
          <w:rFonts w:ascii="Times New Roman" w:hAnsi="Times New Roman" w:cs="Times New Roman"/>
        </w:rPr>
        <w:t xml:space="preserve">issues that were resolved during the course of the </w:t>
      </w:r>
      <w:r w:rsidR="00D44E12" w:rsidRPr="00CC65B3">
        <w:rPr>
          <w:rFonts w:ascii="Times New Roman" w:hAnsi="Times New Roman" w:cs="Times New Roman"/>
        </w:rPr>
        <w:t xml:space="preserve">technical </w:t>
      </w:r>
      <w:r w:rsidR="00E512A4" w:rsidRPr="00CC65B3">
        <w:rPr>
          <w:rFonts w:ascii="Times New Roman" w:hAnsi="Times New Roman" w:cs="Times New Roman"/>
        </w:rPr>
        <w:t>hearing in this matter</w:t>
      </w:r>
      <w:r w:rsidR="00446382" w:rsidRPr="00CC65B3">
        <w:rPr>
          <w:rFonts w:ascii="Times New Roman" w:hAnsi="Times New Roman" w:cs="Times New Roman"/>
        </w:rPr>
        <w:t xml:space="preserve"> on May 2, 2016.</w:t>
      </w:r>
    </w:p>
    <w:p w:rsidR="00412563" w:rsidRPr="00CC65B3" w:rsidRDefault="00851F03" w:rsidP="00A04E99">
      <w:pPr>
        <w:spacing w:line="480" w:lineRule="auto"/>
        <w:rPr>
          <w:rFonts w:ascii="Times New Roman" w:hAnsi="Times New Roman" w:cs="Times New Roman"/>
        </w:rPr>
      </w:pPr>
      <w:r w:rsidRPr="00CC65B3">
        <w:rPr>
          <w:rFonts w:ascii="Times New Roman" w:hAnsi="Times New Roman" w:cs="Times New Roman"/>
        </w:rPr>
        <w:tab/>
        <w:t>In the days leadin</w:t>
      </w:r>
      <w:r w:rsidR="009330E0" w:rsidRPr="00CC65B3">
        <w:rPr>
          <w:rFonts w:ascii="Times New Roman" w:hAnsi="Times New Roman" w:cs="Times New Roman"/>
        </w:rPr>
        <w:t>g up to the technical hearing, T</w:t>
      </w:r>
      <w:r w:rsidRPr="00CC65B3">
        <w:rPr>
          <w:rFonts w:ascii="Times New Roman" w:hAnsi="Times New Roman" w:cs="Times New Roman"/>
        </w:rPr>
        <w:t>he Energy Project</w:t>
      </w:r>
      <w:r w:rsidR="009330E0" w:rsidRPr="00CC65B3">
        <w:rPr>
          <w:rFonts w:ascii="Times New Roman" w:hAnsi="Times New Roman" w:cs="Times New Roman"/>
        </w:rPr>
        <w:t xml:space="preserve"> (TEP)</w:t>
      </w:r>
      <w:r w:rsidRPr="00CC65B3">
        <w:rPr>
          <w:rFonts w:ascii="Times New Roman" w:hAnsi="Times New Roman" w:cs="Times New Roman"/>
        </w:rPr>
        <w:t xml:space="preserve"> approached </w:t>
      </w:r>
      <w:r w:rsidR="009330E0" w:rsidRPr="00CC65B3">
        <w:rPr>
          <w:rFonts w:ascii="Times New Roman" w:hAnsi="Times New Roman" w:cs="Times New Roman"/>
        </w:rPr>
        <w:t>Pacific Power and Light (</w:t>
      </w:r>
      <w:r w:rsidRPr="00CC65B3">
        <w:rPr>
          <w:rFonts w:ascii="Times New Roman" w:hAnsi="Times New Roman" w:cs="Times New Roman"/>
        </w:rPr>
        <w:t>PPL</w:t>
      </w:r>
      <w:r w:rsidR="009330E0" w:rsidRPr="00CC65B3">
        <w:rPr>
          <w:rFonts w:ascii="Times New Roman" w:hAnsi="Times New Roman" w:cs="Times New Roman"/>
        </w:rPr>
        <w:t>)</w:t>
      </w:r>
      <w:r w:rsidRPr="00CC65B3">
        <w:rPr>
          <w:rFonts w:ascii="Times New Roman" w:hAnsi="Times New Roman" w:cs="Times New Roman"/>
        </w:rPr>
        <w:t xml:space="preserve"> about the possibility of resolving certain issues between them. </w:t>
      </w:r>
      <w:r w:rsidR="00A46008">
        <w:rPr>
          <w:rFonts w:ascii="Times New Roman" w:hAnsi="Times New Roman" w:cs="Times New Roman"/>
        </w:rPr>
        <w:t>Shortly p</w:t>
      </w:r>
      <w:r w:rsidR="000602B5">
        <w:rPr>
          <w:rFonts w:ascii="Times New Roman" w:hAnsi="Times New Roman" w:cs="Times New Roman"/>
        </w:rPr>
        <w:t xml:space="preserve">rior </w:t>
      </w:r>
      <w:r w:rsidRPr="00CC65B3">
        <w:rPr>
          <w:rFonts w:ascii="Times New Roman" w:hAnsi="Times New Roman" w:cs="Times New Roman"/>
        </w:rPr>
        <w:t>to the commencement o</w:t>
      </w:r>
      <w:r w:rsidR="000602B5">
        <w:rPr>
          <w:rFonts w:ascii="Times New Roman" w:hAnsi="Times New Roman" w:cs="Times New Roman"/>
        </w:rPr>
        <w:t>f the hearing, PPL</w:t>
      </w:r>
      <w:r w:rsidRPr="00CC65B3">
        <w:rPr>
          <w:rFonts w:ascii="Times New Roman" w:hAnsi="Times New Roman" w:cs="Times New Roman"/>
        </w:rPr>
        <w:t xml:space="preserve"> and TEP were able to finalize their agreement</w:t>
      </w:r>
      <w:r w:rsidR="000602B5">
        <w:rPr>
          <w:rFonts w:ascii="Times New Roman" w:hAnsi="Times New Roman" w:cs="Times New Roman"/>
        </w:rPr>
        <w:t xml:space="preserve"> on </w:t>
      </w:r>
      <w:r w:rsidR="00A46008">
        <w:rPr>
          <w:rFonts w:ascii="Times New Roman" w:hAnsi="Times New Roman" w:cs="Times New Roman"/>
        </w:rPr>
        <w:t>several</w:t>
      </w:r>
      <w:r w:rsidR="000602B5">
        <w:rPr>
          <w:rFonts w:ascii="Times New Roman" w:hAnsi="Times New Roman" w:cs="Times New Roman"/>
        </w:rPr>
        <w:t xml:space="preserve"> issues</w:t>
      </w:r>
      <w:r w:rsidRPr="00CC65B3">
        <w:rPr>
          <w:rFonts w:ascii="Times New Roman" w:hAnsi="Times New Roman" w:cs="Times New Roman"/>
        </w:rPr>
        <w:t xml:space="preserve">.  Thus, the undersigned stated </w:t>
      </w:r>
      <w:r w:rsidR="00A46008">
        <w:rPr>
          <w:rFonts w:ascii="Times New Roman" w:hAnsi="Times New Roman" w:cs="Times New Roman"/>
        </w:rPr>
        <w:t>during the course of the hearing and on the record</w:t>
      </w:r>
      <w:r w:rsidRPr="00CC65B3">
        <w:rPr>
          <w:rFonts w:ascii="Times New Roman" w:hAnsi="Times New Roman" w:cs="Times New Roman"/>
        </w:rPr>
        <w:t xml:space="preserve"> that certain issues between TEP and PPL had been resolved.  The </w:t>
      </w:r>
      <w:r w:rsidR="00A46008">
        <w:rPr>
          <w:rFonts w:ascii="Times New Roman" w:hAnsi="Times New Roman" w:cs="Times New Roman"/>
        </w:rPr>
        <w:t>description and details of</w:t>
      </w:r>
      <w:r w:rsidRPr="00CC65B3">
        <w:rPr>
          <w:rFonts w:ascii="Times New Roman" w:hAnsi="Times New Roman" w:cs="Times New Roman"/>
        </w:rPr>
        <w:t xml:space="preserve"> th</w:t>
      </w:r>
      <w:r w:rsidR="00A46008">
        <w:rPr>
          <w:rFonts w:ascii="Times New Roman" w:hAnsi="Times New Roman" w:cs="Times New Roman"/>
        </w:rPr>
        <w:t>is partial</w:t>
      </w:r>
      <w:r w:rsidRPr="00CC65B3">
        <w:rPr>
          <w:rFonts w:ascii="Times New Roman" w:hAnsi="Times New Roman" w:cs="Times New Roman"/>
        </w:rPr>
        <w:t xml:space="preserve"> resolution was accomplished through TEP's cross-examination of Ms. Joelle Steward, </w:t>
      </w:r>
      <w:r w:rsidR="000602B5">
        <w:rPr>
          <w:rFonts w:ascii="Times New Roman" w:hAnsi="Times New Roman" w:cs="Times New Roman"/>
        </w:rPr>
        <w:t>as well as PPL’s responses to Bench Request Number 10</w:t>
      </w:r>
      <w:r w:rsidR="00706E6F">
        <w:rPr>
          <w:rFonts w:ascii="Times New Roman" w:hAnsi="Times New Roman" w:cs="Times New Roman"/>
        </w:rPr>
        <w:t xml:space="preserve">, </w:t>
      </w:r>
      <w:r w:rsidR="00A46008">
        <w:rPr>
          <w:rFonts w:ascii="Times New Roman" w:hAnsi="Times New Roman" w:cs="Times New Roman"/>
        </w:rPr>
        <w:t>which were submitted and responded to shortly after the hearing concluded</w:t>
      </w:r>
      <w:r w:rsidR="000602B5">
        <w:rPr>
          <w:rFonts w:ascii="Times New Roman" w:hAnsi="Times New Roman" w:cs="Times New Roman"/>
        </w:rPr>
        <w:t xml:space="preserve">. </w:t>
      </w:r>
    </w:p>
    <w:p w:rsidR="00446382" w:rsidRPr="00A46008" w:rsidRDefault="00145D52" w:rsidP="0044638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46008">
        <w:rPr>
          <w:rFonts w:ascii="Times New Roman" w:hAnsi="Times New Roman" w:cs="Times New Roman"/>
          <w:b/>
        </w:rPr>
        <w:t>II.</w:t>
      </w:r>
    </w:p>
    <w:p w:rsidR="00145D52" w:rsidRPr="00CC65B3" w:rsidRDefault="00145D52" w:rsidP="00446382">
      <w:pPr>
        <w:spacing w:line="480" w:lineRule="auto"/>
        <w:jc w:val="center"/>
        <w:rPr>
          <w:rFonts w:ascii="Times New Roman" w:hAnsi="Times New Roman" w:cs="Times New Roman"/>
        </w:rPr>
      </w:pPr>
      <w:r w:rsidRPr="00A46008">
        <w:rPr>
          <w:rFonts w:ascii="Times New Roman" w:hAnsi="Times New Roman" w:cs="Times New Roman"/>
          <w:b/>
        </w:rPr>
        <w:t>ISSUES RESOLVED AND STILL PENDING</w:t>
      </w:r>
    </w:p>
    <w:p w:rsidR="00DE33EA" w:rsidRPr="00A46008" w:rsidRDefault="00145D52" w:rsidP="00145D52">
      <w:pPr>
        <w:spacing w:line="480" w:lineRule="auto"/>
        <w:rPr>
          <w:rFonts w:ascii="Times New Roman" w:hAnsi="Times New Roman" w:cs="Times New Roman"/>
          <w:b/>
        </w:rPr>
      </w:pPr>
      <w:r w:rsidRPr="00CC65B3">
        <w:rPr>
          <w:rFonts w:ascii="Times New Roman" w:hAnsi="Times New Roman" w:cs="Times New Roman"/>
        </w:rPr>
        <w:tab/>
      </w:r>
      <w:r w:rsidR="00851F03" w:rsidRPr="00A46008">
        <w:rPr>
          <w:rFonts w:ascii="Times New Roman" w:hAnsi="Times New Roman" w:cs="Times New Roman"/>
          <w:b/>
        </w:rPr>
        <w:t>A.</w:t>
      </w:r>
      <w:r w:rsidR="00851F03" w:rsidRPr="00A46008">
        <w:rPr>
          <w:rFonts w:ascii="Times New Roman" w:hAnsi="Times New Roman" w:cs="Times New Roman"/>
          <w:b/>
        </w:rPr>
        <w:tab/>
      </w:r>
      <w:r w:rsidR="00B5482B">
        <w:rPr>
          <w:rFonts w:ascii="Times New Roman" w:hAnsi="Times New Roman" w:cs="Times New Roman"/>
          <w:b/>
        </w:rPr>
        <w:t>ISSUES RESOLVED</w:t>
      </w:r>
      <w:r w:rsidR="00851F03" w:rsidRPr="00A46008">
        <w:rPr>
          <w:rFonts w:ascii="Times New Roman" w:hAnsi="Times New Roman" w:cs="Times New Roman"/>
          <w:b/>
        </w:rPr>
        <w:t>:</w:t>
      </w:r>
    </w:p>
    <w:p w:rsidR="00842298" w:rsidRPr="00CC65B3" w:rsidRDefault="009330E0" w:rsidP="00CC65B3">
      <w:pPr>
        <w:spacing w:line="480" w:lineRule="auto"/>
        <w:ind w:firstLine="720"/>
        <w:rPr>
          <w:rFonts w:ascii="Times New Roman" w:hAnsi="Times New Roman" w:cs="Times New Roman"/>
        </w:rPr>
      </w:pPr>
      <w:r w:rsidRPr="00A46008">
        <w:rPr>
          <w:rFonts w:ascii="Times New Roman" w:hAnsi="Times New Roman" w:cs="Times New Roman"/>
          <w:b/>
          <w:u w:val="single"/>
        </w:rPr>
        <w:t xml:space="preserve">Issue </w:t>
      </w:r>
      <w:r w:rsidR="00A46008">
        <w:rPr>
          <w:rFonts w:ascii="Times New Roman" w:hAnsi="Times New Roman" w:cs="Times New Roman"/>
          <w:b/>
          <w:u w:val="single"/>
        </w:rPr>
        <w:t>1</w:t>
      </w:r>
      <w:r w:rsidRPr="00A46008">
        <w:rPr>
          <w:rFonts w:ascii="Times New Roman" w:hAnsi="Times New Roman" w:cs="Times New Roman"/>
          <w:b/>
        </w:rPr>
        <w:t>:</w:t>
      </w:r>
      <w:r w:rsidR="00A46008">
        <w:rPr>
          <w:rFonts w:ascii="Times New Roman" w:hAnsi="Times New Roman" w:cs="Times New Roman"/>
          <w:b/>
        </w:rPr>
        <w:t xml:space="preserve"> </w:t>
      </w:r>
      <w:r w:rsidRPr="00CC65B3">
        <w:rPr>
          <w:rFonts w:ascii="Times New Roman" w:hAnsi="Times New Roman" w:cs="Times New Roman"/>
        </w:rPr>
        <w:t xml:space="preserve"> </w:t>
      </w:r>
      <w:r w:rsidR="006E1C86">
        <w:rPr>
          <w:rFonts w:ascii="Times New Roman" w:hAnsi="Times New Roman" w:cs="Times New Roman"/>
        </w:rPr>
        <w:t xml:space="preserve">Submission of a </w:t>
      </w:r>
      <w:r w:rsidR="00CC65B3">
        <w:rPr>
          <w:rFonts w:ascii="Times New Roman" w:hAnsi="Times New Roman" w:cs="Times New Roman"/>
        </w:rPr>
        <w:t xml:space="preserve">proposal to the </w:t>
      </w:r>
      <w:r w:rsidR="00A46008">
        <w:rPr>
          <w:rFonts w:ascii="Times New Roman" w:hAnsi="Times New Roman" w:cs="Times New Roman"/>
        </w:rPr>
        <w:t>W</w:t>
      </w:r>
      <w:r w:rsidR="00CC65B3">
        <w:rPr>
          <w:rFonts w:ascii="Times New Roman" w:hAnsi="Times New Roman" w:cs="Times New Roman"/>
        </w:rPr>
        <w:t xml:space="preserve">UTC Commission for </w:t>
      </w:r>
      <w:r w:rsidR="00A46008">
        <w:rPr>
          <w:rFonts w:ascii="Times New Roman" w:hAnsi="Times New Roman" w:cs="Times New Roman"/>
        </w:rPr>
        <w:t xml:space="preserve">TEP’s </w:t>
      </w:r>
      <w:r w:rsidR="00A66009" w:rsidRPr="00CC65B3">
        <w:rPr>
          <w:rFonts w:ascii="Times New Roman" w:hAnsi="Times New Roman" w:cs="Times New Roman"/>
        </w:rPr>
        <w:t>low-income bill assistance program (</w:t>
      </w:r>
      <w:r w:rsidR="00CC65B3">
        <w:rPr>
          <w:rFonts w:ascii="Times New Roman" w:hAnsi="Times New Roman" w:cs="Times New Roman"/>
        </w:rPr>
        <w:t>LIBA</w:t>
      </w:r>
      <w:r w:rsidR="00A66009">
        <w:rPr>
          <w:rFonts w:ascii="Times New Roman" w:hAnsi="Times New Roman" w:cs="Times New Roman"/>
        </w:rPr>
        <w:t>)</w:t>
      </w:r>
      <w:r w:rsidR="00CC65B3">
        <w:rPr>
          <w:rFonts w:ascii="Times New Roman" w:hAnsi="Times New Roman" w:cs="Times New Roman"/>
        </w:rPr>
        <w:t xml:space="preserve"> and </w:t>
      </w:r>
      <w:r w:rsidR="00A66009" w:rsidRPr="00CC65B3">
        <w:rPr>
          <w:rFonts w:ascii="Times New Roman" w:hAnsi="Times New Roman" w:cs="Times New Roman"/>
        </w:rPr>
        <w:t xml:space="preserve">low-income weatherization </w:t>
      </w:r>
      <w:r w:rsidR="00A66009">
        <w:rPr>
          <w:rFonts w:ascii="Times New Roman" w:hAnsi="Times New Roman" w:cs="Times New Roman"/>
        </w:rPr>
        <w:t>(</w:t>
      </w:r>
      <w:proofErr w:type="spellStart"/>
      <w:r w:rsidR="00CC65B3">
        <w:rPr>
          <w:rFonts w:ascii="Times New Roman" w:hAnsi="Times New Roman" w:cs="Times New Roman"/>
        </w:rPr>
        <w:t>LiWx</w:t>
      </w:r>
      <w:proofErr w:type="spellEnd"/>
      <w:r w:rsidR="00A66009">
        <w:rPr>
          <w:rFonts w:ascii="Times New Roman" w:hAnsi="Times New Roman" w:cs="Times New Roman"/>
        </w:rPr>
        <w:t>)</w:t>
      </w:r>
      <w:r w:rsidR="00CC65B3">
        <w:rPr>
          <w:rFonts w:ascii="Times New Roman" w:hAnsi="Times New Roman" w:cs="Times New Roman"/>
        </w:rPr>
        <w:t xml:space="preserve"> funding a</w:t>
      </w:r>
      <w:r w:rsidR="009B57ED">
        <w:rPr>
          <w:rFonts w:ascii="Times New Roman" w:hAnsi="Times New Roman" w:cs="Times New Roman"/>
        </w:rPr>
        <w:t>s well as</w:t>
      </w:r>
      <w:r w:rsidR="00CC65B3">
        <w:rPr>
          <w:rFonts w:ascii="Times New Roman" w:hAnsi="Times New Roman" w:cs="Times New Roman"/>
        </w:rPr>
        <w:t xml:space="preserve"> program modifications.</w:t>
      </w:r>
    </w:p>
    <w:p w:rsidR="00DE33EA" w:rsidRPr="00CC65B3" w:rsidRDefault="009B57ED" w:rsidP="008422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testimony filed</w:t>
      </w:r>
      <w:r w:rsidR="00A46008">
        <w:rPr>
          <w:rFonts w:ascii="Times New Roman" w:hAnsi="Times New Roman" w:cs="Times New Roman"/>
        </w:rPr>
        <w:t xml:space="preserve"> prior to hearing, </w:t>
      </w:r>
      <w:r w:rsidR="00842298" w:rsidRPr="00CC65B3">
        <w:rPr>
          <w:rFonts w:ascii="Times New Roman" w:hAnsi="Times New Roman" w:cs="Times New Roman"/>
        </w:rPr>
        <w:t xml:space="preserve">TEP </w:t>
      </w:r>
      <w:r w:rsidR="00A66009">
        <w:rPr>
          <w:rFonts w:ascii="Times New Roman" w:hAnsi="Times New Roman" w:cs="Times New Roman"/>
        </w:rPr>
        <w:t>testified that</w:t>
      </w:r>
      <w:r w:rsidR="00842298" w:rsidRPr="00CC65B3">
        <w:rPr>
          <w:rFonts w:ascii="Times New Roman" w:hAnsi="Times New Roman" w:cs="Times New Roman"/>
        </w:rPr>
        <w:t>,</w:t>
      </w:r>
      <w:r w:rsidR="00DE33EA" w:rsidRPr="00CC65B3">
        <w:rPr>
          <w:rFonts w:ascii="Times New Roman" w:hAnsi="Times New Roman" w:cs="Times New Roman"/>
        </w:rPr>
        <w:t xml:space="preserve"> </w:t>
      </w:r>
      <w:r w:rsidR="00842298" w:rsidRPr="00CC65B3">
        <w:rPr>
          <w:rFonts w:ascii="Times New Roman" w:hAnsi="Times New Roman" w:cs="Times New Roman"/>
        </w:rPr>
        <w:t xml:space="preserve">in collaboration with all stakeholders, </w:t>
      </w:r>
      <w:r w:rsidR="00DE33EA" w:rsidRPr="00CC65B3">
        <w:rPr>
          <w:rFonts w:ascii="Times New Roman" w:hAnsi="Times New Roman" w:cs="Times New Roman"/>
        </w:rPr>
        <w:t>Pacific Power</w:t>
      </w:r>
      <w:r w:rsidR="00A66009">
        <w:rPr>
          <w:rFonts w:ascii="Times New Roman" w:hAnsi="Times New Roman" w:cs="Times New Roman"/>
        </w:rPr>
        <w:t xml:space="preserve"> should </w:t>
      </w:r>
      <w:r w:rsidR="00DE33EA" w:rsidRPr="00CC65B3">
        <w:rPr>
          <w:rFonts w:ascii="Times New Roman" w:hAnsi="Times New Roman" w:cs="Times New Roman"/>
        </w:rPr>
        <w:t xml:space="preserve">be required to submit a comprehensive plan addressing both funding and </w:t>
      </w:r>
      <w:r w:rsidR="00842298" w:rsidRPr="00CC65B3">
        <w:rPr>
          <w:rFonts w:ascii="Times New Roman" w:hAnsi="Times New Roman" w:cs="Times New Roman"/>
        </w:rPr>
        <w:t>program design</w:t>
      </w:r>
      <w:r w:rsidR="00DE33EA" w:rsidRPr="00CC65B3">
        <w:rPr>
          <w:rFonts w:ascii="Times New Roman" w:hAnsi="Times New Roman" w:cs="Times New Roman"/>
        </w:rPr>
        <w:t xml:space="preserve"> for </w:t>
      </w:r>
      <w:r w:rsidR="00014FD5">
        <w:rPr>
          <w:rFonts w:ascii="Times New Roman" w:hAnsi="Times New Roman" w:cs="Times New Roman"/>
        </w:rPr>
        <w:t xml:space="preserve">the LIBA and </w:t>
      </w:r>
      <w:proofErr w:type="spellStart"/>
      <w:r w:rsidR="00A66009">
        <w:rPr>
          <w:rFonts w:ascii="Times New Roman" w:hAnsi="Times New Roman" w:cs="Times New Roman"/>
        </w:rPr>
        <w:t>LiWx</w:t>
      </w:r>
      <w:proofErr w:type="spellEnd"/>
      <w:r w:rsidR="00DE33EA" w:rsidRPr="00CC65B3">
        <w:rPr>
          <w:rFonts w:ascii="Times New Roman" w:hAnsi="Times New Roman" w:cs="Times New Roman"/>
        </w:rPr>
        <w:t xml:space="preserve"> program</w:t>
      </w:r>
      <w:r w:rsidR="00014FD5">
        <w:rPr>
          <w:rFonts w:ascii="Times New Roman" w:hAnsi="Times New Roman" w:cs="Times New Roman"/>
        </w:rPr>
        <w:t>s</w:t>
      </w:r>
      <w:r w:rsidR="00DE33EA" w:rsidRPr="00CC65B3">
        <w:rPr>
          <w:rFonts w:ascii="Times New Roman" w:hAnsi="Times New Roman" w:cs="Times New Roman"/>
        </w:rPr>
        <w:t xml:space="preserve"> by January 31, 2017. (Collins, </w:t>
      </w:r>
      <w:proofErr w:type="spellStart"/>
      <w:r w:rsidR="00DE33EA" w:rsidRPr="00CC65B3">
        <w:rPr>
          <w:rFonts w:ascii="Times New Roman" w:hAnsi="Times New Roman" w:cs="Times New Roman"/>
        </w:rPr>
        <w:t>Exh</w:t>
      </w:r>
      <w:proofErr w:type="spellEnd"/>
      <w:r w:rsidR="00DE33EA" w:rsidRPr="00CC65B3">
        <w:rPr>
          <w:rFonts w:ascii="Times New Roman" w:hAnsi="Times New Roman" w:cs="Times New Roman"/>
        </w:rPr>
        <w:t xml:space="preserve"> No. SMC-1T at 8:12-19).</w:t>
      </w:r>
    </w:p>
    <w:p w:rsidR="00A66009" w:rsidRPr="009B57ED" w:rsidRDefault="00842298" w:rsidP="00A66009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CC65B3">
        <w:rPr>
          <w:rFonts w:ascii="Times New Roman" w:hAnsi="Times New Roman" w:cs="Times New Roman"/>
        </w:rPr>
        <w:lastRenderedPageBreak/>
        <w:t>As indicated</w:t>
      </w:r>
      <w:r w:rsidR="009361DB" w:rsidRPr="00CC65B3">
        <w:rPr>
          <w:rFonts w:ascii="Times New Roman" w:hAnsi="Times New Roman" w:cs="Times New Roman"/>
        </w:rPr>
        <w:t xml:space="preserve"> </w:t>
      </w:r>
      <w:r w:rsidR="009B57ED">
        <w:rPr>
          <w:rFonts w:ascii="Times New Roman" w:hAnsi="Times New Roman" w:cs="Times New Roman"/>
        </w:rPr>
        <w:t xml:space="preserve">during the cross-examination of Ms. Steward during the hearing as well as </w:t>
      </w:r>
      <w:r w:rsidR="009361DB" w:rsidRPr="00CC65B3">
        <w:rPr>
          <w:rFonts w:ascii="Times New Roman" w:hAnsi="Times New Roman" w:cs="Times New Roman"/>
        </w:rPr>
        <w:t>in the response of PPL to Bench Request Number 10, PPL commits</w:t>
      </w:r>
      <w:r w:rsidR="008C19B6" w:rsidRPr="00CC65B3">
        <w:rPr>
          <w:rFonts w:ascii="Times New Roman" w:hAnsi="Times New Roman" w:cs="Times New Roman"/>
        </w:rPr>
        <w:t xml:space="preserve"> to holding separate collaborative sessions with stakeholders including WUTC Staff, Public Counsel, </w:t>
      </w:r>
      <w:r w:rsidR="00DE33EA" w:rsidRPr="00CC65B3">
        <w:rPr>
          <w:rFonts w:ascii="Times New Roman" w:hAnsi="Times New Roman" w:cs="Times New Roman"/>
        </w:rPr>
        <w:t xml:space="preserve">TEP, </w:t>
      </w:r>
      <w:r w:rsidR="008C19B6" w:rsidRPr="00CC65B3">
        <w:rPr>
          <w:rFonts w:ascii="Times New Roman" w:hAnsi="Times New Roman" w:cs="Times New Roman"/>
        </w:rPr>
        <w:t xml:space="preserve">the Northwest Energy Coalition and other </w:t>
      </w:r>
      <w:r w:rsidR="009B57ED">
        <w:rPr>
          <w:rFonts w:ascii="Times New Roman" w:hAnsi="Times New Roman" w:cs="Times New Roman"/>
        </w:rPr>
        <w:t>interested stakeholders</w:t>
      </w:r>
      <w:r w:rsidR="008C19B6" w:rsidRPr="00CC65B3">
        <w:rPr>
          <w:rFonts w:ascii="Times New Roman" w:hAnsi="Times New Roman" w:cs="Times New Roman"/>
        </w:rPr>
        <w:t xml:space="preserve"> to identify changes, modifications, and proposals for both the </w:t>
      </w:r>
      <w:proofErr w:type="spellStart"/>
      <w:r w:rsidR="00DE33EA" w:rsidRPr="00CC65B3">
        <w:rPr>
          <w:rFonts w:ascii="Times New Roman" w:hAnsi="Times New Roman" w:cs="Times New Roman"/>
        </w:rPr>
        <w:t>LiWx</w:t>
      </w:r>
      <w:proofErr w:type="spellEnd"/>
      <w:r w:rsidR="00DE33EA" w:rsidRPr="00CC65B3">
        <w:rPr>
          <w:rFonts w:ascii="Times New Roman" w:hAnsi="Times New Roman" w:cs="Times New Roman"/>
        </w:rPr>
        <w:t xml:space="preserve"> and the LIBA </w:t>
      </w:r>
      <w:r w:rsidR="008C19B6" w:rsidRPr="00CC65B3">
        <w:rPr>
          <w:rFonts w:ascii="Times New Roman" w:hAnsi="Times New Roman" w:cs="Times New Roman"/>
        </w:rPr>
        <w:t xml:space="preserve">program.  The Company and stakeholders will complete a formal proposal addressing </w:t>
      </w:r>
      <w:r w:rsidR="00706E6F">
        <w:rPr>
          <w:rFonts w:ascii="Times New Roman" w:hAnsi="Times New Roman" w:cs="Times New Roman"/>
        </w:rPr>
        <w:t xml:space="preserve">funding </w:t>
      </w:r>
      <w:r w:rsidR="008C19B6" w:rsidRPr="00CC65B3">
        <w:rPr>
          <w:rFonts w:ascii="Times New Roman" w:hAnsi="Times New Roman" w:cs="Times New Roman"/>
        </w:rPr>
        <w:t xml:space="preserve">plans </w:t>
      </w:r>
      <w:r w:rsidR="00706E6F">
        <w:rPr>
          <w:rFonts w:ascii="Times New Roman" w:hAnsi="Times New Roman" w:cs="Times New Roman"/>
        </w:rPr>
        <w:t>and/</w:t>
      </w:r>
      <w:r w:rsidR="008C19B6" w:rsidRPr="00CC65B3">
        <w:rPr>
          <w:rFonts w:ascii="Times New Roman" w:hAnsi="Times New Roman" w:cs="Times New Roman"/>
        </w:rPr>
        <w:t>or mod</w:t>
      </w:r>
      <w:r w:rsidR="00DE33EA" w:rsidRPr="00CC65B3">
        <w:rPr>
          <w:rFonts w:ascii="Times New Roman" w:hAnsi="Times New Roman" w:cs="Times New Roman"/>
        </w:rPr>
        <w:t xml:space="preserve">ifications to both LIBA and </w:t>
      </w:r>
      <w:proofErr w:type="spellStart"/>
      <w:r w:rsidR="00DE33EA" w:rsidRPr="00CC65B3">
        <w:rPr>
          <w:rFonts w:ascii="Times New Roman" w:hAnsi="Times New Roman" w:cs="Times New Roman"/>
        </w:rPr>
        <w:t>LiWx</w:t>
      </w:r>
      <w:proofErr w:type="spellEnd"/>
      <w:r w:rsidR="00DE33EA" w:rsidRPr="00CC65B3">
        <w:rPr>
          <w:rFonts w:ascii="Times New Roman" w:hAnsi="Times New Roman" w:cs="Times New Roman"/>
        </w:rPr>
        <w:t xml:space="preserve"> p</w:t>
      </w:r>
      <w:r w:rsidR="008C19B6" w:rsidRPr="00CC65B3">
        <w:rPr>
          <w:rFonts w:ascii="Times New Roman" w:hAnsi="Times New Roman" w:cs="Times New Roman"/>
        </w:rPr>
        <w:t>rogram by the end of the first quarter of 2017</w:t>
      </w:r>
      <w:r w:rsidR="00706E6F">
        <w:rPr>
          <w:rFonts w:ascii="Times New Roman" w:hAnsi="Times New Roman" w:cs="Times New Roman"/>
        </w:rPr>
        <w:t>,</w:t>
      </w:r>
      <w:r w:rsidR="008C19B6" w:rsidRPr="00CC65B3">
        <w:rPr>
          <w:rFonts w:ascii="Times New Roman" w:hAnsi="Times New Roman" w:cs="Times New Roman"/>
        </w:rPr>
        <w:t xml:space="preserve"> such that changes can be filed with the Commission prior to the expiration of the current LIBA program, </w:t>
      </w:r>
      <w:r w:rsidR="00A66009">
        <w:rPr>
          <w:rFonts w:ascii="Times New Roman" w:hAnsi="Times New Roman" w:cs="Times New Roman"/>
        </w:rPr>
        <w:t xml:space="preserve">which expires on April 30, 2017. </w:t>
      </w:r>
    </w:p>
    <w:p w:rsidR="00A66009" w:rsidRPr="00A66009" w:rsidRDefault="00A66009" w:rsidP="00A66009">
      <w:pPr>
        <w:spacing w:line="480" w:lineRule="auto"/>
        <w:ind w:firstLine="720"/>
        <w:rPr>
          <w:rFonts w:ascii="Times New Roman" w:hAnsi="Times New Roman" w:cs="Times New Roman"/>
        </w:rPr>
      </w:pPr>
      <w:r w:rsidRPr="007A4E88">
        <w:rPr>
          <w:rFonts w:ascii="Times New Roman" w:hAnsi="Times New Roman" w:cs="Times New Roman"/>
          <w:b/>
          <w:u w:val="single"/>
        </w:rPr>
        <w:t xml:space="preserve">Issue </w:t>
      </w:r>
      <w:r w:rsidR="00B5482B">
        <w:rPr>
          <w:rFonts w:ascii="Times New Roman" w:hAnsi="Times New Roman" w:cs="Times New Roman"/>
          <w:b/>
          <w:u w:val="single"/>
        </w:rPr>
        <w:t>2</w:t>
      </w:r>
      <w:r w:rsidRPr="007A4E88">
        <w:rPr>
          <w:rFonts w:ascii="Times New Roman" w:hAnsi="Times New Roman" w:cs="Times New Roman"/>
          <w:b/>
        </w:rPr>
        <w:t>:</w:t>
      </w:r>
      <w:r w:rsidRPr="00A66009">
        <w:rPr>
          <w:rFonts w:ascii="Times New Roman" w:hAnsi="Times New Roman" w:cs="Times New Roman"/>
        </w:rPr>
        <w:t xml:space="preserve"> </w:t>
      </w:r>
      <w:r w:rsidR="007A4E88">
        <w:rPr>
          <w:rFonts w:ascii="Times New Roman" w:hAnsi="Times New Roman" w:cs="Times New Roman"/>
        </w:rPr>
        <w:t xml:space="preserve">  </w:t>
      </w:r>
      <w:r w:rsidRPr="00A66009">
        <w:rPr>
          <w:rFonts w:ascii="Times New Roman" w:hAnsi="Times New Roman" w:cs="Times New Roman"/>
        </w:rPr>
        <w:t>Professional facilitation for the low-income stakeholder collaborative.</w:t>
      </w:r>
    </w:p>
    <w:p w:rsidR="00A66009" w:rsidRPr="00A66009" w:rsidRDefault="00A66009" w:rsidP="00C975B3">
      <w:pPr>
        <w:spacing w:line="480" w:lineRule="auto"/>
        <w:ind w:firstLine="720"/>
        <w:rPr>
          <w:rFonts w:ascii="Times New Roman" w:hAnsi="Times New Roman" w:cs="Times New Roman"/>
        </w:rPr>
      </w:pPr>
      <w:r w:rsidRPr="00A66009">
        <w:rPr>
          <w:rFonts w:ascii="Times New Roman" w:hAnsi="Times New Roman" w:cs="Times New Roman"/>
        </w:rPr>
        <w:t xml:space="preserve">In TEP’s </w:t>
      </w:r>
      <w:r w:rsidR="007A4E88">
        <w:rPr>
          <w:rFonts w:ascii="Times New Roman" w:hAnsi="Times New Roman" w:cs="Times New Roman"/>
        </w:rPr>
        <w:t xml:space="preserve">pre-hearing </w:t>
      </w:r>
      <w:r w:rsidRPr="00A66009">
        <w:rPr>
          <w:rFonts w:ascii="Times New Roman" w:hAnsi="Times New Roman" w:cs="Times New Roman"/>
        </w:rPr>
        <w:t xml:space="preserve">testimony, </w:t>
      </w:r>
      <w:r w:rsidR="007A4E88">
        <w:rPr>
          <w:rFonts w:ascii="Times New Roman" w:hAnsi="Times New Roman" w:cs="Times New Roman"/>
        </w:rPr>
        <w:t xml:space="preserve">Mr. </w:t>
      </w:r>
      <w:r w:rsidRPr="00A66009">
        <w:rPr>
          <w:rFonts w:ascii="Times New Roman" w:hAnsi="Times New Roman" w:cs="Times New Roman"/>
        </w:rPr>
        <w:t>Sha</w:t>
      </w:r>
      <w:r w:rsidR="00E11422">
        <w:rPr>
          <w:rFonts w:ascii="Times New Roman" w:hAnsi="Times New Roman" w:cs="Times New Roman"/>
        </w:rPr>
        <w:t>w</w:t>
      </w:r>
      <w:r w:rsidRPr="00A66009">
        <w:rPr>
          <w:rFonts w:ascii="Times New Roman" w:hAnsi="Times New Roman" w:cs="Times New Roman"/>
        </w:rPr>
        <w:t xml:space="preserve">n Collins recommended that PPL be required to hire a professional facilitator to lead </w:t>
      </w:r>
      <w:r w:rsidR="007A4E88">
        <w:rPr>
          <w:rFonts w:ascii="Times New Roman" w:hAnsi="Times New Roman" w:cs="Times New Roman"/>
        </w:rPr>
        <w:t>a</w:t>
      </w:r>
      <w:r w:rsidRPr="00A66009">
        <w:rPr>
          <w:rFonts w:ascii="Times New Roman" w:hAnsi="Times New Roman" w:cs="Times New Roman"/>
        </w:rPr>
        <w:t xml:space="preserve"> low-income collaborative. (Collins, </w:t>
      </w:r>
      <w:proofErr w:type="spellStart"/>
      <w:r w:rsidRPr="00A66009">
        <w:rPr>
          <w:rFonts w:ascii="Times New Roman" w:hAnsi="Times New Roman" w:cs="Times New Roman"/>
        </w:rPr>
        <w:t>Exhb</w:t>
      </w:r>
      <w:proofErr w:type="spellEnd"/>
      <w:r w:rsidRPr="00A66009">
        <w:rPr>
          <w:rFonts w:ascii="Times New Roman" w:hAnsi="Times New Roman" w:cs="Times New Roman"/>
        </w:rPr>
        <w:t>. No. SMC-1T at 8:21-22).</w:t>
      </w:r>
    </w:p>
    <w:p w:rsidR="006E1C86" w:rsidRDefault="00A66009" w:rsidP="006E1C86">
      <w:pPr>
        <w:spacing w:line="480" w:lineRule="auto"/>
        <w:ind w:firstLine="720"/>
        <w:rPr>
          <w:rFonts w:ascii="Times New Roman" w:hAnsi="Times New Roman" w:cs="Times New Roman"/>
        </w:rPr>
      </w:pPr>
      <w:r w:rsidRPr="00A66009">
        <w:rPr>
          <w:rFonts w:ascii="Times New Roman" w:hAnsi="Times New Roman" w:cs="Times New Roman"/>
        </w:rPr>
        <w:t>After additional consideration and discussion with PPL staff, TEP agreed that to date, all parties slated to participate in the low-income stakeholder collaborative have had a positive working relationship. Considering this, TEP agrees that the cost of a professional facilitator is unnecessary</w:t>
      </w:r>
      <w:r w:rsidR="007A4E88">
        <w:rPr>
          <w:rFonts w:ascii="Times New Roman" w:hAnsi="Times New Roman" w:cs="Times New Roman"/>
        </w:rPr>
        <w:t xml:space="preserve"> at this point in time</w:t>
      </w:r>
      <w:r w:rsidRPr="00A66009">
        <w:rPr>
          <w:rFonts w:ascii="Times New Roman" w:hAnsi="Times New Roman" w:cs="Times New Roman"/>
        </w:rPr>
        <w:t>.  Furt</w:t>
      </w:r>
      <w:r w:rsidR="00C975B3">
        <w:rPr>
          <w:rFonts w:ascii="Times New Roman" w:hAnsi="Times New Roman" w:cs="Times New Roman"/>
        </w:rPr>
        <w:t xml:space="preserve">hermore, PPL staff and TEP </w:t>
      </w:r>
      <w:r w:rsidRPr="00A66009">
        <w:rPr>
          <w:rFonts w:ascii="Times New Roman" w:hAnsi="Times New Roman" w:cs="Times New Roman"/>
        </w:rPr>
        <w:t xml:space="preserve">agree that if any disputes arise in the stakeholder collaborative </w:t>
      </w:r>
      <w:r w:rsidR="007A4E88">
        <w:rPr>
          <w:rFonts w:ascii="Times New Roman" w:hAnsi="Times New Roman" w:cs="Times New Roman"/>
        </w:rPr>
        <w:t xml:space="preserve">process, </w:t>
      </w:r>
      <w:r w:rsidRPr="00A66009">
        <w:rPr>
          <w:rFonts w:ascii="Times New Roman" w:hAnsi="Times New Roman" w:cs="Times New Roman"/>
        </w:rPr>
        <w:t>parties may seek to use the Commission's exis</w:t>
      </w:r>
      <w:r w:rsidR="006E1C86">
        <w:rPr>
          <w:rFonts w:ascii="Times New Roman" w:hAnsi="Times New Roman" w:cs="Times New Roman"/>
        </w:rPr>
        <w:t xml:space="preserve">ting dispute resolution process. </w:t>
      </w:r>
    </w:p>
    <w:p w:rsidR="006E1C86" w:rsidRDefault="006E1C86" w:rsidP="006E1C86">
      <w:pPr>
        <w:spacing w:line="480" w:lineRule="auto"/>
        <w:ind w:firstLine="720"/>
        <w:rPr>
          <w:rFonts w:ascii="Times New Roman" w:hAnsi="Times New Roman" w:cs="Times New Roman"/>
        </w:rPr>
      </w:pPr>
      <w:r w:rsidRPr="007A4E88">
        <w:rPr>
          <w:rFonts w:ascii="Times New Roman" w:hAnsi="Times New Roman" w:cs="Times New Roman"/>
          <w:b/>
          <w:u w:val="single"/>
        </w:rPr>
        <w:t xml:space="preserve">Issue </w:t>
      </w:r>
      <w:r w:rsidR="00B5482B">
        <w:rPr>
          <w:rFonts w:ascii="Times New Roman" w:hAnsi="Times New Roman" w:cs="Times New Roman"/>
          <w:b/>
          <w:u w:val="single"/>
        </w:rPr>
        <w:t>3</w:t>
      </w:r>
      <w:r w:rsidRPr="007A4E88">
        <w:rPr>
          <w:rFonts w:ascii="Times New Roman" w:hAnsi="Times New Roman" w:cs="Times New Roman"/>
          <w:b/>
        </w:rPr>
        <w:t>:</w:t>
      </w:r>
      <w:r w:rsidRPr="006E1C86">
        <w:rPr>
          <w:rFonts w:ascii="Times New Roman" w:hAnsi="Times New Roman" w:cs="Times New Roman"/>
        </w:rPr>
        <w:t xml:space="preserve"> </w:t>
      </w:r>
      <w:r w:rsidR="007A4E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 comprehensive </w:t>
      </w:r>
      <w:r w:rsidRPr="006E1C86">
        <w:rPr>
          <w:rFonts w:ascii="Times New Roman" w:hAnsi="Times New Roman" w:cs="Times New Roman"/>
        </w:rPr>
        <w:t xml:space="preserve">study of </w:t>
      </w:r>
      <w:r w:rsidR="007A4E88">
        <w:rPr>
          <w:rFonts w:ascii="Times New Roman" w:hAnsi="Times New Roman" w:cs="Times New Roman"/>
        </w:rPr>
        <w:t>PPL’s</w:t>
      </w:r>
      <w:r w:rsidRPr="006E1C86">
        <w:rPr>
          <w:rFonts w:ascii="Times New Roman" w:hAnsi="Times New Roman" w:cs="Times New Roman"/>
        </w:rPr>
        <w:t xml:space="preserve"> eligible low-income customer population</w:t>
      </w:r>
      <w:r>
        <w:rPr>
          <w:rFonts w:ascii="Times New Roman" w:hAnsi="Times New Roman" w:cs="Times New Roman"/>
        </w:rPr>
        <w:t>.</w:t>
      </w:r>
    </w:p>
    <w:p w:rsidR="006E1C86" w:rsidRPr="006E1C86" w:rsidRDefault="006E1C86" w:rsidP="006E1C86">
      <w:pPr>
        <w:spacing w:line="480" w:lineRule="auto"/>
        <w:ind w:firstLine="720"/>
        <w:rPr>
          <w:rFonts w:ascii="Times New Roman" w:hAnsi="Times New Roman" w:cs="Times New Roman"/>
        </w:rPr>
      </w:pPr>
      <w:r w:rsidRPr="006E1C86">
        <w:rPr>
          <w:rFonts w:ascii="Times New Roman" w:hAnsi="Times New Roman" w:cs="Times New Roman"/>
        </w:rPr>
        <w:t>TEP’s</w:t>
      </w:r>
      <w:r>
        <w:rPr>
          <w:rFonts w:ascii="Times New Roman" w:hAnsi="Times New Roman" w:cs="Times New Roman"/>
        </w:rPr>
        <w:t xml:space="preserve"> </w:t>
      </w:r>
      <w:r w:rsidR="007A4E88">
        <w:rPr>
          <w:rFonts w:ascii="Times New Roman" w:hAnsi="Times New Roman" w:cs="Times New Roman"/>
        </w:rPr>
        <w:t xml:space="preserve">pre-hearing </w:t>
      </w:r>
      <w:r>
        <w:rPr>
          <w:rFonts w:ascii="Times New Roman" w:hAnsi="Times New Roman" w:cs="Times New Roman"/>
        </w:rPr>
        <w:t>testimony included a recommendation</w:t>
      </w:r>
      <w:r w:rsidRPr="006E1C86">
        <w:rPr>
          <w:rFonts w:ascii="Times New Roman" w:hAnsi="Times New Roman" w:cs="Times New Roman"/>
        </w:rPr>
        <w:t xml:space="preserve"> that PPL be required to finance and fully </w:t>
      </w:r>
      <w:r>
        <w:rPr>
          <w:rFonts w:ascii="Times New Roman" w:hAnsi="Times New Roman" w:cs="Times New Roman"/>
        </w:rPr>
        <w:t>participate</w:t>
      </w:r>
      <w:r w:rsidRPr="006E1C86">
        <w:rPr>
          <w:rFonts w:ascii="Times New Roman" w:hAnsi="Times New Roman" w:cs="Times New Roman"/>
        </w:rPr>
        <w:t xml:space="preserve"> in a study of its eligible low-income customer population </w:t>
      </w:r>
      <w:r>
        <w:rPr>
          <w:rFonts w:ascii="Times New Roman" w:hAnsi="Times New Roman" w:cs="Times New Roman"/>
        </w:rPr>
        <w:t xml:space="preserve">and </w:t>
      </w:r>
      <w:r w:rsidRPr="006E1C86">
        <w:rPr>
          <w:rFonts w:ascii="Times New Roman" w:hAnsi="Times New Roman" w:cs="Times New Roman"/>
        </w:rPr>
        <w:t xml:space="preserve">to procure the </w:t>
      </w:r>
      <w:r w:rsidRPr="006E1C86">
        <w:rPr>
          <w:rFonts w:ascii="Times New Roman" w:hAnsi="Times New Roman" w:cs="Times New Roman"/>
        </w:rPr>
        <w:lastRenderedPageBreak/>
        <w:t xml:space="preserve">data necessary to satisfy the Commission's order in its last </w:t>
      </w:r>
      <w:r>
        <w:rPr>
          <w:rFonts w:ascii="Times New Roman" w:hAnsi="Times New Roman" w:cs="Times New Roman"/>
        </w:rPr>
        <w:t>general rate case</w:t>
      </w:r>
      <w:r w:rsidRPr="006E1C86">
        <w:rPr>
          <w:rFonts w:ascii="Times New Roman" w:hAnsi="Times New Roman" w:cs="Times New Roman"/>
        </w:rPr>
        <w:t xml:space="preserve">. (Collins, </w:t>
      </w:r>
      <w:proofErr w:type="spellStart"/>
      <w:r w:rsidRPr="006E1C86">
        <w:rPr>
          <w:rFonts w:ascii="Times New Roman" w:hAnsi="Times New Roman" w:cs="Times New Roman"/>
        </w:rPr>
        <w:t>Exh</w:t>
      </w:r>
      <w:proofErr w:type="spellEnd"/>
      <w:r w:rsidRPr="006E1C86">
        <w:rPr>
          <w:rFonts w:ascii="Times New Roman" w:hAnsi="Times New Roman" w:cs="Times New Roman"/>
        </w:rPr>
        <w:t>. No. SMC-1T at 10:15-22).</w:t>
      </w:r>
    </w:p>
    <w:p w:rsidR="0042336D" w:rsidRPr="00B5482B" w:rsidRDefault="006E1C86" w:rsidP="0042336D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6E1C86">
        <w:rPr>
          <w:rFonts w:ascii="Times New Roman" w:hAnsi="Times New Roman" w:cs="Times New Roman"/>
        </w:rPr>
        <w:t xml:space="preserve">As </w:t>
      </w:r>
      <w:r w:rsidR="00E11422">
        <w:rPr>
          <w:rFonts w:ascii="Times New Roman" w:hAnsi="Times New Roman" w:cs="Times New Roman"/>
        </w:rPr>
        <w:t>indicated in their response to Bench Request 10, PPL</w:t>
      </w:r>
      <w:r w:rsidRPr="006E1C86">
        <w:rPr>
          <w:rFonts w:ascii="Times New Roman" w:hAnsi="Times New Roman" w:cs="Times New Roman"/>
        </w:rPr>
        <w:t xml:space="preserve"> commits to working with stakeholders to </w:t>
      </w:r>
      <w:r w:rsidR="00E11422">
        <w:rPr>
          <w:rFonts w:ascii="Times New Roman" w:hAnsi="Times New Roman" w:cs="Times New Roman"/>
        </w:rPr>
        <w:t xml:space="preserve">collect the data necessary to gain a comprehensive understanding of the size of the low-income population in their service territory, the energy burden of low-income households, and other characteristics associated with their electricity usage. </w:t>
      </w:r>
      <w:r w:rsidRPr="006E1C86">
        <w:rPr>
          <w:rFonts w:ascii="Times New Roman" w:hAnsi="Times New Roman" w:cs="Times New Roman"/>
        </w:rPr>
        <w:t xml:space="preserve">  </w:t>
      </w:r>
      <w:r w:rsidR="00E11422">
        <w:rPr>
          <w:rFonts w:ascii="Times New Roman" w:hAnsi="Times New Roman" w:cs="Times New Roman"/>
        </w:rPr>
        <w:t xml:space="preserve">This data collection process may </w:t>
      </w:r>
      <w:r w:rsidR="00D514B6">
        <w:rPr>
          <w:rFonts w:ascii="Times New Roman" w:hAnsi="Times New Roman" w:cs="Times New Roman"/>
        </w:rPr>
        <w:t>utilize</w:t>
      </w:r>
      <w:r w:rsidR="00E11422">
        <w:rPr>
          <w:rFonts w:ascii="Times New Roman" w:hAnsi="Times New Roman" w:cs="Times New Roman"/>
        </w:rPr>
        <w:t xml:space="preserve"> resources within PPL </w:t>
      </w:r>
      <w:r w:rsidR="00D514B6">
        <w:rPr>
          <w:rFonts w:ascii="Times New Roman" w:hAnsi="Times New Roman" w:cs="Times New Roman"/>
        </w:rPr>
        <w:t>and/</w:t>
      </w:r>
      <w:r w:rsidR="00E11422">
        <w:rPr>
          <w:rFonts w:ascii="Times New Roman" w:hAnsi="Times New Roman" w:cs="Times New Roman"/>
        </w:rPr>
        <w:t xml:space="preserve">or </w:t>
      </w:r>
      <w:r w:rsidR="00D514B6">
        <w:rPr>
          <w:rFonts w:ascii="Times New Roman" w:hAnsi="Times New Roman" w:cs="Times New Roman"/>
        </w:rPr>
        <w:t xml:space="preserve">require </w:t>
      </w:r>
      <w:r w:rsidR="00E11422">
        <w:rPr>
          <w:rFonts w:ascii="Times New Roman" w:hAnsi="Times New Roman" w:cs="Times New Roman"/>
        </w:rPr>
        <w:t>engaging th</w:t>
      </w:r>
      <w:r w:rsidR="0042336D">
        <w:rPr>
          <w:rFonts w:ascii="Times New Roman" w:hAnsi="Times New Roman" w:cs="Times New Roman"/>
        </w:rPr>
        <w:t xml:space="preserve">ird </w:t>
      </w:r>
      <w:r w:rsidR="00D514B6">
        <w:rPr>
          <w:rFonts w:ascii="Times New Roman" w:hAnsi="Times New Roman" w:cs="Times New Roman"/>
        </w:rPr>
        <w:t xml:space="preserve">party consultants. </w:t>
      </w:r>
    </w:p>
    <w:p w:rsidR="0042336D" w:rsidRPr="0042336D" w:rsidRDefault="0042336D" w:rsidP="0042336D">
      <w:pPr>
        <w:spacing w:line="480" w:lineRule="auto"/>
        <w:ind w:firstLine="720"/>
        <w:rPr>
          <w:rFonts w:ascii="Times New Roman" w:hAnsi="Times New Roman" w:cs="Times New Roman"/>
        </w:rPr>
      </w:pPr>
      <w:r w:rsidRPr="00B5482B">
        <w:rPr>
          <w:rFonts w:ascii="Times New Roman" w:hAnsi="Times New Roman" w:cs="Times New Roman"/>
          <w:b/>
        </w:rPr>
        <w:t>B.</w:t>
      </w:r>
      <w:r w:rsidRPr="00B5482B">
        <w:rPr>
          <w:rFonts w:ascii="Times New Roman" w:hAnsi="Times New Roman" w:cs="Times New Roman"/>
          <w:b/>
        </w:rPr>
        <w:tab/>
      </w:r>
      <w:r w:rsidR="00B5482B">
        <w:rPr>
          <w:rFonts w:ascii="Times New Roman" w:hAnsi="Times New Roman" w:cs="Times New Roman"/>
          <w:b/>
        </w:rPr>
        <w:t>ISSUES NOT RESOLVED</w:t>
      </w:r>
      <w:r w:rsidRPr="0042336D">
        <w:rPr>
          <w:rFonts w:ascii="Times New Roman" w:hAnsi="Times New Roman" w:cs="Times New Roman"/>
        </w:rPr>
        <w:t>:</w:t>
      </w:r>
    </w:p>
    <w:p w:rsidR="00867813" w:rsidRDefault="0042336D" w:rsidP="00867813">
      <w:pPr>
        <w:spacing w:line="480" w:lineRule="auto"/>
        <w:ind w:firstLine="720"/>
        <w:rPr>
          <w:rFonts w:ascii="Times New Roman" w:hAnsi="Times New Roman" w:cs="Times New Roman"/>
        </w:rPr>
      </w:pPr>
      <w:r w:rsidRPr="00B5482B">
        <w:rPr>
          <w:rFonts w:ascii="Times New Roman" w:hAnsi="Times New Roman" w:cs="Times New Roman"/>
          <w:b/>
          <w:u w:val="single"/>
        </w:rPr>
        <w:t xml:space="preserve">Issue </w:t>
      </w:r>
      <w:r w:rsidR="00B5482B" w:rsidRPr="00B5482B">
        <w:rPr>
          <w:rFonts w:ascii="Times New Roman" w:hAnsi="Times New Roman" w:cs="Times New Roman"/>
          <w:b/>
          <w:u w:val="single"/>
        </w:rPr>
        <w:t>1</w:t>
      </w:r>
      <w:r w:rsidR="00867813">
        <w:rPr>
          <w:rFonts w:ascii="Times New Roman" w:hAnsi="Times New Roman" w:cs="Times New Roman"/>
        </w:rPr>
        <w:t xml:space="preserve">: </w:t>
      </w:r>
      <w:r w:rsidR="00B5482B">
        <w:rPr>
          <w:rFonts w:ascii="Times New Roman" w:hAnsi="Times New Roman" w:cs="Times New Roman"/>
        </w:rPr>
        <w:t xml:space="preserve"> </w:t>
      </w:r>
      <w:r w:rsidR="00867813">
        <w:rPr>
          <w:rFonts w:ascii="Times New Roman" w:hAnsi="Times New Roman" w:cs="Times New Roman"/>
        </w:rPr>
        <w:t>I</w:t>
      </w:r>
      <w:r w:rsidR="00867813" w:rsidRPr="0042336D">
        <w:rPr>
          <w:rFonts w:ascii="Times New Roman" w:hAnsi="Times New Roman" w:cs="Times New Roman"/>
        </w:rPr>
        <w:t xml:space="preserve">ncrease LIBA </w:t>
      </w:r>
      <w:r w:rsidR="00867813">
        <w:rPr>
          <w:rFonts w:ascii="Times New Roman" w:hAnsi="Times New Roman" w:cs="Times New Roman"/>
        </w:rPr>
        <w:t>funding</w:t>
      </w:r>
      <w:r w:rsidR="00867813" w:rsidRPr="0042336D">
        <w:rPr>
          <w:rFonts w:ascii="Times New Roman" w:hAnsi="Times New Roman" w:cs="Times New Roman"/>
        </w:rPr>
        <w:t xml:space="preserve"> proportionately with any annual increases in residential bills as a result of decoupling</w:t>
      </w:r>
      <w:r w:rsidR="00867813">
        <w:rPr>
          <w:rFonts w:ascii="Times New Roman" w:hAnsi="Times New Roman" w:cs="Times New Roman"/>
        </w:rPr>
        <w:t>.</w:t>
      </w:r>
    </w:p>
    <w:p w:rsidR="00B5482B" w:rsidRPr="00B5482B" w:rsidRDefault="000602B5" w:rsidP="00D514B6">
      <w:pPr>
        <w:spacing w:line="48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 indicated in testimony, TEP</w:t>
      </w:r>
      <w:r w:rsidR="0042336D" w:rsidRPr="00423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recommends that PPL </w:t>
      </w:r>
      <w:r w:rsidR="0042336D" w:rsidRPr="0042336D">
        <w:rPr>
          <w:rFonts w:ascii="Times New Roman" w:hAnsi="Times New Roman" w:cs="Times New Roman"/>
        </w:rPr>
        <w:t>be required to increase</w:t>
      </w:r>
      <w:r>
        <w:rPr>
          <w:rFonts w:ascii="Times New Roman" w:hAnsi="Times New Roman" w:cs="Times New Roman"/>
        </w:rPr>
        <w:t xml:space="preserve"> funding for</w:t>
      </w:r>
      <w:r w:rsidR="0042336D" w:rsidRPr="0042336D">
        <w:rPr>
          <w:rFonts w:ascii="Times New Roman" w:hAnsi="Times New Roman" w:cs="Times New Roman"/>
        </w:rPr>
        <w:t xml:space="preserve"> LIBA</w:t>
      </w:r>
      <w:r>
        <w:rPr>
          <w:rFonts w:ascii="Times New Roman" w:hAnsi="Times New Roman" w:cs="Times New Roman"/>
        </w:rPr>
        <w:t xml:space="preserve"> proportionate to any</w:t>
      </w:r>
      <w:r w:rsidR="0042336D" w:rsidRPr="0042336D">
        <w:rPr>
          <w:rFonts w:ascii="Times New Roman" w:hAnsi="Times New Roman" w:cs="Times New Roman"/>
        </w:rPr>
        <w:t xml:space="preserve"> annual increases in residential bills as a result of decoupling surcharges. (Collins, </w:t>
      </w:r>
      <w:proofErr w:type="spellStart"/>
      <w:r w:rsidR="0042336D" w:rsidRPr="0042336D">
        <w:rPr>
          <w:rFonts w:ascii="Times New Roman" w:hAnsi="Times New Roman" w:cs="Times New Roman"/>
        </w:rPr>
        <w:t>Exh</w:t>
      </w:r>
      <w:proofErr w:type="spellEnd"/>
      <w:r w:rsidR="0042336D" w:rsidRPr="0042336D">
        <w:rPr>
          <w:rFonts w:ascii="Times New Roman" w:hAnsi="Times New Roman" w:cs="Times New Roman"/>
        </w:rPr>
        <w:t>. No. SMC-3T at 7: 8-10).</w:t>
      </w:r>
      <w:r>
        <w:rPr>
          <w:rFonts w:ascii="Times New Roman" w:hAnsi="Times New Roman" w:cs="Times New Roman"/>
          <w:b/>
        </w:rPr>
        <w:t xml:space="preserve"> </w:t>
      </w:r>
      <w:r w:rsidR="0042336D" w:rsidRPr="0042336D">
        <w:rPr>
          <w:rFonts w:ascii="Times New Roman" w:hAnsi="Times New Roman" w:cs="Times New Roman"/>
        </w:rPr>
        <w:t>The Energy Project is not opposed to the decoupling mechanism</w:t>
      </w:r>
      <w:r>
        <w:rPr>
          <w:rFonts w:ascii="Times New Roman" w:hAnsi="Times New Roman" w:cs="Times New Roman"/>
        </w:rPr>
        <w:t xml:space="preserve"> in this case</w:t>
      </w:r>
      <w:r w:rsidR="00B5482B">
        <w:rPr>
          <w:rFonts w:ascii="Times New Roman" w:hAnsi="Times New Roman" w:cs="Times New Roman"/>
        </w:rPr>
        <w:t>.  TEP maintains, however,</w:t>
      </w:r>
      <w:r w:rsidR="0042336D" w:rsidRPr="0042336D">
        <w:rPr>
          <w:rFonts w:ascii="Times New Roman" w:hAnsi="Times New Roman" w:cs="Times New Roman"/>
        </w:rPr>
        <w:t xml:space="preserve"> that there should be an increase to LIBA funding proportionate to any residential bill increases resulting from the decoupling mechanism</w:t>
      </w:r>
      <w:r>
        <w:rPr>
          <w:rFonts w:ascii="Times New Roman" w:hAnsi="Times New Roman" w:cs="Times New Roman"/>
        </w:rPr>
        <w:t xml:space="preserve">. </w:t>
      </w:r>
    </w:p>
    <w:p w:rsidR="000602B5" w:rsidRPr="00350A4D" w:rsidRDefault="000602B5" w:rsidP="000602B5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  <w:r w:rsidRPr="00350A4D">
        <w:rPr>
          <w:rFonts w:ascii="Times New Roman" w:hAnsi="Times New Roman" w:cs="Times New Roman"/>
          <w:b/>
        </w:rPr>
        <w:t>III.</w:t>
      </w:r>
    </w:p>
    <w:p w:rsidR="00C527A2" w:rsidRDefault="000602B5" w:rsidP="00C527A2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 w:rsidRPr="00350A4D">
        <w:rPr>
          <w:rFonts w:ascii="Times New Roman" w:hAnsi="Times New Roman" w:cs="Times New Roman"/>
          <w:b/>
        </w:rPr>
        <w:t>SUMMAR</w:t>
      </w:r>
      <w:r w:rsidR="00C527A2" w:rsidRPr="00350A4D">
        <w:rPr>
          <w:rFonts w:ascii="Times New Roman" w:hAnsi="Times New Roman" w:cs="Times New Roman"/>
          <w:b/>
        </w:rPr>
        <w:t>Y</w:t>
      </w:r>
    </w:p>
    <w:p w:rsidR="00117F87" w:rsidRPr="00117F87" w:rsidRDefault="00C527A2" w:rsidP="00D514B6">
      <w:pPr>
        <w:spacing w:line="48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</w:t>
      </w:r>
      <w:r w:rsidR="000A307E">
        <w:rPr>
          <w:rFonts w:ascii="Times New Roman" w:hAnsi="Times New Roman" w:cs="Times New Roman"/>
        </w:rPr>
        <w:t xml:space="preserve"> Energy Project</w:t>
      </w:r>
      <w:r>
        <w:rPr>
          <w:rFonts w:ascii="Times New Roman" w:hAnsi="Times New Roman" w:cs="Times New Roman"/>
        </w:rPr>
        <w:t xml:space="preserve"> believes that </w:t>
      </w:r>
      <w:r w:rsidR="000A307E">
        <w:rPr>
          <w:rFonts w:ascii="Times New Roman" w:hAnsi="Times New Roman" w:cs="Times New Roman"/>
        </w:rPr>
        <w:t>it is imperative to have</w:t>
      </w:r>
      <w:r>
        <w:rPr>
          <w:rFonts w:ascii="Times New Roman" w:hAnsi="Times New Roman" w:cs="Times New Roman"/>
        </w:rPr>
        <w:t xml:space="preserve"> a solid understanding of the total number of low-income households in PPL’s service territory combined with more specific data pertaining to their respective energy burdens and other electricity usage characteristics </w:t>
      </w:r>
      <w:r w:rsidR="000A307E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 xml:space="preserve">that the </w:t>
      </w:r>
      <w:r w:rsidR="000A307E">
        <w:rPr>
          <w:rFonts w:ascii="Times New Roman" w:hAnsi="Times New Roman" w:cs="Times New Roman"/>
        </w:rPr>
        <w:t xml:space="preserve">LIBA and </w:t>
      </w:r>
      <w:proofErr w:type="spellStart"/>
      <w:r w:rsidR="000A307E">
        <w:rPr>
          <w:rFonts w:ascii="Times New Roman" w:hAnsi="Times New Roman" w:cs="Times New Roman"/>
        </w:rPr>
        <w:t>LiWx</w:t>
      </w:r>
      <w:proofErr w:type="spellEnd"/>
      <w:r w:rsidR="000A307E">
        <w:rPr>
          <w:rFonts w:ascii="Times New Roman" w:hAnsi="Times New Roman" w:cs="Times New Roman"/>
        </w:rPr>
        <w:t xml:space="preserve"> programs can be tailored to better meet the needs these at risk and vulnerable households. Through stakeholder involvement and engagement from PPL staff, we fully expect </w:t>
      </w:r>
      <w:r w:rsidR="000A307E">
        <w:rPr>
          <w:rFonts w:ascii="Times New Roman" w:hAnsi="Times New Roman" w:cs="Times New Roman"/>
        </w:rPr>
        <w:lastRenderedPageBreak/>
        <w:t>to have a well</w:t>
      </w:r>
      <w:r w:rsidR="00117F87">
        <w:rPr>
          <w:rFonts w:ascii="Times New Roman" w:hAnsi="Times New Roman" w:cs="Times New Roman"/>
        </w:rPr>
        <w:t>-</w:t>
      </w:r>
      <w:r w:rsidR="000A307E">
        <w:rPr>
          <w:rFonts w:ascii="Times New Roman" w:hAnsi="Times New Roman" w:cs="Times New Roman"/>
        </w:rPr>
        <w:t>developed proposal to sub</w:t>
      </w:r>
      <w:r w:rsidR="000911FF">
        <w:rPr>
          <w:rFonts w:ascii="Times New Roman" w:hAnsi="Times New Roman" w:cs="Times New Roman"/>
        </w:rPr>
        <w:t>mit to the Commission that incorporates</w:t>
      </w:r>
      <w:r w:rsidR="000A307E">
        <w:rPr>
          <w:rFonts w:ascii="Times New Roman" w:hAnsi="Times New Roman" w:cs="Times New Roman"/>
        </w:rPr>
        <w:t xml:space="preserve"> a forward looking budget, as well as meaningful changes to LIBA and </w:t>
      </w:r>
      <w:proofErr w:type="spellStart"/>
      <w:r w:rsidR="000A307E">
        <w:rPr>
          <w:rFonts w:ascii="Times New Roman" w:hAnsi="Times New Roman" w:cs="Times New Roman"/>
        </w:rPr>
        <w:t>LiWx</w:t>
      </w:r>
      <w:proofErr w:type="spellEnd"/>
      <w:r w:rsidR="000A307E">
        <w:rPr>
          <w:rFonts w:ascii="Times New Roman" w:hAnsi="Times New Roman" w:cs="Times New Roman"/>
        </w:rPr>
        <w:t xml:space="preserve"> that will allow for more impactful benefits </w:t>
      </w:r>
      <w:r w:rsidR="00AB7D05">
        <w:rPr>
          <w:rFonts w:ascii="Times New Roman" w:hAnsi="Times New Roman" w:cs="Times New Roman"/>
        </w:rPr>
        <w:t xml:space="preserve">to be delivered </w:t>
      </w:r>
      <w:r w:rsidR="000A307E">
        <w:rPr>
          <w:rFonts w:ascii="Times New Roman" w:hAnsi="Times New Roman" w:cs="Times New Roman"/>
        </w:rPr>
        <w:t xml:space="preserve">to a greater number of households throughout PPL service territory. </w:t>
      </w:r>
      <w:r w:rsidR="00AB7D05">
        <w:rPr>
          <w:rFonts w:ascii="Times New Roman" w:hAnsi="Times New Roman" w:cs="Times New Roman"/>
        </w:rPr>
        <w:t>It is our goal to see this proposal</w:t>
      </w:r>
      <w:r w:rsidR="000A307E">
        <w:rPr>
          <w:rFonts w:ascii="Times New Roman" w:hAnsi="Times New Roman" w:cs="Times New Roman"/>
        </w:rPr>
        <w:t xml:space="preserve"> approved </w:t>
      </w:r>
      <w:r w:rsidR="00117F87">
        <w:rPr>
          <w:rFonts w:ascii="Times New Roman" w:hAnsi="Times New Roman" w:cs="Times New Roman"/>
        </w:rPr>
        <w:t xml:space="preserve">and implemented </w:t>
      </w:r>
      <w:r w:rsidR="00AB7D05">
        <w:rPr>
          <w:rFonts w:ascii="Times New Roman" w:hAnsi="Times New Roman" w:cs="Times New Roman"/>
        </w:rPr>
        <w:t xml:space="preserve">in a timely manner that </w:t>
      </w:r>
      <w:r w:rsidR="00943DEC">
        <w:rPr>
          <w:rFonts w:ascii="Times New Roman" w:hAnsi="Times New Roman" w:cs="Times New Roman"/>
        </w:rPr>
        <w:t>that coincides with the expiration of the current funding plan in place through early 2017.</w:t>
      </w:r>
    </w:p>
    <w:p w:rsidR="00350A4D" w:rsidRDefault="00350A4D" w:rsidP="001E6628">
      <w:pPr>
        <w:spacing w:line="480" w:lineRule="auto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DATED, this 22</w:t>
      </w:r>
      <w:r w:rsidRPr="00350A4D">
        <w:rPr>
          <w:rFonts w:ascii="Times New Roman Bold" w:hAnsi="Times New Roman Bold"/>
          <w:b/>
          <w:vertAlign w:val="superscript"/>
        </w:rPr>
        <w:t>nd</w:t>
      </w:r>
      <w:r>
        <w:rPr>
          <w:rFonts w:ascii="Times New Roman Bold" w:hAnsi="Times New Roman Bold"/>
          <w:b/>
        </w:rPr>
        <w:t xml:space="preserve"> day of June, 2016.</w:t>
      </w:r>
    </w:p>
    <w:p w:rsidR="00350A4D" w:rsidRDefault="00350A4D" w:rsidP="001E6628">
      <w:pPr>
        <w:spacing w:line="480" w:lineRule="auto"/>
        <w:rPr>
          <w:rFonts w:ascii="Times New Roman Bold" w:hAnsi="Times New Roman Bold"/>
          <w:b/>
        </w:rPr>
      </w:pPr>
    </w:p>
    <w:p w:rsidR="00350A4D" w:rsidRDefault="00350A4D" w:rsidP="001E6628">
      <w:pPr>
        <w:spacing w:line="480" w:lineRule="auto"/>
        <w:rPr>
          <w:rFonts w:ascii="Times New Roman Bold" w:hAnsi="Times New Roman Bold"/>
          <w:b/>
        </w:rPr>
      </w:pPr>
    </w:p>
    <w:p w:rsidR="00350A4D" w:rsidRDefault="00350A4D" w:rsidP="00350A4D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  <w:t>____________________________________</w:t>
      </w:r>
    </w:p>
    <w:p w:rsidR="00350A4D" w:rsidRPr="00350A4D" w:rsidRDefault="00350A4D" w:rsidP="00350A4D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</w:r>
      <w:r>
        <w:rPr>
          <w:rFonts w:ascii="Times New Roman Bold" w:hAnsi="Times New Roman Bold"/>
          <w:b/>
        </w:rPr>
        <w:tab/>
        <w:t>Brad M. Purdy</w:t>
      </w:r>
      <w:bookmarkStart w:id="0" w:name="_GoBack"/>
      <w:bookmarkEnd w:id="0"/>
    </w:p>
    <w:sectPr w:rsidR="00350A4D" w:rsidRPr="00350A4D" w:rsidSect="00602E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4C" w:rsidRDefault="0081664C" w:rsidP="00A545CD">
      <w:r>
        <w:separator/>
      </w:r>
    </w:p>
  </w:endnote>
  <w:endnote w:type="continuationSeparator" w:id="0">
    <w:p w:rsidR="0081664C" w:rsidRDefault="0081664C" w:rsidP="00A5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865"/>
      <w:docPartObj>
        <w:docPartGallery w:val="Page Numbers (Bottom of Page)"/>
        <w:docPartUnique/>
      </w:docPartObj>
    </w:sdtPr>
    <w:sdtContent>
      <w:p w:rsidR="00D514B6" w:rsidRDefault="00D514B6">
        <w:pPr>
          <w:pStyle w:val="Footer"/>
        </w:pPr>
        <w:r>
          <w:rPr>
            <w:rFonts w:ascii="Times New Roman" w:hAnsi="Times New Roman"/>
          </w:rPr>
          <w:t>ENERGY PROJECT'S POST-HEARING BRIEF</w:t>
        </w:r>
        <w:r>
          <w:rPr>
            <w:rFonts w:ascii="Times New Roman" w:hAnsi="Times New Roman"/>
          </w:rPr>
          <w:tab/>
        </w:r>
        <w:r w:rsidR="00933029">
          <w:fldChar w:fldCharType="begin"/>
        </w:r>
        <w:r>
          <w:instrText xml:space="preserve"> PAGE   \* MERGEFORMAT </w:instrText>
        </w:r>
        <w:r w:rsidR="00933029">
          <w:fldChar w:fldCharType="separate"/>
        </w:r>
        <w:r w:rsidR="005D3E13">
          <w:rPr>
            <w:noProof/>
          </w:rPr>
          <w:t>4</w:t>
        </w:r>
        <w:r w:rsidR="00933029">
          <w:rPr>
            <w:noProof/>
          </w:rPr>
          <w:fldChar w:fldCharType="end"/>
        </w:r>
      </w:p>
    </w:sdtContent>
  </w:sdt>
  <w:p w:rsidR="00D514B6" w:rsidRDefault="00D51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4C" w:rsidRDefault="0081664C" w:rsidP="00A545CD">
      <w:r>
        <w:separator/>
      </w:r>
    </w:p>
  </w:footnote>
  <w:footnote w:type="continuationSeparator" w:id="0">
    <w:p w:rsidR="0081664C" w:rsidRDefault="0081664C" w:rsidP="00A5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58D"/>
    <w:rsid w:val="00014FD5"/>
    <w:rsid w:val="00045F13"/>
    <w:rsid w:val="000602B5"/>
    <w:rsid w:val="00061A14"/>
    <w:rsid w:val="000911FF"/>
    <w:rsid w:val="00095BD6"/>
    <w:rsid w:val="000A307E"/>
    <w:rsid w:val="00117F87"/>
    <w:rsid w:val="00145D52"/>
    <w:rsid w:val="001717B7"/>
    <w:rsid w:val="001749C2"/>
    <w:rsid w:val="001B0345"/>
    <w:rsid w:val="001E0370"/>
    <w:rsid w:val="001E6628"/>
    <w:rsid w:val="0025158D"/>
    <w:rsid w:val="00254EDE"/>
    <w:rsid w:val="00267737"/>
    <w:rsid w:val="00294F38"/>
    <w:rsid w:val="00345272"/>
    <w:rsid w:val="00350A4D"/>
    <w:rsid w:val="00412563"/>
    <w:rsid w:val="004173AE"/>
    <w:rsid w:val="0042336D"/>
    <w:rsid w:val="00446382"/>
    <w:rsid w:val="004B75D7"/>
    <w:rsid w:val="004F223E"/>
    <w:rsid w:val="005736DD"/>
    <w:rsid w:val="0059544D"/>
    <w:rsid w:val="005C186C"/>
    <w:rsid w:val="005D3E13"/>
    <w:rsid w:val="005F79C9"/>
    <w:rsid w:val="00602E9C"/>
    <w:rsid w:val="006065D6"/>
    <w:rsid w:val="006E1C86"/>
    <w:rsid w:val="00706E6F"/>
    <w:rsid w:val="00740EF5"/>
    <w:rsid w:val="007A4E88"/>
    <w:rsid w:val="007D7437"/>
    <w:rsid w:val="00805C09"/>
    <w:rsid w:val="0081664C"/>
    <w:rsid w:val="00830DED"/>
    <w:rsid w:val="00842298"/>
    <w:rsid w:val="00851F03"/>
    <w:rsid w:val="00867813"/>
    <w:rsid w:val="00871FF8"/>
    <w:rsid w:val="008C19B6"/>
    <w:rsid w:val="008E1D35"/>
    <w:rsid w:val="008E38E1"/>
    <w:rsid w:val="00902F23"/>
    <w:rsid w:val="00922E82"/>
    <w:rsid w:val="00933029"/>
    <w:rsid w:val="009330E0"/>
    <w:rsid w:val="00934CAF"/>
    <w:rsid w:val="009361DB"/>
    <w:rsid w:val="00943DEC"/>
    <w:rsid w:val="009450DE"/>
    <w:rsid w:val="00960F6B"/>
    <w:rsid w:val="00984357"/>
    <w:rsid w:val="009B57ED"/>
    <w:rsid w:val="009E20C4"/>
    <w:rsid w:val="009E7BCF"/>
    <w:rsid w:val="00A04E99"/>
    <w:rsid w:val="00A46008"/>
    <w:rsid w:val="00A545CD"/>
    <w:rsid w:val="00A66009"/>
    <w:rsid w:val="00A67FEC"/>
    <w:rsid w:val="00AB7D05"/>
    <w:rsid w:val="00B00B5B"/>
    <w:rsid w:val="00B5482B"/>
    <w:rsid w:val="00B54C3C"/>
    <w:rsid w:val="00BA7D7B"/>
    <w:rsid w:val="00C15186"/>
    <w:rsid w:val="00C527A2"/>
    <w:rsid w:val="00C86B03"/>
    <w:rsid w:val="00C975B3"/>
    <w:rsid w:val="00CC1605"/>
    <w:rsid w:val="00CC65B3"/>
    <w:rsid w:val="00CF5E58"/>
    <w:rsid w:val="00D0217C"/>
    <w:rsid w:val="00D41153"/>
    <w:rsid w:val="00D44E12"/>
    <w:rsid w:val="00D514B6"/>
    <w:rsid w:val="00D57531"/>
    <w:rsid w:val="00DC7E36"/>
    <w:rsid w:val="00DE0C93"/>
    <w:rsid w:val="00DE33EA"/>
    <w:rsid w:val="00DE7D3F"/>
    <w:rsid w:val="00E042B0"/>
    <w:rsid w:val="00E11422"/>
    <w:rsid w:val="00E206ED"/>
    <w:rsid w:val="00E32BEB"/>
    <w:rsid w:val="00E355A3"/>
    <w:rsid w:val="00E5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8D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5158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25158D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4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5C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CD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3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E0"/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E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69B506-77D2-4DD0-A3B5-B2D6F4262193}"/>
</file>

<file path=customXml/itemProps2.xml><?xml version="1.0" encoding="utf-8"?>
<ds:datastoreItem xmlns:ds="http://schemas.openxmlformats.org/officeDocument/2006/customXml" ds:itemID="{3D3E4807-9450-471B-92B3-DDF6D380233B}"/>
</file>

<file path=customXml/itemProps3.xml><?xml version="1.0" encoding="utf-8"?>
<ds:datastoreItem xmlns:ds="http://schemas.openxmlformats.org/officeDocument/2006/customXml" ds:itemID="{B5FA99F5-DA58-4C42-81EC-AEA82B45EE8A}"/>
</file>

<file path=customXml/itemProps4.xml><?xml version="1.0" encoding="utf-8"?>
<ds:datastoreItem xmlns:ds="http://schemas.openxmlformats.org/officeDocument/2006/customXml" ds:itemID="{6CD1C8E8-201D-4E9D-94FB-12D701A275A9}"/>
</file>

<file path=customXml/itemProps5.xml><?xml version="1.0" encoding="utf-8"?>
<ds:datastoreItem xmlns:ds="http://schemas.openxmlformats.org/officeDocument/2006/customXml" ds:itemID="{D3D1D53D-8BD2-4FB6-BBBA-21320D130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2016-06-22T16:01:00Z</dcterms:created>
  <dcterms:modified xsi:type="dcterms:W3CDTF">2016-06-22T18:31:00Z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