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kern w:val="16"/>
          <w:sz w:val="24"/>
          <w:szCs w:val="20"/>
          <w:lang w:eastAsia="en-US"/>
        </w:rPr>
        <w:id w:val="-2129006808"/>
        <w:docPartObj>
          <w:docPartGallery w:val="Table of Contents"/>
          <w:docPartUnique/>
        </w:docPartObj>
      </w:sdtPr>
      <w:sdtEndPr>
        <w:rPr>
          <w:noProof/>
        </w:rPr>
      </w:sdtEndPr>
      <w:sdtContent>
        <w:p w:rsidR="00EE07C2" w:rsidRPr="002530A4" w:rsidRDefault="002530A4" w:rsidP="00EE07C2">
          <w:pPr>
            <w:pStyle w:val="TOCHeading"/>
            <w:suppressLineNumbers/>
            <w:spacing w:before="0" w:line="480" w:lineRule="auto"/>
            <w:jc w:val="center"/>
            <w:rPr>
              <w:rFonts w:ascii="Times New Roman" w:hAnsi="Times New Roman" w:cs="Times New Roman"/>
              <w:color w:val="auto"/>
              <w:sz w:val="24"/>
              <w:szCs w:val="24"/>
            </w:rPr>
          </w:pPr>
          <w:r w:rsidRPr="002530A4">
            <w:rPr>
              <w:rFonts w:ascii="Times New Roman" w:hAnsi="Times New Roman" w:cs="Times New Roman"/>
              <w:color w:val="auto"/>
              <w:sz w:val="24"/>
              <w:szCs w:val="24"/>
            </w:rPr>
            <w:t>TABLE OF CONTENTS</w:t>
          </w:r>
        </w:p>
        <w:p w:rsidR="00EE07C2" w:rsidRDefault="00EE07C2"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r>
            <w:fldChar w:fldCharType="begin"/>
          </w:r>
          <w:r>
            <w:instrText xml:space="preserve"> TOC \o "1-3" \h \z \u </w:instrText>
          </w:r>
          <w:r>
            <w:fldChar w:fldCharType="separate"/>
          </w:r>
          <w:hyperlink w:anchor="_Toc386540852" w:history="1">
            <w:r w:rsidRPr="00785606">
              <w:rPr>
                <w:rStyle w:val="Hyperlink"/>
                <w:noProof/>
              </w:rPr>
              <w:t>QUALIFICATIONS</w:t>
            </w:r>
            <w:r>
              <w:rPr>
                <w:noProof/>
                <w:webHidden/>
              </w:rPr>
              <w:tab/>
            </w:r>
            <w:r>
              <w:rPr>
                <w:noProof/>
                <w:webHidden/>
              </w:rPr>
              <w:fldChar w:fldCharType="begin"/>
            </w:r>
            <w:r>
              <w:rPr>
                <w:noProof/>
                <w:webHidden/>
              </w:rPr>
              <w:instrText xml:space="preserve"> PAGEREF _Toc386540852 \h </w:instrText>
            </w:r>
            <w:r>
              <w:rPr>
                <w:noProof/>
                <w:webHidden/>
              </w:rPr>
            </w:r>
            <w:r>
              <w:rPr>
                <w:noProof/>
                <w:webHidden/>
              </w:rPr>
              <w:fldChar w:fldCharType="separate"/>
            </w:r>
            <w:r>
              <w:rPr>
                <w:noProof/>
                <w:webHidden/>
              </w:rPr>
              <w:t>1</w:t>
            </w:r>
            <w:r>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53" w:history="1">
            <w:r w:rsidR="00EE07C2" w:rsidRPr="00785606">
              <w:rPr>
                <w:rStyle w:val="Hyperlink"/>
                <w:noProof/>
              </w:rPr>
              <w:t>SUMMARY OF TESTIMONY</w:t>
            </w:r>
            <w:r w:rsidR="00EE07C2">
              <w:rPr>
                <w:noProof/>
                <w:webHidden/>
              </w:rPr>
              <w:tab/>
            </w:r>
            <w:r w:rsidR="00EE07C2">
              <w:rPr>
                <w:noProof/>
                <w:webHidden/>
              </w:rPr>
              <w:fldChar w:fldCharType="begin"/>
            </w:r>
            <w:r w:rsidR="00EE07C2">
              <w:rPr>
                <w:noProof/>
                <w:webHidden/>
              </w:rPr>
              <w:instrText xml:space="preserve"> PAGEREF _Toc386540853 \h </w:instrText>
            </w:r>
            <w:r w:rsidR="00EE07C2">
              <w:rPr>
                <w:noProof/>
                <w:webHidden/>
              </w:rPr>
            </w:r>
            <w:r w:rsidR="00EE07C2">
              <w:rPr>
                <w:noProof/>
                <w:webHidden/>
              </w:rPr>
              <w:fldChar w:fldCharType="separate"/>
            </w:r>
            <w:r w:rsidR="00EE07C2">
              <w:rPr>
                <w:noProof/>
                <w:webHidden/>
              </w:rPr>
              <w:t>1</w:t>
            </w:r>
            <w:r w:rsidR="00EE07C2">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54" w:history="1">
            <w:r w:rsidR="00EE07C2" w:rsidRPr="00785606">
              <w:rPr>
                <w:rStyle w:val="Hyperlink"/>
                <w:noProof/>
              </w:rPr>
              <w:t>FINANCING OVERVIEW</w:t>
            </w:r>
            <w:r w:rsidR="00EE07C2">
              <w:rPr>
                <w:noProof/>
                <w:webHidden/>
              </w:rPr>
              <w:tab/>
            </w:r>
            <w:r w:rsidR="00EE07C2">
              <w:rPr>
                <w:noProof/>
                <w:webHidden/>
              </w:rPr>
              <w:fldChar w:fldCharType="begin"/>
            </w:r>
            <w:r w:rsidR="00EE07C2">
              <w:rPr>
                <w:noProof/>
                <w:webHidden/>
              </w:rPr>
              <w:instrText xml:space="preserve"> PAGEREF _Toc386540854 \h </w:instrText>
            </w:r>
            <w:r w:rsidR="00EE07C2">
              <w:rPr>
                <w:noProof/>
                <w:webHidden/>
              </w:rPr>
            </w:r>
            <w:r w:rsidR="00EE07C2">
              <w:rPr>
                <w:noProof/>
                <w:webHidden/>
              </w:rPr>
              <w:fldChar w:fldCharType="separate"/>
            </w:r>
            <w:r w:rsidR="00EE07C2">
              <w:rPr>
                <w:noProof/>
                <w:webHidden/>
              </w:rPr>
              <w:t>4</w:t>
            </w:r>
            <w:r w:rsidR="00EE07C2">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55" w:history="1">
            <w:r w:rsidR="00EE07C2" w:rsidRPr="00785606">
              <w:rPr>
                <w:rStyle w:val="Hyperlink"/>
                <w:noProof/>
              </w:rPr>
              <w:t>CAPITAL STRUCTURE DETERMINATION</w:t>
            </w:r>
            <w:r w:rsidR="00EE07C2">
              <w:rPr>
                <w:noProof/>
                <w:webHidden/>
              </w:rPr>
              <w:tab/>
            </w:r>
            <w:r w:rsidR="00EE07C2">
              <w:rPr>
                <w:noProof/>
                <w:webHidden/>
              </w:rPr>
              <w:fldChar w:fldCharType="begin"/>
            </w:r>
            <w:r w:rsidR="00EE07C2">
              <w:rPr>
                <w:noProof/>
                <w:webHidden/>
              </w:rPr>
              <w:instrText xml:space="preserve"> PAGEREF _Toc386540855 \h </w:instrText>
            </w:r>
            <w:r w:rsidR="00EE07C2">
              <w:rPr>
                <w:noProof/>
                <w:webHidden/>
              </w:rPr>
            </w:r>
            <w:r w:rsidR="00EE07C2">
              <w:rPr>
                <w:noProof/>
                <w:webHidden/>
              </w:rPr>
              <w:fldChar w:fldCharType="separate"/>
            </w:r>
            <w:r w:rsidR="00EE07C2">
              <w:rPr>
                <w:noProof/>
                <w:webHidden/>
              </w:rPr>
              <w:t>4</w:t>
            </w:r>
            <w:r w:rsidR="00EE07C2">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56" w:history="1">
            <w:r w:rsidR="00EE07C2" w:rsidRPr="00785606">
              <w:rPr>
                <w:rStyle w:val="Hyperlink"/>
                <w:noProof/>
              </w:rPr>
              <w:t>HYPOTHETICAL CAPITAL STRUCTURE</w:t>
            </w:r>
            <w:r w:rsidR="00EE07C2">
              <w:rPr>
                <w:noProof/>
                <w:webHidden/>
              </w:rPr>
              <w:tab/>
            </w:r>
            <w:r w:rsidR="00EE07C2">
              <w:rPr>
                <w:noProof/>
                <w:webHidden/>
              </w:rPr>
              <w:fldChar w:fldCharType="begin"/>
            </w:r>
            <w:r w:rsidR="00EE07C2">
              <w:rPr>
                <w:noProof/>
                <w:webHidden/>
              </w:rPr>
              <w:instrText xml:space="preserve"> PAGEREF _Toc386540856 \h </w:instrText>
            </w:r>
            <w:r w:rsidR="00EE07C2">
              <w:rPr>
                <w:noProof/>
                <w:webHidden/>
              </w:rPr>
            </w:r>
            <w:r w:rsidR="00EE07C2">
              <w:rPr>
                <w:noProof/>
                <w:webHidden/>
              </w:rPr>
              <w:fldChar w:fldCharType="separate"/>
            </w:r>
            <w:r w:rsidR="00EE07C2">
              <w:rPr>
                <w:noProof/>
                <w:webHidden/>
              </w:rPr>
              <w:t>10</w:t>
            </w:r>
            <w:r w:rsidR="00EE07C2">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57" w:history="1">
            <w:r w:rsidR="00EE07C2" w:rsidRPr="00785606">
              <w:rPr>
                <w:rStyle w:val="Hyperlink"/>
                <w:noProof/>
              </w:rPr>
              <w:t>CREDIT RATINGS</w:t>
            </w:r>
            <w:r w:rsidR="00EE07C2">
              <w:rPr>
                <w:noProof/>
                <w:webHidden/>
              </w:rPr>
              <w:tab/>
            </w:r>
            <w:r w:rsidR="00EE07C2">
              <w:rPr>
                <w:noProof/>
                <w:webHidden/>
              </w:rPr>
              <w:fldChar w:fldCharType="begin"/>
            </w:r>
            <w:r w:rsidR="00EE07C2">
              <w:rPr>
                <w:noProof/>
                <w:webHidden/>
              </w:rPr>
              <w:instrText xml:space="preserve"> PAGEREF _Toc386540857 \h </w:instrText>
            </w:r>
            <w:r w:rsidR="00EE07C2">
              <w:rPr>
                <w:noProof/>
                <w:webHidden/>
              </w:rPr>
            </w:r>
            <w:r w:rsidR="00EE07C2">
              <w:rPr>
                <w:noProof/>
                <w:webHidden/>
              </w:rPr>
              <w:fldChar w:fldCharType="separate"/>
            </w:r>
            <w:r w:rsidR="00EE07C2">
              <w:rPr>
                <w:noProof/>
                <w:webHidden/>
              </w:rPr>
              <w:t>13</w:t>
            </w:r>
            <w:r w:rsidR="00EE07C2">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58" w:history="1">
            <w:r w:rsidR="00EE07C2" w:rsidRPr="00785606">
              <w:rPr>
                <w:rStyle w:val="Hyperlink"/>
                <w:noProof/>
              </w:rPr>
              <w:t>PREFERRED STOCK REFINANCING</w:t>
            </w:r>
            <w:r w:rsidR="00EE07C2">
              <w:rPr>
                <w:noProof/>
                <w:webHidden/>
              </w:rPr>
              <w:tab/>
            </w:r>
            <w:r w:rsidR="00EE07C2">
              <w:rPr>
                <w:noProof/>
                <w:webHidden/>
              </w:rPr>
              <w:fldChar w:fldCharType="begin"/>
            </w:r>
            <w:r w:rsidR="00EE07C2">
              <w:rPr>
                <w:noProof/>
                <w:webHidden/>
              </w:rPr>
              <w:instrText xml:space="preserve"> PAGEREF _Toc386540858 \h </w:instrText>
            </w:r>
            <w:r w:rsidR="00EE07C2">
              <w:rPr>
                <w:noProof/>
                <w:webHidden/>
              </w:rPr>
            </w:r>
            <w:r w:rsidR="00EE07C2">
              <w:rPr>
                <w:noProof/>
                <w:webHidden/>
              </w:rPr>
              <w:fldChar w:fldCharType="separate"/>
            </w:r>
            <w:r w:rsidR="00EE07C2">
              <w:rPr>
                <w:noProof/>
                <w:webHidden/>
              </w:rPr>
              <w:t>21</w:t>
            </w:r>
            <w:r w:rsidR="00EE07C2">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59" w:history="1">
            <w:r w:rsidR="00EE07C2" w:rsidRPr="00785606">
              <w:rPr>
                <w:rStyle w:val="Hyperlink"/>
                <w:noProof/>
              </w:rPr>
              <w:t>POWER PURCHASE AGREEMENTS</w:t>
            </w:r>
            <w:r w:rsidR="00EE07C2">
              <w:rPr>
                <w:noProof/>
                <w:webHidden/>
              </w:rPr>
              <w:tab/>
            </w:r>
            <w:r w:rsidR="00EE07C2">
              <w:rPr>
                <w:noProof/>
                <w:webHidden/>
              </w:rPr>
              <w:fldChar w:fldCharType="begin"/>
            </w:r>
            <w:r w:rsidR="00EE07C2">
              <w:rPr>
                <w:noProof/>
                <w:webHidden/>
              </w:rPr>
              <w:instrText xml:space="preserve"> PAGEREF _Toc386540859 \h </w:instrText>
            </w:r>
            <w:r w:rsidR="00EE07C2">
              <w:rPr>
                <w:noProof/>
                <w:webHidden/>
              </w:rPr>
            </w:r>
            <w:r w:rsidR="00EE07C2">
              <w:rPr>
                <w:noProof/>
                <w:webHidden/>
              </w:rPr>
              <w:fldChar w:fldCharType="separate"/>
            </w:r>
            <w:r w:rsidR="00EE07C2">
              <w:rPr>
                <w:noProof/>
                <w:webHidden/>
              </w:rPr>
              <w:t>25</w:t>
            </w:r>
            <w:r w:rsidR="00EE07C2">
              <w:rPr>
                <w:noProof/>
                <w:webHidden/>
              </w:rPr>
              <w:fldChar w:fldCharType="end"/>
            </w:r>
          </w:hyperlink>
        </w:p>
        <w:p w:rsidR="00EE07C2" w:rsidRDefault="00065CC6" w:rsidP="00EE07C2">
          <w:pPr>
            <w:pStyle w:val="TOC1"/>
            <w:suppressLineNumbers/>
            <w:tabs>
              <w:tab w:val="right" w:leader="dot" w:pos="8990"/>
            </w:tabs>
            <w:spacing w:after="0" w:line="360" w:lineRule="auto"/>
            <w:rPr>
              <w:rFonts w:asciiTheme="minorHAnsi" w:eastAsiaTheme="minorEastAsia" w:hAnsiTheme="minorHAnsi" w:cstheme="minorBidi"/>
              <w:noProof/>
              <w:kern w:val="0"/>
              <w:sz w:val="22"/>
              <w:szCs w:val="22"/>
            </w:rPr>
          </w:pPr>
          <w:hyperlink w:anchor="_Toc386540860" w:history="1">
            <w:r w:rsidR="00EE07C2" w:rsidRPr="00785606">
              <w:rPr>
                <w:rStyle w:val="Hyperlink"/>
                <w:noProof/>
              </w:rPr>
              <w:t>FINANCING COST CALCULATIONS</w:t>
            </w:r>
            <w:r w:rsidR="00EE07C2">
              <w:rPr>
                <w:noProof/>
                <w:webHidden/>
              </w:rPr>
              <w:tab/>
            </w:r>
            <w:r w:rsidR="00EE07C2">
              <w:rPr>
                <w:noProof/>
                <w:webHidden/>
              </w:rPr>
              <w:fldChar w:fldCharType="begin"/>
            </w:r>
            <w:r w:rsidR="00EE07C2">
              <w:rPr>
                <w:noProof/>
                <w:webHidden/>
              </w:rPr>
              <w:instrText xml:space="preserve"> PAGEREF _Toc386540860 \h </w:instrText>
            </w:r>
            <w:r w:rsidR="00EE07C2">
              <w:rPr>
                <w:noProof/>
                <w:webHidden/>
              </w:rPr>
            </w:r>
            <w:r w:rsidR="00EE07C2">
              <w:rPr>
                <w:noProof/>
                <w:webHidden/>
              </w:rPr>
              <w:fldChar w:fldCharType="separate"/>
            </w:r>
            <w:r w:rsidR="00EE07C2">
              <w:rPr>
                <w:noProof/>
                <w:webHidden/>
              </w:rPr>
              <w:t>27</w:t>
            </w:r>
            <w:r w:rsidR="00EE07C2">
              <w:rPr>
                <w:noProof/>
                <w:webHidden/>
              </w:rPr>
              <w:fldChar w:fldCharType="end"/>
            </w:r>
          </w:hyperlink>
        </w:p>
        <w:p w:rsidR="00EE07C2" w:rsidRDefault="00EE07C2" w:rsidP="00EE07C2">
          <w:pPr>
            <w:suppressLineNumbers/>
          </w:pPr>
          <w:r>
            <w:rPr>
              <w:b/>
              <w:bCs/>
              <w:noProof/>
            </w:rPr>
            <w:fldChar w:fldCharType="end"/>
          </w:r>
        </w:p>
      </w:sdtContent>
    </w:sdt>
    <w:p w:rsidR="002530A4" w:rsidRDefault="002530A4" w:rsidP="002530A4">
      <w:pPr>
        <w:suppressLineNumbers/>
        <w:spacing w:after="200" w:line="276" w:lineRule="auto"/>
        <w:jc w:val="center"/>
        <w:rPr>
          <w:b/>
          <w:szCs w:val="24"/>
        </w:rPr>
      </w:pPr>
      <w:r>
        <w:rPr>
          <w:b/>
          <w:szCs w:val="24"/>
        </w:rPr>
        <w:t>ATTACHED EXHIBITS</w:t>
      </w:r>
    </w:p>
    <w:p w:rsidR="00F86594" w:rsidRDefault="00F86594" w:rsidP="008C2801">
      <w:pPr>
        <w:suppressLineNumbers/>
        <w:rPr>
          <w:szCs w:val="24"/>
        </w:rPr>
      </w:pPr>
      <w:r>
        <w:rPr>
          <w:szCs w:val="24"/>
        </w:rPr>
        <w:t>Exhibit No.__</w:t>
      </w:r>
      <w:proofErr w:type="gramStart"/>
      <w:r>
        <w:rPr>
          <w:szCs w:val="24"/>
        </w:rPr>
        <w:t>_(</w:t>
      </w:r>
      <w:proofErr w:type="gramEnd"/>
      <w:r>
        <w:rPr>
          <w:szCs w:val="24"/>
        </w:rPr>
        <w:t>BNW-2)—Fitch Ratings (March 10, 2014)</w:t>
      </w:r>
    </w:p>
    <w:p w:rsidR="002530A4" w:rsidRDefault="002530A4" w:rsidP="008C2801">
      <w:pPr>
        <w:suppressLineNumbers/>
        <w:rPr>
          <w:szCs w:val="24"/>
        </w:rPr>
      </w:pPr>
      <w:r>
        <w:rPr>
          <w:szCs w:val="24"/>
        </w:rPr>
        <w:t>Exhibit N</w:t>
      </w:r>
      <w:r w:rsidR="00F86594">
        <w:rPr>
          <w:szCs w:val="24"/>
        </w:rPr>
        <w:t>o.__</w:t>
      </w:r>
      <w:proofErr w:type="gramStart"/>
      <w:r w:rsidR="00F86594">
        <w:rPr>
          <w:szCs w:val="24"/>
        </w:rPr>
        <w:t>_(</w:t>
      </w:r>
      <w:proofErr w:type="gramEnd"/>
      <w:r w:rsidR="00F86594">
        <w:rPr>
          <w:szCs w:val="24"/>
        </w:rPr>
        <w:t>BNW-3</w:t>
      </w:r>
      <w:r>
        <w:rPr>
          <w:szCs w:val="24"/>
        </w:rPr>
        <w:t>)—Moody’s Investor Service (January 30, 2014)</w:t>
      </w:r>
    </w:p>
    <w:p w:rsidR="002530A4" w:rsidRDefault="00F86594" w:rsidP="008C2801">
      <w:pPr>
        <w:suppressLineNumbers/>
        <w:rPr>
          <w:szCs w:val="24"/>
        </w:rPr>
      </w:pPr>
      <w:r>
        <w:rPr>
          <w:szCs w:val="24"/>
        </w:rPr>
        <w:t>Exhibit No.__</w:t>
      </w:r>
      <w:proofErr w:type="gramStart"/>
      <w:r>
        <w:rPr>
          <w:szCs w:val="24"/>
        </w:rPr>
        <w:t>_(</w:t>
      </w:r>
      <w:proofErr w:type="gramEnd"/>
      <w:r>
        <w:rPr>
          <w:szCs w:val="24"/>
        </w:rPr>
        <w:t>BNW-4</w:t>
      </w:r>
      <w:r w:rsidR="002530A4">
        <w:rPr>
          <w:szCs w:val="24"/>
        </w:rPr>
        <w:t>)—Fitch Ratings (September 16, 2013)</w:t>
      </w:r>
    </w:p>
    <w:p w:rsidR="002530A4" w:rsidRDefault="002530A4" w:rsidP="008C2801">
      <w:pPr>
        <w:suppressLineNumbers/>
        <w:rPr>
          <w:szCs w:val="24"/>
        </w:rPr>
      </w:pPr>
      <w:r>
        <w:rPr>
          <w:szCs w:val="24"/>
        </w:rPr>
        <w:t>Exhibit No.__</w:t>
      </w:r>
      <w:proofErr w:type="gramStart"/>
      <w:r>
        <w:rPr>
          <w:szCs w:val="24"/>
        </w:rPr>
        <w:t>_(</w:t>
      </w:r>
      <w:proofErr w:type="gramEnd"/>
      <w:r>
        <w:rPr>
          <w:szCs w:val="24"/>
        </w:rPr>
        <w:t>BNW-</w:t>
      </w:r>
      <w:r w:rsidR="00F86594">
        <w:rPr>
          <w:szCs w:val="24"/>
        </w:rPr>
        <w:t>5</w:t>
      </w:r>
      <w:r>
        <w:rPr>
          <w:szCs w:val="24"/>
        </w:rPr>
        <w:t>)—</w:t>
      </w:r>
      <w:r w:rsidR="00F86594">
        <w:rPr>
          <w:szCs w:val="24"/>
        </w:rPr>
        <w:t>Fitch Ratings (January 6, 2011)</w:t>
      </w:r>
    </w:p>
    <w:p w:rsidR="00F86594" w:rsidRDefault="00F86594" w:rsidP="008C2801">
      <w:pPr>
        <w:suppressLineNumbers/>
        <w:rPr>
          <w:szCs w:val="24"/>
        </w:rPr>
      </w:pPr>
      <w:r>
        <w:rPr>
          <w:szCs w:val="24"/>
        </w:rPr>
        <w:t>Exhibit No.__</w:t>
      </w:r>
      <w:proofErr w:type="gramStart"/>
      <w:r>
        <w:rPr>
          <w:szCs w:val="24"/>
        </w:rPr>
        <w:t>_(</w:t>
      </w:r>
      <w:proofErr w:type="gramEnd"/>
      <w:r>
        <w:rPr>
          <w:szCs w:val="24"/>
        </w:rPr>
        <w:t>BNW-6)—Moody’s  Investor Service (May 8, 2013)</w:t>
      </w:r>
    </w:p>
    <w:p w:rsidR="00F86594" w:rsidRDefault="00F86594" w:rsidP="008C2801">
      <w:pPr>
        <w:suppressLineNumbers/>
        <w:rPr>
          <w:szCs w:val="24"/>
        </w:rPr>
      </w:pPr>
      <w:r>
        <w:rPr>
          <w:szCs w:val="24"/>
        </w:rPr>
        <w:t>Exhibit No.__</w:t>
      </w:r>
      <w:proofErr w:type="gramStart"/>
      <w:r>
        <w:rPr>
          <w:szCs w:val="24"/>
        </w:rPr>
        <w:t>_(</w:t>
      </w:r>
      <w:proofErr w:type="gramEnd"/>
      <w:r>
        <w:rPr>
          <w:szCs w:val="24"/>
        </w:rPr>
        <w:t>BNW-7)—Standard &amp; Poor’s Ratings Direct (April 29, 2013)</w:t>
      </w:r>
    </w:p>
    <w:p w:rsidR="00F86594" w:rsidRDefault="00F86594" w:rsidP="008C2801">
      <w:pPr>
        <w:suppressLineNumbers/>
        <w:rPr>
          <w:szCs w:val="24"/>
        </w:rPr>
      </w:pPr>
      <w:r>
        <w:rPr>
          <w:szCs w:val="24"/>
        </w:rPr>
        <w:t>Exhibit No.__</w:t>
      </w:r>
      <w:proofErr w:type="gramStart"/>
      <w:r>
        <w:rPr>
          <w:szCs w:val="24"/>
        </w:rPr>
        <w:t>_(</w:t>
      </w:r>
      <w:proofErr w:type="gramEnd"/>
      <w:r>
        <w:rPr>
          <w:szCs w:val="24"/>
        </w:rPr>
        <w:t>BNW-8)—Standard &amp; Poor’s Ratings Direct (March 31, 2014)</w:t>
      </w:r>
    </w:p>
    <w:p w:rsidR="00F86594" w:rsidRDefault="00F86594" w:rsidP="008C2801">
      <w:pPr>
        <w:suppressLineNumbers/>
        <w:rPr>
          <w:szCs w:val="24"/>
        </w:rPr>
      </w:pPr>
      <w:r>
        <w:rPr>
          <w:szCs w:val="24"/>
        </w:rPr>
        <w:t>Exhibit No.__</w:t>
      </w:r>
      <w:proofErr w:type="gramStart"/>
      <w:r>
        <w:rPr>
          <w:szCs w:val="24"/>
        </w:rPr>
        <w:t>_(</w:t>
      </w:r>
      <w:proofErr w:type="gramEnd"/>
      <w:r>
        <w:rPr>
          <w:szCs w:val="24"/>
        </w:rPr>
        <w:t>BNW-9)—Standard &amp; Poor’s Ratings Direct (October 23, 2012)</w:t>
      </w:r>
    </w:p>
    <w:p w:rsidR="00F86594" w:rsidRDefault="00F86594" w:rsidP="008C2801">
      <w:pPr>
        <w:suppressLineNumbers/>
        <w:rPr>
          <w:szCs w:val="24"/>
        </w:rPr>
      </w:pPr>
      <w:r>
        <w:rPr>
          <w:szCs w:val="24"/>
        </w:rPr>
        <w:t>Exhibit No.__</w:t>
      </w:r>
      <w:proofErr w:type="gramStart"/>
      <w:r>
        <w:rPr>
          <w:szCs w:val="24"/>
        </w:rPr>
        <w:t>_(</w:t>
      </w:r>
      <w:proofErr w:type="gramEnd"/>
      <w:r>
        <w:rPr>
          <w:szCs w:val="24"/>
        </w:rPr>
        <w:t>BNW-10)—Moody’s Investor Service (May 8, 2012)</w:t>
      </w:r>
    </w:p>
    <w:p w:rsidR="00F86594" w:rsidRDefault="00F86594" w:rsidP="008C2801">
      <w:pPr>
        <w:suppressLineNumbers/>
        <w:rPr>
          <w:szCs w:val="24"/>
        </w:rPr>
      </w:pPr>
      <w:r>
        <w:rPr>
          <w:szCs w:val="24"/>
        </w:rPr>
        <w:t>Exhibit No.__</w:t>
      </w:r>
      <w:proofErr w:type="gramStart"/>
      <w:r>
        <w:rPr>
          <w:szCs w:val="24"/>
        </w:rPr>
        <w:t>_(</w:t>
      </w:r>
      <w:proofErr w:type="gramEnd"/>
      <w:r>
        <w:rPr>
          <w:szCs w:val="24"/>
        </w:rPr>
        <w:t>BNW-11)—Preferred Stock Redemption</w:t>
      </w:r>
    </w:p>
    <w:p w:rsidR="00F86594" w:rsidRDefault="00F86594" w:rsidP="008C2801">
      <w:pPr>
        <w:suppressLineNumbers/>
        <w:rPr>
          <w:szCs w:val="24"/>
        </w:rPr>
      </w:pPr>
      <w:r>
        <w:rPr>
          <w:szCs w:val="24"/>
        </w:rPr>
        <w:t>Exhibit No.__</w:t>
      </w:r>
      <w:proofErr w:type="gramStart"/>
      <w:r>
        <w:rPr>
          <w:szCs w:val="24"/>
        </w:rPr>
        <w:t>_(</w:t>
      </w:r>
      <w:proofErr w:type="gramEnd"/>
      <w:r>
        <w:rPr>
          <w:szCs w:val="24"/>
        </w:rPr>
        <w:t>BNW-12)—Cost of Long-Term Debt</w:t>
      </w:r>
    </w:p>
    <w:p w:rsidR="00F86594" w:rsidRDefault="00F86594" w:rsidP="008C2801">
      <w:pPr>
        <w:suppressLineNumbers/>
        <w:ind w:left="2790" w:hanging="2790"/>
        <w:rPr>
          <w:szCs w:val="24"/>
        </w:rPr>
      </w:pPr>
      <w:r>
        <w:rPr>
          <w:szCs w:val="24"/>
        </w:rPr>
        <w:t>Exhibit No.__</w:t>
      </w:r>
      <w:proofErr w:type="gramStart"/>
      <w:r>
        <w:rPr>
          <w:szCs w:val="24"/>
        </w:rPr>
        <w:t>_(</w:t>
      </w:r>
      <w:proofErr w:type="gramEnd"/>
      <w:r>
        <w:rPr>
          <w:szCs w:val="24"/>
        </w:rPr>
        <w:t xml:space="preserve">BNW-13)—Standard &amp; Poor’s Ratings Direct 2007 Report on </w:t>
      </w:r>
      <w:r w:rsidR="002371F4">
        <w:rPr>
          <w:szCs w:val="24"/>
        </w:rPr>
        <w:t>Power Purchase</w:t>
      </w:r>
      <w:r>
        <w:rPr>
          <w:szCs w:val="24"/>
        </w:rPr>
        <w:t xml:space="preserve"> Agreements</w:t>
      </w:r>
    </w:p>
    <w:p w:rsidR="00F86594" w:rsidRDefault="00F86594" w:rsidP="008C2801">
      <w:pPr>
        <w:suppressLineNumbers/>
        <w:rPr>
          <w:szCs w:val="24"/>
        </w:rPr>
      </w:pPr>
      <w:r>
        <w:rPr>
          <w:szCs w:val="24"/>
        </w:rPr>
        <w:t>Exhibit No.__</w:t>
      </w:r>
      <w:proofErr w:type="gramStart"/>
      <w:r>
        <w:rPr>
          <w:szCs w:val="24"/>
        </w:rPr>
        <w:t>_(</w:t>
      </w:r>
      <w:proofErr w:type="gramEnd"/>
      <w:r>
        <w:rPr>
          <w:szCs w:val="24"/>
        </w:rPr>
        <w:t>BNW-14)—Variable Rate PCRBs</w:t>
      </w:r>
    </w:p>
    <w:p w:rsidR="00F86594" w:rsidRDefault="00F86594" w:rsidP="008C2801">
      <w:pPr>
        <w:suppressLineNumbers/>
        <w:rPr>
          <w:szCs w:val="24"/>
        </w:rPr>
      </w:pPr>
      <w:r>
        <w:rPr>
          <w:szCs w:val="24"/>
        </w:rPr>
        <w:t>Exhibit No.__</w:t>
      </w:r>
      <w:proofErr w:type="gramStart"/>
      <w:r>
        <w:rPr>
          <w:szCs w:val="24"/>
        </w:rPr>
        <w:t>_(</w:t>
      </w:r>
      <w:proofErr w:type="gramEnd"/>
      <w:r>
        <w:rPr>
          <w:szCs w:val="24"/>
        </w:rPr>
        <w:t>BNW-15)—Cost of Preferred Stock</w:t>
      </w:r>
    </w:p>
    <w:p w:rsidR="008F6FC5" w:rsidRDefault="008F6FC5" w:rsidP="002530A4">
      <w:pPr>
        <w:suppressLineNumbers/>
        <w:spacing w:after="200" w:line="276" w:lineRule="auto"/>
        <w:rPr>
          <w:b/>
          <w:szCs w:val="24"/>
        </w:rPr>
      </w:pPr>
      <w:r>
        <w:rPr>
          <w:b/>
          <w:szCs w:val="24"/>
        </w:rPr>
        <w:br w:type="page"/>
      </w:r>
    </w:p>
    <w:p w:rsidR="00FB69C7" w:rsidRDefault="00FB69C7" w:rsidP="00BE3931">
      <w:pPr>
        <w:spacing w:line="480" w:lineRule="auto"/>
        <w:ind w:left="720" w:hanging="720"/>
        <w:rPr>
          <w:b/>
          <w:szCs w:val="24"/>
        </w:rPr>
        <w:sectPr w:rsidR="00FB69C7" w:rsidSect="00FB69C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800" w:header="720" w:footer="720" w:gutter="0"/>
          <w:lnNumType w:countBy="1"/>
          <w:pgNumType w:fmt="lowerRoman" w:start="1" w:chapSep="period"/>
          <w:cols w:space="720"/>
          <w:docGrid w:linePitch="326"/>
        </w:sectPr>
      </w:pPr>
    </w:p>
    <w:p w:rsidR="003D655E" w:rsidRPr="00C04A68" w:rsidRDefault="003D655E" w:rsidP="00BE3931">
      <w:pPr>
        <w:spacing w:line="480" w:lineRule="auto"/>
        <w:ind w:left="720" w:hanging="720"/>
        <w:rPr>
          <w:b/>
          <w:szCs w:val="24"/>
        </w:rPr>
      </w:pPr>
      <w:r w:rsidRPr="00C04A68">
        <w:rPr>
          <w:b/>
          <w:szCs w:val="24"/>
        </w:rPr>
        <w:lastRenderedPageBreak/>
        <w:t>Q.</w:t>
      </w:r>
      <w:r w:rsidRPr="00C04A68">
        <w:rPr>
          <w:szCs w:val="24"/>
        </w:rPr>
        <w:tab/>
      </w:r>
      <w:r w:rsidRPr="00C04A68">
        <w:rPr>
          <w:b/>
          <w:szCs w:val="24"/>
        </w:rPr>
        <w:t>Please st</w:t>
      </w:r>
      <w:r w:rsidR="00E80EC8">
        <w:rPr>
          <w:b/>
          <w:szCs w:val="24"/>
        </w:rPr>
        <w:t>ate your name, business address</w:t>
      </w:r>
      <w:r w:rsidR="00BE3931">
        <w:rPr>
          <w:b/>
          <w:szCs w:val="24"/>
        </w:rPr>
        <w:t>,</w:t>
      </w:r>
      <w:r w:rsidRPr="00C04A68">
        <w:rPr>
          <w:b/>
          <w:szCs w:val="24"/>
        </w:rPr>
        <w:t xml:space="preserve"> and present position with </w:t>
      </w:r>
      <w:r w:rsidR="00BE3931" w:rsidRPr="00BE3931">
        <w:rPr>
          <w:b/>
          <w:bCs/>
          <w:iCs/>
          <w:color w:val="000000" w:themeColor="text1"/>
        </w:rPr>
        <w:t>Pacific Power &amp; Light Company</w:t>
      </w:r>
      <w:r w:rsidR="00716A09">
        <w:rPr>
          <w:b/>
          <w:bCs/>
          <w:iCs/>
          <w:color w:val="000000" w:themeColor="text1"/>
        </w:rPr>
        <w:t xml:space="preserve"> (Pacific Power or Company)</w:t>
      </w:r>
      <w:r w:rsidR="00BE3931" w:rsidRPr="00BE3931">
        <w:rPr>
          <w:b/>
          <w:bCs/>
          <w:iCs/>
          <w:color w:val="000000" w:themeColor="text1"/>
        </w:rPr>
        <w:t xml:space="preserve">, a </w:t>
      </w:r>
      <w:r w:rsidR="00627002">
        <w:rPr>
          <w:b/>
          <w:bCs/>
          <w:iCs/>
          <w:color w:val="000000" w:themeColor="text1"/>
        </w:rPr>
        <w:t>division</w:t>
      </w:r>
      <w:r w:rsidR="00BE3931" w:rsidRPr="00BE3931">
        <w:rPr>
          <w:b/>
          <w:bCs/>
          <w:iCs/>
          <w:color w:val="000000" w:themeColor="text1"/>
        </w:rPr>
        <w:t xml:space="preserve"> of PacifiCorp</w:t>
      </w:r>
      <w:r w:rsidR="00FE0E8B">
        <w:rPr>
          <w:b/>
          <w:szCs w:val="24"/>
        </w:rPr>
        <w:t>.</w:t>
      </w:r>
    </w:p>
    <w:p w:rsidR="003D655E" w:rsidRPr="00C04A68" w:rsidRDefault="003D655E" w:rsidP="00BE3931">
      <w:pPr>
        <w:numPr>
          <w:ilvl w:val="0"/>
          <w:numId w:val="1"/>
        </w:numPr>
        <w:spacing w:line="480" w:lineRule="auto"/>
        <w:rPr>
          <w:szCs w:val="24"/>
        </w:rPr>
      </w:pPr>
      <w:r w:rsidRPr="00C04A68">
        <w:rPr>
          <w:szCs w:val="24"/>
        </w:rPr>
        <w:t xml:space="preserve">My name is Bruce N. Williams. </w:t>
      </w:r>
      <w:r w:rsidR="00716A09">
        <w:rPr>
          <w:szCs w:val="24"/>
        </w:rPr>
        <w:t xml:space="preserve"> </w:t>
      </w:r>
      <w:r w:rsidRPr="00C04A68">
        <w:rPr>
          <w:szCs w:val="24"/>
        </w:rPr>
        <w:t xml:space="preserve">My business address is 825 NE Multnomah Street, Suite 1900, Portland, Oregon 97232. </w:t>
      </w:r>
      <w:r w:rsidR="00BE3931">
        <w:rPr>
          <w:szCs w:val="24"/>
        </w:rPr>
        <w:t xml:space="preserve"> </w:t>
      </w:r>
      <w:r w:rsidRPr="00C04A68">
        <w:rPr>
          <w:szCs w:val="24"/>
        </w:rPr>
        <w:t>My present position is Vice President and Treasurer.</w:t>
      </w:r>
    </w:p>
    <w:p w:rsidR="003D655E" w:rsidRPr="00C04A68" w:rsidRDefault="00BE3931" w:rsidP="002862D2">
      <w:pPr>
        <w:pStyle w:val="Heading1"/>
      </w:pPr>
      <w:bookmarkStart w:id="1" w:name="_Toc386540852"/>
      <w:r w:rsidRPr="00C04A68">
        <w:t>QUALIFICATIONS</w:t>
      </w:r>
      <w:bookmarkEnd w:id="1"/>
    </w:p>
    <w:p w:rsidR="003D655E" w:rsidRPr="00C04A68" w:rsidRDefault="003D655E" w:rsidP="00BE3931">
      <w:pPr>
        <w:spacing w:line="480" w:lineRule="auto"/>
        <w:ind w:left="720" w:hanging="720"/>
        <w:rPr>
          <w:b/>
          <w:szCs w:val="24"/>
        </w:rPr>
      </w:pPr>
      <w:r w:rsidRPr="00C04A68">
        <w:rPr>
          <w:b/>
          <w:szCs w:val="24"/>
        </w:rPr>
        <w:t>Q.</w:t>
      </w:r>
      <w:r w:rsidRPr="00C04A68">
        <w:rPr>
          <w:b/>
          <w:szCs w:val="24"/>
        </w:rPr>
        <w:tab/>
        <w:t>Please desc</w:t>
      </w:r>
      <w:r w:rsidR="002862D2">
        <w:rPr>
          <w:b/>
          <w:szCs w:val="24"/>
        </w:rPr>
        <w:t>ribe your education and professional</w:t>
      </w:r>
      <w:r w:rsidRPr="00C04A68">
        <w:rPr>
          <w:b/>
          <w:szCs w:val="24"/>
        </w:rPr>
        <w:t xml:space="preserve"> experience.</w:t>
      </w:r>
    </w:p>
    <w:p w:rsidR="003D655E" w:rsidRPr="00C04A68" w:rsidRDefault="003D655E" w:rsidP="00BE3931">
      <w:pPr>
        <w:numPr>
          <w:ilvl w:val="0"/>
          <w:numId w:val="2"/>
        </w:numPr>
        <w:spacing w:line="480" w:lineRule="auto"/>
        <w:rPr>
          <w:szCs w:val="24"/>
        </w:rPr>
      </w:pPr>
      <w:r w:rsidRPr="00C04A68">
        <w:rPr>
          <w:szCs w:val="24"/>
        </w:rPr>
        <w:t xml:space="preserve">I received a Bachelor of Science degree in Business Administration with a concentration in Finance from Oregon State University in 1980. </w:t>
      </w:r>
      <w:r w:rsidR="00BE3931">
        <w:rPr>
          <w:szCs w:val="24"/>
        </w:rPr>
        <w:t xml:space="preserve"> </w:t>
      </w:r>
      <w:r w:rsidRPr="00C04A68">
        <w:rPr>
          <w:szCs w:val="24"/>
        </w:rPr>
        <w:t xml:space="preserve">I also received the Chartered Financial Analyst designation upon passing the examination </w:t>
      </w:r>
      <w:r w:rsidR="00716A09">
        <w:rPr>
          <w:szCs w:val="24"/>
        </w:rPr>
        <w:t>in</w:t>
      </w:r>
      <w:r w:rsidRPr="00C04A68">
        <w:rPr>
          <w:szCs w:val="24"/>
        </w:rPr>
        <w:t xml:space="preserve"> 1986. </w:t>
      </w:r>
      <w:r w:rsidR="00BE3931">
        <w:rPr>
          <w:szCs w:val="24"/>
        </w:rPr>
        <w:t xml:space="preserve"> I </w:t>
      </w:r>
      <w:r w:rsidRPr="00C04A68">
        <w:rPr>
          <w:szCs w:val="24"/>
        </w:rPr>
        <w:t xml:space="preserve">have been employed by the Company for 28 years. </w:t>
      </w:r>
      <w:r w:rsidR="00BE3931">
        <w:rPr>
          <w:szCs w:val="24"/>
        </w:rPr>
        <w:t xml:space="preserve"> </w:t>
      </w:r>
      <w:r w:rsidRPr="00C04A68">
        <w:rPr>
          <w:szCs w:val="24"/>
        </w:rPr>
        <w:t xml:space="preserve">My business experience has included financing of </w:t>
      </w:r>
      <w:r w:rsidR="00670D93">
        <w:rPr>
          <w:szCs w:val="24"/>
        </w:rPr>
        <w:t>PacifiCorp’s</w:t>
      </w:r>
      <w:r w:rsidRPr="00C04A68">
        <w:rPr>
          <w:szCs w:val="24"/>
        </w:rPr>
        <w:t xml:space="preserve"> electric operations and non-utility activities, responsibility for the investment management of </w:t>
      </w:r>
      <w:r w:rsidR="00670D93">
        <w:rPr>
          <w:szCs w:val="24"/>
        </w:rPr>
        <w:t>PacifiCor</w:t>
      </w:r>
      <w:r w:rsidR="00B300D4">
        <w:rPr>
          <w:szCs w:val="24"/>
        </w:rPr>
        <w:t>p</w:t>
      </w:r>
      <w:r w:rsidRPr="00C04A68">
        <w:rPr>
          <w:szCs w:val="24"/>
        </w:rPr>
        <w:t>’s qualified and non-qualified retirement plan assets, and investor relations.</w:t>
      </w:r>
    </w:p>
    <w:p w:rsidR="003D655E" w:rsidRPr="00C04A68" w:rsidRDefault="003D655E" w:rsidP="00BE3931">
      <w:pPr>
        <w:spacing w:line="480" w:lineRule="auto"/>
        <w:ind w:left="720" w:hanging="720"/>
        <w:rPr>
          <w:b/>
          <w:szCs w:val="24"/>
        </w:rPr>
      </w:pPr>
      <w:r w:rsidRPr="00C04A68">
        <w:rPr>
          <w:b/>
          <w:szCs w:val="24"/>
        </w:rPr>
        <w:t>Q.</w:t>
      </w:r>
      <w:r w:rsidRPr="00C04A68">
        <w:rPr>
          <w:b/>
          <w:szCs w:val="24"/>
        </w:rPr>
        <w:tab/>
        <w:t>Please describe your present duties.</w:t>
      </w:r>
    </w:p>
    <w:p w:rsidR="003D655E" w:rsidRPr="00C04A68" w:rsidRDefault="003D655E" w:rsidP="00BE3931">
      <w:pPr>
        <w:numPr>
          <w:ilvl w:val="0"/>
          <w:numId w:val="3"/>
        </w:numPr>
        <w:spacing w:line="480" w:lineRule="auto"/>
        <w:rPr>
          <w:szCs w:val="24"/>
        </w:rPr>
      </w:pPr>
      <w:r w:rsidRPr="00C04A68">
        <w:rPr>
          <w:szCs w:val="24"/>
        </w:rPr>
        <w:t xml:space="preserve">I am responsible for </w:t>
      </w:r>
      <w:r w:rsidR="00B300D4">
        <w:rPr>
          <w:szCs w:val="24"/>
        </w:rPr>
        <w:t>PacifiCorp’s</w:t>
      </w:r>
      <w:r w:rsidRPr="00C04A68">
        <w:rPr>
          <w:szCs w:val="24"/>
        </w:rPr>
        <w:t xml:space="preserve"> treasury, credit risk management, pension</w:t>
      </w:r>
      <w:r w:rsidR="00627002">
        <w:rPr>
          <w:szCs w:val="24"/>
        </w:rPr>
        <w:t>,</w:t>
      </w:r>
      <w:r w:rsidRPr="00C04A68">
        <w:rPr>
          <w:szCs w:val="24"/>
        </w:rPr>
        <w:t xml:space="preserve"> and other investment management activities. </w:t>
      </w:r>
      <w:r w:rsidR="00BE3931">
        <w:rPr>
          <w:szCs w:val="24"/>
        </w:rPr>
        <w:t xml:space="preserve"> </w:t>
      </w:r>
      <w:r w:rsidRPr="00C04A68">
        <w:rPr>
          <w:szCs w:val="24"/>
        </w:rPr>
        <w:t xml:space="preserve">I am also responsible for the preparation of </w:t>
      </w:r>
      <w:r w:rsidR="00B300D4">
        <w:rPr>
          <w:szCs w:val="24"/>
        </w:rPr>
        <w:t>PacifiCorp’s</w:t>
      </w:r>
      <w:r w:rsidRPr="00C04A68">
        <w:rPr>
          <w:szCs w:val="24"/>
        </w:rPr>
        <w:t xml:space="preserve"> embedded cost of debt and preferred equity and any associated testimony related to capital structure for regulatory filings in all of PacifiCorp’s state and federal jurisdictions.</w:t>
      </w:r>
    </w:p>
    <w:p w:rsidR="003D655E" w:rsidRPr="00C04A68" w:rsidRDefault="00BE3931" w:rsidP="002862D2">
      <w:pPr>
        <w:pStyle w:val="Heading1"/>
      </w:pPr>
      <w:bookmarkStart w:id="2" w:name="_Toc386540853"/>
      <w:r w:rsidRPr="00C04A68">
        <w:t>SUMMARY OF TESTIMONY</w:t>
      </w:r>
      <w:bookmarkEnd w:id="2"/>
    </w:p>
    <w:p w:rsidR="00E80EC8" w:rsidRDefault="003D655E" w:rsidP="00716A09">
      <w:pPr>
        <w:keepNext/>
        <w:widowControl w:val="0"/>
        <w:spacing w:line="480" w:lineRule="auto"/>
        <w:ind w:left="720" w:hanging="720"/>
        <w:rPr>
          <w:b/>
          <w:szCs w:val="24"/>
        </w:rPr>
      </w:pPr>
      <w:r w:rsidRPr="00C04A68">
        <w:rPr>
          <w:b/>
          <w:szCs w:val="24"/>
        </w:rPr>
        <w:t>Q.</w:t>
      </w:r>
      <w:r w:rsidRPr="00C04A68">
        <w:rPr>
          <w:szCs w:val="24"/>
        </w:rPr>
        <w:tab/>
      </w:r>
      <w:r w:rsidRPr="00C04A68">
        <w:rPr>
          <w:b/>
          <w:szCs w:val="24"/>
        </w:rPr>
        <w:t>Please provide a summary of your testimony.</w:t>
      </w:r>
    </w:p>
    <w:p w:rsidR="003F4377" w:rsidRDefault="00E80EC8" w:rsidP="00BE3931">
      <w:pPr>
        <w:widowControl w:val="0"/>
        <w:spacing w:line="480" w:lineRule="auto"/>
        <w:ind w:left="720" w:hanging="720"/>
        <w:rPr>
          <w:szCs w:val="24"/>
        </w:rPr>
      </w:pPr>
      <w:r w:rsidRPr="00E80EC8">
        <w:rPr>
          <w:szCs w:val="24"/>
        </w:rPr>
        <w:t>A.</w:t>
      </w:r>
      <w:r>
        <w:rPr>
          <w:b/>
          <w:szCs w:val="24"/>
        </w:rPr>
        <w:tab/>
      </w:r>
      <w:r w:rsidR="003D655E" w:rsidRPr="00C04A68">
        <w:rPr>
          <w:szCs w:val="24"/>
        </w:rPr>
        <w:t xml:space="preserve">My testimony </w:t>
      </w:r>
      <w:r w:rsidR="003B5DB8">
        <w:rPr>
          <w:szCs w:val="24"/>
        </w:rPr>
        <w:t>supports</w:t>
      </w:r>
      <w:r w:rsidR="003D655E" w:rsidRPr="00C04A68">
        <w:rPr>
          <w:szCs w:val="24"/>
        </w:rPr>
        <w:t xml:space="preserve"> the Company’s </w:t>
      </w:r>
      <w:r w:rsidR="003B5DB8">
        <w:rPr>
          <w:szCs w:val="24"/>
        </w:rPr>
        <w:t xml:space="preserve">overall cost of capital recommendation in this </w:t>
      </w:r>
      <w:r w:rsidR="003B5DB8">
        <w:rPr>
          <w:szCs w:val="24"/>
        </w:rPr>
        <w:lastRenderedPageBreak/>
        <w:t xml:space="preserve">case.  I provide evidence demonstrating how the Company’s </w:t>
      </w:r>
      <w:r w:rsidR="00FA5496">
        <w:rPr>
          <w:szCs w:val="24"/>
        </w:rPr>
        <w:t>proposed</w:t>
      </w:r>
      <w:r w:rsidR="003B5DB8">
        <w:rPr>
          <w:szCs w:val="24"/>
        </w:rPr>
        <w:t xml:space="preserve"> </w:t>
      </w:r>
      <w:r w:rsidR="003D655E" w:rsidRPr="00C04A68">
        <w:rPr>
          <w:szCs w:val="24"/>
        </w:rPr>
        <w:t xml:space="preserve">capital </w:t>
      </w:r>
      <w:r w:rsidR="00BA1B64" w:rsidRPr="00C04A68">
        <w:rPr>
          <w:szCs w:val="24"/>
        </w:rPr>
        <w:t xml:space="preserve">structure </w:t>
      </w:r>
      <w:r w:rsidR="003B5DB8">
        <w:rPr>
          <w:szCs w:val="24"/>
        </w:rPr>
        <w:t>with a</w:t>
      </w:r>
      <w:r w:rsidR="003D655E" w:rsidRPr="00C04A68">
        <w:rPr>
          <w:szCs w:val="24"/>
        </w:rPr>
        <w:t xml:space="preserve"> common equity level of 51.</w:t>
      </w:r>
      <w:r w:rsidR="00692FDE">
        <w:rPr>
          <w:szCs w:val="24"/>
        </w:rPr>
        <w:t>73</w:t>
      </w:r>
      <w:r w:rsidR="003D655E" w:rsidRPr="00C04A68">
        <w:rPr>
          <w:szCs w:val="24"/>
        </w:rPr>
        <w:t xml:space="preserve"> percent </w:t>
      </w:r>
      <w:r w:rsidR="003B5DB8">
        <w:rPr>
          <w:szCs w:val="24"/>
        </w:rPr>
        <w:t xml:space="preserve">balances safety and economy to the </w:t>
      </w:r>
      <w:r w:rsidR="003D655E" w:rsidRPr="00C04A68">
        <w:rPr>
          <w:szCs w:val="24"/>
        </w:rPr>
        <w:t>benefit</w:t>
      </w:r>
      <w:r w:rsidR="003B5DB8">
        <w:rPr>
          <w:szCs w:val="24"/>
        </w:rPr>
        <w:t xml:space="preserve"> of</w:t>
      </w:r>
      <w:r w:rsidR="003D655E" w:rsidRPr="00C04A68">
        <w:rPr>
          <w:szCs w:val="24"/>
        </w:rPr>
        <w:t xml:space="preserve"> customers. </w:t>
      </w:r>
      <w:r w:rsidR="00BE3931">
        <w:rPr>
          <w:szCs w:val="24"/>
        </w:rPr>
        <w:t xml:space="preserve"> </w:t>
      </w:r>
      <w:r w:rsidR="003D655E" w:rsidRPr="00C04A68">
        <w:rPr>
          <w:szCs w:val="24"/>
        </w:rPr>
        <w:t>The</w:t>
      </w:r>
      <w:r w:rsidR="008970C2">
        <w:rPr>
          <w:szCs w:val="24"/>
        </w:rPr>
        <w:t>se</w:t>
      </w:r>
      <w:r w:rsidR="003D655E" w:rsidRPr="00C04A68">
        <w:rPr>
          <w:szCs w:val="24"/>
        </w:rPr>
        <w:t xml:space="preserve"> benefits</w:t>
      </w:r>
      <w:r w:rsidR="00716A09">
        <w:rPr>
          <w:szCs w:val="24"/>
        </w:rPr>
        <w:t xml:space="preserve"> </w:t>
      </w:r>
      <w:r w:rsidR="003D655E" w:rsidRPr="00C04A68">
        <w:rPr>
          <w:szCs w:val="24"/>
        </w:rPr>
        <w:t xml:space="preserve">include maintaining </w:t>
      </w:r>
      <w:r w:rsidR="00FA5496">
        <w:rPr>
          <w:szCs w:val="24"/>
        </w:rPr>
        <w:t>PacifiCorp’s</w:t>
      </w:r>
      <w:r w:rsidR="003D655E" w:rsidRPr="00C04A68">
        <w:rPr>
          <w:szCs w:val="24"/>
        </w:rPr>
        <w:t xml:space="preserve"> current credit ratings, which will facilitate continued access to the capital markets</w:t>
      </w:r>
      <w:r w:rsidR="00E66996">
        <w:rPr>
          <w:szCs w:val="24"/>
        </w:rPr>
        <w:t>,</w:t>
      </w:r>
      <w:r w:rsidR="003D655E" w:rsidRPr="00C04A68">
        <w:rPr>
          <w:szCs w:val="24"/>
        </w:rPr>
        <w:t xml:space="preserve"> and providing a more competitive cost of debt and overall cost of capital over the long</w:t>
      </w:r>
      <w:r w:rsidR="00627002">
        <w:rPr>
          <w:szCs w:val="24"/>
        </w:rPr>
        <w:t xml:space="preserve"> </w:t>
      </w:r>
      <w:r w:rsidR="003D655E" w:rsidRPr="00C04A68">
        <w:rPr>
          <w:szCs w:val="24"/>
        </w:rPr>
        <w:t xml:space="preserve">term. </w:t>
      </w:r>
      <w:r w:rsidR="00BE3931">
        <w:rPr>
          <w:szCs w:val="24"/>
        </w:rPr>
        <w:t xml:space="preserve"> </w:t>
      </w:r>
    </w:p>
    <w:p w:rsidR="003D655E" w:rsidRPr="00C04A68" w:rsidRDefault="003F4377" w:rsidP="00BE3931">
      <w:pPr>
        <w:widowControl w:val="0"/>
        <w:spacing w:line="480" w:lineRule="auto"/>
        <w:ind w:left="720" w:hanging="720"/>
        <w:rPr>
          <w:szCs w:val="24"/>
        </w:rPr>
      </w:pPr>
      <w:r>
        <w:rPr>
          <w:szCs w:val="24"/>
        </w:rPr>
        <w:tab/>
      </w:r>
      <w:r>
        <w:rPr>
          <w:szCs w:val="24"/>
        </w:rPr>
        <w:tab/>
      </w:r>
      <w:r w:rsidR="00892A63">
        <w:rPr>
          <w:szCs w:val="24"/>
        </w:rPr>
        <w:t xml:space="preserve">I also </w:t>
      </w:r>
      <w:r w:rsidR="00627002">
        <w:rPr>
          <w:szCs w:val="24"/>
        </w:rPr>
        <w:t xml:space="preserve">present </w:t>
      </w:r>
      <w:r w:rsidR="00892A63">
        <w:rPr>
          <w:szCs w:val="24"/>
        </w:rPr>
        <w:t xml:space="preserve">an </w:t>
      </w:r>
      <w:r>
        <w:rPr>
          <w:szCs w:val="24"/>
        </w:rPr>
        <w:t xml:space="preserve">alternative </w:t>
      </w:r>
      <w:r w:rsidR="00627002">
        <w:rPr>
          <w:szCs w:val="24"/>
        </w:rPr>
        <w:t xml:space="preserve">cost of capital based on a </w:t>
      </w:r>
      <w:r>
        <w:rPr>
          <w:szCs w:val="24"/>
        </w:rPr>
        <w:t xml:space="preserve">hypothetical capital structure and demonstrate how a reduction in the equity component increases the costs of long-term debt and equity and </w:t>
      </w:r>
      <w:r w:rsidR="0026367E">
        <w:rPr>
          <w:szCs w:val="24"/>
        </w:rPr>
        <w:t>produces a higher</w:t>
      </w:r>
      <w:r>
        <w:rPr>
          <w:szCs w:val="24"/>
        </w:rPr>
        <w:t xml:space="preserve"> overall rate of return.  I</w:t>
      </w:r>
      <w:r w:rsidR="00627002">
        <w:rPr>
          <w:szCs w:val="24"/>
        </w:rPr>
        <w:t> </w:t>
      </w:r>
      <w:r w:rsidR="0026367E">
        <w:rPr>
          <w:szCs w:val="24"/>
        </w:rPr>
        <w:t>discuss</w:t>
      </w:r>
      <w:r>
        <w:rPr>
          <w:szCs w:val="24"/>
        </w:rPr>
        <w:t xml:space="preserve"> the redemption of a portion of PacifiCorp’s preferred stock and show how this benefits customers.  Finally, </w:t>
      </w:r>
      <w:r w:rsidR="007B3FBB" w:rsidRPr="00C04A68">
        <w:rPr>
          <w:szCs w:val="24"/>
        </w:rPr>
        <w:t>I support</w:t>
      </w:r>
      <w:r w:rsidR="003D655E" w:rsidRPr="00C04A68">
        <w:rPr>
          <w:szCs w:val="24"/>
        </w:rPr>
        <w:t xml:space="preserve"> the Company’s </w:t>
      </w:r>
      <w:r w:rsidR="00014E2D">
        <w:rPr>
          <w:szCs w:val="24"/>
        </w:rPr>
        <w:t xml:space="preserve">proposed </w:t>
      </w:r>
      <w:r w:rsidR="003D655E" w:rsidRPr="00C04A68">
        <w:rPr>
          <w:szCs w:val="24"/>
        </w:rPr>
        <w:t>cost of long-term debt of 5.</w:t>
      </w:r>
      <w:r w:rsidR="00AB2F06">
        <w:rPr>
          <w:szCs w:val="24"/>
        </w:rPr>
        <w:t>19</w:t>
      </w:r>
      <w:r w:rsidR="003D655E" w:rsidRPr="00C04A68">
        <w:rPr>
          <w:szCs w:val="24"/>
        </w:rPr>
        <w:t xml:space="preserve"> percent and cost of preferred stock of 6.75 percent.</w:t>
      </w:r>
    </w:p>
    <w:p w:rsidR="003D655E" w:rsidRPr="00C04A68" w:rsidRDefault="003D655E" w:rsidP="00BE3931">
      <w:pPr>
        <w:spacing w:line="480" w:lineRule="auto"/>
        <w:rPr>
          <w:b/>
          <w:szCs w:val="24"/>
        </w:rPr>
      </w:pPr>
      <w:r w:rsidRPr="00C04A68">
        <w:rPr>
          <w:b/>
          <w:szCs w:val="24"/>
        </w:rPr>
        <w:t>Q.</w:t>
      </w:r>
      <w:r w:rsidRPr="00C04A68">
        <w:rPr>
          <w:szCs w:val="24"/>
        </w:rPr>
        <w:tab/>
      </w:r>
      <w:r w:rsidRPr="00C04A68">
        <w:rPr>
          <w:b/>
          <w:szCs w:val="24"/>
        </w:rPr>
        <w:t>What is the overall cost of capital that you are proposing in this proceeding?</w:t>
      </w:r>
    </w:p>
    <w:p w:rsidR="003D655E" w:rsidRDefault="003D655E" w:rsidP="00BE3931">
      <w:pPr>
        <w:spacing w:line="480" w:lineRule="auto"/>
        <w:ind w:left="720" w:hanging="720"/>
        <w:rPr>
          <w:szCs w:val="24"/>
        </w:rPr>
      </w:pPr>
      <w:r w:rsidRPr="00C04A68">
        <w:rPr>
          <w:szCs w:val="24"/>
        </w:rPr>
        <w:t>A.</w:t>
      </w:r>
      <w:r w:rsidRPr="00C04A68">
        <w:rPr>
          <w:szCs w:val="24"/>
        </w:rPr>
        <w:tab/>
      </w:r>
      <w:r w:rsidR="006E3FBF">
        <w:rPr>
          <w:szCs w:val="24"/>
        </w:rPr>
        <w:t>Pacific</w:t>
      </w:r>
      <w:r w:rsidRPr="00C04A68">
        <w:rPr>
          <w:szCs w:val="24"/>
        </w:rPr>
        <w:t xml:space="preserve"> Power is proposing an overall cost of capital of 7.</w:t>
      </w:r>
      <w:r w:rsidR="00692FDE">
        <w:rPr>
          <w:szCs w:val="24"/>
        </w:rPr>
        <w:t>67</w:t>
      </w:r>
      <w:r w:rsidRPr="00C04A68">
        <w:rPr>
          <w:szCs w:val="24"/>
        </w:rPr>
        <w:t xml:space="preserve"> percent. </w:t>
      </w:r>
      <w:r w:rsidR="00BE3931">
        <w:rPr>
          <w:szCs w:val="24"/>
        </w:rPr>
        <w:t xml:space="preserve"> </w:t>
      </w:r>
      <w:r w:rsidRPr="00C04A68">
        <w:rPr>
          <w:szCs w:val="24"/>
        </w:rPr>
        <w:t xml:space="preserve">This cost includes the return on equity recommendation of </w:t>
      </w:r>
      <w:r w:rsidRPr="00A354DE">
        <w:rPr>
          <w:szCs w:val="24"/>
        </w:rPr>
        <w:t>10.00 percent</w:t>
      </w:r>
      <w:r w:rsidRPr="00C04A68">
        <w:rPr>
          <w:szCs w:val="24"/>
        </w:rPr>
        <w:t xml:space="preserve"> from</w:t>
      </w:r>
      <w:r w:rsidR="00F70CBB">
        <w:rPr>
          <w:szCs w:val="24"/>
        </w:rPr>
        <w:t xml:space="preserve"> </w:t>
      </w:r>
      <w:r w:rsidR="00B300D4">
        <w:rPr>
          <w:szCs w:val="24"/>
        </w:rPr>
        <w:t>Mr.</w:t>
      </w:r>
      <w:r w:rsidRPr="00C04A68">
        <w:rPr>
          <w:szCs w:val="24"/>
        </w:rPr>
        <w:t xml:space="preserve"> </w:t>
      </w:r>
      <w:r w:rsidR="00692FDE">
        <w:rPr>
          <w:szCs w:val="24"/>
        </w:rPr>
        <w:t xml:space="preserve">Kurt </w:t>
      </w:r>
      <w:r w:rsidR="00627002">
        <w:rPr>
          <w:szCs w:val="24"/>
        </w:rPr>
        <w:t xml:space="preserve">G. </w:t>
      </w:r>
      <w:r w:rsidR="00692FDE">
        <w:rPr>
          <w:szCs w:val="24"/>
        </w:rPr>
        <w:t>Strunk</w:t>
      </w:r>
      <w:r w:rsidRPr="00C04A68">
        <w:rPr>
          <w:szCs w:val="24"/>
        </w:rPr>
        <w:t xml:space="preserve"> and the following capital structure and costs:</w:t>
      </w:r>
    </w:p>
    <w:p w:rsidR="00801BDF" w:rsidRPr="00EE399C" w:rsidRDefault="00EE399C" w:rsidP="00AF47B9">
      <w:pPr>
        <w:suppressLineNumbers/>
        <w:ind w:left="720" w:hanging="720"/>
        <w:jc w:val="center"/>
        <w:rPr>
          <w:b/>
          <w:szCs w:val="24"/>
        </w:rPr>
      </w:pPr>
      <w:r w:rsidRPr="00EE399C">
        <w:rPr>
          <w:b/>
          <w:szCs w:val="24"/>
        </w:rPr>
        <w:t>Table 1</w:t>
      </w:r>
    </w:p>
    <w:tbl>
      <w:tblPr>
        <w:tblStyle w:val="TableGrid"/>
        <w:tblW w:w="0" w:type="auto"/>
        <w:jc w:val="center"/>
        <w:tblInd w:w="720" w:type="dxa"/>
        <w:tblLayout w:type="fixed"/>
        <w:tblLook w:val="04A0" w:firstRow="1" w:lastRow="0" w:firstColumn="1" w:lastColumn="0" w:noHBand="0" w:noVBand="1"/>
      </w:tblPr>
      <w:tblGrid>
        <w:gridCol w:w="3528"/>
        <w:gridCol w:w="1440"/>
        <w:gridCol w:w="1350"/>
        <w:gridCol w:w="1350"/>
      </w:tblGrid>
      <w:tr w:rsidR="00320B61" w:rsidTr="00EE399C">
        <w:trPr>
          <w:trHeight w:val="359"/>
          <w:jc w:val="center"/>
        </w:trPr>
        <w:tc>
          <w:tcPr>
            <w:tcW w:w="7668" w:type="dxa"/>
            <w:gridSpan w:val="4"/>
            <w:vAlign w:val="center"/>
          </w:tcPr>
          <w:p w:rsidR="00320B61" w:rsidRPr="00320B61" w:rsidRDefault="000C28A3" w:rsidP="000C28A3">
            <w:pPr>
              <w:jc w:val="center"/>
              <w:rPr>
                <w:b/>
                <w:szCs w:val="24"/>
              </w:rPr>
            </w:pPr>
            <w:r>
              <w:rPr>
                <w:b/>
                <w:szCs w:val="24"/>
              </w:rPr>
              <w:t xml:space="preserve">PROPOSED </w:t>
            </w:r>
            <w:r w:rsidR="00320B61" w:rsidRPr="00320B61">
              <w:rPr>
                <w:b/>
                <w:szCs w:val="24"/>
              </w:rPr>
              <w:t>OVERALL COST OF CAPITAL</w:t>
            </w:r>
          </w:p>
        </w:tc>
      </w:tr>
      <w:tr w:rsidR="00320B61" w:rsidTr="00EE399C">
        <w:trPr>
          <w:jc w:val="center"/>
        </w:trPr>
        <w:tc>
          <w:tcPr>
            <w:tcW w:w="3528" w:type="dxa"/>
            <w:vAlign w:val="center"/>
          </w:tcPr>
          <w:p w:rsidR="00320B61" w:rsidRDefault="00320B61" w:rsidP="000C28A3">
            <w:pPr>
              <w:jc w:val="center"/>
              <w:rPr>
                <w:szCs w:val="24"/>
              </w:rPr>
            </w:pPr>
            <w:r>
              <w:rPr>
                <w:szCs w:val="24"/>
              </w:rPr>
              <w:t>Component</w:t>
            </w:r>
          </w:p>
        </w:tc>
        <w:tc>
          <w:tcPr>
            <w:tcW w:w="1440" w:type="dxa"/>
            <w:vAlign w:val="center"/>
          </w:tcPr>
          <w:p w:rsidR="00320B61" w:rsidRDefault="00320B61" w:rsidP="007060C0">
            <w:pPr>
              <w:jc w:val="center"/>
              <w:rPr>
                <w:szCs w:val="24"/>
              </w:rPr>
            </w:pPr>
            <w:r>
              <w:rPr>
                <w:szCs w:val="24"/>
              </w:rPr>
              <w:t>Percent of Total</w:t>
            </w:r>
          </w:p>
        </w:tc>
        <w:tc>
          <w:tcPr>
            <w:tcW w:w="1350" w:type="dxa"/>
            <w:vAlign w:val="center"/>
          </w:tcPr>
          <w:p w:rsidR="00320B61" w:rsidRDefault="00320B61" w:rsidP="00BB5AEB">
            <w:pPr>
              <w:jc w:val="center"/>
              <w:rPr>
                <w:szCs w:val="24"/>
              </w:rPr>
            </w:pPr>
            <w:r>
              <w:rPr>
                <w:szCs w:val="24"/>
              </w:rPr>
              <w:t>Cost</w:t>
            </w:r>
          </w:p>
        </w:tc>
        <w:tc>
          <w:tcPr>
            <w:tcW w:w="1350" w:type="dxa"/>
            <w:vAlign w:val="center"/>
          </w:tcPr>
          <w:p w:rsidR="00320B61" w:rsidRDefault="00320B61" w:rsidP="00BB5AEB">
            <w:pPr>
              <w:jc w:val="center"/>
              <w:rPr>
                <w:szCs w:val="24"/>
              </w:rPr>
            </w:pPr>
            <w:r>
              <w:rPr>
                <w:szCs w:val="24"/>
              </w:rPr>
              <w:t>Weighted Average</w:t>
            </w:r>
          </w:p>
        </w:tc>
      </w:tr>
      <w:tr w:rsidR="00320B61" w:rsidTr="00EE399C">
        <w:trPr>
          <w:jc w:val="center"/>
        </w:trPr>
        <w:tc>
          <w:tcPr>
            <w:tcW w:w="3528" w:type="dxa"/>
          </w:tcPr>
          <w:p w:rsidR="00320B61" w:rsidRDefault="00320B61" w:rsidP="000C28A3">
            <w:pPr>
              <w:rPr>
                <w:szCs w:val="24"/>
              </w:rPr>
            </w:pPr>
            <w:r>
              <w:rPr>
                <w:szCs w:val="24"/>
              </w:rPr>
              <w:t>Short-Term Debt</w:t>
            </w:r>
          </w:p>
        </w:tc>
        <w:tc>
          <w:tcPr>
            <w:tcW w:w="1440" w:type="dxa"/>
          </w:tcPr>
          <w:p w:rsidR="00320B61" w:rsidRDefault="00320B61" w:rsidP="000C28A3">
            <w:pPr>
              <w:jc w:val="right"/>
              <w:rPr>
                <w:szCs w:val="24"/>
              </w:rPr>
            </w:pPr>
            <w:r>
              <w:rPr>
                <w:szCs w:val="24"/>
              </w:rPr>
              <w:t>0.19%</w:t>
            </w:r>
          </w:p>
        </w:tc>
        <w:tc>
          <w:tcPr>
            <w:tcW w:w="1350" w:type="dxa"/>
          </w:tcPr>
          <w:p w:rsidR="00320B61" w:rsidRDefault="00320B61" w:rsidP="000C28A3">
            <w:pPr>
              <w:jc w:val="right"/>
              <w:rPr>
                <w:szCs w:val="24"/>
              </w:rPr>
            </w:pPr>
            <w:r>
              <w:rPr>
                <w:szCs w:val="24"/>
              </w:rPr>
              <w:t>1.73%</w:t>
            </w:r>
          </w:p>
        </w:tc>
        <w:tc>
          <w:tcPr>
            <w:tcW w:w="1350" w:type="dxa"/>
          </w:tcPr>
          <w:p w:rsidR="00320B61" w:rsidRDefault="00320B61" w:rsidP="000C28A3">
            <w:pPr>
              <w:jc w:val="right"/>
              <w:rPr>
                <w:szCs w:val="24"/>
              </w:rPr>
            </w:pPr>
            <w:r>
              <w:rPr>
                <w:szCs w:val="24"/>
              </w:rPr>
              <w:t>0.00%</w:t>
            </w:r>
          </w:p>
        </w:tc>
      </w:tr>
      <w:tr w:rsidR="00320B61" w:rsidTr="00EE399C">
        <w:trPr>
          <w:jc w:val="center"/>
        </w:trPr>
        <w:tc>
          <w:tcPr>
            <w:tcW w:w="3528" w:type="dxa"/>
          </w:tcPr>
          <w:p w:rsidR="00320B61" w:rsidRDefault="00320B61" w:rsidP="000C28A3">
            <w:pPr>
              <w:rPr>
                <w:szCs w:val="24"/>
              </w:rPr>
            </w:pPr>
            <w:r>
              <w:rPr>
                <w:szCs w:val="24"/>
              </w:rPr>
              <w:t>Long-Term Debt</w:t>
            </w:r>
          </w:p>
        </w:tc>
        <w:tc>
          <w:tcPr>
            <w:tcW w:w="1440" w:type="dxa"/>
          </w:tcPr>
          <w:p w:rsidR="00320B61" w:rsidRDefault="00320B61" w:rsidP="000C28A3">
            <w:pPr>
              <w:jc w:val="right"/>
              <w:rPr>
                <w:szCs w:val="24"/>
              </w:rPr>
            </w:pPr>
            <w:r>
              <w:rPr>
                <w:szCs w:val="24"/>
              </w:rPr>
              <w:t>48.06%</w:t>
            </w:r>
          </w:p>
        </w:tc>
        <w:tc>
          <w:tcPr>
            <w:tcW w:w="1350" w:type="dxa"/>
          </w:tcPr>
          <w:p w:rsidR="00320B61" w:rsidRDefault="00320B61" w:rsidP="000C28A3">
            <w:pPr>
              <w:jc w:val="right"/>
              <w:rPr>
                <w:szCs w:val="24"/>
              </w:rPr>
            </w:pPr>
            <w:r>
              <w:rPr>
                <w:szCs w:val="24"/>
              </w:rPr>
              <w:t>5.19%</w:t>
            </w:r>
          </w:p>
        </w:tc>
        <w:tc>
          <w:tcPr>
            <w:tcW w:w="1350" w:type="dxa"/>
          </w:tcPr>
          <w:p w:rsidR="00320B61" w:rsidRDefault="00320B61" w:rsidP="000C28A3">
            <w:pPr>
              <w:jc w:val="right"/>
              <w:rPr>
                <w:szCs w:val="24"/>
              </w:rPr>
            </w:pPr>
            <w:r>
              <w:rPr>
                <w:szCs w:val="24"/>
              </w:rPr>
              <w:t>2.50%</w:t>
            </w:r>
          </w:p>
        </w:tc>
      </w:tr>
      <w:tr w:rsidR="00320B61" w:rsidTr="00EE399C">
        <w:trPr>
          <w:jc w:val="center"/>
        </w:trPr>
        <w:tc>
          <w:tcPr>
            <w:tcW w:w="3528" w:type="dxa"/>
          </w:tcPr>
          <w:p w:rsidR="00320B61" w:rsidRDefault="00320B61" w:rsidP="000C28A3">
            <w:pPr>
              <w:rPr>
                <w:szCs w:val="24"/>
              </w:rPr>
            </w:pPr>
            <w:r>
              <w:rPr>
                <w:szCs w:val="24"/>
              </w:rPr>
              <w:t>Preferred Stock</w:t>
            </w:r>
          </w:p>
        </w:tc>
        <w:tc>
          <w:tcPr>
            <w:tcW w:w="1440" w:type="dxa"/>
          </w:tcPr>
          <w:p w:rsidR="00320B61" w:rsidRDefault="00320B61" w:rsidP="000C28A3">
            <w:pPr>
              <w:jc w:val="right"/>
              <w:rPr>
                <w:szCs w:val="24"/>
              </w:rPr>
            </w:pPr>
            <w:r>
              <w:rPr>
                <w:szCs w:val="24"/>
              </w:rPr>
              <w:t>0.02%</w:t>
            </w:r>
          </w:p>
        </w:tc>
        <w:tc>
          <w:tcPr>
            <w:tcW w:w="1350" w:type="dxa"/>
          </w:tcPr>
          <w:p w:rsidR="00320B61" w:rsidRDefault="00320B61" w:rsidP="000C28A3">
            <w:pPr>
              <w:jc w:val="right"/>
              <w:rPr>
                <w:szCs w:val="24"/>
              </w:rPr>
            </w:pPr>
            <w:r>
              <w:rPr>
                <w:szCs w:val="24"/>
              </w:rPr>
              <w:t>6.75%</w:t>
            </w:r>
          </w:p>
        </w:tc>
        <w:tc>
          <w:tcPr>
            <w:tcW w:w="1350" w:type="dxa"/>
          </w:tcPr>
          <w:p w:rsidR="00320B61" w:rsidRDefault="00320B61" w:rsidP="000C28A3">
            <w:pPr>
              <w:jc w:val="right"/>
              <w:rPr>
                <w:szCs w:val="24"/>
              </w:rPr>
            </w:pPr>
            <w:r>
              <w:rPr>
                <w:szCs w:val="24"/>
              </w:rPr>
              <w:t>0.00%</w:t>
            </w:r>
          </w:p>
        </w:tc>
      </w:tr>
      <w:tr w:rsidR="00320B61" w:rsidTr="00EE399C">
        <w:trPr>
          <w:jc w:val="center"/>
        </w:trPr>
        <w:tc>
          <w:tcPr>
            <w:tcW w:w="3528" w:type="dxa"/>
            <w:tcBorders>
              <w:bottom w:val="double" w:sz="4" w:space="0" w:color="auto"/>
            </w:tcBorders>
          </w:tcPr>
          <w:p w:rsidR="00320B61" w:rsidRDefault="00320B61" w:rsidP="000C28A3">
            <w:pPr>
              <w:rPr>
                <w:szCs w:val="24"/>
              </w:rPr>
            </w:pPr>
            <w:r>
              <w:rPr>
                <w:szCs w:val="24"/>
              </w:rPr>
              <w:t>Common Equity Stock</w:t>
            </w:r>
          </w:p>
        </w:tc>
        <w:tc>
          <w:tcPr>
            <w:tcW w:w="1440" w:type="dxa"/>
            <w:tcBorders>
              <w:bottom w:val="double" w:sz="4" w:space="0" w:color="auto"/>
            </w:tcBorders>
          </w:tcPr>
          <w:p w:rsidR="00320B61" w:rsidRDefault="00320B61" w:rsidP="000C28A3">
            <w:pPr>
              <w:jc w:val="right"/>
              <w:rPr>
                <w:szCs w:val="24"/>
              </w:rPr>
            </w:pPr>
            <w:r>
              <w:rPr>
                <w:szCs w:val="24"/>
              </w:rPr>
              <w:t>51.73%</w:t>
            </w:r>
          </w:p>
        </w:tc>
        <w:tc>
          <w:tcPr>
            <w:tcW w:w="1350" w:type="dxa"/>
            <w:tcBorders>
              <w:bottom w:val="double" w:sz="4" w:space="0" w:color="auto"/>
            </w:tcBorders>
          </w:tcPr>
          <w:p w:rsidR="00320B61" w:rsidRDefault="00320B61" w:rsidP="000C28A3">
            <w:pPr>
              <w:jc w:val="right"/>
              <w:rPr>
                <w:szCs w:val="24"/>
              </w:rPr>
            </w:pPr>
            <w:r>
              <w:rPr>
                <w:szCs w:val="24"/>
              </w:rPr>
              <w:t>10.00%</w:t>
            </w:r>
          </w:p>
        </w:tc>
        <w:tc>
          <w:tcPr>
            <w:tcW w:w="1350" w:type="dxa"/>
            <w:tcBorders>
              <w:bottom w:val="double" w:sz="4" w:space="0" w:color="auto"/>
            </w:tcBorders>
          </w:tcPr>
          <w:p w:rsidR="00320B61" w:rsidRDefault="00320B61" w:rsidP="000C28A3">
            <w:pPr>
              <w:jc w:val="right"/>
              <w:rPr>
                <w:szCs w:val="24"/>
              </w:rPr>
            </w:pPr>
            <w:r>
              <w:rPr>
                <w:szCs w:val="24"/>
              </w:rPr>
              <w:t>5.17%</w:t>
            </w:r>
          </w:p>
        </w:tc>
      </w:tr>
      <w:tr w:rsidR="00320B61" w:rsidTr="00EE399C">
        <w:trPr>
          <w:jc w:val="center"/>
        </w:trPr>
        <w:tc>
          <w:tcPr>
            <w:tcW w:w="3528" w:type="dxa"/>
            <w:tcBorders>
              <w:top w:val="double" w:sz="4" w:space="0" w:color="auto"/>
            </w:tcBorders>
          </w:tcPr>
          <w:p w:rsidR="00320B61" w:rsidRDefault="00320B61" w:rsidP="000C28A3">
            <w:pPr>
              <w:rPr>
                <w:szCs w:val="24"/>
              </w:rPr>
            </w:pPr>
            <w:r>
              <w:rPr>
                <w:szCs w:val="24"/>
              </w:rPr>
              <w:t>Total</w:t>
            </w:r>
          </w:p>
        </w:tc>
        <w:tc>
          <w:tcPr>
            <w:tcW w:w="1440" w:type="dxa"/>
            <w:tcBorders>
              <w:top w:val="double" w:sz="4" w:space="0" w:color="auto"/>
            </w:tcBorders>
          </w:tcPr>
          <w:p w:rsidR="00320B61" w:rsidRDefault="00320B61" w:rsidP="000C28A3">
            <w:pPr>
              <w:jc w:val="right"/>
              <w:rPr>
                <w:szCs w:val="24"/>
              </w:rPr>
            </w:pPr>
            <w:r>
              <w:rPr>
                <w:szCs w:val="24"/>
              </w:rPr>
              <w:t>100.00%</w:t>
            </w:r>
          </w:p>
        </w:tc>
        <w:tc>
          <w:tcPr>
            <w:tcW w:w="1350" w:type="dxa"/>
            <w:tcBorders>
              <w:top w:val="double" w:sz="4" w:space="0" w:color="auto"/>
            </w:tcBorders>
          </w:tcPr>
          <w:p w:rsidR="00320B61" w:rsidRDefault="00320B61" w:rsidP="000C28A3">
            <w:pPr>
              <w:rPr>
                <w:szCs w:val="24"/>
              </w:rPr>
            </w:pPr>
          </w:p>
        </w:tc>
        <w:tc>
          <w:tcPr>
            <w:tcW w:w="1350" w:type="dxa"/>
            <w:tcBorders>
              <w:top w:val="double" w:sz="4" w:space="0" w:color="auto"/>
            </w:tcBorders>
          </w:tcPr>
          <w:p w:rsidR="00320B61" w:rsidRDefault="00320B61" w:rsidP="000C28A3">
            <w:pPr>
              <w:jc w:val="right"/>
              <w:rPr>
                <w:szCs w:val="24"/>
              </w:rPr>
            </w:pPr>
            <w:r>
              <w:rPr>
                <w:szCs w:val="24"/>
              </w:rPr>
              <w:t>7.67%</w:t>
            </w:r>
          </w:p>
        </w:tc>
      </w:tr>
    </w:tbl>
    <w:p w:rsidR="003D655E" w:rsidRDefault="003D655E" w:rsidP="00716A09">
      <w:pPr>
        <w:spacing w:before="240" w:line="480" w:lineRule="auto"/>
        <w:ind w:left="720"/>
        <w:rPr>
          <w:szCs w:val="24"/>
        </w:rPr>
      </w:pPr>
      <w:r w:rsidRPr="00C04A68">
        <w:rPr>
          <w:szCs w:val="24"/>
        </w:rPr>
        <w:lastRenderedPageBreak/>
        <w:t>As I will discuss in more detail later in this testimony, by maintaining strong credit ratings</w:t>
      </w:r>
      <w:r w:rsidR="00627002">
        <w:rPr>
          <w:szCs w:val="24"/>
        </w:rPr>
        <w:t>,</w:t>
      </w:r>
      <w:r w:rsidRPr="00C04A68">
        <w:rPr>
          <w:szCs w:val="24"/>
        </w:rPr>
        <w:t xml:space="preserve"> </w:t>
      </w:r>
      <w:r w:rsidR="003F4377">
        <w:rPr>
          <w:szCs w:val="24"/>
        </w:rPr>
        <w:t>PacifiCorp</w:t>
      </w:r>
      <w:r w:rsidRPr="00C04A68">
        <w:rPr>
          <w:szCs w:val="24"/>
        </w:rPr>
        <w:t xml:space="preserve"> has been able to continue to lower its cost of long-term debt and moderate </w:t>
      </w:r>
      <w:r w:rsidR="00A56F90">
        <w:rPr>
          <w:szCs w:val="24"/>
        </w:rPr>
        <w:t xml:space="preserve">rate </w:t>
      </w:r>
      <w:r w:rsidRPr="00C04A68">
        <w:rPr>
          <w:szCs w:val="24"/>
        </w:rPr>
        <w:t xml:space="preserve">increases to </w:t>
      </w:r>
      <w:r w:rsidR="003F4377">
        <w:rPr>
          <w:szCs w:val="24"/>
        </w:rPr>
        <w:t xml:space="preserve">Washington </w:t>
      </w:r>
      <w:r w:rsidRPr="00C04A68">
        <w:rPr>
          <w:szCs w:val="24"/>
        </w:rPr>
        <w:t>customers.</w:t>
      </w:r>
    </w:p>
    <w:p w:rsidR="00B300D4" w:rsidRDefault="00B300D4" w:rsidP="00B300D4">
      <w:pPr>
        <w:spacing w:line="480" w:lineRule="auto"/>
        <w:ind w:left="720" w:hanging="720"/>
        <w:rPr>
          <w:b/>
          <w:szCs w:val="24"/>
        </w:rPr>
      </w:pPr>
      <w:r w:rsidRPr="00B300D4">
        <w:rPr>
          <w:b/>
          <w:szCs w:val="24"/>
        </w:rPr>
        <w:t>Q.</w:t>
      </w:r>
      <w:r w:rsidRPr="00B300D4">
        <w:rPr>
          <w:b/>
          <w:szCs w:val="24"/>
        </w:rPr>
        <w:tab/>
        <w:t xml:space="preserve">Do you also propose an alternative cost of capital recommendation based on </w:t>
      </w:r>
      <w:r w:rsidR="00627002">
        <w:rPr>
          <w:b/>
          <w:szCs w:val="24"/>
        </w:rPr>
        <w:t xml:space="preserve">a </w:t>
      </w:r>
      <w:r w:rsidRPr="00B300D4">
        <w:rPr>
          <w:b/>
          <w:szCs w:val="24"/>
        </w:rPr>
        <w:t xml:space="preserve">hypothetical capital structure </w:t>
      </w:r>
      <w:r w:rsidR="00320B61">
        <w:rPr>
          <w:b/>
          <w:szCs w:val="24"/>
        </w:rPr>
        <w:t xml:space="preserve">similar to the one that the </w:t>
      </w:r>
      <w:r w:rsidR="00A96CA7">
        <w:rPr>
          <w:b/>
          <w:szCs w:val="24"/>
        </w:rPr>
        <w:t xml:space="preserve">Washington Utilities and Transportation </w:t>
      </w:r>
      <w:r w:rsidR="00A56F90">
        <w:rPr>
          <w:b/>
          <w:szCs w:val="24"/>
        </w:rPr>
        <w:t xml:space="preserve">Commission </w:t>
      </w:r>
      <w:r w:rsidR="00A96CA7">
        <w:rPr>
          <w:b/>
          <w:szCs w:val="24"/>
        </w:rPr>
        <w:t xml:space="preserve">(Commission) </w:t>
      </w:r>
      <w:r w:rsidR="00A56F90">
        <w:rPr>
          <w:b/>
          <w:szCs w:val="24"/>
        </w:rPr>
        <w:t xml:space="preserve">has </w:t>
      </w:r>
      <w:r w:rsidR="00320B61">
        <w:rPr>
          <w:b/>
          <w:szCs w:val="24"/>
        </w:rPr>
        <w:t>adopted</w:t>
      </w:r>
      <w:r w:rsidR="00320B61" w:rsidRPr="00B300D4">
        <w:rPr>
          <w:b/>
          <w:szCs w:val="24"/>
        </w:rPr>
        <w:t xml:space="preserve"> </w:t>
      </w:r>
      <w:r w:rsidRPr="00B300D4">
        <w:rPr>
          <w:b/>
          <w:szCs w:val="24"/>
        </w:rPr>
        <w:t xml:space="preserve">in </w:t>
      </w:r>
      <w:r w:rsidR="00FA5496">
        <w:rPr>
          <w:b/>
          <w:szCs w:val="24"/>
        </w:rPr>
        <w:t>the Company’s</w:t>
      </w:r>
      <w:r w:rsidRPr="00B300D4">
        <w:rPr>
          <w:b/>
          <w:szCs w:val="24"/>
        </w:rPr>
        <w:t xml:space="preserve"> </w:t>
      </w:r>
      <w:r w:rsidR="00A56F90">
        <w:rPr>
          <w:b/>
          <w:szCs w:val="24"/>
        </w:rPr>
        <w:t>recent</w:t>
      </w:r>
      <w:r w:rsidRPr="00B300D4">
        <w:rPr>
          <w:b/>
          <w:szCs w:val="24"/>
        </w:rPr>
        <w:t xml:space="preserve"> rate cases?  </w:t>
      </w:r>
    </w:p>
    <w:p w:rsidR="00320B61" w:rsidRDefault="003B5DB8" w:rsidP="00BE3931">
      <w:pPr>
        <w:spacing w:line="480" w:lineRule="auto"/>
        <w:ind w:left="720" w:hanging="720"/>
        <w:rPr>
          <w:rFonts w:eastAsiaTheme="minorHAnsi"/>
          <w:kern w:val="0"/>
          <w:szCs w:val="24"/>
        </w:rPr>
      </w:pPr>
      <w:r w:rsidRPr="003B5DB8">
        <w:rPr>
          <w:szCs w:val="24"/>
        </w:rPr>
        <w:t>A.</w:t>
      </w:r>
      <w:r w:rsidRPr="003B5DB8">
        <w:rPr>
          <w:szCs w:val="24"/>
        </w:rPr>
        <w:tab/>
      </w:r>
      <w:r>
        <w:rPr>
          <w:szCs w:val="24"/>
        </w:rPr>
        <w:t xml:space="preserve">Yes.  </w:t>
      </w:r>
      <w:r w:rsidR="00AB2F06">
        <w:rPr>
          <w:szCs w:val="24"/>
        </w:rPr>
        <w:t xml:space="preserve">While </w:t>
      </w:r>
      <w:r w:rsidR="00692FDE">
        <w:rPr>
          <w:szCs w:val="24"/>
        </w:rPr>
        <w:t xml:space="preserve">the Company </w:t>
      </w:r>
      <w:r>
        <w:rPr>
          <w:szCs w:val="24"/>
        </w:rPr>
        <w:t xml:space="preserve">continues to </w:t>
      </w:r>
      <w:r w:rsidR="008970C2">
        <w:rPr>
          <w:szCs w:val="24"/>
        </w:rPr>
        <w:t>believe that its actual capi</w:t>
      </w:r>
      <w:r w:rsidR="00C52C93">
        <w:rPr>
          <w:szCs w:val="24"/>
        </w:rPr>
        <w:t>t</w:t>
      </w:r>
      <w:r w:rsidR="008970C2">
        <w:rPr>
          <w:szCs w:val="24"/>
        </w:rPr>
        <w:t>al structure balances economy and safety, in recognition of the Commission’s adoption of a hypothetical capital structure</w:t>
      </w:r>
      <w:r w:rsidR="00D654F4">
        <w:rPr>
          <w:szCs w:val="24"/>
        </w:rPr>
        <w:t xml:space="preserve"> in </w:t>
      </w:r>
      <w:r w:rsidR="005E7C6A">
        <w:rPr>
          <w:szCs w:val="24"/>
        </w:rPr>
        <w:t>the Company’s</w:t>
      </w:r>
      <w:r w:rsidR="00D654F4">
        <w:rPr>
          <w:szCs w:val="24"/>
        </w:rPr>
        <w:t xml:space="preserve"> past cases, I have prepared </w:t>
      </w:r>
      <w:r w:rsidR="00F50CC5">
        <w:rPr>
          <w:szCs w:val="24"/>
        </w:rPr>
        <w:t xml:space="preserve">an </w:t>
      </w:r>
      <w:r w:rsidR="00D654F4">
        <w:rPr>
          <w:szCs w:val="24"/>
        </w:rPr>
        <w:t xml:space="preserve">alternative cost of capital recommendation </w:t>
      </w:r>
      <w:r w:rsidR="000162B0">
        <w:rPr>
          <w:szCs w:val="24"/>
        </w:rPr>
        <w:t xml:space="preserve">using </w:t>
      </w:r>
      <w:r w:rsidR="00FA5496">
        <w:rPr>
          <w:szCs w:val="24"/>
        </w:rPr>
        <w:t>a reduced equity component.</w:t>
      </w:r>
      <w:r w:rsidR="002C4F5B">
        <w:rPr>
          <w:rStyle w:val="FootnoteReference"/>
          <w:szCs w:val="24"/>
        </w:rPr>
        <w:footnoteReference w:id="1"/>
      </w:r>
      <w:r w:rsidR="00FA5496">
        <w:rPr>
          <w:szCs w:val="24"/>
        </w:rPr>
        <w:t xml:space="preserve"> </w:t>
      </w:r>
      <w:r w:rsidR="00D654F4">
        <w:rPr>
          <w:szCs w:val="24"/>
        </w:rPr>
        <w:t xml:space="preserve"> </w:t>
      </w:r>
      <w:r w:rsidR="006E3FBF">
        <w:rPr>
          <w:szCs w:val="24"/>
        </w:rPr>
        <w:t>The hypothetical capital structure</w:t>
      </w:r>
      <w:r w:rsidR="000E0A04">
        <w:rPr>
          <w:szCs w:val="24"/>
        </w:rPr>
        <w:t xml:space="preserve"> and resulting costs </w:t>
      </w:r>
      <w:r w:rsidR="005E7C6A">
        <w:rPr>
          <w:szCs w:val="24"/>
        </w:rPr>
        <w:t>produce</w:t>
      </w:r>
      <w:r w:rsidR="00C52C93">
        <w:rPr>
          <w:szCs w:val="24"/>
        </w:rPr>
        <w:t>s</w:t>
      </w:r>
      <w:r w:rsidR="000E0A04">
        <w:rPr>
          <w:szCs w:val="24"/>
        </w:rPr>
        <w:t xml:space="preserve"> a </w:t>
      </w:r>
      <w:r w:rsidR="00C52C93">
        <w:rPr>
          <w:szCs w:val="24"/>
        </w:rPr>
        <w:t xml:space="preserve">higher </w:t>
      </w:r>
      <w:r w:rsidR="000E0A04">
        <w:rPr>
          <w:szCs w:val="24"/>
        </w:rPr>
        <w:t xml:space="preserve">overall rate of return of </w:t>
      </w:r>
      <w:r w:rsidR="00692FDE">
        <w:rPr>
          <w:szCs w:val="24"/>
        </w:rPr>
        <w:t>7.9</w:t>
      </w:r>
      <w:r w:rsidR="00E66996">
        <w:rPr>
          <w:szCs w:val="24"/>
        </w:rPr>
        <w:t>9</w:t>
      </w:r>
      <w:r w:rsidR="000E0A04">
        <w:rPr>
          <w:szCs w:val="24"/>
        </w:rPr>
        <w:t xml:space="preserve"> percent.</w:t>
      </w:r>
      <w:r w:rsidR="005E7C6A" w:rsidRPr="005E7C6A">
        <w:rPr>
          <w:szCs w:val="24"/>
        </w:rPr>
        <w:t xml:space="preserve"> </w:t>
      </w:r>
      <w:r w:rsidR="005E7C6A">
        <w:rPr>
          <w:szCs w:val="24"/>
        </w:rPr>
        <w:t xml:space="preserve"> As shown in </w:t>
      </w:r>
      <w:r w:rsidR="00EE399C">
        <w:rPr>
          <w:szCs w:val="24"/>
        </w:rPr>
        <w:t>T</w:t>
      </w:r>
      <w:r w:rsidR="005E7C6A">
        <w:rPr>
          <w:szCs w:val="24"/>
        </w:rPr>
        <w:t xml:space="preserve">able </w:t>
      </w:r>
      <w:r w:rsidR="00EE399C">
        <w:rPr>
          <w:szCs w:val="24"/>
        </w:rPr>
        <w:t xml:space="preserve">2 </w:t>
      </w:r>
      <w:r w:rsidR="005E7C6A">
        <w:rPr>
          <w:szCs w:val="24"/>
        </w:rPr>
        <w:t xml:space="preserve">below, the reduction in the costs of the equity component is fully offset by the resulting increases in debt and equity costs, </w:t>
      </w:r>
      <w:r w:rsidR="00C52C93">
        <w:rPr>
          <w:szCs w:val="24"/>
        </w:rPr>
        <w:t>for</w:t>
      </w:r>
      <w:r w:rsidR="005E7C6A" w:rsidRPr="00316661">
        <w:rPr>
          <w:rFonts w:eastAsiaTheme="minorHAnsi"/>
          <w:kern w:val="0"/>
          <w:szCs w:val="24"/>
        </w:rPr>
        <w:t xml:space="preserve"> an overall rate of return approximately </w:t>
      </w:r>
      <w:r w:rsidR="00777213">
        <w:rPr>
          <w:rFonts w:eastAsiaTheme="minorHAnsi"/>
          <w:kern w:val="0"/>
          <w:szCs w:val="24"/>
        </w:rPr>
        <w:t>32</w:t>
      </w:r>
      <w:r w:rsidR="005E7C6A" w:rsidRPr="00316661">
        <w:rPr>
          <w:rFonts w:eastAsiaTheme="minorHAnsi"/>
          <w:kern w:val="0"/>
          <w:szCs w:val="24"/>
        </w:rPr>
        <w:t xml:space="preserve"> basis points (0.</w:t>
      </w:r>
      <w:r w:rsidR="00777213">
        <w:rPr>
          <w:rFonts w:eastAsiaTheme="minorHAnsi"/>
          <w:kern w:val="0"/>
          <w:szCs w:val="24"/>
        </w:rPr>
        <w:t>32</w:t>
      </w:r>
      <w:r w:rsidR="005E7C6A">
        <w:rPr>
          <w:rFonts w:eastAsiaTheme="minorHAnsi"/>
          <w:kern w:val="0"/>
          <w:szCs w:val="24"/>
        </w:rPr>
        <w:t xml:space="preserve"> percent</w:t>
      </w:r>
      <w:r w:rsidR="005E7C6A" w:rsidRPr="00316661">
        <w:rPr>
          <w:rFonts w:eastAsiaTheme="minorHAnsi"/>
          <w:kern w:val="0"/>
          <w:szCs w:val="24"/>
        </w:rPr>
        <w:t xml:space="preserve">) higher than </w:t>
      </w:r>
      <w:r w:rsidR="005E7C6A">
        <w:rPr>
          <w:rFonts w:eastAsiaTheme="minorHAnsi"/>
          <w:kern w:val="0"/>
          <w:szCs w:val="24"/>
        </w:rPr>
        <w:t>my primary recommendation.</w:t>
      </w:r>
    </w:p>
    <w:p w:rsidR="00EE399C" w:rsidRPr="00EE399C" w:rsidRDefault="00EE399C" w:rsidP="00801BDF">
      <w:pPr>
        <w:suppressLineNumbers/>
        <w:ind w:left="720" w:hanging="720"/>
        <w:jc w:val="center"/>
        <w:rPr>
          <w:rFonts w:eastAsiaTheme="minorHAnsi"/>
          <w:b/>
          <w:kern w:val="0"/>
          <w:szCs w:val="24"/>
        </w:rPr>
      </w:pPr>
      <w:r w:rsidRPr="00EE399C">
        <w:rPr>
          <w:b/>
          <w:szCs w:val="24"/>
        </w:rPr>
        <w:t>Table 2</w:t>
      </w:r>
    </w:p>
    <w:tbl>
      <w:tblPr>
        <w:tblStyle w:val="TableGrid"/>
        <w:tblW w:w="0" w:type="auto"/>
        <w:jc w:val="center"/>
        <w:tblInd w:w="720" w:type="dxa"/>
        <w:tblLayout w:type="fixed"/>
        <w:tblLook w:val="04A0" w:firstRow="1" w:lastRow="0" w:firstColumn="1" w:lastColumn="0" w:noHBand="0" w:noVBand="1"/>
      </w:tblPr>
      <w:tblGrid>
        <w:gridCol w:w="3528"/>
        <w:gridCol w:w="1440"/>
        <w:gridCol w:w="1350"/>
        <w:gridCol w:w="1350"/>
      </w:tblGrid>
      <w:tr w:rsidR="00A96CA7" w:rsidTr="00EE399C">
        <w:trPr>
          <w:trHeight w:val="359"/>
          <w:jc w:val="center"/>
        </w:trPr>
        <w:tc>
          <w:tcPr>
            <w:tcW w:w="7668" w:type="dxa"/>
            <w:gridSpan w:val="4"/>
            <w:vAlign w:val="center"/>
          </w:tcPr>
          <w:p w:rsidR="00A96CA7" w:rsidRPr="00320B61" w:rsidRDefault="00A96CA7" w:rsidP="000C28A3">
            <w:pPr>
              <w:jc w:val="center"/>
              <w:rPr>
                <w:b/>
                <w:szCs w:val="24"/>
              </w:rPr>
            </w:pPr>
            <w:r>
              <w:rPr>
                <w:b/>
                <w:szCs w:val="24"/>
              </w:rPr>
              <w:t xml:space="preserve">ALTERNATIVE </w:t>
            </w:r>
            <w:r w:rsidRPr="00320B61">
              <w:rPr>
                <w:b/>
                <w:szCs w:val="24"/>
              </w:rPr>
              <w:t>OVERALL COST OF CAPITAL</w:t>
            </w:r>
          </w:p>
        </w:tc>
      </w:tr>
      <w:tr w:rsidR="00A96CA7" w:rsidTr="00EE399C">
        <w:trPr>
          <w:jc w:val="center"/>
        </w:trPr>
        <w:tc>
          <w:tcPr>
            <w:tcW w:w="3528" w:type="dxa"/>
            <w:vAlign w:val="center"/>
          </w:tcPr>
          <w:p w:rsidR="00A96CA7" w:rsidRDefault="00A96CA7" w:rsidP="000C28A3">
            <w:pPr>
              <w:jc w:val="center"/>
              <w:rPr>
                <w:szCs w:val="24"/>
              </w:rPr>
            </w:pPr>
            <w:r>
              <w:rPr>
                <w:szCs w:val="24"/>
              </w:rPr>
              <w:t>Component</w:t>
            </w:r>
          </w:p>
        </w:tc>
        <w:tc>
          <w:tcPr>
            <w:tcW w:w="1440" w:type="dxa"/>
            <w:vAlign w:val="center"/>
          </w:tcPr>
          <w:p w:rsidR="00A96CA7" w:rsidRDefault="00A96CA7" w:rsidP="000C28A3">
            <w:pPr>
              <w:jc w:val="center"/>
              <w:rPr>
                <w:szCs w:val="24"/>
              </w:rPr>
            </w:pPr>
            <w:r>
              <w:rPr>
                <w:szCs w:val="24"/>
              </w:rPr>
              <w:t>Percent of Total</w:t>
            </w:r>
          </w:p>
        </w:tc>
        <w:tc>
          <w:tcPr>
            <w:tcW w:w="1350" w:type="dxa"/>
            <w:vAlign w:val="center"/>
          </w:tcPr>
          <w:p w:rsidR="00A96CA7" w:rsidRDefault="00A96CA7" w:rsidP="000C28A3">
            <w:pPr>
              <w:jc w:val="center"/>
              <w:rPr>
                <w:szCs w:val="24"/>
              </w:rPr>
            </w:pPr>
            <w:r>
              <w:rPr>
                <w:szCs w:val="24"/>
              </w:rPr>
              <w:t>Cost</w:t>
            </w:r>
          </w:p>
        </w:tc>
        <w:tc>
          <w:tcPr>
            <w:tcW w:w="1350" w:type="dxa"/>
            <w:vAlign w:val="center"/>
          </w:tcPr>
          <w:p w:rsidR="00A96CA7" w:rsidRDefault="00A96CA7" w:rsidP="000C28A3">
            <w:pPr>
              <w:jc w:val="center"/>
              <w:rPr>
                <w:szCs w:val="24"/>
              </w:rPr>
            </w:pPr>
            <w:r>
              <w:rPr>
                <w:szCs w:val="24"/>
              </w:rPr>
              <w:t>Weighted Average</w:t>
            </w:r>
          </w:p>
        </w:tc>
      </w:tr>
      <w:tr w:rsidR="00A96CA7" w:rsidTr="00EE399C">
        <w:trPr>
          <w:jc w:val="center"/>
        </w:trPr>
        <w:tc>
          <w:tcPr>
            <w:tcW w:w="3528" w:type="dxa"/>
          </w:tcPr>
          <w:p w:rsidR="00A96CA7" w:rsidRDefault="00A96CA7" w:rsidP="000C28A3">
            <w:pPr>
              <w:rPr>
                <w:szCs w:val="24"/>
              </w:rPr>
            </w:pPr>
            <w:r>
              <w:rPr>
                <w:szCs w:val="24"/>
              </w:rPr>
              <w:t>Short-Term Debt</w:t>
            </w:r>
          </w:p>
        </w:tc>
        <w:tc>
          <w:tcPr>
            <w:tcW w:w="1440" w:type="dxa"/>
          </w:tcPr>
          <w:p w:rsidR="00A96CA7" w:rsidRDefault="00A96CA7" w:rsidP="000C28A3">
            <w:pPr>
              <w:jc w:val="right"/>
              <w:rPr>
                <w:szCs w:val="24"/>
              </w:rPr>
            </w:pPr>
            <w:r>
              <w:rPr>
                <w:szCs w:val="24"/>
              </w:rPr>
              <w:t>0.19%</w:t>
            </w:r>
          </w:p>
        </w:tc>
        <w:tc>
          <w:tcPr>
            <w:tcW w:w="1350" w:type="dxa"/>
          </w:tcPr>
          <w:p w:rsidR="00A96CA7" w:rsidRDefault="00A96CA7" w:rsidP="000C28A3">
            <w:pPr>
              <w:jc w:val="right"/>
              <w:rPr>
                <w:szCs w:val="24"/>
              </w:rPr>
            </w:pPr>
            <w:r>
              <w:rPr>
                <w:szCs w:val="24"/>
              </w:rPr>
              <w:t>2.11%</w:t>
            </w:r>
          </w:p>
        </w:tc>
        <w:tc>
          <w:tcPr>
            <w:tcW w:w="1350" w:type="dxa"/>
          </w:tcPr>
          <w:p w:rsidR="00A96CA7" w:rsidRDefault="00A96CA7" w:rsidP="000C28A3">
            <w:pPr>
              <w:jc w:val="right"/>
              <w:rPr>
                <w:szCs w:val="24"/>
              </w:rPr>
            </w:pPr>
            <w:r>
              <w:rPr>
                <w:szCs w:val="24"/>
              </w:rPr>
              <w:t>0.00%</w:t>
            </w:r>
          </w:p>
        </w:tc>
      </w:tr>
      <w:tr w:rsidR="00A96CA7" w:rsidTr="00EE399C">
        <w:trPr>
          <w:jc w:val="center"/>
        </w:trPr>
        <w:tc>
          <w:tcPr>
            <w:tcW w:w="3528" w:type="dxa"/>
          </w:tcPr>
          <w:p w:rsidR="00A96CA7" w:rsidRDefault="00A96CA7" w:rsidP="000C28A3">
            <w:pPr>
              <w:rPr>
                <w:szCs w:val="24"/>
              </w:rPr>
            </w:pPr>
            <w:r>
              <w:rPr>
                <w:szCs w:val="24"/>
              </w:rPr>
              <w:t>Long-Term Debt</w:t>
            </w:r>
          </w:p>
        </w:tc>
        <w:tc>
          <w:tcPr>
            <w:tcW w:w="1440" w:type="dxa"/>
          </w:tcPr>
          <w:p w:rsidR="00A96CA7" w:rsidRDefault="00A96CA7" w:rsidP="00BB5AEB">
            <w:pPr>
              <w:jc w:val="right"/>
              <w:rPr>
                <w:szCs w:val="24"/>
              </w:rPr>
            </w:pPr>
            <w:r>
              <w:rPr>
                <w:szCs w:val="24"/>
              </w:rPr>
              <w:t>50.</w:t>
            </w:r>
            <w:r w:rsidR="00BB5AEB">
              <w:rPr>
                <w:szCs w:val="24"/>
              </w:rPr>
              <w:t>69</w:t>
            </w:r>
            <w:r>
              <w:rPr>
                <w:szCs w:val="24"/>
              </w:rPr>
              <w:t>%</w:t>
            </w:r>
          </w:p>
        </w:tc>
        <w:tc>
          <w:tcPr>
            <w:tcW w:w="1350" w:type="dxa"/>
          </w:tcPr>
          <w:p w:rsidR="00A96CA7" w:rsidRDefault="00A96CA7" w:rsidP="00A96CA7">
            <w:pPr>
              <w:jc w:val="right"/>
              <w:rPr>
                <w:szCs w:val="24"/>
              </w:rPr>
            </w:pPr>
            <w:r>
              <w:rPr>
                <w:szCs w:val="24"/>
              </w:rPr>
              <w:t>5.80%</w:t>
            </w:r>
          </w:p>
        </w:tc>
        <w:tc>
          <w:tcPr>
            <w:tcW w:w="1350" w:type="dxa"/>
          </w:tcPr>
          <w:p w:rsidR="00A96CA7" w:rsidRDefault="00A96CA7" w:rsidP="00A96CA7">
            <w:pPr>
              <w:jc w:val="right"/>
              <w:rPr>
                <w:szCs w:val="24"/>
              </w:rPr>
            </w:pPr>
            <w:r>
              <w:rPr>
                <w:szCs w:val="24"/>
              </w:rPr>
              <w:t>2.94%</w:t>
            </w:r>
          </w:p>
        </w:tc>
      </w:tr>
      <w:tr w:rsidR="00A96CA7" w:rsidTr="00EE399C">
        <w:trPr>
          <w:jc w:val="center"/>
        </w:trPr>
        <w:tc>
          <w:tcPr>
            <w:tcW w:w="3528" w:type="dxa"/>
          </w:tcPr>
          <w:p w:rsidR="00A96CA7" w:rsidRDefault="00A96CA7" w:rsidP="000C28A3">
            <w:pPr>
              <w:rPr>
                <w:szCs w:val="24"/>
              </w:rPr>
            </w:pPr>
            <w:r>
              <w:rPr>
                <w:szCs w:val="24"/>
              </w:rPr>
              <w:t>Preferred Stock</w:t>
            </w:r>
          </w:p>
        </w:tc>
        <w:tc>
          <w:tcPr>
            <w:tcW w:w="1440" w:type="dxa"/>
          </w:tcPr>
          <w:p w:rsidR="00A96CA7" w:rsidRDefault="00A96CA7" w:rsidP="00BB5AEB">
            <w:pPr>
              <w:jc w:val="right"/>
              <w:rPr>
                <w:szCs w:val="24"/>
              </w:rPr>
            </w:pPr>
            <w:r>
              <w:rPr>
                <w:szCs w:val="24"/>
              </w:rPr>
              <w:t>0.0</w:t>
            </w:r>
            <w:r w:rsidR="00BB5AEB">
              <w:rPr>
                <w:szCs w:val="24"/>
              </w:rPr>
              <w:t>2</w:t>
            </w:r>
            <w:r>
              <w:rPr>
                <w:szCs w:val="24"/>
              </w:rPr>
              <w:t>%</w:t>
            </w:r>
          </w:p>
        </w:tc>
        <w:tc>
          <w:tcPr>
            <w:tcW w:w="1350" w:type="dxa"/>
          </w:tcPr>
          <w:p w:rsidR="00A96CA7" w:rsidRDefault="00A96CA7" w:rsidP="000C28A3">
            <w:pPr>
              <w:jc w:val="right"/>
              <w:rPr>
                <w:szCs w:val="24"/>
              </w:rPr>
            </w:pPr>
            <w:r>
              <w:rPr>
                <w:szCs w:val="24"/>
              </w:rPr>
              <w:t>6.75%</w:t>
            </w:r>
          </w:p>
        </w:tc>
        <w:tc>
          <w:tcPr>
            <w:tcW w:w="1350" w:type="dxa"/>
          </w:tcPr>
          <w:p w:rsidR="00A96CA7" w:rsidRDefault="00A96CA7" w:rsidP="000C28A3">
            <w:pPr>
              <w:jc w:val="right"/>
              <w:rPr>
                <w:szCs w:val="24"/>
              </w:rPr>
            </w:pPr>
            <w:r>
              <w:rPr>
                <w:szCs w:val="24"/>
              </w:rPr>
              <w:t>0.00%</w:t>
            </w:r>
          </w:p>
        </w:tc>
      </w:tr>
      <w:tr w:rsidR="00A96CA7" w:rsidTr="00EE399C">
        <w:trPr>
          <w:jc w:val="center"/>
        </w:trPr>
        <w:tc>
          <w:tcPr>
            <w:tcW w:w="3528" w:type="dxa"/>
            <w:tcBorders>
              <w:bottom w:val="double" w:sz="4" w:space="0" w:color="auto"/>
            </w:tcBorders>
          </w:tcPr>
          <w:p w:rsidR="00A96CA7" w:rsidRDefault="00A96CA7" w:rsidP="000C28A3">
            <w:pPr>
              <w:rPr>
                <w:szCs w:val="24"/>
              </w:rPr>
            </w:pPr>
            <w:r>
              <w:rPr>
                <w:szCs w:val="24"/>
              </w:rPr>
              <w:t>Common Equity Stock</w:t>
            </w:r>
          </w:p>
        </w:tc>
        <w:tc>
          <w:tcPr>
            <w:tcW w:w="1440" w:type="dxa"/>
            <w:tcBorders>
              <w:bottom w:val="double" w:sz="4" w:space="0" w:color="auto"/>
            </w:tcBorders>
          </w:tcPr>
          <w:p w:rsidR="00A96CA7" w:rsidRDefault="00A96CA7" w:rsidP="000C28A3">
            <w:pPr>
              <w:jc w:val="right"/>
              <w:rPr>
                <w:szCs w:val="24"/>
              </w:rPr>
            </w:pPr>
            <w:r>
              <w:rPr>
                <w:szCs w:val="24"/>
              </w:rPr>
              <w:t>49.10%</w:t>
            </w:r>
          </w:p>
        </w:tc>
        <w:tc>
          <w:tcPr>
            <w:tcW w:w="1350" w:type="dxa"/>
            <w:tcBorders>
              <w:bottom w:val="double" w:sz="4" w:space="0" w:color="auto"/>
            </w:tcBorders>
          </w:tcPr>
          <w:p w:rsidR="00A96CA7" w:rsidRDefault="00A96CA7" w:rsidP="00C300D1">
            <w:pPr>
              <w:jc w:val="right"/>
              <w:rPr>
                <w:szCs w:val="24"/>
              </w:rPr>
            </w:pPr>
            <w:r>
              <w:rPr>
                <w:szCs w:val="24"/>
              </w:rPr>
              <w:t>10.2</w:t>
            </w:r>
            <w:r w:rsidR="00C300D1">
              <w:rPr>
                <w:szCs w:val="24"/>
              </w:rPr>
              <w:t>8</w:t>
            </w:r>
            <w:r>
              <w:rPr>
                <w:szCs w:val="24"/>
              </w:rPr>
              <w:t>%</w:t>
            </w:r>
          </w:p>
        </w:tc>
        <w:tc>
          <w:tcPr>
            <w:tcW w:w="1350" w:type="dxa"/>
            <w:tcBorders>
              <w:bottom w:val="double" w:sz="4" w:space="0" w:color="auto"/>
            </w:tcBorders>
          </w:tcPr>
          <w:p w:rsidR="00A96CA7" w:rsidRDefault="00A96CA7" w:rsidP="00A96CA7">
            <w:pPr>
              <w:jc w:val="right"/>
              <w:rPr>
                <w:szCs w:val="24"/>
              </w:rPr>
            </w:pPr>
            <w:r>
              <w:rPr>
                <w:szCs w:val="24"/>
              </w:rPr>
              <w:t>5.05%</w:t>
            </w:r>
          </w:p>
        </w:tc>
      </w:tr>
      <w:tr w:rsidR="00A96CA7" w:rsidTr="00EE399C">
        <w:trPr>
          <w:jc w:val="center"/>
        </w:trPr>
        <w:tc>
          <w:tcPr>
            <w:tcW w:w="3528" w:type="dxa"/>
            <w:tcBorders>
              <w:top w:val="double" w:sz="4" w:space="0" w:color="auto"/>
            </w:tcBorders>
          </w:tcPr>
          <w:p w:rsidR="00A96CA7" w:rsidRDefault="00A96CA7" w:rsidP="000C28A3">
            <w:pPr>
              <w:rPr>
                <w:szCs w:val="24"/>
              </w:rPr>
            </w:pPr>
            <w:r>
              <w:rPr>
                <w:szCs w:val="24"/>
              </w:rPr>
              <w:t>Total</w:t>
            </w:r>
          </w:p>
        </w:tc>
        <w:tc>
          <w:tcPr>
            <w:tcW w:w="1440" w:type="dxa"/>
            <w:tcBorders>
              <w:top w:val="double" w:sz="4" w:space="0" w:color="auto"/>
            </w:tcBorders>
          </w:tcPr>
          <w:p w:rsidR="00A96CA7" w:rsidRDefault="00A96CA7" w:rsidP="000C28A3">
            <w:pPr>
              <w:jc w:val="right"/>
              <w:rPr>
                <w:szCs w:val="24"/>
              </w:rPr>
            </w:pPr>
            <w:r>
              <w:rPr>
                <w:szCs w:val="24"/>
              </w:rPr>
              <w:t>100.00%</w:t>
            </w:r>
          </w:p>
        </w:tc>
        <w:tc>
          <w:tcPr>
            <w:tcW w:w="1350" w:type="dxa"/>
            <w:tcBorders>
              <w:top w:val="double" w:sz="4" w:space="0" w:color="auto"/>
            </w:tcBorders>
          </w:tcPr>
          <w:p w:rsidR="00A96CA7" w:rsidRDefault="00A96CA7" w:rsidP="000C28A3">
            <w:pPr>
              <w:rPr>
                <w:szCs w:val="24"/>
              </w:rPr>
            </w:pPr>
          </w:p>
        </w:tc>
        <w:tc>
          <w:tcPr>
            <w:tcW w:w="1350" w:type="dxa"/>
            <w:tcBorders>
              <w:top w:val="double" w:sz="4" w:space="0" w:color="auto"/>
            </w:tcBorders>
          </w:tcPr>
          <w:p w:rsidR="00A96CA7" w:rsidRDefault="00A96CA7" w:rsidP="00A96CA7">
            <w:pPr>
              <w:jc w:val="right"/>
              <w:rPr>
                <w:szCs w:val="24"/>
              </w:rPr>
            </w:pPr>
            <w:r>
              <w:rPr>
                <w:szCs w:val="24"/>
              </w:rPr>
              <w:t>7.99%</w:t>
            </w:r>
          </w:p>
        </w:tc>
      </w:tr>
    </w:tbl>
    <w:p w:rsidR="003D655E" w:rsidRPr="00C04A68" w:rsidRDefault="00BE3931" w:rsidP="00801BDF">
      <w:pPr>
        <w:pStyle w:val="Heading1"/>
      </w:pPr>
      <w:bookmarkStart w:id="3" w:name="_Toc386540854"/>
      <w:r w:rsidRPr="00C04A68">
        <w:lastRenderedPageBreak/>
        <w:t>FINANCING OVERVIEW</w:t>
      </w:r>
      <w:bookmarkEnd w:id="3"/>
    </w:p>
    <w:p w:rsidR="003D655E" w:rsidRPr="00C04A68" w:rsidRDefault="003D655E" w:rsidP="006C1ACD">
      <w:pPr>
        <w:keepNext/>
        <w:spacing w:line="480" w:lineRule="auto"/>
        <w:ind w:left="720" w:hanging="720"/>
        <w:rPr>
          <w:b/>
          <w:szCs w:val="24"/>
        </w:rPr>
      </w:pPr>
      <w:r w:rsidRPr="00C04A68">
        <w:rPr>
          <w:b/>
          <w:szCs w:val="24"/>
        </w:rPr>
        <w:t>Q.</w:t>
      </w:r>
      <w:r w:rsidRPr="00C04A68">
        <w:rPr>
          <w:b/>
          <w:szCs w:val="24"/>
        </w:rPr>
        <w:tab/>
        <w:t xml:space="preserve">How does </w:t>
      </w:r>
      <w:r w:rsidR="00550458">
        <w:rPr>
          <w:b/>
          <w:szCs w:val="24"/>
        </w:rPr>
        <w:t>PacifiCorp</w:t>
      </w:r>
      <w:r w:rsidRPr="00C04A68">
        <w:rPr>
          <w:b/>
          <w:szCs w:val="24"/>
        </w:rPr>
        <w:t xml:space="preserve"> finance its regulated electric utility operations?</w:t>
      </w:r>
    </w:p>
    <w:p w:rsidR="003D655E" w:rsidRPr="00C04A68" w:rsidRDefault="003D655E" w:rsidP="00BE3931">
      <w:pPr>
        <w:spacing w:line="480" w:lineRule="auto"/>
        <w:ind w:left="720" w:hanging="720"/>
        <w:rPr>
          <w:szCs w:val="24"/>
        </w:rPr>
      </w:pPr>
      <w:r w:rsidRPr="00C04A68">
        <w:rPr>
          <w:szCs w:val="24"/>
        </w:rPr>
        <w:t>A.</w:t>
      </w:r>
      <w:r w:rsidRPr="00C04A68">
        <w:rPr>
          <w:szCs w:val="24"/>
        </w:rPr>
        <w:tab/>
      </w:r>
      <w:r w:rsidR="00550458">
        <w:rPr>
          <w:szCs w:val="24"/>
        </w:rPr>
        <w:t>PacifiCorp</w:t>
      </w:r>
      <w:r w:rsidRPr="00C04A68">
        <w:rPr>
          <w:szCs w:val="24"/>
        </w:rPr>
        <w:t xml:space="preserve"> finances its regulated utility operations with a mix of d</w:t>
      </w:r>
      <w:r w:rsidR="000C2349">
        <w:rPr>
          <w:szCs w:val="24"/>
        </w:rPr>
        <w:t xml:space="preserve">ebt and common equity capital. </w:t>
      </w:r>
      <w:r w:rsidR="00F80CEA">
        <w:rPr>
          <w:szCs w:val="24"/>
        </w:rPr>
        <w:t xml:space="preserve"> </w:t>
      </w:r>
      <w:r w:rsidR="00550458">
        <w:rPr>
          <w:szCs w:val="24"/>
        </w:rPr>
        <w:t>PacifiCorp</w:t>
      </w:r>
      <w:r w:rsidR="00A56F90">
        <w:rPr>
          <w:szCs w:val="24"/>
        </w:rPr>
        <w:t xml:space="preserve"> </w:t>
      </w:r>
      <w:r w:rsidR="007B3FBB">
        <w:rPr>
          <w:szCs w:val="24"/>
        </w:rPr>
        <w:t xml:space="preserve">forecasts </w:t>
      </w:r>
      <w:r w:rsidR="007B3FBB" w:rsidRPr="00C04A68">
        <w:rPr>
          <w:szCs w:val="24"/>
        </w:rPr>
        <w:t>significant</w:t>
      </w:r>
      <w:r w:rsidRPr="00C04A68">
        <w:rPr>
          <w:szCs w:val="24"/>
        </w:rPr>
        <w:t xml:space="preserve"> capital expenditures</w:t>
      </w:r>
      <w:r w:rsidR="00A56F90">
        <w:rPr>
          <w:szCs w:val="24"/>
        </w:rPr>
        <w:t xml:space="preserve"> in the rate effective period, and bonus depreciation </w:t>
      </w:r>
      <w:r w:rsidR="002900E6">
        <w:rPr>
          <w:szCs w:val="24"/>
        </w:rPr>
        <w:t xml:space="preserve">will not be </w:t>
      </w:r>
      <w:r w:rsidR="00A56F90">
        <w:rPr>
          <w:szCs w:val="24"/>
        </w:rPr>
        <w:t>in effect</w:t>
      </w:r>
      <w:r w:rsidR="002900E6">
        <w:rPr>
          <w:szCs w:val="24"/>
        </w:rPr>
        <w:t xml:space="preserve">. </w:t>
      </w:r>
      <w:r w:rsidR="00D537F1">
        <w:rPr>
          <w:szCs w:val="24"/>
        </w:rPr>
        <w:t xml:space="preserve"> In addition, Standard &amp; Poor’s (S&amp;P) continues to impute over one-half billion </w:t>
      </w:r>
      <w:r w:rsidR="0093118D">
        <w:rPr>
          <w:szCs w:val="24"/>
        </w:rPr>
        <w:t xml:space="preserve">dollars </w:t>
      </w:r>
      <w:r w:rsidR="00D537F1">
        <w:rPr>
          <w:szCs w:val="24"/>
        </w:rPr>
        <w:t xml:space="preserve">of debt and debt equivalents to the Company.  </w:t>
      </w:r>
      <w:r w:rsidR="002900E6">
        <w:rPr>
          <w:szCs w:val="24"/>
        </w:rPr>
        <w:t xml:space="preserve">Under </w:t>
      </w:r>
      <w:r w:rsidR="00320B61">
        <w:rPr>
          <w:szCs w:val="24"/>
        </w:rPr>
        <w:t xml:space="preserve">these </w:t>
      </w:r>
      <w:r w:rsidR="002900E6">
        <w:rPr>
          <w:szCs w:val="24"/>
        </w:rPr>
        <w:t>circumstances</w:t>
      </w:r>
      <w:r w:rsidR="007B3FBB">
        <w:rPr>
          <w:szCs w:val="24"/>
        </w:rPr>
        <w:t>, PacifiCorp</w:t>
      </w:r>
      <w:r w:rsidR="00550458">
        <w:rPr>
          <w:szCs w:val="24"/>
        </w:rPr>
        <w:t xml:space="preserve"> </w:t>
      </w:r>
      <w:r w:rsidRPr="00C04A68">
        <w:rPr>
          <w:szCs w:val="24"/>
        </w:rPr>
        <w:t>need</w:t>
      </w:r>
      <w:r w:rsidR="002900E6">
        <w:rPr>
          <w:szCs w:val="24"/>
        </w:rPr>
        <w:t>s</w:t>
      </w:r>
      <w:r w:rsidRPr="00C04A68">
        <w:rPr>
          <w:szCs w:val="24"/>
        </w:rPr>
        <w:t xml:space="preserve"> a common equity component in excess of 50 percent </w:t>
      </w:r>
      <w:r w:rsidR="00320B61">
        <w:rPr>
          <w:szCs w:val="24"/>
        </w:rPr>
        <w:t>in</w:t>
      </w:r>
      <w:r w:rsidR="00320B61" w:rsidRPr="00C04A68">
        <w:rPr>
          <w:szCs w:val="24"/>
        </w:rPr>
        <w:t xml:space="preserve"> </w:t>
      </w:r>
      <w:r w:rsidRPr="00C04A68">
        <w:rPr>
          <w:szCs w:val="24"/>
        </w:rPr>
        <w:t>the capital structure to maintain its credit rating and finance the debt component of the capital structure at the lowest</w:t>
      </w:r>
      <w:r w:rsidR="000C2349">
        <w:rPr>
          <w:szCs w:val="24"/>
        </w:rPr>
        <w:t xml:space="preserve"> reasonable cost to customers. </w:t>
      </w:r>
      <w:r w:rsidR="00F80CEA">
        <w:rPr>
          <w:szCs w:val="24"/>
        </w:rPr>
        <w:t xml:space="preserve"> </w:t>
      </w:r>
      <w:r w:rsidRPr="00C04A68">
        <w:rPr>
          <w:szCs w:val="24"/>
        </w:rPr>
        <w:t>This provides more flexibility regarding the type and timing of debt financing, better access to the capital markets, a more competitive cost of debt and</w:t>
      </w:r>
      <w:r w:rsidR="00320B61">
        <w:rPr>
          <w:szCs w:val="24"/>
        </w:rPr>
        <w:t>—</w:t>
      </w:r>
      <w:r w:rsidRPr="00C04A68">
        <w:rPr>
          <w:szCs w:val="24"/>
        </w:rPr>
        <w:t>over the long run</w:t>
      </w:r>
      <w:r w:rsidR="00320B61">
        <w:rPr>
          <w:szCs w:val="24"/>
        </w:rPr>
        <w:t>—</w:t>
      </w:r>
      <w:r w:rsidRPr="00C04A68">
        <w:rPr>
          <w:szCs w:val="24"/>
        </w:rPr>
        <w:t xml:space="preserve">more stable credit ratings, all of which assist in financing  </w:t>
      </w:r>
      <w:r w:rsidR="006A1F3A">
        <w:rPr>
          <w:szCs w:val="24"/>
        </w:rPr>
        <w:t xml:space="preserve">capital </w:t>
      </w:r>
      <w:r w:rsidRPr="00C04A68">
        <w:rPr>
          <w:szCs w:val="24"/>
        </w:rPr>
        <w:t>expenditures.</w:t>
      </w:r>
    </w:p>
    <w:p w:rsidR="00A354DE" w:rsidRPr="00C04A68" w:rsidRDefault="00A354DE" w:rsidP="00801BDF">
      <w:pPr>
        <w:pStyle w:val="Heading1"/>
      </w:pPr>
      <w:bookmarkStart w:id="4" w:name="_Toc386540855"/>
      <w:r w:rsidRPr="00C04A68">
        <w:t>CAPITAL STRUCTURE DETERMINATION</w:t>
      </w:r>
      <w:bookmarkEnd w:id="4"/>
    </w:p>
    <w:p w:rsidR="00A354DE" w:rsidRPr="00CF3149" w:rsidRDefault="00A354DE" w:rsidP="00A354DE">
      <w:pPr>
        <w:spacing w:line="480" w:lineRule="auto"/>
        <w:ind w:left="720" w:hanging="720"/>
        <w:rPr>
          <w:b/>
          <w:bCs/>
          <w:kern w:val="0"/>
          <w:szCs w:val="24"/>
        </w:rPr>
      </w:pPr>
      <w:r w:rsidRPr="00CF3149">
        <w:rPr>
          <w:b/>
          <w:bCs/>
          <w:kern w:val="0"/>
          <w:szCs w:val="24"/>
        </w:rPr>
        <w:t>Q.</w:t>
      </w:r>
      <w:r w:rsidRPr="00CF3149">
        <w:rPr>
          <w:b/>
          <w:bCs/>
          <w:kern w:val="0"/>
          <w:szCs w:val="24"/>
        </w:rPr>
        <w:tab/>
        <w:t xml:space="preserve">How did the Company determine </w:t>
      </w:r>
      <w:r w:rsidR="00550458">
        <w:rPr>
          <w:b/>
          <w:bCs/>
          <w:kern w:val="0"/>
          <w:szCs w:val="24"/>
        </w:rPr>
        <w:t xml:space="preserve">its recommended </w:t>
      </w:r>
      <w:r w:rsidR="0044087C" w:rsidRPr="00CF3149">
        <w:rPr>
          <w:b/>
          <w:bCs/>
          <w:kern w:val="0"/>
          <w:szCs w:val="24"/>
        </w:rPr>
        <w:t>capital</w:t>
      </w:r>
      <w:r w:rsidR="0044087C">
        <w:rPr>
          <w:b/>
          <w:bCs/>
          <w:kern w:val="0"/>
          <w:szCs w:val="24"/>
        </w:rPr>
        <w:t xml:space="preserve"> </w:t>
      </w:r>
      <w:r w:rsidR="0044087C" w:rsidRPr="00CF3149">
        <w:rPr>
          <w:b/>
          <w:bCs/>
          <w:kern w:val="0"/>
          <w:szCs w:val="24"/>
        </w:rPr>
        <w:t>structure</w:t>
      </w:r>
      <w:r w:rsidR="0026367E">
        <w:rPr>
          <w:b/>
          <w:bCs/>
          <w:kern w:val="0"/>
          <w:szCs w:val="24"/>
        </w:rPr>
        <w:t xml:space="preserve"> </w:t>
      </w:r>
      <w:r w:rsidRPr="00CF3149">
        <w:rPr>
          <w:b/>
          <w:bCs/>
          <w:kern w:val="0"/>
          <w:szCs w:val="24"/>
        </w:rPr>
        <w:t>in this proceeding?</w:t>
      </w:r>
    </w:p>
    <w:p w:rsidR="00A354DE" w:rsidRPr="00CF3149" w:rsidRDefault="0044087C" w:rsidP="00A354DE">
      <w:pPr>
        <w:spacing w:line="480" w:lineRule="auto"/>
        <w:ind w:left="720" w:hanging="720"/>
        <w:rPr>
          <w:kern w:val="0"/>
          <w:szCs w:val="24"/>
        </w:rPr>
      </w:pPr>
      <w:r w:rsidRPr="00801BDF">
        <w:rPr>
          <w:bCs/>
          <w:kern w:val="0"/>
          <w:szCs w:val="24"/>
        </w:rPr>
        <w:t>A</w:t>
      </w:r>
      <w:r w:rsidR="00A354DE" w:rsidRPr="00801BDF">
        <w:rPr>
          <w:bCs/>
          <w:kern w:val="0"/>
          <w:szCs w:val="24"/>
        </w:rPr>
        <w:t>.</w:t>
      </w:r>
      <w:r w:rsidR="00A354DE" w:rsidRPr="00CF3149">
        <w:rPr>
          <w:b/>
          <w:bCs/>
          <w:kern w:val="0"/>
          <w:szCs w:val="24"/>
        </w:rPr>
        <w:tab/>
      </w:r>
      <w:r w:rsidR="00A354DE" w:rsidRPr="00CF3149">
        <w:rPr>
          <w:kern w:val="0"/>
          <w:szCs w:val="24"/>
        </w:rPr>
        <w:t xml:space="preserve">The Company used an average of </w:t>
      </w:r>
      <w:r w:rsidR="0026367E">
        <w:rPr>
          <w:kern w:val="0"/>
          <w:szCs w:val="24"/>
        </w:rPr>
        <w:t>PacifiCorp’s</w:t>
      </w:r>
      <w:r w:rsidR="00A354DE" w:rsidRPr="00CF3149">
        <w:rPr>
          <w:kern w:val="0"/>
          <w:szCs w:val="24"/>
        </w:rPr>
        <w:t xml:space="preserve"> five-quarter ends spanning the 12</w:t>
      </w:r>
      <w:r w:rsidR="00320B61">
        <w:rPr>
          <w:kern w:val="0"/>
          <w:szCs w:val="24"/>
        </w:rPr>
        <w:t> </w:t>
      </w:r>
      <w:r w:rsidR="00A354DE" w:rsidRPr="00CF3149">
        <w:rPr>
          <w:kern w:val="0"/>
          <w:szCs w:val="24"/>
        </w:rPr>
        <w:t xml:space="preserve">months ending December 31, 2014, to calculate its proposed capital structure.  This approach </w:t>
      </w:r>
      <w:proofErr w:type="spellStart"/>
      <w:r w:rsidRPr="00CF3149">
        <w:rPr>
          <w:kern w:val="0"/>
          <w:szCs w:val="24"/>
        </w:rPr>
        <w:t>smoothes</w:t>
      </w:r>
      <w:proofErr w:type="spellEnd"/>
      <w:r w:rsidR="00A354DE" w:rsidRPr="00CF3149">
        <w:rPr>
          <w:kern w:val="0"/>
          <w:szCs w:val="24"/>
        </w:rPr>
        <w:t xml:space="preserve"> volatility in the capital structure, which will fluctuate as </w:t>
      </w:r>
      <w:r w:rsidR="00550458">
        <w:rPr>
          <w:kern w:val="0"/>
          <w:szCs w:val="24"/>
        </w:rPr>
        <w:t>PacifiCorp</w:t>
      </w:r>
      <w:r w:rsidR="00A354DE" w:rsidRPr="00CF3149">
        <w:rPr>
          <w:kern w:val="0"/>
          <w:szCs w:val="24"/>
        </w:rPr>
        <w:t xml:space="preserve"> expends capital, issues or retires debt, retains earnings, or declares dividends.  The Company </w:t>
      </w:r>
      <w:r w:rsidR="00EE717D">
        <w:rPr>
          <w:kern w:val="0"/>
          <w:szCs w:val="24"/>
        </w:rPr>
        <w:t xml:space="preserve">has </w:t>
      </w:r>
      <w:r w:rsidR="00550458">
        <w:rPr>
          <w:kern w:val="0"/>
          <w:szCs w:val="24"/>
        </w:rPr>
        <w:t>used this same methodology in all of its recent rate case filings</w:t>
      </w:r>
      <w:r w:rsidR="00EE717D">
        <w:rPr>
          <w:kern w:val="0"/>
          <w:szCs w:val="24"/>
        </w:rPr>
        <w:t xml:space="preserve"> </w:t>
      </w:r>
      <w:r w:rsidR="00E375C4">
        <w:rPr>
          <w:kern w:val="0"/>
          <w:szCs w:val="24"/>
        </w:rPr>
        <w:t>in Washington</w:t>
      </w:r>
      <w:r w:rsidR="00EE717D">
        <w:rPr>
          <w:kern w:val="0"/>
          <w:szCs w:val="24"/>
        </w:rPr>
        <w:t xml:space="preserve">, without objections to the </w:t>
      </w:r>
      <w:r w:rsidR="00D537F1">
        <w:rPr>
          <w:kern w:val="0"/>
          <w:szCs w:val="24"/>
        </w:rPr>
        <w:t xml:space="preserve">calculation </w:t>
      </w:r>
      <w:r w:rsidR="00EE717D">
        <w:rPr>
          <w:kern w:val="0"/>
          <w:szCs w:val="24"/>
        </w:rPr>
        <w:t>methodology.</w:t>
      </w:r>
      <w:r w:rsidR="00A354DE" w:rsidRPr="00CF3149">
        <w:rPr>
          <w:kern w:val="0"/>
          <w:szCs w:val="24"/>
        </w:rPr>
        <w:t xml:space="preserve">  </w:t>
      </w:r>
    </w:p>
    <w:p w:rsidR="00A354DE" w:rsidRPr="00CF3149" w:rsidRDefault="00A354DE" w:rsidP="00A354DE">
      <w:pPr>
        <w:spacing w:line="480" w:lineRule="auto"/>
        <w:ind w:left="720" w:hanging="720"/>
        <w:rPr>
          <w:kern w:val="0"/>
          <w:szCs w:val="24"/>
        </w:rPr>
      </w:pPr>
      <w:r w:rsidRPr="00CF3149">
        <w:rPr>
          <w:b/>
          <w:bCs/>
          <w:kern w:val="0"/>
          <w:szCs w:val="24"/>
        </w:rPr>
        <w:lastRenderedPageBreak/>
        <w:t>Q.</w:t>
      </w:r>
      <w:r w:rsidRPr="00CF3149">
        <w:rPr>
          <w:b/>
          <w:bCs/>
          <w:kern w:val="0"/>
          <w:szCs w:val="24"/>
        </w:rPr>
        <w:tab/>
        <w:t>Why does your analysis of capital structure and costs of capital utilize the period ending December 31, 2014?</w:t>
      </w:r>
    </w:p>
    <w:p w:rsidR="00735AC0" w:rsidRDefault="00A354DE" w:rsidP="00735AC0">
      <w:pPr>
        <w:spacing w:line="480" w:lineRule="auto"/>
        <w:ind w:left="720" w:hanging="720"/>
        <w:rPr>
          <w:b/>
          <w:kern w:val="0"/>
          <w:szCs w:val="24"/>
        </w:rPr>
      </w:pPr>
      <w:r w:rsidRPr="00CF3149">
        <w:rPr>
          <w:kern w:val="0"/>
          <w:szCs w:val="24"/>
        </w:rPr>
        <w:t>A.</w:t>
      </w:r>
      <w:r w:rsidRPr="00CF3149">
        <w:rPr>
          <w:kern w:val="0"/>
          <w:szCs w:val="24"/>
        </w:rPr>
        <w:tab/>
        <w:t>The test period in this proceeding is the 12 months end</w:t>
      </w:r>
      <w:r w:rsidR="001B3CE8">
        <w:rPr>
          <w:kern w:val="0"/>
          <w:szCs w:val="24"/>
        </w:rPr>
        <w:t>ing</w:t>
      </w:r>
      <w:r w:rsidRPr="00CF3149">
        <w:rPr>
          <w:kern w:val="0"/>
          <w:szCs w:val="24"/>
        </w:rPr>
        <w:t xml:space="preserve"> December 31, 2013</w:t>
      </w:r>
      <w:r w:rsidR="001B3CE8">
        <w:rPr>
          <w:kern w:val="0"/>
          <w:szCs w:val="24"/>
        </w:rPr>
        <w:t>,</w:t>
      </w:r>
      <w:r w:rsidRPr="00CF3149">
        <w:rPr>
          <w:kern w:val="0"/>
          <w:szCs w:val="24"/>
        </w:rPr>
        <w:t xml:space="preserve"> with known and measurable </w:t>
      </w:r>
      <w:proofErr w:type="gramStart"/>
      <w:r w:rsidRPr="00CF3149">
        <w:rPr>
          <w:kern w:val="0"/>
          <w:szCs w:val="24"/>
        </w:rPr>
        <w:t>changes.</w:t>
      </w:r>
      <w:proofErr w:type="gramEnd"/>
      <w:r w:rsidRPr="00CF3149">
        <w:rPr>
          <w:kern w:val="0"/>
          <w:szCs w:val="24"/>
        </w:rPr>
        <w:t xml:space="preserve">  Therefore, for the cost of capital determination, the Company has used </w:t>
      </w:r>
      <w:r w:rsidR="001B3CE8">
        <w:rPr>
          <w:kern w:val="0"/>
          <w:szCs w:val="24"/>
        </w:rPr>
        <w:t>PacifiCorp’s</w:t>
      </w:r>
      <w:r w:rsidRPr="00CF3149">
        <w:rPr>
          <w:kern w:val="0"/>
          <w:szCs w:val="24"/>
        </w:rPr>
        <w:t xml:space="preserve"> actual capital structure at December 31, 2013</w:t>
      </w:r>
      <w:r w:rsidR="001B3CE8">
        <w:rPr>
          <w:kern w:val="0"/>
          <w:szCs w:val="24"/>
        </w:rPr>
        <w:t>,</w:t>
      </w:r>
      <w:r w:rsidRPr="00CF3149">
        <w:rPr>
          <w:kern w:val="0"/>
          <w:szCs w:val="24"/>
        </w:rPr>
        <w:t xml:space="preserve"> with pro forma adjustments for known and measurable changes through </w:t>
      </w:r>
      <w:r>
        <w:rPr>
          <w:kern w:val="0"/>
          <w:szCs w:val="24"/>
        </w:rPr>
        <w:t>December 31, 2014.</w:t>
      </w:r>
      <w:r w:rsidRPr="00CF3149">
        <w:rPr>
          <w:kern w:val="0"/>
          <w:szCs w:val="24"/>
        </w:rPr>
        <w:t xml:space="preserve">  The known and measurable changes represent actual and forecasted capital activity through December 31, 2014.</w:t>
      </w:r>
      <w:r w:rsidR="00735AC0" w:rsidRPr="00735AC0">
        <w:rPr>
          <w:b/>
          <w:kern w:val="0"/>
          <w:szCs w:val="24"/>
        </w:rPr>
        <w:t xml:space="preserve"> </w:t>
      </w:r>
    </w:p>
    <w:p w:rsidR="00735AC0" w:rsidRDefault="00735AC0" w:rsidP="00735AC0">
      <w:pPr>
        <w:spacing w:line="480" w:lineRule="auto"/>
        <w:ind w:left="720" w:hanging="720"/>
        <w:rPr>
          <w:b/>
          <w:bCs/>
          <w:kern w:val="0"/>
          <w:szCs w:val="24"/>
        </w:rPr>
      </w:pPr>
      <w:r w:rsidRPr="005E17FA">
        <w:rPr>
          <w:b/>
          <w:kern w:val="0"/>
          <w:szCs w:val="24"/>
        </w:rPr>
        <w:t>Q.</w:t>
      </w:r>
      <w:r w:rsidRPr="005E17FA">
        <w:rPr>
          <w:kern w:val="0"/>
          <w:szCs w:val="24"/>
        </w:rPr>
        <w:tab/>
      </w:r>
      <w:r w:rsidRPr="00FB4677">
        <w:rPr>
          <w:b/>
          <w:kern w:val="0"/>
          <w:szCs w:val="24"/>
        </w:rPr>
        <w:t xml:space="preserve">Did the Company include short-term debt </w:t>
      </w:r>
      <w:r w:rsidRPr="00FB4677">
        <w:rPr>
          <w:b/>
          <w:bCs/>
          <w:kern w:val="0"/>
          <w:szCs w:val="24"/>
        </w:rPr>
        <w:t>as part</w:t>
      </w:r>
      <w:r w:rsidRPr="005E17FA">
        <w:rPr>
          <w:b/>
          <w:bCs/>
          <w:kern w:val="0"/>
          <w:szCs w:val="24"/>
        </w:rPr>
        <w:t xml:space="preserve"> of the capital structure</w:t>
      </w:r>
      <w:r>
        <w:rPr>
          <w:b/>
          <w:bCs/>
          <w:kern w:val="0"/>
          <w:szCs w:val="24"/>
        </w:rPr>
        <w:t xml:space="preserve"> in this case</w:t>
      </w:r>
      <w:r w:rsidRPr="005E17FA">
        <w:rPr>
          <w:b/>
          <w:bCs/>
          <w:kern w:val="0"/>
          <w:szCs w:val="24"/>
        </w:rPr>
        <w:t>?</w:t>
      </w:r>
    </w:p>
    <w:p w:rsidR="00735AC0" w:rsidRPr="00E94458" w:rsidRDefault="00735AC0" w:rsidP="00735AC0">
      <w:pPr>
        <w:spacing w:line="480" w:lineRule="auto"/>
        <w:ind w:left="720" w:hanging="720"/>
        <w:rPr>
          <w:bCs/>
          <w:kern w:val="0"/>
          <w:szCs w:val="24"/>
        </w:rPr>
      </w:pPr>
      <w:r w:rsidRPr="00E94458">
        <w:rPr>
          <w:bCs/>
          <w:kern w:val="0"/>
          <w:szCs w:val="24"/>
        </w:rPr>
        <w:t>A.</w:t>
      </w:r>
      <w:r>
        <w:rPr>
          <w:bCs/>
          <w:kern w:val="0"/>
          <w:szCs w:val="24"/>
        </w:rPr>
        <w:tab/>
        <w:t xml:space="preserve">Yes, I have included projected quarter-end short-term debt balances for the period ending December 31, 2014.  The 1.73 percent cost of short-term debt is derived from forward </w:t>
      </w:r>
      <w:r w:rsidR="00A96CA7">
        <w:rPr>
          <w:bCs/>
          <w:kern w:val="0"/>
          <w:szCs w:val="24"/>
        </w:rPr>
        <w:t>London Interbank Offered Rate (</w:t>
      </w:r>
      <w:r>
        <w:rPr>
          <w:bCs/>
          <w:kern w:val="0"/>
          <w:szCs w:val="24"/>
        </w:rPr>
        <w:t>LIBOR</w:t>
      </w:r>
      <w:r w:rsidR="00A96CA7">
        <w:rPr>
          <w:bCs/>
          <w:kern w:val="0"/>
          <w:szCs w:val="24"/>
        </w:rPr>
        <w:t>) rates</w:t>
      </w:r>
      <w:r>
        <w:rPr>
          <w:bCs/>
          <w:kern w:val="0"/>
          <w:szCs w:val="24"/>
        </w:rPr>
        <w:t xml:space="preserve"> plus the contractual borrowing margin in committed credit agreements at PacifiCorp’s current ratings plus related fees and expenses.</w:t>
      </w:r>
    </w:p>
    <w:p w:rsidR="00735AC0" w:rsidRPr="005E17FA" w:rsidRDefault="00735AC0" w:rsidP="00735AC0">
      <w:pPr>
        <w:widowControl w:val="0"/>
        <w:spacing w:line="480" w:lineRule="auto"/>
        <w:ind w:left="720" w:hanging="720"/>
        <w:rPr>
          <w:b/>
          <w:kern w:val="0"/>
          <w:szCs w:val="24"/>
        </w:rPr>
      </w:pPr>
      <w:r w:rsidRPr="005E17FA">
        <w:rPr>
          <w:b/>
          <w:kern w:val="0"/>
          <w:szCs w:val="24"/>
        </w:rPr>
        <w:t>Q.</w:t>
      </w:r>
      <w:r w:rsidRPr="005E17FA">
        <w:rPr>
          <w:b/>
          <w:kern w:val="0"/>
          <w:szCs w:val="24"/>
        </w:rPr>
        <w:tab/>
      </w:r>
      <w:r w:rsidR="00562381">
        <w:rPr>
          <w:b/>
          <w:kern w:val="0"/>
          <w:szCs w:val="24"/>
        </w:rPr>
        <w:t>Does</w:t>
      </w:r>
      <w:r w:rsidRPr="005E17FA">
        <w:rPr>
          <w:b/>
          <w:kern w:val="0"/>
          <w:szCs w:val="24"/>
        </w:rPr>
        <w:t xml:space="preserve"> the Company </w:t>
      </w:r>
      <w:r w:rsidR="00562381">
        <w:rPr>
          <w:b/>
          <w:kern w:val="0"/>
          <w:szCs w:val="24"/>
        </w:rPr>
        <w:t xml:space="preserve">remain </w:t>
      </w:r>
      <w:r w:rsidRPr="005E17FA">
        <w:rPr>
          <w:b/>
          <w:kern w:val="0"/>
          <w:szCs w:val="24"/>
        </w:rPr>
        <w:t>concerned about the fairness of including short-term debt in the capital structure?</w:t>
      </w:r>
    </w:p>
    <w:p w:rsidR="00A354DE" w:rsidRPr="00CF3149" w:rsidRDefault="00735AC0" w:rsidP="00FB4677">
      <w:pPr>
        <w:widowControl w:val="0"/>
        <w:spacing w:line="480" w:lineRule="auto"/>
        <w:ind w:left="720" w:hanging="720"/>
        <w:rPr>
          <w:kern w:val="0"/>
          <w:szCs w:val="24"/>
        </w:rPr>
      </w:pPr>
      <w:r w:rsidRPr="005E17FA">
        <w:rPr>
          <w:kern w:val="0"/>
          <w:szCs w:val="24"/>
        </w:rPr>
        <w:t>A.</w:t>
      </w:r>
      <w:r w:rsidRPr="005E17FA">
        <w:rPr>
          <w:kern w:val="0"/>
          <w:szCs w:val="24"/>
        </w:rPr>
        <w:tab/>
        <w:t xml:space="preserve">Yes.  The Company continues to believe that it is inappropriate and inequitable to include short-term debt in the capital structure for </w:t>
      </w:r>
      <w:r>
        <w:rPr>
          <w:kern w:val="0"/>
          <w:szCs w:val="24"/>
        </w:rPr>
        <w:t>Pacific Power</w:t>
      </w:r>
      <w:r w:rsidRPr="005E17FA">
        <w:rPr>
          <w:kern w:val="0"/>
          <w:szCs w:val="24"/>
        </w:rPr>
        <w:t xml:space="preserve"> because short-term debt would effectively be double-counted as financing both rate base and construction work-in-progress.  The Company will continue to evaluate this</w:t>
      </w:r>
      <w:r w:rsidR="00DF1FD6">
        <w:rPr>
          <w:kern w:val="0"/>
          <w:szCs w:val="24"/>
        </w:rPr>
        <w:t xml:space="preserve"> </w:t>
      </w:r>
      <w:r>
        <w:rPr>
          <w:kern w:val="0"/>
          <w:szCs w:val="24"/>
        </w:rPr>
        <w:t>issue</w:t>
      </w:r>
      <w:r w:rsidRPr="005E17FA">
        <w:rPr>
          <w:kern w:val="0"/>
          <w:szCs w:val="24"/>
        </w:rPr>
        <w:t xml:space="preserve"> and may request reconsider</w:t>
      </w:r>
      <w:r>
        <w:rPr>
          <w:kern w:val="0"/>
          <w:szCs w:val="24"/>
        </w:rPr>
        <w:t>ation of</w:t>
      </w:r>
      <w:r w:rsidRPr="005E17FA">
        <w:rPr>
          <w:kern w:val="0"/>
          <w:szCs w:val="24"/>
        </w:rPr>
        <w:t xml:space="preserve"> it in future cases.</w:t>
      </w:r>
    </w:p>
    <w:p w:rsidR="00B46A81" w:rsidRPr="005629E2" w:rsidRDefault="00B46A81" w:rsidP="00B46A81">
      <w:pPr>
        <w:spacing w:line="480" w:lineRule="auto"/>
        <w:ind w:left="720" w:hanging="720"/>
        <w:rPr>
          <w:b/>
          <w:kern w:val="0"/>
          <w:szCs w:val="24"/>
        </w:rPr>
      </w:pPr>
      <w:r>
        <w:rPr>
          <w:b/>
          <w:kern w:val="0"/>
          <w:szCs w:val="24"/>
        </w:rPr>
        <w:lastRenderedPageBreak/>
        <w:t>Q.</w:t>
      </w:r>
      <w:r>
        <w:rPr>
          <w:b/>
          <w:kern w:val="0"/>
          <w:szCs w:val="24"/>
        </w:rPr>
        <w:tab/>
      </w:r>
      <w:r w:rsidR="00A96CA7">
        <w:rPr>
          <w:b/>
          <w:kern w:val="0"/>
          <w:szCs w:val="24"/>
        </w:rPr>
        <w:t xml:space="preserve">In the final order </w:t>
      </w:r>
      <w:r w:rsidR="00F434BB">
        <w:rPr>
          <w:b/>
          <w:kern w:val="0"/>
          <w:szCs w:val="24"/>
        </w:rPr>
        <w:t xml:space="preserve">(Order 05) </w:t>
      </w:r>
      <w:r w:rsidR="00A96CA7">
        <w:rPr>
          <w:b/>
          <w:kern w:val="0"/>
          <w:szCs w:val="24"/>
        </w:rPr>
        <w:t>in</w:t>
      </w:r>
      <w:r>
        <w:rPr>
          <w:b/>
          <w:kern w:val="0"/>
          <w:szCs w:val="24"/>
        </w:rPr>
        <w:t xml:space="preserve"> </w:t>
      </w:r>
      <w:r w:rsidR="00A96CA7">
        <w:rPr>
          <w:b/>
          <w:kern w:val="0"/>
          <w:szCs w:val="24"/>
        </w:rPr>
        <w:t xml:space="preserve">the Company’s 2013 general rate case, </w:t>
      </w:r>
      <w:r>
        <w:rPr>
          <w:b/>
          <w:kern w:val="0"/>
          <w:szCs w:val="24"/>
        </w:rPr>
        <w:t xml:space="preserve">Docket UE-130043 (2013 </w:t>
      </w:r>
      <w:r w:rsidR="00015B7E">
        <w:rPr>
          <w:b/>
          <w:kern w:val="0"/>
          <w:szCs w:val="24"/>
        </w:rPr>
        <w:t>R</w:t>
      </w:r>
      <w:r>
        <w:rPr>
          <w:b/>
          <w:kern w:val="0"/>
          <w:szCs w:val="24"/>
        </w:rPr>
        <w:t xml:space="preserve">ate </w:t>
      </w:r>
      <w:r w:rsidR="00015B7E">
        <w:rPr>
          <w:b/>
          <w:kern w:val="0"/>
          <w:szCs w:val="24"/>
        </w:rPr>
        <w:t>C</w:t>
      </w:r>
      <w:r>
        <w:rPr>
          <w:b/>
          <w:kern w:val="0"/>
          <w:szCs w:val="24"/>
        </w:rPr>
        <w:t>ase)</w:t>
      </w:r>
      <w:r w:rsidR="00A96CA7">
        <w:rPr>
          <w:b/>
          <w:kern w:val="0"/>
          <w:szCs w:val="24"/>
        </w:rPr>
        <w:t>,</w:t>
      </w:r>
      <w:r>
        <w:rPr>
          <w:b/>
          <w:kern w:val="0"/>
          <w:szCs w:val="24"/>
        </w:rPr>
        <w:t xml:space="preserve"> </w:t>
      </w:r>
      <w:r w:rsidR="00A96CA7">
        <w:rPr>
          <w:b/>
          <w:kern w:val="0"/>
          <w:szCs w:val="24"/>
        </w:rPr>
        <w:t xml:space="preserve">the Commission </w:t>
      </w:r>
      <w:r w:rsidRPr="005629E2">
        <w:rPr>
          <w:b/>
          <w:kern w:val="0"/>
          <w:szCs w:val="24"/>
        </w:rPr>
        <w:t>stated that the Company’s capital structure contains too much equity, “which tips the bal</w:t>
      </w:r>
      <w:r>
        <w:rPr>
          <w:b/>
          <w:kern w:val="0"/>
          <w:szCs w:val="24"/>
        </w:rPr>
        <w:t>a</w:t>
      </w:r>
      <w:r w:rsidRPr="005629E2">
        <w:rPr>
          <w:b/>
          <w:kern w:val="0"/>
          <w:szCs w:val="24"/>
        </w:rPr>
        <w:t>nce too far in favor of investor interests over those of ratepayers.”</w:t>
      </w:r>
      <w:r w:rsidR="007A1165">
        <w:rPr>
          <w:rStyle w:val="FootnoteReference"/>
          <w:b/>
          <w:kern w:val="0"/>
          <w:szCs w:val="24"/>
        </w:rPr>
        <w:footnoteReference w:id="2"/>
      </w:r>
      <w:r w:rsidR="00A96CA7">
        <w:rPr>
          <w:b/>
          <w:kern w:val="0"/>
          <w:szCs w:val="24"/>
        </w:rPr>
        <w:t xml:space="preserve"> </w:t>
      </w:r>
      <w:r w:rsidRPr="005629E2">
        <w:rPr>
          <w:b/>
          <w:kern w:val="0"/>
          <w:szCs w:val="24"/>
        </w:rPr>
        <w:t xml:space="preserve"> </w:t>
      </w:r>
      <w:r w:rsidR="00C70C95">
        <w:rPr>
          <w:b/>
          <w:kern w:val="0"/>
          <w:szCs w:val="24"/>
        </w:rPr>
        <w:t>I</w:t>
      </w:r>
      <w:r>
        <w:rPr>
          <w:b/>
          <w:kern w:val="0"/>
          <w:szCs w:val="24"/>
        </w:rPr>
        <w:t xml:space="preserve">s the Company’s proposed equity component lower in this case than in the 2013 </w:t>
      </w:r>
      <w:r w:rsidR="00015B7E">
        <w:rPr>
          <w:b/>
          <w:kern w:val="0"/>
          <w:szCs w:val="24"/>
        </w:rPr>
        <w:t>R</w:t>
      </w:r>
      <w:r>
        <w:rPr>
          <w:b/>
          <w:kern w:val="0"/>
          <w:szCs w:val="24"/>
        </w:rPr>
        <w:t xml:space="preserve">ate </w:t>
      </w:r>
      <w:r w:rsidR="00015B7E">
        <w:rPr>
          <w:b/>
          <w:kern w:val="0"/>
          <w:szCs w:val="24"/>
        </w:rPr>
        <w:t>C</w:t>
      </w:r>
      <w:r>
        <w:rPr>
          <w:b/>
          <w:kern w:val="0"/>
          <w:szCs w:val="24"/>
        </w:rPr>
        <w:t>ase?</w:t>
      </w:r>
    </w:p>
    <w:p w:rsidR="00A354DE" w:rsidRDefault="00B46A81" w:rsidP="00D53FD6">
      <w:pPr>
        <w:spacing w:line="480" w:lineRule="auto"/>
        <w:ind w:left="720" w:hanging="720"/>
        <w:rPr>
          <w:kern w:val="0"/>
          <w:szCs w:val="24"/>
        </w:rPr>
      </w:pPr>
      <w:r w:rsidRPr="00C70C95">
        <w:rPr>
          <w:kern w:val="0"/>
          <w:szCs w:val="24"/>
        </w:rPr>
        <w:t>A</w:t>
      </w:r>
      <w:r w:rsidRPr="005629E2">
        <w:rPr>
          <w:b/>
          <w:kern w:val="0"/>
          <w:szCs w:val="24"/>
        </w:rPr>
        <w:t>.</w:t>
      </w:r>
      <w:r>
        <w:rPr>
          <w:kern w:val="0"/>
          <w:szCs w:val="24"/>
        </w:rPr>
        <w:tab/>
        <w:t xml:space="preserve">Yes. </w:t>
      </w:r>
      <w:r w:rsidR="00D53FD6">
        <w:rPr>
          <w:kern w:val="0"/>
          <w:szCs w:val="24"/>
        </w:rPr>
        <w:t xml:space="preserve"> </w:t>
      </w:r>
      <w:r>
        <w:rPr>
          <w:kern w:val="0"/>
          <w:szCs w:val="24"/>
        </w:rPr>
        <w:t xml:space="preserve">The Company’s proposed 51.73 percent common equity level is approximately 50 basis points (0.50 percent) lower than what was requested in the 2013 </w:t>
      </w:r>
      <w:r w:rsidR="00015B7E">
        <w:rPr>
          <w:kern w:val="0"/>
          <w:szCs w:val="24"/>
        </w:rPr>
        <w:t>R</w:t>
      </w:r>
      <w:r>
        <w:rPr>
          <w:kern w:val="0"/>
          <w:szCs w:val="24"/>
        </w:rPr>
        <w:t xml:space="preserve">ate </w:t>
      </w:r>
      <w:r w:rsidR="00015B7E">
        <w:rPr>
          <w:kern w:val="0"/>
          <w:szCs w:val="24"/>
        </w:rPr>
        <w:t>C</w:t>
      </w:r>
      <w:r>
        <w:rPr>
          <w:kern w:val="0"/>
          <w:szCs w:val="24"/>
        </w:rPr>
        <w:t>ase.</w:t>
      </w:r>
      <w:r w:rsidRPr="00B46A81">
        <w:rPr>
          <w:kern w:val="0"/>
          <w:szCs w:val="24"/>
        </w:rPr>
        <w:t xml:space="preserve"> </w:t>
      </w:r>
      <w:r>
        <w:rPr>
          <w:kern w:val="0"/>
          <w:szCs w:val="24"/>
        </w:rPr>
        <w:t xml:space="preserve"> As PacifiCorp’s financial metrics have improved, it has been able to gradually reduce the equity component in its capital structure without jeopardizing its credit rating and access to capital.</w:t>
      </w:r>
    </w:p>
    <w:p w:rsidR="00B46A81" w:rsidRDefault="00B46A81" w:rsidP="00B46A81">
      <w:pPr>
        <w:keepNext/>
        <w:spacing w:line="480" w:lineRule="auto"/>
        <w:ind w:left="720" w:hanging="720"/>
        <w:rPr>
          <w:b/>
          <w:szCs w:val="24"/>
        </w:rPr>
      </w:pPr>
      <w:r w:rsidRPr="00C04A68">
        <w:rPr>
          <w:b/>
          <w:szCs w:val="24"/>
        </w:rPr>
        <w:t>Q.</w:t>
      </w:r>
      <w:r w:rsidRPr="00C04A68">
        <w:rPr>
          <w:szCs w:val="24"/>
        </w:rPr>
        <w:tab/>
      </w:r>
      <w:r w:rsidRPr="00C04A68">
        <w:rPr>
          <w:b/>
          <w:szCs w:val="24"/>
        </w:rPr>
        <w:t xml:space="preserve">Does </w:t>
      </w:r>
      <w:r>
        <w:rPr>
          <w:b/>
          <w:szCs w:val="24"/>
        </w:rPr>
        <w:t xml:space="preserve">PacifiCorp </w:t>
      </w:r>
      <w:r w:rsidR="00AF2B10">
        <w:rPr>
          <w:b/>
          <w:szCs w:val="24"/>
        </w:rPr>
        <w:t xml:space="preserve">now </w:t>
      </w:r>
      <w:r>
        <w:rPr>
          <w:b/>
          <w:szCs w:val="24"/>
        </w:rPr>
        <w:t>make periodic dividend payments to</w:t>
      </w:r>
      <w:r w:rsidR="0026367E">
        <w:rPr>
          <w:b/>
          <w:szCs w:val="24"/>
        </w:rPr>
        <w:t xml:space="preserve"> </w:t>
      </w:r>
      <w:r w:rsidR="008C2801">
        <w:rPr>
          <w:b/>
          <w:szCs w:val="24"/>
        </w:rPr>
        <w:t>Berkshire Hathaway Energy (BHE</w:t>
      </w:r>
      <w:r>
        <w:rPr>
          <w:b/>
          <w:szCs w:val="24"/>
        </w:rPr>
        <w:t>),</w:t>
      </w:r>
      <w:r w:rsidR="008C2801">
        <w:rPr>
          <w:rStyle w:val="FootnoteReference"/>
          <w:b/>
          <w:szCs w:val="24"/>
        </w:rPr>
        <w:footnoteReference w:id="3"/>
      </w:r>
      <w:r>
        <w:rPr>
          <w:b/>
          <w:szCs w:val="24"/>
        </w:rPr>
        <w:t xml:space="preserve"> while </w:t>
      </w:r>
      <w:r w:rsidRPr="00C04A68">
        <w:rPr>
          <w:b/>
          <w:szCs w:val="24"/>
        </w:rPr>
        <w:t>continu</w:t>
      </w:r>
      <w:r>
        <w:rPr>
          <w:b/>
          <w:szCs w:val="24"/>
        </w:rPr>
        <w:t>ing</w:t>
      </w:r>
      <w:r w:rsidRPr="00C04A68">
        <w:rPr>
          <w:b/>
          <w:szCs w:val="24"/>
        </w:rPr>
        <w:t xml:space="preserve"> to retain </w:t>
      </w:r>
      <w:r>
        <w:rPr>
          <w:b/>
          <w:szCs w:val="24"/>
        </w:rPr>
        <w:t>sufficient</w:t>
      </w:r>
      <w:r w:rsidRPr="00C04A68">
        <w:rPr>
          <w:b/>
          <w:szCs w:val="24"/>
        </w:rPr>
        <w:t xml:space="preserve"> earnings to finance capital investments</w:t>
      </w:r>
      <w:r w:rsidR="00E375C4">
        <w:rPr>
          <w:b/>
          <w:szCs w:val="24"/>
        </w:rPr>
        <w:t xml:space="preserve"> and maintain its credit rating</w:t>
      </w:r>
      <w:r>
        <w:rPr>
          <w:b/>
          <w:szCs w:val="24"/>
        </w:rPr>
        <w:t>?</w:t>
      </w:r>
    </w:p>
    <w:p w:rsidR="00B46A81" w:rsidRDefault="00B46A81" w:rsidP="00B46A81">
      <w:pPr>
        <w:spacing w:line="480" w:lineRule="auto"/>
        <w:ind w:left="720" w:hanging="720"/>
        <w:rPr>
          <w:szCs w:val="24"/>
        </w:rPr>
      </w:pPr>
      <w:r>
        <w:rPr>
          <w:szCs w:val="24"/>
        </w:rPr>
        <w:t>A.</w:t>
      </w:r>
      <w:r>
        <w:rPr>
          <w:szCs w:val="24"/>
        </w:rPr>
        <w:tab/>
        <w:t xml:space="preserve">Yes.  </w:t>
      </w:r>
      <w:r w:rsidR="008C2801">
        <w:rPr>
          <w:szCs w:val="24"/>
        </w:rPr>
        <w:t>Following its</w:t>
      </w:r>
      <w:r w:rsidRPr="00C04A68">
        <w:rPr>
          <w:szCs w:val="24"/>
        </w:rPr>
        <w:t xml:space="preserve"> acquisition in 2006, </w:t>
      </w:r>
      <w:r>
        <w:rPr>
          <w:szCs w:val="24"/>
        </w:rPr>
        <w:t>PacifiCorp</w:t>
      </w:r>
      <w:r w:rsidRPr="00C04A68">
        <w:rPr>
          <w:szCs w:val="24"/>
        </w:rPr>
        <w:t xml:space="preserve"> managed </w:t>
      </w:r>
      <w:r>
        <w:rPr>
          <w:szCs w:val="24"/>
        </w:rPr>
        <w:t>its</w:t>
      </w:r>
      <w:r w:rsidRPr="00C04A68">
        <w:rPr>
          <w:szCs w:val="24"/>
        </w:rPr>
        <w:t xml:space="preserve"> capital structure through the timing and amount of long-term debt issuances and capital contributions, while forgoing any common dividends for nearly five years.</w:t>
      </w:r>
      <w:r>
        <w:rPr>
          <w:szCs w:val="24"/>
        </w:rPr>
        <w:t xml:space="preserve">  </w:t>
      </w:r>
      <w:r w:rsidRPr="00C04A68">
        <w:rPr>
          <w:szCs w:val="24"/>
        </w:rPr>
        <w:t xml:space="preserve">More recently, </w:t>
      </w:r>
      <w:r w:rsidR="00015B7E">
        <w:rPr>
          <w:szCs w:val="24"/>
        </w:rPr>
        <w:t>PacifiCorp</w:t>
      </w:r>
      <w:r w:rsidRPr="00C04A68">
        <w:rPr>
          <w:szCs w:val="24"/>
        </w:rPr>
        <w:t xml:space="preserve"> has initiated the </w:t>
      </w:r>
      <w:r w:rsidRPr="00845E05">
        <w:rPr>
          <w:szCs w:val="24"/>
        </w:rPr>
        <w:t>payment</w:t>
      </w:r>
      <w:r w:rsidR="008C2801">
        <w:rPr>
          <w:szCs w:val="24"/>
        </w:rPr>
        <w:t xml:space="preserve"> of dividends to BHE</w:t>
      </w:r>
      <w:r w:rsidRPr="00C04A68">
        <w:rPr>
          <w:szCs w:val="24"/>
        </w:rPr>
        <w:t xml:space="preserve"> to help manage the common equity percentage in its capital structure and expects</w:t>
      </w:r>
      <w:r w:rsidR="00015B7E">
        <w:rPr>
          <w:szCs w:val="24"/>
        </w:rPr>
        <w:t xml:space="preserve"> to make</w:t>
      </w:r>
      <w:r w:rsidRPr="00C04A68">
        <w:rPr>
          <w:szCs w:val="24"/>
        </w:rPr>
        <w:t xml:space="preserve"> periodic dividend payments for the fore</w:t>
      </w:r>
      <w:r>
        <w:rPr>
          <w:szCs w:val="24"/>
        </w:rPr>
        <w:t xml:space="preserve">seeable future.  </w:t>
      </w:r>
      <w:r w:rsidRPr="00C04A68">
        <w:rPr>
          <w:szCs w:val="24"/>
        </w:rPr>
        <w:t xml:space="preserve">The proposed capital structure in this case includes the impact of dividends expected to be declared through the end of </w:t>
      </w:r>
      <w:r>
        <w:rPr>
          <w:szCs w:val="24"/>
        </w:rPr>
        <w:t>December 31, 2014.</w:t>
      </w:r>
      <w:r w:rsidRPr="00C04A68">
        <w:rPr>
          <w:szCs w:val="24"/>
        </w:rPr>
        <w:t xml:space="preserve"> </w:t>
      </w:r>
      <w:r>
        <w:rPr>
          <w:szCs w:val="24"/>
        </w:rPr>
        <w:t xml:space="preserve"> Without </w:t>
      </w:r>
      <w:r w:rsidRPr="00C04A68">
        <w:rPr>
          <w:szCs w:val="24"/>
        </w:rPr>
        <w:t xml:space="preserve">these dividends, </w:t>
      </w:r>
      <w:r w:rsidR="003F4377">
        <w:rPr>
          <w:szCs w:val="24"/>
        </w:rPr>
        <w:t>PacifiCorp’s</w:t>
      </w:r>
      <w:r w:rsidRPr="00C04A68">
        <w:rPr>
          <w:szCs w:val="24"/>
        </w:rPr>
        <w:t xml:space="preserve"> capital structure would </w:t>
      </w:r>
      <w:r w:rsidRPr="00C04A68">
        <w:rPr>
          <w:szCs w:val="24"/>
        </w:rPr>
        <w:lastRenderedPageBreak/>
        <w:t xml:space="preserve">contain a higher level of common equity than </w:t>
      </w:r>
      <w:r w:rsidR="003F4377">
        <w:rPr>
          <w:szCs w:val="24"/>
        </w:rPr>
        <w:t xml:space="preserve">what </w:t>
      </w:r>
      <w:r w:rsidRPr="00C04A68">
        <w:rPr>
          <w:szCs w:val="24"/>
        </w:rPr>
        <w:t>the Company is proposing</w:t>
      </w:r>
      <w:r w:rsidR="003F4377">
        <w:rPr>
          <w:szCs w:val="24"/>
        </w:rPr>
        <w:t xml:space="preserve"> in this case</w:t>
      </w:r>
      <w:r w:rsidRPr="00C04A68">
        <w:rPr>
          <w:szCs w:val="24"/>
        </w:rPr>
        <w:t>.</w:t>
      </w:r>
    </w:p>
    <w:p w:rsidR="00D53FD6" w:rsidRPr="006D4D1B" w:rsidRDefault="00D53FD6" w:rsidP="00B46A81">
      <w:pPr>
        <w:spacing w:line="480" w:lineRule="auto"/>
        <w:ind w:left="720" w:hanging="720"/>
        <w:rPr>
          <w:b/>
          <w:kern w:val="0"/>
          <w:szCs w:val="24"/>
        </w:rPr>
      </w:pPr>
      <w:r w:rsidRPr="006D4D1B">
        <w:rPr>
          <w:b/>
          <w:szCs w:val="24"/>
        </w:rPr>
        <w:t>Q.</w:t>
      </w:r>
      <w:r w:rsidRPr="006D4D1B">
        <w:rPr>
          <w:b/>
          <w:szCs w:val="24"/>
        </w:rPr>
        <w:tab/>
        <w:t>Does Pacific Power have an incentive to increase its equity ratio in Washington beyond</w:t>
      </w:r>
      <w:r w:rsidR="006D4D1B" w:rsidRPr="006D4D1B">
        <w:rPr>
          <w:b/>
          <w:kern w:val="0"/>
          <w:szCs w:val="24"/>
        </w:rPr>
        <w:t xml:space="preserve"> the minimum equity component that, along with reasonably supportive regulatory treatment, will allow it to maintain its current credit ratings? </w:t>
      </w:r>
    </w:p>
    <w:p w:rsidR="007F2AC7" w:rsidRDefault="006D4D1B" w:rsidP="006D4D1B">
      <w:pPr>
        <w:spacing w:line="480" w:lineRule="auto"/>
        <w:ind w:left="720" w:hanging="720"/>
        <w:rPr>
          <w:kern w:val="0"/>
          <w:szCs w:val="24"/>
        </w:rPr>
      </w:pPr>
      <w:r>
        <w:rPr>
          <w:kern w:val="0"/>
          <w:szCs w:val="24"/>
        </w:rPr>
        <w:t>A.</w:t>
      </w:r>
      <w:r>
        <w:rPr>
          <w:kern w:val="0"/>
          <w:szCs w:val="24"/>
        </w:rPr>
        <w:tab/>
        <w:t xml:space="preserve">No.  Pacific Power has not achieved its allowed rate of return </w:t>
      </w:r>
      <w:r w:rsidR="00AF2B10">
        <w:rPr>
          <w:kern w:val="0"/>
          <w:szCs w:val="24"/>
        </w:rPr>
        <w:t xml:space="preserve">in Washington </w:t>
      </w:r>
      <w:r w:rsidR="008C2801">
        <w:rPr>
          <w:kern w:val="0"/>
          <w:szCs w:val="24"/>
        </w:rPr>
        <w:t>at any point during BHE</w:t>
      </w:r>
      <w:r>
        <w:rPr>
          <w:kern w:val="0"/>
          <w:szCs w:val="24"/>
        </w:rPr>
        <w:t>’s ownership</w:t>
      </w:r>
      <w:r w:rsidR="007F2AC7">
        <w:rPr>
          <w:kern w:val="0"/>
          <w:szCs w:val="24"/>
        </w:rPr>
        <w:t xml:space="preserve">, </w:t>
      </w:r>
      <w:r w:rsidR="00AF2B10">
        <w:rPr>
          <w:kern w:val="0"/>
          <w:szCs w:val="24"/>
        </w:rPr>
        <w:t>and</w:t>
      </w:r>
      <w:r w:rsidR="007F2AC7">
        <w:rPr>
          <w:kern w:val="0"/>
          <w:szCs w:val="24"/>
        </w:rPr>
        <w:t xml:space="preserve"> the Commission has generally set Pacific Power’s cost of capital below allowed returns in other jurisdictions.</w:t>
      </w:r>
      <w:r w:rsidR="007F2AC7">
        <w:rPr>
          <w:rStyle w:val="FootnoteReference"/>
          <w:kern w:val="0"/>
          <w:szCs w:val="24"/>
        </w:rPr>
        <w:footnoteReference w:id="4"/>
      </w:r>
      <w:r w:rsidR="008C2801">
        <w:rPr>
          <w:kern w:val="0"/>
          <w:szCs w:val="24"/>
        </w:rPr>
        <w:t xml:space="preserve">  For many years, BHE</w:t>
      </w:r>
      <w:r w:rsidR="007F2AC7">
        <w:rPr>
          <w:kern w:val="0"/>
          <w:szCs w:val="24"/>
        </w:rPr>
        <w:t xml:space="preserve"> has not recovered the costs of its actual equity investment in PacifiCorp in Washington rates.  Under these circumstances</w:t>
      </w:r>
      <w:r w:rsidR="008C2801">
        <w:rPr>
          <w:kern w:val="0"/>
          <w:szCs w:val="24"/>
        </w:rPr>
        <w:t>, BHE</w:t>
      </w:r>
      <w:r w:rsidR="007F2AC7">
        <w:rPr>
          <w:kern w:val="0"/>
          <w:szCs w:val="24"/>
        </w:rPr>
        <w:t xml:space="preserve"> has no </w:t>
      </w:r>
      <w:r w:rsidR="00AF2B10">
        <w:rPr>
          <w:kern w:val="0"/>
          <w:szCs w:val="24"/>
        </w:rPr>
        <w:t xml:space="preserve">financial </w:t>
      </w:r>
      <w:r w:rsidR="007F2AC7">
        <w:rPr>
          <w:kern w:val="0"/>
          <w:szCs w:val="24"/>
        </w:rPr>
        <w:t>incentive to provide more equity to Pacific Power than the minimum necessary</w:t>
      </w:r>
      <w:r w:rsidR="00AF2B10">
        <w:rPr>
          <w:kern w:val="0"/>
          <w:szCs w:val="24"/>
        </w:rPr>
        <w:t xml:space="preserve">—indeed the incentives </w:t>
      </w:r>
      <w:r w:rsidR="00735AC0">
        <w:rPr>
          <w:kern w:val="0"/>
          <w:szCs w:val="24"/>
        </w:rPr>
        <w:t>are to the contrary</w:t>
      </w:r>
      <w:r w:rsidR="007F2AC7">
        <w:rPr>
          <w:kern w:val="0"/>
          <w:szCs w:val="24"/>
        </w:rPr>
        <w:t>.</w:t>
      </w:r>
    </w:p>
    <w:p w:rsidR="007007D9" w:rsidRPr="007E7B3E" w:rsidRDefault="007007D9" w:rsidP="007007D9">
      <w:pPr>
        <w:spacing w:line="480" w:lineRule="auto"/>
        <w:ind w:left="720" w:hanging="720"/>
        <w:rPr>
          <w:rFonts w:eastAsiaTheme="minorHAnsi"/>
          <w:b/>
          <w:kern w:val="0"/>
          <w:szCs w:val="24"/>
        </w:rPr>
      </w:pPr>
      <w:r w:rsidRPr="007501D2">
        <w:rPr>
          <w:rFonts w:eastAsiaTheme="minorHAnsi"/>
          <w:b/>
          <w:kern w:val="0"/>
          <w:szCs w:val="24"/>
        </w:rPr>
        <w:t>Q.</w:t>
      </w:r>
      <w:r w:rsidRPr="00716A14">
        <w:rPr>
          <w:rFonts w:eastAsiaTheme="minorHAnsi"/>
          <w:kern w:val="0"/>
          <w:szCs w:val="24"/>
        </w:rPr>
        <w:tab/>
      </w:r>
      <w:r w:rsidRPr="007E7B3E">
        <w:rPr>
          <w:rFonts w:eastAsiaTheme="minorHAnsi"/>
          <w:b/>
          <w:kern w:val="0"/>
          <w:szCs w:val="24"/>
        </w:rPr>
        <w:t xml:space="preserve">In Order 05 </w:t>
      </w:r>
      <w:r>
        <w:rPr>
          <w:rFonts w:eastAsiaTheme="minorHAnsi"/>
          <w:b/>
          <w:kern w:val="0"/>
          <w:szCs w:val="24"/>
        </w:rPr>
        <w:t xml:space="preserve">in the 2013 </w:t>
      </w:r>
      <w:r w:rsidR="00015B7E">
        <w:rPr>
          <w:rFonts w:eastAsiaTheme="minorHAnsi"/>
          <w:b/>
          <w:kern w:val="0"/>
          <w:szCs w:val="24"/>
        </w:rPr>
        <w:t>R</w:t>
      </w:r>
      <w:r>
        <w:rPr>
          <w:rFonts w:eastAsiaTheme="minorHAnsi"/>
          <w:b/>
          <w:kern w:val="0"/>
          <w:szCs w:val="24"/>
        </w:rPr>
        <w:t xml:space="preserve">ate </w:t>
      </w:r>
      <w:r w:rsidR="00015B7E">
        <w:rPr>
          <w:rFonts w:eastAsiaTheme="minorHAnsi"/>
          <w:b/>
          <w:kern w:val="0"/>
          <w:szCs w:val="24"/>
        </w:rPr>
        <w:t>C</w:t>
      </w:r>
      <w:r>
        <w:rPr>
          <w:rFonts w:eastAsiaTheme="minorHAnsi"/>
          <w:b/>
          <w:kern w:val="0"/>
          <w:szCs w:val="24"/>
        </w:rPr>
        <w:t xml:space="preserve">ase, </w:t>
      </w:r>
      <w:r w:rsidRPr="007E7B3E">
        <w:rPr>
          <w:rFonts w:eastAsiaTheme="minorHAnsi"/>
          <w:b/>
          <w:kern w:val="0"/>
          <w:szCs w:val="24"/>
        </w:rPr>
        <w:t xml:space="preserve">the Commission </w:t>
      </w:r>
      <w:r>
        <w:rPr>
          <w:rFonts w:eastAsiaTheme="minorHAnsi"/>
          <w:b/>
          <w:kern w:val="0"/>
          <w:szCs w:val="24"/>
        </w:rPr>
        <w:t xml:space="preserve">also </w:t>
      </w:r>
      <w:r w:rsidRPr="007E7B3E">
        <w:rPr>
          <w:rFonts w:eastAsiaTheme="minorHAnsi"/>
          <w:b/>
          <w:kern w:val="0"/>
          <w:szCs w:val="24"/>
        </w:rPr>
        <w:t xml:space="preserve">expressed concern about a lack of </w:t>
      </w:r>
      <w:r w:rsidR="00015B7E">
        <w:rPr>
          <w:rFonts w:eastAsiaTheme="minorHAnsi"/>
          <w:b/>
          <w:kern w:val="0"/>
          <w:szCs w:val="24"/>
        </w:rPr>
        <w:t xml:space="preserve">low-cost, </w:t>
      </w:r>
      <w:r w:rsidRPr="007E7B3E">
        <w:rPr>
          <w:rFonts w:eastAsiaTheme="minorHAnsi"/>
          <w:b/>
          <w:kern w:val="0"/>
          <w:szCs w:val="24"/>
        </w:rPr>
        <w:t xml:space="preserve">short-term debt </w:t>
      </w:r>
      <w:r>
        <w:rPr>
          <w:rFonts w:eastAsiaTheme="minorHAnsi"/>
          <w:b/>
          <w:kern w:val="0"/>
          <w:szCs w:val="24"/>
        </w:rPr>
        <w:t>in PacifiCorp’s capital structure</w:t>
      </w:r>
      <w:r w:rsidR="00015B7E">
        <w:rPr>
          <w:rFonts w:eastAsiaTheme="minorHAnsi"/>
          <w:b/>
          <w:kern w:val="0"/>
          <w:szCs w:val="24"/>
        </w:rPr>
        <w:t>.</w:t>
      </w:r>
      <w:r w:rsidRPr="007E7B3E">
        <w:rPr>
          <w:rFonts w:eastAsiaTheme="minorHAnsi"/>
          <w:b/>
          <w:kern w:val="0"/>
          <w:szCs w:val="24"/>
        </w:rPr>
        <w:t xml:space="preserve">  Please respond.</w:t>
      </w:r>
    </w:p>
    <w:p w:rsidR="0093118D" w:rsidRDefault="007007D9" w:rsidP="00D53FD6">
      <w:pPr>
        <w:spacing w:line="480" w:lineRule="auto"/>
        <w:ind w:left="720" w:hanging="720"/>
        <w:rPr>
          <w:rFonts w:eastAsiaTheme="minorHAnsi"/>
          <w:kern w:val="0"/>
          <w:szCs w:val="24"/>
        </w:rPr>
      </w:pPr>
      <w:r w:rsidRPr="00716A14">
        <w:rPr>
          <w:rFonts w:eastAsiaTheme="minorHAnsi"/>
          <w:kern w:val="0"/>
          <w:szCs w:val="24"/>
        </w:rPr>
        <w:t>A.</w:t>
      </w:r>
      <w:r w:rsidRPr="00716A14">
        <w:rPr>
          <w:rFonts w:eastAsiaTheme="minorHAnsi"/>
          <w:kern w:val="0"/>
          <w:szCs w:val="24"/>
        </w:rPr>
        <w:tab/>
        <w:t xml:space="preserve">First, </w:t>
      </w:r>
      <w:r w:rsidR="00735AC0">
        <w:rPr>
          <w:rFonts w:eastAsiaTheme="minorHAnsi"/>
          <w:kern w:val="0"/>
          <w:szCs w:val="24"/>
        </w:rPr>
        <w:t xml:space="preserve">as noted above, </w:t>
      </w:r>
      <w:r>
        <w:rPr>
          <w:rFonts w:eastAsiaTheme="minorHAnsi"/>
          <w:kern w:val="0"/>
          <w:szCs w:val="24"/>
        </w:rPr>
        <w:t>t</w:t>
      </w:r>
      <w:r w:rsidRPr="00716A14">
        <w:rPr>
          <w:rFonts w:eastAsiaTheme="minorHAnsi"/>
          <w:kern w:val="0"/>
          <w:szCs w:val="24"/>
        </w:rPr>
        <w:t xml:space="preserve">he Company’s proposed capital structure </w:t>
      </w:r>
      <w:r>
        <w:rPr>
          <w:rFonts w:eastAsiaTheme="minorHAnsi"/>
          <w:kern w:val="0"/>
          <w:szCs w:val="24"/>
        </w:rPr>
        <w:t xml:space="preserve">in this case </w:t>
      </w:r>
      <w:r w:rsidRPr="00716A14">
        <w:rPr>
          <w:rFonts w:eastAsiaTheme="minorHAnsi"/>
          <w:kern w:val="0"/>
          <w:szCs w:val="24"/>
        </w:rPr>
        <w:t>include</w:t>
      </w:r>
      <w:r>
        <w:rPr>
          <w:rFonts w:eastAsiaTheme="minorHAnsi"/>
          <w:kern w:val="0"/>
          <w:szCs w:val="24"/>
        </w:rPr>
        <w:t>s</w:t>
      </w:r>
      <w:r w:rsidRPr="00716A14">
        <w:rPr>
          <w:rFonts w:eastAsiaTheme="minorHAnsi"/>
          <w:kern w:val="0"/>
          <w:szCs w:val="24"/>
        </w:rPr>
        <w:t xml:space="preserve"> short-term debt.  The Company has included </w:t>
      </w:r>
      <w:r>
        <w:rPr>
          <w:rFonts w:eastAsiaTheme="minorHAnsi"/>
          <w:kern w:val="0"/>
          <w:szCs w:val="24"/>
        </w:rPr>
        <w:t>the short-term debt reflected in the PacifiCorp’s</w:t>
      </w:r>
      <w:r w:rsidRPr="00716A14">
        <w:rPr>
          <w:rFonts w:eastAsiaTheme="minorHAnsi"/>
          <w:kern w:val="0"/>
          <w:szCs w:val="24"/>
        </w:rPr>
        <w:t xml:space="preserve"> actual quarter end balances.  This is the same treatment </w:t>
      </w:r>
      <w:r w:rsidR="00F434BB">
        <w:rPr>
          <w:rFonts w:eastAsiaTheme="minorHAnsi"/>
          <w:kern w:val="0"/>
          <w:szCs w:val="24"/>
        </w:rPr>
        <w:t xml:space="preserve">as </w:t>
      </w:r>
      <w:r w:rsidRPr="00716A14">
        <w:rPr>
          <w:rFonts w:eastAsiaTheme="minorHAnsi"/>
          <w:kern w:val="0"/>
          <w:szCs w:val="24"/>
        </w:rPr>
        <w:t xml:space="preserve">for the longer-term sources of capital. </w:t>
      </w:r>
      <w:r>
        <w:rPr>
          <w:rFonts w:eastAsiaTheme="minorHAnsi"/>
          <w:kern w:val="0"/>
          <w:szCs w:val="24"/>
        </w:rPr>
        <w:t xml:space="preserve"> Second, PacifiCorp’s capital structure in this case includes low</w:t>
      </w:r>
      <w:r w:rsidRPr="00716A14">
        <w:rPr>
          <w:rFonts w:eastAsiaTheme="minorHAnsi"/>
          <w:kern w:val="0"/>
          <w:szCs w:val="24"/>
        </w:rPr>
        <w:t xml:space="preserve"> short-term interest rates through the Company’s $570 million portfolio </w:t>
      </w:r>
      <w:r w:rsidRPr="00716A14">
        <w:rPr>
          <w:rFonts w:eastAsiaTheme="minorHAnsi"/>
          <w:kern w:val="0"/>
          <w:szCs w:val="24"/>
        </w:rPr>
        <w:lastRenderedPageBreak/>
        <w:t>of variable rate tax exempt bonds.  The interest rate on these securities resets daily or weekly and captures the current low interest rate environment.  In fact, the cost of these securities is</w:t>
      </w:r>
      <w:r>
        <w:rPr>
          <w:rFonts w:eastAsiaTheme="minorHAnsi"/>
          <w:kern w:val="0"/>
          <w:szCs w:val="24"/>
        </w:rPr>
        <w:t xml:space="preserve"> </w:t>
      </w:r>
      <w:r w:rsidRPr="00716A14">
        <w:rPr>
          <w:rFonts w:eastAsiaTheme="minorHAnsi"/>
          <w:kern w:val="0"/>
          <w:szCs w:val="24"/>
        </w:rPr>
        <w:t>approximately 1.50</w:t>
      </w:r>
      <w:r>
        <w:rPr>
          <w:rFonts w:eastAsiaTheme="minorHAnsi"/>
          <w:kern w:val="0"/>
          <w:szCs w:val="24"/>
        </w:rPr>
        <w:t xml:space="preserve"> percent—</w:t>
      </w:r>
      <w:r w:rsidRPr="00716A14">
        <w:rPr>
          <w:rFonts w:eastAsiaTheme="minorHAnsi"/>
          <w:kern w:val="0"/>
          <w:szCs w:val="24"/>
        </w:rPr>
        <w:t xml:space="preserve">a rate lower than the expected short-term debt costs.  </w:t>
      </w:r>
      <w:r>
        <w:rPr>
          <w:rFonts w:eastAsiaTheme="minorHAnsi"/>
          <w:kern w:val="0"/>
          <w:szCs w:val="24"/>
        </w:rPr>
        <w:t>Th</w:t>
      </w:r>
      <w:r w:rsidRPr="00716A14">
        <w:rPr>
          <w:rFonts w:eastAsiaTheme="minorHAnsi"/>
          <w:kern w:val="0"/>
          <w:szCs w:val="24"/>
        </w:rPr>
        <w:t>e amount of these low cost variable rate securities</w:t>
      </w:r>
      <w:r w:rsidR="006C1ACD">
        <w:rPr>
          <w:rFonts w:eastAsiaTheme="minorHAnsi"/>
          <w:kern w:val="0"/>
          <w:szCs w:val="24"/>
        </w:rPr>
        <w:t xml:space="preserve">, </w:t>
      </w:r>
      <w:r w:rsidRPr="00716A14">
        <w:rPr>
          <w:rFonts w:eastAsiaTheme="minorHAnsi"/>
          <w:kern w:val="0"/>
          <w:szCs w:val="24"/>
        </w:rPr>
        <w:t>$570 million</w:t>
      </w:r>
      <w:r w:rsidR="006C1ACD">
        <w:rPr>
          <w:rFonts w:eastAsiaTheme="minorHAnsi"/>
          <w:kern w:val="0"/>
          <w:szCs w:val="24"/>
        </w:rPr>
        <w:t xml:space="preserve">, </w:t>
      </w:r>
      <w:r w:rsidRPr="00716A14">
        <w:rPr>
          <w:rFonts w:eastAsiaTheme="minorHAnsi"/>
          <w:kern w:val="0"/>
          <w:szCs w:val="24"/>
        </w:rPr>
        <w:t xml:space="preserve">is about </w:t>
      </w:r>
      <w:r w:rsidR="00F434BB">
        <w:rPr>
          <w:rFonts w:eastAsiaTheme="minorHAnsi"/>
          <w:kern w:val="0"/>
          <w:szCs w:val="24"/>
        </w:rPr>
        <w:t>four</w:t>
      </w:r>
      <w:r w:rsidR="00F434BB" w:rsidRPr="00716A14">
        <w:rPr>
          <w:rFonts w:eastAsiaTheme="minorHAnsi"/>
          <w:kern w:val="0"/>
          <w:szCs w:val="24"/>
        </w:rPr>
        <w:t xml:space="preserve"> </w:t>
      </w:r>
      <w:r w:rsidRPr="00716A14">
        <w:rPr>
          <w:rFonts w:eastAsiaTheme="minorHAnsi"/>
          <w:kern w:val="0"/>
          <w:szCs w:val="24"/>
        </w:rPr>
        <w:t xml:space="preserve">percent of the </w:t>
      </w:r>
      <w:r w:rsidR="00FA5496">
        <w:rPr>
          <w:rFonts w:eastAsiaTheme="minorHAnsi"/>
          <w:kern w:val="0"/>
          <w:szCs w:val="24"/>
        </w:rPr>
        <w:t>c</w:t>
      </w:r>
      <w:r w:rsidRPr="00716A14">
        <w:rPr>
          <w:rFonts w:eastAsiaTheme="minorHAnsi"/>
          <w:kern w:val="0"/>
          <w:szCs w:val="24"/>
        </w:rPr>
        <w:t xml:space="preserve">ompany’s total capitalization.  That level is solidly within the </w:t>
      </w:r>
      <w:r w:rsidR="00F434BB">
        <w:rPr>
          <w:rFonts w:eastAsiaTheme="minorHAnsi"/>
          <w:kern w:val="0"/>
          <w:szCs w:val="24"/>
        </w:rPr>
        <w:t>three- to five-</w:t>
      </w:r>
      <w:r w:rsidRPr="00716A14">
        <w:rPr>
          <w:rFonts w:eastAsiaTheme="minorHAnsi"/>
          <w:kern w:val="0"/>
          <w:szCs w:val="24"/>
        </w:rPr>
        <w:t>percent range for short-term debt that the Commission discusse</w:t>
      </w:r>
      <w:r>
        <w:rPr>
          <w:rFonts w:eastAsiaTheme="minorHAnsi"/>
          <w:kern w:val="0"/>
          <w:szCs w:val="24"/>
        </w:rPr>
        <w:t>d</w:t>
      </w:r>
      <w:r w:rsidRPr="00716A14">
        <w:rPr>
          <w:rFonts w:eastAsiaTheme="minorHAnsi"/>
          <w:kern w:val="0"/>
          <w:szCs w:val="24"/>
        </w:rPr>
        <w:t xml:space="preserve"> in Order 05.</w:t>
      </w:r>
      <w:r w:rsidR="009A610B">
        <w:rPr>
          <w:rStyle w:val="FootnoteReference"/>
          <w:rFonts w:eastAsiaTheme="minorHAnsi"/>
          <w:kern w:val="0"/>
          <w:szCs w:val="24"/>
        </w:rPr>
        <w:footnoteReference w:id="5"/>
      </w:r>
    </w:p>
    <w:p w:rsidR="00AF2B10" w:rsidRDefault="00735AC0" w:rsidP="00D53FD6">
      <w:pPr>
        <w:spacing w:line="480" w:lineRule="auto"/>
        <w:ind w:left="720" w:hanging="720"/>
        <w:rPr>
          <w:kern w:val="0"/>
          <w:szCs w:val="24"/>
        </w:rPr>
      </w:pPr>
      <w:r w:rsidRPr="00DF1FD6">
        <w:rPr>
          <w:b/>
          <w:kern w:val="0"/>
          <w:szCs w:val="24"/>
        </w:rPr>
        <w:t>Q.</w:t>
      </w:r>
      <w:r w:rsidRPr="00DF1FD6">
        <w:rPr>
          <w:b/>
          <w:kern w:val="0"/>
          <w:szCs w:val="24"/>
        </w:rPr>
        <w:tab/>
        <w:t xml:space="preserve">Have you conducted a reasonableness check on your </w:t>
      </w:r>
      <w:r w:rsidR="00534BCC">
        <w:rPr>
          <w:b/>
          <w:kern w:val="0"/>
          <w:szCs w:val="24"/>
        </w:rPr>
        <w:t xml:space="preserve">primary </w:t>
      </w:r>
      <w:r w:rsidRPr="00DF1FD6">
        <w:rPr>
          <w:b/>
          <w:kern w:val="0"/>
          <w:szCs w:val="24"/>
        </w:rPr>
        <w:t>capital structure recommendation in this case?</w:t>
      </w:r>
      <w:r>
        <w:rPr>
          <w:kern w:val="0"/>
          <w:szCs w:val="24"/>
        </w:rPr>
        <w:t xml:space="preserve"> </w:t>
      </w:r>
    </w:p>
    <w:p w:rsidR="000C0033" w:rsidRDefault="000C0033" w:rsidP="000C0033">
      <w:pPr>
        <w:spacing w:line="480" w:lineRule="auto"/>
        <w:ind w:left="720" w:hanging="720"/>
        <w:rPr>
          <w:kern w:val="0"/>
          <w:szCs w:val="24"/>
        </w:rPr>
      </w:pPr>
      <w:r w:rsidRPr="00845E05">
        <w:rPr>
          <w:kern w:val="0"/>
          <w:szCs w:val="24"/>
        </w:rPr>
        <w:t>A.</w:t>
      </w:r>
      <w:r w:rsidRPr="00845E05">
        <w:rPr>
          <w:kern w:val="0"/>
          <w:szCs w:val="24"/>
        </w:rPr>
        <w:tab/>
      </w:r>
      <w:r>
        <w:rPr>
          <w:kern w:val="0"/>
          <w:szCs w:val="24"/>
        </w:rPr>
        <w:t>Yes.  I reviewed my</w:t>
      </w:r>
      <w:r w:rsidRPr="002777DD">
        <w:rPr>
          <w:kern w:val="0"/>
          <w:szCs w:val="24"/>
        </w:rPr>
        <w:t xml:space="preserve"> </w:t>
      </w:r>
      <w:r w:rsidRPr="000C0033">
        <w:rPr>
          <w:kern w:val="0"/>
          <w:szCs w:val="24"/>
        </w:rPr>
        <w:t>capital structure recommendation against recent rate case decisions involving other utilities’ proposed capital structures</w:t>
      </w:r>
      <w:r>
        <w:rPr>
          <w:kern w:val="0"/>
          <w:szCs w:val="24"/>
        </w:rPr>
        <w:t>.  It is my understanding that of the 42 electric utility rate cases in which a capital structure determination was ordered during 2013, approximately one</w:t>
      </w:r>
      <w:r w:rsidR="00015B7E">
        <w:rPr>
          <w:kern w:val="0"/>
          <w:szCs w:val="24"/>
        </w:rPr>
        <w:t>-</w:t>
      </w:r>
      <w:r>
        <w:rPr>
          <w:kern w:val="0"/>
          <w:szCs w:val="24"/>
        </w:rPr>
        <w:t>half had a common equity component greater than what the Company is proposing.  These cases include the following companies:</w:t>
      </w:r>
    </w:p>
    <w:p w:rsidR="000C0033" w:rsidRPr="00845E05" w:rsidRDefault="000C0033" w:rsidP="000C0033">
      <w:pPr>
        <w:pStyle w:val="ListParagraph"/>
        <w:numPr>
          <w:ilvl w:val="2"/>
          <w:numId w:val="10"/>
        </w:numPr>
        <w:rPr>
          <w:kern w:val="0"/>
          <w:szCs w:val="24"/>
        </w:rPr>
      </w:pPr>
      <w:r w:rsidRPr="00845E05">
        <w:rPr>
          <w:kern w:val="0"/>
          <w:szCs w:val="24"/>
        </w:rPr>
        <w:t>Kansas City Power &amp; Light</w:t>
      </w:r>
    </w:p>
    <w:p w:rsidR="000C0033" w:rsidRPr="00845E05" w:rsidRDefault="000C0033" w:rsidP="000C0033">
      <w:pPr>
        <w:pStyle w:val="ListParagraph"/>
        <w:numPr>
          <w:ilvl w:val="2"/>
          <w:numId w:val="10"/>
        </w:numPr>
        <w:rPr>
          <w:kern w:val="0"/>
          <w:szCs w:val="24"/>
        </w:rPr>
      </w:pPr>
      <w:r w:rsidRPr="00845E05">
        <w:rPr>
          <w:kern w:val="0"/>
          <w:szCs w:val="24"/>
        </w:rPr>
        <w:t>KCP&amp;L Greater Missouri Op.</w:t>
      </w:r>
    </w:p>
    <w:p w:rsidR="000C0033" w:rsidRPr="00845E05" w:rsidRDefault="000C0033" w:rsidP="000C0033">
      <w:pPr>
        <w:pStyle w:val="ListParagraph"/>
        <w:numPr>
          <w:ilvl w:val="2"/>
          <w:numId w:val="10"/>
        </w:numPr>
        <w:rPr>
          <w:kern w:val="0"/>
          <w:szCs w:val="24"/>
        </w:rPr>
      </w:pPr>
      <w:r w:rsidRPr="00845E05">
        <w:rPr>
          <w:kern w:val="0"/>
          <w:szCs w:val="24"/>
        </w:rPr>
        <w:t>Virginia Electric and Power</w:t>
      </w:r>
    </w:p>
    <w:p w:rsidR="000C0033" w:rsidRPr="00845E05" w:rsidRDefault="000C0033" w:rsidP="000C0033">
      <w:pPr>
        <w:pStyle w:val="ListParagraph"/>
        <w:numPr>
          <w:ilvl w:val="2"/>
          <w:numId w:val="10"/>
        </w:numPr>
        <w:rPr>
          <w:kern w:val="0"/>
          <w:szCs w:val="24"/>
        </w:rPr>
      </w:pPr>
      <w:r w:rsidRPr="00845E05">
        <w:rPr>
          <w:kern w:val="0"/>
          <w:szCs w:val="24"/>
        </w:rPr>
        <w:t>Duke Energy Ohio</w:t>
      </w:r>
    </w:p>
    <w:p w:rsidR="000C0033" w:rsidRPr="00845E05" w:rsidRDefault="000C0033" w:rsidP="000C0033">
      <w:pPr>
        <w:pStyle w:val="ListParagraph"/>
        <w:numPr>
          <w:ilvl w:val="2"/>
          <w:numId w:val="10"/>
        </w:numPr>
        <w:rPr>
          <w:kern w:val="0"/>
          <w:szCs w:val="24"/>
        </w:rPr>
      </w:pPr>
      <w:r w:rsidRPr="00845E05">
        <w:rPr>
          <w:kern w:val="0"/>
          <w:szCs w:val="24"/>
        </w:rPr>
        <w:t>Duke Energy Progress</w:t>
      </w:r>
    </w:p>
    <w:p w:rsidR="000C0033" w:rsidRPr="00845E05" w:rsidRDefault="000C0033" w:rsidP="000C0033">
      <w:pPr>
        <w:pStyle w:val="ListParagraph"/>
        <w:numPr>
          <w:ilvl w:val="2"/>
          <w:numId w:val="10"/>
        </w:numPr>
        <w:rPr>
          <w:kern w:val="0"/>
          <w:szCs w:val="24"/>
        </w:rPr>
      </w:pPr>
      <w:r w:rsidRPr="00845E05">
        <w:rPr>
          <w:kern w:val="0"/>
          <w:szCs w:val="24"/>
        </w:rPr>
        <w:t>Maui Electric</w:t>
      </w:r>
    </w:p>
    <w:p w:rsidR="000C0033" w:rsidRPr="00845E05" w:rsidRDefault="000C0033" w:rsidP="000C0033">
      <w:pPr>
        <w:pStyle w:val="ListParagraph"/>
        <w:numPr>
          <w:ilvl w:val="2"/>
          <w:numId w:val="10"/>
        </w:numPr>
        <w:rPr>
          <w:kern w:val="0"/>
          <w:szCs w:val="24"/>
        </w:rPr>
      </w:pPr>
      <w:r w:rsidRPr="00845E05">
        <w:rPr>
          <w:kern w:val="0"/>
          <w:szCs w:val="24"/>
        </w:rPr>
        <w:t>Northern States Power—Minnesota</w:t>
      </w:r>
    </w:p>
    <w:p w:rsidR="000C0033" w:rsidRPr="00845E05" w:rsidRDefault="000C0033" w:rsidP="000C0033">
      <w:pPr>
        <w:pStyle w:val="ListParagraph"/>
        <w:numPr>
          <w:ilvl w:val="2"/>
          <w:numId w:val="10"/>
        </w:numPr>
        <w:rPr>
          <w:kern w:val="0"/>
          <w:szCs w:val="24"/>
        </w:rPr>
      </w:pPr>
      <w:r w:rsidRPr="00845E05">
        <w:rPr>
          <w:kern w:val="0"/>
          <w:szCs w:val="24"/>
        </w:rPr>
        <w:t>Duke Energy Carolinas</w:t>
      </w:r>
    </w:p>
    <w:p w:rsidR="000C0033" w:rsidRPr="00845E05" w:rsidRDefault="000C0033" w:rsidP="000C0033">
      <w:pPr>
        <w:pStyle w:val="ListParagraph"/>
        <w:numPr>
          <w:ilvl w:val="2"/>
          <w:numId w:val="10"/>
        </w:numPr>
        <w:rPr>
          <w:kern w:val="0"/>
          <w:szCs w:val="24"/>
        </w:rPr>
      </w:pPr>
      <w:r w:rsidRPr="00845E05">
        <w:rPr>
          <w:kern w:val="0"/>
          <w:szCs w:val="24"/>
        </w:rPr>
        <w:t>South Carolina Electric &amp; Gas</w:t>
      </w:r>
    </w:p>
    <w:p w:rsidR="000C0033" w:rsidRPr="00845E05" w:rsidRDefault="000C0033" w:rsidP="000C0033">
      <w:pPr>
        <w:pStyle w:val="ListParagraph"/>
        <w:numPr>
          <w:ilvl w:val="2"/>
          <w:numId w:val="10"/>
        </w:numPr>
        <w:rPr>
          <w:kern w:val="0"/>
          <w:szCs w:val="24"/>
        </w:rPr>
      </w:pPr>
      <w:r w:rsidRPr="00845E05">
        <w:rPr>
          <w:kern w:val="0"/>
          <w:szCs w:val="24"/>
        </w:rPr>
        <w:t>Westar Energy</w:t>
      </w:r>
    </w:p>
    <w:p w:rsidR="000C0033" w:rsidRPr="00845E05" w:rsidRDefault="000C0033" w:rsidP="000C0033">
      <w:pPr>
        <w:pStyle w:val="ListParagraph"/>
        <w:numPr>
          <w:ilvl w:val="2"/>
          <w:numId w:val="10"/>
        </w:numPr>
        <w:rPr>
          <w:kern w:val="0"/>
          <w:szCs w:val="24"/>
        </w:rPr>
      </w:pPr>
      <w:r w:rsidRPr="00845E05">
        <w:rPr>
          <w:kern w:val="0"/>
          <w:szCs w:val="24"/>
        </w:rPr>
        <w:t>Northern States Power—Wisconsin</w:t>
      </w:r>
    </w:p>
    <w:p w:rsidR="000C0033" w:rsidRDefault="000C0033" w:rsidP="000C0033">
      <w:pPr>
        <w:pStyle w:val="ListParagraph"/>
        <w:numPr>
          <w:ilvl w:val="2"/>
          <w:numId w:val="10"/>
        </w:numPr>
        <w:rPr>
          <w:kern w:val="0"/>
          <w:szCs w:val="24"/>
        </w:rPr>
      </w:pPr>
      <w:r w:rsidRPr="00845E05">
        <w:rPr>
          <w:kern w:val="0"/>
          <w:szCs w:val="24"/>
        </w:rPr>
        <w:t>UNS Electric</w:t>
      </w:r>
    </w:p>
    <w:p w:rsidR="000C0033" w:rsidRDefault="000C0033" w:rsidP="00801BDF">
      <w:pPr>
        <w:suppressLineNumbers/>
        <w:rPr>
          <w:kern w:val="0"/>
          <w:szCs w:val="24"/>
        </w:rPr>
      </w:pPr>
    </w:p>
    <w:p w:rsidR="000C0033" w:rsidRDefault="000C0033" w:rsidP="000C0033">
      <w:pPr>
        <w:spacing w:line="480" w:lineRule="auto"/>
        <w:ind w:left="720"/>
        <w:rPr>
          <w:kern w:val="0"/>
          <w:szCs w:val="24"/>
        </w:rPr>
      </w:pPr>
      <w:r>
        <w:rPr>
          <w:kern w:val="0"/>
          <w:szCs w:val="24"/>
        </w:rPr>
        <w:lastRenderedPageBreak/>
        <w:t xml:space="preserve">Further, of the eight electric utility cases decided during the first quarter of 2014, the average common equity component was 51.08 percent.  </w:t>
      </w:r>
      <w:r w:rsidR="0026367E">
        <w:rPr>
          <w:kern w:val="0"/>
          <w:szCs w:val="24"/>
        </w:rPr>
        <w:t>T</w:t>
      </w:r>
      <w:r>
        <w:rPr>
          <w:kern w:val="0"/>
          <w:szCs w:val="24"/>
        </w:rPr>
        <w:t>he Company’s proposed capitalization in this case is in line with the electric utility industry.</w:t>
      </w:r>
    </w:p>
    <w:p w:rsidR="00F434BB" w:rsidRDefault="00747B35" w:rsidP="000C0033">
      <w:pPr>
        <w:spacing w:line="480" w:lineRule="auto"/>
        <w:ind w:left="720" w:hanging="720"/>
        <w:rPr>
          <w:b/>
          <w:kern w:val="0"/>
          <w:szCs w:val="24"/>
        </w:rPr>
      </w:pPr>
      <w:r w:rsidRPr="00747B35">
        <w:rPr>
          <w:b/>
          <w:kern w:val="0"/>
          <w:szCs w:val="24"/>
        </w:rPr>
        <w:t>Q.</w:t>
      </w:r>
      <w:r w:rsidRPr="00747B35">
        <w:rPr>
          <w:b/>
          <w:kern w:val="0"/>
          <w:szCs w:val="24"/>
        </w:rPr>
        <w:tab/>
      </w:r>
      <w:r w:rsidR="004471A2">
        <w:rPr>
          <w:b/>
          <w:kern w:val="0"/>
          <w:szCs w:val="24"/>
        </w:rPr>
        <w:t xml:space="preserve">Did S&amp;P recently reiterate the importance of </w:t>
      </w:r>
      <w:r w:rsidR="00B07112">
        <w:rPr>
          <w:b/>
          <w:kern w:val="0"/>
          <w:szCs w:val="24"/>
        </w:rPr>
        <w:t xml:space="preserve">rate case </w:t>
      </w:r>
      <w:r w:rsidR="004471A2">
        <w:rPr>
          <w:b/>
          <w:kern w:val="0"/>
          <w:szCs w:val="24"/>
        </w:rPr>
        <w:t xml:space="preserve">capital structure determinations as an indicator of regulatory support for a utility’s credit quality? </w:t>
      </w:r>
    </w:p>
    <w:p w:rsidR="00747B35" w:rsidRDefault="00747B35" w:rsidP="000C0033">
      <w:pPr>
        <w:spacing w:line="480" w:lineRule="auto"/>
        <w:ind w:left="720" w:hanging="720"/>
        <w:rPr>
          <w:kern w:val="0"/>
          <w:szCs w:val="24"/>
        </w:rPr>
      </w:pPr>
      <w:r w:rsidRPr="00A36B7E">
        <w:rPr>
          <w:kern w:val="0"/>
          <w:szCs w:val="24"/>
        </w:rPr>
        <w:t>A.</w:t>
      </w:r>
      <w:r>
        <w:rPr>
          <w:b/>
          <w:kern w:val="0"/>
          <w:szCs w:val="24"/>
        </w:rPr>
        <w:tab/>
      </w:r>
      <w:r>
        <w:rPr>
          <w:kern w:val="0"/>
          <w:szCs w:val="24"/>
        </w:rPr>
        <w:t xml:space="preserve">Yes.  </w:t>
      </w:r>
      <w:r w:rsidR="004471A2">
        <w:rPr>
          <w:kern w:val="0"/>
          <w:szCs w:val="24"/>
        </w:rPr>
        <w:t xml:space="preserve">In January 2014, </w:t>
      </w:r>
      <w:r>
        <w:rPr>
          <w:kern w:val="0"/>
          <w:szCs w:val="24"/>
        </w:rPr>
        <w:t>S&amp;P</w:t>
      </w:r>
      <w:r w:rsidR="004471A2">
        <w:rPr>
          <w:kern w:val="0"/>
          <w:szCs w:val="24"/>
        </w:rPr>
        <w:t xml:space="preserve"> </w:t>
      </w:r>
      <w:r w:rsidR="00F434BB">
        <w:rPr>
          <w:kern w:val="0"/>
          <w:szCs w:val="24"/>
        </w:rPr>
        <w:t>stated</w:t>
      </w:r>
      <w:r>
        <w:rPr>
          <w:kern w:val="0"/>
          <w:szCs w:val="24"/>
        </w:rPr>
        <w:t>:</w:t>
      </w:r>
    </w:p>
    <w:p w:rsidR="00747B35" w:rsidRDefault="00747B35" w:rsidP="004471A2">
      <w:pPr>
        <w:spacing w:after="240"/>
        <w:ind w:left="1440" w:right="720"/>
        <w:rPr>
          <w:kern w:val="0"/>
          <w:szCs w:val="24"/>
        </w:rPr>
      </w:pPr>
      <w:r>
        <w:rPr>
          <w:kern w:val="0"/>
          <w:szCs w:val="24"/>
        </w:rPr>
        <w:t xml:space="preserve">The rates of return and capital structures used to generate the revenue requirement in rate proceedings may not be the primary focus of our assessment, but we still note those and other decisions </w:t>
      </w:r>
      <w:r w:rsidRPr="004471A2">
        <w:rPr>
          <w:szCs w:val="24"/>
        </w:rPr>
        <w:t>made</w:t>
      </w:r>
      <w:r>
        <w:rPr>
          <w:kern w:val="0"/>
          <w:szCs w:val="24"/>
        </w:rPr>
        <w:t xml:space="preserve"> in the ratemaking process and assess them based on their relationship to U.S. averages.  We consider them to be signals from regulators on their attitude toward credit quality.  </w:t>
      </w:r>
      <w:r w:rsidRPr="00777213">
        <w:rPr>
          <w:kern w:val="0"/>
          <w:szCs w:val="24"/>
          <w:u w:val="single"/>
        </w:rPr>
        <w:t>The capital structure in particular is an indication from the regulator as to whether creditworthiness is an important consideration in its deliberations</w:t>
      </w:r>
      <w:r>
        <w:rPr>
          <w:kern w:val="0"/>
          <w:szCs w:val="24"/>
        </w:rPr>
        <w:t>.</w:t>
      </w:r>
      <w:r>
        <w:rPr>
          <w:rStyle w:val="FootnoteReference"/>
          <w:kern w:val="0"/>
          <w:szCs w:val="24"/>
        </w:rPr>
        <w:footnoteReference w:id="6"/>
      </w:r>
    </w:p>
    <w:p w:rsidR="000C0033" w:rsidRPr="00C82A7A" w:rsidRDefault="000C0033" w:rsidP="000C0033">
      <w:pPr>
        <w:spacing w:line="480" w:lineRule="auto"/>
        <w:ind w:left="720" w:hanging="720"/>
        <w:rPr>
          <w:b/>
          <w:kern w:val="0"/>
          <w:szCs w:val="24"/>
        </w:rPr>
      </w:pPr>
      <w:r w:rsidRPr="00C82A7A">
        <w:rPr>
          <w:b/>
          <w:kern w:val="0"/>
          <w:szCs w:val="24"/>
        </w:rPr>
        <w:t>Q.</w:t>
      </w:r>
      <w:r w:rsidRPr="00C82A7A">
        <w:rPr>
          <w:b/>
          <w:kern w:val="0"/>
          <w:szCs w:val="24"/>
        </w:rPr>
        <w:tab/>
        <w:t xml:space="preserve">Would adoption of </w:t>
      </w:r>
      <w:r w:rsidR="00F434BB">
        <w:rPr>
          <w:b/>
          <w:kern w:val="0"/>
          <w:szCs w:val="24"/>
        </w:rPr>
        <w:t>the</w:t>
      </w:r>
      <w:r w:rsidR="00F434BB" w:rsidRPr="00C82A7A">
        <w:rPr>
          <w:b/>
          <w:kern w:val="0"/>
          <w:szCs w:val="24"/>
        </w:rPr>
        <w:t xml:space="preserve"> </w:t>
      </w:r>
      <w:r w:rsidRPr="00C82A7A">
        <w:rPr>
          <w:b/>
          <w:kern w:val="0"/>
          <w:szCs w:val="24"/>
        </w:rPr>
        <w:t xml:space="preserve">proposed capital structure </w:t>
      </w:r>
      <w:r w:rsidR="00C82A7A">
        <w:rPr>
          <w:b/>
          <w:kern w:val="0"/>
          <w:szCs w:val="24"/>
        </w:rPr>
        <w:t xml:space="preserve">and overall rate of return of 7.67 percent </w:t>
      </w:r>
      <w:r w:rsidRPr="00C82A7A">
        <w:rPr>
          <w:b/>
          <w:kern w:val="0"/>
          <w:szCs w:val="24"/>
        </w:rPr>
        <w:t xml:space="preserve">better align </w:t>
      </w:r>
      <w:r w:rsidR="00C82A7A">
        <w:rPr>
          <w:b/>
          <w:kern w:val="0"/>
          <w:szCs w:val="24"/>
        </w:rPr>
        <w:t>Pacific Power</w:t>
      </w:r>
      <w:r w:rsidRPr="00C82A7A">
        <w:rPr>
          <w:b/>
          <w:kern w:val="0"/>
          <w:szCs w:val="24"/>
        </w:rPr>
        <w:t xml:space="preserve"> with the capital structures </w:t>
      </w:r>
      <w:r w:rsidR="00C82A7A">
        <w:rPr>
          <w:b/>
          <w:kern w:val="0"/>
          <w:szCs w:val="24"/>
        </w:rPr>
        <w:t xml:space="preserve">and overall rates of return </w:t>
      </w:r>
      <w:r w:rsidRPr="00C82A7A">
        <w:rPr>
          <w:b/>
          <w:kern w:val="0"/>
          <w:szCs w:val="24"/>
        </w:rPr>
        <w:t>adopted in PacifiCorp’s other jurisdictions?</w:t>
      </w:r>
    </w:p>
    <w:p w:rsidR="00A354DE" w:rsidRDefault="00DF1FD6" w:rsidP="00A354DE">
      <w:pPr>
        <w:spacing w:line="480" w:lineRule="auto"/>
        <w:ind w:left="720" w:hanging="720"/>
        <w:rPr>
          <w:kern w:val="0"/>
          <w:szCs w:val="24"/>
        </w:rPr>
      </w:pPr>
      <w:r>
        <w:rPr>
          <w:kern w:val="0"/>
          <w:szCs w:val="24"/>
        </w:rPr>
        <w:t>A.</w:t>
      </w:r>
      <w:r>
        <w:rPr>
          <w:kern w:val="0"/>
          <w:szCs w:val="24"/>
        </w:rPr>
        <w:tab/>
        <w:t>Yes</w:t>
      </w:r>
      <w:r w:rsidR="00534BCC">
        <w:rPr>
          <w:kern w:val="0"/>
          <w:szCs w:val="24"/>
        </w:rPr>
        <w:t xml:space="preserve">.  </w:t>
      </w:r>
      <w:r w:rsidR="000C0033">
        <w:rPr>
          <w:kern w:val="0"/>
          <w:szCs w:val="24"/>
        </w:rPr>
        <w:t xml:space="preserve">As </w:t>
      </w:r>
      <w:r w:rsidR="00EE399C">
        <w:rPr>
          <w:kern w:val="0"/>
          <w:szCs w:val="24"/>
        </w:rPr>
        <w:t>Table 3</w:t>
      </w:r>
      <w:r w:rsidR="000C0033">
        <w:rPr>
          <w:kern w:val="0"/>
          <w:szCs w:val="24"/>
        </w:rPr>
        <w:t xml:space="preserve"> below demonstrate</w:t>
      </w:r>
      <w:r w:rsidR="00C82A7A">
        <w:rPr>
          <w:kern w:val="0"/>
          <w:szCs w:val="24"/>
        </w:rPr>
        <w:t>s</w:t>
      </w:r>
      <w:r w:rsidR="000C0033">
        <w:rPr>
          <w:kern w:val="0"/>
          <w:szCs w:val="24"/>
        </w:rPr>
        <w:t xml:space="preserve">, Pacific Power’s allowed common equity component </w:t>
      </w:r>
      <w:r w:rsidR="00C82A7A">
        <w:rPr>
          <w:kern w:val="0"/>
          <w:szCs w:val="24"/>
        </w:rPr>
        <w:t xml:space="preserve">and overall rate of return </w:t>
      </w:r>
      <w:r w:rsidR="000C0033">
        <w:rPr>
          <w:kern w:val="0"/>
          <w:szCs w:val="24"/>
        </w:rPr>
        <w:t xml:space="preserve">in Washington </w:t>
      </w:r>
      <w:r w:rsidR="00A17440">
        <w:rPr>
          <w:kern w:val="0"/>
          <w:szCs w:val="24"/>
        </w:rPr>
        <w:t xml:space="preserve">are lower than what </w:t>
      </w:r>
      <w:r w:rsidR="00C82A7A">
        <w:rPr>
          <w:kern w:val="0"/>
          <w:szCs w:val="24"/>
        </w:rPr>
        <w:t>PacifiCorp</w:t>
      </w:r>
      <w:r w:rsidR="00A17440">
        <w:rPr>
          <w:kern w:val="0"/>
          <w:szCs w:val="24"/>
        </w:rPr>
        <w:t xml:space="preserve"> is allowed</w:t>
      </w:r>
      <w:r w:rsidR="00C82A7A">
        <w:rPr>
          <w:kern w:val="0"/>
          <w:szCs w:val="24"/>
        </w:rPr>
        <w:t xml:space="preserve"> </w:t>
      </w:r>
      <w:r w:rsidR="000C0033">
        <w:rPr>
          <w:kern w:val="0"/>
          <w:szCs w:val="24"/>
        </w:rPr>
        <w:t xml:space="preserve">in </w:t>
      </w:r>
      <w:r w:rsidR="00A17440">
        <w:rPr>
          <w:kern w:val="0"/>
          <w:szCs w:val="24"/>
        </w:rPr>
        <w:t xml:space="preserve">all </w:t>
      </w:r>
      <w:r w:rsidR="000C0033">
        <w:rPr>
          <w:kern w:val="0"/>
          <w:szCs w:val="24"/>
        </w:rPr>
        <w:t xml:space="preserve">other states.  </w:t>
      </w:r>
      <w:r w:rsidR="00F434BB">
        <w:rPr>
          <w:kern w:val="0"/>
          <w:szCs w:val="24"/>
        </w:rPr>
        <w:t xml:space="preserve">The Company’s </w:t>
      </w:r>
      <w:r w:rsidR="000C0033">
        <w:rPr>
          <w:kern w:val="0"/>
          <w:szCs w:val="24"/>
        </w:rPr>
        <w:t xml:space="preserve">recommended capital structure </w:t>
      </w:r>
      <w:r w:rsidR="00C82A7A">
        <w:rPr>
          <w:kern w:val="0"/>
          <w:szCs w:val="24"/>
        </w:rPr>
        <w:t xml:space="preserve">and overall rate of return </w:t>
      </w:r>
      <w:r w:rsidR="000C0033">
        <w:rPr>
          <w:kern w:val="0"/>
          <w:szCs w:val="24"/>
        </w:rPr>
        <w:t>would</w:t>
      </w:r>
      <w:r w:rsidR="00C82A7A">
        <w:rPr>
          <w:kern w:val="0"/>
          <w:szCs w:val="24"/>
        </w:rPr>
        <w:t xml:space="preserve"> help close that gap. </w:t>
      </w:r>
    </w:p>
    <w:p w:rsidR="00EE399C" w:rsidRDefault="00EE399C" w:rsidP="00E2704E">
      <w:pPr>
        <w:keepNext/>
        <w:keepLines/>
        <w:suppressLineNumbers/>
        <w:ind w:left="720" w:hanging="720"/>
        <w:jc w:val="center"/>
        <w:rPr>
          <w:b/>
          <w:kern w:val="0"/>
          <w:szCs w:val="24"/>
        </w:rPr>
      </w:pPr>
      <w:r>
        <w:rPr>
          <w:b/>
          <w:kern w:val="0"/>
          <w:szCs w:val="24"/>
        </w:rPr>
        <w:t>Table 3</w:t>
      </w:r>
    </w:p>
    <w:tbl>
      <w:tblPr>
        <w:tblStyle w:val="TableGrid"/>
        <w:tblW w:w="8856" w:type="dxa"/>
        <w:jc w:val="center"/>
        <w:tblInd w:w="720" w:type="dxa"/>
        <w:tblLook w:val="04A0" w:firstRow="1" w:lastRow="0" w:firstColumn="1" w:lastColumn="0" w:noHBand="0" w:noVBand="1"/>
      </w:tblPr>
      <w:tblGrid>
        <w:gridCol w:w="1548"/>
        <w:gridCol w:w="1260"/>
        <w:gridCol w:w="1350"/>
        <w:gridCol w:w="1260"/>
        <w:gridCol w:w="1080"/>
        <w:gridCol w:w="1170"/>
        <w:gridCol w:w="1188"/>
      </w:tblGrid>
      <w:tr w:rsidR="00DF3088" w:rsidRPr="00DF3088" w:rsidTr="00E2704E">
        <w:trPr>
          <w:jc w:val="center"/>
        </w:trPr>
        <w:tc>
          <w:tcPr>
            <w:tcW w:w="1548" w:type="dxa"/>
          </w:tcPr>
          <w:p w:rsidR="00DF3088" w:rsidRPr="00DF3088" w:rsidRDefault="00DF3088" w:rsidP="00EE399C">
            <w:pPr>
              <w:suppressLineNumbers/>
              <w:jc w:val="center"/>
              <w:rPr>
                <w:kern w:val="0"/>
                <w:sz w:val="20"/>
              </w:rPr>
            </w:pPr>
          </w:p>
        </w:tc>
        <w:tc>
          <w:tcPr>
            <w:tcW w:w="1260" w:type="dxa"/>
            <w:vAlign w:val="center"/>
          </w:tcPr>
          <w:p w:rsidR="00DF3088" w:rsidRPr="00DF3088" w:rsidRDefault="00DF3088" w:rsidP="00DF3088">
            <w:pPr>
              <w:suppressLineNumbers/>
              <w:jc w:val="center"/>
              <w:rPr>
                <w:kern w:val="0"/>
                <w:sz w:val="20"/>
              </w:rPr>
            </w:pPr>
            <w:r w:rsidRPr="00DF3088">
              <w:rPr>
                <w:kern w:val="0"/>
                <w:sz w:val="20"/>
              </w:rPr>
              <w:t>Washington</w:t>
            </w:r>
          </w:p>
          <w:p w:rsidR="00DF3088" w:rsidRPr="00DF3088" w:rsidRDefault="00DF3088" w:rsidP="00DF3088">
            <w:pPr>
              <w:suppressLineNumbers/>
              <w:jc w:val="center"/>
              <w:rPr>
                <w:kern w:val="0"/>
                <w:sz w:val="20"/>
              </w:rPr>
            </w:pPr>
            <w:r w:rsidRPr="00DF3088">
              <w:rPr>
                <w:kern w:val="0"/>
                <w:sz w:val="20"/>
              </w:rPr>
              <w:t>UE-130043</w:t>
            </w:r>
          </w:p>
        </w:tc>
        <w:tc>
          <w:tcPr>
            <w:tcW w:w="1350" w:type="dxa"/>
            <w:vAlign w:val="center"/>
          </w:tcPr>
          <w:p w:rsidR="00DF3088" w:rsidRPr="00DF3088" w:rsidRDefault="00DF3088" w:rsidP="00DF3088">
            <w:pPr>
              <w:suppressLineNumbers/>
              <w:jc w:val="center"/>
              <w:rPr>
                <w:kern w:val="0"/>
                <w:sz w:val="20"/>
              </w:rPr>
            </w:pPr>
            <w:r w:rsidRPr="00DF3088">
              <w:rPr>
                <w:kern w:val="0"/>
                <w:sz w:val="20"/>
              </w:rPr>
              <w:t>California</w:t>
            </w:r>
          </w:p>
          <w:p w:rsidR="00DF3088" w:rsidRPr="00DF3088" w:rsidRDefault="00DF3088" w:rsidP="00DF3088">
            <w:pPr>
              <w:suppressLineNumbers/>
              <w:jc w:val="center"/>
              <w:rPr>
                <w:kern w:val="0"/>
                <w:sz w:val="20"/>
              </w:rPr>
            </w:pPr>
            <w:r w:rsidRPr="00DF3088">
              <w:rPr>
                <w:kern w:val="0"/>
                <w:sz w:val="20"/>
              </w:rPr>
              <w:t>A.09-11-015</w:t>
            </w:r>
          </w:p>
        </w:tc>
        <w:tc>
          <w:tcPr>
            <w:tcW w:w="1260" w:type="dxa"/>
            <w:vAlign w:val="center"/>
          </w:tcPr>
          <w:p w:rsidR="00DF3088" w:rsidRPr="00DF3088" w:rsidRDefault="00DF3088" w:rsidP="00DF3088">
            <w:pPr>
              <w:suppressLineNumbers/>
              <w:jc w:val="center"/>
              <w:rPr>
                <w:kern w:val="0"/>
                <w:sz w:val="20"/>
              </w:rPr>
            </w:pPr>
            <w:r w:rsidRPr="00DF3088">
              <w:rPr>
                <w:kern w:val="0"/>
                <w:sz w:val="20"/>
              </w:rPr>
              <w:t>Idaho</w:t>
            </w:r>
          </w:p>
          <w:p w:rsidR="00DF3088" w:rsidRPr="00DF3088" w:rsidRDefault="00DF3088" w:rsidP="00DF3088">
            <w:pPr>
              <w:suppressLineNumbers/>
              <w:jc w:val="center"/>
              <w:rPr>
                <w:kern w:val="0"/>
                <w:sz w:val="20"/>
              </w:rPr>
            </w:pPr>
            <w:r w:rsidRPr="00DF3088">
              <w:rPr>
                <w:kern w:val="0"/>
                <w:sz w:val="20"/>
              </w:rPr>
              <w:t>PAC-E10-7</w:t>
            </w:r>
          </w:p>
        </w:tc>
        <w:tc>
          <w:tcPr>
            <w:tcW w:w="1080" w:type="dxa"/>
            <w:vAlign w:val="center"/>
          </w:tcPr>
          <w:p w:rsidR="00DF3088" w:rsidRPr="00DF3088" w:rsidRDefault="00DF3088" w:rsidP="00DF3088">
            <w:pPr>
              <w:suppressLineNumbers/>
              <w:jc w:val="center"/>
              <w:rPr>
                <w:kern w:val="0"/>
                <w:sz w:val="20"/>
              </w:rPr>
            </w:pPr>
            <w:r w:rsidRPr="00DF3088">
              <w:rPr>
                <w:kern w:val="0"/>
                <w:sz w:val="20"/>
              </w:rPr>
              <w:t>Oregon</w:t>
            </w:r>
          </w:p>
          <w:p w:rsidR="00DF3088" w:rsidRPr="00DF3088" w:rsidRDefault="00DF3088" w:rsidP="001463B1">
            <w:pPr>
              <w:suppressLineNumbers/>
              <w:jc w:val="center"/>
              <w:rPr>
                <w:kern w:val="0"/>
                <w:sz w:val="20"/>
              </w:rPr>
            </w:pPr>
            <w:r w:rsidRPr="00DF3088">
              <w:rPr>
                <w:kern w:val="0"/>
                <w:sz w:val="20"/>
              </w:rPr>
              <w:t xml:space="preserve">UE </w:t>
            </w:r>
            <w:r w:rsidR="001463B1">
              <w:rPr>
                <w:kern w:val="0"/>
                <w:sz w:val="20"/>
              </w:rPr>
              <w:t>263</w:t>
            </w:r>
          </w:p>
        </w:tc>
        <w:tc>
          <w:tcPr>
            <w:tcW w:w="1170" w:type="dxa"/>
            <w:vAlign w:val="center"/>
          </w:tcPr>
          <w:p w:rsidR="00DF3088" w:rsidRPr="00DF3088" w:rsidRDefault="00DF3088" w:rsidP="00DF3088">
            <w:pPr>
              <w:suppressLineNumbers/>
              <w:jc w:val="center"/>
              <w:rPr>
                <w:kern w:val="0"/>
                <w:sz w:val="20"/>
              </w:rPr>
            </w:pPr>
            <w:r w:rsidRPr="00DF3088">
              <w:rPr>
                <w:kern w:val="0"/>
                <w:sz w:val="20"/>
              </w:rPr>
              <w:t>Utah</w:t>
            </w:r>
          </w:p>
          <w:p w:rsidR="00DF3088" w:rsidRPr="00DF3088" w:rsidRDefault="00DF3088" w:rsidP="00DF3088">
            <w:pPr>
              <w:suppressLineNumbers/>
              <w:jc w:val="center"/>
              <w:rPr>
                <w:kern w:val="0"/>
                <w:sz w:val="20"/>
              </w:rPr>
            </w:pPr>
            <w:r w:rsidRPr="00DF3088">
              <w:rPr>
                <w:kern w:val="0"/>
                <w:sz w:val="20"/>
              </w:rPr>
              <w:t>11-035-200</w:t>
            </w:r>
          </w:p>
        </w:tc>
        <w:tc>
          <w:tcPr>
            <w:tcW w:w="1188" w:type="dxa"/>
            <w:vAlign w:val="center"/>
          </w:tcPr>
          <w:p w:rsidR="00DF3088" w:rsidRPr="00DF3088" w:rsidRDefault="00DF3088" w:rsidP="00DF3088">
            <w:pPr>
              <w:suppressLineNumbers/>
              <w:jc w:val="center"/>
              <w:rPr>
                <w:kern w:val="0"/>
                <w:sz w:val="20"/>
              </w:rPr>
            </w:pPr>
            <w:r w:rsidRPr="00DF3088">
              <w:rPr>
                <w:kern w:val="0"/>
                <w:sz w:val="20"/>
              </w:rPr>
              <w:t>Wyoming</w:t>
            </w:r>
          </w:p>
          <w:p w:rsidR="00DF3088" w:rsidRPr="00DF3088" w:rsidRDefault="00DF3088" w:rsidP="00DF3088">
            <w:pPr>
              <w:suppressLineNumbers/>
              <w:jc w:val="center"/>
              <w:rPr>
                <w:kern w:val="0"/>
                <w:sz w:val="20"/>
              </w:rPr>
            </w:pPr>
            <w:r w:rsidRPr="00DF3088">
              <w:rPr>
                <w:kern w:val="0"/>
                <w:sz w:val="20"/>
              </w:rPr>
              <w:t>20000-405-ER-11</w:t>
            </w:r>
          </w:p>
        </w:tc>
      </w:tr>
      <w:tr w:rsidR="00DF3088" w:rsidRPr="00DF3088" w:rsidTr="00E2704E">
        <w:trPr>
          <w:jc w:val="center"/>
        </w:trPr>
        <w:tc>
          <w:tcPr>
            <w:tcW w:w="1548" w:type="dxa"/>
          </w:tcPr>
          <w:p w:rsidR="00DF3088" w:rsidRPr="00DF3088" w:rsidRDefault="00DF3088" w:rsidP="00DF3088">
            <w:pPr>
              <w:suppressLineNumbers/>
              <w:rPr>
                <w:kern w:val="0"/>
                <w:sz w:val="20"/>
              </w:rPr>
            </w:pPr>
            <w:r w:rsidRPr="00DF3088">
              <w:rPr>
                <w:kern w:val="0"/>
                <w:sz w:val="20"/>
              </w:rPr>
              <w:t>Common Equity Component</w:t>
            </w:r>
          </w:p>
        </w:tc>
        <w:tc>
          <w:tcPr>
            <w:tcW w:w="1260" w:type="dxa"/>
          </w:tcPr>
          <w:p w:rsidR="00DF3088" w:rsidRPr="00DF3088" w:rsidRDefault="00DF3088" w:rsidP="00EE399C">
            <w:pPr>
              <w:suppressLineNumbers/>
              <w:jc w:val="center"/>
              <w:rPr>
                <w:kern w:val="0"/>
                <w:sz w:val="20"/>
              </w:rPr>
            </w:pPr>
            <w:r w:rsidRPr="00DF3088">
              <w:rPr>
                <w:kern w:val="0"/>
                <w:sz w:val="20"/>
              </w:rPr>
              <w:t>49.1%</w:t>
            </w:r>
          </w:p>
        </w:tc>
        <w:tc>
          <w:tcPr>
            <w:tcW w:w="1350" w:type="dxa"/>
          </w:tcPr>
          <w:p w:rsidR="00DF3088" w:rsidRPr="00DF3088" w:rsidRDefault="00DF3088" w:rsidP="00EE399C">
            <w:pPr>
              <w:suppressLineNumbers/>
              <w:jc w:val="center"/>
              <w:rPr>
                <w:kern w:val="0"/>
                <w:sz w:val="20"/>
              </w:rPr>
            </w:pPr>
            <w:r w:rsidRPr="00DF3088">
              <w:rPr>
                <w:kern w:val="0"/>
                <w:sz w:val="20"/>
              </w:rPr>
              <w:t>52.2%</w:t>
            </w:r>
          </w:p>
        </w:tc>
        <w:tc>
          <w:tcPr>
            <w:tcW w:w="1260" w:type="dxa"/>
          </w:tcPr>
          <w:p w:rsidR="00DF3088" w:rsidRPr="00DF3088" w:rsidRDefault="00DF3088" w:rsidP="00EE399C">
            <w:pPr>
              <w:suppressLineNumbers/>
              <w:jc w:val="center"/>
              <w:rPr>
                <w:kern w:val="0"/>
                <w:sz w:val="20"/>
              </w:rPr>
            </w:pPr>
            <w:r w:rsidRPr="00DF3088">
              <w:rPr>
                <w:kern w:val="0"/>
                <w:sz w:val="20"/>
              </w:rPr>
              <w:t>52.1%</w:t>
            </w:r>
          </w:p>
        </w:tc>
        <w:tc>
          <w:tcPr>
            <w:tcW w:w="1080" w:type="dxa"/>
          </w:tcPr>
          <w:p w:rsidR="00DF3088" w:rsidRPr="00DF3088" w:rsidRDefault="001463B1" w:rsidP="00EE399C">
            <w:pPr>
              <w:suppressLineNumbers/>
              <w:jc w:val="center"/>
              <w:rPr>
                <w:kern w:val="0"/>
                <w:sz w:val="20"/>
              </w:rPr>
            </w:pPr>
            <w:r>
              <w:rPr>
                <w:kern w:val="0"/>
                <w:sz w:val="20"/>
              </w:rPr>
              <w:t>52.1</w:t>
            </w:r>
            <w:r w:rsidR="00A003EE">
              <w:rPr>
                <w:kern w:val="0"/>
                <w:sz w:val="20"/>
              </w:rPr>
              <w:t>%</w:t>
            </w:r>
          </w:p>
        </w:tc>
        <w:tc>
          <w:tcPr>
            <w:tcW w:w="1170" w:type="dxa"/>
          </w:tcPr>
          <w:p w:rsidR="00DF3088" w:rsidRPr="00DF3088" w:rsidRDefault="00DF3088" w:rsidP="00EE399C">
            <w:pPr>
              <w:suppressLineNumbers/>
              <w:jc w:val="center"/>
              <w:rPr>
                <w:kern w:val="0"/>
                <w:sz w:val="20"/>
              </w:rPr>
            </w:pPr>
            <w:r w:rsidRPr="00DF3088">
              <w:rPr>
                <w:kern w:val="0"/>
                <w:sz w:val="20"/>
              </w:rPr>
              <w:t>52.1%</w:t>
            </w:r>
          </w:p>
        </w:tc>
        <w:tc>
          <w:tcPr>
            <w:tcW w:w="1188" w:type="dxa"/>
          </w:tcPr>
          <w:p w:rsidR="00DF3088" w:rsidRPr="00DF3088" w:rsidRDefault="00DF3088" w:rsidP="00EE399C">
            <w:pPr>
              <w:suppressLineNumbers/>
              <w:jc w:val="center"/>
              <w:rPr>
                <w:kern w:val="0"/>
                <w:sz w:val="20"/>
              </w:rPr>
            </w:pPr>
            <w:r w:rsidRPr="00DF3088">
              <w:rPr>
                <w:kern w:val="0"/>
                <w:sz w:val="20"/>
              </w:rPr>
              <w:t>52.1%</w:t>
            </w:r>
          </w:p>
        </w:tc>
      </w:tr>
      <w:tr w:rsidR="00DF3088" w:rsidRPr="00DF3088" w:rsidTr="00E2704E">
        <w:trPr>
          <w:jc w:val="center"/>
        </w:trPr>
        <w:tc>
          <w:tcPr>
            <w:tcW w:w="1548" w:type="dxa"/>
          </w:tcPr>
          <w:p w:rsidR="00DF3088" w:rsidRPr="00DF3088" w:rsidRDefault="00DF3088" w:rsidP="00DF3088">
            <w:pPr>
              <w:suppressLineNumbers/>
              <w:rPr>
                <w:kern w:val="0"/>
                <w:sz w:val="20"/>
              </w:rPr>
            </w:pPr>
            <w:r w:rsidRPr="00DF3088">
              <w:rPr>
                <w:kern w:val="0"/>
                <w:sz w:val="20"/>
              </w:rPr>
              <w:t>Overall Rate of Return</w:t>
            </w:r>
          </w:p>
        </w:tc>
        <w:tc>
          <w:tcPr>
            <w:tcW w:w="1260" w:type="dxa"/>
          </w:tcPr>
          <w:p w:rsidR="00DF3088" w:rsidRPr="00DF3088" w:rsidRDefault="00DF3088" w:rsidP="00EE399C">
            <w:pPr>
              <w:suppressLineNumbers/>
              <w:jc w:val="center"/>
              <w:rPr>
                <w:kern w:val="0"/>
                <w:sz w:val="20"/>
              </w:rPr>
            </w:pPr>
            <w:r w:rsidRPr="00DF3088">
              <w:rPr>
                <w:kern w:val="0"/>
                <w:sz w:val="20"/>
              </w:rPr>
              <w:t>7.36%</w:t>
            </w:r>
          </w:p>
        </w:tc>
        <w:tc>
          <w:tcPr>
            <w:tcW w:w="1350" w:type="dxa"/>
          </w:tcPr>
          <w:p w:rsidR="00DF3088" w:rsidRPr="00DF3088" w:rsidRDefault="00DF3088" w:rsidP="00EE399C">
            <w:pPr>
              <w:suppressLineNumbers/>
              <w:jc w:val="center"/>
              <w:rPr>
                <w:kern w:val="0"/>
                <w:sz w:val="20"/>
              </w:rPr>
            </w:pPr>
            <w:r w:rsidRPr="00DF3088">
              <w:rPr>
                <w:kern w:val="0"/>
                <w:sz w:val="20"/>
              </w:rPr>
              <w:t>8.37%</w:t>
            </w:r>
          </w:p>
        </w:tc>
        <w:tc>
          <w:tcPr>
            <w:tcW w:w="1260" w:type="dxa"/>
          </w:tcPr>
          <w:p w:rsidR="00DF3088" w:rsidRPr="00DF3088" w:rsidRDefault="00DF3088" w:rsidP="00EE399C">
            <w:pPr>
              <w:suppressLineNumbers/>
              <w:jc w:val="center"/>
              <w:rPr>
                <w:kern w:val="0"/>
                <w:sz w:val="20"/>
              </w:rPr>
            </w:pPr>
            <w:r w:rsidRPr="00DF3088">
              <w:rPr>
                <w:kern w:val="0"/>
                <w:sz w:val="20"/>
              </w:rPr>
              <w:t>7.97%</w:t>
            </w:r>
          </w:p>
        </w:tc>
        <w:tc>
          <w:tcPr>
            <w:tcW w:w="1080" w:type="dxa"/>
          </w:tcPr>
          <w:p w:rsidR="00DF3088" w:rsidRPr="00DF3088" w:rsidRDefault="001463B1" w:rsidP="00EE399C">
            <w:pPr>
              <w:suppressLineNumbers/>
              <w:jc w:val="center"/>
              <w:rPr>
                <w:kern w:val="0"/>
                <w:sz w:val="20"/>
              </w:rPr>
            </w:pPr>
            <w:r>
              <w:rPr>
                <w:kern w:val="0"/>
                <w:sz w:val="20"/>
              </w:rPr>
              <w:t>7.62</w:t>
            </w:r>
            <w:r w:rsidR="00A003EE">
              <w:rPr>
                <w:kern w:val="0"/>
                <w:sz w:val="20"/>
              </w:rPr>
              <w:t>%</w:t>
            </w:r>
          </w:p>
        </w:tc>
        <w:tc>
          <w:tcPr>
            <w:tcW w:w="1170" w:type="dxa"/>
          </w:tcPr>
          <w:p w:rsidR="00DF3088" w:rsidRPr="00DF3088" w:rsidRDefault="00DF3088" w:rsidP="00EE399C">
            <w:pPr>
              <w:suppressLineNumbers/>
              <w:jc w:val="center"/>
              <w:rPr>
                <w:kern w:val="0"/>
                <w:sz w:val="20"/>
              </w:rPr>
            </w:pPr>
            <w:r w:rsidRPr="00DF3088">
              <w:rPr>
                <w:kern w:val="0"/>
                <w:sz w:val="20"/>
              </w:rPr>
              <w:t>7.68%</w:t>
            </w:r>
          </w:p>
        </w:tc>
        <w:tc>
          <w:tcPr>
            <w:tcW w:w="1188" w:type="dxa"/>
          </w:tcPr>
          <w:p w:rsidR="00DF3088" w:rsidRPr="00DF3088" w:rsidRDefault="00DF3088" w:rsidP="00EE399C">
            <w:pPr>
              <w:suppressLineNumbers/>
              <w:jc w:val="center"/>
              <w:rPr>
                <w:kern w:val="0"/>
                <w:sz w:val="20"/>
              </w:rPr>
            </w:pPr>
            <w:r w:rsidRPr="00DF3088">
              <w:rPr>
                <w:kern w:val="0"/>
                <w:sz w:val="20"/>
              </w:rPr>
              <w:t>7.67%</w:t>
            </w:r>
          </w:p>
        </w:tc>
      </w:tr>
    </w:tbl>
    <w:p w:rsidR="00A354DE" w:rsidRPr="007E7B3E" w:rsidRDefault="00A354DE" w:rsidP="00A354DE">
      <w:pPr>
        <w:spacing w:line="480" w:lineRule="auto"/>
        <w:ind w:left="720" w:hanging="720"/>
        <w:rPr>
          <w:rFonts w:eastAsiaTheme="minorHAnsi"/>
          <w:b/>
          <w:kern w:val="0"/>
          <w:szCs w:val="24"/>
        </w:rPr>
      </w:pPr>
      <w:r w:rsidRPr="007E7B3E">
        <w:rPr>
          <w:rFonts w:eastAsiaTheme="minorHAnsi"/>
          <w:b/>
          <w:kern w:val="0"/>
          <w:szCs w:val="24"/>
        </w:rPr>
        <w:lastRenderedPageBreak/>
        <w:t>Q.</w:t>
      </w:r>
      <w:r w:rsidRPr="007E7B3E">
        <w:rPr>
          <w:rFonts w:eastAsiaTheme="minorHAnsi"/>
          <w:b/>
          <w:kern w:val="0"/>
          <w:szCs w:val="24"/>
        </w:rPr>
        <w:tab/>
        <w:t xml:space="preserve">How does the Company’s proposed overall rate of return </w:t>
      </w:r>
      <w:r w:rsidR="00A17440">
        <w:rPr>
          <w:rFonts w:eastAsiaTheme="minorHAnsi"/>
          <w:b/>
          <w:kern w:val="0"/>
          <w:szCs w:val="24"/>
        </w:rPr>
        <w:t xml:space="preserve">of 7.67 percent </w:t>
      </w:r>
      <w:r w:rsidRPr="007E7B3E">
        <w:rPr>
          <w:rFonts w:eastAsiaTheme="minorHAnsi"/>
          <w:b/>
          <w:kern w:val="0"/>
          <w:szCs w:val="24"/>
        </w:rPr>
        <w:t xml:space="preserve">compare to </w:t>
      </w:r>
      <w:r>
        <w:rPr>
          <w:rFonts w:eastAsiaTheme="minorHAnsi"/>
          <w:b/>
          <w:kern w:val="0"/>
          <w:szCs w:val="24"/>
        </w:rPr>
        <w:t>authorized</w:t>
      </w:r>
      <w:r w:rsidRPr="007E7B3E">
        <w:rPr>
          <w:rFonts w:eastAsiaTheme="minorHAnsi"/>
          <w:b/>
          <w:kern w:val="0"/>
          <w:szCs w:val="24"/>
        </w:rPr>
        <w:t xml:space="preserve"> </w:t>
      </w:r>
      <w:r w:rsidR="00A17440">
        <w:rPr>
          <w:rFonts w:eastAsiaTheme="minorHAnsi"/>
          <w:b/>
          <w:kern w:val="0"/>
          <w:szCs w:val="24"/>
        </w:rPr>
        <w:t xml:space="preserve">and proposed </w:t>
      </w:r>
      <w:r w:rsidRPr="007E7B3E">
        <w:rPr>
          <w:rFonts w:eastAsiaTheme="minorHAnsi"/>
          <w:b/>
          <w:kern w:val="0"/>
          <w:szCs w:val="24"/>
        </w:rPr>
        <w:t>rates of returns for other Washington electric utilities?</w:t>
      </w:r>
    </w:p>
    <w:p w:rsidR="00A354DE" w:rsidRDefault="00A354DE" w:rsidP="00801BDF">
      <w:pPr>
        <w:spacing w:line="480" w:lineRule="auto"/>
        <w:ind w:left="720" w:hanging="720"/>
        <w:rPr>
          <w:rFonts w:eastAsiaTheme="minorHAnsi"/>
          <w:kern w:val="0"/>
          <w:szCs w:val="24"/>
        </w:rPr>
      </w:pPr>
      <w:r w:rsidRPr="00B95E78">
        <w:rPr>
          <w:rFonts w:eastAsiaTheme="minorHAnsi"/>
          <w:kern w:val="0"/>
          <w:szCs w:val="24"/>
        </w:rPr>
        <w:t>A.</w:t>
      </w:r>
      <w:r w:rsidRPr="00B95E78">
        <w:rPr>
          <w:rFonts w:eastAsiaTheme="minorHAnsi"/>
          <w:kern w:val="0"/>
          <w:szCs w:val="24"/>
        </w:rPr>
        <w:tab/>
        <w:t xml:space="preserve">As shown in </w:t>
      </w:r>
      <w:r w:rsidR="00EE399C">
        <w:rPr>
          <w:rFonts w:eastAsiaTheme="minorHAnsi"/>
          <w:kern w:val="0"/>
          <w:szCs w:val="24"/>
        </w:rPr>
        <w:t>T</w:t>
      </w:r>
      <w:r w:rsidRPr="00B95E78">
        <w:rPr>
          <w:rFonts w:eastAsiaTheme="minorHAnsi"/>
          <w:kern w:val="0"/>
          <w:szCs w:val="24"/>
        </w:rPr>
        <w:t xml:space="preserve">able </w:t>
      </w:r>
      <w:r w:rsidR="00EE399C">
        <w:rPr>
          <w:rFonts w:eastAsiaTheme="minorHAnsi"/>
          <w:kern w:val="0"/>
          <w:szCs w:val="24"/>
        </w:rPr>
        <w:t xml:space="preserve">4 </w:t>
      </w:r>
      <w:r w:rsidRPr="00B95E78">
        <w:rPr>
          <w:rFonts w:eastAsiaTheme="minorHAnsi"/>
          <w:kern w:val="0"/>
          <w:szCs w:val="24"/>
        </w:rPr>
        <w:t xml:space="preserve">below, the Company’s proposed overall rate of return is in line </w:t>
      </w:r>
      <w:r w:rsidR="00F434BB">
        <w:rPr>
          <w:rFonts w:eastAsiaTheme="minorHAnsi"/>
          <w:kern w:val="0"/>
          <w:szCs w:val="24"/>
        </w:rPr>
        <w:t xml:space="preserve">with </w:t>
      </w:r>
      <w:r w:rsidRPr="00B95E78">
        <w:rPr>
          <w:rFonts w:eastAsiaTheme="minorHAnsi"/>
          <w:kern w:val="0"/>
          <w:szCs w:val="24"/>
        </w:rPr>
        <w:t>or below th</w:t>
      </w:r>
      <w:r w:rsidR="00B07112">
        <w:rPr>
          <w:rFonts w:eastAsiaTheme="minorHAnsi"/>
          <w:kern w:val="0"/>
          <w:szCs w:val="24"/>
        </w:rPr>
        <w:t>at of</w:t>
      </w:r>
      <w:r w:rsidRPr="00B95E78">
        <w:rPr>
          <w:rFonts w:eastAsiaTheme="minorHAnsi"/>
          <w:kern w:val="0"/>
          <w:szCs w:val="24"/>
        </w:rPr>
        <w:t xml:space="preserve"> other major Washington electric utilities.</w:t>
      </w:r>
    </w:p>
    <w:p w:rsidR="00EE399C" w:rsidRPr="00DF3088" w:rsidRDefault="00EE399C" w:rsidP="00DF3088">
      <w:pPr>
        <w:suppressLineNumbers/>
        <w:ind w:left="720" w:hanging="720"/>
        <w:jc w:val="center"/>
        <w:rPr>
          <w:rFonts w:eastAsiaTheme="minorHAnsi"/>
          <w:b/>
          <w:kern w:val="0"/>
          <w:szCs w:val="24"/>
        </w:rPr>
      </w:pPr>
      <w:r>
        <w:rPr>
          <w:rFonts w:eastAsiaTheme="minorHAnsi"/>
          <w:b/>
          <w:kern w:val="0"/>
          <w:szCs w:val="24"/>
        </w:rPr>
        <w:t>Table 4</w:t>
      </w:r>
    </w:p>
    <w:tbl>
      <w:tblPr>
        <w:tblStyle w:val="TableGrid1"/>
        <w:tblW w:w="0" w:type="auto"/>
        <w:jc w:val="center"/>
        <w:tblInd w:w="720" w:type="dxa"/>
        <w:tblLook w:val="04A0" w:firstRow="1" w:lastRow="0" w:firstColumn="1" w:lastColumn="0" w:noHBand="0" w:noVBand="1"/>
      </w:tblPr>
      <w:tblGrid>
        <w:gridCol w:w="1780"/>
        <w:gridCol w:w="1722"/>
        <w:gridCol w:w="1583"/>
        <w:gridCol w:w="1705"/>
        <w:gridCol w:w="1706"/>
      </w:tblGrid>
      <w:tr w:rsidR="007E1A3B" w:rsidRPr="00F434BB" w:rsidTr="00DF3088">
        <w:trPr>
          <w:jc w:val="center"/>
        </w:trPr>
        <w:tc>
          <w:tcPr>
            <w:tcW w:w="1780" w:type="dxa"/>
            <w:tcBorders>
              <w:top w:val="single" w:sz="4" w:space="0" w:color="auto"/>
              <w:left w:val="single" w:sz="4" w:space="0" w:color="auto"/>
              <w:bottom w:val="single" w:sz="4" w:space="0" w:color="auto"/>
              <w:right w:val="single" w:sz="4" w:space="0" w:color="auto"/>
            </w:tcBorders>
          </w:tcPr>
          <w:p w:rsidR="007E1A3B" w:rsidRPr="00F434BB" w:rsidRDefault="007E1A3B" w:rsidP="00A354DE">
            <w:pPr>
              <w:rPr>
                <w:rFonts w:eastAsia="Calibri"/>
                <w:kern w:val="0"/>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7E1A3B" w:rsidRPr="00F434BB" w:rsidRDefault="007E1A3B" w:rsidP="00C21740">
            <w:pPr>
              <w:jc w:val="center"/>
              <w:rPr>
                <w:rFonts w:eastAsia="Calibri"/>
                <w:kern w:val="0"/>
                <w:szCs w:val="24"/>
              </w:rPr>
            </w:pPr>
            <w:r w:rsidRPr="00F434BB">
              <w:rPr>
                <w:rFonts w:eastAsia="Calibri"/>
                <w:kern w:val="0"/>
                <w:szCs w:val="24"/>
              </w:rPr>
              <w:t>Company</w:t>
            </w:r>
          </w:p>
          <w:p w:rsidR="007E1A3B" w:rsidRPr="00F434BB" w:rsidRDefault="007E1A3B" w:rsidP="00C21740">
            <w:pPr>
              <w:jc w:val="center"/>
              <w:rPr>
                <w:rFonts w:eastAsia="Calibri"/>
                <w:kern w:val="0"/>
                <w:szCs w:val="24"/>
              </w:rPr>
            </w:pPr>
            <w:r w:rsidRPr="00F434BB">
              <w:rPr>
                <w:rFonts w:eastAsia="Calibri"/>
                <w:kern w:val="0"/>
                <w:szCs w:val="24"/>
              </w:rPr>
              <w:t>Proposed</w:t>
            </w:r>
          </w:p>
        </w:tc>
        <w:tc>
          <w:tcPr>
            <w:tcW w:w="1583" w:type="dxa"/>
            <w:tcBorders>
              <w:top w:val="single" w:sz="4" w:space="0" w:color="auto"/>
              <w:left w:val="single" w:sz="4" w:space="0" w:color="auto"/>
              <w:bottom w:val="single" w:sz="4" w:space="0" w:color="auto"/>
              <w:right w:val="single" w:sz="4" w:space="0" w:color="auto"/>
            </w:tcBorders>
            <w:vAlign w:val="center"/>
          </w:tcPr>
          <w:p w:rsidR="007E1A3B" w:rsidRPr="00F434BB" w:rsidRDefault="007E1A3B" w:rsidP="00C21740">
            <w:pPr>
              <w:jc w:val="center"/>
              <w:rPr>
                <w:rFonts w:eastAsia="Calibri"/>
                <w:kern w:val="0"/>
                <w:szCs w:val="24"/>
              </w:rPr>
            </w:pPr>
            <w:proofErr w:type="spellStart"/>
            <w:r w:rsidRPr="00F434BB">
              <w:rPr>
                <w:rFonts w:eastAsia="Calibri"/>
                <w:kern w:val="0"/>
                <w:szCs w:val="24"/>
              </w:rPr>
              <w:t>Avista</w:t>
            </w:r>
            <w:proofErr w:type="spellEnd"/>
          </w:p>
          <w:p w:rsidR="007E1A3B" w:rsidRPr="00F434BB" w:rsidRDefault="007E1A3B" w:rsidP="00C21740">
            <w:pPr>
              <w:jc w:val="center"/>
              <w:rPr>
                <w:rFonts w:eastAsia="Calibri"/>
                <w:kern w:val="0"/>
                <w:szCs w:val="24"/>
              </w:rPr>
            </w:pPr>
            <w:r w:rsidRPr="00F434BB">
              <w:rPr>
                <w:rFonts w:eastAsia="Calibri"/>
                <w:kern w:val="0"/>
                <w:szCs w:val="24"/>
              </w:rPr>
              <w:t>Proposed</w:t>
            </w:r>
          </w:p>
          <w:p w:rsidR="007E1A3B" w:rsidRPr="00F434BB" w:rsidRDefault="007E1A3B" w:rsidP="00C21740">
            <w:pPr>
              <w:jc w:val="center"/>
              <w:rPr>
                <w:rFonts w:eastAsia="Calibri"/>
                <w:kern w:val="0"/>
                <w:szCs w:val="24"/>
              </w:rPr>
            </w:pPr>
            <w:r w:rsidRPr="00F434BB">
              <w:rPr>
                <w:rFonts w:eastAsia="Calibri"/>
                <w:kern w:val="0"/>
                <w:szCs w:val="24"/>
              </w:rPr>
              <w:t>UE-140188</w:t>
            </w:r>
          </w:p>
        </w:tc>
        <w:tc>
          <w:tcPr>
            <w:tcW w:w="1705" w:type="dxa"/>
            <w:tcBorders>
              <w:top w:val="single" w:sz="4" w:space="0" w:color="auto"/>
              <w:left w:val="single" w:sz="4" w:space="0" w:color="auto"/>
              <w:bottom w:val="single" w:sz="4" w:space="0" w:color="auto"/>
              <w:right w:val="single" w:sz="4" w:space="0" w:color="auto"/>
            </w:tcBorders>
            <w:vAlign w:val="center"/>
            <w:hideMark/>
          </w:tcPr>
          <w:p w:rsidR="007E1A3B" w:rsidRPr="00F434BB" w:rsidRDefault="007E1A3B" w:rsidP="00C21740">
            <w:pPr>
              <w:jc w:val="center"/>
              <w:rPr>
                <w:rFonts w:eastAsia="Calibri"/>
                <w:kern w:val="0"/>
                <w:szCs w:val="24"/>
              </w:rPr>
            </w:pPr>
            <w:proofErr w:type="spellStart"/>
            <w:r w:rsidRPr="00F434BB">
              <w:rPr>
                <w:rFonts w:eastAsia="Calibri"/>
                <w:kern w:val="0"/>
                <w:szCs w:val="24"/>
              </w:rPr>
              <w:t>Avista</w:t>
            </w:r>
            <w:proofErr w:type="spellEnd"/>
          </w:p>
          <w:p w:rsidR="007E1A3B" w:rsidRPr="00F434BB" w:rsidRDefault="007E1A3B" w:rsidP="00C21740">
            <w:pPr>
              <w:jc w:val="center"/>
              <w:rPr>
                <w:rFonts w:eastAsia="Calibri"/>
                <w:kern w:val="0"/>
                <w:szCs w:val="24"/>
              </w:rPr>
            </w:pPr>
            <w:r w:rsidRPr="00F434BB">
              <w:rPr>
                <w:rFonts w:eastAsia="Calibri"/>
                <w:kern w:val="0"/>
                <w:szCs w:val="24"/>
              </w:rPr>
              <w:t>Ordered</w:t>
            </w:r>
          </w:p>
          <w:p w:rsidR="007E1A3B" w:rsidRPr="00F434BB" w:rsidRDefault="007E1A3B" w:rsidP="00C21740">
            <w:pPr>
              <w:jc w:val="center"/>
              <w:rPr>
                <w:rFonts w:eastAsia="Calibri"/>
                <w:kern w:val="0"/>
                <w:szCs w:val="24"/>
              </w:rPr>
            </w:pPr>
            <w:r w:rsidRPr="00F434BB">
              <w:rPr>
                <w:rFonts w:eastAsia="Calibri"/>
                <w:kern w:val="0"/>
                <w:szCs w:val="24"/>
              </w:rPr>
              <w:t>UE-120436</w:t>
            </w:r>
          </w:p>
        </w:tc>
        <w:tc>
          <w:tcPr>
            <w:tcW w:w="1706" w:type="dxa"/>
            <w:tcBorders>
              <w:top w:val="single" w:sz="4" w:space="0" w:color="auto"/>
              <w:left w:val="single" w:sz="4" w:space="0" w:color="auto"/>
              <w:bottom w:val="single" w:sz="4" w:space="0" w:color="auto"/>
              <w:right w:val="single" w:sz="4" w:space="0" w:color="auto"/>
            </w:tcBorders>
            <w:vAlign w:val="center"/>
            <w:hideMark/>
          </w:tcPr>
          <w:p w:rsidR="007E1A3B" w:rsidRPr="00F434BB" w:rsidRDefault="007E1A3B" w:rsidP="00C21740">
            <w:pPr>
              <w:jc w:val="center"/>
              <w:rPr>
                <w:rFonts w:eastAsia="Calibri"/>
                <w:kern w:val="0"/>
                <w:szCs w:val="24"/>
              </w:rPr>
            </w:pPr>
            <w:r w:rsidRPr="00F434BB">
              <w:rPr>
                <w:rFonts w:eastAsia="Calibri"/>
                <w:kern w:val="0"/>
                <w:szCs w:val="24"/>
              </w:rPr>
              <w:t>PSE</w:t>
            </w:r>
          </w:p>
          <w:p w:rsidR="007E1A3B" w:rsidRPr="00F434BB" w:rsidRDefault="007E1A3B" w:rsidP="00C21740">
            <w:pPr>
              <w:jc w:val="center"/>
              <w:rPr>
                <w:rFonts w:eastAsia="Calibri"/>
                <w:kern w:val="0"/>
                <w:szCs w:val="24"/>
              </w:rPr>
            </w:pPr>
            <w:r w:rsidRPr="00F434BB">
              <w:rPr>
                <w:rFonts w:eastAsia="Calibri"/>
                <w:kern w:val="0"/>
                <w:szCs w:val="24"/>
              </w:rPr>
              <w:t>Ordered</w:t>
            </w:r>
          </w:p>
          <w:p w:rsidR="007E1A3B" w:rsidRPr="00F434BB" w:rsidRDefault="007E1A3B" w:rsidP="00C21740">
            <w:pPr>
              <w:jc w:val="center"/>
              <w:rPr>
                <w:rFonts w:eastAsia="Calibri"/>
                <w:kern w:val="0"/>
                <w:szCs w:val="24"/>
              </w:rPr>
            </w:pPr>
            <w:r w:rsidRPr="00F434BB">
              <w:rPr>
                <w:rFonts w:eastAsia="Calibri"/>
                <w:kern w:val="0"/>
                <w:szCs w:val="24"/>
              </w:rPr>
              <w:t>UE-121697</w:t>
            </w:r>
          </w:p>
        </w:tc>
      </w:tr>
      <w:tr w:rsidR="007E1A3B" w:rsidRPr="00F434BB" w:rsidTr="00DF3088">
        <w:trPr>
          <w:trHeight w:val="413"/>
          <w:jc w:val="center"/>
        </w:trPr>
        <w:tc>
          <w:tcPr>
            <w:tcW w:w="1780" w:type="dxa"/>
            <w:tcBorders>
              <w:top w:val="single" w:sz="4" w:space="0" w:color="auto"/>
              <w:left w:val="single" w:sz="4" w:space="0" w:color="auto"/>
              <w:bottom w:val="single" w:sz="4" w:space="0" w:color="auto"/>
              <w:right w:val="single" w:sz="4" w:space="0" w:color="auto"/>
            </w:tcBorders>
            <w:vAlign w:val="center"/>
            <w:hideMark/>
          </w:tcPr>
          <w:p w:rsidR="007E1A3B" w:rsidRPr="00F434BB" w:rsidRDefault="007E1A3B" w:rsidP="00A354DE">
            <w:pPr>
              <w:rPr>
                <w:rFonts w:eastAsia="Calibri"/>
                <w:kern w:val="0"/>
                <w:szCs w:val="24"/>
              </w:rPr>
            </w:pPr>
            <w:r w:rsidRPr="00F434BB">
              <w:rPr>
                <w:rFonts w:eastAsia="Calibri"/>
                <w:kern w:val="0"/>
                <w:szCs w:val="24"/>
              </w:rPr>
              <w:t>Overall ROR</w:t>
            </w:r>
          </w:p>
        </w:tc>
        <w:tc>
          <w:tcPr>
            <w:tcW w:w="1722" w:type="dxa"/>
            <w:tcBorders>
              <w:top w:val="single" w:sz="4" w:space="0" w:color="auto"/>
              <w:left w:val="single" w:sz="4" w:space="0" w:color="auto"/>
              <w:bottom w:val="single" w:sz="4" w:space="0" w:color="auto"/>
              <w:right w:val="single" w:sz="4" w:space="0" w:color="auto"/>
            </w:tcBorders>
            <w:vAlign w:val="center"/>
            <w:hideMark/>
          </w:tcPr>
          <w:p w:rsidR="007E1A3B" w:rsidRPr="00F434BB" w:rsidRDefault="007E1A3B" w:rsidP="00C21740">
            <w:pPr>
              <w:jc w:val="center"/>
              <w:rPr>
                <w:rFonts w:eastAsia="Calibri"/>
                <w:kern w:val="0"/>
                <w:szCs w:val="24"/>
              </w:rPr>
            </w:pPr>
            <w:r w:rsidRPr="00F434BB">
              <w:rPr>
                <w:rFonts w:eastAsia="Calibri"/>
                <w:kern w:val="0"/>
                <w:szCs w:val="24"/>
              </w:rPr>
              <w:t>7.67%</w:t>
            </w:r>
          </w:p>
        </w:tc>
        <w:tc>
          <w:tcPr>
            <w:tcW w:w="1583" w:type="dxa"/>
            <w:tcBorders>
              <w:top w:val="single" w:sz="4" w:space="0" w:color="auto"/>
              <w:left w:val="single" w:sz="4" w:space="0" w:color="auto"/>
              <w:bottom w:val="single" w:sz="4" w:space="0" w:color="auto"/>
              <w:right w:val="single" w:sz="4" w:space="0" w:color="auto"/>
            </w:tcBorders>
            <w:vAlign w:val="center"/>
          </w:tcPr>
          <w:p w:rsidR="007E1A3B" w:rsidRPr="00F434BB" w:rsidRDefault="007E1A3B" w:rsidP="00C21740">
            <w:pPr>
              <w:jc w:val="center"/>
              <w:rPr>
                <w:rFonts w:eastAsia="Calibri"/>
                <w:kern w:val="0"/>
                <w:szCs w:val="24"/>
              </w:rPr>
            </w:pPr>
            <w:r w:rsidRPr="00F434BB">
              <w:rPr>
                <w:rFonts w:eastAsia="Calibri"/>
                <w:kern w:val="0"/>
                <w:szCs w:val="24"/>
              </w:rPr>
              <w:t>7.71%</w:t>
            </w:r>
          </w:p>
        </w:tc>
        <w:tc>
          <w:tcPr>
            <w:tcW w:w="1705" w:type="dxa"/>
            <w:tcBorders>
              <w:top w:val="single" w:sz="4" w:space="0" w:color="auto"/>
              <w:left w:val="single" w:sz="4" w:space="0" w:color="auto"/>
              <w:bottom w:val="single" w:sz="4" w:space="0" w:color="auto"/>
              <w:right w:val="single" w:sz="4" w:space="0" w:color="auto"/>
            </w:tcBorders>
            <w:vAlign w:val="center"/>
            <w:hideMark/>
          </w:tcPr>
          <w:p w:rsidR="007E1A3B" w:rsidRPr="00F434BB" w:rsidRDefault="007E1A3B" w:rsidP="00C21740">
            <w:pPr>
              <w:jc w:val="center"/>
              <w:rPr>
                <w:rFonts w:eastAsia="Calibri"/>
                <w:kern w:val="0"/>
                <w:szCs w:val="24"/>
              </w:rPr>
            </w:pPr>
            <w:r w:rsidRPr="00F434BB">
              <w:rPr>
                <w:rFonts w:eastAsia="Calibri"/>
                <w:kern w:val="0"/>
                <w:szCs w:val="24"/>
              </w:rPr>
              <w:t>7.64%</w:t>
            </w:r>
          </w:p>
        </w:tc>
        <w:tc>
          <w:tcPr>
            <w:tcW w:w="1706" w:type="dxa"/>
            <w:tcBorders>
              <w:top w:val="single" w:sz="4" w:space="0" w:color="auto"/>
              <w:left w:val="single" w:sz="4" w:space="0" w:color="auto"/>
              <w:bottom w:val="single" w:sz="4" w:space="0" w:color="auto"/>
              <w:right w:val="single" w:sz="4" w:space="0" w:color="auto"/>
            </w:tcBorders>
            <w:vAlign w:val="center"/>
            <w:hideMark/>
          </w:tcPr>
          <w:p w:rsidR="007E1A3B" w:rsidRPr="00F434BB" w:rsidRDefault="007E1A3B" w:rsidP="00C21740">
            <w:pPr>
              <w:jc w:val="center"/>
              <w:rPr>
                <w:rFonts w:eastAsia="Calibri"/>
                <w:kern w:val="0"/>
                <w:szCs w:val="24"/>
              </w:rPr>
            </w:pPr>
            <w:r w:rsidRPr="00F434BB">
              <w:rPr>
                <w:rFonts w:eastAsia="Calibri"/>
                <w:kern w:val="0"/>
                <w:szCs w:val="24"/>
              </w:rPr>
              <w:t>7.77%</w:t>
            </w:r>
          </w:p>
        </w:tc>
      </w:tr>
    </w:tbl>
    <w:p w:rsidR="00A354DE" w:rsidRPr="007E7B3E" w:rsidRDefault="00A354DE" w:rsidP="00A354DE">
      <w:pPr>
        <w:spacing w:before="240" w:line="480" w:lineRule="auto"/>
        <w:ind w:left="720" w:hanging="720"/>
        <w:rPr>
          <w:rFonts w:eastAsiaTheme="minorHAnsi"/>
          <w:b/>
          <w:kern w:val="0"/>
          <w:szCs w:val="24"/>
        </w:rPr>
      </w:pPr>
      <w:r w:rsidRPr="007E7B3E">
        <w:rPr>
          <w:rFonts w:eastAsiaTheme="minorHAnsi"/>
          <w:b/>
          <w:kern w:val="0"/>
          <w:szCs w:val="24"/>
        </w:rPr>
        <w:t xml:space="preserve">Q. </w:t>
      </w:r>
      <w:r w:rsidRPr="007E7B3E">
        <w:rPr>
          <w:rFonts w:eastAsiaTheme="minorHAnsi"/>
          <w:b/>
          <w:kern w:val="0"/>
          <w:szCs w:val="24"/>
        </w:rPr>
        <w:tab/>
        <w:t xml:space="preserve">What </w:t>
      </w:r>
      <w:r w:rsidR="00A17440">
        <w:rPr>
          <w:rFonts w:eastAsiaTheme="minorHAnsi"/>
          <w:b/>
          <w:kern w:val="0"/>
          <w:szCs w:val="24"/>
        </w:rPr>
        <w:t>conclusion can be drawn from this comparison?</w:t>
      </w:r>
    </w:p>
    <w:p w:rsidR="00A354DE" w:rsidRPr="00B95E78" w:rsidRDefault="00A354DE" w:rsidP="00A354DE">
      <w:pPr>
        <w:spacing w:line="480" w:lineRule="auto"/>
        <w:ind w:left="720" w:hanging="720"/>
        <w:rPr>
          <w:rFonts w:eastAsiaTheme="minorHAnsi"/>
          <w:kern w:val="0"/>
          <w:szCs w:val="24"/>
        </w:rPr>
      </w:pPr>
      <w:r w:rsidRPr="00B95E78">
        <w:rPr>
          <w:rFonts w:eastAsiaTheme="minorHAnsi"/>
          <w:kern w:val="0"/>
          <w:szCs w:val="24"/>
        </w:rPr>
        <w:t xml:space="preserve">A. </w:t>
      </w:r>
      <w:r w:rsidRPr="00B95E78">
        <w:rPr>
          <w:rFonts w:eastAsiaTheme="minorHAnsi"/>
          <w:kern w:val="0"/>
          <w:szCs w:val="24"/>
        </w:rPr>
        <w:tab/>
      </w:r>
      <w:r w:rsidR="00A17440">
        <w:rPr>
          <w:rFonts w:eastAsiaTheme="minorHAnsi"/>
          <w:kern w:val="0"/>
          <w:szCs w:val="24"/>
        </w:rPr>
        <w:t>T</w:t>
      </w:r>
      <w:r w:rsidRPr="00B95E78">
        <w:rPr>
          <w:rFonts w:eastAsiaTheme="minorHAnsi"/>
          <w:kern w:val="0"/>
          <w:szCs w:val="24"/>
        </w:rPr>
        <w:t xml:space="preserve">he Company’s </w:t>
      </w:r>
      <w:r w:rsidR="00A17440">
        <w:rPr>
          <w:rFonts w:eastAsiaTheme="minorHAnsi"/>
          <w:kern w:val="0"/>
          <w:szCs w:val="24"/>
        </w:rPr>
        <w:t>proposed</w:t>
      </w:r>
      <w:r w:rsidRPr="00B95E78">
        <w:rPr>
          <w:rFonts w:eastAsiaTheme="minorHAnsi"/>
          <w:kern w:val="0"/>
          <w:szCs w:val="24"/>
        </w:rPr>
        <w:t xml:space="preserve"> capital structure meet</w:t>
      </w:r>
      <w:r w:rsidR="00014E2D">
        <w:rPr>
          <w:rFonts w:eastAsiaTheme="minorHAnsi"/>
          <w:kern w:val="0"/>
          <w:szCs w:val="24"/>
        </w:rPr>
        <w:t>s</w:t>
      </w:r>
      <w:r w:rsidRPr="00B95E78">
        <w:rPr>
          <w:rFonts w:eastAsiaTheme="minorHAnsi"/>
          <w:kern w:val="0"/>
          <w:szCs w:val="24"/>
        </w:rPr>
        <w:t xml:space="preserve"> the Commission’s standard of balancing safety and economy.  It provides economy </w:t>
      </w:r>
      <w:r w:rsidR="000C28A3">
        <w:rPr>
          <w:rFonts w:eastAsiaTheme="minorHAnsi"/>
          <w:kern w:val="0"/>
          <w:szCs w:val="24"/>
        </w:rPr>
        <w:t>through</w:t>
      </w:r>
      <w:r w:rsidR="000C28A3" w:rsidRPr="00B95E78">
        <w:rPr>
          <w:rFonts w:eastAsiaTheme="minorHAnsi"/>
          <w:kern w:val="0"/>
          <w:szCs w:val="24"/>
        </w:rPr>
        <w:t xml:space="preserve"> </w:t>
      </w:r>
      <w:r w:rsidRPr="00B95E78">
        <w:rPr>
          <w:rFonts w:eastAsiaTheme="minorHAnsi"/>
          <w:kern w:val="0"/>
          <w:szCs w:val="24"/>
        </w:rPr>
        <w:t xml:space="preserve">an overall cost of capital equal to the other major Washington electric utilities </w:t>
      </w:r>
      <w:r w:rsidR="000C28A3">
        <w:rPr>
          <w:rFonts w:eastAsiaTheme="minorHAnsi"/>
          <w:kern w:val="0"/>
          <w:szCs w:val="24"/>
        </w:rPr>
        <w:t>and</w:t>
      </w:r>
      <w:r w:rsidR="000C28A3" w:rsidRPr="00B95E78">
        <w:rPr>
          <w:rFonts w:eastAsiaTheme="minorHAnsi"/>
          <w:kern w:val="0"/>
          <w:szCs w:val="24"/>
        </w:rPr>
        <w:t xml:space="preserve"> </w:t>
      </w:r>
      <w:r w:rsidRPr="00B95E78">
        <w:rPr>
          <w:rFonts w:eastAsiaTheme="minorHAnsi"/>
          <w:kern w:val="0"/>
          <w:szCs w:val="24"/>
        </w:rPr>
        <w:t xml:space="preserve">safety through </w:t>
      </w:r>
      <w:r>
        <w:rPr>
          <w:rFonts w:eastAsiaTheme="minorHAnsi"/>
          <w:kern w:val="0"/>
          <w:szCs w:val="24"/>
        </w:rPr>
        <w:t>strong</w:t>
      </w:r>
      <w:r w:rsidRPr="00B95E78">
        <w:rPr>
          <w:rFonts w:eastAsiaTheme="minorHAnsi"/>
          <w:kern w:val="0"/>
          <w:szCs w:val="24"/>
        </w:rPr>
        <w:t xml:space="preserve"> credit ratings.  </w:t>
      </w:r>
    </w:p>
    <w:p w:rsidR="00A354DE" w:rsidRDefault="00A354DE" w:rsidP="00801BDF">
      <w:pPr>
        <w:pStyle w:val="Heading1"/>
      </w:pPr>
      <w:bookmarkStart w:id="5" w:name="_Toc386540856"/>
      <w:r w:rsidRPr="000C6E8A">
        <w:t>HYPOTHETICAL CAPITAL STRUCTURE</w:t>
      </w:r>
      <w:bookmarkEnd w:id="5"/>
    </w:p>
    <w:p w:rsidR="00A17440" w:rsidRPr="007E7B3E" w:rsidRDefault="00A17440" w:rsidP="00A17440">
      <w:pPr>
        <w:spacing w:line="480" w:lineRule="auto"/>
        <w:ind w:left="720" w:hanging="720"/>
        <w:rPr>
          <w:rFonts w:eastAsiaTheme="minorHAnsi"/>
          <w:b/>
          <w:kern w:val="0"/>
          <w:szCs w:val="24"/>
        </w:rPr>
      </w:pPr>
      <w:r w:rsidRPr="002E3751">
        <w:rPr>
          <w:rFonts w:eastAsiaTheme="minorHAnsi"/>
          <w:b/>
          <w:kern w:val="0"/>
          <w:szCs w:val="24"/>
        </w:rPr>
        <w:t>Q.</w:t>
      </w:r>
      <w:r w:rsidRPr="002E3751">
        <w:rPr>
          <w:rFonts w:eastAsiaTheme="minorHAnsi"/>
          <w:kern w:val="0"/>
          <w:szCs w:val="24"/>
        </w:rPr>
        <w:tab/>
      </w:r>
      <w:r w:rsidRPr="007E7B3E">
        <w:rPr>
          <w:rFonts w:eastAsiaTheme="minorHAnsi"/>
          <w:b/>
          <w:kern w:val="0"/>
          <w:szCs w:val="24"/>
        </w:rPr>
        <w:t xml:space="preserve">Is the Company </w:t>
      </w:r>
      <w:r w:rsidR="003378B4">
        <w:rPr>
          <w:rFonts w:eastAsiaTheme="minorHAnsi"/>
          <w:b/>
          <w:kern w:val="0"/>
          <w:szCs w:val="24"/>
        </w:rPr>
        <w:t xml:space="preserve">also </w:t>
      </w:r>
      <w:r w:rsidRPr="007E7B3E">
        <w:rPr>
          <w:rFonts w:eastAsiaTheme="minorHAnsi"/>
          <w:b/>
          <w:kern w:val="0"/>
          <w:szCs w:val="24"/>
        </w:rPr>
        <w:t>pr</w:t>
      </w:r>
      <w:r w:rsidR="00F434BB">
        <w:rPr>
          <w:rFonts w:eastAsiaTheme="minorHAnsi"/>
          <w:b/>
          <w:kern w:val="0"/>
          <w:szCs w:val="24"/>
        </w:rPr>
        <w:t>esenting</w:t>
      </w:r>
      <w:r w:rsidRPr="007E7B3E">
        <w:rPr>
          <w:rFonts w:eastAsiaTheme="minorHAnsi"/>
          <w:b/>
          <w:kern w:val="0"/>
          <w:szCs w:val="24"/>
        </w:rPr>
        <w:t xml:space="preserve"> </w:t>
      </w:r>
      <w:r w:rsidR="003378B4">
        <w:rPr>
          <w:rFonts w:eastAsiaTheme="minorHAnsi"/>
          <w:b/>
          <w:kern w:val="0"/>
          <w:szCs w:val="24"/>
        </w:rPr>
        <w:t>an alternative</w:t>
      </w:r>
      <w:r w:rsidRPr="007E7B3E">
        <w:rPr>
          <w:rFonts w:eastAsiaTheme="minorHAnsi"/>
          <w:b/>
          <w:kern w:val="0"/>
          <w:szCs w:val="24"/>
        </w:rPr>
        <w:t xml:space="preserve"> </w:t>
      </w:r>
      <w:r w:rsidR="00F434BB">
        <w:rPr>
          <w:rFonts w:eastAsiaTheme="minorHAnsi"/>
          <w:b/>
          <w:kern w:val="0"/>
          <w:szCs w:val="24"/>
        </w:rPr>
        <w:t xml:space="preserve">cost of capital if the Commission adopts a </w:t>
      </w:r>
      <w:r w:rsidRPr="007E7B3E">
        <w:rPr>
          <w:rFonts w:eastAsiaTheme="minorHAnsi"/>
          <w:b/>
          <w:kern w:val="0"/>
          <w:szCs w:val="24"/>
        </w:rPr>
        <w:t>hypothetical capital structure?</w:t>
      </w:r>
    </w:p>
    <w:p w:rsidR="00A17440" w:rsidRPr="002E3751" w:rsidRDefault="00A17440" w:rsidP="00A17440">
      <w:pPr>
        <w:spacing w:line="480" w:lineRule="auto"/>
        <w:ind w:left="720" w:hanging="720"/>
        <w:rPr>
          <w:rFonts w:eastAsiaTheme="minorHAnsi"/>
          <w:kern w:val="0"/>
          <w:szCs w:val="24"/>
        </w:rPr>
      </w:pPr>
      <w:r w:rsidRPr="002E3751">
        <w:rPr>
          <w:rFonts w:eastAsiaTheme="minorHAnsi"/>
          <w:kern w:val="0"/>
          <w:szCs w:val="24"/>
        </w:rPr>
        <w:t>A.</w:t>
      </w:r>
      <w:r w:rsidRPr="002E3751">
        <w:rPr>
          <w:rFonts w:eastAsiaTheme="minorHAnsi"/>
          <w:kern w:val="0"/>
          <w:szCs w:val="24"/>
        </w:rPr>
        <w:tab/>
      </w:r>
      <w:r w:rsidR="003378B4">
        <w:rPr>
          <w:szCs w:val="24"/>
        </w:rPr>
        <w:t xml:space="preserve">Yes.  While the Company’s primary recommendation is based on its actual capital structure, </w:t>
      </w:r>
      <w:r w:rsidR="000307C0">
        <w:rPr>
          <w:szCs w:val="24"/>
        </w:rPr>
        <w:t>the Company is</w:t>
      </w:r>
      <w:r w:rsidR="003378B4">
        <w:rPr>
          <w:szCs w:val="24"/>
        </w:rPr>
        <w:t xml:space="preserve"> also proposing an alternative hypothetical capital structure that </w:t>
      </w:r>
      <w:r w:rsidR="000307C0">
        <w:rPr>
          <w:szCs w:val="24"/>
        </w:rPr>
        <w:t>includes</w:t>
      </w:r>
      <w:r w:rsidR="00801550">
        <w:rPr>
          <w:szCs w:val="24"/>
        </w:rPr>
        <w:t xml:space="preserve"> a reduced equity component, but also reflects the impact of that change on the costs of debt and equity</w:t>
      </w:r>
      <w:r w:rsidR="003378B4">
        <w:rPr>
          <w:szCs w:val="24"/>
        </w:rPr>
        <w:t xml:space="preserve">.  </w:t>
      </w:r>
    </w:p>
    <w:p w:rsidR="00081450" w:rsidRPr="00602932" w:rsidRDefault="00081450" w:rsidP="006C1ACD">
      <w:pPr>
        <w:keepNext/>
        <w:spacing w:line="480" w:lineRule="auto"/>
        <w:ind w:left="720" w:hanging="720"/>
        <w:rPr>
          <w:rFonts w:eastAsiaTheme="minorHAnsi"/>
          <w:b/>
          <w:kern w:val="0"/>
          <w:szCs w:val="24"/>
        </w:rPr>
      </w:pPr>
      <w:r w:rsidRPr="002E3751">
        <w:rPr>
          <w:rFonts w:eastAsiaTheme="minorHAnsi"/>
          <w:b/>
          <w:kern w:val="0"/>
          <w:szCs w:val="24"/>
        </w:rPr>
        <w:lastRenderedPageBreak/>
        <w:t>Q.</w:t>
      </w:r>
      <w:r w:rsidRPr="002E3751">
        <w:rPr>
          <w:rFonts w:eastAsiaTheme="minorHAnsi"/>
          <w:kern w:val="0"/>
          <w:szCs w:val="24"/>
        </w:rPr>
        <w:tab/>
      </w:r>
      <w:r w:rsidRPr="00F50CC5">
        <w:rPr>
          <w:rFonts w:eastAsiaTheme="minorHAnsi"/>
          <w:b/>
          <w:kern w:val="0"/>
          <w:szCs w:val="24"/>
        </w:rPr>
        <w:t>In general</w:t>
      </w:r>
      <w:r w:rsidRPr="00AF47B9">
        <w:rPr>
          <w:rFonts w:eastAsiaTheme="minorHAnsi"/>
          <w:b/>
          <w:kern w:val="0"/>
          <w:szCs w:val="24"/>
        </w:rPr>
        <w:t>, h</w:t>
      </w:r>
      <w:r w:rsidRPr="00602932">
        <w:rPr>
          <w:rFonts w:eastAsiaTheme="minorHAnsi"/>
          <w:b/>
          <w:kern w:val="0"/>
          <w:szCs w:val="24"/>
        </w:rPr>
        <w:t xml:space="preserve">ow </w:t>
      </w:r>
      <w:r>
        <w:rPr>
          <w:rFonts w:eastAsiaTheme="minorHAnsi"/>
          <w:b/>
          <w:kern w:val="0"/>
          <w:szCs w:val="24"/>
        </w:rPr>
        <w:t xml:space="preserve">does </w:t>
      </w:r>
      <w:r w:rsidRPr="00602932">
        <w:rPr>
          <w:rFonts w:eastAsiaTheme="minorHAnsi"/>
          <w:b/>
          <w:kern w:val="0"/>
          <w:szCs w:val="24"/>
        </w:rPr>
        <w:t xml:space="preserve">the use of a hypothetical capital structure change </w:t>
      </w:r>
      <w:r>
        <w:rPr>
          <w:rFonts w:eastAsiaTheme="minorHAnsi"/>
          <w:b/>
          <w:kern w:val="0"/>
          <w:szCs w:val="24"/>
        </w:rPr>
        <w:t>Pacific Power’s</w:t>
      </w:r>
      <w:r w:rsidRPr="00602932">
        <w:rPr>
          <w:rFonts w:eastAsiaTheme="minorHAnsi"/>
          <w:b/>
          <w:kern w:val="0"/>
          <w:szCs w:val="24"/>
        </w:rPr>
        <w:t xml:space="preserve"> </w:t>
      </w:r>
      <w:r w:rsidR="002A143E">
        <w:rPr>
          <w:rFonts w:eastAsiaTheme="minorHAnsi"/>
          <w:b/>
          <w:kern w:val="0"/>
          <w:szCs w:val="24"/>
        </w:rPr>
        <w:t xml:space="preserve">overall </w:t>
      </w:r>
      <w:r w:rsidRPr="00602932">
        <w:rPr>
          <w:rFonts w:eastAsiaTheme="minorHAnsi"/>
          <w:b/>
          <w:kern w:val="0"/>
          <w:szCs w:val="24"/>
        </w:rPr>
        <w:t>costs of capital?</w:t>
      </w:r>
    </w:p>
    <w:p w:rsidR="00081450" w:rsidRPr="002E3751" w:rsidRDefault="00081450" w:rsidP="00081450">
      <w:pPr>
        <w:spacing w:line="480" w:lineRule="auto"/>
        <w:ind w:left="720" w:hanging="720"/>
        <w:rPr>
          <w:rFonts w:eastAsiaTheme="minorHAnsi"/>
          <w:kern w:val="0"/>
          <w:szCs w:val="24"/>
        </w:rPr>
      </w:pPr>
      <w:r w:rsidRPr="006C1ACD">
        <w:rPr>
          <w:rFonts w:eastAsiaTheme="minorHAnsi"/>
          <w:kern w:val="0"/>
          <w:szCs w:val="24"/>
        </w:rPr>
        <w:t>A.</w:t>
      </w:r>
      <w:r w:rsidRPr="006C1ACD">
        <w:rPr>
          <w:rFonts w:eastAsiaTheme="minorHAnsi"/>
          <w:kern w:val="0"/>
          <w:szCs w:val="24"/>
        </w:rPr>
        <w:tab/>
      </w:r>
      <w:r w:rsidRPr="002E3751">
        <w:rPr>
          <w:rFonts w:eastAsiaTheme="minorHAnsi"/>
          <w:kern w:val="0"/>
          <w:szCs w:val="24"/>
        </w:rPr>
        <w:t>A fundamental finance princip</w:t>
      </w:r>
      <w:r>
        <w:rPr>
          <w:rFonts w:eastAsiaTheme="minorHAnsi"/>
          <w:kern w:val="0"/>
          <w:szCs w:val="24"/>
        </w:rPr>
        <w:t>le</w:t>
      </w:r>
      <w:r w:rsidRPr="002E3751">
        <w:rPr>
          <w:rFonts w:eastAsiaTheme="minorHAnsi"/>
          <w:kern w:val="0"/>
          <w:szCs w:val="24"/>
        </w:rPr>
        <w:t xml:space="preserve"> is that as risk increases so </w:t>
      </w:r>
      <w:proofErr w:type="gramStart"/>
      <w:r w:rsidRPr="002E3751">
        <w:rPr>
          <w:rFonts w:eastAsiaTheme="minorHAnsi"/>
          <w:kern w:val="0"/>
          <w:szCs w:val="24"/>
        </w:rPr>
        <w:t>does</w:t>
      </w:r>
      <w:proofErr w:type="gramEnd"/>
      <w:r w:rsidRPr="002E3751">
        <w:rPr>
          <w:rFonts w:eastAsiaTheme="minorHAnsi"/>
          <w:kern w:val="0"/>
          <w:szCs w:val="24"/>
        </w:rPr>
        <w:t xml:space="preserve"> the required return</w:t>
      </w:r>
      <w:r w:rsidR="00B07112">
        <w:rPr>
          <w:rFonts w:eastAsiaTheme="minorHAnsi"/>
          <w:kern w:val="0"/>
          <w:szCs w:val="24"/>
        </w:rPr>
        <w:t>.</w:t>
      </w:r>
      <w:r w:rsidRPr="002E3751">
        <w:rPr>
          <w:rFonts w:eastAsiaTheme="minorHAnsi"/>
          <w:kern w:val="0"/>
          <w:szCs w:val="24"/>
          <w:vertAlign w:val="superscript"/>
        </w:rPr>
        <w:footnoteReference w:id="7"/>
      </w:r>
      <w:r w:rsidRPr="002E3751">
        <w:rPr>
          <w:rFonts w:eastAsiaTheme="minorHAnsi"/>
          <w:kern w:val="0"/>
          <w:szCs w:val="24"/>
        </w:rPr>
        <w:t xml:space="preserve">  </w:t>
      </w:r>
      <w:r>
        <w:rPr>
          <w:rFonts w:eastAsiaTheme="minorHAnsi"/>
          <w:kern w:val="0"/>
          <w:szCs w:val="24"/>
        </w:rPr>
        <w:t xml:space="preserve">If </w:t>
      </w:r>
      <w:r w:rsidRPr="002E3751">
        <w:rPr>
          <w:rFonts w:eastAsiaTheme="minorHAnsi"/>
          <w:kern w:val="0"/>
          <w:szCs w:val="24"/>
        </w:rPr>
        <w:t xml:space="preserve">the Commission </w:t>
      </w:r>
      <w:r>
        <w:rPr>
          <w:rFonts w:eastAsiaTheme="minorHAnsi"/>
          <w:kern w:val="0"/>
          <w:szCs w:val="24"/>
        </w:rPr>
        <w:t>adopts</w:t>
      </w:r>
      <w:r w:rsidRPr="002E3751">
        <w:rPr>
          <w:rFonts w:eastAsiaTheme="minorHAnsi"/>
          <w:kern w:val="0"/>
          <w:szCs w:val="24"/>
        </w:rPr>
        <w:t xml:space="preserve"> a hypothetical capital structure with more risk</w:t>
      </w:r>
      <w:r>
        <w:rPr>
          <w:rFonts w:eastAsiaTheme="minorHAnsi"/>
          <w:kern w:val="0"/>
          <w:szCs w:val="24"/>
        </w:rPr>
        <w:t>,</w:t>
      </w:r>
      <w:r w:rsidRPr="002E3751">
        <w:rPr>
          <w:rFonts w:eastAsiaTheme="minorHAnsi"/>
          <w:kern w:val="0"/>
          <w:szCs w:val="24"/>
        </w:rPr>
        <w:t xml:space="preserve"> such as one containing less common equity than </w:t>
      </w:r>
      <w:r>
        <w:rPr>
          <w:rFonts w:eastAsiaTheme="minorHAnsi"/>
          <w:kern w:val="0"/>
          <w:szCs w:val="24"/>
        </w:rPr>
        <w:t>PacifiCorp</w:t>
      </w:r>
      <w:r w:rsidRPr="002E3751">
        <w:rPr>
          <w:rFonts w:eastAsiaTheme="minorHAnsi"/>
          <w:kern w:val="0"/>
          <w:szCs w:val="24"/>
        </w:rPr>
        <w:t>’s actual level of 51.73</w:t>
      </w:r>
      <w:r>
        <w:rPr>
          <w:rFonts w:eastAsiaTheme="minorHAnsi"/>
          <w:kern w:val="0"/>
          <w:szCs w:val="24"/>
        </w:rPr>
        <w:t xml:space="preserve"> percent,</w:t>
      </w:r>
      <w:r w:rsidRPr="002E3751">
        <w:rPr>
          <w:rFonts w:eastAsiaTheme="minorHAnsi"/>
          <w:kern w:val="0"/>
          <w:szCs w:val="24"/>
        </w:rPr>
        <w:t xml:space="preserve"> an adjustment to increase the capital costs is necessary and appropriate.  </w:t>
      </w:r>
    </w:p>
    <w:p w:rsidR="002777DD" w:rsidRPr="005E17FA" w:rsidRDefault="002777DD" w:rsidP="00A17440">
      <w:pPr>
        <w:spacing w:line="480" w:lineRule="auto"/>
        <w:ind w:left="720" w:hanging="720"/>
        <w:rPr>
          <w:b/>
          <w:kern w:val="0"/>
          <w:szCs w:val="24"/>
        </w:rPr>
      </w:pPr>
      <w:r w:rsidRPr="005E17FA">
        <w:rPr>
          <w:b/>
          <w:kern w:val="0"/>
          <w:szCs w:val="24"/>
        </w:rPr>
        <w:t>Q.</w:t>
      </w:r>
      <w:r w:rsidRPr="005E17FA">
        <w:rPr>
          <w:b/>
          <w:kern w:val="0"/>
          <w:szCs w:val="24"/>
        </w:rPr>
        <w:tab/>
        <w:t xml:space="preserve">If </w:t>
      </w:r>
      <w:r w:rsidR="000307C0">
        <w:rPr>
          <w:b/>
          <w:kern w:val="0"/>
          <w:szCs w:val="24"/>
        </w:rPr>
        <w:t>PacifiCorp</w:t>
      </w:r>
      <w:r w:rsidRPr="005E17FA">
        <w:rPr>
          <w:b/>
          <w:kern w:val="0"/>
          <w:szCs w:val="24"/>
        </w:rPr>
        <w:t xml:space="preserve"> </w:t>
      </w:r>
      <w:r w:rsidRPr="00A17440">
        <w:rPr>
          <w:b/>
          <w:kern w:val="0"/>
          <w:szCs w:val="24"/>
        </w:rPr>
        <w:t xml:space="preserve">actually </w:t>
      </w:r>
      <w:r w:rsidRPr="00A17440">
        <w:rPr>
          <w:rFonts w:eastAsiaTheme="minorHAnsi"/>
          <w:b/>
          <w:kern w:val="0"/>
          <w:szCs w:val="24"/>
        </w:rPr>
        <w:t>maintained</w:t>
      </w:r>
      <w:r w:rsidRPr="00A17440">
        <w:rPr>
          <w:b/>
          <w:kern w:val="0"/>
          <w:szCs w:val="24"/>
        </w:rPr>
        <w:t xml:space="preserve"> only</w:t>
      </w:r>
      <w:r w:rsidRPr="005E17FA">
        <w:rPr>
          <w:b/>
          <w:kern w:val="0"/>
          <w:szCs w:val="24"/>
        </w:rPr>
        <w:t xml:space="preserve"> 49</w:t>
      </w:r>
      <w:r w:rsidR="000C28A3">
        <w:rPr>
          <w:b/>
          <w:kern w:val="0"/>
          <w:szCs w:val="24"/>
        </w:rPr>
        <w:t>.10</w:t>
      </w:r>
      <w:r w:rsidRPr="005E17FA">
        <w:rPr>
          <w:b/>
          <w:kern w:val="0"/>
          <w:szCs w:val="24"/>
        </w:rPr>
        <w:t xml:space="preserve"> percent common equity in its capital structure</w:t>
      </w:r>
      <w:r w:rsidR="00A17440">
        <w:rPr>
          <w:b/>
          <w:kern w:val="0"/>
          <w:szCs w:val="24"/>
        </w:rPr>
        <w:t xml:space="preserve">, </w:t>
      </w:r>
      <w:r w:rsidRPr="005E17FA">
        <w:rPr>
          <w:b/>
          <w:kern w:val="0"/>
          <w:szCs w:val="24"/>
        </w:rPr>
        <w:t xml:space="preserve">as in the hypothetical structure </w:t>
      </w:r>
      <w:r w:rsidR="003378B4">
        <w:rPr>
          <w:b/>
          <w:kern w:val="0"/>
          <w:szCs w:val="24"/>
        </w:rPr>
        <w:t xml:space="preserve">previously </w:t>
      </w:r>
      <w:r w:rsidRPr="005E17FA">
        <w:rPr>
          <w:b/>
          <w:kern w:val="0"/>
          <w:szCs w:val="24"/>
        </w:rPr>
        <w:t>adopt</w:t>
      </w:r>
      <w:r w:rsidR="00A17440">
        <w:rPr>
          <w:b/>
          <w:kern w:val="0"/>
          <w:szCs w:val="24"/>
        </w:rPr>
        <w:t xml:space="preserve">ed by </w:t>
      </w:r>
      <w:r w:rsidR="00BA1B64">
        <w:rPr>
          <w:b/>
          <w:kern w:val="0"/>
          <w:szCs w:val="24"/>
        </w:rPr>
        <w:t>the Commission</w:t>
      </w:r>
      <w:r w:rsidR="00A17440">
        <w:rPr>
          <w:b/>
          <w:kern w:val="0"/>
          <w:szCs w:val="24"/>
        </w:rPr>
        <w:t xml:space="preserve">, would </w:t>
      </w:r>
      <w:r w:rsidR="003378B4">
        <w:rPr>
          <w:b/>
          <w:kern w:val="0"/>
          <w:szCs w:val="24"/>
        </w:rPr>
        <w:t>its</w:t>
      </w:r>
      <w:r w:rsidR="00A17440">
        <w:rPr>
          <w:b/>
          <w:kern w:val="0"/>
          <w:szCs w:val="24"/>
        </w:rPr>
        <w:t xml:space="preserve"> cost of debt be higher?</w:t>
      </w:r>
    </w:p>
    <w:p w:rsidR="00081450" w:rsidRDefault="002777DD" w:rsidP="00081450">
      <w:pPr>
        <w:spacing w:line="480" w:lineRule="auto"/>
        <w:ind w:left="720" w:hanging="720"/>
        <w:rPr>
          <w:b/>
          <w:kern w:val="0"/>
          <w:szCs w:val="24"/>
        </w:rPr>
      </w:pPr>
      <w:r w:rsidRPr="005E17FA">
        <w:rPr>
          <w:kern w:val="0"/>
          <w:szCs w:val="24"/>
        </w:rPr>
        <w:t>A.</w:t>
      </w:r>
      <w:r w:rsidRPr="005E17FA">
        <w:rPr>
          <w:kern w:val="0"/>
          <w:szCs w:val="24"/>
        </w:rPr>
        <w:tab/>
      </w:r>
      <w:r w:rsidR="00A17440">
        <w:rPr>
          <w:kern w:val="0"/>
          <w:szCs w:val="24"/>
        </w:rPr>
        <w:t xml:space="preserve">Yes.  </w:t>
      </w:r>
      <w:r w:rsidRPr="005E17FA">
        <w:rPr>
          <w:kern w:val="0"/>
          <w:szCs w:val="24"/>
        </w:rPr>
        <w:t>It is unrealistic to assume that one element of capital structure can materially change without impacting other elements.  With only 49</w:t>
      </w:r>
      <w:r w:rsidR="000C28A3">
        <w:rPr>
          <w:kern w:val="0"/>
          <w:szCs w:val="24"/>
        </w:rPr>
        <w:t>.10</w:t>
      </w:r>
      <w:r w:rsidRPr="005E17FA">
        <w:rPr>
          <w:kern w:val="0"/>
          <w:szCs w:val="24"/>
        </w:rPr>
        <w:t xml:space="preserve"> percent common equity in the capital structure, PacifiCorp’s current rating would be lowered.  As a consequence, the cost of debt would be higher.  A comparison of PacifiCorp to other Washington utilities regulated by this Commission </w:t>
      </w:r>
      <w:r w:rsidR="00081450">
        <w:rPr>
          <w:kern w:val="0"/>
          <w:szCs w:val="24"/>
        </w:rPr>
        <w:t xml:space="preserve">demonstrates this fact. </w:t>
      </w:r>
      <w:r w:rsidR="00081450" w:rsidRPr="00081450">
        <w:rPr>
          <w:b/>
          <w:kern w:val="0"/>
          <w:szCs w:val="24"/>
        </w:rPr>
        <w:t xml:space="preserve"> </w:t>
      </w:r>
    </w:p>
    <w:p w:rsidR="00081450" w:rsidRDefault="00081450" w:rsidP="00081450">
      <w:pPr>
        <w:spacing w:line="480" w:lineRule="auto"/>
        <w:ind w:left="720" w:hanging="720"/>
        <w:rPr>
          <w:b/>
          <w:kern w:val="0"/>
          <w:szCs w:val="24"/>
        </w:rPr>
      </w:pPr>
      <w:r>
        <w:rPr>
          <w:b/>
          <w:kern w:val="0"/>
          <w:szCs w:val="24"/>
        </w:rPr>
        <w:t>Q.</w:t>
      </w:r>
      <w:r>
        <w:rPr>
          <w:b/>
          <w:kern w:val="0"/>
          <w:szCs w:val="24"/>
        </w:rPr>
        <w:tab/>
        <w:t>How does the Company’s proposed cost of long-term debt compare to Washington utilities, which are capitalized closer to 49</w:t>
      </w:r>
      <w:r w:rsidR="000C28A3">
        <w:rPr>
          <w:b/>
          <w:kern w:val="0"/>
          <w:szCs w:val="24"/>
        </w:rPr>
        <w:t>.10</w:t>
      </w:r>
      <w:r>
        <w:rPr>
          <w:b/>
          <w:kern w:val="0"/>
          <w:szCs w:val="24"/>
        </w:rPr>
        <w:t xml:space="preserve"> percent common equity?</w:t>
      </w:r>
    </w:p>
    <w:p w:rsidR="00EE399C" w:rsidRDefault="00081450" w:rsidP="00081450">
      <w:pPr>
        <w:spacing w:line="480" w:lineRule="auto"/>
        <w:ind w:left="720" w:hanging="720"/>
        <w:rPr>
          <w:kern w:val="0"/>
          <w:szCs w:val="24"/>
        </w:rPr>
      </w:pPr>
      <w:r w:rsidRPr="00845E05">
        <w:rPr>
          <w:kern w:val="0"/>
          <w:szCs w:val="24"/>
        </w:rPr>
        <w:t>A.</w:t>
      </w:r>
      <w:r>
        <w:rPr>
          <w:b/>
          <w:kern w:val="0"/>
          <w:szCs w:val="24"/>
        </w:rPr>
        <w:tab/>
      </w:r>
      <w:r w:rsidR="00EE399C">
        <w:rPr>
          <w:kern w:val="0"/>
          <w:szCs w:val="24"/>
        </w:rPr>
        <w:t>Ta</w:t>
      </w:r>
      <w:r>
        <w:rPr>
          <w:kern w:val="0"/>
          <w:szCs w:val="24"/>
        </w:rPr>
        <w:t xml:space="preserve">ble </w:t>
      </w:r>
      <w:r w:rsidR="00DF3088">
        <w:rPr>
          <w:kern w:val="0"/>
          <w:szCs w:val="24"/>
        </w:rPr>
        <w:t>5</w:t>
      </w:r>
      <w:r w:rsidR="00EE399C">
        <w:rPr>
          <w:kern w:val="0"/>
          <w:szCs w:val="24"/>
        </w:rPr>
        <w:t xml:space="preserve"> </w:t>
      </w:r>
      <w:r>
        <w:rPr>
          <w:kern w:val="0"/>
          <w:szCs w:val="24"/>
        </w:rPr>
        <w:t xml:space="preserve">below shows that </w:t>
      </w:r>
      <w:r w:rsidR="000307C0">
        <w:rPr>
          <w:kern w:val="0"/>
          <w:szCs w:val="24"/>
        </w:rPr>
        <w:t>PacifiCorp’s</w:t>
      </w:r>
      <w:r>
        <w:rPr>
          <w:kern w:val="0"/>
          <w:szCs w:val="24"/>
        </w:rPr>
        <w:t xml:space="preserve"> proposed cost of long-term debt is significantly below the currently authorized cost of long-term debt for the other </w:t>
      </w:r>
      <w:r w:rsidR="00EE399C">
        <w:rPr>
          <w:kern w:val="0"/>
          <w:szCs w:val="24"/>
        </w:rPr>
        <w:t>Washington</w:t>
      </w:r>
      <w:r w:rsidR="00EE399C" w:rsidDel="00EE399C">
        <w:rPr>
          <w:kern w:val="0"/>
          <w:szCs w:val="24"/>
        </w:rPr>
        <w:t xml:space="preserve"> </w:t>
      </w:r>
      <w:r w:rsidR="00EE399C">
        <w:rPr>
          <w:kern w:val="0"/>
          <w:szCs w:val="24"/>
        </w:rPr>
        <w:t xml:space="preserve">investor-owned </w:t>
      </w:r>
      <w:r>
        <w:rPr>
          <w:kern w:val="0"/>
          <w:szCs w:val="24"/>
        </w:rPr>
        <w:t>electric utilities.</w:t>
      </w:r>
    </w:p>
    <w:p w:rsidR="00EE399C" w:rsidRPr="00EE399C" w:rsidRDefault="00EE399C" w:rsidP="00EE399C">
      <w:pPr>
        <w:keepNext/>
        <w:suppressLineNumbers/>
        <w:rPr>
          <w:b/>
          <w:kern w:val="0"/>
          <w:szCs w:val="24"/>
        </w:rPr>
      </w:pPr>
      <w:r>
        <w:rPr>
          <w:kern w:val="0"/>
          <w:szCs w:val="24"/>
        </w:rPr>
        <w:br w:type="page"/>
      </w:r>
    </w:p>
    <w:p w:rsidR="00EE399C" w:rsidRPr="00EE399C" w:rsidRDefault="00EE399C" w:rsidP="00AF47B9">
      <w:pPr>
        <w:keepNext/>
        <w:suppressLineNumbers/>
        <w:jc w:val="center"/>
        <w:rPr>
          <w:b/>
          <w:kern w:val="0"/>
          <w:szCs w:val="24"/>
        </w:rPr>
      </w:pPr>
      <w:r w:rsidRPr="00EE399C">
        <w:rPr>
          <w:b/>
          <w:kern w:val="0"/>
          <w:szCs w:val="24"/>
        </w:rPr>
        <w:lastRenderedPageBreak/>
        <w:t xml:space="preserve">Table </w:t>
      </w:r>
      <w:r w:rsidR="00DF3088">
        <w:rPr>
          <w:b/>
          <w:kern w:val="0"/>
          <w:szCs w:val="24"/>
        </w:rPr>
        <w:t>5</w:t>
      </w:r>
    </w:p>
    <w:tbl>
      <w:tblPr>
        <w:tblStyle w:val="TableGrid"/>
        <w:tblW w:w="0" w:type="auto"/>
        <w:jc w:val="center"/>
        <w:tblInd w:w="720" w:type="dxa"/>
        <w:tblLayout w:type="fixed"/>
        <w:tblLook w:val="04A0" w:firstRow="1" w:lastRow="0" w:firstColumn="1" w:lastColumn="0" w:noHBand="0" w:noVBand="1"/>
      </w:tblPr>
      <w:tblGrid>
        <w:gridCol w:w="2718"/>
        <w:gridCol w:w="1980"/>
        <w:gridCol w:w="1530"/>
        <w:gridCol w:w="2268"/>
      </w:tblGrid>
      <w:tr w:rsidR="00BF69C1" w:rsidTr="00EE399C">
        <w:trPr>
          <w:jc w:val="center"/>
        </w:trPr>
        <w:tc>
          <w:tcPr>
            <w:tcW w:w="2718" w:type="dxa"/>
            <w:tcBorders>
              <w:top w:val="single" w:sz="4" w:space="0" w:color="auto"/>
              <w:left w:val="single" w:sz="4" w:space="0" w:color="auto"/>
              <w:bottom w:val="nil"/>
            </w:tcBorders>
          </w:tcPr>
          <w:p w:rsidR="00BF69C1" w:rsidRDefault="00BF69C1" w:rsidP="00BF69C1">
            <w:pPr>
              <w:rPr>
                <w:noProof/>
              </w:rPr>
            </w:pPr>
          </w:p>
        </w:tc>
        <w:tc>
          <w:tcPr>
            <w:tcW w:w="1980" w:type="dxa"/>
            <w:tcBorders>
              <w:bottom w:val="nil"/>
            </w:tcBorders>
            <w:vAlign w:val="center"/>
          </w:tcPr>
          <w:p w:rsidR="00BF69C1" w:rsidRDefault="00BF69C1" w:rsidP="00EE399C">
            <w:pPr>
              <w:keepNext/>
              <w:keepLines/>
              <w:jc w:val="center"/>
              <w:rPr>
                <w:noProof/>
              </w:rPr>
            </w:pPr>
            <w:r>
              <w:rPr>
                <w:noProof/>
              </w:rPr>
              <w:t>ACTUAL</w:t>
            </w:r>
          </w:p>
        </w:tc>
        <w:tc>
          <w:tcPr>
            <w:tcW w:w="3798" w:type="dxa"/>
            <w:gridSpan w:val="2"/>
            <w:tcBorders>
              <w:bottom w:val="nil"/>
            </w:tcBorders>
            <w:vAlign w:val="center"/>
          </w:tcPr>
          <w:p w:rsidR="00BF69C1" w:rsidRDefault="00BF69C1" w:rsidP="00EE399C">
            <w:pPr>
              <w:keepNext/>
              <w:keepLines/>
              <w:jc w:val="center"/>
              <w:rPr>
                <w:noProof/>
              </w:rPr>
            </w:pPr>
            <w:r>
              <w:rPr>
                <w:noProof/>
              </w:rPr>
              <w:t>CURRENTLY AUTHORIZED</w:t>
            </w:r>
          </w:p>
        </w:tc>
      </w:tr>
      <w:tr w:rsidR="00BF69C1" w:rsidTr="00EE399C">
        <w:trPr>
          <w:jc w:val="center"/>
        </w:trPr>
        <w:tc>
          <w:tcPr>
            <w:tcW w:w="2718" w:type="dxa"/>
            <w:tcBorders>
              <w:top w:val="nil"/>
              <w:left w:val="single" w:sz="4" w:space="0" w:color="auto"/>
            </w:tcBorders>
          </w:tcPr>
          <w:p w:rsidR="00BF69C1" w:rsidRDefault="00BF69C1" w:rsidP="00BF69C1">
            <w:pPr>
              <w:rPr>
                <w:noProof/>
              </w:rPr>
            </w:pPr>
          </w:p>
        </w:tc>
        <w:tc>
          <w:tcPr>
            <w:tcW w:w="1980" w:type="dxa"/>
            <w:tcBorders>
              <w:top w:val="nil"/>
            </w:tcBorders>
            <w:vAlign w:val="center"/>
          </w:tcPr>
          <w:p w:rsidR="00BF69C1" w:rsidRDefault="00BF69C1" w:rsidP="00EE399C">
            <w:pPr>
              <w:keepNext/>
              <w:keepLines/>
              <w:jc w:val="center"/>
              <w:rPr>
                <w:noProof/>
              </w:rPr>
            </w:pPr>
            <w:r>
              <w:rPr>
                <w:noProof/>
              </w:rPr>
              <w:t>PacifiCorp</w:t>
            </w:r>
          </w:p>
        </w:tc>
        <w:tc>
          <w:tcPr>
            <w:tcW w:w="1530" w:type="dxa"/>
            <w:tcBorders>
              <w:top w:val="nil"/>
              <w:right w:val="nil"/>
            </w:tcBorders>
            <w:vAlign w:val="center"/>
          </w:tcPr>
          <w:p w:rsidR="00BF69C1" w:rsidRDefault="00BF69C1" w:rsidP="00EE399C">
            <w:pPr>
              <w:keepNext/>
              <w:keepLines/>
              <w:jc w:val="center"/>
              <w:rPr>
                <w:noProof/>
              </w:rPr>
            </w:pPr>
            <w:r>
              <w:rPr>
                <w:noProof/>
              </w:rPr>
              <w:t>Avista</w:t>
            </w:r>
            <w:r>
              <w:rPr>
                <w:rStyle w:val="FootnoteReference"/>
                <w:noProof/>
              </w:rPr>
              <w:footnoteReference w:id="8"/>
            </w:r>
          </w:p>
        </w:tc>
        <w:tc>
          <w:tcPr>
            <w:tcW w:w="2268" w:type="dxa"/>
            <w:tcBorders>
              <w:top w:val="nil"/>
              <w:left w:val="nil"/>
            </w:tcBorders>
            <w:vAlign w:val="center"/>
          </w:tcPr>
          <w:p w:rsidR="00BF69C1" w:rsidRDefault="00BF69C1" w:rsidP="00EE399C">
            <w:pPr>
              <w:keepNext/>
              <w:keepLines/>
              <w:jc w:val="center"/>
              <w:rPr>
                <w:noProof/>
              </w:rPr>
            </w:pPr>
            <w:r>
              <w:rPr>
                <w:noProof/>
              </w:rPr>
              <w:t>Puget Sound Energy</w:t>
            </w:r>
            <w:r>
              <w:rPr>
                <w:rStyle w:val="FootnoteReference"/>
                <w:noProof/>
              </w:rPr>
              <w:footnoteReference w:id="9"/>
            </w:r>
          </w:p>
        </w:tc>
      </w:tr>
      <w:tr w:rsidR="00BF69C1" w:rsidTr="00EE399C">
        <w:trPr>
          <w:jc w:val="center"/>
        </w:trPr>
        <w:tc>
          <w:tcPr>
            <w:tcW w:w="2718" w:type="dxa"/>
          </w:tcPr>
          <w:p w:rsidR="00BF69C1" w:rsidRDefault="00BF69C1" w:rsidP="00BF69C1">
            <w:pPr>
              <w:rPr>
                <w:noProof/>
              </w:rPr>
            </w:pPr>
            <w:r>
              <w:rPr>
                <w:noProof/>
              </w:rPr>
              <w:t>Common Equity</w:t>
            </w:r>
          </w:p>
        </w:tc>
        <w:tc>
          <w:tcPr>
            <w:tcW w:w="1980" w:type="dxa"/>
            <w:vAlign w:val="center"/>
          </w:tcPr>
          <w:p w:rsidR="00BF69C1" w:rsidRDefault="00BF69C1" w:rsidP="00BF69C1">
            <w:pPr>
              <w:jc w:val="center"/>
              <w:rPr>
                <w:noProof/>
              </w:rPr>
            </w:pPr>
            <w:r>
              <w:rPr>
                <w:noProof/>
              </w:rPr>
              <w:t>51.73%</w:t>
            </w:r>
          </w:p>
        </w:tc>
        <w:tc>
          <w:tcPr>
            <w:tcW w:w="1530" w:type="dxa"/>
            <w:vAlign w:val="center"/>
          </w:tcPr>
          <w:p w:rsidR="00BF69C1" w:rsidRDefault="00BF69C1" w:rsidP="00BF69C1">
            <w:pPr>
              <w:jc w:val="center"/>
              <w:rPr>
                <w:noProof/>
              </w:rPr>
            </w:pPr>
            <w:r>
              <w:rPr>
                <w:noProof/>
              </w:rPr>
              <w:t>47.00%</w:t>
            </w:r>
          </w:p>
        </w:tc>
        <w:tc>
          <w:tcPr>
            <w:tcW w:w="2268" w:type="dxa"/>
            <w:vAlign w:val="center"/>
          </w:tcPr>
          <w:p w:rsidR="00BF69C1" w:rsidRDefault="00BF69C1" w:rsidP="00BF69C1">
            <w:pPr>
              <w:jc w:val="center"/>
              <w:rPr>
                <w:noProof/>
              </w:rPr>
            </w:pPr>
            <w:r>
              <w:rPr>
                <w:noProof/>
              </w:rPr>
              <w:t>48.00%</w:t>
            </w:r>
          </w:p>
        </w:tc>
      </w:tr>
      <w:tr w:rsidR="00BF69C1" w:rsidTr="00EE399C">
        <w:trPr>
          <w:jc w:val="center"/>
        </w:trPr>
        <w:tc>
          <w:tcPr>
            <w:tcW w:w="2718" w:type="dxa"/>
          </w:tcPr>
          <w:p w:rsidR="00BF69C1" w:rsidRDefault="00BF69C1" w:rsidP="00BF69C1">
            <w:pPr>
              <w:rPr>
                <w:noProof/>
              </w:rPr>
            </w:pPr>
            <w:r>
              <w:rPr>
                <w:noProof/>
              </w:rPr>
              <w:t>Cost of Long-Term Debt</w:t>
            </w:r>
          </w:p>
        </w:tc>
        <w:tc>
          <w:tcPr>
            <w:tcW w:w="1980" w:type="dxa"/>
            <w:vAlign w:val="center"/>
          </w:tcPr>
          <w:p w:rsidR="00BF69C1" w:rsidRDefault="00BF69C1" w:rsidP="00BF69C1">
            <w:pPr>
              <w:jc w:val="center"/>
              <w:rPr>
                <w:noProof/>
              </w:rPr>
            </w:pPr>
            <w:r>
              <w:rPr>
                <w:noProof/>
              </w:rPr>
              <w:t>5.19</w:t>
            </w:r>
            <w:r w:rsidR="00A003EE">
              <w:rPr>
                <w:noProof/>
              </w:rPr>
              <w:t>%</w:t>
            </w:r>
          </w:p>
        </w:tc>
        <w:tc>
          <w:tcPr>
            <w:tcW w:w="1530" w:type="dxa"/>
            <w:vAlign w:val="center"/>
          </w:tcPr>
          <w:p w:rsidR="00BF69C1" w:rsidRDefault="00BF69C1" w:rsidP="00BF69C1">
            <w:pPr>
              <w:jc w:val="center"/>
              <w:rPr>
                <w:noProof/>
              </w:rPr>
            </w:pPr>
            <w:r>
              <w:rPr>
                <w:noProof/>
              </w:rPr>
              <w:t>5.72%</w:t>
            </w:r>
          </w:p>
        </w:tc>
        <w:tc>
          <w:tcPr>
            <w:tcW w:w="2268" w:type="dxa"/>
            <w:vAlign w:val="center"/>
          </w:tcPr>
          <w:p w:rsidR="00BF69C1" w:rsidRDefault="00BF69C1" w:rsidP="00BF69C1">
            <w:pPr>
              <w:jc w:val="center"/>
              <w:rPr>
                <w:noProof/>
              </w:rPr>
            </w:pPr>
            <w:r>
              <w:rPr>
                <w:noProof/>
              </w:rPr>
              <w:t>6.16%</w:t>
            </w:r>
          </w:p>
        </w:tc>
      </w:tr>
    </w:tbl>
    <w:p w:rsidR="00BF69C1" w:rsidRDefault="00BF69C1" w:rsidP="00EE399C">
      <w:pPr>
        <w:suppressLineNumbers/>
        <w:ind w:left="720" w:hanging="720"/>
        <w:rPr>
          <w:noProof/>
        </w:rPr>
      </w:pPr>
    </w:p>
    <w:p w:rsidR="00A354DE" w:rsidRPr="007E7B3E" w:rsidRDefault="00A354DE" w:rsidP="00A354DE">
      <w:pPr>
        <w:spacing w:line="480" w:lineRule="auto"/>
        <w:ind w:left="720" w:hanging="720"/>
        <w:rPr>
          <w:rFonts w:eastAsiaTheme="minorHAnsi"/>
          <w:b/>
          <w:kern w:val="0"/>
          <w:szCs w:val="24"/>
        </w:rPr>
      </w:pPr>
      <w:r w:rsidRPr="002E3751">
        <w:rPr>
          <w:rFonts w:eastAsiaTheme="minorHAnsi"/>
          <w:b/>
          <w:kern w:val="0"/>
          <w:szCs w:val="24"/>
        </w:rPr>
        <w:t>Q.</w:t>
      </w:r>
      <w:r w:rsidRPr="002E3751">
        <w:rPr>
          <w:rFonts w:eastAsiaTheme="minorHAnsi"/>
          <w:kern w:val="0"/>
          <w:szCs w:val="24"/>
        </w:rPr>
        <w:tab/>
      </w:r>
      <w:r w:rsidRPr="007E7B3E">
        <w:rPr>
          <w:rFonts w:eastAsiaTheme="minorHAnsi"/>
          <w:b/>
          <w:kern w:val="0"/>
          <w:szCs w:val="24"/>
        </w:rPr>
        <w:t xml:space="preserve">Have you estimated what the impact to the cost of debt would be if </w:t>
      </w:r>
      <w:r w:rsidR="000307C0">
        <w:rPr>
          <w:rFonts w:eastAsiaTheme="minorHAnsi"/>
          <w:b/>
          <w:kern w:val="0"/>
          <w:szCs w:val="24"/>
        </w:rPr>
        <w:t>PacifiCorp</w:t>
      </w:r>
      <w:r w:rsidRPr="007E7B3E">
        <w:rPr>
          <w:rFonts w:eastAsiaTheme="minorHAnsi"/>
          <w:b/>
          <w:kern w:val="0"/>
          <w:szCs w:val="24"/>
        </w:rPr>
        <w:t xml:space="preserve"> actually financed itself consistent with the hypothetical capital structure</w:t>
      </w:r>
      <w:r>
        <w:rPr>
          <w:rFonts w:eastAsiaTheme="minorHAnsi"/>
          <w:b/>
          <w:kern w:val="0"/>
          <w:szCs w:val="24"/>
        </w:rPr>
        <w:t xml:space="preserve"> approved in the last general rate case</w:t>
      </w:r>
      <w:r w:rsidRPr="007E7B3E">
        <w:rPr>
          <w:rFonts w:eastAsiaTheme="minorHAnsi"/>
          <w:b/>
          <w:kern w:val="0"/>
          <w:szCs w:val="24"/>
        </w:rPr>
        <w:t>?</w:t>
      </w:r>
    </w:p>
    <w:p w:rsidR="00A354DE" w:rsidRDefault="00A354DE" w:rsidP="00B07112">
      <w:pPr>
        <w:spacing w:line="480" w:lineRule="auto"/>
        <w:ind w:left="720" w:hanging="720"/>
        <w:rPr>
          <w:rFonts w:eastAsiaTheme="minorHAnsi"/>
          <w:kern w:val="0"/>
          <w:szCs w:val="24"/>
        </w:rPr>
      </w:pPr>
      <w:r w:rsidRPr="002E3751">
        <w:rPr>
          <w:rFonts w:eastAsiaTheme="minorHAnsi"/>
          <w:kern w:val="0"/>
          <w:szCs w:val="24"/>
        </w:rPr>
        <w:t>A.</w:t>
      </w:r>
      <w:r w:rsidRPr="002E3751">
        <w:rPr>
          <w:rFonts w:eastAsiaTheme="minorHAnsi"/>
          <w:kern w:val="0"/>
          <w:szCs w:val="24"/>
        </w:rPr>
        <w:tab/>
        <w:t xml:space="preserve">Yes. </w:t>
      </w:r>
      <w:r w:rsidR="002A143E">
        <w:rPr>
          <w:rFonts w:eastAsiaTheme="minorHAnsi"/>
          <w:kern w:val="0"/>
          <w:szCs w:val="24"/>
        </w:rPr>
        <w:t xml:space="preserve"> </w:t>
      </w:r>
      <w:r w:rsidRPr="002E3751">
        <w:rPr>
          <w:rFonts w:eastAsiaTheme="minorHAnsi"/>
          <w:kern w:val="0"/>
          <w:szCs w:val="24"/>
        </w:rPr>
        <w:t xml:space="preserve">Certainly there would be a downgrade in the credit ratings. </w:t>
      </w:r>
      <w:r>
        <w:rPr>
          <w:rFonts w:eastAsiaTheme="minorHAnsi"/>
          <w:kern w:val="0"/>
          <w:szCs w:val="24"/>
        </w:rPr>
        <w:t xml:space="preserve"> T</w:t>
      </w:r>
      <w:r w:rsidRPr="002E3751">
        <w:rPr>
          <w:rFonts w:eastAsiaTheme="minorHAnsi"/>
          <w:kern w:val="0"/>
          <w:szCs w:val="24"/>
        </w:rPr>
        <w:t xml:space="preserve">o provide the magnitude of this increased customer cost, I analyzed </w:t>
      </w:r>
      <w:r w:rsidR="000307C0">
        <w:rPr>
          <w:rFonts w:eastAsiaTheme="minorHAnsi"/>
          <w:kern w:val="0"/>
          <w:szCs w:val="24"/>
        </w:rPr>
        <w:t>PacifiCorp’s</w:t>
      </w:r>
      <w:r w:rsidRPr="002E3751">
        <w:rPr>
          <w:rFonts w:eastAsiaTheme="minorHAnsi"/>
          <w:kern w:val="0"/>
          <w:szCs w:val="24"/>
        </w:rPr>
        <w:t xml:space="preserve"> debt issuanc</w:t>
      </w:r>
      <w:r w:rsidR="008C2801">
        <w:rPr>
          <w:rFonts w:eastAsiaTheme="minorHAnsi"/>
          <w:kern w:val="0"/>
          <w:szCs w:val="24"/>
        </w:rPr>
        <w:t>es since its acquisition</w:t>
      </w:r>
      <w:r w:rsidRPr="002E3751">
        <w:rPr>
          <w:rFonts w:eastAsiaTheme="minorHAnsi"/>
          <w:kern w:val="0"/>
          <w:szCs w:val="24"/>
        </w:rPr>
        <w:t xml:space="preserve"> in 2006 and correspondingly changed the issuance spread to match what a BBB rated utility achieved at about the same point in time that </w:t>
      </w:r>
      <w:r w:rsidR="000307C0">
        <w:rPr>
          <w:rFonts w:eastAsiaTheme="minorHAnsi"/>
          <w:kern w:val="0"/>
          <w:szCs w:val="24"/>
        </w:rPr>
        <w:t xml:space="preserve">PacifiCorp </w:t>
      </w:r>
      <w:r w:rsidRPr="002E3751">
        <w:rPr>
          <w:rFonts w:eastAsiaTheme="minorHAnsi"/>
          <w:kern w:val="0"/>
          <w:szCs w:val="24"/>
        </w:rPr>
        <w:t>issued debt.  The result is that on the 13 series of debt totaling $5.2 billion</w:t>
      </w:r>
      <w:r w:rsidR="00EE399C">
        <w:rPr>
          <w:rFonts w:eastAsiaTheme="minorHAnsi"/>
          <w:kern w:val="0"/>
          <w:szCs w:val="24"/>
        </w:rPr>
        <w:t>,</w:t>
      </w:r>
      <w:r w:rsidRPr="002E3751">
        <w:rPr>
          <w:rFonts w:eastAsiaTheme="minorHAnsi"/>
          <w:kern w:val="0"/>
          <w:szCs w:val="24"/>
        </w:rPr>
        <w:t xml:space="preserve"> the cost would increase by about 80 basis points to 5.95 percent.  </w:t>
      </w:r>
      <w:r w:rsidR="003F36C6">
        <w:rPr>
          <w:rFonts w:eastAsiaTheme="minorHAnsi"/>
          <w:kern w:val="0"/>
          <w:szCs w:val="24"/>
        </w:rPr>
        <w:t>Combined with existing pre-acquisition debt</w:t>
      </w:r>
      <w:r w:rsidR="00EE399C">
        <w:rPr>
          <w:rFonts w:eastAsiaTheme="minorHAnsi"/>
          <w:kern w:val="0"/>
          <w:szCs w:val="24"/>
        </w:rPr>
        <w:t>,</w:t>
      </w:r>
      <w:r w:rsidR="003F36C6">
        <w:rPr>
          <w:rFonts w:eastAsiaTheme="minorHAnsi"/>
          <w:kern w:val="0"/>
          <w:szCs w:val="24"/>
        </w:rPr>
        <w:t xml:space="preserve"> the resulting overall cost of long-term debt would increase to 5.78 percent.  </w:t>
      </w:r>
      <w:r w:rsidRPr="002E3751">
        <w:rPr>
          <w:rFonts w:eastAsiaTheme="minorHAnsi"/>
          <w:kern w:val="0"/>
          <w:szCs w:val="24"/>
        </w:rPr>
        <w:t xml:space="preserve">That increase in the cost of debt would result in </w:t>
      </w:r>
      <w:r>
        <w:rPr>
          <w:rFonts w:eastAsiaTheme="minorHAnsi"/>
          <w:kern w:val="0"/>
          <w:szCs w:val="24"/>
        </w:rPr>
        <w:t>customers</w:t>
      </w:r>
      <w:r w:rsidRPr="002E3751">
        <w:rPr>
          <w:rFonts w:eastAsiaTheme="minorHAnsi"/>
          <w:kern w:val="0"/>
          <w:szCs w:val="24"/>
        </w:rPr>
        <w:t xml:space="preserve"> paying approximately $41 million more in annual</w:t>
      </w:r>
      <w:r>
        <w:rPr>
          <w:rFonts w:eastAsiaTheme="minorHAnsi"/>
          <w:kern w:val="0"/>
          <w:szCs w:val="24"/>
        </w:rPr>
        <w:t xml:space="preserve"> debt service costs.</w:t>
      </w:r>
    </w:p>
    <w:p w:rsidR="00241F82" w:rsidRDefault="00A354DE" w:rsidP="00241F82">
      <w:pPr>
        <w:spacing w:line="480" w:lineRule="auto"/>
        <w:ind w:left="720" w:hanging="720"/>
        <w:rPr>
          <w:rFonts w:eastAsiaTheme="minorHAnsi"/>
          <w:b/>
          <w:kern w:val="0"/>
          <w:szCs w:val="24"/>
        </w:rPr>
      </w:pPr>
      <w:r w:rsidRPr="002E3751">
        <w:rPr>
          <w:rFonts w:eastAsiaTheme="minorHAnsi"/>
          <w:b/>
          <w:kern w:val="0"/>
          <w:szCs w:val="24"/>
        </w:rPr>
        <w:t>Q.</w:t>
      </w:r>
      <w:r w:rsidRPr="002E3751">
        <w:rPr>
          <w:rFonts w:eastAsiaTheme="minorHAnsi"/>
          <w:b/>
          <w:kern w:val="0"/>
          <w:szCs w:val="24"/>
        </w:rPr>
        <w:tab/>
      </w:r>
      <w:r w:rsidRPr="007E7B3E">
        <w:rPr>
          <w:rFonts w:eastAsiaTheme="minorHAnsi"/>
          <w:b/>
          <w:kern w:val="0"/>
          <w:szCs w:val="24"/>
        </w:rPr>
        <w:t xml:space="preserve">What </w:t>
      </w:r>
      <w:r w:rsidR="00801550">
        <w:rPr>
          <w:rFonts w:eastAsiaTheme="minorHAnsi"/>
          <w:b/>
          <w:kern w:val="0"/>
          <w:szCs w:val="24"/>
        </w:rPr>
        <w:t>is</w:t>
      </w:r>
      <w:r w:rsidRPr="007E7B3E">
        <w:rPr>
          <w:rFonts w:eastAsiaTheme="minorHAnsi"/>
          <w:b/>
          <w:kern w:val="0"/>
          <w:szCs w:val="24"/>
        </w:rPr>
        <w:t xml:space="preserve"> the overall rate of return using a hypothetical capital structure and </w:t>
      </w:r>
      <w:r w:rsidR="00DF3088">
        <w:rPr>
          <w:rFonts w:eastAsiaTheme="minorHAnsi"/>
          <w:b/>
          <w:kern w:val="0"/>
          <w:szCs w:val="24"/>
        </w:rPr>
        <w:t xml:space="preserve">the </w:t>
      </w:r>
      <w:r w:rsidR="00241F82">
        <w:rPr>
          <w:rFonts w:eastAsiaTheme="minorHAnsi"/>
          <w:b/>
          <w:kern w:val="0"/>
          <w:szCs w:val="24"/>
        </w:rPr>
        <w:t xml:space="preserve">corresponding </w:t>
      </w:r>
      <w:r w:rsidR="00965486">
        <w:rPr>
          <w:rFonts w:eastAsiaTheme="minorHAnsi"/>
          <w:b/>
          <w:kern w:val="0"/>
          <w:szCs w:val="24"/>
        </w:rPr>
        <w:t xml:space="preserve">higher </w:t>
      </w:r>
      <w:r w:rsidR="00241F82">
        <w:rPr>
          <w:rFonts w:eastAsiaTheme="minorHAnsi"/>
          <w:b/>
          <w:kern w:val="0"/>
          <w:szCs w:val="24"/>
        </w:rPr>
        <w:t xml:space="preserve">debt </w:t>
      </w:r>
      <w:r w:rsidR="00965486">
        <w:rPr>
          <w:rFonts w:eastAsiaTheme="minorHAnsi"/>
          <w:b/>
          <w:kern w:val="0"/>
          <w:szCs w:val="24"/>
        </w:rPr>
        <w:t xml:space="preserve">and equity </w:t>
      </w:r>
      <w:r w:rsidR="00241F82">
        <w:rPr>
          <w:rFonts w:eastAsiaTheme="minorHAnsi"/>
          <w:b/>
          <w:kern w:val="0"/>
          <w:szCs w:val="24"/>
        </w:rPr>
        <w:t>costs</w:t>
      </w:r>
      <w:r w:rsidR="00801550">
        <w:rPr>
          <w:rFonts w:eastAsiaTheme="minorHAnsi"/>
          <w:b/>
          <w:kern w:val="0"/>
          <w:szCs w:val="24"/>
        </w:rPr>
        <w:t>?</w:t>
      </w:r>
    </w:p>
    <w:p w:rsidR="00241F82" w:rsidRDefault="00A354DE" w:rsidP="00241F82">
      <w:pPr>
        <w:spacing w:line="480" w:lineRule="auto"/>
        <w:ind w:left="720" w:hanging="720"/>
        <w:rPr>
          <w:rFonts w:eastAsiaTheme="minorHAnsi"/>
          <w:kern w:val="0"/>
          <w:szCs w:val="24"/>
        </w:rPr>
      </w:pPr>
      <w:r>
        <w:rPr>
          <w:szCs w:val="24"/>
        </w:rPr>
        <w:t>A.</w:t>
      </w:r>
      <w:r>
        <w:rPr>
          <w:szCs w:val="24"/>
        </w:rPr>
        <w:tab/>
      </w:r>
      <w:r w:rsidR="002A143E">
        <w:rPr>
          <w:szCs w:val="24"/>
        </w:rPr>
        <w:t xml:space="preserve">The </w:t>
      </w:r>
      <w:r w:rsidR="00241F82">
        <w:rPr>
          <w:szCs w:val="24"/>
        </w:rPr>
        <w:t>overall rate of return is 7.9</w:t>
      </w:r>
      <w:r w:rsidR="00B07112">
        <w:rPr>
          <w:szCs w:val="24"/>
        </w:rPr>
        <w:t>9</w:t>
      </w:r>
      <w:r w:rsidR="00241F82">
        <w:rPr>
          <w:szCs w:val="24"/>
        </w:rPr>
        <w:t xml:space="preserve"> percent, </w:t>
      </w:r>
      <w:r w:rsidR="00241F82" w:rsidRPr="00316661">
        <w:rPr>
          <w:rFonts w:eastAsiaTheme="minorHAnsi"/>
          <w:kern w:val="0"/>
          <w:szCs w:val="24"/>
        </w:rPr>
        <w:t xml:space="preserve">approximately </w:t>
      </w:r>
      <w:r w:rsidR="00B07112">
        <w:rPr>
          <w:rFonts w:eastAsiaTheme="minorHAnsi"/>
          <w:kern w:val="0"/>
          <w:szCs w:val="24"/>
        </w:rPr>
        <w:t>32</w:t>
      </w:r>
      <w:r w:rsidR="00241F82" w:rsidRPr="00316661">
        <w:rPr>
          <w:rFonts w:eastAsiaTheme="minorHAnsi"/>
          <w:kern w:val="0"/>
          <w:szCs w:val="24"/>
        </w:rPr>
        <w:t xml:space="preserve"> basis points (0.</w:t>
      </w:r>
      <w:r w:rsidR="00B07112">
        <w:rPr>
          <w:rFonts w:eastAsiaTheme="minorHAnsi"/>
          <w:kern w:val="0"/>
          <w:szCs w:val="24"/>
        </w:rPr>
        <w:t>32</w:t>
      </w:r>
      <w:r w:rsidR="00DF3088">
        <w:rPr>
          <w:rFonts w:eastAsiaTheme="minorHAnsi"/>
          <w:kern w:val="0"/>
          <w:szCs w:val="24"/>
        </w:rPr>
        <w:t xml:space="preserve"> percent</w:t>
      </w:r>
      <w:r w:rsidR="00241F82" w:rsidRPr="00316661">
        <w:rPr>
          <w:rFonts w:eastAsiaTheme="minorHAnsi"/>
          <w:kern w:val="0"/>
          <w:szCs w:val="24"/>
        </w:rPr>
        <w:t xml:space="preserve">) higher than using </w:t>
      </w:r>
      <w:r w:rsidR="000307C0">
        <w:rPr>
          <w:rFonts w:eastAsiaTheme="minorHAnsi"/>
          <w:kern w:val="0"/>
          <w:szCs w:val="24"/>
        </w:rPr>
        <w:t>PacifiCorp’s</w:t>
      </w:r>
      <w:r w:rsidR="00241F82" w:rsidRPr="00316661">
        <w:rPr>
          <w:rFonts w:eastAsiaTheme="minorHAnsi"/>
          <w:kern w:val="0"/>
          <w:szCs w:val="24"/>
        </w:rPr>
        <w:t xml:space="preserve"> actual capital structure and costs of capital.  </w:t>
      </w:r>
      <w:r w:rsidR="00241F82">
        <w:rPr>
          <w:rFonts w:eastAsiaTheme="minorHAnsi"/>
          <w:kern w:val="0"/>
          <w:szCs w:val="24"/>
        </w:rPr>
        <w:t xml:space="preserve">This is </w:t>
      </w:r>
      <w:r w:rsidR="00DF3088">
        <w:rPr>
          <w:rFonts w:eastAsiaTheme="minorHAnsi"/>
          <w:kern w:val="0"/>
          <w:szCs w:val="24"/>
        </w:rPr>
        <w:t xml:space="preserve">the </w:t>
      </w:r>
      <w:r w:rsidR="00241F82">
        <w:rPr>
          <w:rFonts w:eastAsiaTheme="minorHAnsi"/>
          <w:kern w:val="0"/>
          <w:szCs w:val="24"/>
        </w:rPr>
        <w:t xml:space="preserve">result of an increase in long-term debt costs of approximately 59 basis points </w:t>
      </w:r>
      <w:r w:rsidR="00241F82">
        <w:rPr>
          <w:rFonts w:eastAsiaTheme="minorHAnsi"/>
          <w:kern w:val="0"/>
          <w:szCs w:val="24"/>
        </w:rPr>
        <w:lastRenderedPageBreak/>
        <w:t>(0.59</w:t>
      </w:r>
      <w:r w:rsidR="00DF3088">
        <w:rPr>
          <w:rFonts w:eastAsiaTheme="minorHAnsi"/>
          <w:kern w:val="0"/>
          <w:szCs w:val="24"/>
        </w:rPr>
        <w:t> percent</w:t>
      </w:r>
      <w:r w:rsidR="00241F82">
        <w:rPr>
          <w:rFonts w:eastAsiaTheme="minorHAnsi"/>
          <w:kern w:val="0"/>
          <w:szCs w:val="24"/>
        </w:rPr>
        <w:t>) and, as discussed in the testimony of Mr. Strunk, an increase in the cost of common equity of approximately 2</w:t>
      </w:r>
      <w:r w:rsidR="007A1165">
        <w:rPr>
          <w:rFonts w:eastAsiaTheme="minorHAnsi"/>
          <w:kern w:val="0"/>
          <w:szCs w:val="24"/>
        </w:rPr>
        <w:t>8</w:t>
      </w:r>
      <w:r w:rsidR="00241F82">
        <w:rPr>
          <w:rFonts w:eastAsiaTheme="minorHAnsi"/>
          <w:kern w:val="0"/>
          <w:szCs w:val="24"/>
        </w:rPr>
        <w:t xml:space="preserve"> basis points (</w:t>
      </w:r>
      <w:r w:rsidR="00801550">
        <w:rPr>
          <w:rFonts w:eastAsiaTheme="minorHAnsi"/>
          <w:kern w:val="0"/>
          <w:szCs w:val="24"/>
        </w:rPr>
        <w:t>0.2</w:t>
      </w:r>
      <w:r w:rsidR="007A1165">
        <w:rPr>
          <w:rFonts w:eastAsiaTheme="minorHAnsi"/>
          <w:kern w:val="0"/>
          <w:szCs w:val="24"/>
        </w:rPr>
        <w:t>8</w:t>
      </w:r>
      <w:r w:rsidR="00DF3088">
        <w:rPr>
          <w:rFonts w:eastAsiaTheme="minorHAnsi"/>
          <w:kern w:val="0"/>
          <w:szCs w:val="24"/>
        </w:rPr>
        <w:t xml:space="preserve"> percent</w:t>
      </w:r>
      <w:r w:rsidR="00801550">
        <w:rPr>
          <w:rFonts w:eastAsiaTheme="minorHAnsi"/>
          <w:kern w:val="0"/>
          <w:szCs w:val="24"/>
        </w:rPr>
        <w:t>).</w:t>
      </w:r>
    </w:p>
    <w:p w:rsidR="00801550" w:rsidRPr="00801550" w:rsidRDefault="00801550" w:rsidP="00241F82">
      <w:pPr>
        <w:spacing w:line="480" w:lineRule="auto"/>
        <w:ind w:left="720" w:hanging="720"/>
        <w:rPr>
          <w:rFonts w:eastAsiaTheme="minorHAnsi"/>
          <w:b/>
          <w:kern w:val="0"/>
          <w:szCs w:val="24"/>
        </w:rPr>
      </w:pPr>
      <w:r w:rsidRPr="00801550">
        <w:rPr>
          <w:b/>
          <w:szCs w:val="24"/>
        </w:rPr>
        <w:t>Q.</w:t>
      </w:r>
      <w:r w:rsidRPr="00801550">
        <w:rPr>
          <w:b/>
          <w:szCs w:val="24"/>
        </w:rPr>
        <w:tab/>
        <w:t xml:space="preserve">What is the revenue requirement impact of using </w:t>
      </w:r>
      <w:r w:rsidR="00A442C8">
        <w:rPr>
          <w:b/>
          <w:szCs w:val="24"/>
        </w:rPr>
        <w:t>the 7.9</w:t>
      </w:r>
      <w:r w:rsidR="00B07112">
        <w:rPr>
          <w:b/>
          <w:szCs w:val="24"/>
        </w:rPr>
        <w:t>9</w:t>
      </w:r>
      <w:r w:rsidR="00A442C8">
        <w:rPr>
          <w:b/>
          <w:szCs w:val="24"/>
        </w:rPr>
        <w:t xml:space="preserve"> percent rate of return derived from a</w:t>
      </w:r>
      <w:r w:rsidRPr="00801550">
        <w:rPr>
          <w:b/>
          <w:szCs w:val="24"/>
        </w:rPr>
        <w:t xml:space="preserve"> hypothetical capital structure</w:t>
      </w:r>
      <w:r w:rsidR="009D27F5">
        <w:rPr>
          <w:b/>
          <w:szCs w:val="24"/>
        </w:rPr>
        <w:t>?</w:t>
      </w:r>
    </w:p>
    <w:p w:rsidR="00A354DE" w:rsidRPr="00316661" w:rsidRDefault="00801550" w:rsidP="00801550">
      <w:pPr>
        <w:spacing w:line="480" w:lineRule="auto"/>
        <w:ind w:left="720" w:hanging="720"/>
        <w:rPr>
          <w:rFonts w:eastAsiaTheme="minorHAnsi"/>
          <w:kern w:val="0"/>
          <w:szCs w:val="24"/>
        </w:rPr>
      </w:pPr>
      <w:r>
        <w:rPr>
          <w:rFonts w:eastAsiaTheme="minorHAnsi"/>
          <w:kern w:val="0"/>
          <w:szCs w:val="24"/>
        </w:rPr>
        <w:t>A.</w:t>
      </w:r>
      <w:r>
        <w:rPr>
          <w:rFonts w:eastAsiaTheme="minorHAnsi"/>
          <w:kern w:val="0"/>
          <w:szCs w:val="24"/>
        </w:rPr>
        <w:tab/>
      </w:r>
      <w:r w:rsidR="00A354DE" w:rsidRPr="00316661">
        <w:rPr>
          <w:rFonts w:eastAsiaTheme="minorHAnsi"/>
          <w:kern w:val="0"/>
          <w:szCs w:val="24"/>
        </w:rPr>
        <w:t xml:space="preserve">The Company </w:t>
      </w:r>
      <w:r w:rsidR="00A354DE" w:rsidRPr="00801550">
        <w:rPr>
          <w:szCs w:val="24"/>
        </w:rPr>
        <w:t>estimates</w:t>
      </w:r>
      <w:r w:rsidR="00A354DE" w:rsidRPr="00316661">
        <w:rPr>
          <w:rFonts w:eastAsiaTheme="minorHAnsi"/>
          <w:kern w:val="0"/>
          <w:szCs w:val="24"/>
        </w:rPr>
        <w:t xml:space="preserve"> that using </w:t>
      </w:r>
      <w:r w:rsidR="00A442C8">
        <w:rPr>
          <w:rFonts w:eastAsiaTheme="minorHAnsi"/>
          <w:kern w:val="0"/>
          <w:szCs w:val="24"/>
        </w:rPr>
        <w:t>the 7.9</w:t>
      </w:r>
      <w:r w:rsidR="00B07112">
        <w:rPr>
          <w:rFonts w:eastAsiaTheme="minorHAnsi"/>
          <w:kern w:val="0"/>
          <w:szCs w:val="24"/>
        </w:rPr>
        <w:t>9</w:t>
      </w:r>
      <w:r w:rsidR="00A442C8">
        <w:rPr>
          <w:rFonts w:eastAsiaTheme="minorHAnsi"/>
          <w:kern w:val="0"/>
          <w:szCs w:val="24"/>
        </w:rPr>
        <w:t xml:space="preserve"> percent rate of return derived from </w:t>
      </w:r>
      <w:r w:rsidR="00562381">
        <w:rPr>
          <w:rFonts w:eastAsiaTheme="minorHAnsi"/>
          <w:kern w:val="0"/>
          <w:szCs w:val="24"/>
        </w:rPr>
        <w:t xml:space="preserve">a hypothetical </w:t>
      </w:r>
      <w:r w:rsidR="00A354DE" w:rsidRPr="00316661">
        <w:rPr>
          <w:rFonts w:eastAsiaTheme="minorHAnsi"/>
          <w:kern w:val="0"/>
          <w:szCs w:val="24"/>
        </w:rPr>
        <w:t>capital structure</w:t>
      </w:r>
      <w:r w:rsidR="00562381">
        <w:rPr>
          <w:rFonts w:eastAsiaTheme="minorHAnsi"/>
          <w:kern w:val="0"/>
          <w:szCs w:val="24"/>
        </w:rPr>
        <w:t xml:space="preserve"> </w:t>
      </w:r>
      <w:r w:rsidR="00A354DE" w:rsidRPr="00316661">
        <w:rPr>
          <w:rFonts w:eastAsiaTheme="minorHAnsi"/>
          <w:kern w:val="0"/>
          <w:szCs w:val="24"/>
        </w:rPr>
        <w:t xml:space="preserve">would </w:t>
      </w:r>
      <w:r w:rsidR="00562381">
        <w:rPr>
          <w:rFonts w:eastAsiaTheme="minorHAnsi"/>
          <w:kern w:val="0"/>
          <w:szCs w:val="24"/>
        </w:rPr>
        <w:t>cost</w:t>
      </w:r>
      <w:r w:rsidR="00A354DE" w:rsidRPr="00316661">
        <w:rPr>
          <w:rFonts w:eastAsiaTheme="minorHAnsi"/>
          <w:kern w:val="0"/>
          <w:szCs w:val="24"/>
        </w:rPr>
        <w:t xml:space="preserve"> Washington customers approximately $</w:t>
      </w:r>
      <w:r w:rsidR="006754F9">
        <w:rPr>
          <w:rFonts w:eastAsiaTheme="minorHAnsi"/>
          <w:kern w:val="0"/>
          <w:szCs w:val="24"/>
        </w:rPr>
        <w:t>2.</w:t>
      </w:r>
      <w:r w:rsidR="007A1165">
        <w:rPr>
          <w:rFonts w:eastAsiaTheme="minorHAnsi"/>
          <w:kern w:val="0"/>
          <w:szCs w:val="24"/>
        </w:rPr>
        <w:t>2</w:t>
      </w:r>
      <w:r w:rsidR="000C28A3">
        <w:rPr>
          <w:rFonts w:eastAsiaTheme="minorHAnsi"/>
          <w:kern w:val="0"/>
          <w:szCs w:val="24"/>
        </w:rPr>
        <w:t> </w:t>
      </w:r>
      <w:r w:rsidR="00A354DE" w:rsidRPr="00316661">
        <w:rPr>
          <w:rFonts w:eastAsiaTheme="minorHAnsi"/>
          <w:kern w:val="0"/>
          <w:szCs w:val="24"/>
        </w:rPr>
        <w:t xml:space="preserve">million </w:t>
      </w:r>
      <w:r w:rsidR="000C28A3">
        <w:rPr>
          <w:rFonts w:eastAsiaTheme="minorHAnsi"/>
          <w:kern w:val="0"/>
          <w:szCs w:val="24"/>
        </w:rPr>
        <w:t xml:space="preserve">more </w:t>
      </w:r>
      <w:r w:rsidR="00A354DE" w:rsidRPr="00316661">
        <w:rPr>
          <w:rFonts w:eastAsiaTheme="minorHAnsi"/>
          <w:kern w:val="0"/>
          <w:szCs w:val="24"/>
        </w:rPr>
        <w:t xml:space="preserve">annually compared to the </w:t>
      </w:r>
      <w:r w:rsidR="00562381">
        <w:rPr>
          <w:rFonts w:eastAsiaTheme="minorHAnsi"/>
          <w:kern w:val="0"/>
          <w:szCs w:val="24"/>
        </w:rPr>
        <w:t>Company’s capital structure</w:t>
      </w:r>
      <w:r w:rsidR="009D27F5">
        <w:rPr>
          <w:rFonts w:eastAsiaTheme="minorHAnsi"/>
          <w:kern w:val="0"/>
          <w:szCs w:val="24"/>
        </w:rPr>
        <w:t xml:space="preserve"> and rate of return recommendation</w:t>
      </w:r>
      <w:r w:rsidR="00A354DE" w:rsidRPr="00316661">
        <w:rPr>
          <w:rFonts w:eastAsiaTheme="minorHAnsi"/>
          <w:kern w:val="0"/>
          <w:szCs w:val="24"/>
        </w:rPr>
        <w:t>.</w:t>
      </w:r>
    </w:p>
    <w:p w:rsidR="00A354DE" w:rsidRPr="007E7B3E" w:rsidRDefault="00A354DE" w:rsidP="00A354DE">
      <w:pPr>
        <w:spacing w:line="480" w:lineRule="auto"/>
        <w:ind w:left="720" w:hanging="720"/>
        <w:rPr>
          <w:rFonts w:eastAsiaTheme="minorHAnsi"/>
          <w:b/>
          <w:kern w:val="0"/>
          <w:szCs w:val="24"/>
        </w:rPr>
      </w:pPr>
      <w:r w:rsidRPr="007E7B3E">
        <w:rPr>
          <w:rFonts w:eastAsiaTheme="minorHAnsi"/>
          <w:b/>
          <w:kern w:val="0"/>
          <w:szCs w:val="24"/>
        </w:rPr>
        <w:t>Q.</w:t>
      </w:r>
      <w:r w:rsidRPr="007E7B3E">
        <w:rPr>
          <w:rFonts w:eastAsiaTheme="minorHAnsi"/>
          <w:b/>
          <w:kern w:val="0"/>
          <w:szCs w:val="24"/>
        </w:rPr>
        <w:tab/>
        <w:t xml:space="preserve">In addition to these higher capital costs, would there be other adverse consequences to a ratings downgrade?  </w:t>
      </w:r>
    </w:p>
    <w:p w:rsidR="00A354DE" w:rsidRPr="00692FDE" w:rsidRDefault="00A354DE" w:rsidP="00A354DE">
      <w:pPr>
        <w:spacing w:line="480" w:lineRule="auto"/>
        <w:ind w:left="720" w:hanging="720"/>
        <w:rPr>
          <w:rFonts w:eastAsiaTheme="minorHAnsi"/>
          <w:kern w:val="0"/>
          <w:szCs w:val="24"/>
        </w:rPr>
      </w:pPr>
      <w:r w:rsidRPr="00316661">
        <w:rPr>
          <w:rFonts w:eastAsiaTheme="minorHAnsi"/>
          <w:kern w:val="0"/>
          <w:szCs w:val="24"/>
        </w:rPr>
        <w:t>A.</w:t>
      </w:r>
      <w:r w:rsidRPr="00316661">
        <w:rPr>
          <w:rFonts w:eastAsiaTheme="minorHAnsi"/>
          <w:kern w:val="0"/>
          <w:szCs w:val="24"/>
        </w:rPr>
        <w:tab/>
        <w:t>Yes.  The other adverse consequences includes potential loss of access to the capital markets</w:t>
      </w:r>
      <w:r w:rsidR="00DF3088">
        <w:rPr>
          <w:rFonts w:eastAsiaTheme="minorHAnsi"/>
          <w:kern w:val="0"/>
          <w:szCs w:val="24"/>
        </w:rPr>
        <w:t>;</w:t>
      </w:r>
      <w:r w:rsidRPr="00316661">
        <w:rPr>
          <w:rFonts w:eastAsiaTheme="minorHAnsi"/>
          <w:kern w:val="0"/>
          <w:szCs w:val="24"/>
        </w:rPr>
        <w:t xml:space="preserve"> increased fees under credit agreements, letters of credit and other banking arrangements</w:t>
      </w:r>
      <w:r w:rsidR="00DF3088">
        <w:rPr>
          <w:rFonts w:eastAsiaTheme="minorHAnsi"/>
          <w:kern w:val="0"/>
          <w:szCs w:val="24"/>
        </w:rPr>
        <w:t>;</w:t>
      </w:r>
      <w:r w:rsidRPr="00316661">
        <w:rPr>
          <w:rFonts w:eastAsiaTheme="minorHAnsi"/>
          <w:kern w:val="0"/>
          <w:szCs w:val="24"/>
        </w:rPr>
        <w:t xml:space="preserve"> increased collateral requirements to support wholesale energy activities</w:t>
      </w:r>
      <w:r w:rsidR="00DF3088">
        <w:rPr>
          <w:rFonts w:eastAsiaTheme="minorHAnsi"/>
          <w:kern w:val="0"/>
          <w:szCs w:val="24"/>
        </w:rPr>
        <w:t>;</w:t>
      </w:r>
      <w:r w:rsidRPr="00316661">
        <w:rPr>
          <w:rFonts w:eastAsiaTheme="minorHAnsi"/>
          <w:kern w:val="0"/>
          <w:szCs w:val="24"/>
        </w:rPr>
        <w:t xml:space="preserve"> and possible loss of access to the wholesale energy markets.  All of these potential developments would undermine the safety and stability of the Company’s business operations.</w:t>
      </w:r>
    </w:p>
    <w:p w:rsidR="003D655E" w:rsidRPr="00C04A68" w:rsidRDefault="00BE3931" w:rsidP="00AF47B9">
      <w:pPr>
        <w:pStyle w:val="Heading1"/>
      </w:pPr>
      <w:bookmarkStart w:id="6" w:name="_Toc386540857"/>
      <w:r w:rsidRPr="00C04A68">
        <w:t>CREDIT RATINGS</w:t>
      </w:r>
      <w:bookmarkEnd w:id="6"/>
    </w:p>
    <w:p w:rsidR="003D655E" w:rsidRPr="00C04A68"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 xml:space="preserve">What are </w:t>
      </w:r>
      <w:r w:rsidR="000307C0">
        <w:rPr>
          <w:b/>
          <w:szCs w:val="24"/>
        </w:rPr>
        <w:t>PacifiCorp’s</w:t>
      </w:r>
      <w:r w:rsidRPr="00C04A68">
        <w:rPr>
          <w:b/>
          <w:szCs w:val="24"/>
        </w:rPr>
        <w:t xml:space="preserve"> current credit ratings?</w:t>
      </w:r>
    </w:p>
    <w:p w:rsidR="003D655E" w:rsidRDefault="003D655E" w:rsidP="00BE3931">
      <w:pPr>
        <w:spacing w:line="480" w:lineRule="auto"/>
        <w:ind w:left="720" w:hanging="720"/>
        <w:rPr>
          <w:szCs w:val="24"/>
        </w:rPr>
      </w:pPr>
      <w:r w:rsidRPr="00C04A68">
        <w:rPr>
          <w:szCs w:val="24"/>
        </w:rPr>
        <w:t>A.</w:t>
      </w:r>
      <w:r w:rsidRPr="00C04A68">
        <w:rPr>
          <w:szCs w:val="24"/>
        </w:rPr>
        <w:tab/>
      </w:r>
      <w:r w:rsidR="000307C0">
        <w:rPr>
          <w:szCs w:val="24"/>
        </w:rPr>
        <w:t>PacifiCorp’s</w:t>
      </w:r>
      <w:r w:rsidRPr="00C04A68">
        <w:rPr>
          <w:szCs w:val="24"/>
        </w:rPr>
        <w:t xml:space="preserve"> current ratings are:</w:t>
      </w:r>
    </w:p>
    <w:p w:rsidR="00DF3088" w:rsidRPr="00DF3088" w:rsidRDefault="00DF3088" w:rsidP="00DF3088">
      <w:pPr>
        <w:suppressLineNumbers/>
        <w:ind w:left="720" w:hanging="720"/>
        <w:jc w:val="center"/>
        <w:rPr>
          <w:b/>
          <w:szCs w:val="24"/>
        </w:rPr>
      </w:pPr>
      <w:r>
        <w:rPr>
          <w:b/>
          <w:szCs w:val="24"/>
        </w:rPr>
        <w:t>Table 6</w:t>
      </w:r>
    </w:p>
    <w:tbl>
      <w:tblPr>
        <w:tblW w:w="7260" w:type="dxa"/>
        <w:jc w:val="center"/>
        <w:tblLayout w:type="fixed"/>
        <w:tblCellMar>
          <w:left w:w="10" w:type="dxa"/>
          <w:right w:w="10" w:type="dxa"/>
        </w:tblCellMar>
        <w:tblLook w:val="0000" w:firstRow="0" w:lastRow="0" w:firstColumn="0" w:lastColumn="0" w:noHBand="0" w:noVBand="0"/>
      </w:tblPr>
      <w:tblGrid>
        <w:gridCol w:w="2880"/>
        <w:gridCol w:w="1280"/>
        <w:gridCol w:w="1280"/>
        <w:gridCol w:w="1820"/>
      </w:tblGrid>
      <w:tr w:rsidR="003D655E" w:rsidRPr="00C04A68" w:rsidTr="000C2349">
        <w:trPr>
          <w:trHeight w:hRule="exact" w:val="72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rPr>
                <w:szCs w:val="24"/>
              </w:rPr>
            </w:pPr>
          </w:p>
        </w:tc>
        <w:tc>
          <w:tcPr>
            <w:tcW w:w="128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bottom"/>
          </w:tcPr>
          <w:p w:rsidR="003D655E" w:rsidRPr="00C04A68" w:rsidRDefault="003D655E" w:rsidP="00BE3931">
            <w:pPr>
              <w:keepNext/>
              <w:keepLines/>
              <w:spacing w:after="20"/>
              <w:rPr>
                <w:b/>
                <w:szCs w:val="24"/>
              </w:rPr>
            </w:pPr>
            <w:r w:rsidRPr="00C04A68">
              <w:rPr>
                <w:b/>
                <w:color w:val="000000"/>
                <w:szCs w:val="24"/>
              </w:rPr>
              <w:t>Fitch</w:t>
            </w:r>
          </w:p>
        </w:tc>
        <w:tc>
          <w:tcPr>
            <w:tcW w:w="128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bottom"/>
          </w:tcPr>
          <w:p w:rsidR="003D655E" w:rsidRPr="00C04A68" w:rsidRDefault="003D655E" w:rsidP="00BE3931">
            <w:pPr>
              <w:keepNext/>
              <w:keepLines/>
              <w:spacing w:after="20"/>
              <w:rPr>
                <w:b/>
                <w:szCs w:val="24"/>
              </w:rPr>
            </w:pPr>
            <w:r w:rsidRPr="00C04A68">
              <w:rPr>
                <w:b/>
                <w:color w:val="000000"/>
                <w:szCs w:val="24"/>
              </w:rPr>
              <w:t>Moody’s</w:t>
            </w:r>
          </w:p>
        </w:tc>
        <w:tc>
          <w:tcPr>
            <w:tcW w:w="182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bottom"/>
          </w:tcPr>
          <w:p w:rsidR="003D655E" w:rsidRPr="00C04A68" w:rsidRDefault="003D655E" w:rsidP="00BE3931">
            <w:pPr>
              <w:keepNext/>
              <w:keepLines/>
              <w:rPr>
                <w:b/>
                <w:szCs w:val="24"/>
              </w:rPr>
            </w:pPr>
            <w:r w:rsidRPr="00C04A68">
              <w:rPr>
                <w:b/>
                <w:szCs w:val="24"/>
              </w:rPr>
              <w:t>Standard</w:t>
            </w:r>
          </w:p>
          <w:p w:rsidR="003D655E" w:rsidRPr="00C04A68" w:rsidRDefault="003D655E" w:rsidP="00BE3931">
            <w:pPr>
              <w:keepNext/>
              <w:keepLines/>
              <w:spacing w:after="20"/>
              <w:rPr>
                <w:b/>
                <w:szCs w:val="24"/>
              </w:rPr>
            </w:pPr>
            <w:r w:rsidRPr="00C04A68">
              <w:rPr>
                <w:b/>
                <w:szCs w:val="24"/>
              </w:rPr>
              <w:t>&amp; Poor’s</w:t>
            </w:r>
          </w:p>
        </w:tc>
      </w:tr>
      <w:tr w:rsidR="003D655E" w:rsidRPr="00C04A68" w:rsidTr="00E6571E">
        <w:trPr>
          <w:trHeight w:hRule="exact" w:val="28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color w:val="000000"/>
                <w:szCs w:val="24"/>
              </w:rPr>
              <w:t>Senior Secured Debt</w:t>
            </w:r>
          </w:p>
        </w:tc>
        <w:tc>
          <w:tcPr>
            <w:tcW w:w="12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color w:val="000000"/>
                <w:szCs w:val="24"/>
              </w:rPr>
              <w:t>A-</w:t>
            </w:r>
          </w:p>
        </w:tc>
        <w:tc>
          <w:tcPr>
            <w:tcW w:w="12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szCs w:val="24"/>
              </w:rPr>
              <w:t>A1</w:t>
            </w:r>
          </w:p>
        </w:tc>
        <w:tc>
          <w:tcPr>
            <w:tcW w:w="182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color w:val="000000"/>
                <w:szCs w:val="24"/>
              </w:rPr>
              <w:t>A</w:t>
            </w:r>
          </w:p>
        </w:tc>
      </w:tr>
      <w:tr w:rsidR="003D655E" w:rsidRPr="00C04A68" w:rsidTr="00E6571E">
        <w:trPr>
          <w:trHeight w:hRule="exact" w:val="28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color w:val="000000"/>
                <w:szCs w:val="24"/>
              </w:rPr>
              <w:t>Senior Unsecured Debt</w:t>
            </w:r>
          </w:p>
        </w:tc>
        <w:tc>
          <w:tcPr>
            <w:tcW w:w="12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color w:val="000000"/>
                <w:szCs w:val="24"/>
              </w:rPr>
              <w:t>BBB+</w:t>
            </w:r>
          </w:p>
        </w:tc>
        <w:tc>
          <w:tcPr>
            <w:tcW w:w="12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szCs w:val="24"/>
              </w:rPr>
              <w:t>A3</w:t>
            </w:r>
          </w:p>
        </w:tc>
        <w:tc>
          <w:tcPr>
            <w:tcW w:w="182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Next/>
              <w:keepLines/>
              <w:spacing w:after="20"/>
              <w:rPr>
                <w:szCs w:val="24"/>
              </w:rPr>
            </w:pPr>
            <w:r w:rsidRPr="00C04A68">
              <w:rPr>
                <w:color w:val="000000"/>
                <w:szCs w:val="24"/>
              </w:rPr>
              <w:t>A-</w:t>
            </w:r>
          </w:p>
        </w:tc>
      </w:tr>
      <w:tr w:rsidR="003D655E" w:rsidRPr="00C04A68" w:rsidTr="00E6571E">
        <w:trPr>
          <w:trHeight w:hRule="exact" w:val="28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Lines/>
              <w:spacing w:after="20"/>
              <w:rPr>
                <w:szCs w:val="24"/>
              </w:rPr>
            </w:pPr>
            <w:r w:rsidRPr="00C04A68">
              <w:rPr>
                <w:color w:val="000000"/>
                <w:szCs w:val="24"/>
              </w:rPr>
              <w:t>Outlook</w:t>
            </w:r>
          </w:p>
        </w:tc>
        <w:tc>
          <w:tcPr>
            <w:tcW w:w="12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Lines/>
              <w:spacing w:after="20"/>
              <w:rPr>
                <w:szCs w:val="24"/>
              </w:rPr>
            </w:pPr>
            <w:r w:rsidRPr="00C04A68">
              <w:rPr>
                <w:color w:val="000000"/>
                <w:szCs w:val="24"/>
              </w:rPr>
              <w:t>Stable</w:t>
            </w:r>
          </w:p>
        </w:tc>
        <w:tc>
          <w:tcPr>
            <w:tcW w:w="12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Lines/>
              <w:spacing w:after="20"/>
              <w:rPr>
                <w:szCs w:val="24"/>
              </w:rPr>
            </w:pPr>
            <w:r w:rsidRPr="00C04A68">
              <w:rPr>
                <w:color w:val="000000"/>
                <w:szCs w:val="24"/>
              </w:rPr>
              <w:t>Stable</w:t>
            </w:r>
          </w:p>
        </w:tc>
        <w:tc>
          <w:tcPr>
            <w:tcW w:w="182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E3931">
            <w:pPr>
              <w:keepLines/>
              <w:spacing w:after="20"/>
              <w:rPr>
                <w:szCs w:val="24"/>
              </w:rPr>
            </w:pPr>
            <w:r w:rsidRPr="00C04A68">
              <w:rPr>
                <w:color w:val="000000"/>
                <w:szCs w:val="24"/>
              </w:rPr>
              <w:t>Stable</w:t>
            </w:r>
          </w:p>
        </w:tc>
      </w:tr>
    </w:tbl>
    <w:p w:rsidR="003D655E" w:rsidRPr="00C04A68" w:rsidRDefault="003D655E" w:rsidP="00DF3088">
      <w:pPr>
        <w:widowControl w:val="0"/>
        <w:suppressLineNumbers/>
        <w:spacing w:line="480" w:lineRule="auto"/>
        <w:rPr>
          <w:szCs w:val="24"/>
        </w:rPr>
      </w:pPr>
    </w:p>
    <w:p w:rsidR="003D655E" w:rsidRPr="00C04A68" w:rsidRDefault="003D655E" w:rsidP="00DF3088">
      <w:pPr>
        <w:keepNext/>
        <w:spacing w:line="480" w:lineRule="auto"/>
        <w:ind w:left="720" w:hanging="720"/>
        <w:rPr>
          <w:b/>
          <w:szCs w:val="24"/>
        </w:rPr>
      </w:pPr>
      <w:r w:rsidRPr="00C04A68">
        <w:rPr>
          <w:b/>
          <w:szCs w:val="24"/>
        </w:rPr>
        <w:lastRenderedPageBreak/>
        <w:t>Q.</w:t>
      </w:r>
      <w:r w:rsidRPr="00C04A68">
        <w:rPr>
          <w:szCs w:val="24"/>
        </w:rPr>
        <w:tab/>
      </w:r>
      <w:r w:rsidRPr="00C04A68">
        <w:rPr>
          <w:b/>
          <w:szCs w:val="24"/>
        </w:rPr>
        <w:t>Why should this Commission be concerned about credit ratings and the views expressed by rating agencies?</w:t>
      </w:r>
    </w:p>
    <w:p w:rsidR="003D655E" w:rsidRPr="00C04A68" w:rsidRDefault="003D655E" w:rsidP="00BE3931">
      <w:pPr>
        <w:spacing w:line="480" w:lineRule="auto"/>
        <w:ind w:left="720" w:hanging="720"/>
        <w:rPr>
          <w:szCs w:val="24"/>
        </w:rPr>
      </w:pPr>
      <w:r w:rsidRPr="00C04A68">
        <w:rPr>
          <w:szCs w:val="24"/>
        </w:rPr>
        <w:t>A.</w:t>
      </w:r>
      <w:r w:rsidRPr="00C04A68">
        <w:rPr>
          <w:szCs w:val="24"/>
        </w:rPr>
        <w:tab/>
        <w:t xml:space="preserve">Credit ratings and the views of rating agencies are important for several reasons. </w:t>
      </w:r>
      <w:r w:rsidR="00BE3931">
        <w:rPr>
          <w:szCs w:val="24"/>
        </w:rPr>
        <w:t xml:space="preserve"> </w:t>
      </w:r>
      <w:r w:rsidRPr="00C04A68">
        <w:rPr>
          <w:szCs w:val="24"/>
        </w:rPr>
        <w:t>First, the credit rating of a utility has a direct impact on the price that a utility pays to attract the capital necessary to support its curre</w:t>
      </w:r>
      <w:r w:rsidR="000C2349">
        <w:rPr>
          <w:szCs w:val="24"/>
        </w:rPr>
        <w:t xml:space="preserve">nt and future operating needs. </w:t>
      </w:r>
      <w:r w:rsidR="00BE3931">
        <w:rPr>
          <w:szCs w:val="24"/>
        </w:rPr>
        <w:t xml:space="preserve"> </w:t>
      </w:r>
      <w:r w:rsidRPr="00C04A68">
        <w:rPr>
          <w:szCs w:val="24"/>
        </w:rPr>
        <w:t>Many institutional investors have fiduciary responsibilities to their clients and are typically not permitted to purchase non-investment grade (</w:t>
      </w:r>
      <w:r w:rsidRPr="00C04A68">
        <w:rPr>
          <w:i/>
          <w:szCs w:val="24"/>
        </w:rPr>
        <w:t>i.e.</w:t>
      </w:r>
      <w:r w:rsidRPr="00C04A68">
        <w:rPr>
          <w:szCs w:val="24"/>
        </w:rPr>
        <w:t>, rated below BBB</w:t>
      </w:r>
      <w:r w:rsidRPr="00C04A68">
        <w:rPr>
          <w:rFonts w:ascii="MS Mincho" w:eastAsia="MS Mincho" w:hAnsi="MS Mincho" w:cs="MS Mincho" w:hint="eastAsia"/>
          <w:szCs w:val="24"/>
        </w:rPr>
        <w:t>‑</w:t>
      </w:r>
      <w:r w:rsidRPr="00C04A68">
        <w:rPr>
          <w:szCs w:val="24"/>
        </w:rPr>
        <w:t>) securities or, in some cases, even securities rated below single A.</w:t>
      </w:r>
    </w:p>
    <w:p w:rsidR="003D655E" w:rsidRPr="00C04A68" w:rsidRDefault="003D655E" w:rsidP="00BE3931">
      <w:pPr>
        <w:spacing w:line="480" w:lineRule="auto"/>
        <w:ind w:left="720" w:hanging="720"/>
        <w:rPr>
          <w:szCs w:val="24"/>
        </w:rPr>
      </w:pPr>
      <w:r w:rsidRPr="00C04A68">
        <w:rPr>
          <w:szCs w:val="24"/>
        </w:rPr>
        <w:tab/>
      </w:r>
      <w:r w:rsidRPr="00C04A68">
        <w:rPr>
          <w:szCs w:val="24"/>
        </w:rPr>
        <w:tab/>
        <w:t xml:space="preserve">Second, credit ratings are an estimate of the probability of default by the </w:t>
      </w:r>
      <w:r w:rsidR="000C2349">
        <w:rPr>
          <w:szCs w:val="24"/>
        </w:rPr>
        <w:t xml:space="preserve">issuer on each rated security. </w:t>
      </w:r>
      <w:r w:rsidR="00F80CEA">
        <w:rPr>
          <w:szCs w:val="24"/>
        </w:rPr>
        <w:t xml:space="preserve"> </w:t>
      </w:r>
      <w:r w:rsidRPr="00C04A68">
        <w:rPr>
          <w:szCs w:val="24"/>
        </w:rPr>
        <w:t>Lower ratings equate to higher r</w:t>
      </w:r>
      <w:r w:rsidR="000C2349">
        <w:rPr>
          <w:szCs w:val="24"/>
        </w:rPr>
        <w:t xml:space="preserve">isks and higher costs of debt. </w:t>
      </w:r>
      <w:r w:rsidR="00F80CEA">
        <w:rPr>
          <w:szCs w:val="24"/>
        </w:rPr>
        <w:t xml:space="preserve"> </w:t>
      </w:r>
      <w:r w:rsidRPr="00C04A68">
        <w:rPr>
          <w:szCs w:val="24"/>
        </w:rPr>
        <w:t>But even inve</w:t>
      </w:r>
      <w:r w:rsidR="00F80CEA">
        <w:rPr>
          <w:szCs w:val="24"/>
        </w:rPr>
        <w:t xml:space="preserve">stment </w:t>
      </w:r>
      <w:r w:rsidRPr="00C04A68">
        <w:rPr>
          <w:szCs w:val="24"/>
        </w:rPr>
        <w:t xml:space="preserve">grade rated borrowers have experienced problems accessing the capital markets </w:t>
      </w:r>
      <w:r w:rsidR="000C2349">
        <w:rPr>
          <w:szCs w:val="24"/>
        </w:rPr>
        <w:t>or have been shut out entirely.</w:t>
      </w:r>
      <w:r w:rsidRPr="00C04A68">
        <w:rPr>
          <w:szCs w:val="24"/>
        </w:rPr>
        <w:t xml:space="preserve"> </w:t>
      </w:r>
      <w:r w:rsidR="00BE3931">
        <w:rPr>
          <w:szCs w:val="24"/>
        </w:rPr>
        <w:t xml:space="preserve"> </w:t>
      </w:r>
      <w:r w:rsidRPr="00C04A68">
        <w:rPr>
          <w:szCs w:val="24"/>
        </w:rPr>
        <w:t xml:space="preserve">The financial crisis of 2008 and 2009 provided clear and compelling evidence of the benefits of </w:t>
      </w:r>
      <w:r w:rsidR="000307C0">
        <w:rPr>
          <w:szCs w:val="24"/>
        </w:rPr>
        <w:t>PacifiCorp’s</w:t>
      </w:r>
      <w:r w:rsidRPr="00C04A68">
        <w:rPr>
          <w:szCs w:val="24"/>
        </w:rPr>
        <w:t xml:space="preserve"> credit rating </w:t>
      </w:r>
      <w:r w:rsidR="00D5129F">
        <w:rPr>
          <w:szCs w:val="24"/>
        </w:rPr>
        <w:t>because</w:t>
      </w:r>
      <w:r w:rsidRPr="00C04A68">
        <w:rPr>
          <w:szCs w:val="24"/>
        </w:rPr>
        <w:t xml:space="preserve"> it was able to issue new long-term debt during the m</w:t>
      </w:r>
      <w:r w:rsidR="000C2349">
        <w:rPr>
          <w:szCs w:val="24"/>
        </w:rPr>
        <w:t xml:space="preserve">idst of the financial turmoil. </w:t>
      </w:r>
      <w:r w:rsidR="00BE3931">
        <w:rPr>
          <w:szCs w:val="24"/>
        </w:rPr>
        <w:t xml:space="preserve"> </w:t>
      </w:r>
      <w:r w:rsidRPr="00C04A68">
        <w:rPr>
          <w:szCs w:val="24"/>
        </w:rPr>
        <w:t>Other lower-rated utilities were simply shut out of the market and could not obtain new capital regardless of how much they were willing to pay.</w:t>
      </w:r>
    </w:p>
    <w:p w:rsidR="003D655E" w:rsidRPr="00C04A68" w:rsidRDefault="003D655E" w:rsidP="00BE3931">
      <w:pPr>
        <w:spacing w:line="480" w:lineRule="auto"/>
        <w:ind w:left="720" w:hanging="720"/>
        <w:rPr>
          <w:szCs w:val="24"/>
        </w:rPr>
      </w:pPr>
      <w:r w:rsidRPr="00C04A68">
        <w:rPr>
          <w:szCs w:val="24"/>
        </w:rPr>
        <w:tab/>
      </w:r>
      <w:r w:rsidRPr="00C04A68">
        <w:rPr>
          <w:szCs w:val="24"/>
        </w:rPr>
        <w:tab/>
        <w:t xml:space="preserve">Further, </w:t>
      </w:r>
      <w:r w:rsidR="000307C0">
        <w:rPr>
          <w:szCs w:val="24"/>
        </w:rPr>
        <w:t>PacifiCorp</w:t>
      </w:r>
      <w:r w:rsidRPr="00C04A68">
        <w:rPr>
          <w:szCs w:val="24"/>
        </w:rPr>
        <w:t xml:space="preserve"> has a near constant need for short-term liquidity, as well as peri</w:t>
      </w:r>
      <w:r w:rsidR="000C2349">
        <w:rPr>
          <w:szCs w:val="24"/>
        </w:rPr>
        <w:t xml:space="preserve">odic long-term debt issuances. </w:t>
      </w:r>
      <w:r w:rsidR="00BE3931">
        <w:rPr>
          <w:szCs w:val="24"/>
        </w:rPr>
        <w:t xml:space="preserve"> </w:t>
      </w:r>
      <w:r w:rsidRPr="00C04A68">
        <w:rPr>
          <w:szCs w:val="24"/>
        </w:rPr>
        <w:t xml:space="preserve">On a daily basis, </w:t>
      </w:r>
      <w:r w:rsidR="000307C0">
        <w:rPr>
          <w:szCs w:val="24"/>
        </w:rPr>
        <w:t>PacifiCorp</w:t>
      </w:r>
      <w:r w:rsidRPr="00C04A68">
        <w:rPr>
          <w:szCs w:val="24"/>
        </w:rPr>
        <w:t xml:space="preserve"> pays significant amounts to suppliers to provide necessary goods and services, such as fu</w:t>
      </w:r>
      <w:r w:rsidR="000C2349">
        <w:rPr>
          <w:szCs w:val="24"/>
        </w:rPr>
        <w:t>el, spare parts</w:t>
      </w:r>
      <w:r w:rsidR="00F80CEA">
        <w:rPr>
          <w:szCs w:val="24"/>
        </w:rPr>
        <w:t>,</w:t>
      </w:r>
      <w:r w:rsidR="000C2349">
        <w:rPr>
          <w:szCs w:val="24"/>
        </w:rPr>
        <w:t xml:space="preserve"> and inventory. </w:t>
      </w:r>
      <w:r w:rsidR="00BE3931">
        <w:rPr>
          <w:szCs w:val="24"/>
        </w:rPr>
        <w:t xml:space="preserve"> </w:t>
      </w:r>
      <w:r w:rsidRPr="00C04A68">
        <w:rPr>
          <w:szCs w:val="24"/>
        </w:rPr>
        <w:t>Being unable to access funds can jeopardize the successful completion of necessary capital infrastructure projects and would increase the chance of outages and service failures over the long term.</w:t>
      </w:r>
    </w:p>
    <w:p w:rsidR="003D655E" w:rsidRPr="00C04A68" w:rsidRDefault="003D655E" w:rsidP="00BE3931">
      <w:pPr>
        <w:keepNext/>
        <w:spacing w:line="480" w:lineRule="auto"/>
        <w:ind w:left="720" w:hanging="720"/>
        <w:rPr>
          <w:b/>
          <w:szCs w:val="24"/>
        </w:rPr>
      </w:pPr>
      <w:r w:rsidRPr="00C04A68">
        <w:rPr>
          <w:b/>
          <w:szCs w:val="24"/>
        </w:rPr>
        <w:lastRenderedPageBreak/>
        <w:t>Q.</w:t>
      </w:r>
      <w:r w:rsidRPr="00C04A68">
        <w:rPr>
          <w:szCs w:val="24"/>
        </w:rPr>
        <w:tab/>
      </w:r>
      <w:r w:rsidRPr="00C04A68">
        <w:rPr>
          <w:b/>
          <w:szCs w:val="24"/>
        </w:rPr>
        <w:t>Can regulatory actions or orders affect a company’s credit rating?</w:t>
      </w:r>
    </w:p>
    <w:p w:rsidR="003D655E" w:rsidRPr="00C04A68" w:rsidRDefault="003D655E" w:rsidP="00BE3931">
      <w:pPr>
        <w:spacing w:line="480" w:lineRule="auto"/>
        <w:ind w:left="720" w:hanging="720"/>
        <w:rPr>
          <w:szCs w:val="24"/>
        </w:rPr>
      </w:pPr>
      <w:r w:rsidRPr="00C04A68">
        <w:rPr>
          <w:szCs w:val="24"/>
        </w:rPr>
        <w:t>A.</w:t>
      </w:r>
      <w:r w:rsidRPr="00C04A68">
        <w:rPr>
          <w:szCs w:val="24"/>
        </w:rPr>
        <w:tab/>
        <w:t>Yes, i</w:t>
      </w:r>
      <w:r w:rsidR="000C2349">
        <w:rPr>
          <w:szCs w:val="24"/>
        </w:rPr>
        <w:t xml:space="preserve">n a very significant way. </w:t>
      </w:r>
      <w:r w:rsidR="00F80CEA">
        <w:rPr>
          <w:szCs w:val="24"/>
        </w:rPr>
        <w:t xml:space="preserve"> </w:t>
      </w:r>
      <w:r w:rsidRPr="00C04A68">
        <w:rPr>
          <w:szCs w:val="24"/>
        </w:rPr>
        <w:t xml:space="preserve">Regulated utilities are fairly unique since they cannot set their </w:t>
      </w:r>
      <w:r w:rsidR="000C2349">
        <w:rPr>
          <w:szCs w:val="24"/>
        </w:rPr>
        <w:t xml:space="preserve">own prices for their services. </w:t>
      </w:r>
      <w:r w:rsidR="00F80CEA">
        <w:rPr>
          <w:szCs w:val="24"/>
        </w:rPr>
        <w:t xml:space="preserve"> </w:t>
      </w:r>
      <w:r w:rsidRPr="00C04A68">
        <w:rPr>
          <w:szCs w:val="24"/>
        </w:rPr>
        <w:t xml:space="preserve">The financial integrity of a regulated utility is significantly </w:t>
      </w:r>
      <w:r w:rsidR="00F80CEA">
        <w:rPr>
          <w:szCs w:val="24"/>
        </w:rPr>
        <w:t>affec</w:t>
      </w:r>
      <w:r w:rsidRPr="00C04A68">
        <w:rPr>
          <w:szCs w:val="24"/>
        </w:rPr>
        <w:t>ted by how the utility is treated on cost recovery issues and i</w:t>
      </w:r>
      <w:r w:rsidR="000C2349">
        <w:rPr>
          <w:szCs w:val="24"/>
        </w:rPr>
        <w:t>n the rates set by regulators.</w:t>
      </w:r>
      <w:r w:rsidR="00F80CEA">
        <w:rPr>
          <w:szCs w:val="24"/>
        </w:rPr>
        <w:t xml:space="preserve"> </w:t>
      </w:r>
      <w:r w:rsidR="000C2349">
        <w:rPr>
          <w:szCs w:val="24"/>
        </w:rPr>
        <w:t xml:space="preserve"> </w:t>
      </w:r>
      <w:r w:rsidRPr="00C04A68">
        <w:rPr>
          <w:szCs w:val="24"/>
        </w:rPr>
        <w:t>Rates are established by regulators to permit the utility to recover prudently incurred operating expenses and a reasonable opportunity to earn a fair return on the capital invested.  Therefore, rate decisions by utility commissions have a direct and significant impact on the financial condition of utilities.</w:t>
      </w:r>
    </w:p>
    <w:p w:rsidR="003D655E" w:rsidRDefault="003D655E" w:rsidP="00BE3931">
      <w:pPr>
        <w:spacing w:line="480" w:lineRule="auto"/>
        <w:ind w:left="720" w:hanging="720"/>
        <w:rPr>
          <w:szCs w:val="24"/>
        </w:rPr>
      </w:pPr>
      <w:r w:rsidRPr="00C04A68">
        <w:rPr>
          <w:szCs w:val="24"/>
        </w:rPr>
        <w:tab/>
      </w:r>
      <w:r w:rsidRPr="00C04A68">
        <w:rPr>
          <w:szCs w:val="24"/>
        </w:rPr>
        <w:tab/>
        <w:t>Rating agencies and investors have a keen understanding of the impo</w:t>
      </w:r>
      <w:r w:rsidR="000C2349">
        <w:rPr>
          <w:szCs w:val="24"/>
        </w:rPr>
        <w:t xml:space="preserve">rtance of regulatory outcomes. </w:t>
      </w:r>
      <w:r w:rsidR="00F80CEA">
        <w:rPr>
          <w:szCs w:val="24"/>
        </w:rPr>
        <w:t xml:space="preserve"> </w:t>
      </w:r>
      <w:r w:rsidRPr="00C04A68">
        <w:rPr>
          <w:szCs w:val="24"/>
        </w:rPr>
        <w:t>For example, S&amp;P writes:</w:t>
      </w:r>
    </w:p>
    <w:p w:rsidR="008833DB" w:rsidRDefault="008833DB" w:rsidP="00F80CEA">
      <w:pPr>
        <w:spacing w:after="240"/>
        <w:ind w:left="1440" w:right="720"/>
        <w:rPr>
          <w:szCs w:val="24"/>
        </w:rPr>
      </w:pPr>
      <w:r>
        <w:rPr>
          <w:szCs w:val="24"/>
        </w:rPr>
        <w:t>The regulatory framework/regime’s influence is</w:t>
      </w:r>
      <w:r w:rsidR="00F50CC5">
        <w:rPr>
          <w:szCs w:val="24"/>
        </w:rPr>
        <w:t xml:space="preserve"> of</w:t>
      </w:r>
      <w:r>
        <w:rPr>
          <w:szCs w:val="24"/>
        </w:rPr>
        <w:t xml:space="preserve"> </w:t>
      </w:r>
      <w:r w:rsidRPr="001463B1">
        <w:rPr>
          <w:szCs w:val="24"/>
        </w:rPr>
        <w:t>critical importance</w:t>
      </w:r>
      <w:r>
        <w:rPr>
          <w:szCs w:val="24"/>
        </w:rPr>
        <w:t xml:space="preserve"> when assessing regulated utilities’ credit risk because it defines the environment in which a utility operates and has a significant bearing on a utility’s financial performance.</w:t>
      </w:r>
    </w:p>
    <w:p w:rsidR="003D655E" w:rsidRPr="00C04A68" w:rsidRDefault="008833DB" w:rsidP="00F80CEA">
      <w:pPr>
        <w:spacing w:after="240"/>
        <w:ind w:left="1440" w:right="720"/>
        <w:rPr>
          <w:szCs w:val="24"/>
        </w:rPr>
      </w:pPr>
      <w:r>
        <w:rPr>
          <w:szCs w:val="24"/>
        </w:rPr>
        <w:t>We base our assessment of the regulatory framework’s relative credit supportiveness on our view of how regulatory stability, efficiency of tariff setting procedures, financial stability, and regulatory independence protect a utility’s credit quality and its ability to recover its costs and earn a timely return.</w:t>
      </w:r>
      <w:r w:rsidR="000C2349">
        <w:rPr>
          <w:rStyle w:val="FootnoteReference"/>
          <w:szCs w:val="24"/>
        </w:rPr>
        <w:footnoteReference w:id="10"/>
      </w:r>
      <w:r w:rsidR="003D655E" w:rsidRPr="00C04A68">
        <w:rPr>
          <w:color w:val="000000"/>
          <w:szCs w:val="24"/>
          <w:shd w:val="solid" w:color="FFFF00" w:fill="auto"/>
        </w:rPr>
        <w:t xml:space="preserve"> </w:t>
      </w:r>
    </w:p>
    <w:p w:rsidR="003D655E" w:rsidRPr="00C04A68" w:rsidRDefault="003D655E" w:rsidP="00F80CEA">
      <w:pPr>
        <w:spacing w:line="480" w:lineRule="auto"/>
        <w:ind w:left="720"/>
        <w:rPr>
          <w:szCs w:val="24"/>
        </w:rPr>
      </w:pPr>
      <w:r w:rsidRPr="00C04A68">
        <w:rPr>
          <w:szCs w:val="24"/>
        </w:rPr>
        <w:t>Similarly, Moody’s state</w:t>
      </w:r>
      <w:r w:rsidR="00D5129F">
        <w:rPr>
          <w:szCs w:val="24"/>
        </w:rPr>
        <w:t>s</w:t>
      </w:r>
      <w:r w:rsidRPr="00C04A68">
        <w:rPr>
          <w:szCs w:val="24"/>
        </w:rPr>
        <w:t>:</w:t>
      </w:r>
    </w:p>
    <w:p w:rsidR="003D655E" w:rsidRPr="00C04A68" w:rsidRDefault="003D655E" w:rsidP="00BE3931">
      <w:pPr>
        <w:ind w:left="1440" w:right="720"/>
        <w:rPr>
          <w:szCs w:val="24"/>
        </w:rPr>
      </w:pPr>
      <w:r w:rsidRPr="00C04A68">
        <w:rPr>
          <w:szCs w:val="24"/>
        </w:rPr>
        <w:t>An over-arching consideration for regulated utilities is the regulatory environment in which they operate.</w:t>
      </w:r>
    </w:p>
    <w:p w:rsidR="003D76BB" w:rsidRPr="00C04A68" w:rsidRDefault="00E2704E" w:rsidP="00E2704E">
      <w:pPr>
        <w:widowControl w:val="0"/>
        <w:suppressLineNumbers/>
        <w:spacing w:before="120" w:after="120"/>
        <w:ind w:left="720" w:right="720"/>
        <w:jc w:val="center"/>
        <w:rPr>
          <w:szCs w:val="24"/>
        </w:rPr>
      </w:pPr>
      <w:r w:rsidRPr="00E2704E">
        <w:rPr>
          <w:szCs w:val="24"/>
        </w:rPr>
        <w:t>*</w:t>
      </w:r>
      <w:r>
        <w:rPr>
          <w:szCs w:val="24"/>
        </w:rPr>
        <w:tab/>
        <w:t>*</w:t>
      </w:r>
      <w:r>
        <w:rPr>
          <w:szCs w:val="24"/>
        </w:rPr>
        <w:tab/>
        <w:t>*</w:t>
      </w:r>
    </w:p>
    <w:p w:rsidR="003D655E" w:rsidRDefault="003D655E" w:rsidP="00BE3931">
      <w:pPr>
        <w:ind w:left="1440" w:right="720"/>
        <w:rPr>
          <w:szCs w:val="24"/>
        </w:rPr>
      </w:pPr>
      <w:r w:rsidRPr="00C04A68">
        <w:rPr>
          <w:szCs w:val="24"/>
        </w:rPr>
        <w:t xml:space="preserve">For </w:t>
      </w:r>
      <w:r w:rsidR="0004637A">
        <w:rPr>
          <w:szCs w:val="24"/>
        </w:rPr>
        <w:t>rate-</w:t>
      </w:r>
      <w:r w:rsidRPr="00C04A68">
        <w:rPr>
          <w:szCs w:val="24"/>
        </w:rPr>
        <w:t>regulated utilities, which typically operate as a monopoly, the regulatory environment and how the utility adapts to that environment are the most important credit considerations.</w:t>
      </w:r>
    </w:p>
    <w:p w:rsidR="00E2704E" w:rsidRPr="00C04A68" w:rsidRDefault="00E2704E" w:rsidP="00E2704E">
      <w:pPr>
        <w:widowControl w:val="0"/>
        <w:suppressLineNumbers/>
        <w:spacing w:before="120" w:after="120"/>
        <w:ind w:left="720" w:right="720"/>
        <w:jc w:val="center"/>
        <w:rPr>
          <w:szCs w:val="24"/>
        </w:rPr>
      </w:pPr>
      <w:r w:rsidRPr="00E2704E">
        <w:rPr>
          <w:szCs w:val="24"/>
        </w:rPr>
        <w:t>*</w:t>
      </w:r>
      <w:r>
        <w:rPr>
          <w:szCs w:val="24"/>
        </w:rPr>
        <w:tab/>
        <w:t>*</w:t>
      </w:r>
      <w:r>
        <w:rPr>
          <w:szCs w:val="24"/>
        </w:rPr>
        <w:tab/>
        <w:t>*</w:t>
      </w:r>
    </w:p>
    <w:p w:rsidR="003D655E" w:rsidRPr="00C04A68" w:rsidRDefault="003D655E" w:rsidP="00E2704E">
      <w:pPr>
        <w:ind w:left="1440" w:right="720"/>
        <w:rPr>
          <w:szCs w:val="24"/>
        </w:rPr>
      </w:pPr>
      <w:r w:rsidRPr="00C04A68">
        <w:rPr>
          <w:szCs w:val="24"/>
        </w:rPr>
        <w:t xml:space="preserve">The ability to recover prudently incurred costs on a timely basis and to attract debt and equity capital are crucial credit considerations.  The </w:t>
      </w:r>
      <w:r w:rsidRPr="00C04A68">
        <w:rPr>
          <w:szCs w:val="24"/>
        </w:rPr>
        <w:lastRenderedPageBreak/>
        <w:t xml:space="preserve">inability to recover costs, for instance if fuel or purchased power costs ballooned during a rate freeze period, has been one of the greatest drivers of financial stress in this sector, as well as the cause of some utility defaults.  In a sector that is typically free cash flow negative (due to large capital expenditures and dividends) and that routinely needs to refinance very large maturities of long-term debt, investor concerns about a lack of timely cost recovery or the sufficiency of rates can, in an extreme scenario, strain access to capital markets and potentially lead to insolvency of the </w:t>
      </w:r>
      <w:proofErr w:type="gramStart"/>
      <w:r w:rsidRPr="00C04A68">
        <w:rPr>
          <w:szCs w:val="24"/>
        </w:rPr>
        <w:t>utility</w:t>
      </w:r>
      <w:r w:rsidR="00D5129F">
        <w:rPr>
          <w:szCs w:val="24"/>
        </w:rPr>
        <w:t>[</w:t>
      </w:r>
      <w:proofErr w:type="gramEnd"/>
      <w:r w:rsidRPr="00C04A68">
        <w:rPr>
          <w:szCs w:val="24"/>
        </w:rPr>
        <w:t>.</w:t>
      </w:r>
      <w:r w:rsidR="00D5129F">
        <w:rPr>
          <w:szCs w:val="24"/>
        </w:rPr>
        <w:t>]</w:t>
      </w:r>
      <w:r w:rsidR="000C2349">
        <w:rPr>
          <w:rStyle w:val="FootnoteReference"/>
          <w:szCs w:val="24"/>
        </w:rPr>
        <w:footnoteReference w:id="11"/>
      </w:r>
      <w:r w:rsidR="000C2349">
        <w:rPr>
          <w:szCs w:val="24"/>
        </w:rPr>
        <w:t xml:space="preserve"> </w:t>
      </w:r>
    </w:p>
    <w:p w:rsidR="003D655E" w:rsidRPr="00C04A68" w:rsidRDefault="003D655E" w:rsidP="00BE3931">
      <w:pPr>
        <w:suppressLineNumbers/>
        <w:ind w:left="1440" w:right="720"/>
        <w:rPr>
          <w:szCs w:val="24"/>
        </w:rPr>
      </w:pPr>
    </w:p>
    <w:p w:rsidR="003D655E" w:rsidRPr="00C04A68"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 xml:space="preserve">How </w:t>
      </w:r>
      <w:proofErr w:type="gramStart"/>
      <w:r w:rsidRPr="00C04A68">
        <w:rPr>
          <w:b/>
          <w:szCs w:val="24"/>
        </w:rPr>
        <w:t xml:space="preserve">does maintaining </w:t>
      </w:r>
      <w:r w:rsidR="000307C0">
        <w:rPr>
          <w:b/>
          <w:szCs w:val="24"/>
        </w:rPr>
        <w:t>PacifiCorp’s</w:t>
      </w:r>
      <w:r w:rsidRPr="00C04A68">
        <w:rPr>
          <w:b/>
          <w:szCs w:val="24"/>
        </w:rPr>
        <w:t xml:space="preserve"> current credit ratings</w:t>
      </w:r>
      <w:proofErr w:type="gramEnd"/>
      <w:r w:rsidRPr="00C04A68">
        <w:rPr>
          <w:b/>
          <w:szCs w:val="24"/>
        </w:rPr>
        <w:t xml:space="preserve"> benefit customers?</w:t>
      </w:r>
    </w:p>
    <w:p w:rsidR="003D655E" w:rsidRPr="00C04A68" w:rsidRDefault="003D655E" w:rsidP="00BE3931">
      <w:pPr>
        <w:spacing w:line="480" w:lineRule="auto"/>
        <w:ind w:left="720" w:hanging="720"/>
        <w:rPr>
          <w:szCs w:val="24"/>
        </w:rPr>
      </w:pPr>
      <w:r w:rsidRPr="00C04A68">
        <w:rPr>
          <w:szCs w:val="24"/>
        </w:rPr>
        <w:t>A.</w:t>
      </w:r>
      <w:r w:rsidRPr="00C04A68">
        <w:rPr>
          <w:szCs w:val="24"/>
        </w:rPr>
        <w:tab/>
        <w:t>The Company is in the midst of a period of capital spending and investing in infrastructure to provide for the needs of customers and to meet regula</w:t>
      </w:r>
      <w:r w:rsidR="000C2349">
        <w:rPr>
          <w:szCs w:val="24"/>
        </w:rPr>
        <w:t>tory and legislative mandates.</w:t>
      </w:r>
      <w:r w:rsidR="00F80CEA">
        <w:rPr>
          <w:szCs w:val="24"/>
        </w:rPr>
        <w:t xml:space="preserve"> </w:t>
      </w:r>
      <w:r w:rsidR="000C2349">
        <w:rPr>
          <w:szCs w:val="24"/>
        </w:rPr>
        <w:t xml:space="preserve"> </w:t>
      </w:r>
      <w:r w:rsidRPr="00C04A68">
        <w:rPr>
          <w:szCs w:val="24"/>
        </w:rPr>
        <w:t xml:space="preserve">If </w:t>
      </w:r>
      <w:r w:rsidR="00965486">
        <w:rPr>
          <w:szCs w:val="24"/>
        </w:rPr>
        <w:t>PacifiCorp</w:t>
      </w:r>
      <w:r w:rsidRPr="00C04A68">
        <w:rPr>
          <w:szCs w:val="24"/>
        </w:rPr>
        <w:t xml:space="preserve"> does not have consistent access to the capital markets at reasonable costs, these borr</w:t>
      </w:r>
      <w:r w:rsidR="00F70CBB">
        <w:rPr>
          <w:szCs w:val="24"/>
        </w:rPr>
        <w:t>owings and the resulting costs to build</w:t>
      </w:r>
      <w:r w:rsidRPr="00C04A68">
        <w:rPr>
          <w:szCs w:val="24"/>
        </w:rPr>
        <w:t xml:space="preserve"> new facilities become more expensive</w:t>
      </w:r>
      <w:r w:rsidR="000C2349">
        <w:rPr>
          <w:szCs w:val="24"/>
        </w:rPr>
        <w:t xml:space="preserve"> than they otherwise would be. </w:t>
      </w:r>
      <w:r w:rsidR="00F80CEA">
        <w:rPr>
          <w:szCs w:val="24"/>
        </w:rPr>
        <w:t xml:space="preserve"> </w:t>
      </w:r>
      <w:r w:rsidRPr="00C04A68">
        <w:rPr>
          <w:szCs w:val="24"/>
        </w:rPr>
        <w:t>The inability to access financial markets can threaten the completion of these necessary projects, which will, in turn, affect system re</w:t>
      </w:r>
      <w:r w:rsidR="000C2349">
        <w:rPr>
          <w:szCs w:val="24"/>
        </w:rPr>
        <w:t xml:space="preserve">liability and customer safety. </w:t>
      </w:r>
      <w:r w:rsidR="00F80CEA">
        <w:rPr>
          <w:szCs w:val="24"/>
        </w:rPr>
        <w:t xml:space="preserve"> </w:t>
      </w:r>
      <w:r w:rsidRPr="00C04A68">
        <w:rPr>
          <w:szCs w:val="24"/>
        </w:rPr>
        <w:t>All of the resulting higher costs are ulti</w:t>
      </w:r>
      <w:r w:rsidR="000C2349">
        <w:rPr>
          <w:szCs w:val="24"/>
        </w:rPr>
        <w:t xml:space="preserve">mately borne by the customers. </w:t>
      </w:r>
      <w:r w:rsidR="00F80CEA">
        <w:rPr>
          <w:szCs w:val="24"/>
        </w:rPr>
        <w:t xml:space="preserve"> </w:t>
      </w:r>
      <w:r w:rsidRPr="00C04A68">
        <w:rPr>
          <w:szCs w:val="24"/>
        </w:rPr>
        <w:t xml:space="preserve">Maintaining the current single-A credit rating for senior secured debt makes it more likely </w:t>
      </w:r>
      <w:r w:rsidR="00965486">
        <w:rPr>
          <w:szCs w:val="24"/>
        </w:rPr>
        <w:t>that PacifiCorp</w:t>
      </w:r>
      <w:r w:rsidRPr="00C04A68">
        <w:rPr>
          <w:szCs w:val="24"/>
        </w:rPr>
        <w:t xml:space="preserve"> will have access to the capital markets at reasonable costs, even during periods </w:t>
      </w:r>
      <w:r w:rsidR="000C2349">
        <w:rPr>
          <w:szCs w:val="24"/>
        </w:rPr>
        <w:t xml:space="preserve">of financial turmoil. </w:t>
      </w:r>
      <w:r w:rsidR="00F80CEA">
        <w:rPr>
          <w:szCs w:val="24"/>
        </w:rPr>
        <w:t xml:space="preserve"> </w:t>
      </w:r>
      <w:r w:rsidRPr="00C04A68">
        <w:rPr>
          <w:szCs w:val="24"/>
        </w:rPr>
        <w:t xml:space="preserve">This rating will allow </w:t>
      </w:r>
      <w:r w:rsidR="000307C0">
        <w:rPr>
          <w:szCs w:val="24"/>
        </w:rPr>
        <w:t>PacifiCorp</w:t>
      </w:r>
      <w:r w:rsidRPr="00C04A68">
        <w:rPr>
          <w:szCs w:val="24"/>
        </w:rPr>
        <w:t xml:space="preserve"> continued access to the capital markets, which will enable it to fulfill its capital investments for the benefit of customers.</w:t>
      </w:r>
    </w:p>
    <w:p w:rsidR="003D655E" w:rsidRPr="00C04A68"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Can you provide an example of how the current ratings have benefited customers?</w:t>
      </w:r>
    </w:p>
    <w:p w:rsidR="003D655E" w:rsidRPr="00C04A68" w:rsidRDefault="000C2349" w:rsidP="00BE3931">
      <w:pPr>
        <w:spacing w:line="480" w:lineRule="auto"/>
        <w:ind w:left="720" w:hanging="720"/>
        <w:rPr>
          <w:szCs w:val="24"/>
        </w:rPr>
      </w:pPr>
      <w:r>
        <w:rPr>
          <w:szCs w:val="24"/>
        </w:rPr>
        <w:t xml:space="preserve">A. </w:t>
      </w:r>
      <w:r>
        <w:rPr>
          <w:szCs w:val="24"/>
        </w:rPr>
        <w:tab/>
        <w:t>Yes.</w:t>
      </w:r>
      <w:r w:rsidR="003D655E" w:rsidRPr="00C04A68">
        <w:rPr>
          <w:szCs w:val="24"/>
        </w:rPr>
        <w:t xml:space="preserve"> </w:t>
      </w:r>
      <w:r w:rsidR="00E452E3">
        <w:rPr>
          <w:szCs w:val="24"/>
        </w:rPr>
        <w:t xml:space="preserve"> </w:t>
      </w:r>
      <w:r w:rsidR="003D655E" w:rsidRPr="00C04A68">
        <w:rPr>
          <w:szCs w:val="24"/>
        </w:rPr>
        <w:t xml:space="preserve">One example is </w:t>
      </w:r>
      <w:r w:rsidR="000307C0">
        <w:rPr>
          <w:szCs w:val="24"/>
        </w:rPr>
        <w:t>PacifiCorp’s</w:t>
      </w:r>
      <w:r w:rsidR="003D655E" w:rsidRPr="00C04A68">
        <w:rPr>
          <w:szCs w:val="24"/>
        </w:rPr>
        <w:t xml:space="preserve"> ability to significantly reduce its cost of long-term debt primarily through obtaining new financings at v</w:t>
      </w:r>
      <w:r>
        <w:rPr>
          <w:szCs w:val="24"/>
        </w:rPr>
        <w:t xml:space="preserve">ery attractive interest rates. </w:t>
      </w:r>
      <w:r w:rsidR="003D655E" w:rsidRPr="00C04A68">
        <w:rPr>
          <w:szCs w:val="24"/>
        </w:rPr>
        <w:lastRenderedPageBreak/>
        <w:t>These lower debt costs benefit customers via lower overall rate of return and lower revenue requirement.</w:t>
      </w:r>
    </w:p>
    <w:p w:rsidR="003D655E" w:rsidRDefault="00D5129F" w:rsidP="00BE3931">
      <w:pPr>
        <w:spacing w:line="480" w:lineRule="auto"/>
        <w:ind w:left="720" w:firstLine="720"/>
        <w:rPr>
          <w:szCs w:val="24"/>
        </w:rPr>
      </w:pPr>
      <w:r>
        <w:rPr>
          <w:szCs w:val="24"/>
        </w:rPr>
        <w:t>T</w:t>
      </w:r>
      <w:r w:rsidR="003D655E" w:rsidRPr="00C04A68">
        <w:rPr>
          <w:szCs w:val="24"/>
        </w:rPr>
        <w:t xml:space="preserve">able </w:t>
      </w:r>
      <w:r>
        <w:rPr>
          <w:szCs w:val="24"/>
        </w:rPr>
        <w:t xml:space="preserve">7 </w:t>
      </w:r>
      <w:r w:rsidR="003D655E" w:rsidRPr="00C04A68">
        <w:rPr>
          <w:szCs w:val="24"/>
        </w:rPr>
        <w:t>below shows the reduction in the Company’s cost of</w:t>
      </w:r>
      <w:r w:rsidR="000C2349">
        <w:rPr>
          <w:szCs w:val="24"/>
        </w:rPr>
        <w:t xml:space="preserve"> long-term debt since </w:t>
      </w:r>
      <w:r w:rsidR="00026C9E">
        <w:rPr>
          <w:szCs w:val="24"/>
        </w:rPr>
        <w:t>2011.</w:t>
      </w:r>
    </w:p>
    <w:p w:rsidR="00D5129F" w:rsidRPr="00A36B7E" w:rsidRDefault="00D5129F" w:rsidP="00A36B7E">
      <w:pPr>
        <w:suppressLineNumbers/>
        <w:jc w:val="center"/>
        <w:rPr>
          <w:b/>
          <w:szCs w:val="24"/>
        </w:rPr>
      </w:pPr>
      <w:r>
        <w:rPr>
          <w:b/>
          <w:szCs w:val="24"/>
        </w:rPr>
        <w:t>Table 7</w:t>
      </w:r>
    </w:p>
    <w:tbl>
      <w:tblPr>
        <w:tblW w:w="8782" w:type="dxa"/>
        <w:jc w:val="center"/>
        <w:tblInd w:w="911" w:type="dxa"/>
        <w:tblLayout w:type="fixed"/>
        <w:tblCellMar>
          <w:left w:w="10" w:type="dxa"/>
          <w:right w:w="10" w:type="dxa"/>
        </w:tblCellMar>
        <w:tblLook w:val="0000" w:firstRow="0" w:lastRow="0" w:firstColumn="0" w:lastColumn="0" w:noHBand="0" w:noVBand="0"/>
      </w:tblPr>
      <w:tblGrid>
        <w:gridCol w:w="1516"/>
        <w:gridCol w:w="1615"/>
        <w:gridCol w:w="1890"/>
        <w:gridCol w:w="1800"/>
        <w:gridCol w:w="1961"/>
      </w:tblGrid>
      <w:tr w:rsidR="00D5129F" w:rsidRPr="009019B4" w:rsidTr="00A36B7E">
        <w:trPr>
          <w:trHeight w:hRule="exact" w:val="632"/>
          <w:jc w:val="center"/>
        </w:trPr>
        <w:tc>
          <w:tcPr>
            <w:tcW w:w="1516"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bottom"/>
          </w:tcPr>
          <w:p w:rsidR="003D655E" w:rsidRPr="00A36B7E" w:rsidRDefault="003D655E" w:rsidP="00D5129F">
            <w:pPr>
              <w:rPr>
                <w:b/>
                <w:sz w:val="22"/>
                <w:szCs w:val="22"/>
              </w:rPr>
            </w:pPr>
          </w:p>
        </w:tc>
        <w:tc>
          <w:tcPr>
            <w:tcW w:w="1615" w:type="dxa"/>
            <w:tcBorders>
              <w:top w:val="single" w:sz="8" w:space="0" w:color="auto"/>
              <w:left w:val="single" w:sz="8" w:space="0" w:color="auto"/>
              <w:bottom w:val="single" w:sz="8" w:space="0" w:color="auto"/>
              <w:right w:val="single" w:sz="8" w:space="0" w:color="auto"/>
            </w:tcBorders>
            <w:tcMar>
              <w:left w:w="60" w:type="dxa"/>
              <w:bottom w:w="20" w:type="dxa"/>
              <w:right w:w="60" w:type="dxa"/>
            </w:tcMar>
            <w:vAlign w:val="center"/>
          </w:tcPr>
          <w:p w:rsidR="00302D66" w:rsidRPr="00A36B7E" w:rsidRDefault="003D655E" w:rsidP="00D5129F">
            <w:pPr>
              <w:jc w:val="center"/>
              <w:rPr>
                <w:b/>
                <w:sz w:val="22"/>
                <w:szCs w:val="22"/>
              </w:rPr>
            </w:pPr>
            <w:r w:rsidRPr="00A36B7E">
              <w:rPr>
                <w:b/>
                <w:sz w:val="22"/>
                <w:szCs w:val="22"/>
              </w:rPr>
              <w:t xml:space="preserve">2014 </w:t>
            </w:r>
            <w:r w:rsidR="00D5129F">
              <w:rPr>
                <w:b/>
                <w:sz w:val="22"/>
                <w:szCs w:val="22"/>
              </w:rPr>
              <w:t>Rate Case</w:t>
            </w:r>
          </w:p>
          <w:p w:rsidR="003D655E" w:rsidRPr="00A36B7E" w:rsidRDefault="00FE0E8B" w:rsidP="00D5129F">
            <w:pPr>
              <w:jc w:val="center"/>
              <w:rPr>
                <w:b/>
                <w:sz w:val="22"/>
                <w:szCs w:val="22"/>
              </w:rPr>
            </w:pPr>
            <w:r w:rsidRPr="00A36B7E">
              <w:rPr>
                <w:b/>
                <w:sz w:val="22"/>
                <w:szCs w:val="22"/>
              </w:rPr>
              <w:t>December 2014</w:t>
            </w:r>
          </w:p>
        </w:tc>
        <w:tc>
          <w:tcPr>
            <w:tcW w:w="189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center"/>
          </w:tcPr>
          <w:p w:rsidR="00302D66" w:rsidRPr="00A36B7E" w:rsidRDefault="00FE0E8B" w:rsidP="00D5129F">
            <w:pPr>
              <w:jc w:val="center"/>
              <w:rPr>
                <w:b/>
                <w:sz w:val="22"/>
                <w:szCs w:val="22"/>
              </w:rPr>
            </w:pPr>
            <w:r w:rsidRPr="00A36B7E">
              <w:rPr>
                <w:b/>
                <w:sz w:val="22"/>
                <w:szCs w:val="22"/>
              </w:rPr>
              <w:t>UE-130043</w:t>
            </w:r>
            <w:r w:rsidR="00D5129F">
              <w:rPr>
                <w:b/>
                <w:sz w:val="22"/>
                <w:szCs w:val="22"/>
              </w:rPr>
              <w:t xml:space="preserve"> Order</w:t>
            </w:r>
          </w:p>
          <w:p w:rsidR="003D655E" w:rsidRPr="00A36B7E" w:rsidRDefault="00FE0E8B" w:rsidP="00D5129F">
            <w:pPr>
              <w:jc w:val="center"/>
              <w:rPr>
                <w:b/>
                <w:sz w:val="22"/>
                <w:szCs w:val="22"/>
              </w:rPr>
            </w:pPr>
            <w:r w:rsidRPr="00A36B7E">
              <w:rPr>
                <w:b/>
                <w:sz w:val="22"/>
                <w:szCs w:val="22"/>
              </w:rPr>
              <w:t>December 2013</w:t>
            </w:r>
          </w:p>
        </w:tc>
        <w:tc>
          <w:tcPr>
            <w:tcW w:w="180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center"/>
          </w:tcPr>
          <w:p w:rsidR="00D5129F" w:rsidRPr="00A36B7E" w:rsidRDefault="00FE0E8B" w:rsidP="00D5129F">
            <w:pPr>
              <w:jc w:val="center"/>
              <w:rPr>
                <w:b/>
                <w:sz w:val="22"/>
                <w:szCs w:val="22"/>
              </w:rPr>
            </w:pPr>
            <w:r w:rsidRPr="00A36B7E">
              <w:rPr>
                <w:b/>
                <w:sz w:val="22"/>
                <w:szCs w:val="22"/>
              </w:rPr>
              <w:t>UE-111190 Order</w:t>
            </w:r>
          </w:p>
          <w:p w:rsidR="003D655E" w:rsidRPr="00A36B7E" w:rsidRDefault="00FE0E8B" w:rsidP="00D5129F">
            <w:pPr>
              <w:jc w:val="center"/>
              <w:rPr>
                <w:b/>
                <w:sz w:val="22"/>
                <w:szCs w:val="22"/>
              </w:rPr>
            </w:pPr>
            <w:r w:rsidRPr="00A36B7E">
              <w:rPr>
                <w:b/>
                <w:sz w:val="22"/>
                <w:szCs w:val="22"/>
              </w:rPr>
              <w:t>March 2012</w:t>
            </w:r>
          </w:p>
        </w:tc>
        <w:tc>
          <w:tcPr>
            <w:tcW w:w="1961"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center"/>
          </w:tcPr>
          <w:p w:rsidR="003D655E" w:rsidRPr="00A36B7E" w:rsidRDefault="00FE0E8B" w:rsidP="001463B1">
            <w:pPr>
              <w:jc w:val="center"/>
              <w:rPr>
                <w:b/>
                <w:sz w:val="22"/>
                <w:szCs w:val="22"/>
              </w:rPr>
            </w:pPr>
            <w:r w:rsidRPr="00A36B7E">
              <w:rPr>
                <w:b/>
                <w:sz w:val="22"/>
                <w:szCs w:val="22"/>
              </w:rPr>
              <w:t>UE-100749</w:t>
            </w:r>
            <w:r w:rsidR="00D5129F">
              <w:rPr>
                <w:b/>
                <w:sz w:val="22"/>
                <w:szCs w:val="22"/>
              </w:rPr>
              <w:t xml:space="preserve"> </w:t>
            </w:r>
            <w:r w:rsidRPr="00A36B7E">
              <w:rPr>
                <w:b/>
                <w:sz w:val="22"/>
                <w:szCs w:val="22"/>
              </w:rPr>
              <w:t>Order March 2011</w:t>
            </w:r>
          </w:p>
        </w:tc>
      </w:tr>
      <w:tr w:rsidR="00D5129F" w:rsidRPr="009019B4" w:rsidTr="00A36B7E">
        <w:trPr>
          <w:trHeight w:hRule="exact" w:val="596"/>
          <w:jc w:val="center"/>
        </w:trPr>
        <w:tc>
          <w:tcPr>
            <w:tcW w:w="1516"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A36B7E" w:rsidRDefault="003D655E" w:rsidP="00D5129F">
            <w:pPr>
              <w:rPr>
                <w:sz w:val="22"/>
                <w:szCs w:val="22"/>
              </w:rPr>
            </w:pPr>
            <w:r w:rsidRPr="00A36B7E">
              <w:rPr>
                <w:sz w:val="22"/>
                <w:szCs w:val="22"/>
              </w:rPr>
              <w:t>Cost of Long-Term</w:t>
            </w:r>
            <w:r w:rsidR="00BA7B78" w:rsidRPr="00A36B7E">
              <w:rPr>
                <w:sz w:val="22"/>
                <w:szCs w:val="22"/>
              </w:rPr>
              <w:t xml:space="preserve"> </w:t>
            </w:r>
            <w:r w:rsidRPr="00A36B7E">
              <w:rPr>
                <w:sz w:val="22"/>
                <w:szCs w:val="22"/>
              </w:rPr>
              <w:t>Debt</w:t>
            </w:r>
            <w:r w:rsidR="00FE0E8B" w:rsidRPr="00A36B7E">
              <w:rPr>
                <w:sz w:val="22"/>
                <w:szCs w:val="22"/>
              </w:rPr>
              <w:t xml:space="preserve"> </w:t>
            </w:r>
          </w:p>
        </w:tc>
        <w:tc>
          <w:tcPr>
            <w:tcW w:w="1615" w:type="dxa"/>
            <w:tcBorders>
              <w:top w:val="single" w:sz="8" w:space="0" w:color="auto"/>
              <w:left w:val="single" w:sz="8" w:space="0" w:color="auto"/>
              <w:bottom w:val="single" w:sz="8" w:space="0" w:color="auto"/>
              <w:right w:val="single" w:sz="8" w:space="0" w:color="auto"/>
            </w:tcBorders>
            <w:tcMar>
              <w:top w:w="0" w:type="dxa"/>
              <w:left w:w="60" w:type="dxa"/>
              <w:bottom w:w="40" w:type="dxa"/>
              <w:right w:w="60" w:type="dxa"/>
            </w:tcMar>
            <w:vAlign w:val="center"/>
          </w:tcPr>
          <w:p w:rsidR="003D655E" w:rsidRPr="00A36B7E" w:rsidRDefault="003D655E" w:rsidP="00D5129F">
            <w:pPr>
              <w:jc w:val="center"/>
              <w:rPr>
                <w:sz w:val="22"/>
                <w:szCs w:val="22"/>
              </w:rPr>
            </w:pPr>
            <w:r w:rsidRPr="00A36B7E">
              <w:rPr>
                <w:sz w:val="22"/>
                <w:szCs w:val="22"/>
              </w:rPr>
              <w:t>5.</w:t>
            </w:r>
            <w:r w:rsidR="00302D66" w:rsidRPr="00A36B7E">
              <w:rPr>
                <w:sz w:val="22"/>
                <w:szCs w:val="22"/>
              </w:rPr>
              <w:t>19</w:t>
            </w:r>
            <w:r w:rsidRPr="00A36B7E">
              <w:rPr>
                <w:sz w:val="22"/>
                <w:szCs w:val="22"/>
              </w:rPr>
              <w:t>%</w:t>
            </w:r>
          </w:p>
        </w:tc>
        <w:tc>
          <w:tcPr>
            <w:tcW w:w="1890" w:type="dxa"/>
            <w:tcBorders>
              <w:top w:val="single" w:sz="8" w:space="0" w:color="auto"/>
              <w:left w:val="single" w:sz="8" w:space="0" w:color="auto"/>
              <w:bottom w:val="single" w:sz="8" w:space="0" w:color="auto"/>
              <w:right w:val="single" w:sz="8" w:space="0" w:color="auto"/>
            </w:tcBorders>
            <w:tcMar>
              <w:top w:w="0" w:type="dxa"/>
              <w:left w:w="60" w:type="dxa"/>
              <w:bottom w:w="40" w:type="dxa"/>
              <w:right w:w="60" w:type="dxa"/>
            </w:tcMar>
            <w:vAlign w:val="center"/>
          </w:tcPr>
          <w:p w:rsidR="003D655E" w:rsidRPr="00A36B7E" w:rsidRDefault="00FE0E8B" w:rsidP="00D5129F">
            <w:pPr>
              <w:jc w:val="center"/>
              <w:rPr>
                <w:sz w:val="22"/>
                <w:szCs w:val="22"/>
              </w:rPr>
            </w:pPr>
            <w:r w:rsidRPr="00A36B7E">
              <w:rPr>
                <w:sz w:val="22"/>
                <w:szCs w:val="22"/>
              </w:rPr>
              <w:t>5.29%</w:t>
            </w:r>
          </w:p>
        </w:tc>
        <w:tc>
          <w:tcPr>
            <w:tcW w:w="1800" w:type="dxa"/>
            <w:tcBorders>
              <w:top w:val="single" w:sz="8" w:space="0" w:color="auto"/>
              <w:left w:val="single" w:sz="8" w:space="0" w:color="auto"/>
              <w:bottom w:val="single" w:sz="8" w:space="0" w:color="auto"/>
              <w:right w:val="single" w:sz="8" w:space="0" w:color="auto"/>
            </w:tcBorders>
            <w:tcMar>
              <w:top w:w="0" w:type="dxa"/>
              <w:left w:w="60" w:type="dxa"/>
              <w:bottom w:w="40" w:type="dxa"/>
              <w:right w:w="60" w:type="dxa"/>
            </w:tcMar>
            <w:vAlign w:val="center"/>
          </w:tcPr>
          <w:p w:rsidR="003D655E" w:rsidRPr="00A36B7E" w:rsidRDefault="003D655E" w:rsidP="00D5129F">
            <w:pPr>
              <w:jc w:val="center"/>
              <w:rPr>
                <w:sz w:val="22"/>
                <w:szCs w:val="22"/>
              </w:rPr>
            </w:pPr>
            <w:r w:rsidRPr="00A36B7E">
              <w:rPr>
                <w:sz w:val="22"/>
                <w:szCs w:val="22"/>
              </w:rPr>
              <w:t>5.</w:t>
            </w:r>
            <w:r w:rsidR="00302D66" w:rsidRPr="00A36B7E">
              <w:rPr>
                <w:sz w:val="22"/>
                <w:szCs w:val="22"/>
              </w:rPr>
              <w:t>76</w:t>
            </w:r>
            <w:r w:rsidRPr="00A36B7E">
              <w:rPr>
                <w:sz w:val="22"/>
                <w:szCs w:val="22"/>
              </w:rPr>
              <w:t>%</w:t>
            </w:r>
          </w:p>
        </w:tc>
        <w:tc>
          <w:tcPr>
            <w:tcW w:w="1961" w:type="dxa"/>
            <w:tcBorders>
              <w:top w:val="single" w:sz="8" w:space="0" w:color="auto"/>
              <w:left w:val="single" w:sz="8" w:space="0" w:color="auto"/>
              <w:bottom w:val="single" w:sz="8" w:space="0" w:color="auto"/>
              <w:right w:val="single" w:sz="8" w:space="0" w:color="auto"/>
            </w:tcBorders>
            <w:tcMar>
              <w:top w:w="0" w:type="dxa"/>
              <w:left w:w="60" w:type="dxa"/>
              <w:bottom w:w="40" w:type="dxa"/>
              <w:right w:w="60" w:type="dxa"/>
            </w:tcMar>
            <w:vAlign w:val="center"/>
          </w:tcPr>
          <w:p w:rsidR="003D655E" w:rsidRPr="00A36B7E" w:rsidRDefault="003D655E" w:rsidP="00D5129F">
            <w:pPr>
              <w:jc w:val="center"/>
              <w:rPr>
                <w:sz w:val="22"/>
                <w:szCs w:val="22"/>
              </w:rPr>
            </w:pPr>
            <w:r w:rsidRPr="00A36B7E">
              <w:rPr>
                <w:sz w:val="22"/>
                <w:szCs w:val="22"/>
              </w:rPr>
              <w:t>5.</w:t>
            </w:r>
            <w:r w:rsidR="00302D66" w:rsidRPr="00A36B7E">
              <w:rPr>
                <w:sz w:val="22"/>
                <w:szCs w:val="22"/>
              </w:rPr>
              <w:t>89</w:t>
            </w:r>
            <w:r w:rsidRPr="00A36B7E">
              <w:rPr>
                <w:sz w:val="22"/>
                <w:szCs w:val="22"/>
              </w:rPr>
              <w:t>%</w:t>
            </w:r>
          </w:p>
        </w:tc>
      </w:tr>
    </w:tbl>
    <w:p w:rsidR="003D655E" w:rsidRPr="00C04A68" w:rsidRDefault="003D655E" w:rsidP="00BE3931">
      <w:pPr>
        <w:suppressLineNumbers/>
        <w:ind w:left="720" w:hanging="720"/>
        <w:rPr>
          <w:szCs w:val="24"/>
        </w:rPr>
      </w:pPr>
    </w:p>
    <w:p w:rsidR="003D655E" w:rsidRPr="00C04A68" w:rsidRDefault="00611E82" w:rsidP="00BE3931">
      <w:pPr>
        <w:spacing w:line="480" w:lineRule="auto"/>
        <w:ind w:left="720" w:hanging="720"/>
        <w:rPr>
          <w:szCs w:val="24"/>
        </w:rPr>
      </w:pPr>
      <w:r>
        <w:rPr>
          <w:szCs w:val="24"/>
        </w:rPr>
        <w:tab/>
        <w:t>The Company’</w:t>
      </w:r>
      <w:r w:rsidR="003D655E" w:rsidRPr="00C04A68">
        <w:rPr>
          <w:szCs w:val="24"/>
        </w:rPr>
        <w:t>s customers have benefited from a 70 basis points (0.70 percent) reduction in the Com</w:t>
      </w:r>
      <w:r>
        <w:rPr>
          <w:szCs w:val="24"/>
        </w:rPr>
        <w:t>pany’s cost of long-term debt</w:t>
      </w:r>
      <w:r w:rsidR="004E4155">
        <w:rPr>
          <w:szCs w:val="24"/>
        </w:rPr>
        <w:t xml:space="preserve"> since 2011</w:t>
      </w:r>
      <w:r>
        <w:rPr>
          <w:szCs w:val="24"/>
        </w:rPr>
        <w:t xml:space="preserve">. </w:t>
      </w:r>
      <w:r w:rsidR="00E452E3">
        <w:rPr>
          <w:szCs w:val="24"/>
        </w:rPr>
        <w:t xml:space="preserve"> </w:t>
      </w:r>
      <w:r w:rsidR="00857FD7">
        <w:rPr>
          <w:szCs w:val="24"/>
        </w:rPr>
        <w:t>I</w:t>
      </w:r>
      <w:r w:rsidR="003D655E" w:rsidRPr="00C04A68">
        <w:rPr>
          <w:szCs w:val="24"/>
        </w:rPr>
        <w:t xml:space="preserve"> estimate that this reduction in the average cost of debt since </w:t>
      </w:r>
      <w:r w:rsidR="00692FDE">
        <w:rPr>
          <w:szCs w:val="24"/>
        </w:rPr>
        <w:t>2011</w:t>
      </w:r>
      <w:r w:rsidR="003D655E" w:rsidRPr="00C04A68">
        <w:rPr>
          <w:szCs w:val="24"/>
        </w:rPr>
        <w:t xml:space="preserve"> results in a decrease of approximately $</w:t>
      </w:r>
      <w:r w:rsidR="004E4155">
        <w:rPr>
          <w:szCs w:val="24"/>
        </w:rPr>
        <w:t>3.</w:t>
      </w:r>
      <w:r w:rsidR="0039563B">
        <w:rPr>
          <w:szCs w:val="24"/>
        </w:rPr>
        <w:t>1</w:t>
      </w:r>
      <w:r w:rsidR="00D5129F" w:rsidRPr="00C04A68">
        <w:rPr>
          <w:szCs w:val="24"/>
        </w:rPr>
        <w:t xml:space="preserve"> </w:t>
      </w:r>
      <w:r w:rsidR="003D655E" w:rsidRPr="00C04A68">
        <w:rPr>
          <w:szCs w:val="24"/>
        </w:rPr>
        <w:t>million in the revenue req</w:t>
      </w:r>
      <w:r w:rsidR="00E452E3">
        <w:rPr>
          <w:szCs w:val="24"/>
        </w:rPr>
        <w:t>uirement</w:t>
      </w:r>
      <w:r>
        <w:rPr>
          <w:szCs w:val="24"/>
        </w:rPr>
        <w:t xml:space="preserve"> in the current case.</w:t>
      </w:r>
    </w:p>
    <w:p w:rsidR="003D655E" w:rsidRPr="00C04A68"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Are there other identifiable advantages to a favorable rating?</w:t>
      </w:r>
    </w:p>
    <w:p w:rsidR="003D655E" w:rsidRPr="00C04A68" w:rsidRDefault="00611E82" w:rsidP="00BE3931">
      <w:pPr>
        <w:spacing w:line="480" w:lineRule="auto"/>
        <w:ind w:left="720" w:hanging="720"/>
        <w:rPr>
          <w:szCs w:val="24"/>
        </w:rPr>
      </w:pPr>
      <w:r>
        <w:rPr>
          <w:szCs w:val="24"/>
        </w:rPr>
        <w:t>A.</w:t>
      </w:r>
      <w:r>
        <w:rPr>
          <w:szCs w:val="24"/>
        </w:rPr>
        <w:tab/>
        <w:t xml:space="preserve">Yes. </w:t>
      </w:r>
      <w:r w:rsidR="00E452E3">
        <w:rPr>
          <w:szCs w:val="24"/>
        </w:rPr>
        <w:t xml:space="preserve"> </w:t>
      </w:r>
      <w:r w:rsidR="003D655E" w:rsidRPr="00C04A68">
        <w:rPr>
          <w:szCs w:val="24"/>
        </w:rPr>
        <w:t xml:space="preserve">Higher-rated companies have greater access to the long-term markets </w:t>
      </w:r>
      <w:r>
        <w:rPr>
          <w:szCs w:val="24"/>
        </w:rPr>
        <w:t xml:space="preserve">for power purchases and sales. </w:t>
      </w:r>
      <w:r w:rsidR="00E452E3">
        <w:rPr>
          <w:szCs w:val="24"/>
        </w:rPr>
        <w:t xml:space="preserve"> </w:t>
      </w:r>
      <w:r w:rsidR="003D655E" w:rsidRPr="00C04A68">
        <w:rPr>
          <w:szCs w:val="24"/>
        </w:rPr>
        <w:t xml:space="preserve">This access provides these companies with more alternatives when attempting to meet the current and future load requirements of </w:t>
      </w:r>
      <w:r>
        <w:rPr>
          <w:szCs w:val="24"/>
        </w:rPr>
        <w:t xml:space="preserve">their customers. </w:t>
      </w:r>
      <w:r w:rsidR="003D655E" w:rsidRPr="00C04A68">
        <w:rPr>
          <w:szCs w:val="24"/>
        </w:rPr>
        <w:t>Additionally, a company with strong ratings will often avoid having to meet costly collateral requirements that are typically imposed on lower-rated companies when securing power in these markets.</w:t>
      </w:r>
    </w:p>
    <w:p w:rsidR="003D655E" w:rsidRPr="00C04A68" w:rsidRDefault="003D655E" w:rsidP="002371F4">
      <w:pPr>
        <w:widowControl w:val="0"/>
        <w:spacing w:line="480" w:lineRule="auto"/>
        <w:ind w:left="720" w:firstLine="720"/>
        <w:rPr>
          <w:szCs w:val="24"/>
        </w:rPr>
      </w:pPr>
      <w:r w:rsidRPr="00C04A68">
        <w:rPr>
          <w:szCs w:val="24"/>
        </w:rPr>
        <w:t>In my op</w:t>
      </w:r>
      <w:r w:rsidR="00611E82">
        <w:rPr>
          <w:szCs w:val="24"/>
        </w:rPr>
        <w:t xml:space="preserve">inion, maintaining the current </w:t>
      </w:r>
      <w:r w:rsidRPr="00C04A68">
        <w:rPr>
          <w:szCs w:val="24"/>
        </w:rPr>
        <w:t>ratings provides the best balance between costs and the continued access to the capital markets that is necessary to fund capital projects for the benefit of customers.</w:t>
      </w:r>
    </w:p>
    <w:p w:rsidR="003D655E" w:rsidRPr="00C04A68" w:rsidRDefault="00611E82" w:rsidP="002371F4">
      <w:pPr>
        <w:widowControl w:val="0"/>
        <w:spacing w:line="480" w:lineRule="auto"/>
        <w:rPr>
          <w:b/>
          <w:szCs w:val="24"/>
        </w:rPr>
      </w:pPr>
      <w:r>
        <w:rPr>
          <w:b/>
          <w:szCs w:val="24"/>
        </w:rPr>
        <w:t xml:space="preserve">Q. </w:t>
      </w:r>
      <w:r>
        <w:rPr>
          <w:b/>
          <w:szCs w:val="24"/>
        </w:rPr>
        <w:tab/>
        <w:t>Did Moody’</w:t>
      </w:r>
      <w:r w:rsidR="003D655E" w:rsidRPr="00C04A68">
        <w:rPr>
          <w:b/>
          <w:szCs w:val="24"/>
        </w:rPr>
        <w:t xml:space="preserve">s recently change </w:t>
      </w:r>
      <w:r w:rsidR="000307C0">
        <w:rPr>
          <w:b/>
          <w:szCs w:val="24"/>
        </w:rPr>
        <w:t>PacifiCorp’s</w:t>
      </w:r>
      <w:r w:rsidR="003D655E" w:rsidRPr="00C04A68">
        <w:rPr>
          <w:b/>
          <w:szCs w:val="24"/>
        </w:rPr>
        <w:t xml:space="preserve"> credit ratings?</w:t>
      </w:r>
    </w:p>
    <w:p w:rsidR="003D655E" w:rsidRPr="00C04A68" w:rsidRDefault="003D655E" w:rsidP="002371F4">
      <w:pPr>
        <w:widowControl w:val="0"/>
        <w:spacing w:line="480" w:lineRule="auto"/>
        <w:ind w:left="720" w:hanging="720"/>
        <w:rPr>
          <w:b/>
          <w:szCs w:val="24"/>
        </w:rPr>
      </w:pPr>
      <w:r w:rsidRPr="00611E82">
        <w:rPr>
          <w:szCs w:val="24"/>
        </w:rPr>
        <w:t>A.</w:t>
      </w:r>
      <w:r w:rsidR="00611E82">
        <w:rPr>
          <w:szCs w:val="24"/>
        </w:rPr>
        <w:tab/>
        <w:t xml:space="preserve">Yes. </w:t>
      </w:r>
      <w:r w:rsidR="00BE3931">
        <w:rPr>
          <w:szCs w:val="24"/>
        </w:rPr>
        <w:t xml:space="preserve"> </w:t>
      </w:r>
      <w:r w:rsidR="00611E82">
        <w:rPr>
          <w:szCs w:val="24"/>
        </w:rPr>
        <w:t>On January 30, 2014</w:t>
      </w:r>
      <w:r w:rsidR="00040D62">
        <w:rPr>
          <w:szCs w:val="24"/>
        </w:rPr>
        <w:t>,</w:t>
      </w:r>
      <w:r w:rsidR="00611E82">
        <w:rPr>
          <w:szCs w:val="24"/>
        </w:rPr>
        <w:t xml:space="preserve"> Moody’</w:t>
      </w:r>
      <w:r w:rsidRPr="00C04A68">
        <w:rPr>
          <w:szCs w:val="24"/>
        </w:rPr>
        <w:t>s upgraded the ratings of PacifiCorp</w:t>
      </w:r>
      <w:r w:rsidR="005F3560">
        <w:rPr>
          <w:szCs w:val="24"/>
        </w:rPr>
        <w:t>,</w:t>
      </w:r>
      <w:r w:rsidRPr="00C04A68">
        <w:rPr>
          <w:szCs w:val="24"/>
        </w:rPr>
        <w:t xml:space="preserve"> including </w:t>
      </w:r>
      <w:r w:rsidR="005F3560">
        <w:rPr>
          <w:szCs w:val="24"/>
        </w:rPr>
        <w:lastRenderedPageBreak/>
        <w:t xml:space="preserve">upgrading </w:t>
      </w:r>
      <w:r w:rsidRPr="00C04A68">
        <w:rPr>
          <w:szCs w:val="24"/>
        </w:rPr>
        <w:t>first mortgage bonds to A1 (from A2), senior unsecured debt to A3 (from Baa1)</w:t>
      </w:r>
      <w:r w:rsidR="00E452E3">
        <w:rPr>
          <w:szCs w:val="24"/>
        </w:rPr>
        <w:t>,</w:t>
      </w:r>
      <w:r w:rsidRPr="00C04A68">
        <w:rPr>
          <w:szCs w:val="24"/>
        </w:rPr>
        <w:t xml:space="preserve"> and preferred stock to Baa2 (from Baa3).</w:t>
      </w:r>
    </w:p>
    <w:p w:rsidR="003D655E" w:rsidRPr="00C04A68" w:rsidRDefault="00611E82" w:rsidP="00BE3931">
      <w:pPr>
        <w:spacing w:line="480" w:lineRule="auto"/>
        <w:rPr>
          <w:b/>
          <w:szCs w:val="24"/>
        </w:rPr>
      </w:pPr>
      <w:r>
        <w:rPr>
          <w:b/>
          <w:szCs w:val="24"/>
        </w:rPr>
        <w:t>Q.</w:t>
      </w:r>
      <w:r>
        <w:rPr>
          <w:b/>
          <w:szCs w:val="24"/>
        </w:rPr>
        <w:tab/>
        <w:t>Please explain why Moody’</w:t>
      </w:r>
      <w:r w:rsidR="003D655E" w:rsidRPr="00C04A68">
        <w:rPr>
          <w:b/>
          <w:szCs w:val="24"/>
        </w:rPr>
        <w:t>s made these rating changes.</w:t>
      </w:r>
    </w:p>
    <w:p w:rsidR="003D655E" w:rsidRPr="00611E82" w:rsidRDefault="003D655E" w:rsidP="00BE3931">
      <w:pPr>
        <w:spacing w:line="480" w:lineRule="auto"/>
        <w:ind w:left="720" w:hanging="720"/>
        <w:rPr>
          <w:b/>
          <w:szCs w:val="24"/>
        </w:rPr>
      </w:pPr>
      <w:r w:rsidRPr="00611E82">
        <w:rPr>
          <w:szCs w:val="24"/>
        </w:rPr>
        <w:t>A.</w:t>
      </w:r>
      <w:r w:rsidRPr="00C04A68">
        <w:rPr>
          <w:b/>
          <w:szCs w:val="24"/>
        </w:rPr>
        <w:tab/>
      </w:r>
      <w:r w:rsidRPr="00C04A68">
        <w:rPr>
          <w:szCs w:val="24"/>
        </w:rPr>
        <w:t>The upgrades</w:t>
      </w:r>
      <w:r w:rsidR="00E452E3">
        <w:rPr>
          <w:szCs w:val="24"/>
        </w:rPr>
        <w:t xml:space="preserve"> were primarily driven by Moody’</w:t>
      </w:r>
      <w:r w:rsidRPr="00C04A68">
        <w:rPr>
          <w:szCs w:val="24"/>
        </w:rPr>
        <w:t>s more favorable view of the relative credit supportiveness of the U</w:t>
      </w:r>
      <w:r w:rsidR="005F3560">
        <w:rPr>
          <w:szCs w:val="24"/>
        </w:rPr>
        <w:t xml:space="preserve">nited </w:t>
      </w:r>
      <w:r w:rsidRPr="00C04A68">
        <w:rPr>
          <w:szCs w:val="24"/>
        </w:rPr>
        <w:t>S</w:t>
      </w:r>
      <w:r w:rsidR="005F3560">
        <w:rPr>
          <w:szCs w:val="24"/>
        </w:rPr>
        <w:t>tates</w:t>
      </w:r>
      <w:r w:rsidRPr="00C04A68">
        <w:rPr>
          <w:szCs w:val="24"/>
        </w:rPr>
        <w:t xml:space="preserve"> regulatory environment. </w:t>
      </w:r>
    </w:p>
    <w:p w:rsidR="003D655E" w:rsidRPr="00C04A68" w:rsidRDefault="003D655E" w:rsidP="00BE3931">
      <w:pPr>
        <w:spacing w:line="480" w:lineRule="auto"/>
        <w:ind w:left="720" w:hanging="720"/>
        <w:rPr>
          <w:b/>
          <w:szCs w:val="24"/>
        </w:rPr>
      </w:pPr>
      <w:r w:rsidRPr="00C04A68">
        <w:rPr>
          <w:b/>
          <w:szCs w:val="24"/>
        </w:rPr>
        <w:t xml:space="preserve">Q. </w:t>
      </w:r>
      <w:r w:rsidR="00611E82">
        <w:rPr>
          <w:b/>
          <w:szCs w:val="24"/>
        </w:rPr>
        <w:tab/>
      </w:r>
      <w:r w:rsidRPr="00C04A68">
        <w:rPr>
          <w:b/>
          <w:szCs w:val="24"/>
        </w:rPr>
        <w:t xml:space="preserve">Was the upgrade solely to PacifiCorp or </w:t>
      </w:r>
      <w:proofErr w:type="gramStart"/>
      <w:r w:rsidRPr="00C04A68">
        <w:rPr>
          <w:b/>
          <w:szCs w:val="24"/>
        </w:rPr>
        <w:t>were</w:t>
      </w:r>
      <w:proofErr w:type="gramEnd"/>
      <w:r w:rsidRPr="00C04A68">
        <w:rPr>
          <w:b/>
          <w:szCs w:val="24"/>
        </w:rPr>
        <w:t xml:space="preserve"> other utilities also upgraded at this time?</w:t>
      </w:r>
    </w:p>
    <w:p w:rsidR="003D655E" w:rsidRPr="00C04A68" w:rsidRDefault="003D655E" w:rsidP="00BE3931">
      <w:pPr>
        <w:spacing w:line="480" w:lineRule="auto"/>
        <w:ind w:left="720" w:hanging="720"/>
        <w:rPr>
          <w:b/>
          <w:szCs w:val="24"/>
        </w:rPr>
      </w:pPr>
      <w:r w:rsidRPr="00611E82">
        <w:rPr>
          <w:szCs w:val="24"/>
        </w:rPr>
        <w:t>A.</w:t>
      </w:r>
      <w:r w:rsidRPr="00C04A68">
        <w:rPr>
          <w:szCs w:val="24"/>
        </w:rPr>
        <w:tab/>
        <w:t>The upgrade was</w:t>
      </w:r>
      <w:r w:rsidR="00611E82">
        <w:rPr>
          <w:szCs w:val="24"/>
        </w:rPr>
        <w:t xml:space="preserve"> not exclusive to PacifiCorp.</w:t>
      </w:r>
      <w:r w:rsidR="00F03A4C">
        <w:rPr>
          <w:rStyle w:val="FootnoteReference"/>
          <w:szCs w:val="24"/>
        </w:rPr>
        <w:footnoteReference w:id="12"/>
      </w:r>
      <w:r w:rsidR="00611E82">
        <w:rPr>
          <w:szCs w:val="24"/>
        </w:rPr>
        <w:t xml:space="preserve"> </w:t>
      </w:r>
      <w:r w:rsidR="00E452E3">
        <w:rPr>
          <w:szCs w:val="24"/>
        </w:rPr>
        <w:t xml:space="preserve"> </w:t>
      </w:r>
      <w:r w:rsidR="00611E82">
        <w:rPr>
          <w:szCs w:val="24"/>
        </w:rPr>
        <w:t>Moody’</w:t>
      </w:r>
      <w:r w:rsidRPr="00C04A68">
        <w:rPr>
          <w:szCs w:val="24"/>
        </w:rPr>
        <w:t>s actions were part of an industry</w:t>
      </w:r>
      <w:r w:rsidR="005F3560">
        <w:rPr>
          <w:szCs w:val="24"/>
        </w:rPr>
        <w:t>-</w:t>
      </w:r>
      <w:r w:rsidRPr="00C04A68">
        <w:rPr>
          <w:szCs w:val="24"/>
        </w:rPr>
        <w:t xml:space="preserve">wide event in which the majority of utilities were upgraded one level. </w:t>
      </w:r>
      <w:r w:rsidR="005F3560">
        <w:rPr>
          <w:szCs w:val="24"/>
        </w:rPr>
        <w:t xml:space="preserve"> Before</w:t>
      </w:r>
      <w:r w:rsidRPr="00C04A68">
        <w:rPr>
          <w:szCs w:val="24"/>
        </w:rPr>
        <w:t xml:space="preserve"> the upgra</w:t>
      </w:r>
      <w:r w:rsidR="008C2801">
        <w:rPr>
          <w:szCs w:val="24"/>
        </w:rPr>
        <w:t>de, Moody’</w:t>
      </w:r>
      <w:r w:rsidR="00611E82">
        <w:rPr>
          <w:szCs w:val="24"/>
        </w:rPr>
        <w:t xml:space="preserve">s placed the ratings </w:t>
      </w:r>
      <w:r w:rsidRPr="00C04A68">
        <w:rPr>
          <w:szCs w:val="24"/>
        </w:rPr>
        <w:t>of most regulated utilities and utility holding companies in the United States on review for upgrade, affecting appro</w:t>
      </w:r>
      <w:r w:rsidR="00611E82">
        <w:rPr>
          <w:szCs w:val="24"/>
        </w:rPr>
        <w:t xml:space="preserve">ximately $400 billion of debt. </w:t>
      </w:r>
      <w:r w:rsidR="00E452E3">
        <w:rPr>
          <w:szCs w:val="24"/>
        </w:rPr>
        <w:t xml:space="preserve"> </w:t>
      </w:r>
      <w:r w:rsidRPr="00C04A68">
        <w:rPr>
          <w:szCs w:val="24"/>
        </w:rPr>
        <w:t>At that time, Mood</w:t>
      </w:r>
      <w:r w:rsidR="00611E82">
        <w:rPr>
          <w:szCs w:val="24"/>
        </w:rPr>
        <w:t>y’s noted</w:t>
      </w:r>
      <w:r w:rsidR="005F3560">
        <w:rPr>
          <w:szCs w:val="24"/>
        </w:rPr>
        <w:t>:</w:t>
      </w:r>
      <w:r w:rsidR="00611E82">
        <w:rPr>
          <w:szCs w:val="24"/>
        </w:rPr>
        <w:t xml:space="preserve"> “</w:t>
      </w:r>
      <w:r w:rsidRPr="00C04A68">
        <w:rPr>
          <w:szCs w:val="24"/>
        </w:rPr>
        <w:t>These companies have been</w:t>
      </w:r>
      <w:r w:rsidR="00611E82">
        <w:rPr>
          <w:szCs w:val="24"/>
        </w:rPr>
        <w:t xml:space="preserve"> placed on review because Moody’</w:t>
      </w:r>
      <w:r w:rsidRPr="00C04A68">
        <w:rPr>
          <w:szCs w:val="24"/>
        </w:rPr>
        <w:t>s has adopted a generally more favorable view of the relative credit supportiveness of</w:t>
      </w:r>
      <w:r w:rsidR="00611E82">
        <w:rPr>
          <w:szCs w:val="24"/>
        </w:rPr>
        <w:t xml:space="preserve"> the US regulatory environment.”</w:t>
      </w:r>
    </w:p>
    <w:p w:rsidR="003D655E" w:rsidRPr="00C04A68" w:rsidRDefault="00611E82" w:rsidP="00BE3931">
      <w:pPr>
        <w:spacing w:line="480" w:lineRule="auto"/>
        <w:ind w:left="720" w:hanging="720"/>
        <w:rPr>
          <w:b/>
          <w:szCs w:val="24"/>
        </w:rPr>
      </w:pPr>
      <w:r>
        <w:rPr>
          <w:b/>
          <w:szCs w:val="24"/>
        </w:rPr>
        <w:t>Q.</w:t>
      </w:r>
      <w:r>
        <w:rPr>
          <w:b/>
          <w:szCs w:val="24"/>
        </w:rPr>
        <w:tab/>
        <w:t>Does Moody’</w:t>
      </w:r>
      <w:r w:rsidR="003D655E" w:rsidRPr="00C04A68">
        <w:rPr>
          <w:b/>
          <w:szCs w:val="24"/>
        </w:rPr>
        <w:t xml:space="preserve">s express an opinion </w:t>
      </w:r>
      <w:r w:rsidR="005F3560">
        <w:rPr>
          <w:b/>
          <w:szCs w:val="24"/>
        </w:rPr>
        <w:t xml:space="preserve">on PacifiCorp’s specific </w:t>
      </w:r>
      <w:r w:rsidR="003D655E" w:rsidRPr="00C04A68">
        <w:rPr>
          <w:b/>
          <w:szCs w:val="24"/>
        </w:rPr>
        <w:t xml:space="preserve">regulatory treatment?  </w:t>
      </w:r>
    </w:p>
    <w:p w:rsidR="003D655E" w:rsidRPr="00C04A68" w:rsidRDefault="003D655E" w:rsidP="00BE3931">
      <w:pPr>
        <w:spacing w:line="480" w:lineRule="auto"/>
        <w:ind w:left="720" w:hanging="720"/>
        <w:rPr>
          <w:b/>
          <w:szCs w:val="24"/>
        </w:rPr>
      </w:pPr>
      <w:r w:rsidRPr="00611E82">
        <w:rPr>
          <w:szCs w:val="24"/>
        </w:rPr>
        <w:t>A.</w:t>
      </w:r>
      <w:r w:rsidR="00611E82">
        <w:rPr>
          <w:szCs w:val="24"/>
        </w:rPr>
        <w:tab/>
        <w:t xml:space="preserve">Yes. </w:t>
      </w:r>
      <w:r w:rsidR="00E452E3">
        <w:rPr>
          <w:szCs w:val="24"/>
        </w:rPr>
        <w:t xml:space="preserve"> </w:t>
      </w:r>
      <w:r w:rsidR="00611E82">
        <w:rPr>
          <w:szCs w:val="24"/>
        </w:rPr>
        <w:t>Moody’s wrote: “</w:t>
      </w:r>
      <w:r w:rsidRPr="00C04A68">
        <w:rPr>
          <w:szCs w:val="24"/>
        </w:rPr>
        <w:t>In the context of Moody</w:t>
      </w:r>
      <w:r w:rsidR="00611E82">
        <w:rPr>
          <w:szCs w:val="24"/>
        </w:rPr>
        <w:t>’</w:t>
      </w:r>
      <w:r w:rsidRPr="00C04A68">
        <w:rPr>
          <w:szCs w:val="24"/>
        </w:rPr>
        <w:t>s more favorable view of US utility regulation, Moody</w:t>
      </w:r>
      <w:r w:rsidR="00611E82">
        <w:rPr>
          <w:szCs w:val="24"/>
        </w:rPr>
        <w:t>’s assesses PacifiCorp’</w:t>
      </w:r>
      <w:r w:rsidRPr="00C04A68">
        <w:rPr>
          <w:szCs w:val="24"/>
        </w:rPr>
        <w:t>s overall r</w:t>
      </w:r>
      <w:r w:rsidR="00611E82">
        <w:rPr>
          <w:szCs w:val="24"/>
        </w:rPr>
        <w:t>egulatory treatment as average.”</w:t>
      </w:r>
      <w:r w:rsidR="00742E2F">
        <w:rPr>
          <w:rStyle w:val="FootnoteReference"/>
          <w:szCs w:val="24"/>
        </w:rPr>
        <w:footnoteReference w:id="13"/>
      </w:r>
      <w:r w:rsidR="00611E82">
        <w:rPr>
          <w:szCs w:val="24"/>
        </w:rPr>
        <w:t xml:space="preserve"> </w:t>
      </w:r>
      <w:r w:rsidR="00E452E3">
        <w:rPr>
          <w:szCs w:val="24"/>
        </w:rPr>
        <w:t xml:space="preserve"> </w:t>
      </w:r>
      <w:r w:rsidR="00611E82">
        <w:rPr>
          <w:szCs w:val="24"/>
        </w:rPr>
        <w:t>Moody’s continued</w:t>
      </w:r>
      <w:r w:rsidR="005F3560">
        <w:rPr>
          <w:szCs w:val="24"/>
        </w:rPr>
        <w:t>:</w:t>
      </w:r>
      <w:r w:rsidR="00611E82">
        <w:rPr>
          <w:szCs w:val="24"/>
        </w:rPr>
        <w:t xml:space="preserve"> “</w:t>
      </w:r>
      <w:r w:rsidRPr="00C04A68">
        <w:rPr>
          <w:szCs w:val="24"/>
        </w:rPr>
        <w:t xml:space="preserve">Although PacifiCorp has been filing rate cases every year or so </w:t>
      </w:r>
      <w:r w:rsidRPr="00C04A68">
        <w:rPr>
          <w:szCs w:val="24"/>
        </w:rPr>
        <w:lastRenderedPageBreak/>
        <w:t>in its largest jurisdictions and getting reasonable outcomes, regulatory la</w:t>
      </w:r>
      <w:r w:rsidR="00611E82">
        <w:rPr>
          <w:szCs w:val="24"/>
        </w:rPr>
        <w:t>g remains an ongoing challenge.”</w:t>
      </w:r>
      <w:r w:rsidR="00611E82">
        <w:rPr>
          <w:rStyle w:val="FootnoteReference"/>
          <w:szCs w:val="24"/>
        </w:rPr>
        <w:footnoteReference w:id="14"/>
      </w:r>
      <w:r w:rsidRPr="00C04A68">
        <w:rPr>
          <w:szCs w:val="24"/>
        </w:rPr>
        <w:t xml:space="preserve"> </w:t>
      </w:r>
    </w:p>
    <w:p w:rsidR="007D006F" w:rsidRDefault="007D006F" w:rsidP="00BE3931">
      <w:pPr>
        <w:spacing w:line="480" w:lineRule="auto"/>
        <w:ind w:left="720" w:hanging="720"/>
        <w:rPr>
          <w:b/>
          <w:szCs w:val="24"/>
        </w:rPr>
      </w:pPr>
      <w:r>
        <w:rPr>
          <w:b/>
          <w:szCs w:val="24"/>
        </w:rPr>
        <w:t>Q.</w:t>
      </w:r>
      <w:r>
        <w:rPr>
          <w:b/>
          <w:szCs w:val="24"/>
        </w:rPr>
        <w:tab/>
      </w:r>
      <w:r w:rsidR="00F328E8">
        <w:rPr>
          <w:b/>
          <w:szCs w:val="24"/>
        </w:rPr>
        <w:t xml:space="preserve">Has </w:t>
      </w:r>
      <w:r w:rsidR="00BA1B64">
        <w:rPr>
          <w:b/>
          <w:szCs w:val="24"/>
        </w:rPr>
        <w:t>S&amp;P</w:t>
      </w:r>
      <w:r>
        <w:rPr>
          <w:b/>
          <w:szCs w:val="24"/>
        </w:rPr>
        <w:t xml:space="preserve"> </w:t>
      </w:r>
      <w:r w:rsidR="00BA1B64">
        <w:rPr>
          <w:b/>
          <w:szCs w:val="24"/>
        </w:rPr>
        <w:t xml:space="preserve">recently described </w:t>
      </w:r>
      <w:r>
        <w:rPr>
          <w:b/>
          <w:szCs w:val="24"/>
        </w:rPr>
        <w:t>the Washington regulatory climate</w:t>
      </w:r>
      <w:r w:rsidR="00BA1B64">
        <w:rPr>
          <w:b/>
          <w:szCs w:val="24"/>
        </w:rPr>
        <w:t xml:space="preserve"> as “challenging”</w:t>
      </w:r>
      <w:r>
        <w:rPr>
          <w:b/>
          <w:szCs w:val="24"/>
        </w:rPr>
        <w:t>?</w:t>
      </w:r>
    </w:p>
    <w:p w:rsidR="0093118D" w:rsidRDefault="007D006F" w:rsidP="00B07112">
      <w:pPr>
        <w:spacing w:line="480" w:lineRule="auto"/>
        <w:ind w:left="720" w:hanging="720"/>
        <w:rPr>
          <w:szCs w:val="24"/>
        </w:rPr>
      </w:pPr>
      <w:r w:rsidRPr="00AF47B9">
        <w:rPr>
          <w:szCs w:val="24"/>
        </w:rPr>
        <w:t>A.</w:t>
      </w:r>
      <w:r>
        <w:rPr>
          <w:b/>
          <w:szCs w:val="24"/>
        </w:rPr>
        <w:tab/>
      </w:r>
      <w:r>
        <w:rPr>
          <w:szCs w:val="24"/>
        </w:rPr>
        <w:t xml:space="preserve">Yes.  </w:t>
      </w:r>
      <w:r w:rsidR="00955131">
        <w:rPr>
          <w:szCs w:val="24"/>
        </w:rPr>
        <w:t>For example</w:t>
      </w:r>
      <w:r w:rsidR="000307C0">
        <w:rPr>
          <w:szCs w:val="24"/>
        </w:rPr>
        <w:t xml:space="preserve">, </w:t>
      </w:r>
      <w:r w:rsidR="00862809">
        <w:rPr>
          <w:szCs w:val="24"/>
        </w:rPr>
        <w:t xml:space="preserve">S&amp;P recently </w:t>
      </w:r>
      <w:r w:rsidR="000307C0">
        <w:rPr>
          <w:szCs w:val="24"/>
        </w:rPr>
        <w:t xml:space="preserve">commented that </w:t>
      </w:r>
      <w:r w:rsidR="00955131">
        <w:rPr>
          <w:szCs w:val="24"/>
        </w:rPr>
        <w:t>“</w:t>
      </w:r>
      <w:proofErr w:type="spellStart"/>
      <w:r w:rsidR="00087412">
        <w:rPr>
          <w:szCs w:val="24"/>
        </w:rPr>
        <w:t>Av</w:t>
      </w:r>
      <w:r w:rsidR="00955131">
        <w:rPr>
          <w:szCs w:val="24"/>
        </w:rPr>
        <w:t>ista</w:t>
      </w:r>
      <w:proofErr w:type="spellEnd"/>
      <w:r w:rsidR="00955131">
        <w:rPr>
          <w:szCs w:val="24"/>
        </w:rPr>
        <w:t xml:space="preserve"> faces some challenges in Washington, which remains a somewhat challenging jurisdiction.”</w:t>
      </w:r>
      <w:r w:rsidR="00955131">
        <w:rPr>
          <w:rStyle w:val="FootnoteReference"/>
          <w:szCs w:val="24"/>
        </w:rPr>
        <w:footnoteReference w:id="15"/>
      </w:r>
      <w:r w:rsidR="000307C0">
        <w:rPr>
          <w:szCs w:val="24"/>
        </w:rPr>
        <w:t xml:space="preserve"> </w:t>
      </w:r>
      <w:r w:rsidR="00B07112">
        <w:rPr>
          <w:szCs w:val="24"/>
        </w:rPr>
        <w:t xml:space="preserve"> </w:t>
      </w:r>
      <w:r w:rsidR="000307C0">
        <w:rPr>
          <w:szCs w:val="24"/>
        </w:rPr>
        <w:t xml:space="preserve">Similarly, </w:t>
      </w:r>
      <w:r w:rsidR="00862809">
        <w:rPr>
          <w:szCs w:val="24"/>
        </w:rPr>
        <w:t xml:space="preserve">S&amp;P stated:  </w:t>
      </w:r>
    </w:p>
    <w:p w:rsidR="00955131" w:rsidRDefault="00955131" w:rsidP="00862809">
      <w:pPr>
        <w:spacing w:after="240"/>
        <w:ind w:left="1440" w:right="720"/>
        <w:rPr>
          <w:szCs w:val="24"/>
        </w:rPr>
      </w:pPr>
      <w:r>
        <w:rPr>
          <w:szCs w:val="24"/>
        </w:rPr>
        <w:t>Puget Sound’s “strong” business risk profile reflects operations as a sole provider in its service territories of essential electricity and natural gas distribution services that remain regulated by the state of Washington.  This regulation provides some support and insulation from market challenges, though historically the jurisdiction has been challenging.</w:t>
      </w:r>
      <w:r>
        <w:rPr>
          <w:rStyle w:val="FootnoteReference"/>
          <w:szCs w:val="24"/>
        </w:rPr>
        <w:footnoteReference w:id="16"/>
      </w:r>
    </w:p>
    <w:p w:rsidR="003D655E" w:rsidRPr="00C04A68"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Do rating agencies share a view concerning the need for supportive rate case outcomes?</w:t>
      </w:r>
    </w:p>
    <w:p w:rsidR="003D655E" w:rsidRPr="00C04A68" w:rsidRDefault="003D655E" w:rsidP="00E452E3">
      <w:pPr>
        <w:spacing w:line="480" w:lineRule="auto"/>
        <w:ind w:left="720" w:hanging="720"/>
        <w:rPr>
          <w:szCs w:val="24"/>
        </w:rPr>
      </w:pPr>
      <w:r w:rsidRPr="00C04A68">
        <w:rPr>
          <w:szCs w:val="24"/>
        </w:rPr>
        <w:t>A.</w:t>
      </w:r>
      <w:r w:rsidRPr="00C04A68">
        <w:rPr>
          <w:szCs w:val="24"/>
        </w:rPr>
        <w:tab/>
        <w:t>Yes, quite clearly.</w:t>
      </w:r>
      <w:r w:rsidR="00E452E3">
        <w:rPr>
          <w:szCs w:val="24"/>
        </w:rPr>
        <w:t xml:space="preserve"> </w:t>
      </w:r>
      <w:r w:rsidR="00087412">
        <w:rPr>
          <w:szCs w:val="24"/>
        </w:rPr>
        <w:t xml:space="preserve"> </w:t>
      </w:r>
      <w:r w:rsidRPr="00C04A68">
        <w:rPr>
          <w:szCs w:val="24"/>
        </w:rPr>
        <w:t>Fitch stated: “Ratings stability is predicated on reasonable outcomes in pending and future rate proceedings to recover anticipated, significant capital investments….</w:t>
      </w:r>
      <w:r w:rsidR="00E452E3">
        <w:rPr>
          <w:szCs w:val="24"/>
        </w:rPr>
        <w:t xml:space="preserve"> </w:t>
      </w:r>
      <w:r w:rsidRPr="00C04A68">
        <w:rPr>
          <w:szCs w:val="24"/>
        </w:rPr>
        <w:t>A key rating concern is the execution of a large capital plan and timely recovery of related costs.”</w:t>
      </w:r>
      <w:r w:rsidR="00611E82">
        <w:rPr>
          <w:rStyle w:val="FootnoteReference"/>
          <w:szCs w:val="24"/>
        </w:rPr>
        <w:footnoteReference w:id="17"/>
      </w:r>
      <w:r w:rsidRPr="00C04A68">
        <w:rPr>
          <w:szCs w:val="24"/>
        </w:rPr>
        <w:t xml:space="preserve">  </w:t>
      </w:r>
      <w:r w:rsidR="001039A9">
        <w:rPr>
          <w:szCs w:val="24"/>
        </w:rPr>
        <w:t>Fitch</w:t>
      </w:r>
      <w:r w:rsidRPr="00C04A68">
        <w:rPr>
          <w:szCs w:val="24"/>
        </w:rPr>
        <w:t xml:space="preserve"> further stated:</w:t>
      </w:r>
    </w:p>
    <w:p w:rsidR="003D655E" w:rsidRPr="00C04A68" w:rsidRDefault="003D655E" w:rsidP="00BE3931">
      <w:pPr>
        <w:ind w:left="1440" w:right="720"/>
        <w:rPr>
          <w:szCs w:val="24"/>
        </w:rPr>
      </w:pPr>
      <w:r w:rsidRPr="00C04A68">
        <w:rPr>
          <w:szCs w:val="24"/>
        </w:rPr>
        <w:t>Given the size of its planned capital investment, timely recovery of capital and related operating and maintenance costs is crucial for PPW’s creditworthiness.  Therefore, currently unanticipated adverse developments in PPW’s six regulatory jurisdictions, leading to greater regulatory lag or lower recoveries, and resulting weaker coverage ratios compared with Fitch’s projections could lead to future deterioration in PPW’s creditworthiness and lower credit ratings.</w:t>
      </w:r>
      <w:r w:rsidR="009349B0">
        <w:rPr>
          <w:rStyle w:val="FootnoteReference"/>
          <w:szCs w:val="24"/>
        </w:rPr>
        <w:footnoteReference w:id="18"/>
      </w:r>
      <w:r w:rsidRPr="00C04A68">
        <w:rPr>
          <w:color w:val="000000"/>
          <w:szCs w:val="24"/>
          <w:shd w:val="solid" w:color="FFFF00" w:fill="auto"/>
        </w:rPr>
        <w:t xml:space="preserve"> </w:t>
      </w:r>
    </w:p>
    <w:p w:rsidR="003D655E" w:rsidRPr="00C04A68" w:rsidRDefault="003D655E" w:rsidP="00BE3931">
      <w:pPr>
        <w:suppressLineNumbers/>
        <w:ind w:left="720" w:right="720" w:hanging="720"/>
        <w:rPr>
          <w:szCs w:val="24"/>
        </w:rPr>
      </w:pPr>
    </w:p>
    <w:p w:rsidR="003D655E" w:rsidRPr="00C04A68" w:rsidRDefault="003D655E" w:rsidP="00BE3931">
      <w:pPr>
        <w:spacing w:line="480" w:lineRule="auto"/>
        <w:ind w:left="720"/>
        <w:rPr>
          <w:szCs w:val="24"/>
        </w:rPr>
      </w:pPr>
      <w:r w:rsidRPr="00C04A68">
        <w:rPr>
          <w:szCs w:val="24"/>
        </w:rPr>
        <w:lastRenderedPageBreak/>
        <w:t>Likewise, Moody’s lists “Reasonably supportive regulatory environment” as one of</w:t>
      </w:r>
      <w:r w:rsidR="009349B0">
        <w:rPr>
          <w:szCs w:val="24"/>
        </w:rPr>
        <w:t xml:space="preserve"> the ratings drivers, stating: </w:t>
      </w:r>
      <w:r w:rsidRPr="00C04A68">
        <w:rPr>
          <w:szCs w:val="24"/>
        </w:rPr>
        <w:t xml:space="preserve">“The stable outlook incorporates Moody’s expectation that PacifiCorp will continue to receive reasonable regulatory treatment for the recovery of its capital </w:t>
      </w:r>
      <w:proofErr w:type="gramStart"/>
      <w:r w:rsidRPr="00C04A68">
        <w:rPr>
          <w:szCs w:val="24"/>
        </w:rPr>
        <w:t>expenditures[</w:t>
      </w:r>
      <w:proofErr w:type="gramEnd"/>
      <w:r w:rsidRPr="00C04A68">
        <w:rPr>
          <w:szCs w:val="24"/>
        </w:rPr>
        <w:t>.]”</w:t>
      </w:r>
      <w:r w:rsidR="00040D62">
        <w:rPr>
          <w:rStyle w:val="FootnoteReference"/>
          <w:szCs w:val="24"/>
        </w:rPr>
        <w:footnoteReference w:id="19"/>
      </w:r>
      <w:r w:rsidR="00040D62">
        <w:rPr>
          <w:szCs w:val="24"/>
        </w:rPr>
        <w:t xml:space="preserve"> </w:t>
      </w:r>
      <w:r w:rsidR="00E452E3">
        <w:rPr>
          <w:szCs w:val="24"/>
        </w:rPr>
        <w:t xml:space="preserve"> </w:t>
      </w:r>
      <w:r w:rsidRPr="00C04A68">
        <w:rPr>
          <w:szCs w:val="24"/>
        </w:rPr>
        <w:t xml:space="preserve">Moody’s further stated that one of the factors that could cause the rating to be lowered is “adverse regulatory rulings on current and future rate cases such that we would anticipate a sustained deterioration in financial </w:t>
      </w:r>
      <w:proofErr w:type="gramStart"/>
      <w:r w:rsidRPr="00C04A68">
        <w:rPr>
          <w:szCs w:val="24"/>
        </w:rPr>
        <w:t>metrics[</w:t>
      </w:r>
      <w:proofErr w:type="gramEnd"/>
      <w:r w:rsidRPr="00C04A68">
        <w:rPr>
          <w:szCs w:val="24"/>
        </w:rPr>
        <w:t>.]”</w:t>
      </w:r>
      <w:r w:rsidR="00040D62">
        <w:rPr>
          <w:rStyle w:val="FootnoteReference"/>
          <w:szCs w:val="24"/>
        </w:rPr>
        <w:footnoteReference w:id="20"/>
      </w:r>
      <w:r w:rsidR="00040D62">
        <w:rPr>
          <w:szCs w:val="24"/>
        </w:rPr>
        <w:t xml:space="preserve"> </w:t>
      </w:r>
      <w:r w:rsidR="00E452E3">
        <w:rPr>
          <w:szCs w:val="24"/>
        </w:rPr>
        <w:t xml:space="preserve"> </w:t>
      </w:r>
      <w:r w:rsidRPr="00C04A68">
        <w:rPr>
          <w:szCs w:val="24"/>
        </w:rPr>
        <w:t>Moody’s notes</w:t>
      </w:r>
      <w:r w:rsidR="00087412">
        <w:rPr>
          <w:szCs w:val="24"/>
        </w:rPr>
        <w:t xml:space="preserve"> that</w:t>
      </w:r>
      <w:r w:rsidRPr="00C04A68">
        <w:rPr>
          <w:szCs w:val="24"/>
        </w:rPr>
        <w:t xml:space="preserve"> “</w:t>
      </w:r>
      <w:r w:rsidR="00087412">
        <w:rPr>
          <w:szCs w:val="24"/>
        </w:rPr>
        <w:t>[r]</w:t>
      </w:r>
      <w:proofErr w:type="spellStart"/>
      <w:r w:rsidRPr="00C04A68">
        <w:rPr>
          <w:szCs w:val="24"/>
        </w:rPr>
        <w:t>egulatory</w:t>
      </w:r>
      <w:proofErr w:type="spellEnd"/>
      <w:r w:rsidRPr="00C04A68">
        <w:rPr>
          <w:szCs w:val="24"/>
        </w:rPr>
        <w:t xml:space="preserve"> lag is a challenge for PacifiCorp, which has long maintained large capital programs to meet load growth as well as regulatory requirements for emissions control, renewable standards, and reliability.”</w:t>
      </w:r>
      <w:r w:rsidR="009349B0">
        <w:rPr>
          <w:rStyle w:val="FootnoteReference"/>
          <w:szCs w:val="24"/>
        </w:rPr>
        <w:footnoteReference w:id="21"/>
      </w:r>
    </w:p>
    <w:p w:rsidR="003D655E" w:rsidRDefault="003D655E" w:rsidP="00BE3931">
      <w:pPr>
        <w:spacing w:line="480" w:lineRule="auto"/>
        <w:ind w:left="720" w:firstLine="720"/>
        <w:rPr>
          <w:color w:val="000000"/>
          <w:szCs w:val="24"/>
          <w:shd w:val="solid" w:color="FFFF00" w:fill="auto"/>
        </w:rPr>
      </w:pPr>
      <w:r w:rsidRPr="00C04A68">
        <w:rPr>
          <w:szCs w:val="24"/>
        </w:rPr>
        <w:t xml:space="preserve">S&amp;P concurs, </w:t>
      </w:r>
      <w:r w:rsidR="00E452E3">
        <w:rPr>
          <w:szCs w:val="24"/>
        </w:rPr>
        <w:t xml:space="preserve">stating: </w:t>
      </w:r>
      <w:r w:rsidRPr="00C04A68">
        <w:rPr>
          <w:szCs w:val="24"/>
        </w:rPr>
        <w:t>“</w:t>
      </w:r>
      <w:r w:rsidR="00E452E3">
        <w:rPr>
          <w:szCs w:val="24"/>
        </w:rPr>
        <w:t>A</w:t>
      </w:r>
      <w:r w:rsidRPr="00C04A68">
        <w:rPr>
          <w:szCs w:val="24"/>
        </w:rPr>
        <w:t xml:space="preserve"> key ongoing challenge for PacifiCorp is whether it will be able to achieve rate relief at levels necessary to sustain the company’s capital investment program.”</w:t>
      </w:r>
      <w:r w:rsidR="009349B0">
        <w:rPr>
          <w:rStyle w:val="FootnoteReference"/>
          <w:szCs w:val="24"/>
        </w:rPr>
        <w:footnoteReference w:id="22"/>
      </w:r>
      <w:r w:rsidRPr="00C04A68">
        <w:rPr>
          <w:szCs w:val="24"/>
        </w:rPr>
        <w:t xml:space="preserve"> </w:t>
      </w:r>
      <w:r w:rsidR="00E452E3">
        <w:rPr>
          <w:szCs w:val="24"/>
        </w:rPr>
        <w:t xml:space="preserve"> </w:t>
      </w:r>
      <w:r w:rsidRPr="00C04A68">
        <w:rPr>
          <w:szCs w:val="24"/>
        </w:rPr>
        <w:t xml:space="preserve">S&amp;P also </w:t>
      </w:r>
      <w:r w:rsidR="002A2391">
        <w:rPr>
          <w:szCs w:val="24"/>
        </w:rPr>
        <w:t>commented</w:t>
      </w:r>
      <w:r w:rsidR="00E452E3">
        <w:rPr>
          <w:szCs w:val="24"/>
        </w:rPr>
        <w:t xml:space="preserve">: </w:t>
      </w:r>
      <w:r w:rsidRPr="00C04A68">
        <w:rPr>
          <w:szCs w:val="24"/>
        </w:rPr>
        <w:t>“</w:t>
      </w:r>
      <w:r w:rsidR="00A614E3">
        <w:rPr>
          <w:szCs w:val="24"/>
        </w:rPr>
        <w:t>The stable rating outlook reflects our expectation that management will continue to focus on utility operations and reach constructive regulatory outcomes to avoid any meaningful increase in business risk.</w:t>
      </w:r>
      <w:r w:rsidRPr="00C04A68">
        <w:rPr>
          <w:szCs w:val="24"/>
        </w:rPr>
        <w:t>”</w:t>
      </w:r>
      <w:r w:rsidR="009349B0">
        <w:rPr>
          <w:rStyle w:val="FootnoteReference"/>
          <w:szCs w:val="24"/>
        </w:rPr>
        <w:footnoteReference w:id="23"/>
      </w:r>
      <w:r w:rsidRPr="00C04A68">
        <w:rPr>
          <w:color w:val="000000"/>
          <w:szCs w:val="24"/>
          <w:shd w:val="solid" w:color="FFFF00" w:fill="auto"/>
        </w:rPr>
        <w:t xml:space="preserve"> </w:t>
      </w:r>
    </w:p>
    <w:p w:rsidR="00DB63F7" w:rsidRPr="00DB63F7" w:rsidRDefault="00DB63F7" w:rsidP="00BE3931">
      <w:pPr>
        <w:widowControl w:val="0"/>
        <w:spacing w:line="480" w:lineRule="auto"/>
        <w:ind w:left="720" w:hanging="720"/>
        <w:rPr>
          <w:b/>
          <w:bCs/>
          <w:kern w:val="0"/>
          <w:szCs w:val="24"/>
        </w:rPr>
      </w:pPr>
      <w:r w:rsidRPr="00DB63F7">
        <w:rPr>
          <w:b/>
          <w:bCs/>
          <w:kern w:val="0"/>
          <w:szCs w:val="24"/>
        </w:rPr>
        <w:t>Q.</w:t>
      </w:r>
      <w:r w:rsidRPr="00DB63F7">
        <w:rPr>
          <w:b/>
          <w:bCs/>
          <w:kern w:val="0"/>
          <w:szCs w:val="24"/>
        </w:rPr>
        <w:tab/>
        <w:t xml:space="preserve">Have the rating agencies commented on the Company’s lack of a </w:t>
      </w:r>
      <w:r w:rsidR="00087412">
        <w:rPr>
          <w:b/>
          <w:bCs/>
          <w:kern w:val="0"/>
          <w:szCs w:val="24"/>
        </w:rPr>
        <w:t>p</w:t>
      </w:r>
      <w:r w:rsidR="00087412" w:rsidRPr="00DB63F7">
        <w:rPr>
          <w:b/>
          <w:bCs/>
          <w:kern w:val="0"/>
          <w:szCs w:val="24"/>
        </w:rPr>
        <w:t xml:space="preserve">ower </w:t>
      </w:r>
      <w:r w:rsidR="00087412">
        <w:rPr>
          <w:b/>
          <w:bCs/>
          <w:kern w:val="0"/>
          <w:szCs w:val="24"/>
        </w:rPr>
        <w:t>c</w:t>
      </w:r>
      <w:r w:rsidRPr="00DB63F7">
        <w:rPr>
          <w:b/>
          <w:bCs/>
          <w:kern w:val="0"/>
          <w:szCs w:val="24"/>
        </w:rPr>
        <w:t xml:space="preserve">ost </w:t>
      </w:r>
      <w:r w:rsidR="00087412">
        <w:rPr>
          <w:b/>
          <w:bCs/>
          <w:kern w:val="0"/>
          <w:szCs w:val="24"/>
        </w:rPr>
        <w:t>a</w:t>
      </w:r>
      <w:r w:rsidRPr="00DB63F7">
        <w:rPr>
          <w:b/>
          <w:bCs/>
          <w:kern w:val="0"/>
          <w:szCs w:val="24"/>
        </w:rPr>
        <w:t xml:space="preserve">djustment </w:t>
      </w:r>
      <w:r w:rsidR="00087412">
        <w:rPr>
          <w:b/>
          <w:bCs/>
          <w:kern w:val="0"/>
          <w:szCs w:val="24"/>
        </w:rPr>
        <w:t>m</w:t>
      </w:r>
      <w:r w:rsidRPr="00DB63F7">
        <w:rPr>
          <w:b/>
          <w:bCs/>
          <w:kern w:val="0"/>
          <w:szCs w:val="24"/>
        </w:rPr>
        <w:t>echanism (PCAM) in Washington?</w:t>
      </w:r>
    </w:p>
    <w:p w:rsidR="00DB63F7" w:rsidRPr="00DB63F7" w:rsidRDefault="00DB63F7" w:rsidP="00BE3931">
      <w:pPr>
        <w:widowControl w:val="0"/>
        <w:spacing w:line="480" w:lineRule="auto"/>
        <w:ind w:left="720" w:hanging="720"/>
        <w:rPr>
          <w:bCs/>
          <w:kern w:val="0"/>
          <w:szCs w:val="24"/>
        </w:rPr>
      </w:pPr>
      <w:r w:rsidRPr="00DB63F7">
        <w:rPr>
          <w:bCs/>
          <w:kern w:val="0"/>
          <w:szCs w:val="24"/>
        </w:rPr>
        <w:t>A.</w:t>
      </w:r>
      <w:r w:rsidRPr="00DB63F7">
        <w:rPr>
          <w:bCs/>
          <w:kern w:val="0"/>
          <w:szCs w:val="24"/>
        </w:rPr>
        <w:tab/>
        <w:t xml:space="preserve">Yes, they are very aware of it and have noted it as a risk in their reports on </w:t>
      </w:r>
      <w:r w:rsidR="00F03A4C">
        <w:rPr>
          <w:bCs/>
          <w:kern w:val="0"/>
          <w:szCs w:val="24"/>
        </w:rPr>
        <w:t>PacifiCorp</w:t>
      </w:r>
      <w:r w:rsidRPr="00DB63F7">
        <w:rPr>
          <w:bCs/>
          <w:kern w:val="0"/>
          <w:szCs w:val="24"/>
        </w:rPr>
        <w:t xml:space="preserve">.  For example, recent reports include the following: </w:t>
      </w:r>
    </w:p>
    <w:p w:rsidR="00DB63F7" w:rsidRPr="00DB63F7" w:rsidRDefault="00DB63F7" w:rsidP="00BE3931">
      <w:pPr>
        <w:keepNext/>
        <w:widowControl w:val="0"/>
        <w:spacing w:after="120"/>
        <w:ind w:left="1440" w:right="720"/>
        <w:rPr>
          <w:bCs/>
          <w:kern w:val="0"/>
          <w:szCs w:val="24"/>
        </w:rPr>
      </w:pPr>
      <w:r w:rsidRPr="00DB63F7">
        <w:rPr>
          <w:bCs/>
          <w:kern w:val="0"/>
          <w:szCs w:val="24"/>
        </w:rPr>
        <w:t>Fuel adjustment mechanisms exist for all states but Washington.</w:t>
      </w:r>
      <w:r w:rsidRPr="00DB63F7">
        <w:rPr>
          <w:bCs/>
          <w:kern w:val="0"/>
          <w:szCs w:val="24"/>
          <w:vertAlign w:val="superscript"/>
        </w:rPr>
        <w:footnoteReference w:id="24"/>
      </w:r>
    </w:p>
    <w:p w:rsidR="00DB63F7" w:rsidRPr="00DB63F7" w:rsidRDefault="00DB63F7" w:rsidP="00E452E3">
      <w:pPr>
        <w:widowControl w:val="0"/>
        <w:suppressLineNumbers/>
        <w:spacing w:after="120"/>
        <w:ind w:left="720" w:right="720"/>
        <w:jc w:val="center"/>
        <w:rPr>
          <w:kern w:val="0"/>
          <w:szCs w:val="24"/>
        </w:rPr>
      </w:pPr>
      <w:r w:rsidRPr="00DB63F7">
        <w:rPr>
          <w:kern w:val="0"/>
          <w:szCs w:val="24"/>
        </w:rPr>
        <w:t>*</w:t>
      </w:r>
      <w:r w:rsidRPr="00DB63F7">
        <w:rPr>
          <w:kern w:val="0"/>
          <w:szCs w:val="24"/>
        </w:rPr>
        <w:tab/>
        <w:t>*</w:t>
      </w:r>
      <w:r w:rsidRPr="00DB63F7">
        <w:rPr>
          <w:kern w:val="0"/>
          <w:szCs w:val="24"/>
        </w:rPr>
        <w:tab/>
        <w:t>*</w:t>
      </w:r>
    </w:p>
    <w:p w:rsidR="00DB63F7" w:rsidRPr="00DB63F7" w:rsidRDefault="00DB63F7" w:rsidP="00E452E3">
      <w:pPr>
        <w:widowControl w:val="0"/>
        <w:spacing w:after="120"/>
        <w:ind w:left="1440" w:right="720"/>
        <w:rPr>
          <w:bCs/>
          <w:kern w:val="0"/>
          <w:szCs w:val="24"/>
        </w:rPr>
      </w:pPr>
      <w:r w:rsidRPr="00DB63F7">
        <w:rPr>
          <w:bCs/>
          <w:kern w:val="0"/>
          <w:szCs w:val="24"/>
        </w:rPr>
        <w:lastRenderedPageBreak/>
        <w:t>Over the past two years, the Company has now been granted energy cost adjustment mechanisms in all its jurisdictions except Washington.  Such mechanisms to recover fuel and purchased power costs—a large, volatile expense—are more established in other parts of the country.</w:t>
      </w:r>
      <w:r w:rsidRPr="00DB63F7">
        <w:rPr>
          <w:bCs/>
          <w:kern w:val="0"/>
          <w:szCs w:val="24"/>
          <w:vertAlign w:val="superscript"/>
        </w:rPr>
        <w:footnoteReference w:id="25"/>
      </w:r>
    </w:p>
    <w:p w:rsidR="00DB63F7" w:rsidRPr="00DB63F7" w:rsidRDefault="00DB63F7" w:rsidP="00E452E3">
      <w:pPr>
        <w:widowControl w:val="0"/>
        <w:suppressLineNumbers/>
        <w:spacing w:after="120"/>
        <w:ind w:left="720" w:right="720"/>
        <w:jc w:val="center"/>
        <w:rPr>
          <w:kern w:val="0"/>
          <w:szCs w:val="24"/>
        </w:rPr>
      </w:pPr>
      <w:r w:rsidRPr="00DB63F7">
        <w:rPr>
          <w:kern w:val="0"/>
          <w:szCs w:val="24"/>
        </w:rPr>
        <w:t>*</w:t>
      </w:r>
      <w:r w:rsidRPr="00DB63F7">
        <w:rPr>
          <w:kern w:val="0"/>
          <w:szCs w:val="24"/>
        </w:rPr>
        <w:tab/>
        <w:t>*</w:t>
      </w:r>
      <w:r w:rsidRPr="00DB63F7">
        <w:rPr>
          <w:kern w:val="0"/>
          <w:szCs w:val="24"/>
        </w:rPr>
        <w:tab/>
        <w:t>*</w:t>
      </w:r>
    </w:p>
    <w:p w:rsidR="00DB63F7" w:rsidRDefault="001A1FFA" w:rsidP="00E452E3">
      <w:pPr>
        <w:widowControl w:val="0"/>
        <w:ind w:left="1440" w:right="720"/>
        <w:rPr>
          <w:kern w:val="0"/>
          <w:szCs w:val="24"/>
        </w:rPr>
      </w:pPr>
      <w:r>
        <w:rPr>
          <w:kern w:val="0"/>
          <w:szCs w:val="24"/>
        </w:rPr>
        <w:t>Rate constructs in five of the six jurisdictions include power cost adjustments, the State of Washington being the exception.</w:t>
      </w:r>
      <w:r w:rsidR="00DB63F7" w:rsidRPr="00DB63F7">
        <w:rPr>
          <w:kern w:val="0"/>
          <w:szCs w:val="24"/>
          <w:vertAlign w:val="superscript"/>
        </w:rPr>
        <w:footnoteReference w:id="26"/>
      </w:r>
    </w:p>
    <w:p w:rsidR="00C21740" w:rsidRPr="00C04A68" w:rsidRDefault="00C21740" w:rsidP="00AF47B9">
      <w:pPr>
        <w:widowControl w:val="0"/>
        <w:suppressLineNumbers/>
        <w:ind w:left="1440" w:right="720"/>
        <w:rPr>
          <w:szCs w:val="24"/>
        </w:rPr>
      </w:pPr>
    </w:p>
    <w:p w:rsidR="009D27F5" w:rsidRDefault="009D27F5" w:rsidP="009D27F5">
      <w:pPr>
        <w:widowControl w:val="0"/>
        <w:spacing w:line="480" w:lineRule="auto"/>
        <w:ind w:left="720" w:hanging="720"/>
        <w:rPr>
          <w:b/>
          <w:bCs/>
          <w:kern w:val="0"/>
          <w:szCs w:val="24"/>
        </w:rPr>
      </w:pPr>
      <w:r>
        <w:rPr>
          <w:b/>
          <w:bCs/>
          <w:kern w:val="0"/>
          <w:szCs w:val="24"/>
        </w:rPr>
        <w:t>Q.</w:t>
      </w:r>
      <w:r>
        <w:rPr>
          <w:b/>
          <w:bCs/>
          <w:kern w:val="0"/>
          <w:szCs w:val="24"/>
        </w:rPr>
        <w:tab/>
        <w:t xml:space="preserve">Are the Company’s capital structure and cost of capital recommendations in this case designed </w:t>
      </w:r>
      <w:r w:rsidR="00D13361">
        <w:rPr>
          <w:b/>
          <w:bCs/>
          <w:kern w:val="0"/>
          <w:szCs w:val="24"/>
        </w:rPr>
        <w:t xml:space="preserve">in part </w:t>
      </w:r>
      <w:r>
        <w:rPr>
          <w:b/>
          <w:bCs/>
          <w:kern w:val="0"/>
          <w:szCs w:val="24"/>
        </w:rPr>
        <w:t xml:space="preserve">to respond to rating agency concerns and maintain PacifiCorp’s current credit rating to the benefit of customers? </w:t>
      </w:r>
    </w:p>
    <w:p w:rsidR="009D27F5" w:rsidRDefault="009D27F5" w:rsidP="009D27F5">
      <w:pPr>
        <w:widowControl w:val="0"/>
        <w:spacing w:line="480" w:lineRule="auto"/>
        <w:ind w:left="720" w:hanging="720"/>
        <w:rPr>
          <w:b/>
          <w:szCs w:val="24"/>
        </w:rPr>
      </w:pPr>
      <w:r w:rsidRPr="009D27F5">
        <w:rPr>
          <w:bCs/>
          <w:kern w:val="0"/>
          <w:szCs w:val="24"/>
        </w:rPr>
        <w:t>A.</w:t>
      </w:r>
      <w:r w:rsidRPr="009D27F5">
        <w:rPr>
          <w:bCs/>
          <w:kern w:val="0"/>
          <w:szCs w:val="24"/>
        </w:rPr>
        <w:tab/>
        <w:t xml:space="preserve">Yes.  </w:t>
      </w:r>
      <w:r w:rsidR="00D13361">
        <w:rPr>
          <w:bCs/>
          <w:kern w:val="0"/>
          <w:szCs w:val="24"/>
        </w:rPr>
        <w:t xml:space="preserve">As I have explained above, the benefits of maintaining PacifiCorp’s current ratings outweigh the costs and justify the reflection of these costs in rates. </w:t>
      </w:r>
    </w:p>
    <w:p w:rsidR="003D655E" w:rsidRPr="00C04A68" w:rsidRDefault="00845E05" w:rsidP="00AF47B9">
      <w:pPr>
        <w:pStyle w:val="Heading1"/>
      </w:pPr>
      <w:bookmarkStart w:id="7" w:name="_Toc386540858"/>
      <w:r w:rsidRPr="00C04A68">
        <w:t>PREFERRED STOCK REFINANCING</w:t>
      </w:r>
      <w:bookmarkEnd w:id="7"/>
    </w:p>
    <w:p w:rsidR="003D655E" w:rsidRPr="00C04A68" w:rsidRDefault="003D655E" w:rsidP="00D13361">
      <w:pPr>
        <w:spacing w:line="480" w:lineRule="auto"/>
        <w:ind w:left="720" w:hanging="720"/>
        <w:rPr>
          <w:b/>
          <w:szCs w:val="24"/>
        </w:rPr>
      </w:pPr>
      <w:r w:rsidRPr="00C04A68">
        <w:rPr>
          <w:b/>
          <w:szCs w:val="24"/>
        </w:rPr>
        <w:t>Q.</w:t>
      </w:r>
      <w:r w:rsidRPr="00C04A68">
        <w:rPr>
          <w:b/>
          <w:szCs w:val="24"/>
        </w:rPr>
        <w:tab/>
        <w:t xml:space="preserve">Please </w:t>
      </w:r>
      <w:r w:rsidR="00862809">
        <w:rPr>
          <w:b/>
          <w:szCs w:val="24"/>
        </w:rPr>
        <w:t>provide background on</w:t>
      </w:r>
      <w:r w:rsidRPr="00C04A68">
        <w:rPr>
          <w:b/>
          <w:szCs w:val="24"/>
        </w:rPr>
        <w:t xml:space="preserve"> </w:t>
      </w:r>
      <w:r w:rsidR="00862809">
        <w:rPr>
          <w:b/>
          <w:szCs w:val="24"/>
        </w:rPr>
        <w:t xml:space="preserve">PacifiCorp’s recent </w:t>
      </w:r>
      <w:r w:rsidRPr="00C04A68">
        <w:rPr>
          <w:b/>
          <w:szCs w:val="24"/>
        </w:rPr>
        <w:t xml:space="preserve">refinancing of </w:t>
      </w:r>
      <w:r w:rsidR="00862809">
        <w:rPr>
          <w:b/>
          <w:szCs w:val="24"/>
        </w:rPr>
        <w:t xml:space="preserve">its </w:t>
      </w:r>
      <w:r w:rsidRPr="00C04A68">
        <w:rPr>
          <w:b/>
          <w:szCs w:val="24"/>
        </w:rPr>
        <w:t>preferred stock.</w:t>
      </w:r>
    </w:p>
    <w:p w:rsidR="003D655E" w:rsidRPr="00C04A68" w:rsidRDefault="003D655E" w:rsidP="00845E05">
      <w:pPr>
        <w:numPr>
          <w:ilvl w:val="0"/>
          <w:numId w:val="7"/>
        </w:numPr>
        <w:spacing w:line="480" w:lineRule="auto"/>
        <w:ind w:hanging="720"/>
        <w:rPr>
          <w:szCs w:val="24"/>
        </w:rPr>
      </w:pPr>
      <w:r w:rsidRPr="00C04A68">
        <w:rPr>
          <w:szCs w:val="24"/>
        </w:rPr>
        <w:t>During 2013</w:t>
      </w:r>
      <w:r w:rsidR="00862809">
        <w:rPr>
          <w:szCs w:val="24"/>
        </w:rPr>
        <w:t>,</w:t>
      </w:r>
      <w:r w:rsidRPr="00C04A68">
        <w:rPr>
          <w:szCs w:val="24"/>
        </w:rPr>
        <w:t xml:space="preserve"> </w:t>
      </w:r>
      <w:r w:rsidR="00862809">
        <w:rPr>
          <w:szCs w:val="24"/>
        </w:rPr>
        <w:t>PacifiCorp</w:t>
      </w:r>
      <w:r w:rsidRPr="00C04A68">
        <w:rPr>
          <w:szCs w:val="24"/>
        </w:rPr>
        <w:t xml:space="preserve"> redeemed all remaining outstanding shares of six series of redeemable preferred stock at stated redemption prices. </w:t>
      </w:r>
      <w:r w:rsidR="00845E05">
        <w:rPr>
          <w:szCs w:val="24"/>
        </w:rPr>
        <w:t xml:space="preserve"> </w:t>
      </w:r>
      <w:r w:rsidRPr="00C04A68">
        <w:rPr>
          <w:szCs w:val="24"/>
        </w:rPr>
        <w:t xml:space="preserve">These six series totaled approximately $38 million in stated value and were the entirety of all preferred stock that had a redemption feature. </w:t>
      </w:r>
      <w:r w:rsidR="00845E05">
        <w:rPr>
          <w:szCs w:val="24"/>
        </w:rPr>
        <w:t xml:space="preserve"> </w:t>
      </w:r>
      <w:r w:rsidR="00862809">
        <w:rPr>
          <w:szCs w:val="24"/>
        </w:rPr>
        <w:t>PacifiCorp</w:t>
      </w:r>
      <w:r w:rsidRPr="00C04A68">
        <w:rPr>
          <w:szCs w:val="24"/>
        </w:rPr>
        <w:t xml:space="preserve"> funde</w:t>
      </w:r>
      <w:r w:rsidR="000C6E8A">
        <w:rPr>
          <w:szCs w:val="24"/>
        </w:rPr>
        <w:t xml:space="preserve">d the redemption with cash and </w:t>
      </w:r>
      <w:r w:rsidRPr="00C04A68">
        <w:rPr>
          <w:szCs w:val="24"/>
        </w:rPr>
        <w:t>complete</w:t>
      </w:r>
      <w:r w:rsidR="00994DF7">
        <w:rPr>
          <w:szCs w:val="24"/>
        </w:rPr>
        <w:t>d</w:t>
      </w:r>
      <w:r w:rsidRPr="00C04A68">
        <w:rPr>
          <w:szCs w:val="24"/>
        </w:rPr>
        <w:t xml:space="preserve"> the permanent re</w:t>
      </w:r>
      <w:r w:rsidR="007529E2">
        <w:rPr>
          <w:szCs w:val="24"/>
        </w:rPr>
        <w:t xml:space="preserve">financing with proceeds of the </w:t>
      </w:r>
      <w:r w:rsidR="00994DF7">
        <w:rPr>
          <w:szCs w:val="24"/>
        </w:rPr>
        <w:t xml:space="preserve">March 2014 </w:t>
      </w:r>
      <w:r w:rsidRPr="00C04A68">
        <w:rPr>
          <w:szCs w:val="24"/>
        </w:rPr>
        <w:t>long</w:t>
      </w:r>
      <w:r w:rsidR="00862809">
        <w:rPr>
          <w:szCs w:val="24"/>
        </w:rPr>
        <w:t>-</w:t>
      </w:r>
      <w:r w:rsidRPr="00C04A68">
        <w:rPr>
          <w:szCs w:val="24"/>
        </w:rPr>
        <w:t>term debt financing</w:t>
      </w:r>
      <w:r w:rsidR="00994DF7">
        <w:rPr>
          <w:szCs w:val="24"/>
        </w:rPr>
        <w:t>.</w:t>
      </w:r>
    </w:p>
    <w:p w:rsidR="003D655E" w:rsidRPr="00C04A68" w:rsidRDefault="003D655E" w:rsidP="00845E05">
      <w:pPr>
        <w:spacing w:line="480" w:lineRule="auto"/>
        <w:ind w:left="800"/>
        <w:rPr>
          <w:szCs w:val="24"/>
        </w:rPr>
      </w:pPr>
      <w:r w:rsidRPr="00C04A68">
        <w:rPr>
          <w:szCs w:val="24"/>
        </w:rPr>
        <w:tab/>
        <w:t xml:space="preserve">Following these redemptions, </w:t>
      </w:r>
      <w:r w:rsidR="00862809">
        <w:rPr>
          <w:szCs w:val="24"/>
        </w:rPr>
        <w:t>PacifiCorp</w:t>
      </w:r>
      <w:r w:rsidRPr="00C04A68">
        <w:rPr>
          <w:szCs w:val="24"/>
        </w:rPr>
        <w:t xml:space="preserve"> now has two series of non-redeemable preferred stock outstanding with an ag</w:t>
      </w:r>
      <w:r w:rsidR="00845E05">
        <w:rPr>
          <w:szCs w:val="24"/>
        </w:rPr>
        <w:t>gregate stated value of $2.4 </w:t>
      </w:r>
      <w:r w:rsidRPr="00C04A68">
        <w:rPr>
          <w:szCs w:val="24"/>
        </w:rPr>
        <w:t xml:space="preserve">million. </w:t>
      </w:r>
      <w:r w:rsidR="00845E05">
        <w:rPr>
          <w:szCs w:val="24"/>
        </w:rPr>
        <w:t xml:space="preserve"> </w:t>
      </w:r>
      <w:r w:rsidRPr="00C04A68">
        <w:rPr>
          <w:szCs w:val="24"/>
        </w:rPr>
        <w:t xml:space="preserve">These two remaining series do not have a redemption feature that would allow </w:t>
      </w:r>
      <w:r w:rsidR="00EF27D9">
        <w:rPr>
          <w:szCs w:val="24"/>
        </w:rPr>
        <w:t>retirement</w:t>
      </w:r>
      <w:r w:rsidRPr="00C04A68">
        <w:rPr>
          <w:szCs w:val="24"/>
        </w:rPr>
        <w:t>.</w:t>
      </w:r>
    </w:p>
    <w:p w:rsidR="003D655E" w:rsidRPr="00C04A68" w:rsidRDefault="003D655E" w:rsidP="00A36B7E">
      <w:pPr>
        <w:keepNext/>
        <w:spacing w:line="480" w:lineRule="auto"/>
        <w:ind w:left="720" w:hanging="720"/>
        <w:rPr>
          <w:b/>
          <w:szCs w:val="24"/>
        </w:rPr>
      </w:pPr>
      <w:r w:rsidRPr="00C04A68">
        <w:rPr>
          <w:b/>
          <w:szCs w:val="24"/>
        </w:rPr>
        <w:lastRenderedPageBreak/>
        <w:t>Q.</w:t>
      </w:r>
      <w:r w:rsidRPr="00C04A68">
        <w:rPr>
          <w:szCs w:val="24"/>
        </w:rPr>
        <w:tab/>
      </w:r>
      <w:r w:rsidRPr="00C04A68">
        <w:rPr>
          <w:b/>
          <w:szCs w:val="24"/>
        </w:rPr>
        <w:t>Are these actions included in the Company’s proposed capital structure?</w:t>
      </w:r>
    </w:p>
    <w:p w:rsidR="003D655E" w:rsidRPr="00C04A68" w:rsidRDefault="003D655E" w:rsidP="00845E05">
      <w:pPr>
        <w:spacing w:line="480" w:lineRule="auto"/>
        <w:ind w:left="720" w:hanging="720"/>
        <w:rPr>
          <w:szCs w:val="24"/>
        </w:rPr>
      </w:pPr>
      <w:r w:rsidRPr="00C04A68">
        <w:rPr>
          <w:szCs w:val="24"/>
        </w:rPr>
        <w:t>A.</w:t>
      </w:r>
      <w:r w:rsidRPr="00C04A68">
        <w:rPr>
          <w:szCs w:val="24"/>
        </w:rPr>
        <w:tab/>
        <w:t xml:space="preserve">Yes. </w:t>
      </w:r>
      <w:r w:rsidR="00845E05">
        <w:rPr>
          <w:szCs w:val="24"/>
        </w:rPr>
        <w:t xml:space="preserve"> </w:t>
      </w:r>
      <w:r w:rsidRPr="00C04A68">
        <w:rPr>
          <w:szCs w:val="24"/>
        </w:rPr>
        <w:t>I have removed the preferred stock that was redeemed from the prop</w:t>
      </w:r>
      <w:r w:rsidR="000C6E8A">
        <w:rPr>
          <w:szCs w:val="24"/>
        </w:rPr>
        <w:t>osed capital structure and</w:t>
      </w:r>
      <w:r w:rsidR="00EF27D9">
        <w:rPr>
          <w:szCs w:val="24"/>
        </w:rPr>
        <w:t xml:space="preserve"> included</w:t>
      </w:r>
      <w:r w:rsidR="000C6E8A">
        <w:rPr>
          <w:szCs w:val="24"/>
        </w:rPr>
        <w:t xml:space="preserve"> the </w:t>
      </w:r>
      <w:r w:rsidRPr="00C04A68">
        <w:rPr>
          <w:szCs w:val="24"/>
        </w:rPr>
        <w:t xml:space="preserve">March 2014 long-term debt issuance </w:t>
      </w:r>
      <w:r w:rsidR="002E7E4C">
        <w:rPr>
          <w:szCs w:val="24"/>
        </w:rPr>
        <w:t xml:space="preserve">in the capital structure. </w:t>
      </w:r>
    </w:p>
    <w:p w:rsidR="003D655E" w:rsidRPr="00C04A68" w:rsidRDefault="003D655E" w:rsidP="00845E05">
      <w:pPr>
        <w:spacing w:line="480" w:lineRule="auto"/>
        <w:ind w:left="720" w:hanging="720"/>
        <w:rPr>
          <w:b/>
          <w:szCs w:val="24"/>
        </w:rPr>
      </w:pPr>
      <w:r w:rsidRPr="00C04A68">
        <w:rPr>
          <w:b/>
          <w:szCs w:val="24"/>
        </w:rPr>
        <w:t>Q.</w:t>
      </w:r>
      <w:r w:rsidRPr="00C04A68">
        <w:rPr>
          <w:szCs w:val="24"/>
        </w:rPr>
        <w:tab/>
      </w:r>
      <w:r w:rsidRPr="00C04A68">
        <w:rPr>
          <w:b/>
          <w:szCs w:val="24"/>
        </w:rPr>
        <w:t>How does the Company propose to recover the redemption premi</w:t>
      </w:r>
      <w:r w:rsidR="00202CB9">
        <w:rPr>
          <w:b/>
          <w:szCs w:val="24"/>
        </w:rPr>
        <w:t>ums and stock issuance expenses?</w:t>
      </w:r>
    </w:p>
    <w:p w:rsidR="003D655E" w:rsidRPr="00C04A68" w:rsidRDefault="003D655E" w:rsidP="00845E05">
      <w:pPr>
        <w:spacing w:line="480" w:lineRule="auto"/>
        <w:ind w:left="720" w:hanging="720"/>
        <w:rPr>
          <w:szCs w:val="24"/>
        </w:rPr>
      </w:pPr>
      <w:r w:rsidRPr="00C04A68">
        <w:rPr>
          <w:szCs w:val="24"/>
        </w:rPr>
        <w:t>A.</w:t>
      </w:r>
      <w:r w:rsidRPr="00C04A68">
        <w:rPr>
          <w:szCs w:val="24"/>
        </w:rPr>
        <w:tab/>
        <w:t>As background, under General Instruction 17C</w:t>
      </w:r>
      <w:r w:rsidR="001072D5">
        <w:rPr>
          <w:szCs w:val="24"/>
        </w:rPr>
        <w:t>,</w:t>
      </w:r>
      <w:r w:rsidRPr="00C04A68">
        <w:rPr>
          <w:szCs w:val="24"/>
        </w:rPr>
        <w:t xml:space="preserve"> </w:t>
      </w:r>
      <w:r w:rsidRPr="00C04A68">
        <w:rPr>
          <w:i/>
          <w:szCs w:val="24"/>
        </w:rPr>
        <w:t xml:space="preserve">Long Term Debt: Gain or Loss on Reacquisition, with </w:t>
      </w:r>
      <w:r w:rsidR="001072D5">
        <w:rPr>
          <w:i/>
          <w:szCs w:val="24"/>
        </w:rPr>
        <w:t>R</w:t>
      </w:r>
      <w:r w:rsidRPr="00C04A68">
        <w:rPr>
          <w:i/>
          <w:szCs w:val="24"/>
        </w:rPr>
        <w:t>efunding</w:t>
      </w:r>
      <w:r w:rsidR="001072D5">
        <w:rPr>
          <w:i/>
          <w:szCs w:val="24"/>
        </w:rPr>
        <w:t>,</w:t>
      </w:r>
      <w:r w:rsidRPr="00C04A68">
        <w:rPr>
          <w:i/>
          <w:szCs w:val="24"/>
        </w:rPr>
        <w:t xml:space="preserve"> </w:t>
      </w:r>
      <w:r w:rsidRPr="00C04A68">
        <w:rPr>
          <w:szCs w:val="24"/>
        </w:rPr>
        <w:t>of the F</w:t>
      </w:r>
      <w:r w:rsidR="00EF27D9">
        <w:rPr>
          <w:szCs w:val="24"/>
        </w:rPr>
        <w:t xml:space="preserve">ederal Energy Regulatory Commission </w:t>
      </w:r>
      <w:r w:rsidRPr="00C04A68">
        <w:rPr>
          <w:szCs w:val="24"/>
        </w:rPr>
        <w:t>Uniform System of Accounts (USOA), in the event of a debt refunding</w:t>
      </w:r>
      <w:r w:rsidR="001566B7">
        <w:rPr>
          <w:szCs w:val="24"/>
        </w:rPr>
        <w:t>,</w:t>
      </w:r>
      <w:r w:rsidRPr="00C04A68">
        <w:rPr>
          <w:szCs w:val="24"/>
        </w:rPr>
        <w:t xml:space="preserve"> where PacifiCorp is required to pay a premium to redeem its outstanding long-term debt, that premium as well as the unamortized issue costs of the refunded series would be amortized over the life of the new long-term debt issue. </w:t>
      </w:r>
      <w:r w:rsidR="00845E05">
        <w:rPr>
          <w:szCs w:val="24"/>
        </w:rPr>
        <w:t xml:space="preserve"> </w:t>
      </w:r>
      <w:r w:rsidRPr="00C04A68">
        <w:rPr>
          <w:szCs w:val="24"/>
        </w:rPr>
        <w:t>In contrast, the USOA does not provide special accounting for the recording of regulatory assets involving preferred stock redemptions with debt refunding.</w:t>
      </w:r>
    </w:p>
    <w:p w:rsidR="003D655E" w:rsidRPr="00D812CC" w:rsidRDefault="00187634" w:rsidP="00845E05">
      <w:pPr>
        <w:spacing w:line="480" w:lineRule="auto"/>
        <w:ind w:left="720" w:firstLine="720"/>
        <w:rPr>
          <w:szCs w:val="24"/>
        </w:rPr>
      </w:pPr>
      <w:r>
        <w:rPr>
          <w:szCs w:val="24"/>
        </w:rPr>
        <w:t>Pacific Power</w:t>
      </w:r>
      <w:r w:rsidR="003D655E" w:rsidRPr="00D812CC">
        <w:rPr>
          <w:szCs w:val="24"/>
        </w:rPr>
        <w:t xml:space="preserve"> is requesting </w:t>
      </w:r>
      <w:r w:rsidR="001072D5">
        <w:rPr>
          <w:szCs w:val="24"/>
        </w:rPr>
        <w:t xml:space="preserve">that </w:t>
      </w:r>
      <w:r w:rsidR="003D655E" w:rsidRPr="00D812CC">
        <w:rPr>
          <w:szCs w:val="24"/>
        </w:rPr>
        <w:t xml:space="preserve">the Commission authorize the Company to defer to </w:t>
      </w:r>
      <w:r w:rsidR="001072D5">
        <w:rPr>
          <w:szCs w:val="24"/>
        </w:rPr>
        <w:t>FERC</w:t>
      </w:r>
      <w:r w:rsidR="003D655E" w:rsidRPr="00D812CC">
        <w:rPr>
          <w:szCs w:val="24"/>
        </w:rPr>
        <w:t xml:space="preserve"> Account 182.3</w:t>
      </w:r>
      <w:r w:rsidR="001072D5">
        <w:rPr>
          <w:szCs w:val="24"/>
        </w:rPr>
        <w:t xml:space="preserve"> (</w:t>
      </w:r>
      <w:r w:rsidR="003D655E" w:rsidRPr="00A36B7E">
        <w:rPr>
          <w:szCs w:val="24"/>
        </w:rPr>
        <w:t>Other Regulatory Assets</w:t>
      </w:r>
      <w:r w:rsidR="001072D5" w:rsidRPr="00A36B7E">
        <w:rPr>
          <w:szCs w:val="24"/>
        </w:rPr>
        <w:t>)</w:t>
      </w:r>
      <w:r w:rsidR="003D655E" w:rsidRPr="00D812CC">
        <w:rPr>
          <w:szCs w:val="24"/>
        </w:rPr>
        <w:t xml:space="preserve"> the premium to redeem </w:t>
      </w:r>
      <w:r w:rsidR="00D812CC" w:rsidRPr="00D812CC">
        <w:rPr>
          <w:szCs w:val="24"/>
        </w:rPr>
        <w:t>the preferred stock</w:t>
      </w:r>
      <w:r w:rsidR="00D5089C">
        <w:rPr>
          <w:szCs w:val="24"/>
        </w:rPr>
        <w:t>,</w:t>
      </w:r>
      <w:r w:rsidR="00D812CC" w:rsidRPr="00D812CC">
        <w:rPr>
          <w:szCs w:val="24"/>
        </w:rPr>
        <w:t xml:space="preserve"> as well as </w:t>
      </w:r>
      <w:r w:rsidR="003D655E" w:rsidRPr="00D812CC">
        <w:rPr>
          <w:szCs w:val="24"/>
        </w:rPr>
        <w:t>the related unamortized stock expense balance fr</w:t>
      </w:r>
      <w:r w:rsidR="00D812CC" w:rsidRPr="00D812CC">
        <w:rPr>
          <w:szCs w:val="24"/>
        </w:rPr>
        <w:t xml:space="preserve">om </w:t>
      </w:r>
      <w:r w:rsidR="001072D5">
        <w:rPr>
          <w:szCs w:val="24"/>
        </w:rPr>
        <w:t xml:space="preserve">FERC </w:t>
      </w:r>
      <w:r w:rsidR="00D812CC" w:rsidRPr="00D812CC">
        <w:rPr>
          <w:szCs w:val="24"/>
        </w:rPr>
        <w:t>Account 214</w:t>
      </w:r>
      <w:r w:rsidR="001072D5">
        <w:rPr>
          <w:szCs w:val="24"/>
        </w:rPr>
        <w:t xml:space="preserve"> (Capital Stock Expense)</w:t>
      </w:r>
      <w:r w:rsidR="00D5089C">
        <w:rPr>
          <w:szCs w:val="24"/>
        </w:rPr>
        <w:t xml:space="preserve"> and the</w:t>
      </w:r>
      <w:r w:rsidR="00D812CC" w:rsidRPr="00D812CC">
        <w:rPr>
          <w:szCs w:val="24"/>
        </w:rPr>
        <w:t xml:space="preserve"> amounts debited</w:t>
      </w:r>
      <w:r w:rsidR="003D655E" w:rsidRPr="00D812CC">
        <w:rPr>
          <w:szCs w:val="24"/>
        </w:rPr>
        <w:t xml:space="preserve"> to </w:t>
      </w:r>
      <w:r w:rsidR="001072D5">
        <w:rPr>
          <w:szCs w:val="24"/>
        </w:rPr>
        <w:t xml:space="preserve">FERC </w:t>
      </w:r>
      <w:r w:rsidR="003D655E" w:rsidRPr="00D812CC">
        <w:rPr>
          <w:szCs w:val="24"/>
        </w:rPr>
        <w:t xml:space="preserve">Account 439 </w:t>
      </w:r>
      <w:r w:rsidR="001072D5">
        <w:rPr>
          <w:szCs w:val="24"/>
        </w:rPr>
        <w:t>(</w:t>
      </w:r>
      <w:r w:rsidR="003D655E" w:rsidRPr="00A36B7E">
        <w:rPr>
          <w:szCs w:val="24"/>
        </w:rPr>
        <w:t xml:space="preserve">Adjustments to </w:t>
      </w:r>
      <w:r w:rsidR="001072D5" w:rsidRPr="00A36B7E">
        <w:rPr>
          <w:szCs w:val="24"/>
        </w:rPr>
        <w:t>R</w:t>
      </w:r>
      <w:r w:rsidR="003D655E" w:rsidRPr="00A36B7E">
        <w:rPr>
          <w:szCs w:val="24"/>
        </w:rPr>
        <w:t xml:space="preserve">etained </w:t>
      </w:r>
      <w:r w:rsidR="001072D5" w:rsidRPr="00A36B7E">
        <w:rPr>
          <w:szCs w:val="24"/>
        </w:rPr>
        <w:t>E</w:t>
      </w:r>
      <w:r w:rsidR="003D655E" w:rsidRPr="00A36B7E">
        <w:rPr>
          <w:szCs w:val="24"/>
        </w:rPr>
        <w:t>arnings</w:t>
      </w:r>
      <w:r w:rsidR="001072D5">
        <w:rPr>
          <w:szCs w:val="24"/>
        </w:rPr>
        <w:t>)</w:t>
      </w:r>
      <w:r w:rsidR="003D655E" w:rsidRPr="00D812CC">
        <w:rPr>
          <w:b/>
          <w:i/>
          <w:szCs w:val="24"/>
        </w:rPr>
        <w:t xml:space="preserve"> </w:t>
      </w:r>
      <w:r w:rsidR="003D655E" w:rsidRPr="00D812CC">
        <w:rPr>
          <w:szCs w:val="24"/>
        </w:rPr>
        <w:t xml:space="preserve">to the extent they exceeded the balance in </w:t>
      </w:r>
      <w:r w:rsidR="001072D5">
        <w:rPr>
          <w:szCs w:val="24"/>
        </w:rPr>
        <w:t xml:space="preserve">FERC </w:t>
      </w:r>
      <w:r w:rsidR="003D655E" w:rsidRPr="00D812CC">
        <w:rPr>
          <w:szCs w:val="24"/>
        </w:rPr>
        <w:t>Account 210</w:t>
      </w:r>
      <w:r w:rsidR="001072D5">
        <w:rPr>
          <w:szCs w:val="24"/>
        </w:rPr>
        <w:t xml:space="preserve"> (</w:t>
      </w:r>
      <w:r w:rsidR="003D655E" w:rsidRPr="00A36B7E">
        <w:rPr>
          <w:szCs w:val="24"/>
        </w:rPr>
        <w:t xml:space="preserve">Gain on </w:t>
      </w:r>
      <w:r w:rsidR="001072D5" w:rsidRPr="00A36B7E">
        <w:rPr>
          <w:szCs w:val="24"/>
        </w:rPr>
        <w:t>R</w:t>
      </w:r>
      <w:r w:rsidR="003D655E" w:rsidRPr="00A36B7E">
        <w:rPr>
          <w:szCs w:val="24"/>
        </w:rPr>
        <w:t xml:space="preserve">esale or </w:t>
      </w:r>
      <w:r w:rsidR="001072D5" w:rsidRPr="00A36B7E">
        <w:rPr>
          <w:szCs w:val="24"/>
        </w:rPr>
        <w:t>C</w:t>
      </w:r>
      <w:r w:rsidR="003D655E" w:rsidRPr="00A36B7E">
        <w:rPr>
          <w:szCs w:val="24"/>
        </w:rPr>
        <w:t xml:space="preserve">ancellation of </w:t>
      </w:r>
      <w:r w:rsidR="001072D5" w:rsidRPr="00A36B7E">
        <w:rPr>
          <w:szCs w:val="24"/>
        </w:rPr>
        <w:t>R</w:t>
      </w:r>
      <w:r w:rsidR="003D655E" w:rsidRPr="00A36B7E">
        <w:rPr>
          <w:szCs w:val="24"/>
        </w:rPr>
        <w:t xml:space="preserve">eacquired </w:t>
      </w:r>
      <w:r w:rsidR="001072D5" w:rsidRPr="00A36B7E">
        <w:rPr>
          <w:szCs w:val="24"/>
        </w:rPr>
        <w:t>S</w:t>
      </w:r>
      <w:r w:rsidR="003D655E" w:rsidRPr="00A36B7E">
        <w:rPr>
          <w:szCs w:val="24"/>
        </w:rPr>
        <w:t>tock</w:t>
      </w:r>
      <w:r w:rsidR="001072D5">
        <w:rPr>
          <w:szCs w:val="24"/>
        </w:rPr>
        <w:t>)</w:t>
      </w:r>
      <w:r w:rsidR="003D655E" w:rsidRPr="00D812CC">
        <w:rPr>
          <w:szCs w:val="24"/>
        </w:rPr>
        <w:t>.</w:t>
      </w:r>
      <w:r w:rsidR="00845E05">
        <w:rPr>
          <w:szCs w:val="24"/>
        </w:rPr>
        <w:t xml:space="preserve"> </w:t>
      </w:r>
      <w:r w:rsidR="003D655E" w:rsidRPr="00D812CC">
        <w:rPr>
          <w:szCs w:val="24"/>
        </w:rPr>
        <w:t xml:space="preserve"> </w:t>
      </w:r>
      <w:r>
        <w:rPr>
          <w:szCs w:val="24"/>
        </w:rPr>
        <w:t>Pacific Power</w:t>
      </w:r>
      <w:r w:rsidR="003D655E" w:rsidRPr="00D812CC">
        <w:rPr>
          <w:szCs w:val="24"/>
        </w:rPr>
        <w:t xml:space="preserve"> requests </w:t>
      </w:r>
      <w:proofErr w:type="spellStart"/>
      <w:r w:rsidR="003D655E" w:rsidRPr="00D812CC">
        <w:rPr>
          <w:szCs w:val="24"/>
        </w:rPr>
        <w:t>an</w:t>
      </w:r>
      <w:proofErr w:type="spellEnd"/>
      <w:r w:rsidR="003D655E" w:rsidRPr="00D812CC">
        <w:rPr>
          <w:szCs w:val="24"/>
        </w:rPr>
        <w:t xml:space="preserve"> amortization </w:t>
      </w:r>
      <w:r w:rsidR="00D5089C">
        <w:rPr>
          <w:szCs w:val="24"/>
        </w:rPr>
        <w:t>period</w:t>
      </w:r>
      <w:r w:rsidR="003D655E" w:rsidRPr="00D812CC">
        <w:rPr>
          <w:szCs w:val="24"/>
        </w:rPr>
        <w:t xml:space="preserve"> for this </w:t>
      </w:r>
      <w:r w:rsidR="00D5089C">
        <w:rPr>
          <w:szCs w:val="24"/>
        </w:rPr>
        <w:t>r</w:t>
      </w:r>
      <w:r w:rsidR="00D5089C" w:rsidRPr="00D812CC">
        <w:rPr>
          <w:szCs w:val="24"/>
        </w:rPr>
        <w:t xml:space="preserve">egulatory </w:t>
      </w:r>
      <w:r w:rsidR="00D5089C">
        <w:rPr>
          <w:szCs w:val="24"/>
        </w:rPr>
        <w:t>a</w:t>
      </w:r>
      <w:r w:rsidR="00D5089C" w:rsidRPr="00D812CC">
        <w:rPr>
          <w:szCs w:val="24"/>
        </w:rPr>
        <w:t xml:space="preserve">sset </w:t>
      </w:r>
      <w:r w:rsidR="003D655E" w:rsidRPr="00D812CC">
        <w:rPr>
          <w:szCs w:val="24"/>
        </w:rPr>
        <w:t xml:space="preserve">consistent with the new long-term </w:t>
      </w:r>
      <w:r w:rsidR="00B86A59">
        <w:rPr>
          <w:szCs w:val="24"/>
        </w:rPr>
        <w:t>debt</w:t>
      </w:r>
      <w:r w:rsidR="003D655E" w:rsidRPr="00D812CC">
        <w:rPr>
          <w:szCs w:val="24"/>
        </w:rPr>
        <w:t xml:space="preserve"> issuance </w:t>
      </w:r>
      <w:r w:rsidR="002E7E4C">
        <w:rPr>
          <w:szCs w:val="24"/>
        </w:rPr>
        <w:t>of</w:t>
      </w:r>
      <w:r w:rsidR="003D655E" w:rsidRPr="00D812CC">
        <w:rPr>
          <w:szCs w:val="24"/>
        </w:rPr>
        <w:t xml:space="preserve"> March 2014. </w:t>
      </w:r>
      <w:r w:rsidR="00845E05">
        <w:rPr>
          <w:szCs w:val="24"/>
        </w:rPr>
        <w:t xml:space="preserve"> </w:t>
      </w:r>
      <w:r w:rsidR="003D655E" w:rsidRPr="00D812CC">
        <w:rPr>
          <w:szCs w:val="24"/>
        </w:rPr>
        <w:t xml:space="preserve">This requested accounting would be similar to the regulatory accounting treatment already provided under General Instruction 17 with </w:t>
      </w:r>
      <w:r w:rsidR="00D5089C">
        <w:rPr>
          <w:szCs w:val="24"/>
        </w:rPr>
        <w:lastRenderedPageBreak/>
        <w:t>FERC Account</w:t>
      </w:r>
      <w:r w:rsidR="003D655E" w:rsidRPr="00D812CC">
        <w:rPr>
          <w:szCs w:val="24"/>
        </w:rPr>
        <w:t xml:space="preserve"> 189</w:t>
      </w:r>
      <w:r w:rsidR="00D5089C">
        <w:rPr>
          <w:szCs w:val="24"/>
        </w:rPr>
        <w:t xml:space="preserve"> (</w:t>
      </w:r>
      <w:r w:rsidR="003D655E" w:rsidRPr="00A36B7E">
        <w:rPr>
          <w:szCs w:val="24"/>
        </w:rPr>
        <w:t xml:space="preserve">Unamortized </w:t>
      </w:r>
      <w:r w:rsidR="00D5089C" w:rsidRPr="00A36B7E">
        <w:rPr>
          <w:szCs w:val="24"/>
        </w:rPr>
        <w:t>L</w:t>
      </w:r>
      <w:r w:rsidR="003D655E" w:rsidRPr="00A36B7E">
        <w:rPr>
          <w:szCs w:val="24"/>
        </w:rPr>
        <w:t xml:space="preserve">oss on </w:t>
      </w:r>
      <w:r w:rsidR="00D5089C" w:rsidRPr="00A36B7E">
        <w:rPr>
          <w:szCs w:val="24"/>
        </w:rPr>
        <w:t>R</w:t>
      </w:r>
      <w:r w:rsidR="003D655E" w:rsidRPr="00A36B7E">
        <w:rPr>
          <w:szCs w:val="24"/>
        </w:rPr>
        <w:t xml:space="preserve">eacquired </w:t>
      </w:r>
      <w:r w:rsidR="00D5089C" w:rsidRPr="00A36B7E">
        <w:rPr>
          <w:szCs w:val="24"/>
        </w:rPr>
        <w:t>D</w:t>
      </w:r>
      <w:r w:rsidR="003D655E" w:rsidRPr="00A36B7E">
        <w:rPr>
          <w:szCs w:val="24"/>
        </w:rPr>
        <w:t>ebt</w:t>
      </w:r>
      <w:r w:rsidR="00D5089C" w:rsidRPr="00A36B7E">
        <w:rPr>
          <w:szCs w:val="24"/>
        </w:rPr>
        <w:t>)</w:t>
      </w:r>
      <w:r w:rsidR="003D655E" w:rsidRPr="00D812CC">
        <w:rPr>
          <w:szCs w:val="24"/>
        </w:rPr>
        <w:t xml:space="preserve">. </w:t>
      </w:r>
      <w:r w:rsidR="00845E05">
        <w:rPr>
          <w:szCs w:val="24"/>
        </w:rPr>
        <w:t xml:space="preserve"> </w:t>
      </w:r>
      <w:r w:rsidR="00D5089C">
        <w:rPr>
          <w:szCs w:val="24"/>
        </w:rPr>
        <w:t>F</w:t>
      </w:r>
      <w:r w:rsidR="00D5089C" w:rsidRPr="00D812CC">
        <w:rPr>
          <w:szCs w:val="24"/>
        </w:rPr>
        <w:t>or a detailed description of the accounting treatment the Company is requesting</w:t>
      </w:r>
      <w:r w:rsidR="00D5089C">
        <w:rPr>
          <w:szCs w:val="24"/>
        </w:rPr>
        <w:t>, s</w:t>
      </w:r>
      <w:r w:rsidR="003D655E" w:rsidRPr="00D812CC">
        <w:rPr>
          <w:szCs w:val="24"/>
        </w:rPr>
        <w:t xml:space="preserve">ee Exhibit </w:t>
      </w:r>
      <w:r w:rsidR="004915B7">
        <w:rPr>
          <w:szCs w:val="24"/>
        </w:rPr>
        <w:t>No.</w:t>
      </w:r>
      <w:r w:rsidR="003D655E" w:rsidRPr="00D812CC">
        <w:rPr>
          <w:szCs w:val="24"/>
        </w:rPr>
        <w:t>__</w:t>
      </w:r>
      <w:proofErr w:type="gramStart"/>
      <w:r w:rsidR="003D655E" w:rsidRPr="00D812CC">
        <w:rPr>
          <w:szCs w:val="24"/>
        </w:rPr>
        <w:t>_(</w:t>
      </w:r>
      <w:proofErr w:type="gramEnd"/>
      <w:r w:rsidR="003D655E" w:rsidRPr="00D812CC">
        <w:rPr>
          <w:szCs w:val="24"/>
        </w:rPr>
        <w:t>BNW-</w:t>
      </w:r>
      <w:r w:rsidR="00B719F0">
        <w:rPr>
          <w:szCs w:val="24"/>
        </w:rPr>
        <w:t>11</w:t>
      </w:r>
      <w:r w:rsidR="003D655E" w:rsidRPr="00D812CC">
        <w:rPr>
          <w:szCs w:val="24"/>
        </w:rPr>
        <w:t xml:space="preserve">). </w:t>
      </w:r>
    </w:p>
    <w:p w:rsidR="003D655E" w:rsidRPr="00C04A68" w:rsidRDefault="003D655E" w:rsidP="00845E05">
      <w:pPr>
        <w:spacing w:line="480" w:lineRule="auto"/>
        <w:ind w:left="720" w:firstLine="720"/>
        <w:rPr>
          <w:szCs w:val="24"/>
        </w:rPr>
      </w:pPr>
      <w:r w:rsidRPr="00C04A68">
        <w:rPr>
          <w:szCs w:val="24"/>
        </w:rPr>
        <w:t>The Company proposes recovery of these charges through the weighted average cost of debt as currently reflected</w:t>
      </w:r>
      <w:r w:rsidR="00A003EE">
        <w:rPr>
          <w:szCs w:val="24"/>
        </w:rPr>
        <w:t xml:space="preserve"> on</w:t>
      </w:r>
      <w:r w:rsidRPr="00C04A68">
        <w:rPr>
          <w:szCs w:val="24"/>
        </w:rPr>
        <w:t xml:space="preserve"> </w:t>
      </w:r>
      <w:r w:rsidR="00D5089C" w:rsidRPr="00C04A68">
        <w:rPr>
          <w:szCs w:val="24"/>
        </w:rPr>
        <w:t>page 2</w:t>
      </w:r>
      <w:r w:rsidR="00D5089C">
        <w:rPr>
          <w:szCs w:val="24"/>
        </w:rPr>
        <w:t>,</w:t>
      </w:r>
      <w:r w:rsidR="00D5089C" w:rsidRPr="00C04A68">
        <w:rPr>
          <w:szCs w:val="24"/>
        </w:rPr>
        <w:t xml:space="preserve"> line </w:t>
      </w:r>
      <w:r w:rsidR="00D5089C">
        <w:rPr>
          <w:szCs w:val="24"/>
        </w:rPr>
        <w:t>14,</w:t>
      </w:r>
      <w:r w:rsidR="00D5089C" w:rsidRPr="00C04A68">
        <w:rPr>
          <w:szCs w:val="24"/>
        </w:rPr>
        <w:t xml:space="preserve"> </w:t>
      </w:r>
      <w:r w:rsidRPr="00C04A68">
        <w:rPr>
          <w:szCs w:val="24"/>
        </w:rPr>
        <w:t xml:space="preserve">in the cost of long-term debt </w:t>
      </w:r>
      <w:r w:rsidR="00D5089C">
        <w:rPr>
          <w:szCs w:val="24"/>
        </w:rPr>
        <w:t>exhibit (</w:t>
      </w:r>
      <w:r w:rsidRPr="00C04A68">
        <w:rPr>
          <w:szCs w:val="24"/>
        </w:rPr>
        <w:t xml:space="preserve">Exhibit </w:t>
      </w:r>
      <w:r w:rsidR="004915B7">
        <w:rPr>
          <w:szCs w:val="24"/>
        </w:rPr>
        <w:t>No.</w:t>
      </w:r>
      <w:r w:rsidRPr="00C04A68">
        <w:rPr>
          <w:szCs w:val="24"/>
        </w:rPr>
        <w:t>___(BNW-</w:t>
      </w:r>
      <w:r w:rsidR="00B719F0">
        <w:rPr>
          <w:szCs w:val="24"/>
        </w:rPr>
        <w:t>12</w:t>
      </w:r>
      <w:r w:rsidRPr="00C04A68">
        <w:rPr>
          <w:szCs w:val="24"/>
        </w:rPr>
        <w:t>)</w:t>
      </w:r>
      <w:r w:rsidR="00D5089C">
        <w:rPr>
          <w:szCs w:val="24"/>
        </w:rPr>
        <w:t>)</w:t>
      </w:r>
      <w:r w:rsidRPr="00C04A68">
        <w:rPr>
          <w:szCs w:val="24"/>
        </w:rPr>
        <w:t xml:space="preserve"> as redemptio</w:t>
      </w:r>
      <w:r w:rsidR="00845E05">
        <w:rPr>
          <w:szCs w:val="24"/>
        </w:rPr>
        <w:t xml:space="preserve">n expenses associated with the </w:t>
      </w:r>
      <w:r w:rsidRPr="00C04A68">
        <w:rPr>
          <w:szCs w:val="24"/>
        </w:rPr>
        <w:t>March 2014 long-term debt issuance.</w:t>
      </w:r>
    </w:p>
    <w:p w:rsidR="00D812CC" w:rsidRDefault="003D655E" w:rsidP="00845E05">
      <w:pPr>
        <w:widowControl w:val="0"/>
        <w:spacing w:line="480" w:lineRule="auto"/>
        <w:ind w:left="720" w:hanging="720"/>
        <w:rPr>
          <w:b/>
          <w:szCs w:val="24"/>
        </w:rPr>
      </w:pPr>
      <w:r w:rsidRPr="00C04A68">
        <w:rPr>
          <w:b/>
          <w:szCs w:val="24"/>
        </w:rPr>
        <w:t>Q.</w:t>
      </w:r>
      <w:r w:rsidRPr="00C04A68">
        <w:rPr>
          <w:szCs w:val="24"/>
        </w:rPr>
        <w:tab/>
      </w:r>
      <w:r w:rsidRPr="00C04A68">
        <w:rPr>
          <w:b/>
          <w:szCs w:val="24"/>
        </w:rPr>
        <w:t>Have you estimated the impacts on customers?</w:t>
      </w:r>
    </w:p>
    <w:p w:rsidR="00316661" w:rsidRDefault="003D655E" w:rsidP="00BE3931">
      <w:pPr>
        <w:widowControl w:val="0"/>
        <w:spacing w:line="480" w:lineRule="auto"/>
        <w:ind w:left="720" w:hanging="720"/>
        <w:rPr>
          <w:szCs w:val="24"/>
        </w:rPr>
      </w:pPr>
      <w:r w:rsidRPr="00C04A68">
        <w:rPr>
          <w:szCs w:val="24"/>
        </w:rPr>
        <w:t>A.</w:t>
      </w:r>
      <w:r w:rsidRPr="00C04A68">
        <w:rPr>
          <w:szCs w:val="24"/>
        </w:rPr>
        <w:tab/>
        <w:t xml:space="preserve">Yes. </w:t>
      </w:r>
      <w:r w:rsidR="00D5089C">
        <w:rPr>
          <w:szCs w:val="24"/>
        </w:rPr>
        <w:t xml:space="preserve"> </w:t>
      </w:r>
      <w:r w:rsidRPr="00C04A68">
        <w:rPr>
          <w:szCs w:val="24"/>
        </w:rPr>
        <w:t>T</w:t>
      </w:r>
      <w:r w:rsidR="00D5089C">
        <w:rPr>
          <w:szCs w:val="24"/>
        </w:rPr>
        <w:t>able 8</w:t>
      </w:r>
      <w:r w:rsidRPr="00C04A68">
        <w:rPr>
          <w:szCs w:val="24"/>
        </w:rPr>
        <w:t xml:space="preserve"> below shows the Company’s proposed capital structure and costs of each component</w:t>
      </w:r>
      <w:r w:rsidR="00D5089C">
        <w:rPr>
          <w:szCs w:val="24"/>
        </w:rPr>
        <w:t>,</w:t>
      </w:r>
      <w:r w:rsidRPr="00C04A68">
        <w:rPr>
          <w:szCs w:val="24"/>
        </w:rPr>
        <w:t xml:space="preserve"> and </w:t>
      </w:r>
      <w:r w:rsidR="00D5089C">
        <w:rPr>
          <w:szCs w:val="24"/>
        </w:rPr>
        <w:t>Table 9 below shows</w:t>
      </w:r>
      <w:r w:rsidRPr="00C04A68">
        <w:rPr>
          <w:szCs w:val="24"/>
        </w:rPr>
        <w:t xml:space="preserve"> a pro forma capital structure </w:t>
      </w:r>
      <w:r w:rsidR="00D5089C">
        <w:rPr>
          <w:szCs w:val="24"/>
        </w:rPr>
        <w:t xml:space="preserve">with </w:t>
      </w:r>
      <w:r w:rsidRPr="00C04A68">
        <w:rPr>
          <w:szCs w:val="24"/>
        </w:rPr>
        <w:t>the impact of the preferred stock refinancing</w:t>
      </w:r>
      <w:r w:rsidR="00D5089C">
        <w:rPr>
          <w:szCs w:val="24"/>
        </w:rPr>
        <w:t xml:space="preserve"> removed</w:t>
      </w:r>
      <w:r w:rsidRPr="00C04A68">
        <w:rPr>
          <w:szCs w:val="24"/>
        </w:rPr>
        <w:t>.</w:t>
      </w:r>
    </w:p>
    <w:p w:rsidR="0070314C" w:rsidRDefault="0070314C" w:rsidP="0070314C">
      <w:pPr>
        <w:widowControl w:val="0"/>
        <w:suppressLineNumbers/>
        <w:ind w:left="720" w:hanging="720"/>
        <w:jc w:val="center"/>
        <w:rPr>
          <w:b/>
          <w:szCs w:val="24"/>
        </w:rPr>
      </w:pPr>
      <w:r w:rsidRPr="0070314C">
        <w:rPr>
          <w:b/>
          <w:szCs w:val="24"/>
        </w:rPr>
        <w:t>Table 8</w:t>
      </w:r>
    </w:p>
    <w:tbl>
      <w:tblPr>
        <w:tblStyle w:val="TableGrid"/>
        <w:tblW w:w="0" w:type="auto"/>
        <w:jc w:val="center"/>
        <w:tblInd w:w="720" w:type="dxa"/>
        <w:tblLook w:val="04A0" w:firstRow="1" w:lastRow="0" w:firstColumn="1" w:lastColumn="0" w:noHBand="0" w:noVBand="1"/>
      </w:tblPr>
      <w:tblGrid>
        <w:gridCol w:w="2808"/>
        <w:gridCol w:w="1980"/>
        <w:gridCol w:w="1584"/>
        <w:gridCol w:w="2124"/>
      </w:tblGrid>
      <w:tr w:rsidR="0070314C" w:rsidTr="0094388B">
        <w:trPr>
          <w:trHeight w:val="458"/>
          <w:jc w:val="center"/>
        </w:trPr>
        <w:tc>
          <w:tcPr>
            <w:tcW w:w="8496" w:type="dxa"/>
            <w:gridSpan w:val="4"/>
            <w:vAlign w:val="center"/>
          </w:tcPr>
          <w:p w:rsidR="0070314C" w:rsidRDefault="0070314C" w:rsidP="00E2704E">
            <w:pPr>
              <w:widowControl w:val="0"/>
              <w:suppressLineNumbers/>
              <w:jc w:val="center"/>
              <w:rPr>
                <w:b/>
                <w:szCs w:val="24"/>
              </w:rPr>
            </w:pPr>
            <w:r>
              <w:rPr>
                <w:b/>
                <w:szCs w:val="24"/>
              </w:rPr>
              <w:t>Proposed Capital Structure and Costs</w:t>
            </w:r>
            <w:r w:rsidR="00DC66EA">
              <w:rPr>
                <w:b/>
                <w:szCs w:val="24"/>
              </w:rPr>
              <w:t xml:space="preserve"> With Refinancing</w:t>
            </w:r>
          </w:p>
        </w:tc>
      </w:tr>
      <w:tr w:rsidR="0070314C" w:rsidTr="00DC66EA">
        <w:trPr>
          <w:jc w:val="center"/>
        </w:trPr>
        <w:tc>
          <w:tcPr>
            <w:tcW w:w="2808" w:type="dxa"/>
            <w:tcBorders>
              <w:top w:val="nil"/>
              <w:bottom w:val="double" w:sz="4" w:space="0" w:color="auto"/>
            </w:tcBorders>
          </w:tcPr>
          <w:p w:rsidR="0070314C" w:rsidRPr="00DC66EA" w:rsidRDefault="0070314C" w:rsidP="0070314C">
            <w:pPr>
              <w:widowControl w:val="0"/>
              <w:suppressLineNumbers/>
              <w:rPr>
                <w:szCs w:val="24"/>
              </w:rPr>
            </w:pPr>
          </w:p>
        </w:tc>
        <w:tc>
          <w:tcPr>
            <w:tcW w:w="1980" w:type="dxa"/>
            <w:tcBorders>
              <w:bottom w:val="double" w:sz="4" w:space="0" w:color="auto"/>
            </w:tcBorders>
          </w:tcPr>
          <w:p w:rsidR="0070314C" w:rsidRPr="00DC66EA" w:rsidRDefault="0070314C" w:rsidP="0070314C">
            <w:pPr>
              <w:widowControl w:val="0"/>
              <w:suppressLineNumbers/>
              <w:jc w:val="center"/>
              <w:rPr>
                <w:szCs w:val="24"/>
              </w:rPr>
            </w:pPr>
            <w:r w:rsidRPr="00DC66EA">
              <w:rPr>
                <w:szCs w:val="24"/>
              </w:rPr>
              <w:t>Percent of Total</w:t>
            </w:r>
          </w:p>
        </w:tc>
        <w:tc>
          <w:tcPr>
            <w:tcW w:w="1584" w:type="dxa"/>
            <w:tcBorders>
              <w:bottom w:val="double" w:sz="4" w:space="0" w:color="auto"/>
            </w:tcBorders>
          </w:tcPr>
          <w:p w:rsidR="0070314C" w:rsidRPr="00DC66EA" w:rsidRDefault="0070314C" w:rsidP="0070314C">
            <w:pPr>
              <w:widowControl w:val="0"/>
              <w:suppressLineNumbers/>
              <w:jc w:val="center"/>
              <w:rPr>
                <w:szCs w:val="24"/>
              </w:rPr>
            </w:pPr>
            <w:r w:rsidRPr="00DC66EA">
              <w:rPr>
                <w:szCs w:val="24"/>
              </w:rPr>
              <w:t>Cost</w:t>
            </w:r>
          </w:p>
        </w:tc>
        <w:tc>
          <w:tcPr>
            <w:tcW w:w="2124" w:type="dxa"/>
            <w:tcBorders>
              <w:bottom w:val="double" w:sz="4" w:space="0" w:color="auto"/>
            </w:tcBorders>
          </w:tcPr>
          <w:p w:rsidR="0070314C" w:rsidRPr="00DC66EA" w:rsidRDefault="0070314C" w:rsidP="0070314C">
            <w:pPr>
              <w:widowControl w:val="0"/>
              <w:suppressLineNumbers/>
              <w:jc w:val="center"/>
              <w:rPr>
                <w:szCs w:val="24"/>
              </w:rPr>
            </w:pPr>
            <w:r w:rsidRPr="00DC66EA">
              <w:rPr>
                <w:szCs w:val="24"/>
              </w:rPr>
              <w:t>Weighted Average</w:t>
            </w:r>
          </w:p>
        </w:tc>
      </w:tr>
      <w:tr w:rsidR="0070314C" w:rsidTr="00DC66EA">
        <w:trPr>
          <w:jc w:val="center"/>
        </w:trPr>
        <w:tc>
          <w:tcPr>
            <w:tcW w:w="2808" w:type="dxa"/>
            <w:tcBorders>
              <w:top w:val="double" w:sz="4" w:space="0" w:color="auto"/>
            </w:tcBorders>
          </w:tcPr>
          <w:p w:rsidR="0070314C" w:rsidRPr="00DC66EA" w:rsidRDefault="0070314C" w:rsidP="0070314C">
            <w:pPr>
              <w:widowControl w:val="0"/>
              <w:suppressLineNumbers/>
              <w:rPr>
                <w:szCs w:val="24"/>
              </w:rPr>
            </w:pPr>
            <w:r w:rsidRPr="00DC66EA">
              <w:rPr>
                <w:szCs w:val="24"/>
              </w:rPr>
              <w:t>Short-Term Debt</w:t>
            </w:r>
          </w:p>
        </w:tc>
        <w:tc>
          <w:tcPr>
            <w:tcW w:w="1980" w:type="dxa"/>
          </w:tcPr>
          <w:p w:rsidR="0070314C" w:rsidRPr="00DC66EA" w:rsidRDefault="00DC66EA" w:rsidP="00DC66EA">
            <w:pPr>
              <w:widowControl w:val="0"/>
              <w:suppressLineNumbers/>
              <w:jc w:val="right"/>
              <w:rPr>
                <w:szCs w:val="24"/>
              </w:rPr>
            </w:pPr>
            <w:r>
              <w:rPr>
                <w:szCs w:val="24"/>
              </w:rPr>
              <w:t>0.193%</w:t>
            </w:r>
          </w:p>
        </w:tc>
        <w:tc>
          <w:tcPr>
            <w:tcW w:w="1584" w:type="dxa"/>
          </w:tcPr>
          <w:p w:rsidR="0070314C" w:rsidRPr="00DC66EA" w:rsidRDefault="00DC66EA" w:rsidP="00DC66EA">
            <w:pPr>
              <w:widowControl w:val="0"/>
              <w:suppressLineNumbers/>
              <w:jc w:val="right"/>
              <w:rPr>
                <w:szCs w:val="24"/>
              </w:rPr>
            </w:pPr>
            <w:r>
              <w:rPr>
                <w:szCs w:val="24"/>
              </w:rPr>
              <w:t>1.7312%</w:t>
            </w:r>
          </w:p>
        </w:tc>
        <w:tc>
          <w:tcPr>
            <w:tcW w:w="2124" w:type="dxa"/>
          </w:tcPr>
          <w:p w:rsidR="0070314C" w:rsidRPr="00DC66EA" w:rsidRDefault="00DC66EA" w:rsidP="00DC66EA">
            <w:pPr>
              <w:widowControl w:val="0"/>
              <w:suppressLineNumbers/>
              <w:jc w:val="right"/>
              <w:rPr>
                <w:szCs w:val="24"/>
              </w:rPr>
            </w:pPr>
            <w:r>
              <w:rPr>
                <w:szCs w:val="24"/>
              </w:rPr>
              <w:t>0.0033%</w:t>
            </w:r>
          </w:p>
        </w:tc>
      </w:tr>
      <w:tr w:rsidR="0070314C" w:rsidTr="0070314C">
        <w:trPr>
          <w:jc w:val="center"/>
        </w:trPr>
        <w:tc>
          <w:tcPr>
            <w:tcW w:w="2808" w:type="dxa"/>
          </w:tcPr>
          <w:p w:rsidR="0070314C" w:rsidRPr="00DC66EA" w:rsidRDefault="0070314C" w:rsidP="0070314C">
            <w:pPr>
              <w:widowControl w:val="0"/>
              <w:suppressLineNumbers/>
              <w:rPr>
                <w:szCs w:val="24"/>
              </w:rPr>
            </w:pPr>
            <w:r w:rsidRPr="00DC66EA">
              <w:rPr>
                <w:szCs w:val="24"/>
              </w:rPr>
              <w:t>Long-Term Debt</w:t>
            </w:r>
          </w:p>
        </w:tc>
        <w:tc>
          <w:tcPr>
            <w:tcW w:w="1980" w:type="dxa"/>
          </w:tcPr>
          <w:p w:rsidR="0070314C" w:rsidRPr="00DC66EA" w:rsidRDefault="00DC66EA" w:rsidP="00DC66EA">
            <w:pPr>
              <w:widowControl w:val="0"/>
              <w:suppressLineNumbers/>
              <w:jc w:val="right"/>
              <w:rPr>
                <w:szCs w:val="24"/>
              </w:rPr>
            </w:pPr>
            <w:r>
              <w:rPr>
                <w:szCs w:val="24"/>
              </w:rPr>
              <w:t>48.062%</w:t>
            </w:r>
          </w:p>
        </w:tc>
        <w:tc>
          <w:tcPr>
            <w:tcW w:w="1584" w:type="dxa"/>
          </w:tcPr>
          <w:p w:rsidR="0070314C" w:rsidRPr="00DC66EA" w:rsidRDefault="00DC66EA" w:rsidP="00DC66EA">
            <w:pPr>
              <w:widowControl w:val="0"/>
              <w:suppressLineNumbers/>
              <w:jc w:val="right"/>
              <w:rPr>
                <w:szCs w:val="24"/>
              </w:rPr>
            </w:pPr>
            <w:r>
              <w:rPr>
                <w:szCs w:val="24"/>
              </w:rPr>
              <w:t>5.1944%</w:t>
            </w:r>
          </w:p>
        </w:tc>
        <w:tc>
          <w:tcPr>
            <w:tcW w:w="2124" w:type="dxa"/>
          </w:tcPr>
          <w:p w:rsidR="0070314C" w:rsidRPr="00DC66EA" w:rsidRDefault="00DC66EA" w:rsidP="00DC66EA">
            <w:pPr>
              <w:widowControl w:val="0"/>
              <w:suppressLineNumbers/>
              <w:jc w:val="right"/>
              <w:rPr>
                <w:szCs w:val="24"/>
              </w:rPr>
            </w:pPr>
            <w:r>
              <w:rPr>
                <w:szCs w:val="24"/>
              </w:rPr>
              <w:t>2.4965%</w:t>
            </w:r>
          </w:p>
        </w:tc>
      </w:tr>
      <w:tr w:rsidR="0070314C" w:rsidTr="0070314C">
        <w:trPr>
          <w:jc w:val="center"/>
        </w:trPr>
        <w:tc>
          <w:tcPr>
            <w:tcW w:w="2808" w:type="dxa"/>
          </w:tcPr>
          <w:p w:rsidR="0070314C" w:rsidRPr="00DC66EA" w:rsidRDefault="0070314C" w:rsidP="0070314C">
            <w:pPr>
              <w:widowControl w:val="0"/>
              <w:suppressLineNumbers/>
              <w:rPr>
                <w:szCs w:val="24"/>
              </w:rPr>
            </w:pPr>
            <w:r w:rsidRPr="00DC66EA">
              <w:rPr>
                <w:szCs w:val="24"/>
              </w:rPr>
              <w:t>Preferred Stock</w:t>
            </w:r>
          </w:p>
        </w:tc>
        <w:tc>
          <w:tcPr>
            <w:tcW w:w="1980" w:type="dxa"/>
          </w:tcPr>
          <w:p w:rsidR="0070314C" w:rsidRPr="00DC66EA" w:rsidRDefault="00DC66EA" w:rsidP="00DC66EA">
            <w:pPr>
              <w:widowControl w:val="0"/>
              <w:suppressLineNumbers/>
              <w:jc w:val="right"/>
              <w:rPr>
                <w:szCs w:val="24"/>
              </w:rPr>
            </w:pPr>
            <w:r>
              <w:rPr>
                <w:szCs w:val="24"/>
              </w:rPr>
              <w:t>0.016%</w:t>
            </w:r>
          </w:p>
        </w:tc>
        <w:tc>
          <w:tcPr>
            <w:tcW w:w="1584" w:type="dxa"/>
          </w:tcPr>
          <w:p w:rsidR="0070314C" w:rsidRPr="00DC66EA" w:rsidRDefault="00DC66EA" w:rsidP="00DC66EA">
            <w:pPr>
              <w:widowControl w:val="0"/>
              <w:suppressLineNumbers/>
              <w:jc w:val="right"/>
              <w:rPr>
                <w:szCs w:val="24"/>
              </w:rPr>
            </w:pPr>
            <w:r>
              <w:rPr>
                <w:szCs w:val="24"/>
              </w:rPr>
              <w:t>6.7527%</w:t>
            </w:r>
          </w:p>
        </w:tc>
        <w:tc>
          <w:tcPr>
            <w:tcW w:w="2124" w:type="dxa"/>
          </w:tcPr>
          <w:p w:rsidR="0070314C" w:rsidRPr="00DC66EA" w:rsidRDefault="00DC66EA" w:rsidP="00DC66EA">
            <w:pPr>
              <w:widowControl w:val="0"/>
              <w:suppressLineNumbers/>
              <w:jc w:val="right"/>
              <w:rPr>
                <w:szCs w:val="24"/>
              </w:rPr>
            </w:pPr>
            <w:r>
              <w:rPr>
                <w:szCs w:val="24"/>
              </w:rPr>
              <w:t>0.0011%</w:t>
            </w:r>
          </w:p>
        </w:tc>
      </w:tr>
      <w:tr w:rsidR="0070314C" w:rsidTr="00DC66EA">
        <w:trPr>
          <w:jc w:val="center"/>
        </w:trPr>
        <w:tc>
          <w:tcPr>
            <w:tcW w:w="2808" w:type="dxa"/>
            <w:tcBorders>
              <w:bottom w:val="double" w:sz="4" w:space="0" w:color="auto"/>
            </w:tcBorders>
          </w:tcPr>
          <w:p w:rsidR="0070314C" w:rsidRPr="00DC66EA" w:rsidRDefault="0070314C" w:rsidP="0070314C">
            <w:pPr>
              <w:widowControl w:val="0"/>
              <w:suppressLineNumbers/>
              <w:rPr>
                <w:szCs w:val="24"/>
              </w:rPr>
            </w:pPr>
            <w:r w:rsidRPr="00DC66EA">
              <w:rPr>
                <w:szCs w:val="24"/>
              </w:rPr>
              <w:t>Common Stock Equity</w:t>
            </w:r>
          </w:p>
        </w:tc>
        <w:tc>
          <w:tcPr>
            <w:tcW w:w="1980" w:type="dxa"/>
            <w:tcBorders>
              <w:bottom w:val="double" w:sz="4" w:space="0" w:color="auto"/>
            </w:tcBorders>
          </w:tcPr>
          <w:p w:rsidR="0070314C" w:rsidRPr="00DC66EA" w:rsidRDefault="00DC66EA" w:rsidP="00DC66EA">
            <w:pPr>
              <w:widowControl w:val="0"/>
              <w:suppressLineNumbers/>
              <w:jc w:val="right"/>
              <w:rPr>
                <w:szCs w:val="24"/>
              </w:rPr>
            </w:pPr>
            <w:r>
              <w:rPr>
                <w:szCs w:val="24"/>
              </w:rPr>
              <w:t>51.729%</w:t>
            </w:r>
          </w:p>
        </w:tc>
        <w:tc>
          <w:tcPr>
            <w:tcW w:w="1584" w:type="dxa"/>
            <w:tcBorders>
              <w:bottom w:val="double" w:sz="4" w:space="0" w:color="auto"/>
            </w:tcBorders>
          </w:tcPr>
          <w:p w:rsidR="0070314C" w:rsidRPr="00DC66EA" w:rsidRDefault="00DC66EA" w:rsidP="00DC66EA">
            <w:pPr>
              <w:widowControl w:val="0"/>
              <w:suppressLineNumbers/>
              <w:jc w:val="right"/>
              <w:rPr>
                <w:szCs w:val="24"/>
              </w:rPr>
            </w:pPr>
            <w:r>
              <w:rPr>
                <w:szCs w:val="24"/>
              </w:rPr>
              <w:t>10.0000%</w:t>
            </w:r>
          </w:p>
        </w:tc>
        <w:tc>
          <w:tcPr>
            <w:tcW w:w="2124" w:type="dxa"/>
            <w:tcBorders>
              <w:bottom w:val="double" w:sz="4" w:space="0" w:color="auto"/>
            </w:tcBorders>
          </w:tcPr>
          <w:p w:rsidR="0070314C" w:rsidRPr="00DC66EA" w:rsidRDefault="00DC66EA" w:rsidP="00DC66EA">
            <w:pPr>
              <w:widowControl w:val="0"/>
              <w:suppressLineNumbers/>
              <w:jc w:val="right"/>
              <w:rPr>
                <w:szCs w:val="24"/>
              </w:rPr>
            </w:pPr>
            <w:r>
              <w:rPr>
                <w:szCs w:val="24"/>
              </w:rPr>
              <w:t>5.1729%</w:t>
            </w:r>
          </w:p>
        </w:tc>
      </w:tr>
      <w:tr w:rsidR="0070314C" w:rsidTr="00DC66EA">
        <w:trPr>
          <w:jc w:val="center"/>
        </w:trPr>
        <w:tc>
          <w:tcPr>
            <w:tcW w:w="2808" w:type="dxa"/>
            <w:tcBorders>
              <w:top w:val="double" w:sz="4" w:space="0" w:color="auto"/>
              <w:bottom w:val="double" w:sz="4" w:space="0" w:color="auto"/>
            </w:tcBorders>
          </w:tcPr>
          <w:p w:rsidR="0070314C" w:rsidRPr="00DC66EA" w:rsidRDefault="00DC66EA" w:rsidP="0070314C">
            <w:pPr>
              <w:widowControl w:val="0"/>
              <w:suppressLineNumbers/>
              <w:rPr>
                <w:szCs w:val="24"/>
              </w:rPr>
            </w:pPr>
            <w:r w:rsidRPr="00DC66EA">
              <w:rPr>
                <w:szCs w:val="24"/>
              </w:rPr>
              <w:t>Total</w:t>
            </w:r>
          </w:p>
        </w:tc>
        <w:tc>
          <w:tcPr>
            <w:tcW w:w="1980" w:type="dxa"/>
            <w:tcBorders>
              <w:top w:val="double" w:sz="4" w:space="0" w:color="auto"/>
              <w:bottom w:val="double" w:sz="4" w:space="0" w:color="auto"/>
            </w:tcBorders>
          </w:tcPr>
          <w:p w:rsidR="0070314C" w:rsidRPr="00DC66EA" w:rsidRDefault="00DC66EA" w:rsidP="00DC66EA">
            <w:pPr>
              <w:widowControl w:val="0"/>
              <w:suppressLineNumbers/>
              <w:jc w:val="right"/>
              <w:rPr>
                <w:szCs w:val="24"/>
              </w:rPr>
            </w:pPr>
            <w:r w:rsidRPr="00DC66EA">
              <w:rPr>
                <w:szCs w:val="24"/>
              </w:rPr>
              <w:t>100.000%</w:t>
            </w:r>
          </w:p>
        </w:tc>
        <w:tc>
          <w:tcPr>
            <w:tcW w:w="1584" w:type="dxa"/>
            <w:tcBorders>
              <w:top w:val="double" w:sz="4" w:space="0" w:color="auto"/>
              <w:bottom w:val="double" w:sz="4" w:space="0" w:color="auto"/>
            </w:tcBorders>
          </w:tcPr>
          <w:p w:rsidR="0070314C" w:rsidRPr="00DC66EA" w:rsidRDefault="0070314C" w:rsidP="00DC66EA">
            <w:pPr>
              <w:widowControl w:val="0"/>
              <w:suppressLineNumbers/>
              <w:jc w:val="right"/>
              <w:rPr>
                <w:szCs w:val="24"/>
              </w:rPr>
            </w:pPr>
          </w:p>
        </w:tc>
        <w:tc>
          <w:tcPr>
            <w:tcW w:w="2124" w:type="dxa"/>
            <w:tcBorders>
              <w:top w:val="double" w:sz="4" w:space="0" w:color="auto"/>
              <w:bottom w:val="double" w:sz="4" w:space="0" w:color="auto"/>
            </w:tcBorders>
          </w:tcPr>
          <w:p w:rsidR="0070314C" w:rsidRPr="00DC66EA" w:rsidRDefault="00DC66EA" w:rsidP="00DC66EA">
            <w:pPr>
              <w:widowControl w:val="0"/>
              <w:suppressLineNumbers/>
              <w:jc w:val="right"/>
              <w:rPr>
                <w:szCs w:val="24"/>
              </w:rPr>
            </w:pPr>
            <w:r w:rsidRPr="00DC66EA">
              <w:rPr>
                <w:szCs w:val="24"/>
              </w:rPr>
              <w:t>7.6738%</w:t>
            </w:r>
          </w:p>
        </w:tc>
      </w:tr>
      <w:tr w:rsidR="00DC66EA" w:rsidTr="00DC66EA">
        <w:trPr>
          <w:jc w:val="center"/>
        </w:trPr>
        <w:tc>
          <w:tcPr>
            <w:tcW w:w="6372" w:type="dxa"/>
            <w:gridSpan w:val="3"/>
            <w:tcBorders>
              <w:top w:val="double" w:sz="4" w:space="0" w:color="auto"/>
            </w:tcBorders>
          </w:tcPr>
          <w:p w:rsidR="00DC66EA" w:rsidRPr="00DC66EA" w:rsidRDefault="00DC66EA" w:rsidP="00DC66EA">
            <w:pPr>
              <w:widowControl w:val="0"/>
              <w:suppressLineNumbers/>
              <w:rPr>
                <w:i/>
                <w:szCs w:val="24"/>
              </w:rPr>
            </w:pPr>
            <w:r w:rsidRPr="00DC66EA">
              <w:rPr>
                <w:i/>
                <w:szCs w:val="24"/>
              </w:rPr>
              <w:t>WACC Benefit of Preferred Refinancing</w:t>
            </w:r>
          </w:p>
        </w:tc>
        <w:tc>
          <w:tcPr>
            <w:tcW w:w="2124" w:type="dxa"/>
            <w:tcBorders>
              <w:top w:val="double" w:sz="4" w:space="0" w:color="auto"/>
            </w:tcBorders>
          </w:tcPr>
          <w:p w:rsidR="00DC66EA" w:rsidRPr="00DC66EA" w:rsidRDefault="00DC66EA" w:rsidP="00DC66EA">
            <w:pPr>
              <w:widowControl w:val="0"/>
              <w:suppressLineNumbers/>
              <w:jc w:val="right"/>
              <w:rPr>
                <w:szCs w:val="24"/>
              </w:rPr>
            </w:pPr>
            <w:r w:rsidRPr="00DC66EA">
              <w:rPr>
                <w:szCs w:val="24"/>
              </w:rPr>
              <w:t>0.0028%</w:t>
            </w:r>
          </w:p>
        </w:tc>
      </w:tr>
    </w:tbl>
    <w:p w:rsidR="00D5089C" w:rsidRDefault="00D5089C" w:rsidP="0070314C">
      <w:pPr>
        <w:widowControl w:val="0"/>
        <w:suppressLineNumbers/>
        <w:ind w:left="720" w:hanging="720"/>
        <w:rPr>
          <w:b/>
          <w:szCs w:val="24"/>
        </w:rPr>
      </w:pPr>
    </w:p>
    <w:p w:rsidR="00DC66EA" w:rsidRDefault="00DC66EA" w:rsidP="00DC66EA">
      <w:pPr>
        <w:widowControl w:val="0"/>
        <w:suppressLineNumbers/>
        <w:ind w:left="720" w:hanging="720"/>
        <w:jc w:val="center"/>
        <w:rPr>
          <w:b/>
          <w:szCs w:val="24"/>
        </w:rPr>
      </w:pPr>
      <w:r>
        <w:rPr>
          <w:b/>
          <w:szCs w:val="24"/>
        </w:rPr>
        <w:t>Table 9</w:t>
      </w:r>
    </w:p>
    <w:tbl>
      <w:tblPr>
        <w:tblStyle w:val="TableGrid"/>
        <w:tblW w:w="0" w:type="auto"/>
        <w:jc w:val="center"/>
        <w:tblInd w:w="720" w:type="dxa"/>
        <w:tblLook w:val="04A0" w:firstRow="1" w:lastRow="0" w:firstColumn="1" w:lastColumn="0" w:noHBand="0" w:noVBand="1"/>
      </w:tblPr>
      <w:tblGrid>
        <w:gridCol w:w="2808"/>
        <w:gridCol w:w="1980"/>
        <w:gridCol w:w="1584"/>
        <w:gridCol w:w="2124"/>
      </w:tblGrid>
      <w:tr w:rsidR="00DC66EA" w:rsidTr="0094388B">
        <w:trPr>
          <w:trHeight w:val="512"/>
          <w:jc w:val="center"/>
        </w:trPr>
        <w:tc>
          <w:tcPr>
            <w:tcW w:w="8496" w:type="dxa"/>
            <w:gridSpan w:val="4"/>
            <w:vAlign w:val="center"/>
          </w:tcPr>
          <w:p w:rsidR="00DC66EA" w:rsidRDefault="009019B4" w:rsidP="00E2704E">
            <w:pPr>
              <w:widowControl w:val="0"/>
              <w:suppressLineNumbers/>
              <w:jc w:val="center"/>
              <w:rPr>
                <w:b/>
                <w:szCs w:val="24"/>
              </w:rPr>
            </w:pPr>
            <w:r>
              <w:rPr>
                <w:b/>
                <w:szCs w:val="24"/>
              </w:rPr>
              <w:t xml:space="preserve">Pro Forma </w:t>
            </w:r>
            <w:r w:rsidR="00DC66EA">
              <w:rPr>
                <w:b/>
                <w:szCs w:val="24"/>
              </w:rPr>
              <w:t>Capital Structure and Costs Without Refinancing</w:t>
            </w:r>
          </w:p>
        </w:tc>
      </w:tr>
      <w:tr w:rsidR="00DC66EA" w:rsidTr="009019B4">
        <w:trPr>
          <w:jc w:val="center"/>
        </w:trPr>
        <w:tc>
          <w:tcPr>
            <w:tcW w:w="2808" w:type="dxa"/>
          </w:tcPr>
          <w:p w:rsidR="00DC66EA" w:rsidRPr="00DC66EA" w:rsidRDefault="00DC66EA" w:rsidP="009019B4">
            <w:pPr>
              <w:widowControl w:val="0"/>
              <w:suppressLineNumbers/>
              <w:rPr>
                <w:szCs w:val="24"/>
              </w:rPr>
            </w:pPr>
          </w:p>
        </w:tc>
        <w:tc>
          <w:tcPr>
            <w:tcW w:w="1980" w:type="dxa"/>
            <w:tcBorders>
              <w:bottom w:val="double" w:sz="4" w:space="0" w:color="auto"/>
            </w:tcBorders>
          </w:tcPr>
          <w:p w:rsidR="00DC66EA" w:rsidRPr="00DC66EA" w:rsidRDefault="00DC66EA" w:rsidP="009019B4">
            <w:pPr>
              <w:widowControl w:val="0"/>
              <w:suppressLineNumbers/>
              <w:jc w:val="center"/>
              <w:rPr>
                <w:szCs w:val="24"/>
              </w:rPr>
            </w:pPr>
            <w:r w:rsidRPr="00DC66EA">
              <w:rPr>
                <w:szCs w:val="24"/>
              </w:rPr>
              <w:t>Percent of Total</w:t>
            </w:r>
          </w:p>
        </w:tc>
        <w:tc>
          <w:tcPr>
            <w:tcW w:w="1584" w:type="dxa"/>
            <w:tcBorders>
              <w:bottom w:val="double" w:sz="4" w:space="0" w:color="auto"/>
            </w:tcBorders>
          </w:tcPr>
          <w:p w:rsidR="00DC66EA" w:rsidRPr="00DC66EA" w:rsidRDefault="00DC66EA" w:rsidP="009019B4">
            <w:pPr>
              <w:widowControl w:val="0"/>
              <w:suppressLineNumbers/>
              <w:jc w:val="center"/>
              <w:rPr>
                <w:szCs w:val="24"/>
              </w:rPr>
            </w:pPr>
            <w:r w:rsidRPr="00DC66EA">
              <w:rPr>
                <w:szCs w:val="24"/>
              </w:rPr>
              <w:t>Cost</w:t>
            </w:r>
          </w:p>
        </w:tc>
        <w:tc>
          <w:tcPr>
            <w:tcW w:w="2124" w:type="dxa"/>
            <w:tcBorders>
              <w:bottom w:val="double" w:sz="4" w:space="0" w:color="auto"/>
            </w:tcBorders>
          </w:tcPr>
          <w:p w:rsidR="00DC66EA" w:rsidRPr="00DC66EA" w:rsidRDefault="00DC66EA" w:rsidP="009019B4">
            <w:pPr>
              <w:widowControl w:val="0"/>
              <w:suppressLineNumbers/>
              <w:jc w:val="center"/>
              <w:rPr>
                <w:szCs w:val="24"/>
              </w:rPr>
            </w:pPr>
            <w:r w:rsidRPr="00DC66EA">
              <w:rPr>
                <w:szCs w:val="24"/>
              </w:rPr>
              <w:t>Weighted Average</w:t>
            </w:r>
          </w:p>
        </w:tc>
      </w:tr>
      <w:tr w:rsidR="00DC66EA" w:rsidTr="009019B4">
        <w:trPr>
          <w:jc w:val="center"/>
        </w:trPr>
        <w:tc>
          <w:tcPr>
            <w:tcW w:w="2808" w:type="dxa"/>
          </w:tcPr>
          <w:p w:rsidR="00DC66EA" w:rsidRPr="00DC66EA" w:rsidRDefault="00DC66EA" w:rsidP="009019B4">
            <w:pPr>
              <w:widowControl w:val="0"/>
              <w:suppressLineNumbers/>
              <w:rPr>
                <w:szCs w:val="24"/>
              </w:rPr>
            </w:pPr>
            <w:r w:rsidRPr="00DC66EA">
              <w:rPr>
                <w:szCs w:val="24"/>
              </w:rPr>
              <w:t>Short-Term Debt</w:t>
            </w:r>
          </w:p>
        </w:tc>
        <w:tc>
          <w:tcPr>
            <w:tcW w:w="1980" w:type="dxa"/>
          </w:tcPr>
          <w:p w:rsidR="00DC66EA" w:rsidRPr="00DC66EA" w:rsidRDefault="00DC66EA" w:rsidP="009019B4">
            <w:pPr>
              <w:widowControl w:val="0"/>
              <w:suppressLineNumbers/>
              <w:jc w:val="right"/>
              <w:rPr>
                <w:szCs w:val="24"/>
              </w:rPr>
            </w:pPr>
            <w:r>
              <w:rPr>
                <w:szCs w:val="24"/>
              </w:rPr>
              <w:t>0.193%</w:t>
            </w:r>
          </w:p>
        </w:tc>
        <w:tc>
          <w:tcPr>
            <w:tcW w:w="1584" w:type="dxa"/>
          </w:tcPr>
          <w:p w:rsidR="00DC66EA" w:rsidRPr="00DC66EA" w:rsidRDefault="00DC66EA" w:rsidP="009019B4">
            <w:pPr>
              <w:widowControl w:val="0"/>
              <w:suppressLineNumbers/>
              <w:jc w:val="right"/>
              <w:rPr>
                <w:szCs w:val="24"/>
              </w:rPr>
            </w:pPr>
            <w:r>
              <w:rPr>
                <w:szCs w:val="24"/>
              </w:rPr>
              <w:t>1.7312%</w:t>
            </w:r>
          </w:p>
        </w:tc>
        <w:tc>
          <w:tcPr>
            <w:tcW w:w="2124" w:type="dxa"/>
          </w:tcPr>
          <w:p w:rsidR="00DC66EA" w:rsidRPr="00DC66EA" w:rsidRDefault="00DC66EA" w:rsidP="009019B4">
            <w:pPr>
              <w:widowControl w:val="0"/>
              <w:suppressLineNumbers/>
              <w:jc w:val="right"/>
              <w:rPr>
                <w:szCs w:val="24"/>
              </w:rPr>
            </w:pPr>
            <w:r>
              <w:rPr>
                <w:szCs w:val="24"/>
              </w:rPr>
              <w:t>0.0033%</w:t>
            </w:r>
          </w:p>
        </w:tc>
      </w:tr>
      <w:tr w:rsidR="00DC66EA" w:rsidTr="009019B4">
        <w:trPr>
          <w:jc w:val="center"/>
        </w:trPr>
        <w:tc>
          <w:tcPr>
            <w:tcW w:w="2808" w:type="dxa"/>
          </w:tcPr>
          <w:p w:rsidR="00DC66EA" w:rsidRPr="00DC66EA" w:rsidRDefault="00DC66EA" w:rsidP="009019B4">
            <w:pPr>
              <w:widowControl w:val="0"/>
              <w:suppressLineNumbers/>
              <w:rPr>
                <w:szCs w:val="24"/>
              </w:rPr>
            </w:pPr>
            <w:r w:rsidRPr="00DC66EA">
              <w:rPr>
                <w:szCs w:val="24"/>
              </w:rPr>
              <w:t>Long-Term Debt</w:t>
            </w:r>
          </w:p>
        </w:tc>
        <w:tc>
          <w:tcPr>
            <w:tcW w:w="1980" w:type="dxa"/>
          </w:tcPr>
          <w:p w:rsidR="00DC66EA" w:rsidRPr="00DC66EA" w:rsidRDefault="009019B4" w:rsidP="009019B4">
            <w:pPr>
              <w:widowControl w:val="0"/>
              <w:suppressLineNumbers/>
              <w:jc w:val="right"/>
              <w:rPr>
                <w:szCs w:val="24"/>
              </w:rPr>
            </w:pPr>
            <w:r>
              <w:rPr>
                <w:szCs w:val="24"/>
              </w:rPr>
              <w:t>47.802</w:t>
            </w:r>
            <w:r w:rsidR="00DC66EA">
              <w:rPr>
                <w:szCs w:val="24"/>
              </w:rPr>
              <w:t>%</w:t>
            </w:r>
          </w:p>
        </w:tc>
        <w:tc>
          <w:tcPr>
            <w:tcW w:w="1584" w:type="dxa"/>
          </w:tcPr>
          <w:p w:rsidR="00DC66EA" w:rsidRPr="00DC66EA" w:rsidRDefault="00DC66EA" w:rsidP="00A003EE">
            <w:pPr>
              <w:widowControl w:val="0"/>
              <w:suppressLineNumbers/>
              <w:jc w:val="right"/>
              <w:rPr>
                <w:szCs w:val="24"/>
              </w:rPr>
            </w:pPr>
            <w:r>
              <w:rPr>
                <w:szCs w:val="24"/>
              </w:rPr>
              <w:t>5.19</w:t>
            </w:r>
            <w:r w:rsidR="00A003EE">
              <w:rPr>
                <w:szCs w:val="24"/>
              </w:rPr>
              <w:t>9</w:t>
            </w:r>
            <w:r>
              <w:rPr>
                <w:szCs w:val="24"/>
              </w:rPr>
              <w:t>4%</w:t>
            </w:r>
          </w:p>
        </w:tc>
        <w:tc>
          <w:tcPr>
            <w:tcW w:w="2124" w:type="dxa"/>
          </w:tcPr>
          <w:p w:rsidR="00DC66EA" w:rsidRPr="00DC66EA" w:rsidRDefault="00DC66EA" w:rsidP="009019B4">
            <w:pPr>
              <w:widowControl w:val="0"/>
              <w:suppressLineNumbers/>
              <w:jc w:val="right"/>
              <w:rPr>
                <w:szCs w:val="24"/>
              </w:rPr>
            </w:pPr>
            <w:r>
              <w:rPr>
                <w:szCs w:val="24"/>
              </w:rPr>
              <w:t>2.</w:t>
            </w:r>
            <w:r w:rsidR="009019B4">
              <w:rPr>
                <w:szCs w:val="24"/>
              </w:rPr>
              <w:t>4854</w:t>
            </w:r>
            <w:r>
              <w:rPr>
                <w:szCs w:val="24"/>
              </w:rPr>
              <w:t>%</w:t>
            </w:r>
          </w:p>
        </w:tc>
      </w:tr>
      <w:tr w:rsidR="00DC66EA" w:rsidTr="009019B4">
        <w:trPr>
          <w:jc w:val="center"/>
        </w:trPr>
        <w:tc>
          <w:tcPr>
            <w:tcW w:w="2808" w:type="dxa"/>
          </w:tcPr>
          <w:p w:rsidR="00DC66EA" w:rsidRPr="00DC66EA" w:rsidRDefault="00DC66EA" w:rsidP="009019B4">
            <w:pPr>
              <w:widowControl w:val="0"/>
              <w:suppressLineNumbers/>
              <w:rPr>
                <w:szCs w:val="24"/>
              </w:rPr>
            </w:pPr>
            <w:r w:rsidRPr="00DC66EA">
              <w:rPr>
                <w:szCs w:val="24"/>
              </w:rPr>
              <w:t>Preferred Stock</w:t>
            </w:r>
          </w:p>
        </w:tc>
        <w:tc>
          <w:tcPr>
            <w:tcW w:w="1980" w:type="dxa"/>
          </w:tcPr>
          <w:p w:rsidR="00DC66EA" w:rsidRPr="00DC66EA" w:rsidRDefault="00DC66EA" w:rsidP="009019B4">
            <w:pPr>
              <w:widowControl w:val="0"/>
              <w:suppressLineNumbers/>
              <w:jc w:val="right"/>
              <w:rPr>
                <w:szCs w:val="24"/>
              </w:rPr>
            </w:pPr>
            <w:r>
              <w:rPr>
                <w:szCs w:val="24"/>
              </w:rPr>
              <w:t>0.</w:t>
            </w:r>
            <w:r w:rsidR="009019B4">
              <w:rPr>
                <w:szCs w:val="24"/>
              </w:rPr>
              <w:t>276</w:t>
            </w:r>
            <w:r>
              <w:rPr>
                <w:szCs w:val="24"/>
              </w:rPr>
              <w:t>%</w:t>
            </w:r>
          </w:p>
        </w:tc>
        <w:tc>
          <w:tcPr>
            <w:tcW w:w="1584" w:type="dxa"/>
          </w:tcPr>
          <w:p w:rsidR="00DC66EA" w:rsidRPr="00DC66EA" w:rsidRDefault="009019B4" w:rsidP="009019B4">
            <w:pPr>
              <w:widowControl w:val="0"/>
              <w:suppressLineNumbers/>
              <w:jc w:val="right"/>
              <w:rPr>
                <w:szCs w:val="24"/>
              </w:rPr>
            </w:pPr>
            <w:r>
              <w:rPr>
                <w:szCs w:val="24"/>
              </w:rPr>
              <w:t>5.4274</w:t>
            </w:r>
            <w:r w:rsidR="00DC66EA">
              <w:rPr>
                <w:szCs w:val="24"/>
              </w:rPr>
              <w:t>%</w:t>
            </w:r>
          </w:p>
        </w:tc>
        <w:tc>
          <w:tcPr>
            <w:tcW w:w="2124" w:type="dxa"/>
          </w:tcPr>
          <w:p w:rsidR="00DC66EA" w:rsidRPr="00DC66EA" w:rsidRDefault="00DC66EA" w:rsidP="009019B4">
            <w:pPr>
              <w:widowControl w:val="0"/>
              <w:suppressLineNumbers/>
              <w:jc w:val="right"/>
              <w:rPr>
                <w:szCs w:val="24"/>
              </w:rPr>
            </w:pPr>
            <w:r>
              <w:rPr>
                <w:szCs w:val="24"/>
              </w:rPr>
              <w:t>0.0</w:t>
            </w:r>
            <w:r w:rsidR="009019B4">
              <w:rPr>
                <w:szCs w:val="24"/>
              </w:rPr>
              <w:t>150</w:t>
            </w:r>
            <w:r>
              <w:rPr>
                <w:szCs w:val="24"/>
              </w:rPr>
              <w:t>%</w:t>
            </w:r>
          </w:p>
        </w:tc>
      </w:tr>
      <w:tr w:rsidR="00DC66EA" w:rsidTr="00DC66EA">
        <w:trPr>
          <w:jc w:val="center"/>
        </w:trPr>
        <w:tc>
          <w:tcPr>
            <w:tcW w:w="2808" w:type="dxa"/>
            <w:tcBorders>
              <w:bottom w:val="double" w:sz="4" w:space="0" w:color="auto"/>
            </w:tcBorders>
          </w:tcPr>
          <w:p w:rsidR="00DC66EA" w:rsidRPr="00DC66EA" w:rsidRDefault="00DC66EA" w:rsidP="009019B4">
            <w:pPr>
              <w:widowControl w:val="0"/>
              <w:suppressLineNumbers/>
              <w:rPr>
                <w:szCs w:val="24"/>
              </w:rPr>
            </w:pPr>
            <w:r w:rsidRPr="00DC66EA">
              <w:rPr>
                <w:szCs w:val="24"/>
              </w:rPr>
              <w:t>Common Stock Equity</w:t>
            </w:r>
          </w:p>
        </w:tc>
        <w:tc>
          <w:tcPr>
            <w:tcW w:w="1980" w:type="dxa"/>
            <w:tcBorders>
              <w:bottom w:val="double" w:sz="4" w:space="0" w:color="auto"/>
            </w:tcBorders>
          </w:tcPr>
          <w:p w:rsidR="00DC66EA" w:rsidRPr="00DC66EA" w:rsidRDefault="00DC66EA" w:rsidP="009019B4">
            <w:pPr>
              <w:widowControl w:val="0"/>
              <w:suppressLineNumbers/>
              <w:jc w:val="right"/>
              <w:rPr>
                <w:szCs w:val="24"/>
              </w:rPr>
            </w:pPr>
            <w:r>
              <w:rPr>
                <w:szCs w:val="24"/>
              </w:rPr>
              <w:t>51.729%</w:t>
            </w:r>
          </w:p>
        </w:tc>
        <w:tc>
          <w:tcPr>
            <w:tcW w:w="1584" w:type="dxa"/>
            <w:tcBorders>
              <w:bottom w:val="double" w:sz="4" w:space="0" w:color="auto"/>
            </w:tcBorders>
          </w:tcPr>
          <w:p w:rsidR="00DC66EA" w:rsidRPr="00DC66EA" w:rsidRDefault="00DC66EA" w:rsidP="009019B4">
            <w:pPr>
              <w:widowControl w:val="0"/>
              <w:suppressLineNumbers/>
              <w:jc w:val="right"/>
              <w:rPr>
                <w:szCs w:val="24"/>
              </w:rPr>
            </w:pPr>
            <w:r>
              <w:rPr>
                <w:szCs w:val="24"/>
              </w:rPr>
              <w:t>10.0000%</w:t>
            </w:r>
          </w:p>
        </w:tc>
        <w:tc>
          <w:tcPr>
            <w:tcW w:w="2124" w:type="dxa"/>
            <w:tcBorders>
              <w:bottom w:val="double" w:sz="4" w:space="0" w:color="auto"/>
            </w:tcBorders>
          </w:tcPr>
          <w:p w:rsidR="00DC66EA" w:rsidRPr="00DC66EA" w:rsidRDefault="00DC66EA" w:rsidP="009019B4">
            <w:pPr>
              <w:widowControl w:val="0"/>
              <w:suppressLineNumbers/>
              <w:jc w:val="right"/>
              <w:rPr>
                <w:szCs w:val="24"/>
              </w:rPr>
            </w:pPr>
            <w:r>
              <w:rPr>
                <w:szCs w:val="24"/>
              </w:rPr>
              <w:t>5.1729%</w:t>
            </w:r>
          </w:p>
        </w:tc>
      </w:tr>
      <w:tr w:rsidR="00DC66EA" w:rsidTr="00DC66EA">
        <w:trPr>
          <w:jc w:val="center"/>
        </w:trPr>
        <w:tc>
          <w:tcPr>
            <w:tcW w:w="2808" w:type="dxa"/>
            <w:tcBorders>
              <w:top w:val="double" w:sz="4" w:space="0" w:color="auto"/>
              <w:bottom w:val="single" w:sz="4" w:space="0" w:color="auto"/>
            </w:tcBorders>
          </w:tcPr>
          <w:p w:rsidR="00DC66EA" w:rsidRPr="00DC66EA" w:rsidRDefault="00DC66EA" w:rsidP="009019B4">
            <w:pPr>
              <w:widowControl w:val="0"/>
              <w:suppressLineNumbers/>
              <w:rPr>
                <w:szCs w:val="24"/>
              </w:rPr>
            </w:pPr>
            <w:r w:rsidRPr="00DC66EA">
              <w:rPr>
                <w:szCs w:val="24"/>
              </w:rPr>
              <w:t>Total</w:t>
            </w:r>
          </w:p>
        </w:tc>
        <w:tc>
          <w:tcPr>
            <w:tcW w:w="1980" w:type="dxa"/>
            <w:tcBorders>
              <w:top w:val="double" w:sz="4" w:space="0" w:color="auto"/>
              <w:bottom w:val="single" w:sz="4" w:space="0" w:color="auto"/>
            </w:tcBorders>
          </w:tcPr>
          <w:p w:rsidR="00DC66EA" w:rsidRPr="00DC66EA" w:rsidRDefault="00DC66EA" w:rsidP="009019B4">
            <w:pPr>
              <w:widowControl w:val="0"/>
              <w:suppressLineNumbers/>
              <w:jc w:val="right"/>
              <w:rPr>
                <w:szCs w:val="24"/>
              </w:rPr>
            </w:pPr>
            <w:r w:rsidRPr="00DC66EA">
              <w:rPr>
                <w:szCs w:val="24"/>
              </w:rPr>
              <w:t>100.000%</w:t>
            </w:r>
          </w:p>
        </w:tc>
        <w:tc>
          <w:tcPr>
            <w:tcW w:w="1584" w:type="dxa"/>
            <w:tcBorders>
              <w:top w:val="double" w:sz="4" w:space="0" w:color="auto"/>
              <w:bottom w:val="single" w:sz="4" w:space="0" w:color="auto"/>
            </w:tcBorders>
          </w:tcPr>
          <w:p w:rsidR="00DC66EA" w:rsidRPr="00DC66EA" w:rsidRDefault="00DC66EA" w:rsidP="009019B4">
            <w:pPr>
              <w:widowControl w:val="0"/>
              <w:suppressLineNumbers/>
              <w:jc w:val="right"/>
              <w:rPr>
                <w:szCs w:val="24"/>
              </w:rPr>
            </w:pPr>
          </w:p>
        </w:tc>
        <w:tc>
          <w:tcPr>
            <w:tcW w:w="2124" w:type="dxa"/>
            <w:tcBorders>
              <w:top w:val="double" w:sz="4" w:space="0" w:color="auto"/>
              <w:bottom w:val="single" w:sz="4" w:space="0" w:color="auto"/>
            </w:tcBorders>
          </w:tcPr>
          <w:p w:rsidR="00DC66EA" w:rsidRPr="00DC66EA" w:rsidRDefault="00DC66EA" w:rsidP="0039563B">
            <w:pPr>
              <w:widowControl w:val="0"/>
              <w:suppressLineNumbers/>
              <w:jc w:val="right"/>
              <w:rPr>
                <w:szCs w:val="24"/>
              </w:rPr>
            </w:pPr>
            <w:r w:rsidRPr="00DC66EA">
              <w:rPr>
                <w:szCs w:val="24"/>
              </w:rPr>
              <w:t>7.67</w:t>
            </w:r>
            <w:r w:rsidR="00A003EE">
              <w:rPr>
                <w:szCs w:val="24"/>
              </w:rPr>
              <w:t>66</w:t>
            </w:r>
            <w:r w:rsidRPr="00DC66EA">
              <w:rPr>
                <w:szCs w:val="24"/>
              </w:rPr>
              <w:t>%</w:t>
            </w:r>
          </w:p>
        </w:tc>
      </w:tr>
    </w:tbl>
    <w:p w:rsidR="003D655E" w:rsidRPr="00C04A68" w:rsidRDefault="003D655E" w:rsidP="001072D5">
      <w:pPr>
        <w:spacing w:before="240" w:line="480" w:lineRule="auto"/>
        <w:ind w:left="720"/>
        <w:rPr>
          <w:szCs w:val="24"/>
        </w:rPr>
      </w:pPr>
      <w:r w:rsidRPr="00C04A68">
        <w:rPr>
          <w:szCs w:val="24"/>
        </w:rPr>
        <w:t xml:space="preserve">The preferred stock redemption and refinancing provides a lower overall cost of capital which translates into </w:t>
      </w:r>
      <w:r w:rsidR="005C6670">
        <w:rPr>
          <w:szCs w:val="24"/>
        </w:rPr>
        <w:t xml:space="preserve">a revenue requirement savings. </w:t>
      </w:r>
      <w:r w:rsidR="00845E05">
        <w:rPr>
          <w:szCs w:val="24"/>
        </w:rPr>
        <w:t xml:space="preserve"> </w:t>
      </w:r>
      <w:r w:rsidRPr="00C04A68">
        <w:rPr>
          <w:szCs w:val="24"/>
        </w:rPr>
        <w:t xml:space="preserve">This savings arises by </w:t>
      </w:r>
      <w:r w:rsidRPr="00C04A68">
        <w:rPr>
          <w:szCs w:val="24"/>
        </w:rPr>
        <w:lastRenderedPageBreak/>
        <w:t>redeeming preferred stock with a weighted average a</w:t>
      </w:r>
      <w:r w:rsidR="00845E05">
        <w:rPr>
          <w:szCs w:val="24"/>
        </w:rPr>
        <w:t>fter-tax dividend rate of 4.925 </w:t>
      </w:r>
      <w:r w:rsidRPr="00C04A68">
        <w:rPr>
          <w:szCs w:val="24"/>
        </w:rPr>
        <w:t xml:space="preserve">percent with new long-term debt that has </w:t>
      </w:r>
      <w:r w:rsidR="001566B7">
        <w:rPr>
          <w:szCs w:val="24"/>
        </w:rPr>
        <w:t>a 2.65</w:t>
      </w:r>
      <w:r w:rsidRPr="00C04A68">
        <w:rPr>
          <w:szCs w:val="24"/>
        </w:rPr>
        <w:t xml:space="preserve"> percent after-tax rate, including amortization of pre</w:t>
      </w:r>
      <w:r w:rsidR="005C6670">
        <w:rPr>
          <w:szCs w:val="24"/>
        </w:rPr>
        <w:t xml:space="preserve">ferred stock redemption costs. </w:t>
      </w:r>
      <w:r w:rsidR="00845E05">
        <w:rPr>
          <w:szCs w:val="24"/>
        </w:rPr>
        <w:t xml:space="preserve"> </w:t>
      </w:r>
      <w:r w:rsidRPr="00C04A68">
        <w:rPr>
          <w:szCs w:val="24"/>
        </w:rPr>
        <w:t>The cost of preferred stock increases because the surviving preferred stock, which is not redeemable, carries higher dividend rates than the callable pref</w:t>
      </w:r>
      <w:r w:rsidR="005C6670">
        <w:rPr>
          <w:szCs w:val="24"/>
        </w:rPr>
        <w:t xml:space="preserve">erred stock that was redeemed. </w:t>
      </w:r>
      <w:r w:rsidR="00845E05">
        <w:rPr>
          <w:szCs w:val="24"/>
        </w:rPr>
        <w:t xml:space="preserve"> </w:t>
      </w:r>
      <w:r w:rsidRPr="00C04A68">
        <w:rPr>
          <w:szCs w:val="24"/>
        </w:rPr>
        <w:t>The cost of long-term debt decreases as the cost of debt to refinance the preferred stock is lower than the pro forma average cost of long-term debt without the preferred stock redemption and refinancing.</w:t>
      </w:r>
    </w:p>
    <w:p w:rsidR="003D655E" w:rsidRPr="00C04A68" w:rsidRDefault="003D655E" w:rsidP="00BE3931">
      <w:pPr>
        <w:spacing w:line="480" w:lineRule="auto"/>
        <w:ind w:left="720" w:firstLine="720"/>
        <w:rPr>
          <w:szCs w:val="24"/>
        </w:rPr>
      </w:pPr>
      <w:r w:rsidRPr="00C04A68">
        <w:rPr>
          <w:szCs w:val="24"/>
        </w:rPr>
        <w:t xml:space="preserve">Also, the cost of long-term debt now includes the unrecovered costs related to certain hybrid debt securities, Exhibit </w:t>
      </w:r>
      <w:r w:rsidR="0078559D">
        <w:rPr>
          <w:szCs w:val="24"/>
        </w:rPr>
        <w:t>No.</w:t>
      </w:r>
      <w:r w:rsidRPr="00C04A68">
        <w:rPr>
          <w:szCs w:val="24"/>
        </w:rPr>
        <w:t>__</w:t>
      </w:r>
      <w:proofErr w:type="gramStart"/>
      <w:r w:rsidRPr="00C04A68">
        <w:rPr>
          <w:szCs w:val="24"/>
        </w:rPr>
        <w:t>_(</w:t>
      </w:r>
      <w:proofErr w:type="gramEnd"/>
      <w:r w:rsidRPr="00C04A68">
        <w:rPr>
          <w:szCs w:val="24"/>
        </w:rPr>
        <w:t>BNW-</w:t>
      </w:r>
      <w:r w:rsidR="00B719F0">
        <w:rPr>
          <w:szCs w:val="24"/>
        </w:rPr>
        <w:t>12</w:t>
      </w:r>
      <w:r w:rsidRPr="00C04A68">
        <w:rPr>
          <w:szCs w:val="24"/>
        </w:rPr>
        <w:t>), page 3</w:t>
      </w:r>
      <w:r w:rsidR="00D5089C">
        <w:rPr>
          <w:szCs w:val="24"/>
        </w:rPr>
        <w:t>,</w:t>
      </w:r>
      <w:r w:rsidRPr="00C04A68">
        <w:rPr>
          <w:szCs w:val="24"/>
        </w:rPr>
        <w:t xml:space="preserve"> lines </w:t>
      </w:r>
      <w:r w:rsidR="0078559D">
        <w:rPr>
          <w:szCs w:val="24"/>
        </w:rPr>
        <w:t>87</w:t>
      </w:r>
      <w:r w:rsidRPr="00C04A68">
        <w:rPr>
          <w:szCs w:val="24"/>
        </w:rPr>
        <w:t xml:space="preserve"> and </w:t>
      </w:r>
      <w:r w:rsidR="0078559D">
        <w:rPr>
          <w:szCs w:val="24"/>
        </w:rPr>
        <w:t>88</w:t>
      </w:r>
      <w:r w:rsidR="00EF27D9">
        <w:rPr>
          <w:szCs w:val="24"/>
        </w:rPr>
        <w:t>,</w:t>
      </w:r>
      <w:r w:rsidRPr="00C04A68">
        <w:rPr>
          <w:szCs w:val="24"/>
        </w:rPr>
        <w:t xml:space="preserve"> which were previously recovered throug</w:t>
      </w:r>
      <w:r w:rsidR="005C6670">
        <w:rPr>
          <w:szCs w:val="24"/>
        </w:rPr>
        <w:t xml:space="preserve">h the cost of preferred stock. </w:t>
      </w:r>
      <w:r w:rsidR="00845E05">
        <w:rPr>
          <w:szCs w:val="24"/>
        </w:rPr>
        <w:t xml:space="preserve"> </w:t>
      </w:r>
      <w:r w:rsidRPr="00C04A68">
        <w:rPr>
          <w:szCs w:val="24"/>
        </w:rPr>
        <w:t>This shift has no impact on customer rates and is appropriate given the small amount of remaining preferred stock and is consistent with accounting treatment for these unamortized costs.</w:t>
      </w:r>
    </w:p>
    <w:p w:rsidR="0094388B" w:rsidRDefault="003D655E" w:rsidP="0094388B">
      <w:pPr>
        <w:spacing w:line="480" w:lineRule="auto"/>
        <w:ind w:left="720" w:hanging="720"/>
        <w:rPr>
          <w:szCs w:val="24"/>
        </w:rPr>
      </w:pPr>
      <w:r w:rsidRPr="00C04A68">
        <w:rPr>
          <w:szCs w:val="24"/>
        </w:rPr>
        <w:tab/>
      </w:r>
      <w:r w:rsidRPr="00C04A68">
        <w:rPr>
          <w:szCs w:val="24"/>
        </w:rPr>
        <w:tab/>
        <w:t xml:space="preserve">To better show the beneficial impacts of this </w:t>
      </w:r>
      <w:proofErr w:type="gramStart"/>
      <w:r w:rsidRPr="00C04A68">
        <w:rPr>
          <w:szCs w:val="24"/>
        </w:rPr>
        <w:t>refinancing</w:t>
      </w:r>
      <w:r w:rsidR="00D5089C">
        <w:rPr>
          <w:szCs w:val="24"/>
        </w:rPr>
        <w:t>,</w:t>
      </w:r>
      <w:proofErr w:type="gramEnd"/>
      <w:r w:rsidR="00D5089C">
        <w:rPr>
          <w:szCs w:val="24"/>
        </w:rPr>
        <w:t xml:space="preserve"> Tables 10 and 11 are the same as Tables 8 and 9, respectively, except calculated using the after-tax cost of debt.  </w:t>
      </w:r>
      <w:r w:rsidR="00F0288E">
        <w:rPr>
          <w:szCs w:val="24"/>
        </w:rPr>
        <w:t>Because</w:t>
      </w:r>
      <w:r w:rsidRPr="00C04A68">
        <w:rPr>
          <w:szCs w:val="24"/>
        </w:rPr>
        <w:t xml:space="preserve"> interest expense is deductible</w:t>
      </w:r>
      <w:r w:rsidR="001566B7">
        <w:rPr>
          <w:szCs w:val="24"/>
        </w:rPr>
        <w:t>,</w:t>
      </w:r>
      <w:r w:rsidRPr="00C04A68">
        <w:rPr>
          <w:szCs w:val="24"/>
        </w:rPr>
        <w:t xml:space="preserve"> this better captures the full benefit of redeeming the preferred stock and refinancing with lower after-tax cost of debt.</w:t>
      </w:r>
      <w:r w:rsidR="0094388B">
        <w:rPr>
          <w:szCs w:val="24"/>
        </w:rPr>
        <w:br w:type="page"/>
      </w:r>
    </w:p>
    <w:p w:rsidR="001072D5" w:rsidRPr="001072D5" w:rsidRDefault="001072D5" w:rsidP="00D5089C">
      <w:pPr>
        <w:suppressLineNumbers/>
        <w:ind w:left="720" w:hanging="720"/>
        <w:jc w:val="center"/>
        <w:rPr>
          <w:b/>
          <w:szCs w:val="24"/>
        </w:rPr>
      </w:pPr>
      <w:r>
        <w:rPr>
          <w:b/>
          <w:szCs w:val="24"/>
        </w:rPr>
        <w:lastRenderedPageBreak/>
        <w:t>Table 10</w:t>
      </w:r>
    </w:p>
    <w:tbl>
      <w:tblPr>
        <w:tblStyle w:val="TableGrid"/>
        <w:tblW w:w="0" w:type="auto"/>
        <w:jc w:val="center"/>
        <w:tblInd w:w="720" w:type="dxa"/>
        <w:tblLook w:val="04A0" w:firstRow="1" w:lastRow="0" w:firstColumn="1" w:lastColumn="0" w:noHBand="0" w:noVBand="1"/>
      </w:tblPr>
      <w:tblGrid>
        <w:gridCol w:w="2808"/>
        <w:gridCol w:w="1980"/>
        <w:gridCol w:w="1584"/>
        <w:gridCol w:w="2124"/>
      </w:tblGrid>
      <w:tr w:rsidR="009019B4" w:rsidTr="009019B4">
        <w:trPr>
          <w:trHeight w:val="404"/>
          <w:jc w:val="center"/>
        </w:trPr>
        <w:tc>
          <w:tcPr>
            <w:tcW w:w="8496" w:type="dxa"/>
            <w:gridSpan w:val="4"/>
            <w:vAlign w:val="center"/>
          </w:tcPr>
          <w:p w:rsidR="009019B4" w:rsidRDefault="009019B4" w:rsidP="009019B4">
            <w:pPr>
              <w:widowControl w:val="0"/>
              <w:suppressLineNumbers/>
              <w:jc w:val="center"/>
              <w:rPr>
                <w:b/>
                <w:szCs w:val="24"/>
              </w:rPr>
            </w:pPr>
            <w:r>
              <w:rPr>
                <w:b/>
                <w:szCs w:val="24"/>
              </w:rPr>
              <w:t xml:space="preserve">Proposed Capital Structure and Costs </w:t>
            </w:r>
            <w:r>
              <w:rPr>
                <w:b/>
                <w:szCs w:val="24"/>
              </w:rPr>
              <w:br/>
              <w:t>With Refinancing and After-Tax Cost of Debt</w:t>
            </w:r>
          </w:p>
        </w:tc>
      </w:tr>
      <w:tr w:rsidR="009019B4" w:rsidTr="009019B4">
        <w:trPr>
          <w:jc w:val="center"/>
        </w:trPr>
        <w:tc>
          <w:tcPr>
            <w:tcW w:w="2808" w:type="dxa"/>
            <w:tcBorders>
              <w:top w:val="nil"/>
              <w:bottom w:val="double" w:sz="4" w:space="0" w:color="auto"/>
            </w:tcBorders>
          </w:tcPr>
          <w:p w:rsidR="009019B4" w:rsidRPr="00DC66EA" w:rsidRDefault="009019B4" w:rsidP="009019B4">
            <w:pPr>
              <w:widowControl w:val="0"/>
              <w:suppressLineNumbers/>
              <w:rPr>
                <w:szCs w:val="24"/>
              </w:rPr>
            </w:pPr>
          </w:p>
        </w:tc>
        <w:tc>
          <w:tcPr>
            <w:tcW w:w="1980" w:type="dxa"/>
            <w:tcBorders>
              <w:bottom w:val="double" w:sz="4" w:space="0" w:color="auto"/>
            </w:tcBorders>
          </w:tcPr>
          <w:p w:rsidR="009019B4" w:rsidRPr="00DC66EA" w:rsidRDefault="009019B4" w:rsidP="009019B4">
            <w:pPr>
              <w:widowControl w:val="0"/>
              <w:suppressLineNumbers/>
              <w:jc w:val="center"/>
              <w:rPr>
                <w:szCs w:val="24"/>
              </w:rPr>
            </w:pPr>
            <w:r w:rsidRPr="00DC66EA">
              <w:rPr>
                <w:szCs w:val="24"/>
              </w:rPr>
              <w:t>Percent of Total</w:t>
            </w:r>
          </w:p>
        </w:tc>
        <w:tc>
          <w:tcPr>
            <w:tcW w:w="1584" w:type="dxa"/>
            <w:tcBorders>
              <w:bottom w:val="double" w:sz="4" w:space="0" w:color="auto"/>
            </w:tcBorders>
          </w:tcPr>
          <w:p w:rsidR="009019B4" w:rsidRPr="00DC66EA" w:rsidRDefault="009019B4" w:rsidP="009019B4">
            <w:pPr>
              <w:widowControl w:val="0"/>
              <w:suppressLineNumbers/>
              <w:jc w:val="center"/>
              <w:rPr>
                <w:szCs w:val="24"/>
              </w:rPr>
            </w:pPr>
            <w:r w:rsidRPr="00DC66EA">
              <w:rPr>
                <w:szCs w:val="24"/>
              </w:rPr>
              <w:t>Cost</w:t>
            </w:r>
          </w:p>
        </w:tc>
        <w:tc>
          <w:tcPr>
            <w:tcW w:w="2124" w:type="dxa"/>
            <w:tcBorders>
              <w:bottom w:val="double" w:sz="4" w:space="0" w:color="auto"/>
            </w:tcBorders>
          </w:tcPr>
          <w:p w:rsidR="009019B4" w:rsidRPr="00DC66EA" w:rsidRDefault="009019B4" w:rsidP="009019B4">
            <w:pPr>
              <w:widowControl w:val="0"/>
              <w:suppressLineNumbers/>
              <w:jc w:val="center"/>
              <w:rPr>
                <w:szCs w:val="24"/>
              </w:rPr>
            </w:pPr>
            <w:r w:rsidRPr="00DC66EA">
              <w:rPr>
                <w:szCs w:val="24"/>
              </w:rPr>
              <w:t>Weighted Average</w:t>
            </w:r>
          </w:p>
        </w:tc>
      </w:tr>
      <w:tr w:rsidR="009019B4" w:rsidTr="009019B4">
        <w:trPr>
          <w:jc w:val="center"/>
        </w:trPr>
        <w:tc>
          <w:tcPr>
            <w:tcW w:w="2808" w:type="dxa"/>
            <w:tcBorders>
              <w:top w:val="double" w:sz="4" w:space="0" w:color="auto"/>
            </w:tcBorders>
          </w:tcPr>
          <w:p w:rsidR="009019B4" w:rsidRPr="00DC66EA" w:rsidRDefault="009019B4" w:rsidP="009019B4">
            <w:pPr>
              <w:widowControl w:val="0"/>
              <w:suppressLineNumbers/>
              <w:rPr>
                <w:szCs w:val="24"/>
              </w:rPr>
            </w:pPr>
            <w:r w:rsidRPr="00DC66EA">
              <w:rPr>
                <w:szCs w:val="24"/>
              </w:rPr>
              <w:t>Short-Term Debt</w:t>
            </w:r>
          </w:p>
        </w:tc>
        <w:tc>
          <w:tcPr>
            <w:tcW w:w="1980" w:type="dxa"/>
          </w:tcPr>
          <w:p w:rsidR="009019B4" w:rsidRPr="00DC66EA" w:rsidRDefault="009019B4" w:rsidP="009019B4">
            <w:pPr>
              <w:widowControl w:val="0"/>
              <w:suppressLineNumbers/>
              <w:jc w:val="right"/>
              <w:rPr>
                <w:szCs w:val="24"/>
              </w:rPr>
            </w:pPr>
            <w:r>
              <w:rPr>
                <w:szCs w:val="24"/>
              </w:rPr>
              <w:t>0.193%</w:t>
            </w:r>
          </w:p>
        </w:tc>
        <w:tc>
          <w:tcPr>
            <w:tcW w:w="1584" w:type="dxa"/>
          </w:tcPr>
          <w:p w:rsidR="009019B4" w:rsidRPr="00DC66EA" w:rsidRDefault="009019B4" w:rsidP="009019B4">
            <w:pPr>
              <w:widowControl w:val="0"/>
              <w:suppressLineNumbers/>
              <w:jc w:val="right"/>
              <w:rPr>
                <w:szCs w:val="24"/>
              </w:rPr>
            </w:pPr>
            <w:r>
              <w:rPr>
                <w:szCs w:val="24"/>
              </w:rPr>
              <w:t>1.0742%</w:t>
            </w:r>
          </w:p>
        </w:tc>
        <w:tc>
          <w:tcPr>
            <w:tcW w:w="2124" w:type="dxa"/>
          </w:tcPr>
          <w:p w:rsidR="009019B4" w:rsidRPr="00DC66EA" w:rsidRDefault="009019B4" w:rsidP="009019B4">
            <w:pPr>
              <w:widowControl w:val="0"/>
              <w:suppressLineNumbers/>
              <w:jc w:val="right"/>
              <w:rPr>
                <w:szCs w:val="24"/>
              </w:rPr>
            </w:pPr>
            <w:r>
              <w:rPr>
                <w:szCs w:val="24"/>
              </w:rPr>
              <w:t>0.0021%</w:t>
            </w:r>
          </w:p>
        </w:tc>
      </w:tr>
      <w:tr w:rsidR="009019B4" w:rsidTr="009019B4">
        <w:trPr>
          <w:jc w:val="center"/>
        </w:trPr>
        <w:tc>
          <w:tcPr>
            <w:tcW w:w="2808" w:type="dxa"/>
          </w:tcPr>
          <w:p w:rsidR="009019B4" w:rsidRPr="00DC66EA" w:rsidRDefault="009019B4" w:rsidP="009019B4">
            <w:pPr>
              <w:widowControl w:val="0"/>
              <w:suppressLineNumbers/>
              <w:rPr>
                <w:szCs w:val="24"/>
              </w:rPr>
            </w:pPr>
            <w:r w:rsidRPr="00DC66EA">
              <w:rPr>
                <w:szCs w:val="24"/>
              </w:rPr>
              <w:t>Long-Term Debt</w:t>
            </w:r>
          </w:p>
        </w:tc>
        <w:tc>
          <w:tcPr>
            <w:tcW w:w="1980" w:type="dxa"/>
          </w:tcPr>
          <w:p w:rsidR="009019B4" w:rsidRPr="00DC66EA" w:rsidRDefault="009019B4" w:rsidP="009019B4">
            <w:pPr>
              <w:widowControl w:val="0"/>
              <w:suppressLineNumbers/>
              <w:jc w:val="right"/>
              <w:rPr>
                <w:szCs w:val="24"/>
              </w:rPr>
            </w:pPr>
            <w:r>
              <w:rPr>
                <w:szCs w:val="24"/>
              </w:rPr>
              <w:t>48.062%</w:t>
            </w:r>
          </w:p>
        </w:tc>
        <w:tc>
          <w:tcPr>
            <w:tcW w:w="1584" w:type="dxa"/>
          </w:tcPr>
          <w:p w:rsidR="009019B4" w:rsidRPr="00DC66EA" w:rsidRDefault="009019B4" w:rsidP="009019B4">
            <w:pPr>
              <w:widowControl w:val="0"/>
              <w:suppressLineNumbers/>
              <w:jc w:val="right"/>
              <w:rPr>
                <w:szCs w:val="24"/>
              </w:rPr>
            </w:pPr>
            <w:r>
              <w:rPr>
                <w:szCs w:val="24"/>
              </w:rPr>
              <w:t>3.2231%</w:t>
            </w:r>
          </w:p>
        </w:tc>
        <w:tc>
          <w:tcPr>
            <w:tcW w:w="2124" w:type="dxa"/>
          </w:tcPr>
          <w:p w:rsidR="009019B4" w:rsidRPr="00DC66EA" w:rsidRDefault="009019B4" w:rsidP="009019B4">
            <w:pPr>
              <w:widowControl w:val="0"/>
              <w:suppressLineNumbers/>
              <w:jc w:val="right"/>
              <w:rPr>
                <w:szCs w:val="24"/>
              </w:rPr>
            </w:pPr>
            <w:r>
              <w:rPr>
                <w:szCs w:val="24"/>
              </w:rPr>
              <w:t>1.5491%</w:t>
            </w:r>
          </w:p>
        </w:tc>
      </w:tr>
      <w:tr w:rsidR="009019B4" w:rsidTr="009019B4">
        <w:trPr>
          <w:jc w:val="center"/>
        </w:trPr>
        <w:tc>
          <w:tcPr>
            <w:tcW w:w="2808" w:type="dxa"/>
          </w:tcPr>
          <w:p w:rsidR="009019B4" w:rsidRPr="00DC66EA" w:rsidRDefault="009019B4" w:rsidP="009019B4">
            <w:pPr>
              <w:widowControl w:val="0"/>
              <w:suppressLineNumbers/>
              <w:rPr>
                <w:szCs w:val="24"/>
              </w:rPr>
            </w:pPr>
            <w:r w:rsidRPr="00DC66EA">
              <w:rPr>
                <w:szCs w:val="24"/>
              </w:rPr>
              <w:t>Preferred Stock</w:t>
            </w:r>
          </w:p>
        </w:tc>
        <w:tc>
          <w:tcPr>
            <w:tcW w:w="1980" w:type="dxa"/>
          </w:tcPr>
          <w:p w:rsidR="009019B4" w:rsidRPr="00DC66EA" w:rsidRDefault="009019B4" w:rsidP="009019B4">
            <w:pPr>
              <w:widowControl w:val="0"/>
              <w:suppressLineNumbers/>
              <w:jc w:val="right"/>
              <w:rPr>
                <w:szCs w:val="24"/>
              </w:rPr>
            </w:pPr>
            <w:r>
              <w:rPr>
                <w:szCs w:val="24"/>
              </w:rPr>
              <w:t>0.016%</w:t>
            </w:r>
          </w:p>
        </w:tc>
        <w:tc>
          <w:tcPr>
            <w:tcW w:w="1584" w:type="dxa"/>
          </w:tcPr>
          <w:p w:rsidR="009019B4" w:rsidRPr="00DC66EA" w:rsidRDefault="009019B4" w:rsidP="009019B4">
            <w:pPr>
              <w:widowControl w:val="0"/>
              <w:suppressLineNumbers/>
              <w:jc w:val="right"/>
              <w:rPr>
                <w:szCs w:val="24"/>
              </w:rPr>
            </w:pPr>
            <w:r>
              <w:rPr>
                <w:szCs w:val="24"/>
              </w:rPr>
              <w:t>6.7527%</w:t>
            </w:r>
          </w:p>
        </w:tc>
        <w:tc>
          <w:tcPr>
            <w:tcW w:w="2124" w:type="dxa"/>
          </w:tcPr>
          <w:p w:rsidR="009019B4" w:rsidRPr="00DC66EA" w:rsidRDefault="009019B4" w:rsidP="009019B4">
            <w:pPr>
              <w:widowControl w:val="0"/>
              <w:suppressLineNumbers/>
              <w:jc w:val="right"/>
              <w:rPr>
                <w:szCs w:val="24"/>
              </w:rPr>
            </w:pPr>
            <w:r>
              <w:rPr>
                <w:szCs w:val="24"/>
              </w:rPr>
              <w:t>0.0011%</w:t>
            </w:r>
          </w:p>
        </w:tc>
      </w:tr>
      <w:tr w:rsidR="009019B4" w:rsidTr="009019B4">
        <w:trPr>
          <w:jc w:val="center"/>
        </w:trPr>
        <w:tc>
          <w:tcPr>
            <w:tcW w:w="2808" w:type="dxa"/>
            <w:tcBorders>
              <w:bottom w:val="double" w:sz="4" w:space="0" w:color="auto"/>
            </w:tcBorders>
          </w:tcPr>
          <w:p w:rsidR="009019B4" w:rsidRPr="00DC66EA" w:rsidRDefault="009019B4" w:rsidP="009019B4">
            <w:pPr>
              <w:widowControl w:val="0"/>
              <w:suppressLineNumbers/>
              <w:rPr>
                <w:szCs w:val="24"/>
              </w:rPr>
            </w:pPr>
            <w:r w:rsidRPr="00DC66EA">
              <w:rPr>
                <w:szCs w:val="24"/>
              </w:rPr>
              <w:t>Common Stock Equity</w:t>
            </w:r>
          </w:p>
        </w:tc>
        <w:tc>
          <w:tcPr>
            <w:tcW w:w="1980" w:type="dxa"/>
            <w:tcBorders>
              <w:bottom w:val="double" w:sz="4" w:space="0" w:color="auto"/>
            </w:tcBorders>
          </w:tcPr>
          <w:p w:rsidR="009019B4" w:rsidRPr="00DC66EA" w:rsidRDefault="009019B4" w:rsidP="009019B4">
            <w:pPr>
              <w:widowControl w:val="0"/>
              <w:suppressLineNumbers/>
              <w:jc w:val="right"/>
              <w:rPr>
                <w:szCs w:val="24"/>
              </w:rPr>
            </w:pPr>
            <w:r>
              <w:rPr>
                <w:szCs w:val="24"/>
              </w:rPr>
              <w:t>51.729%</w:t>
            </w:r>
          </w:p>
        </w:tc>
        <w:tc>
          <w:tcPr>
            <w:tcW w:w="1584" w:type="dxa"/>
            <w:tcBorders>
              <w:bottom w:val="double" w:sz="4" w:space="0" w:color="auto"/>
            </w:tcBorders>
          </w:tcPr>
          <w:p w:rsidR="009019B4" w:rsidRPr="00DC66EA" w:rsidRDefault="009019B4" w:rsidP="009019B4">
            <w:pPr>
              <w:widowControl w:val="0"/>
              <w:suppressLineNumbers/>
              <w:jc w:val="right"/>
              <w:rPr>
                <w:szCs w:val="24"/>
              </w:rPr>
            </w:pPr>
            <w:r>
              <w:rPr>
                <w:szCs w:val="24"/>
              </w:rPr>
              <w:t>10.0000%</w:t>
            </w:r>
          </w:p>
        </w:tc>
        <w:tc>
          <w:tcPr>
            <w:tcW w:w="2124" w:type="dxa"/>
            <w:tcBorders>
              <w:bottom w:val="double" w:sz="4" w:space="0" w:color="auto"/>
            </w:tcBorders>
          </w:tcPr>
          <w:p w:rsidR="009019B4" w:rsidRPr="00DC66EA" w:rsidRDefault="009019B4" w:rsidP="009019B4">
            <w:pPr>
              <w:widowControl w:val="0"/>
              <w:suppressLineNumbers/>
              <w:jc w:val="right"/>
              <w:rPr>
                <w:szCs w:val="24"/>
              </w:rPr>
            </w:pPr>
            <w:r>
              <w:rPr>
                <w:szCs w:val="24"/>
              </w:rPr>
              <w:t>5.1729%</w:t>
            </w:r>
          </w:p>
        </w:tc>
      </w:tr>
      <w:tr w:rsidR="009019B4" w:rsidTr="009019B4">
        <w:trPr>
          <w:jc w:val="center"/>
        </w:trPr>
        <w:tc>
          <w:tcPr>
            <w:tcW w:w="2808" w:type="dxa"/>
            <w:tcBorders>
              <w:top w:val="double" w:sz="4" w:space="0" w:color="auto"/>
              <w:bottom w:val="double" w:sz="4" w:space="0" w:color="auto"/>
            </w:tcBorders>
          </w:tcPr>
          <w:p w:rsidR="009019B4" w:rsidRPr="00DC66EA" w:rsidRDefault="009019B4" w:rsidP="009019B4">
            <w:pPr>
              <w:widowControl w:val="0"/>
              <w:suppressLineNumbers/>
              <w:rPr>
                <w:szCs w:val="24"/>
              </w:rPr>
            </w:pPr>
            <w:r w:rsidRPr="00DC66EA">
              <w:rPr>
                <w:szCs w:val="24"/>
              </w:rPr>
              <w:t>Total</w:t>
            </w:r>
          </w:p>
        </w:tc>
        <w:tc>
          <w:tcPr>
            <w:tcW w:w="1980" w:type="dxa"/>
            <w:tcBorders>
              <w:top w:val="double" w:sz="4" w:space="0" w:color="auto"/>
              <w:bottom w:val="double" w:sz="4" w:space="0" w:color="auto"/>
            </w:tcBorders>
          </w:tcPr>
          <w:p w:rsidR="009019B4" w:rsidRPr="00DC66EA" w:rsidRDefault="009019B4" w:rsidP="009019B4">
            <w:pPr>
              <w:widowControl w:val="0"/>
              <w:suppressLineNumbers/>
              <w:jc w:val="right"/>
              <w:rPr>
                <w:szCs w:val="24"/>
              </w:rPr>
            </w:pPr>
            <w:r w:rsidRPr="00DC66EA">
              <w:rPr>
                <w:szCs w:val="24"/>
              </w:rPr>
              <w:t>100.000%</w:t>
            </w:r>
          </w:p>
        </w:tc>
        <w:tc>
          <w:tcPr>
            <w:tcW w:w="1584" w:type="dxa"/>
            <w:tcBorders>
              <w:top w:val="double" w:sz="4" w:space="0" w:color="auto"/>
              <w:bottom w:val="double" w:sz="4" w:space="0" w:color="auto"/>
            </w:tcBorders>
          </w:tcPr>
          <w:p w:rsidR="009019B4" w:rsidRPr="00DC66EA" w:rsidRDefault="009019B4" w:rsidP="009019B4">
            <w:pPr>
              <w:widowControl w:val="0"/>
              <w:suppressLineNumbers/>
              <w:jc w:val="right"/>
              <w:rPr>
                <w:szCs w:val="24"/>
              </w:rPr>
            </w:pPr>
          </w:p>
        </w:tc>
        <w:tc>
          <w:tcPr>
            <w:tcW w:w="2124" w:type="dxa"/>
            <w:tcBorders>
              <w:top w:val="double" w:sz="4" w:space="0" w:color="auto"/>
              <w:bottom w:val="double" w:sz="4" w:space="0" w:color="auto"/>
            </w:tcBorders>
          </w:tcPr>
          <w:p w:rsidR="009019B4" w:rsidRPr="00DC66EA" w:rsidRDefault="009019B4" w:rsidP="009019B4">
            <w:pPr>
              <w:widowControl w:val="0"/>
              <w:suppressLineNumbers/>
              <w:jc w:val="right"/>
              <w:rPr>
                <w:szCs w:val="24"/>
              </w:rPr>
            </w:pPr>
            <w:r>
              <w:rPr>
                <w:szCs w:val="24"/>
              </w:rPr>
              <w:t>6.7252</w:t>
            </w:r>
            <w:r w:rsidRPr="00DC66EA">
              <w:rPr>
                <w:szCs w:val="24"/>
              </w:rPr>
              <w:t>%</w:t>
            </w:r>
          </w:p>
        </w:tc>
      </w:tr>
      <w:tr w:rsidR="009019B4" w:rsidTr="009019B4">
        <w:trPr>
          <w:jc w:val="center"/>
        </w:trPr>
        <w:tc>
          <w:tcPr>
            <w:tcW w:w="6372" w:type="dxa"/>
            <w:gridSpan w:val="3"/>
            <w:tcBorders>
              <w:top w:val="double" w:sz="4" w:space="0" w:color="auto"/>
            </w:tcBorders>
          </w:tcPr>
          <w:p w:rsidR="009019B4" w:rsidRPr="00DC66EA" w:rsidRDefault="00D5089C" w:rsidP="009019B4">
            <w:pPr>
              <w:widowControl w:val="0"/>
              <w:suppressLineNumbers/>
              <w:rPr>
                <w:i/>
                <w:szCs w:val="24"/>
              </w:rPr>
            </w:pPr>
            <w:r>
              <w:rPr>
                <w:i/>
                <w:szCs w:val="24"/>
              </w:rPr>
              <w:t xml:space="preserve">After-Tax </w:t>
            </w:r>
            <w:r w:rsidR="009019B4" w:rsidRPr="00DC66EA">
              <w:rPr>
                <w:i/>
                <w:szCs w:val="24"/>
              </w:rPr>
              <w:t>WACC Benefit of Preferred Refinancing</w:t>
            </w:r>
          </w:p>
        </w:tc>
        <w:tc>
          <w:tcPr>
            <w:tcW w:w="2124" w:type="dxa"/>
            <w:tcBorders>
              <w:top w:val="double" w:sz="4" w:space="0" w:color="auto"/>
            </w:tcBorders>
          </w:tcPr>
          <w:p w:rsidR="009019B4" w:rsidRPr="00DC66EA" w:rsidRDefault="009019B4" w:rsidP="009019B4">
            <w:pPr>
              <w:widowControl w:val="0"/>
              <w:suppressLineNumbers/>
              <w:jc w:val="right"/>
              <w:rPr>
                <w:szCs w:val="24"/>
              </w:rPr>
            </w:pPr>
            <w:r w:rsidRPr="00DC66EA">
              <w:rPr>
                <w:szCs w:val="24"/>
              </w:rPr>
              <w:t>0.00</w:t>
            </w:r>
            <w:r>
              <w:rPr>
                <w:szCs w:val="24"/>
              </w:rPr>
              <w:t>70</w:t>
            </w:r>
            <w:r w:rsidRPr="00DC66EA">
              <w:rPr>
                <w:szCs w:val="24"/>
              </w:rPr>
              <w:t>%</w:t>
            </w:r>
          </w:p>
        </w:tc>
      </w:tr>
    </w:tbl>
    <w:p w:rsidR="00D5089C" w:rsidRDefault="00D5089C" w:rsidP="001072D5">
      <w:pPr>
        <w:keepNext/>
        <w:suppressLineNumbers/>
        <w:spacing w:line="200" w:lineRule="exact"/>
        <w:jc w:val="center"/>
        <w:rPr>
          <w:b/>
          <w:szCs w:val="24"/>
        </w:rPr>
      </w:pPr>
    </w:p>
    <w:p w:rsidR="003D655E" w:rsidRPr="001072D5" w:rsidRDefault="001072D5" w:rsidP="001072D5">
      <w:pPr>
        <w:keepNext/>
        <w:suppressLineNumbers/>
        <w:spacing w:line="200" w:lineRule="exact"/>
        <w:jc w:val="center"/>
        <w:rPr>
          <w:b/>
          <w:szCs w:val="24"/>
        </w:rPr>
      </w:pPr>
      <w:r w:rsidRPr="001072D5">
        <w:rPr>
          <w:b/>
          <w:szCs w:val="24"/>
        </w:rPr>
        <w:t>Table 11</w:t>
      </w:r>
    </w:p>
    <w:tbl>
      <w:tblPr>
        <w:tblStyle w:val="TableGrid"/>
        <w:tblW w:w="0" w:type="auto"/>
        <w:jc w:val="center"/>
        <w:tblInd w:w="720" w:type="dxa"/>
        <w:tblLook w:val="04A0" w:firstRow="1" w:lastRow="0" w:firstColumn="1" w:lastColumn="0" w:noHBand="0" w:noVBand="1"/>
      </w:tblPr>
      <w:tblGrid>
        <w:gridCol w:w="2808"/>
        <w:gridCol w:w="1980"/>
        <w:gridCol w:w="1584"/>
        <w:gridCol w:w="2124"/>
      </w:tblGrid>
      <w:tr w:rsidR="009019B4" w:rsidTr="009019B4">
        <w:trPr>
          <w:trHeight w:val="404"/>
          <w:jc w:val="center"/>
        </w:trPr>
        <w:tc>
          <w:tcPr>
            <w:tcW w:w="8496" w:type="dxa"/>
            <w:gridSpan w:val="4"/>
            <w:vAlign w:val="center"/>
          </w:tcPr>
          <w:p w:rsidR="009019B4" w:rsidRDefault="009019B4" w:rsidP="001072D5">
            <w:pPr>
              <w:widowControl w:val="0"/>
              <w:suppressLineNumbers/>
              <w:jc w:val="center"/>
              <w:rPr>
                <w:b/>
                <w:szCs w:val="24"/>
              </w:rPr>
            </w:pPr>
            <w:r>
              <w:rPr>
                <w:b/>
                <w:szCs w:val="24"/>
              </w:rPr>
              <w:t>Pro</w:t>
            </w:r>
            <w:r w:rsidR="001072D5">
              <w:rPr>
                <w:b/>
                <w:szCs w:val="24"/>
              </w:rPr>
              <w:t xml:space="preserve"> Forma</w:t>
            </w:r>
            <w:r>
              <w:rPr>
                <w:b/>
                <w:szCs w:val="24"/>
              </w:rPr>
              <w:t xml:space="preserve"> Capital Structure and Costs </w:t>
            </w:r>
            <w:r>
              <w:rPr>
                <w:b/>
                <w:szCs w:val="24"/>
              </w:rPr>
              <w:br/>
              <w:t>With</w:t>
            </w:r>
            <w:r w:rsidR="001072D5">
              <w:rPr>
                <w:b/>
                <w:szCs w:val="24"/>
              </w:rPr>
              <w:t xml:space="preserve">out </w:t>
            </w:r>
            <w:r>
              <w:rPr>
                <w:b/>
                <w:szCs w:val="24"/>
              </w:rPr>
              <w:t>Refinancing</w:t>
            </w:r>
            <w:r w:rsidR="001072D5">
              <w:rPr>
                <w:b/>
                <w:szCs w:val="24"/>
              </w:rPr>
              <w:t xml:space="preserve"> and With After-Tax Cost of Debt</w:t>
            </w:r>
          </w:p>
        </w:tc>
      </w:tr>
      <w:tr w:rsidR="009019B4" w:rsidTr="009019B4">
        <w:trPr>
          <w:jc w:val="center"/>
        </w:trPr>
        <w:tc>
          <w:tcPr>
            <w:tcW w:w="2808" w:type="dxa"/>
            <w:tcBorders>
              <w:top w:val="nil"/>
              <w:bottom w:val="double" w:sz="4" w:space="0" w:color="auto"/>
            </w:tcBorders>
          </w:tcPr>
          <w:p w:rsidR="009019B4" w:rsidRPr="00DC66EA" w:rsidRDefault="009019B4" w:rsidP="009019B4">
            <w:pPr>
              <w:widowControl w:val="0"/>
              <w:suppressLineNumbers/>
              <w:rPr>
                <w:szCs w:val="24"/>
              </w:rPr>
            </w:pPr>
          </w:p>
        </w:tc>
        <w:tc>
          <w:tcPr>
            <w:tcW w:w="1980" w:type="dxa"/>
            <w:tcBorders>
              <w:bottom w:val="double" w:sz="4" w:space="0" w:color="auto"/>
            </w:tcBorders>
          </w:tcPr>
          <w:p w:rsidR="009019B4" w:rsidRPr="00DC66EA" w:rsidRDefault="009019B4" w:rsidP="009019B4">
            <w:pPr>
              <w:widowControl w:val="0"/>
              <w:suppressLineNumbers/>
              <w:jc w:val="center"/>
              <w:rPr>
                <w:szCs w:val="24"/>
              </w:rPr>
            </w:pPr>
            <w:r w:rsidRPr="00DC66EA">
              <w:rPr>
                <w:szCs w:val="24"/>
              </w:rPr>
              <w:t>Percent of Total</w:t>
            </w:r>
          </w:p>
        </w:tc>
        <w:tc>
          <w:tcPr>
            <w:tcW w:w="1584" w:type="dxa"/>
            <w:tcBorders>
              <w:bottom w:val="double" w:sz="4" w:space="0" w:color="auto"/>
            </w:tcBorders>
          </w:tcPr>
          <w:p w:rsidR="009019B4" w:rsidRPr="00DC66EA" w:rsidRDefault="009019B4" w:rsidP="009019B4">
            <w:pPr>
              <w:widowControl w:val="0"/>
              <w:suppressLineNumbers/>
              <w:jc w:val="center"/>
              <w:rPr>
                <w:szCs w:val="24"/>
              </w:rPr>
            </w:pPr>
            <w:r w:rsidRPr="00DC66EA">
              <w:rPr>
                <w:szCs w:val="24"/>
              </w:rPr>
              <w:t>Cost</w:t>
            </w:r>
          </w:p>
        </w:tc>
        <w:tc>
          <w:tcPr>
            <w:tcW w:w="2124" w:type="dxa"/>
            <w:tcBorders>
              <w:bottom w:val="double" w:sz="4" w:space="0" w:color="auto"/>
            </w:tcBorders>
          </w:tcPr>
          <w:p w:rsidR="009019B4" w:rsidRPr="00DC66EA" w:rsidRDefault="009019B4" w:rsidP="009019B4">
            <w:pPr>
              <w:widowControl w:val="0"/>
              <w:suppressLineNumbers/>
              <w:jc w:val="center"/>
              <w:rPr>
                <w:szCs w:val="24"/>
              </w:rPr>
            </w:pPr>
            <w:r w:rsidRPr="00DC66EA">
              <w:rPr>
                <w:szCs w:val="24"/>
              </w:rPr>
              <w:t>Weighted Average</w:t>
            </w:r>
          </w:p>
        </w:tc>
      </w:tr>
      <w:tr w:rsidR="009019B4" w:rsidTr="009019B4">
        <w:trPr>
          <w:jc w:val="center"/>
        </w:trPr>
        <w:tc>
          <w:tcPr>
            <w:tcW w:w="2808" w:type="dxa"/>
            <w:tcBorders>
              <w:top w:val="double" w:sz="4" w:space="0" w:color="auto"/>
            </w:tcBorders>
          </w:tcPr>
          <w:p w:rsidR="009019B4" w:rsidRPr="00DC66EA" w:rsidRDefault="009019B4" w:rsidP="009019B4">
            <w:pPr>
              <w:widowControl w:val="0"/>
              <w:suppressLineNumbers/>
              <w:rPr>
                <w:szCs w:val="24"/>
              </w:rPr>
            </w:pPr>
            <w:r w:rsidRPr="00DC66EA">
              <w:rPr>
                <w:szCs w:val="24"/>
              </w:rPr>
              <w:t>Short-Term Debt</w:t>
            </w:r>
          </w:p>
        </w:tc>
        <w:tc>
          <w:tcPr>
            <w:tcW w:w="1980" w:type="dxa"/>
          </w:tcPr>
          <w:p w:rsidR="009019B4" w:rsidRPr="00DC66EA" w:rsidRDefault="009019B4" w:rsidP="009019B4">
            <w:pPr>
              <w:widowControl w:val="0"/>
              <w:suppressLineNumbers/>
              <w:jc w:val="right"/>
              <w:rPr>
                <w:szCs w:val="24"/>
              </w:rPr>
            </w:pPr>
            <w:r>
              <w:rPr>
                <w:szCs w:val="24"/>
              </w:rPr>
              <w:t>0.193%</w:t>
            </w:r>
          </w:p>
        </w:tc>
        <w:tc>
          <w:tcPr>
            <w:tcW w:w="1584" w:type="dxa"/>
          </w:tcPr>
          <w:p w:rsidR="009019B4" w:rsidRPr="00DC66EA" w:rsidRDefault="009019B4" w:rsidP="001072D5">
            <w:pPr>
              <w:widowControl w:val="0"/>
              <w:suppressLineNumbers/>
              <w:jc w:val="right"/>
              <w:rPr>
                <w:szCs w:val="24"/>
              </w:rPr>
            </w:pPr>
            <w:r>
              <w:rPr>
                <w:szCs w:val="24"/>
              </w:rPr>
              <w:t>1.</w:t>
            </w:r>
            <w:r w:rsidR="001072D5">
              <w:rPr>
                <w:szCs w:val="24"/>
              </w:rPr>
              <w:t>0742</w:t>
            </w:r>
            <w:r>
              <w:rPr>
                <w:szCs w:val="24"/>
              </w:rPr>
              <w:t>%</w:t>
            </w:r>
          </w:p>
        </w:tc>
        <w:tc>
          <w:tcPr>
            <w:tcW w:w="2124" w:type="dxa"/>
          </w:tcPr>
          <w:p w:rsidR="009019B4" w:rsidRPr="00DC66EA" w:rsidRDefault="009019B4" w:rsidP="001072D5">
            <w:pPr>
              <w:widowControl w:val="0"/>
              <w:suppressLineNumbers/>
              <w:jc w:val="right"/>
              <w:rPr>
                <w:szCs w:val="24"/>
              </w:rPr>
            </w:pPr>
            <w:r>
              <w:rPr>
                <w:szCs w:val="24"/>
              </w:rPr>
              <w:t>0.00</w:t>
            </w:r>
            <w:r w:rsidR="001072D5">
              <w:rPr>
                <w:szCs w:val="24"/>
              </w:rPr>
              <w:t>21</w:t>
            </w:r>
            <w:r>
              <w:rPr>
                <w:szCs w:val="24"/>
              </w:rPr>
              <w:t>%</w:t>
            </w:r>
          </w:p>
        </w:tc>
      </w:tr>
      <w:tr w:rsidR="009019B4" w:rsidTr="009019B4">
        <w:trPr>
          <w:jc w:val="center"/>
        </w:trPr>
        <w:tc>
          <w:tcPr>
            <w:tcW w:w="2808" w:type="dxa"/>
          </w:tcPr>
          <w:p w:rsidR="009019B4" w:rsidRPr="00DC66EA" w:rsidRDefault="009019B4" w:rsidP="009019B4">
            <w:pPr>
              <w:widowControl w:val="0"/>
              <w:suppressLineNumbers/>
              <w:rPr>
                <w:szCs w:val="24"/>
              </w:rPr>
            </w:pPr>
            <w:r w:rsidRPr="00DC66EA">
              <w:rPr>
                <w:szCs w:val="24"/>
              </w:rPr>
              <w:t>Long-Term Debt</w:t>
            </w:r>
          </w:p>
        </w:tc>
        <w:tc>
          <w:tcPr>
            <w:tcW w:w="1980" w:type="dxa"/>
          </w:tcPr>
          <w:p w:rsidR="009019B4" w:rsidRPr="00DC66EA" w:rsidRDefault="009019B4" w:rsidP="001072D5">
            <w:pPr>
              <w:widowControl w:val="0"/>
              <w:suppressLineNumbers/>
              <w:jc w:val="right"/>
              <w:rPr>
                <w:szCs w:val="24"/>
              </w:rPr>
            </w:pPr>
            <w:r>
              <w:rPr>
                <w:szCs w:val="24"/>
              </w:rPr>
              <w:t>4</w:t>
            </w:r>
            <w:r w:rsidR="001072D5">
              <w:rPr>
                <w:szCs w:val="24"/>
              </w:rPr>
              <w:t>7.802</w:t>
            </w:r>
            <w:r>
              <w:rPr>
                <w:szCs w:val="24"/>
              </w:rPr>
              <w:t>%</w:t>
            </w:r>
          </w:p>
        </w:tc>
        <w:tc>
          <w:tcPr>
            <w:tcW w:w="1584" w:type="dxa"/>
          </w:tcPr>
          <w:p w:rsidR="009019B4" w:rsidRPr="00DC66EA" w:rsidRDefault="001072D5" w:rsidP="009019B4">
            <w:pPr>
              <w:widowControl w:val="0"/>
              <w:suppressLineNumbers/>
              <w:jc w:val="right"/>
              <w:rPr>
                <w:szCs w:val="24"/>
              </w:rPr>
            </w:pPr>
            <w:r>
              <w:rPr>
                <w:szCs w:val="24"/>
              </w:rPr>
              <w:t>3.2262</w:t>
            </w:r>
            <w:r w:rsidR="009019B4">
              <w:rPr>
                <w:szCs w:val="24"/>
              </w:rPr>
              <w:t>%</w:t>
            </w:r>
          </w:p>
        </w:tc>
        <w:tc>
          <w:tcPr>
            <w:tcW w:w="2124" w:type="dxa"/>
          </w:tcPr>
          <w:p w:rsidR="009019B4" w:rsidRPr="00DC66EA" w:rsidRDefault="001072D5" w:rsidP="009019B4">
            <w:pPr>
              <w:widowControl w:val="0"/>
              <w:suppressLineNumbers/>
              <w:jc w:val="right"/>
              <w:rPr>
                <w:szCs w:val="24"/>
              </w:rPr>
            </w:pPr>
            <w:r>
              <w:rPr>
                <w:szCs w:val="24"/>
              </w:rPr>
              <w:t>1.5422</w:t>
            </w:r>
            <w:r w:rsidR="009019B4">
              <w:rPr>
                <w:szCs w:val="24"/>
              </w:rPr>
              <w:t>%</w:t>
            </w:r>
          </w:p>
        </w:tc>
      </w:tr>
      <w:tr w:rsidR="009019B4" w:rsidTr="009019B4">
        <w:trPr>
          <w:jc w:val="center"/>
        </w:trPr>
        <w:tc>
          <w:tcPr>
            <w:tcW w:w="2808" w:type="dxa"/>
          </w:tcPr>
          <w:p w:rsidR="009019B4" w:rsidRPr="00DC66EA" w:rsidRDefault="009019B4" w:rsidP="009019B4">
            <w:pPr>
              <w:widowControl w:val="0"/>
              <w:suppressLineNumbers/>
              <w:rPr>
                <w:szCs w:val="24"/>
              </w:rPr>
            </w:pPr>
            <w:r w:rsidRPr="00DC66EA">
              <w:rPr>
                <w:szCs w:val="24"/>
              </w:rPr>
              <w:t>Preferred Stock</w:t>
            </w:r>
          </w:p>
        </w:tc>
        <w:tc>
          <w:tcPr>
            <w:tcW w:w="1980" w:type="dxa"/>
          </w:tcPr>
          <w:p w:rsidR="009019B4" w:rsidRPr="00DC66EA" w:rsidRDefault="001072D5" w:rsidP="001072D5">
            <w:pPr>
              <w:widowControl w:val="0"/>
              <w:suppressLineNumbers/>
              <w:jc w:val="right"/>
              <w:rPr>
                <w:szCs w:val="24"/>
              </w:rPr>
            </w:pPr>
            <w:r>
              <w:rPr>
                <w:szCs w:val="24"/>
              </w:rPr>
              <w:t>0.276</w:t>
            </w:r>
            <w:r w:rsidR="009019B4">
              <w:rPr>
                <w:szCs w:val="24"/>
              </w:rPr>
              <w:t>%</w:t>
            </w:r>
          </w:p>
        </w:tc>
        <w:tc>
          <w:tcPr>
            <w:tcW w:w="1584" w:type="dxa"/>
          </w:tcPr>
          <w:p w:rsidR="009019B4" w:rsidRPr="00DC66EA" w:rsidRDefault="001072D5" w:rsidP="009019B4">
            <w:pPr>
              <w:widowControl w:val="0"/>
              <w:suppressLineNumbers/>
              <w:jc w:val="right"/>
              <w:rPr>
                <w:szCs w:val="24"/>
              </w:rPr>
            </w:pPr>
            <w:r>
              <w:rPr>
                <w:szCs w:val="24"/>
              </w:rPr>
              <w:t>5.4274</w:t>
            </w:r>
            <w:r w:rsidR="009019B4">
              <w:rPr>
                <w:szCs w:val="24"/>
              </w:rPr>
              <w:t>%</w:t>
            </w:r>
          </w:p>
        </w:tc>
        <w:tc>
          <w:tcPr>
            <w:tcW w:w="2124" w:type="dxa"/>
          </w:tcPr>
          <w:p w:rsidR="009019B4" w:rsidRPr="00DC66EA" w:rsidRDefault="001072D5" w:rsidP="001072D5">
            <w:pPr>
              <w:widowControl w:val="0"/>
              <w:suppressLineNumbers/>
              <w:jc w:val="right"/>
              <w:rPr>
                <w:szCs w:val="24"/>
              </w:rPr>
            </w:pPr>
            <w:r>
              <w:rPr>
                <w:szCs w:val="24"/>
              </w:rPr>
              <w:t>0.0</w:t>
            </w:r>
            <w:r w:rsidR="009019B4">
              <w:rPr>
                <w:szCs w:val="24"/>
              </w:rPr>
              <w:t>1</w:t>
            </w:r>
            <w:r>
              <w:rPr>
                <w:szCs w:val="24"/>
              </w:rPr>
              <w:t>50</w:t>
            </w:r>
            <w:r w:rsidR="009019B4">
              <w:rPr>
                <w:szCs w:val="24"/>
              </w:rPr>
              <w:t>%</w:t>
            </w:r>
          </w:p>
        </w:tc>
      </w:tr>
      <w:tr w:rsidR="009019B4" w:rsidTr="001072D5">
        <w:trPr>
          <w:jc w:val="center"/>
        </w:trPr>
        <w:tc>
          <w:tcPr>
            <w:tcW w:w="2808" w:type="dxa"/>
            <w:tcBorders>
              <w:bottom w:val="double" w:sz="4" w:space="0" w:color="auto"/>
            </w:tcBorders>
          </w:tcPr>
          <w:p w:rsidR="009019B4" w:rsidRPr="00DC66EA" w:rsidRDefault="009019B4" w:rsidP="009019B4">
            <w:pPr>
              <w:widowControl w:val="0"/>
              <w:suppressLineNumbers/>
              <w:rPr>
                <w:szCs w:val="24"/>
              </w:rPr>
            </w:pPr>
            <w:r w:rsidRPr="00DC66EA">
              <w:rPr>
                <w:szCs w:val="24"/>
              </w:rPr>
              <w:t>Common Stock Equity</w:t>
            </w:r>
          </w:p>
        </w:tc>
        <w:tc>
          <w:tcPr>
            <w:tcW w:w="1980" w:type="dxa"/>
            <w:tcBorders>
              <w:bottom w:val="double" w:sz="4" w:space="0" w:color="auto"/>
            </w:tcBorders>
          </w:tcPr>
          <w:p w:rsidR="009019B4" w:rsidRPr="00DC66EA" w:rsidRDefault="009019B4" w:rsidP="009019B4">
            <w:pPr>
              <w:widowControl w:val="0"/>
              <w:suppressLineNumbers/>
              <w:jc w:val="right"/>
              <w:rPr>
                <w:szCs w:val="24"/>
              </w:rPr>
            </w:pPr>
            <w:r>
              <w:rPr>
                <w:szCs w:val="24"/>
              </w:rPr>
              <w:t>51.729%</w:t>
            </w:r>
          </w:p>
        </w:tc>
        <w:tc>
          <w:tcPr>
            <w:tcW w:w="1584" w:type="dxa"/>
            <w:tcBorders>
              <w:bottom w:val="double" w:sz="4" w:space="0" w:color="auto"/>
            </w:tcBorders>
          </w:tcPr>
          <w:p w:rsidR="009019B4" w:rsidRPr="00DC66EA" w:rsidRDefault="009019B4" w:rsidP="009019B4">
            <w:pPr>
              <w:widowControl w:val="0"/>
              <w:suppressLineNumbers/>
              <w:jc w:val="right"/>
              <w:rPr>
                <w:szCs w:val="24"/>
              </w:rPr>
            </w:pPr>
            <w:r>
              <w:rPr>
                <w:szCs w:val="24"/>
              </w:rPr>
              <w:t>10.0000%</w:t>
            </w:r>
          </w:p>
        </w:tc>
        <w:tc>
          <w:tcPr>
            <w:tcW w:w="2124" w:type="dxa"/>
            <w:tcBorders>
              <w:bottom w:val="double" w:sz="4" w:space="0" w:color="auto"/>
            </w:tcBorders>
          </w:tcPr>
          <w:p w:rsidR="009019B4" w:rsidRPr="00DC66EA" w:rsidRDefault="009019B4" w:rsidP="009019B4">
            <w:pPr>
              <w:widowControl w:val="0"/>
              <w:suppressLineNumbers/>
              <w:jc w:val="right"/>
              <w:rPr>
                <w:szCs w:val="24"/>
              </w:rPr>
            </w:pPr>
            <w:r>
              <w:rPr>
                <w:szCs w:val="24"/>
              </w:rPr>
              <w:t>5.1729%</w:t>
            </w:r>
          </w:p>
        </w:tc>
      </w:tr>
      <w:tr w:rsidR="009019B4" w:rsidTr="001072D5">
        <w:trPr>
          <w:jc w:val="center"/>
        </w:trPr>
        <w:tc>
          <w:tcPr>
            <w:tcW w:w="2808" w:type="dxa"/>
            <w:tcBorders>
              <w:top w:val="double" w:sz="4" w:space="0" w:color="auto"/>
              <w:bottom w:val="single" w:sz="4" w:space="0" w:color="auto"/>
            </w:tcBorders>
          </w:tcPr>
          <w:p w:rsidR="009019B4" w:rsidRPr="00DC66EA" w:rsidRDefault="009019B4" w:rsidP="009019B4">
            <w:pPr>
              <w:widowControl w:val="0"/>
              <w:suppressLineNumbers/>
              <w:rPr>
                <w:szCs w:val="24"/>
              </w:rPr>
            </w:pPr>
            <w:r w:rsidRPr="00DC66EA">
              <w:rPr>
                <w:szCs w:val="24"/>
              </w:rPr>
              <w:t>Total</w:t>
            </w:r>
          </w:p>
        </w:tc>
        <w:tc>
          <w:tcPr>
            <w:tcW w:w="1980" w:type="dxa"/>
            <w:tcBorders>
              <w:top w:val="double" w:sz="4" w:space="0" w:color="auto"/>
              <w:bottom w:val="single" w:sz="4" w:space="0" w:color="auto"/>
            </w:tcBorders>
          </w:tcPr>
          <w:p w:rsidR="009019B4" w:rsidRPr="00DC66EA" w:rsidRDefault="009019B4" w:rsidP="009019B4">
            <w:pPr>
              <w:widowControl w:val="0"/>
              <w:suppressLineNumbers/>
              <w:jc w:val="right"/>
              <w:rPr>
                <w:szCs w:val="24"/>
              </w:rPr>
            </w:pPr>
            <w:r w:rsidRPr="00DC66EA">
              <w:rPr>
                <w:szCs w:val="24"/>
              </w:rPr>
              <w:t>100.000%</w:t>
            </w:r>
          </w:p>
        </w:tc>
        <w:tc>
          <w:tcPr>
            <w:tcW w:w="1584" w:type="dxa"/>
            <w:tcBorders>
              <w:top w:val="double" w:sz="4" w:space="0" w:color="auto"/>
              <w:bottom w:val="single" w:sz="4" w:space="0" w:color="auto"/>
            </w:tcBorders>
          </w:tcPr>
          <w:p w:rsidR="009019B4" w:rsidRPr="00DC66EA" w:rsidRDefault="009019B4" w:rsidP="009019B4">
            <w:pPr>
              <w:widowControl w:val="0"/>
              <w:suppressLineNumbers/>
              <w:jc w:val="right"/>
              <w:rPr>
                <w:szCs w:val="24"/>
              </w:rPr>
            </w:pPr>
          </w:p>
        </w:tc>
        <w:tc>
          <w:tcPr>
            <w:tcW w:w="2124" w:type="dxa"/>
            <w:tcBorders>
              <w:top w:val="double" w:sz="4" w:space="0" w:color="auto"/>
              <w:bottom w:val="single" w:sz="4" w:space="0" w:color="auto"/>
            </w:tcBorders>
          </w:tcPr>
          <w:p w:rsidR="009019B4" w:rsidRPr="00DC66EA" w:rsidRDefault="001072D5" w:rsidP="009019B4">
            <w:pPr>
              <w:widowControl w:val="0"/>
              <w:suppressLineNumbers/>
              <w:jc w:val="right"/>
              <w:rPr>
                <w:szCs w:val="24"/>
              </w:rPr>
            </w:pPr>
            <w:r>
              <w:rPr>
                <w:szCs w:val="24"/>
              </w:rPr>
              <w:t>6.7322</w:t>
            </w:r>
            <w:r w:rsidR="009019B4" w:rsidRPr="00DC66EA">
              <w:rPr>
                <w:szCs w:val="24"/>
              </w:rPr>
              <w:t>%</w:t>
            </w:r>
          </w:p>
        </w:tc>
      </w:tr>
    </w:tbl>
    <w:p w:rsidR="003D655E" w:rsidRPr="00C04A68" w:rsidRDefault="003D655E" w:rsidP="00845E05">
      <w:pPr>
        <w:spacing w:before="240" w:line="480" w:lineRule="auto"/>
        <w:ind w:left="720"/>
        <w:rPr>
          <w:szCs w:val="24"/>
        </w:rPr>
      </w:pPr>
      <w:r w:rsidRPr="00C04A68">
        <w:rPr>
          <w:szCs w:val="24"/>
        </w:rPr>
        <w:t>Overall, these actions result in a reduction in the overall weighted average cost of capital and provide an approximate $</w:t>
      </w:r>
      <w:r w:rsidR="006754F9">
        <w:rPr>
          <w:szCs w:val="24"/>
        </w:rPr>
        <w:t>0.2</w:t>
      </w:r>
      <w:r w:rsidRPr="00C04A68">
        <w:rPr>
          <w:szCs w:val="24"/>
        </w:rPr>
        <w:t xml:space="preserve"> million reduction in revenue requirement for this case. </w:t>
      </w:r>
      <w:r w:rsidR="00845E05">
        <w:rPr>
          <w:szCs w:val="24"/>
        </w:rPr>
        <w:t xml:space="preserve"> </w:t>
      </w:r>
      <w:r w:rsidRPr="00C04A68">
        <w:rPr>
          <w:szCs w:val="24"/>
        </w:rPr>
        <w:t xml:space="preserve">The deferral treatment for the redemption premium and stock expense as a refunding cost of the new long-term debt refunding issuance results in a lower overall pre-tax and post-tax weighted average cost of capital, compared to a scenario without the redemptions of preferred stock. </w:t>
      </w:r>
      <w:r w:rsidR="00845E05">
        <w:rPr>
          <w:szCs w:val="24"/>
        </w:rPr>
        <w:t xml:space="preserve"> </w:t>
      </w:r>
      <w:r w:rsidRPr="00C04A68">
        <w:rPr>
          <w:szCs w:val="24"/>
        </w:rPr>
        <w:t xml:space="preserve">Reducing the cost of capital through redemption of the preferred stock is a benefit to customers. </w:t>
      </w:r>
      <w:r w:rsidR="00845E05">
        <w:rPr>
          <w:szCs w:val="24"/>
        </w:rPr>
        <w:t xml:space="preserve"> </w:t>
      </w:r>
      <w:r w:rsidRPr="00C04A68">
        <w:rPr>
          <w:szCs w:val="24"/>
        </w:rPr>
        <w:t xml:space="preserve">Absent the preferred stock refinancing, </w:t>
      </w:r>
      <w:r w:rsidR="007241D9">
        <w:rPr>
          <w:szCs w:val="24"/>
        </w:rPr>
        <w:t>Washington</w:t>
      </w:r>
      <w:r w:rsidRPr="00C04A68">
        <w:rPr>
          <w:szCs w:val="24"/>
        </w:rPr>
        <w:t xml:space="preserve"> rates would be $</w:t>
      </w:r>
      <w:r w:rsidR="006754F9">
        <w:rPr>
          <w:szCs w:val="24"/>
        </w:rPr>
        <w:t>0.2</w:t>
      </w:r>
      <w:r w:rsidRPr="00C04A68">
        <w:rPr>
          <w:szCs w:val="24"/>
        </w:rPr>
        <w:t xml:space="preserve"> million higher annually.</w:t>
      </w:r>
    </w:p>
    <w:p w:rsidR="003D655E" w:rsidRPr="00C04A68" w:rsidRDefault="00845E05" w:rsidP="00AF47B9">
      <w:pPr>
        <w:pStyle w:val="Heading1"/>
      </w:pPr>
      <w:bookmarkStart w:id="8" w:name="_Toc386540859"/>
      <w:r w:rsidRPr="00C04A68">
        <w:t xml:space="preserve">POWER </w:t>
      </w:r>
      <w:r w:rsidR="004E4155" w:rsidRPr="00C04A68">
        <w:t xml:space="preserve">PURCHASE </w:t>
      </w:r>
      <w:r w:rsidRPr="00C04A68">
        <w:t>AGREEMENTS</w:t>
      </w:r>
      <w:bookmarkEnd w:id="8"/>
    </w:p>
    <w:p w:rsidR="003D655E" w:rsidRPr="00C04A68" w:rsidRDefault="003D655E" w:rsidP="00A36B7E">
      <w:pPr>
        <w:keepNext/>
        <w:spacing w:line="480" w:lineRule="auto"/>
        <w:ind w:left="720" w:hanging="720"/>
        <w:rPr>
          <w:b/>
          <w:szCs w:val="24"/>
        </w:rPr>
      </w:pPr>
      <w:r w:rsidRPr="00C04A68">
        <w:rPr>
          <w:b/>
          <w:szCs w:val="24"/>
        </w:rPr>
        <w:t xml:space="preserve">Q. </w:t>
      </w:r>
      <w:r w:rsidRPr="00C04A68">
        <w:rPr>
          <w:szCs w:val="24"/>
        </w:rPr>
        <w:tab/>
      </w:r>
      <w:r w:rsidRPr="00C04A68">
        <w:rPr>
          <w:b/>
          <w:szCs w:val="24"/>
        </w:rPr>
        <w:t xml:space="preserve">Is </w:t>
      </w:r>
      <w:r w:rsidR="00F03A4C">
        <w:rPr>
          <w:b/>
          <w:szCs w:val="24"/>
        </w:rPr>
        <w:t>PacifiCorp</w:t>
      </w:r>
      <w:r w:rsidRPr="00C04A68">
        <w:rPr>
          <w:b/>
          <w:szCs w:val="24"/>
        </w:rPr>
        <w:t xml:space="preserve"> subject to rating agency debt imputation associated with </w:t>
      </w:r>
      <w:r w:rsidR="004E4155">
        <w:rPr>
          <w:b/>
          <w:szCs w:val="24"/>
        </w:rPr>
        <w:t>power p</w:t>
      </w:r>
      <w:r w:rsidR="004E4155" w:rsidRPr="00C04A68">
        <w:rPr>
          <w:b/>
          <w:szCs w:val="24"/>
        </w:rPr>
        <w:t>urchase</w:t>
      </w:r>
      <w:r w:rsidR="004E4155" w:rsidRPr="00C04A68">
        <w:rPr>
          <w:szCs w:val="24"/>
        </w:rPr>
        <w:t xml:space="preserve"> </w:t>
      </w:r>
      <w:r w:rsidR="004E4155">
        <w:rPr>
          <w:b/>
          <w:szCs w:val="24"/>
        </w:rPr>
        <w:t>a</w:t>
      </w:r>
      <w:r w:rsidRPr="00C04A68">
        <w:rPr>
          <w:b/>
          <w:szCs w:val="24"/>
        </w:rPr>
        <w:t>greements</w:t>
      </w:r>
      <w:r w:rsidR="004E4155">
        <w:rPr>
          <w:b/>
          <w:szCs w:val="24"/>
        </w:rPr>
        <w:t xml:space="preserve"> (PPAs)</w:t>
      </w:r>
      <w:r w:rsidRPr="00C04A68">
        <w:rPr>
          <w:b/>
          <w:szCs w:val="24"/>
        </w:rPr>
        <w:t>?</w:t>
      </w:r>
      <w:r w:rsidRPr="00C04A68">
        <w:rPr>
          <w:szCs w:val="24"/>
        </w:rPr>
        <w:t xml:space="preserve"> </w:t>
      </w:r>
    </w:p>
    <w:p w:rsidR="003D655E" w:rsidRPr="00C04A68" w:rsidRDefault="003D655E" w:rsidP="00BE3931">
      <w:pPr>
        <w:spacing w:line="480" w:lineRule="auto"/>
        <w:ind w:left="720" w:hanging="720"/>
        <w:rPr>
          <w:szCs w:val="24"/>
        </w:rPr>
      </w:pPr>
      <w:r w:rsidRPr="00C04A68">
        <w:rPr>
          <w:szCs w:val="24"/>
        </w:rPr>
        <w:t>A.</w:t>
      </w:r>
      <w:r w:rsidRPr="00C04A68">
        <w:rPr>
          <w:szCs w:val="24"/>
        </w:rPr>
        <w:tab/>
        <w:t>Yes.</w:t>
      </w:r>
      <w:r w:rsidR="00845E05">
        <w:rPr>
          <w:szCs w:val="24"/>
        </w:rPr>
        <w:t xml:space="preserve"> </w:t>
      </w:r>
      <w:r w:rsidRPr="00C04A68">
        <w:rPr>
          <w:szCs w:val="24"/>
        </w:rPr>
        <w:t xml:space="preserve"> Rating agencies and financial analysts consider </w:t>
      </w:r>
      <w:r w:rsidR="004E4155">
        <w:rPr>
          <w:szCs w:val="24"/>
        </w:rPr>
        <w:t>PPA</w:t>
      </w:r>
      <w:r w:rsidR="00D5089C">
        <w:rPr>
          <w:szCs w:val="24"/>
        </w:rPr>
        <w:t>s</w:t>
      </w:r>
      <w:r w:rsidR="004E4155">
        <w:rPr>
          <w:szCs w:val="24"/>
        </w:rPr>
        <w:t xml:space="preserve"> </w:t>
      </w:r>
      <w:r w:rsidRPr="00C04A68">
        <w:rPr>
          <w:szCs w:val="24"/>
        </w:rPr>
        <w:t xml:space="preserve">to be debt-like and will impute debt and related interest when calculating financial ratios. </w:t>
      </w:r>
      <w:r w:rsidR="00845E05">
        <w:rPr>
          <w:szCs w:val="24"/>
        </w:rPr>
        <w:t xml:space="preserve"> </w:t>
      </w:r>
      <w:r w:rsidRPr="00C04A68">
        <w:rPr>
          <w:szCs w:val="24"/>
        </w:rPr>
        <w:t xml:space="preserve">For example, S&amp;P </w:t>
      </w:r>
      <w:r w:rsidRPr="00C04A68">
        <w:rPr>
          <w:szCs w:val="24"/>
        </w:rPr>
        <w:lastRenderedPageBreak/>
        <w:t xml:space="preserve">will adjust </w:t>
      </w:r>
      <w:r w:rsidR="00905C52">
        <w:rPr>
          <w:szCs w:val="24"/>
        </w:rPr>
        <w:t>PacifiCorp’s</w:t>
      </w:r>
      <w:r w:rsidRPr="00C04A68">
        <w:rPr>
          <w:szCs w:val="24"/>
        </w:rPr>
        <w:t xml:space="preserve"> published financial results and impute debt balances and interest expense resulting from PPAs when assessing creditworthiness. </w:t>
      </w:r>
      <w:r w:rsidR="00845E05">
        <w:rPr>
          <w:szCs w:val="24"/>
        </w:rPr>
        <w:t xml:space="preserve"> </w:t>
      </w:r>
      <w:r w:rsidRPr="00C04A68">
        <w:rPr>
          <w:szCs w:val="24"/>
        </w:rPr>
        <w:t xml:space="preserve">They do so </w:t>
      </w:r>
      <w:r w:rsidR="004E4155">
        <w:rPr>
          <w:szCs w:val="24"/>
        </w:rPr>
        <w:t>t</w:t>
      </w:r>
      <w:r w:rsidRPr="00C04A68">
        <w:rPr>
          <w:szCs w:val="24"/>
        </w:rPr>
        <w:t xml:space="preserve">o obtain a more accurate assessment of a company’s financial commitments and fixed payments. </w:t>
      </w:r>
      <w:r w:rsidR="00845E05">
        <w:rPr>
          <w:szCs w:val="24"/>
        </w:rPr>
        <w:t xml:space="preserve"> </w:t>
      </w:r>
      <w:r w:rsidRPr="00C04A68">
        <w:rPr>
          <w:szCs w:val="24"/>
        </w:rPr>
        <w:t xml:space="preserve">Exhibit </w:t>
      </w:r>
      <w:r w:rsidR="0078559D">
        <w:rPr>
          <w:szCs w:val="24"/>
        </w:rPr>
        <w:t>No.</w:t>
      </w:r>
      <w:r w:rsidRPr="00C04A68">
        <w:rPr>
          <w:szCs w:val="24"/>
        </w:rPr>
        <w:t>__</w:t>
      </w:r>
      <w:proofErr w:type="gramStart"/>
      <w:r w:rsidRPr="00C04A68">
        <w:rPr>
          <w:szCs w:val="24"/>
        </w:rPr>
        <w:t>_(</w:t>
      </w:r>
      <w:proofErr w:type="gramEnd"/>
      <w:r w:rsidRPr="00C04A68">
        <w:rPr>
          <w:szCs w:val="24"/>
        </w:rPr>
        <w:t>BNW-1</w:t>
      </w:r>
      <w:r w:rsidR="0078559D">
        <w:rPr>
          <w:szCs w:val="24"/>
        </w:rPr>
        <w:t>3</w:t>
      </w:r>
      <w:r w:rsidRPr="00C04A68">
        <w:rPr>
          <w:szCs w:val="24"/>
        </w:rPr>
        <w:t>) is a publication by S&amp;P detailing its view of the debt aspects of PPAs.</w:t>
      </w:r>
    </w:p>
    <w:p w:rsidR="003D655E" w:rsidRPr="00C04A68" w:rsidRDefault="003D655E" w:rsidP="00BE3931">
      <w:pPr>
        <w:spacing w:line="480" w:lineRule="auto"/>
        <w:ind w:left="720" w:hanging="720"/>
        <w:rPr>
          <w:b/>
          <w:szCs w:val="24"/>
        </w:rPr>
      </w:pPr>
      <w:r w:rsidRPr="00C04A68">
        <w:rPr>
          <w:b/>
          <w:szCs w:val="24"/>
        </w:rPr>
        <w:t xml:space="preserve">Q. </w:t>
      </w:r>
      <w:r w:rsidRPr="00C04A68">
        <w:rPr>
          <w:szCs w:val="24"/>
        </w:rPr>
        <w:tab/>
      </w:r>
      <w:r w:rsidRPr="00C04A68">
        <w:rPr>
          <w:b/>
          <w:szCs w:val="24"/>
        </w:rPr>
        <w:t xml:space="preserve">How </w:t>
      </w:r>
      <w:r w:rsidR="008C2801">
        <w:rPr>
          <w:b/>
          <w:szCs w:val="24"/>
        </w:rPr>
        <w:t>would the inclusion of this PPA-</w:t>
      </w:r>
      <w:r w:rsidRPr="00C04A68">
        <w:rPr>
          <w:b/>
          <w:szCs w:val="24"/>
        </w:rPr>
        <w:t xml:space="preserve">related debt and these other adjustments affect </w:t>
      </w:r>
      <w:r w:rsidR="00905C52">
        <w:rPr>
          <w:b/>
          <w:szCs w:val="24"/>
        </w:rPr>
        <w:t>PacifiCorp’s</w:t>
      </w:r>
      <w:r w:rsidRPr="00C04A68">
        <w:rPr>
          <w:b/>
          <w:szCs w:val="24"/>
        </w:rPr>
        <w:t xml:space="preserve"> capital structure as S&amp;P reviews </w:t>
      </w:r>
      <w:r w:rsidR="00905C52">
        <w:rPr>
          <w:b/>
          <w:szCs w:val="24"/>
        </w:rPr>
        <w:t xml:space="preserve">the </w:t>
      </w:r>
      <w:r w:rsidRPr="00C04A68">
        <w:rPr>
          <w:b/>
          <w:szCs w:val="24"/>
        </w:rPr>
        <w:t>credit metrics?</w:t>
      </w:r>
    </w:p>
    <w:p w:rsidR="001566B7" w:rsidRDefault="003D655E" w:rsidP="00BE3931">
      <w:pPr>
        <w:spacing w:line="480" w:lineRule="auto"/>
        <w:ind w:left="720" w:hanging="720"/>
        <w:rPr>
          <w:szCs w:val="24"/>
        </w:rPr>
      </w:pPr>
      <w:r w:rsidRPr="00C04A68">
        <w:rPr>
          <w:szCs w:val="24"/>
        </w:rPr>
        <w:t xml:space="preserve">A. </w:t>
      </w:r>
      <w:r w:rsidRPr="00C04A68">
        <w:rPr>
          <w:szCs w:val="24"/>
        </w:rPr>
        <w:tab/>
        <w:t xml:space="preserve">By including the imputed debt resulting from PPAs and these other adjustments, </w:t>
      </w:r>
      <w:r w:rsidR="00905C52">
        <w:rPr>
          <w:szCs w:val="24"/>
        </w:rPr>
        <w:t>PacifiCorp’s</w:t>
      </w:r>
      <w:r w:rsidRPr="00C04A68">
        <w:rPr>
          <w:szCs w:val="24"/>
        </w:rPr>
        <w:t xml:space="preserve"> capital structure has a lower equity component as a corollary to the higher debt component, lower coverage ratios</w:t>
      </w:r>
      <w:r w:rsidR="00A02B1E">
        <w:rPr>
          <w:szCs w:val="24"/>
        </w:rPr>
        <w:t>,</w:t>
      </w:r>
      <w:r w:rsidRPr="00C04A68">
        <w:rPr>
          <w:szCs w:val="24"/>
        </w:rPr>
        <w:t xml:space="preserve"> and reduced financial flexibility than what might otherwise appear to be the case from a review of the book value capital structure. </w:t>
      </w:r>
      <w:r w:rsidR="00845E05">
        <w:rPr>
          <w:szCs w:val="24"/>
        </w:rPr>
        <w:t xml:space="preserve"> </w:t>
      </w:r>
      <w:r w:rsidRPr="00C04A68">
        <w:rPr>
          <w:szCs w:val="24"/>
        </w:rPr>
        <w:t>For example, if one were to add the $</w:t>
      </w:r>
      <w:r w:rsidR="001566B7">
        <w:rPr>
          <w:szCs w:val="24"/>
        </w:rPr>
        <w:t>5</w:t>
      </w:r>
      <w:r w:rsidRPr="00C04A68">
        <w:rPr>
          <w:szCs w:val="24"/>
        </w:rPr>
        <w:t xml:space="preserve">43 million of debt adjustments that S&amp;P makes to </w:t>
      </w:r>
      <w:r w:rsidR="00905C52">
        <w:rPr>
          <w:szCs w:val="24"/>
        </w:rPr>
        <w:t>PacifiCorp’s</w:t>
      </w:r>
      <w:r w:rsidRPr="00C04A68">
        <w:rPr>
          <w:szCs w:val="24"/>
        </w:rPr>
        <w:t xml:space="preserve"> capital structure in this case, the resulting common equity percentage would decline from 51.</w:t>
      </w:r>
      <w:r w:rsidR="000C6E8A">
        <w:rPr>
          <w:szCs w:val="24"/>
        </w:rPr>
        <w:t>73</w:t>
      </w:r>
      <w:r w:rsidRPr="00C04A68">
        <w:rPr>
          <w:szCs w:val="24"/>
        </w:rPr>
        <w:t xml:space="preserve"> percent to </w:t>
      </w:r>
      <w:r w:rsidR="0078559D">
        <w:rPr>
          <w:szCs w:val="24"/>
        </w:rPr>
        <w:t>4</w:t>
      </w:r>
      <w:r w:rsidR="001566B7">
        <w:rPr>
          <w:szCs w:val="24"/>
        </w:rPr>
        <w:t>9.90</w:t>
      </w:r>
      <w:r w:rsidRPr="00C04A68">
        <w:rPr>
          <w:szCs w:val="24"/>
        </w:rPr>
        <w:t xml:space="preserve"> percent.</w:t>
      </w:r>
    </w:p>
    <w:p w:rsidR="00A02B1E" w:rsidRPr="00327F73" w:rsidRDefault="00327F73" w:rsidP="00A36B7E">
      <w:pPr>
        <w:keepNext/>
        <w:suppressLineNumbers/>
        <w:ind w:left="720" w:hanging="720"/>
        <w:jc w:val="center"/>
        <w:rPr>
          <w:b/>
          <w:szCs w:val="24"/>
        </w:rPr>
      </w:pPr>
      <w:r>
        <w:rPr>
          <w:b/>
          <w:szCs w:val="24"/>
        </w:rPr>
        <w:t xml:space="preserve">Table </w:t>
      </w:r>
      <w:r w:rsidR="00DC66EA">
        <w:rPr>
          <w:b/>
          <w:szCs w:val="24"/>
        </w:rPr>
        <w:t>12</w:t>
      </w:r>
    </w:p>
    <w:p w:rsidR="001566B7" w:rsidRDefault="0070314C" w:rsidP="00327F73">
      <w:pPr>
        <w:suppressLineNumbers/>
        <w:spacing w:line="480" w:lineRule="auto"/>
        <w:ind w:left="720" w:hanging="720"/>
      </w:pPr>
      <w:r w:rsidRPr="0070314C">
        <w:rPr>
          <w:noProof/>
        </w:rPr>
        <w:drawing>
          <wp:inline distT="0" distB="0" distL="0" distR="0" wp14:anchorId="029DE07C" wp14:editId="7DB9A3E0">
            <wp:extent cx="5606415" cy="1604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6415" cy="1604010"/>
                    </a:xfrm>
                    <a:prstGeom prst="rect">
                      <a:avLst/>
                    </a:prstGeom>
                    <a:noFill/>
                    <a:ln>
                      <a:noFill/>
                    </a:ln>
                  </pic:spPr>
                </pic:pic>
              </a:graphicData>
            </a:graphic>
          </wp:inline>
        </w:drawing>
      </w:r>
    </w:p>
    <w:p w:rsidR="003874A8" w:rsidRPr="003874A8" w:rsidRDefault="003874A8" w:rsidP="00BE3931">
      <w:pPr>
        <w:spacing w:line="480" w:lineRule="auto"/>
        <w:ind w:left="720" w:hanging="720"/>
        <w:rPr>
          <w:b/>
          <w:szCs w:val="24"/>
        </w:rPr>
      </w:pPr>
      <w:r w:rsidRPr="003874A8">
        <w:rPr>
          <w:b/>
          <w:szCs w:val="24"/>
        </w:rPr>
        <w:t xml:space="preserve">Q. </w:t>
      </w:r>
      <w:r w:rsidR="00A37794">
        <w:rPr>
          <w:b/>
          <w:szCs w:val="24"/>
        </w:rPr>
        <w:tab/>
      </w:r>
      <w:r w:rsidRPr="003874A8">
        <w:rPr>
          <w:b/>
          <w:szCs w:val="24"/>
        </w:rPr>
        <w:t xml:space="preserve">What would the impact of this adjustment </w:t>
      </w:r>
      <w:r w:rsidR="005A2093">
        <w:rPr>
          <w:b/>
          <w:szCs w:val="24"/>
        </w:rPr>
        <w:t xml:space="preserve">be on </w:t>
      </w:r>
      <w:r w:rsidRPr="003874A8">
        <w:rPr>
          <w:b/>
          <w:szCs w:val="24"/>
        </w:rPr>
        <w:t>the hypothetical capital structure?</w:t>
      </w:r>
    </w:p>
    <w:p w:rsidR="007B6BA1" w:rsidRDefault="00693AAD" w:rsidP="00BE3931">
      <w:pPr>
        <w:spacing w:line="480" w:lineRule="auto"/>
        <w:ind w:left="720" w:hanging="720"/>
        <w:rPr>
          <w:szCs w:val="24"/>
        </w:rPr>
      </w:pPr>
      <w:r>
        <w:rPr>
          <w:szCs w:val="24"/>
        </w:rPr>
        <w:t>A.</w:t>
      </w:r>
      <w:r>
        <w:rPr>
          <w:szCs w:val="24"/>
        </w:rPr>
        <w:tab/>
        <w:t xml:space="preserve">If </w:t>
      </w:r>
      <w:r w:rsidR="00905C52">
        <w:rPr>
          <w:szCs w:val="24"/>
        </w:rPr>
        <w:t>PacifiCorp</w:t>
      </w:r>
      <w:r>
        <w:rPr>
          <w:szCs w:val="24"/>
        </w:rPr>
        <w:t xml:space="preserve"> </w:t>
      </w:r>
      <w:r w:rsidR="005A2093">
        <w:rPr>
          <w:szCs w:val="24"/>
        </w:rPr>
        <w:t xml:space="preserve">were </w:t>
      </w:r>
      <w:r>
        <w:rPr>
          <w:szCs w:val="24"/>
        </w:rPr>
        <w:t>financed consistent with the hypothetical capital structure, the rating agenc</w:t>
      </w:r>
      <w:r w:rsidR="000D6428">
        <w:rPr>
          <w:szCs w:val="24"/>
        </w:rPr>
        <w:t>y</w:t>
      </w:r>
      <w:r>
        <w:rPr>
          <w:szCs w:val="24"/>
        </w:rPr>
        <w:t xml:space="preserve"> adjustments would produce a capital structure with 4</w:t>
      </w:r>
      <w:r w:rsidR="00E15897">
        <w:rPr>
          <w:szCs w:val="24"/>
        </w:rPr>
        <w:t>7.</w:t>
      </w:r>
      <w:r w:rsidR="000D6428">
        <w:rPr>
          <w:szCs w:val="24"/>
        </w:rPr>
        <w:t>36</w:t>
      </w:r>
      <w:r w:rsidR="005A2093">
        <w:rPr>
          <w:szCs w:val="24"/>
        </w:rPr>
        <w:t> </w:t>
      </w:r>
      <w:r w:rsidR="000D6428">
        <w:rPr>
          <w:szCs w:val="24"/>
        </w:rPr>
        <w:t>percent</w:t>
      </w:r>
      <w:r>
        <w:rPr>
          <w:szCs w:val="24"/>
        </w:rPr>
        <w:t xml:space="preserve"> </w:t>
      </w:r>
      <w:r>
        <w:rPr>
          <w:szCs w:val="24"/>
        </w:rPr>
        <w:lastRenderedPageBreak/>
        <w:t>common equity</w:t>
      </w:r>
      <w:r w:rsidR="00905C52">
        <w:rPr>
          <w:szCs w:val="24"/>
        </w:rPr>
        <w:t xml:space="preserve">, as outlined in </w:t>
      </w:r>
      <w:r w:rsidR="005A2093">
        <w:rPr>
          <w:szCs w:val="24"/>
        </w:rPr>
        <w:t>T</w:t>
      </w:r>
      <w:r w:rsidR="00905C52">
        <w:rPr>
          <w:szCs w:val="24"/>
        </w:rPr>
        <w:t xml:space="preserve">able </w:t>
      </w:r>
      <w:r w:rsidR="005A2093">
        <w:rPr>
          <w:szCs w:val="24"/>
        </w:rPr>
        <w:t xml:space="preserve">13 </w:t>
      </w:r>
      <w:r w:rsidR="00905C52">
        <w:rPr>
          <w:szCs w:val="24"/>
        </w:rPr>
        <w:t>below</w:t>
      </w:r>
      <w:r>
        <w:rPr>
          <w:szCs w:val="24"/>
        </w:rPr>
        <w:t xml:space="preserve">.  </w:t>
      </w:r>
      <w:r w:rsidR="001566B7" w:rsidRPr="00C04A68">
        <w:rPr>
          <w:szCs w:val="24"/>
        </w:rPr>
        <w:t xml:space="preserve">The resulting </w:t>
      </w:r>
      <w:r w:rsidR="001566B7">
        <w:rPr>
          <w:szCs w:val="24"/>
        </w:rPr>
        <w:t>4</w:t>
      </w:r>
      <w:r w:rsidR="00E15897">
        <w:rPr>
          <w:szCs w:val="24"/>
        </w:rPr>
        <w:t>7.</w:t>
      </w:r>
      <w:r w:rsidR="000D6428">
        <w:rPr>
          <w:szCs w:val="24"/>
        </w:rPr>
        <w:t>36</w:t>
      </w:r>
      <w:r w:rsidR="005A2093">
        <w:rPr>
          <w:szCs w:val="24"/>
        </w:rPr>
        <w:t> </w:t>
      </w:r>
      <w:r w:rsidR="001566B7" w:rsidRPr="00C04A68">
        <w:rPr>
          <w:szCs w:val="24"/>
        </w:rPr>
        <w:t>percent equity ratio falls below S&amp;P’s published expectations for PacifiCorp.</w:t>
      </w:r>
      <w:r w:rsidR="001566B7">
        <w:rPr>
          <w:szCs w:val="24"/>
        </w:rPr>
        <w:t xml:space="preserve">  </w:t>
      </w:r>
      <w:r w:rsidR="00A37794">
        <w:rPr>
          <w:szCs w:val="24"/>
        </w:rPr>
        <w:t>Such a structure and the resulting financial metrics would not support the Company’s current ratings.</w:t>
      </w:r>
    </w:p>
    <w:p w:rsidR="0070314C" w:rsidRPr="0070314C" w:rsidRDefault="0070314C" w:rsidP="00A36B7E">
      <w:pPr>
        <w:keepNext/>
        <w:suppressLineNumbers/>
        <w:ind w:left="720" w:hanging="720"/>
        <w:jc w:val="center"/>
        <w:rPr>
          <w:b/>
          <w:szCs w:val="24"/>
        </w:rPr>
      </w:pPr>
      <w:r>
        <w:rPr>
          <w:b/>
          <w:szCs w:val="24"/>
        </w:rPr>
        <w:t xml:space="preserve">Table </w:t>
      </w:r>
      <w:r w:rsidR="00DC66EA">
        <w:rPr>
          <w:b/>
          <w:szCs w:val="24"/>
        </w:rPr>
        <w:t>13</w:t>
      </w:r>
    </w:p>
    <w:p w:rsidR="00A37794" w:rsidRDefault="0070314C" w:rsidP="00327F73">
      <w:pPr>
        <w:suppressLineNumbers/>
        <w:spacing w:line="480" w:lineRule="auto"/>
        <w:ind w:left="720" w:hanging="720"/>
        <w:rPr>
          <w:szCs w:val="24"/>
        </w:rPr>
      </w:pPr>
      <w:r w:rsidRPr="0070314C">
        <w:rPr>
          <w:noProof/>
        </w:rPr>
        <w:drawing>
          <wp:inline distT="0" distB="0" distL="0" distR="0" wp14:anchorId="55D0B65F" wp14:editId="42F13DCB">
            <wp:extent cx="5606415" cy="16122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6415" cy="1612265"/>
                    </a:xfrm>
                    <a:prstGeom prst="rect">
                      <a:avLst/>
                    </a:prstGeom>
                    <a:noFill/>
                    <a:ln>
                      <a:noFill/>
                    </a:ln>
                  </pic:spPr>
                </pic:pic>
              </a:graphicData>
            </a:graphic>
          </wp:inline>
        </w:drawing>
      </w:r>
    </w:p>
    <w:p w:rsidR="003D655E" w:rsidRPr="00C04A68" w:rsidRDefault="00845E05" w:rsidP="00AF47B9">
      <w:pPr>
        <w:pStyle w:val="Heading1"/>
      </w:pPr>
      <w:bookmarkStart w:id="9" w:name="_Toc386540860"/>
      <w:r w:rsidRPr="00C04A68">
        <w:t>FINANCING COST CALCULATIONS</w:t>
      </w:r>
      <w:bookmarkEnd w:id="9"/>
    </w:p>
    <w:p w:rsidR="00630471" w:rsidRPr="007E7B3E" w:rsidRDefault="00630471" w:rsidP="00845E05">
      <w:pPr>
        <w:spacing w:line="480" w:lineRule="auto"/>
        <w:ind w:left="720" w:hanging="720"/>
        <w:rPr>
          <w:rFonts w:eastAsiaTheme="minorHAnsi"/>
          <w:b/>
          <w:kern w:val="0"/>
          <w:szCs w:val="24"/>
        </w:rPr>
      </w:pPr>
      <w:r w:rsidRPr="00244F1B">
        <w:rPr>
          <w:rFonts w:eastAsiaTheme="minorHAnsi"/>
          <w:b/>
          <w:kern w:val="0"/>
          <w:szCs w:val="24"/>
        </w:rPr>
        <w:t>Q.</w:t>
      </w:r>
      <w:r w:rsidRPr="00244F1B">
        <w:rPr>
          <w:rFonts w:eastAsiaTheme="minorHAnsi"/>
          <w:kern w:val="0"/>
          <w:szCs w:val="24"/>
        </w:rPr>
        <w:tab/>
      </w:r>
      <w:r w:rsidRPr="007E7B3E">
        <w:rPr>
          <w:rFonts w:eastAsiaTheme="minorHAnsi"/>
          <w:b/>
          <w:kern w:val="0"/>
          <w:szCs w:val="24"/>
        </w:rPr>
        <w:t>In addition to reducing the average cost of debt</w:t>
      </w:r>
      <w:r>
        <w:rPr>
          <w:rFonts w:eastAsiaTheme="minorHAnsi"/>
          <w:b/>
          <w:kern w:val="0"/>
          <w:szCs w:val="24"/>
        </w:rPr>
        <w:t xml:space="preserve"> through favorable new issuances</w:t>
      </w:r>
      <w:r w:rsidRPr="007E7B3E">
        <w:rPr>
          <w:rFonts w:eastAsiaTheme="minorHAnsi"/>
          <w:b/>
          <w:kern w:val="0"/>
          <w:szCs w:val="24"/>
        </w:rPr>
        <w:t xml:space="preserve">, has </w:t>
      </w:r>
      <w:r w:rsidR="00905C52">
        <w:rPr>
          <w:rFonts w:eastAsiaTheme="minorHAnsi"/>
          <w:b/>
          <w:kern w:val="0"/>
          <w:szCs w:val="24"/>
        </w:rPr>
        <w:t>PacifiCorp</w:t>
      </w:r>
      <w:r w:rsidRPr="007E7B3E">
        <w:rPr>
          <w:rFonts w:eastAsiaTheme="minorHAnsi"/>
          <w:b/>
          <w:kern w:val="0"/>
          <w:szCs w:val="24"/>
        </w:rPr>
        <w:t xml:space="preserve"> taken other financing actions to benefit Washington customers?</w:t>
      </w:r>
    </w:p>
    <w:p w:rsidR="00630471" w:rsidRPr="00244F1B" w:rsidRDefault="00630471" w:rsidP="00845E05">
      <w:pPr>
        <w:spacing w:line="480" w:lineRule="auto"/>
        <w:ind w:left="720" w:hanging="720"/>
        <w:rPr>
          <w:rFonts w:eastAsiaTheme="minorHAnsi"/>
          <w:kern w:val="0"/>
          <w:szCs w:val="24"/>
        </w:rPr>
      </w:pPr>
      <w:r w:rsidRPr="00244F1B">
        <w:rPr>
          <w:rFonts w:eastAsiaTheme="minorHAnsi"/>
          <w:kern w:val="0"/>
          <w:szCs w:val="24"/>
        </w:rPr>
        <w:t>A.</w:t>
      </w:r>
      <w:r w:rsidRPr="00244F1B">
        <w:rPr>
          <w:rFonts w:eastAsiaTheme="minorHAnsi"/>
          <w:kern w:val="0"/>
          <w:szCs w:val="24"/>
        </w:rPr>
        <w:tab/>
        <w:t>Yes, through a number of measures</w:t>
      </w:r>
      <w:r w:rsidR="008C2801">
        <w:rPr>
          <w:rFonts w:eastAsiaTheme="minorHAnsi"/>
          <w:kern w:val="0"/>
          <w:szCs w:val="24"/>
        </w:rPr>
        <w:t>.  Since the acquisition</w:t>
      </w:r>
      <w:r w:rsidRPr="00244F1B">
        <w:rPr>
          <w:rFonts w:eastAsiaTheme="minorHAnsi"/>
          <w:kern w:val="0"/>
          <w:szCs w:val="24"/>
        </w:rPr>
        <w:t xml:space="preserve"> in 2006, </w:t>
      </w:r>
      <w:r w:rsidR="00905C52">
        <w:rPr>
          <w:rFonts w:eastAsiaTheme="minorHAnsi"/>
          <w:kern w:val="0"/>
          <w:szCs w:val="24"/>
        </w:rPr>
        <w:t>PacifiCorp</w:t>
      </w:r>
      <w:r w:rsidRPr="00244F1B">
        <w:rPr>
          <w:rFonts w:eastAsiaTheme="minorHAnsi"/>
          <w:kern w:val="0"/>
          <w:szCs w:val="24"/>
        </w:rPr>
        <w:t xml:space="preserve"> has been able to negotiate reduced underwriting fees at various times when issuing new long</w:t>
      </w:r>
      <w:r w:rsidR="00905C52">
        <w:rPr>
          <w:rFonts w:eastAsiaTheme="minorHAnsi"/>
          <w:kern w:val="0"/>
          <w:szCs w:val="24"/>
        </w:rPr>
        <w:t>-</w:t>
      </w:r>
      <w:r w:rsidRPr="00244F1B">
        <w:rPr>
          <w:rFonts w:eastAsiaTheme="minorHAnsi"/>
          <w:kern w:val="0"/>
          <w:szCs w:val="24"/>
        </w:rPr>
        <w:t xml:space="preserve">term debt.  I have calculated </w:t>
      </w:r>
      <w:r>
        <w:rPr>
          <w:rFonts w:eastAsiaTheme="minorHAnsi"/>
          <w:kern w:val="0"/>
          <w:szCs w:val="24"/>
        </w:rPr>
        <w:t xml:space="preserve">savings </w:t>
      </w:r>
      <w:r w:rsidRPr="00244F1B">
        <w:rPr>
          <w:rFonts w:eastAsiaTheme="minorHAnsi"/>
          <w:kern w:val="0"/>
          <w:szCs w:val="24"/>
        </w:rPr>
        <w:t xml:space="preserve">to customers </w:t>
      </w:r>
      <w:r>
        <w:rPr>
          <w:rFonts w:eastAsiaTheme="minorHAnsi"/>
          <w:kern w:val="0"/>
          <w:szCs w:val="24"/>
        </w:rPr>
        <w:t>from reduced underwriting fees of</w:t>
      </w:r>
      <w:r w:rsidRPr="00244F1B">
        <w:rPr>
          <w:rFonts w:eastAsiaTheme="minorHAnsi"/>
          <w:kern w:val="0"/>
          <w:szCs w:val="24"/>
        </w:rPr>
        <w:t xml:space="preserve"> over $9.3 million in total.  </w:t>
      </w:r>
    </w:p>
    <w:p w:rsidR="00630471" w:rsidRPr="00244F1B" w:rsidRDefault="00630471" w:rsidP="00A02B1E">
      <w:pPr>
        <w:spacing w:line="480" w:lineRule="auto"/>
        <w:ind w:left="720" w:firstLine="720"/>
        <w:rPr>
          <w:rFonts w:eastAsiaTheme="minorHAnsi"/>
          <w:kern w:val="0"/>
          <w:szCs w:val="24"/>
        </w:rPr>
      </w:pPr>
      <w:r w:rsidRPr="00244F1B">
        <w:rPr>
          <w:rFonts w:eastAsiaTheme="minorHAnsi"/>
          <w:kern w:val="0"/>
          <w:szCs w:val="24"/>
        </w:rPr>
        <w:t xml:space="preserve">In addition, </w:t>
      </w:r>
      <w:r w:rsidR="00905C52">
        <w:rPr>
          <w:rFonts w:eastAsiaTheme="minorHAnsi"/>
          <w:kern w:val="0"/>
          <w:szCs w:val="24"/>
        </w:rPr>
        <w:t xml:space="preserve">PacifiCorp </w:t>
      </w:r>
      <w:r w:rsidRPr="00244F1B">
        <w:rPr>
          <w:rFonts w:eastAsiaTheme="minorHAnsi"/>
          <w:kern w:val="0"/>
          <w:szCs w:val="24"/>
        </w:rPr>
        <w:t>has completed the refinancing of all redeemable preferred stock</w:t>
      </w:r>
      <w:r>
        <w:rPr>
          <w:rFonts w:eastAsiaTheme="minorHAnsi"/>
          <w:kern w:val="0"/>
          <w:szCs w:val="24"/>
        </w:rPr>
        <w:t xml:space="preserve"> </w:t>
      </w:r>
      <w:r w:rsidR="002A2391">
        <w:rPr>
          <w:rFonts w:eastAsiaTheme="minorHAnsi"/>
          <w:kern w:val="0"/>
          <w:szCs w:val="24"/>
        </w:rPr>
        <w:t>as</w:t>
      </w:r>
      <w:r>
        <w:rPr>
          <w:rFonts w:eastAsiaTheme="minorHAnsi"/>
          <w:kern w:val="0"/>
          <w:szCs w:val="24"/>
        </w:rPr>
        <w:t xml:space="preserve"> I discussed earlier</w:t>
      </w:r>
      <w:r w:rsidRPr="00244F1B">
        <w:rPr>
          <w:rFonts w:eastAsiaTheme="minorHAnsi"/>
          <w:kern w:val="0"/>
          <w:szCs w:val="24"/>
        </w:rPr>
        <w:t xml:space="preserve">.  </w:t>
      </w:r>
      <w:r>
        <w:rPr>
          <w:rFonts w:eastAsiaTheme="minorHAnsi"/>
          <w:kern w:val="0"/>
          <w:szCs w:val="24"/>
        </w:rPr>
        <w:t>T</w:t>
      </w:r>
      <w:r w:rsidRPr="00244F1B">
        <w:rPr>
          <w:rFonts w:eastAsiaTheme="minorHAnsi"/>
          <w:kern w:val="0"/>
          <w:szCs w:val="24"/>
        </w:rPr>
        <w:t xml:space="preserve">his </w:t>
      </w:r>
      <w:r>
        <w:rPr>
          <w:rFonts w:eastAsiaTheme="minorHAnsi"/>
          <w:kern w:val="0"/>
          <w:szCs w:val="24"/>
        </w:rPr>
        <w:t>refinancing</w:t>
      </w:r>
      <w:r w:rsidRPr="00244F1B">
        <w:rPr>
          <w:rFonts w:eastAsiaTheme="minorHAnsi"/>
          <w:kern w:val="0"/>
          <w:szCs w:val="24"/>
        </w:rPr>
        <w:t xml:space="preserve"> provides annual savings to Washington customers of approximately $</w:t>
      </w:r>
      <w:r w:rsidR="006E45DE">
        <w:rPr>
          <w:rFonts w:eastAsiaTheme="minorHAnsi"/>
          <w:kern w:val="0"/>
          <w:szCs w:val="24"/>
        </w:rPr>
        <w:t>0.2</w:t>
      </w:r>
      <w:r w:rsidRPr="00244F1B">
        <w:rPr>
          <w:rFonts w:eastAsiaTheme="minorHAnsi"/>
          <w:kern w:val="0"/>
          <w:szCs w:val="24"/>
        </w:rPr>
        <w:t xml:space="preserve"> million in the current rate case.</w:t>
      </w:r>
    </w:p>
    <w:p w:rsidR="00845E05" w:rsidRDefault="00630471" w:rsidP="00845E05">
      <w:pPr>
        <w:spacing w:line="480" w:lineRule="auto"/>
        <w:ind w:left="720" w:firstLine="720"/>
        <w:rPr>
          <w:rFonts w:eastAsiaTheme="minorHAnsi"/>
          <w:kern w:val="0"/>
          <w:szCs w:val="24"/>
        </w:rPr>
      </w:pPr>
      <w:r w:rsidRPr="00244F1B">
        <w:rPr>
          <w:rFonts w:eastAsiaTheme="minorHAnsi"/>
          <w:kern w:val="0"/>
          <w:szCs w:val="24"/>
        </w:rPr>
        <w:t xml:space="preserve">Further, </w:t>
      </w:r>
      <w:r w:rsidR="00905C52">
        <w:rPr>
          <w:rFonts w:eastAsiaTheme="minorHAnsi"/>
          <w:kern w:val="0"/>
          <w:szCs w:val="24"/>
        </w:rPr>
        <w:t>PacifiCorp</w:t>
      </w:r>
      <w:r w:rsidRPr="00244F1B">
        <w:rPr>
          <w:rFonts w:eastAsiaTheme="minorHAnsi"/>
          <w:kern w:val="0"/>
          <w:szCs w:val="24"/>
        </w:rPr>
        <w:t xml:space="preserve"> has periodically refinanced higher cost debt </w:t>
      </w:r>
      <w:r w:rsidR="005A2093">
        <w:rPr>
          <w:rFonts w:eastAsiaTheme="minorHAnsi"/>
          <w:kern w:val="0"/>
          <w:szCs w:val="24"/>
        </w:rPr>
        <w:t>before</w:t>
      </w:r>
      <w:r w:rsidRPr="00244F1B">
        <w:rPr>
          <w:rFonts w:eastAsiaTheme="minorHAnsi"/>
          <w:kern w:val="0"/>
          <w:szCs w:val="24"/>
        </w:rPr>
        <w:t xml:space="preserve"> maturity with lower cost debt such as the 2012 refinancing of tax exempt debt.  </w:t>
      </w:r>
      <w:r>
        <w:rPr>
          <w:rFonts w:eastAsiaTheme="minorHAnsi"/>
          <w:kern w:val="0"/>
          <w:szCs w:val="24"/>
        </w:rPr>
        <w:t>The Company estimates this refinancing alone provides customers with annual saving of approximately $2.4 million.</w:t>
      </w:r>
      <w:r w:rsidR="00845E05">
        <w:rPr>
          <w:rFonts w:eastAsiaTheme="minorHAnsi"/>
          <w:kern w:val="0"/>
          <w:szCs w:val="24"/>
        </w:rPr>
        <w:t xml:space="preserve">  </w:t>
      </w:r>
    </w:p>
    <w:p w:rsidR="00630471" w:rsidRPr="007501D2" w:rsidRDefault="00630471" w:rsidP="00845E05">
      <w:pPr>
        <w:spacing w:line="480" w:lineRule="auto"/>
        <w:ind w:left="720" w:firstLine="720"/>
        <w:rPr>
          <w:rFonts w:eastAsiaTheme="minorHAnsi"/>
          <w:kern w:val="0"/>
          <w:szCs w:val="24"/>
        </w:rPr>
      </w:pPr>
      <w:r w:rsidRPr="00244F1B">
        <w:rPr>
          <w:rFonts w:eastAsiaTheme="minorHAnsi"/>
          <w:kern w:val="0"/>
          <w:szCs w:val="24"/>
        </w:rPr>
        <w:lastRenderedPageBreak/>
        <w:t>The Company</w:t>
      </w:r>
      <w:r w:rsidR="00D13361">
        <w:rPr>
          <w:rFonts w:eastAsiaTheme="minorHAnsi"/>
          <w:kern w:val="0"/>
          <w:szCs w:val="24"/>
        </w:rPr>
        <w:t>’s recommended cost of capital in this case</w:t>
      </w:r>
      <w:r w:rsidRPr="00244F1B">
        <w:rPr>
          <w:rFonts w:eastAsiaTheme="minorHAnsi"/>
          <w:kern w:val="0"/>
          <w:szCs w:val="24"/>
        </w:rPr>
        <w:t xml:space="preserve"> passes all of these savings on to customers.</w:t>
      </w:r>
    </w:p>
    <w:p w:rsidR="00E15897"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 xml:space="preserve">How did you calculate </w:t>
      </w:r>
      <w:r w:rsidR="00D13361">
        <w:rPr>
          <w:b/>
          <w:szCs w:val="24"/>
        </w:rPr>
        <w:t>PacifiCorp’s</w:t>
      </w:r>
      <w:r w:rsidRPr="00C04A68">
        <w:rPr>
          <w:b/>
          <w:szCs w:val="24"/>
        </w:rPr>
        <w:t xml:space="preserve"> embedded costs of long-term debt and preferred stock?</w:t>
      </w:r>
    </w:p>
    <w:p w:rsidR="003D655E" w:rsidRPr="00C04A68" w:rsidRDefault="003D655E" w:rsidP="00BE3931">
      <w:pPr>
        <w:spacing w:line="480" w:lineRule="auto"/>
        <w:ind w:left="720" w:hanging="720"/>
        <w:rPr>
          <w:szCs w:val="24"/>
        </w:rPr>
      </w:pPr>
      <w:r w:rsidRPr="00C04A68">
        <w:rPr>
          <w:szCs w:val="24"/>
        </w:rPr>
        <w:t>A.</w:t>
      </w:r>
      <w:r w:rsidRPr="00C04A68">
        <w:rPr>
          <w:szCs w:val="24"/>
        </w:rPr>
        <w:tab/>
        <w:t xml:space="preserve">I calculated the embedded costs of debt and preferred stock using the methodology relied upon in the Company’s previous rate cases in </w:t>
      </w:r>
      <w:r w:rsidR="007241D9">
        <w:rPr>
          <w:szCs w:val="24"/>
        </w:rPr>
        <w:t>Washington</w:t>
      </w:r>
      <w:r w:rsidRPr="00C04A68">
        <w:rPr>
          <w:szCs w:val="24"/>
        </w:rPr>
        <w:t xml:space="preserve"> and other jurisdictions.</w:t>
      </w:r>
    </w:p>
    <w:p w:rsidR="003D655E" w:rsidRPr="00C04A68"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 xml:space="preserve">What is </w:t>
      </w:r>
      <w:r w:rsidR="00D13361">
        <w:rPr>
          <w:b/>
          <w:szCs w:val="24"/>
        </w:rPr>
        <w:t xml:space="preserve">PacifiCorp’s </w:t>
      </w:r>
      <w:r w:rsidRPr="00C04A68">
        <w:rPr>
          <w:b/>
          <w:szCs w:val="24"/>
        </w:rPr>
        <w:t>embedded cost of long-term debt?</w:t>
      </w:r>
    </w:p>
    <w:p w:rsidR="003D655E" w:rsidRPr="00C04A68" w:rsidRDefault="003D655E" w:rsidP="00BE3931">
      <w:pPr>
        <w:spacing w:line="480" w:lineRule="auto"/>
        <w:ind w:left="720" w:hanging="720"/>
        <w:rPr>
          <w:szCs w:val="24"/>
        </w:rPr>
      </w:pPr>
      <w:r w:rsidRPr="00C04A68">
        <w:rPr>
          <w:szCs w:val="24"/>
        </w:rPr>
        <w:t>A.</w:t>
      </w:r>
      <w:r w:rsidRPr="00C04A68">
        <w:rPr>
          <w:szCs w:val="24"/>
        </w:rPr>
        <w:tab/>
        <w:t>The cost of long-term debt is 5.</w:t>
      </w:r>
      <w:r w:rsidR="008B252D">
        <w:rPr>
          <w:szCs w:val="24"/>
        </w:rPr>
        <w:t>19</w:t>
      </w:r>
      <w:r w:rsidRPr="00C04A68">
        <w:rPr>
          <w:szCs w:val="24"/>
        </w:rPr>
        <w:t xml:space="preserve"> percent </w:t>
      </w:r>
      <w:r w:rsidR="008B252D">
        <w:rPr>
          <w:szCs w:val="24"/>
        </w:rPr>
        <w:t>at December 31, 2014</w:t>
      </w:r>
      <w:r w:rsidRPr="00C04A68">
        <w:rPr>
          <w:szCs w:val="24"/>
        </w:rPr>
        <w:t xml:space="preserve">, as shown in Exhibit </w:t>
      </w:r>
      <w:r w:rsidR="00C862ED">
        <w:rPr>
          <w:szCs w:val="24"/>
        </w:rPr>
        <w:t>No.</w:t>
      </w:r>
      <w:r w:rsidRPr="00C04A68">
        <w:rPr>
          <w:szCs w:val="24"/>
        </w:rPr>
        <w:t>__</w:t>
      </w:r>
      <w:proofErr w:type="gramStart"/>
      <w:r w:rsidRPr="00C04A68">
        <w:rPr>
          <w:szCs w:val="24"/>
        </w:rPr>
        <w:t>_(</w:t>
      </w:r>
      <w:proofErr w:type="gramEnd"/>
      <w:r w:rsidRPr="00C04A68">
        <w:rPr>
          <w:szCs w:val="24"/>
        </w:rPr>
        <w:t>BNW-</w:t>
      </w:r>
      <w:r w:rsidR="00B719F0">
        <w:rPr>
          <w:szCs w:val="24"/>
        </w:rPr>
        <w:t>12</w:t>
      </w:r>
      <w:r w:rsidRPr="00C04A68">
        <w:rPr>
          <w:szCs w:val="24"/>
        </w:rPr>
        <w:t>).</w:t>
      </w:r>
    </w:p>
    <w:p w:rsidR="003D655E" w:rsidRPr="00C04A68" w:rsidRDefault="003D655E" w:rsidP="005A2093">
      <w:pPr>
        <w:keepNext/>
        <w:spacing w:line="480" w:lineRule="auto"/>
        <w:ind w:left="720" w:hanging="720"/>
        <w:rPr>
          <w:b/>
          <w:szCs w:val="24"/>
        </w:rPr>
      </w:pPr>
      <w:r w:rsidRPr="00C04A68">
        <w:rPr>
          <w:b/>
          <w:szCs w:val="24"/>
        </w:rPr>
        <w:t>Q.</w:t>
      </w:r>
      <w:r w:rsidRPr="00C04A68">
        <w:rPr>
          <w:szCs w:val="24"/>
        </w:rPr>
        <w:tab/>
      </w:r>
      <w:r w:rsidRPr="00C04A68">
        <w:rPr>
          <w:b/>
          <w:szCs w:val="24"/>
        </w:rPr>
        <w:t>Please explain the cost of long-term debt calculation.</w:t>
      </w:r>
    </w:p>
    <w:p w:rsidR="008B28E5" w:rsidRDefault="003D655E" w:rsidP="00845E05">
      <w:pPr>
        <w:spacing w:line="480" w:lineRule="auto"/>
        <w:ind w:left="720" w:hanging="720"/>
        <w:rPr>
          <w:b/>
          <w:szCs w:val="24"/>
        </w:rPr>
      </w:pPr>
      <w:r w:rsidRPr="00C04A68">
        <w:rPr>
          <w:szCs w:val="24"/>
        </w:rPr>
        <w:t>A.</w:t>
      </w:r>
      <w:r w:rsidRPr="00C04A68">
        <w:rPr>
          <w:szCs w:val="24"/>
        </w:rPr>
        <w:tab/>
        <w:t xml:space="preserve">I calculated the cost of debt by issue, based on each debt series’ interest rate and net proceeds at the issuance date, to produce a bond yield to maturity for each series of debt. </w:t>
      </w:r>
      <w:r w:rsidR="00845E05">
        <w:rPr>
          <w:szCs w:val="24"/>
        </w:rPr>
        <w:t xml:space="preserve"> </w:t>
      </w:r>
      <w:r w:rsidRPr="00C04A68">
        <w:rPr>
          <w:szCs w:val="24"/>
        </w:rPr>
        <w:t xml:space="preserve">It should be noted that </w:t>
      </w:r>
      <w:r w:rsidR="005A2093">
        <w:rPr>
          <w:szCs w:val="24"/>
        </w:rPr>
        <w:t>if</w:t>
      </w:r>
      <w:r w:rsidRPr="00C04A68">
        <w:rPr>
          <w:szCs w:val="24"/>
        </w:rPr>
        <w:t xml:space="preserve"> a bond was issued to refinance a higher cost bond, the pre-tax premium and unamortized costs, if any, associated with the refinancing were subtracted from the net proceeds of the bonds that were issued. </w:t>
      </w:r>
      <w:r w:rsidR="00845E05">
        <w:rPr>
          <w:szCs w:val="24"/>
        </w:rPr>
        <w:t xml:space="preserve"> </w:t>
      </w:r>
      <w:r w:rsidRPr="00C04A68">
        <w:rPr>
          <w:szCs w:val="24"/>
        </w:rPr>
        <w:t>Each bond yield was then multiplied by the principal amount outstanding of each debt issue, resulting in an annualized cost of each debt issue.</w:t>
      </w:r>
      <w:r w:rsidR="00845E05">
        <w:rPr>
          <w:szCs w:val="24"/>
        </w:rPr>
        <w:t xml:space="preserve">  </w:t>
      </w:r>
      <w:r w:rsidRPr="00C04A68">
        <w:rPr>
          <w:szCs w:val="24"/>
        </w:rPr>
        <w:t xml:space="preserve">Aggregating the annual cost of each debt issue produces the total annualized cost of debt. </w:t>
      </w:r>
      <w:r w:rsidR="00845E05">
        <w:rPr>
          <w:szCs w:val="24"/>
        </w:rPr>
        <w:t xml:space="preserve"> </w:t>
      </w:r>
      <w:r w:rsidRPr="00C04A68">
        <w:rPr>
          <w:szCs w:val="24"/>
        </w:rPr>
        <w:t xml:space="preserve">Dividing the total annualized cost of debt by the total principal amount of debt outstanding produces the weighted average cost for all debt issues. </w:t>
      </w:r>
      <w:r w:rsidR="005A2093">
        <w:rPr>
          <w:szCs w:val="24"/>
        </w:rPr>
        <w:t xml:space="preserve"> </w:t>
      </w:r>
      <w:r w:rsidRPr="00C04A68">
        <w:rPr>
          <w:szCs w:val="24"/>
        </w:rPr>
        <w:t xml:space="preserve">The result is </w:t>
      </w:r>
      <w:r w:rsidR="00D13361">
        <w:rPr>
          <w:szCs w:val="24"/>
        </w:rPr>
        <w:t>PacifiCorp</w:t>
      </w:r>
      <w:r w:rsidRPr="00C04A68">
        <w:rPr>
          <w:szCs w:val="24"/>
        </w:rPr>
        <w:t>’s cost of long-term debt of 5.</w:t>
      </w:r>
      <w:r w:rsidR="008B252D">
        <w:rPr>
          <w:szCs w:val="24"/>
        </w:rPr>
        <w:t>19</w:t>
      </w:r>
      <w:r w:rsidRPr="00C04A68">
        <w:rPr>
          <w:szCs w:val="24"/>
        </w:rPr>
        <w:t xml:space="preserve"> percent.</w:t>
      </w:r>
    </w:p>
    <w:p w:rsidR="003D655E" w:rsidRPr="00C04A68" w:rsidRDefault="003D655E" w:rsidP="0094388B">
      <w:pPr>
        <w:keepNext/>
        <w:spacing w:line="480" w:lineRule="auto"/>
        <w:ind w:left="720" w:hanging="720"/>
        <w:rPr>
          <w:b/>
          <w:szCs w:val="24"/>
        </w:rPr>
      </w:pPr>
      <w:r w:rsidRPr="00C04A68">
        <w:rPr>
          <w:b/>
          <w:szCs w:val="24"/>
        </w:rPr>
        <w:lastRenderedPageBreak/>
        <w:t>Q.</w:t>
      </w:r>
      <w:r w:rsidRPr="00C04A68">
        <w:rPr>
          <w:szCs w:val="24"/>
        </w:rPr>
        <w:tab/>
      </w:r>
      <w:r w:rsidRPr="00C04A68">
        <w:rPr>
          <w:b/>
          <w:szCs w:val="24"/>
        </w:rPr>
        <w:t xml:space="preserve">A portion of the securities in </w:t>
      </w:r>
      <w:r w:rsidR="00905C52">
        <w:rPr>
          <w:b/>
          <w:szCs w:val="24"/>
        </w:rPr>
        <w:t>PacifiCorp</w:t>
      </w:r>
      <w:r w:rsidRPr="00C04A68">
        <w:rPr>
          <w:b/>
          <w:szCs w:val="24"/>
        </w:rPr>
        <w:t>’s debt portfolio bears variable rates. What is the basis for the projected interest rates?</w:t>
      </w:r>
    </w:p>
    <w:p w:rsidR="003D655E" w:rsidRPr="00C04A68" w:rsidRDefault="003D655E" w:rsidP="00BE3931">
      <w:pPr>
        <w:spacing w:line="480" w:lineRule="auto"/>
        <w:ind w:left="720" w:hanging="720"/>
        <w:rPr>
          <w:szCs w:val="24"/>
        </w:rPr>
      </w:pPr>
      <w:r w:rsidRPr="00C04A68">
        <w:rPr>
          <w:szCs w:val="24"/>
        </w:rPr>
        <w:t>A.</w:t>
      </w:r>
      <w:r w:rsidRPr="00C04A68">
        <w:rPr>
          <w:szCs w:val="24"/>
        </w:rPr>
        <w:tab/>
      </w:r>
      <w:r w:rsidR="00857FD7">
        <w:rPr>
          <w:szCs w:val="24"/>
        </w:rPr>
        <w:t xml:space="preserve">PacifiCorp’s </w:t>
      </w:r>
      <w:r w:rsidRPr="00C04A68">
        <w:rPr>
          <w:szCs w:val="24"/>
        </w:rPr>
        <w:t>variable rate long-term debt in this case is in the form of tax-exempt debt.</w:t>
      </w:r>
      <w:r w:rsidR="005A2093">
        <w:rPr>
          <w:szCs w:val="24"/>
        </w:rPr>
        <w:t xml:space="preserve"> </w:t>
      </w:r>
      <w:r w:rsidRPr="00C04A68">
        <w:rPr>
          <w:szCs w:val="24"/>
        </w:rPr>
        <w:t xml:space="preserve"> Exhibit </w:t>
      </w:r>
      <w:r w:rsidR="00C862ED">
        <w:rPr>
          <w:szCs w:val="24"/>
        </w:rPr>
        <w:t>No.</w:t>
      </w:r>
      <w:r w:rsidRPr="00C04A68">
        <w:rPr>
          <w:szCs w:val="24"/>
        </w:rPr>
        <w:t>__</w:t>
      </w:r>
      <w:proofErr w:type="gramStart"/>
      <w:r w:rsidRPr="00C04A68">
        <w:rPr>
          <w:szCs w:val="24"/>
        </w:rPr>
        <w:t>_(</w:t>
      </w:r>
      <w:proofErr w:type="gramEnd"/>
      <w:r w:rsidRPr="00C04A68">
        <w:rPr>
          <w:szCs w:val="24"/>
        </w:rPr>
        <w:t>BNW-</w:t>
      </w:r>
      <w:r w:rsidR="00B719F0">
        <w:rPr>
          <w:szCs w:val="24"/>
        </w:rPr>
        <w:t>14</w:t>
      </w:r>
      <w:r w:rsidRPr="00C04A68">
        <w:rPr>
          <w:szCs w:val="24"/>
        </w:rPr>
        <w:t>) shows that, on average, these securities have been trading at approximately 90 percent of the 30-day LIBOR</w:t>
      </w:r>
      <w:r w:rsidR="005A2093">
        <w:rPr>
          <w:szCs w:val="24"/>
        </w:rPr>
        <w:t xml:space="preserve"> rate</w:t>
      </w:r>
      <w:r w:rsidRPr="00C04A68">
        <w:rPr>
          <w:szCs w:val="24"/>
        </w:rPr>
        <w:t xml:space="preserve"> for the period January 2000 through </w:t>
      </w:r>
      <w:r w:rsidR="008B252D">
        <w:rPr>
          <w:szCs w:val="24"/>
        </w:rPr>
        <w:t>December</w:t>
      </w:r>
      <w:r w:rsidRPr="00C04A68">
        <w:rPr>
          <w:szCs w:val="24"/>
        </w:rPr>
        <w:t xml:space="preserve"> 2013. </w:t>
      </w:r>
      <w:r w:rsidR="007132D4">
        <w:rPr>
          <w:szCs w:val="24"/>
        </w:rPr>
        <w:t xml:space="preserve"> </w:t>
      </w:r>
      <w:r w:rsidRPr="00C04A68">
        <w:rPr>
          <w:szCs w:val="24"/>
        </w:rPr>
        <w:t>Therefore, the Company has applied a factor of 90</w:t>
      </w:r>
      <w:r w:rsidR="005A2093">
        <w:rPr>
          <w:szCs w:val="24"/>
        </w:rPr>
        <w:t> </w:t>
      </w:r>
      <w:r w:rsidRPr="00C04A68">
        <w:rPr>
          <w:szCs w:val="24"/>
        </w:rPr>
        <w:t>percent to</w:t>
      </w:r>
      <w:r w:rsidR="00E15897">
        <w:rPr>
          <w:szCs w:val="24"/>
        </w:rPr>
        <w:t xml:space="preserve"> the forward 30-day LIBOR rate </w:t>
      </w:r>
      <w:r w:rsidRPr="00C04A68">
        <w:rPr>
          <w:szCs w:val="24"/>
        </w:rPr>
        <w:t xml:space="preserve">and then added the respective credit enhancement and remarketing fees for each floating rate tax-exempt bond. </w:t>
      </w:r>
      <w:r w:rsidR="007132D4">
        <w:rPr>
          <w:szCs w:val="24"/>
        </w:rPr>
        <w:t xml:space="preserve"> </w:t>
      </w:r>
      <w:r w:rsidRPr="00C04A68">
        <w:rPr>
          <w:szCs w:val="24"/>
        </w:rPr>
        <w:t xml:space="preserve">Credit enhancement and remarketing fees are included in the interest component because these are costs which contribute directly to the interest rate on the securities and are charged to interest expense. </w:t>
      </w:r>
      <w:r w:rsidR="007132D4">
        <w:rPr>
          <w:szCs w:val="24"/>
        </w:rPr>
        <w:t xml:space="preserve"> </w:t>
      </w:r>
      <w:r w:rsidRPr="00C04A68">
        <w:rPr>
          <w:szCs w:val="24"/>
        </w:rPr>
        <w:t xml:space="preserve">This method is consistent with the Company’s past practices when </w:t>
      </w:r>
      <w:r w:rsidR="00905C52">
        <w:rPr>
          <w:szCs w:val="24"/>
        </w:rPr>
        <w:t>calculating</w:t>
      </w:r>
      <w:r w:rsidRPr="00C04A68">
        <w:rPr>
          <w:szCs w:val="24"/>
        </w:rPr>
        <w:t xml:space="preserve"> the cost of debt in previous W</w:t>
      </w:r>
      <w:r w:rsidR="00C862ED">
        <w:rPr>
          <w:szCs w:val="24"/>
        </w:rPr>
        <w:t>ashington</w:t>
      </w:r>
      <w:r w:rsidRPr="00C04A68">
        <w:rPr>
          <w:szCs w:val="24"/>
        </w:rPr>
        <w:t xml:space="preserve"> general rate cases and in </w:t>
      </w:r>
      <w:r w:rsidR="00014E2D">
        <w:rPr>
          <w:szCs w:val="24"/>
        </w:rPr>
        <w:t>PacifiCorp’</w:t>
      </w:r>
      <w:r w:rsidRPr="00C04A68">
        <w:rPr>
          <w:szCs w:val="24"/>
        </w:rPr>
        <w:t>s other jurisdictions</w:t>
      </w:r>
      <w:r w:rsidR="008B28E5">
        <w:rPr>
          <w:szCs w:val="24"/>
        </w:rPr>
        <w:t>.</w:t>
      </w:r>
    </w:p>
    <w:p w:rsidR="003D655E" w:rsidRPr="00C04A68" w:rsidRDefault="003D655E" w:rsidP="00BE3931">
      <w:pPr>
        <w:spacing w:line="480" w:lineRule="auto"/>
        <w:rPr>
          <w:b/>
          <w:szCs w:val="24"/>
        </w:rPr>
      </w:pPr>
      <w:r w:rsidRPr="00C04A68">
        <w:rPr>
          <w:b/>
          <w:szCs w:val="24"/>
        </w:rPr>
        <w:t>Q.</w:t>
      </w:r>
      <w:r w:rsidRPr="00C04A68">
        <w:rPr>
          <w:szCs w:val="24"/>
        </w:rPr>
        <w:tab/>
      </w:r>
      <w:r w:rsidRPr="00C04A68">
        <w:rPr>
          <w:b/>
          <w:szCs w:val="24"/>
        </w:rPr>
        <w:t xml:space="preserve">What is </w:t>
      </w:r>
      <w:r w:rsidR="00905C52">
        <w:rPr>
          <w:b/>
          <w:szCs w:val="24"/>
        </w:rPr>
        <w:t>PacifiCorp’s</w:t>
      </w:r>
      <w:r w:rsidRPr="00C04A68">
        <w:rPr>
          <w:b/>
          <w:szCs w:val="24"/>
        </w:rPr>
        <w:t xml:space="preserve"> embedded cost of preferred stock?</w:t>
      </w:r>
    </w:p>
    <w:p w:rsidR="003D655E" w:rsidRPr="00C04A68" w:rsidRDefault="003D655E" w:rsidP="00BE3931">
      <w:pPr>
        <w:spacing w:line="480" w:lineRule="auto"/>
        <w:ind w:left="720" w:hanging="720"/>
        <w:rPr>
          <w:szCs w:val="24"/>
        </w:rPr>
      </w:pPr>
      <w:r w:rsidRPr="00C04A68">
        <w:rPr>
          <w:szCs w:val="24"/>
        </w:rPr>
        <w:t>A.</w:t>
      </w:r>
      <w:r w:rsidRPr="00C04A68">
        <w:rPr>
          <w:szCs w:val="24"/>
        </w:rPr>
        <w:tab/>
        <w:t xml:space="preserve">Exhibit </w:t>
      </w:r>
      <w:r w:rsidR="00C862ED">
        <w:rPr>
          <w:szCs w:val="24"/>
        </w:rPr>
        <w:t>No.</w:t>
      </w:r>
      <w:r w:rsidRPr="00C04A68">
        <w:rPr>
          <w:szCs w:val="24"/>
        </w:rPr>
        <w:t>__</w:t>
      </w:r>
      <w:proofErr w:type="gramStart"/>
      <w:r w:rsidRPr="00C04A68">
        <w:rPr>
          <w:szCs w:val="24"/>
        </w:rPr>
        <w:t>_(</w:t>
      </w:r>
      <w:proofErr w:type="gramEnd"/>
      <w:r w:rsidRPr="00C04A68">
        <w:rPr>
          <w:szCs w:val="24"/>
        </w:rPr>
        <w:t>BNW-</w:t>
      </w:r>
      <w:r w:rsidR="00B719F0">
        <w:rPr>
          <w:szCs w:val="24"/>
        </w:rPr>
        <w:t>15</w:t>
      </w:r>
      <w:r w:rsidRPr="00C04A68">
        <w:rPr>
          <w:szCs w:val="24"/>
        </w:rPr>
        <w:t xml:space="preserve">) shows the embedded cost of preferred stock </w:t>
      </w:r>
      <w:r w:rsidR="00503932">
        <w:rPr>
          <w:szCs w:val="24"/>
        </w:rPr>
        <w:t>at December</w:t>
      </w:r>
      <w:r w:rsidR="005A2093">
        <w:rPr>
          <w:szCs w:val="24"/>
        </w:rPr>
        <w:t> </w:t>
      </w:r>
      <w:r w:rsidR="008B252D">
        <w:rPr>
          <w:szCs w:val="24"/>
        </w:rPr>
        <w:t>31, 2014</w:t>
      </w:r>
      <w:r w:rsidRPr="00C04A68">
        <w:rPr>
          <w:szCs w:val="24"/>
        </w:rPr>
        <w:t>, to be 6.75 percent.</w:t>
      </w:r>
    </w:p>
    <w:p w:rsidR="003D655E" w:rsidRPr="00C04A68" w:rsidRDefault="003D655E" w:rsidP="00BE3931">
      <w:pPr>
        <w:spacing w:line="480" w:lineRule="auto"/>
        <w:ind w:left="720" w:hanging="720"/>
        <w:rPr>
          <w:b/>
          <w:szCs w:val="24"/>
        </w:rPr>
      </w:pPr>
      <w:r w:rsidRPr="00C04A68">
        <w:rPr>
          <w:b/>
          <w:szCs w:val="24"/>
        </w:rPr>
        <w:t>Q.</w:t>
      </w:r>
      <w:r w:rsidRPr="00C04A68">
        <w:rPr>
          <w:szCs w:val="24"/>
        </w:rPr>
        <w:tab/>
      </w:r>
      <w:r w:rsidRPr="00C04A68">
        <w:rPr>
          <w:b/>
          <w:szCs w:val="24"/>
        </w:rPr>
        <w:t>How did you calculate the embedded cost of preferred stock?</w:t>
      </w:r>
    </w:p>
    <w:p w:rsidR="003D655E" w:rsidRPr="00C04A68" w:rsidRDefault="003D655E" w:rsidP="00BE3931">
      <w:pPr>
        <w:spacing w:line="480" w:lineRule="auto"/>
        <w:ind w:left="720" w:hanging="720"/>
        <w:rPr>
          <w:szCs w:val="24"/>
        </w:rPr>
      </w:pPr>
      <w:r w:rsidRPr="00C04A68">
        <w:rPr>
          <w:szCs w:val="24"/>
        </w:rPr>
        <w:t>A.</w:t>
      </w:r>
      <w:r w:rsidRPr="00C04A68">
        <w:rPr>
          <w:szCs w:val="24"/>
        </w:rPr>
        <w:tab/>
        <w:t>The embedded cost of preferred stock was calculated by first determining the cost of money for each issue.</w:t>
      </w:r>
      <w:r w:rsidR="007132D4">
        <w:rPr>
          <w:szCs w:val="24"/>
        </w:rPr>
        <w:t xml:space="preserve">  </w:t>
      </w:r>
      <w:r w:rsidRPr="00C04A68">
        <w:rPr>
          <w:szCs w:val="24"/>
        </w:rPr>
        <w:t>I begin by dividing the annual dividend per share by the per share net proceeds for each series of preferred stock.</w:t>
      </w:r>
      <w:r w:rsidR="007132D4">
        <w:rPr>
          <w:szCs w:val="24"/>
        </w:rPr>
        <w:t xml:space="preserve"> </w:t>
      </w:r>
      <w:r w:rsidRPr="00C04A68">
        <w:rPr>
          <w:szCs w:val="24"/>
        </w:rPr>
        <w:t xml:space="preserve"> The resulting cost rate associated with each series was then multiplied by the total par or stated value outstanding for each issue to yield the annualized cost for each issue. </w:t>
      </w:r>
      <w:r w:rsidR="007132D4">
        <w:rPr>
          <w:szCs w:val="24"/>
        </w:rPr>
        <w:t xml:space="preserve"> </w:t>
      </w:r>
      <w:r w:rsidRPr="00C04A68">
        <w:rPr>
          <w:szCs w:val="24"/>
        </w:rPr>
        <w:t xml:space="preserve">The sum of annualized costs for each issue produces the total annual cost for the entire preferred </w:t>
      </w:r>
      <w:r w:rsidRPr="00C04A68">
        <w:rPr>
          <w:szCs w:val="24"/>
        </w:rPr>
        <w:lastRenderedPageBreak/>
        <w:t xml:space="preserve">stock portfolio. </w:t>
      </w:r>
      <w:r w:rsidR="007132D4">
        <w:rPr>
          <w:szCs w:val="24"/>
        </w:rPr>
        <w:t xml:space="preserve"> </w:t>
      </w:r>
      <w:r w:rsidRPr="00C04A68">
        <w:rPr>
          <w:szCs w:val="24"/>
        </w:rPr>
        <w:t xml:space="preserve">I then divided the total annual cost by the total amount of preferred stock outstanding to produce the weighted average cost for all issues. </w:t>
      </w:r>
      <w:r w:rsidR="007132D4">
        <w:rPr>
          <w:szCs w:val="24"/>
        </w:rPr>
        <w:t xml:space="preserve"> </w:t>
      </w:r>
      <w:r w:rsidRPr="00C04A68">
        <w:rPr>
          <w:szCs w:val="24"/>
        </w:rPr>
        <w:t xml:space="preserve">The result is </w:t>
      </w:r>
      <w:r w:rsidR="00D13361">
        <w:rPr>
          <w:szCs w:val="24"/>
        </w:rPr>
        <w:t>PacifiCorp’s</w:t>
      </w:r>
      <w:r w:rsidRPr="00C04A68">
        <w:rPr>
          <w:szCs w:val="24"/>
        </w:rPr>
        <w:t xml:space="preserve"> embedded cost of preferred stock.</w:t>
      </w:r>
    </w:p>
    <w:p w:rsidR="003D655E" w:rsidRPr="00C04A68" w:rsidRDefault="003D655E" w:rsidP="005A2093">
      <w:pPr>
        <w:keepNext/>
        <w:spacing w:line="480" w:lineRule="auto"/>
        <w:ind w:left="720" w:hanging="720"/>
        <w:rPr>
          <w:szCs w:val="24"/>
        </w:rPr>
      </w:pPr>
      <w:r w:rsidRPr="00C04A68">
        <w:rPr>
          <w:b/>
          <w:szCs w:val="24"/>
        </w:rPr>
        <w:t>Q.</w:t>
      </w:r>
      <w:r w:rsidRPr="00C04A68">
        <w:rPr>
          <w:szCs w:val="24"/>
        </w:rPr>
        <w:tab/>
      </w:r>
      <w:r w:rsidRPr="00C04A68">
        <w:rPr>
          <w:b/>
          <w:szCs w:val="24"/>
        </w:rPr>
        <w:t>Does this conclude your direct testimony?</w:t>
      </w:r>
    </w:p>
    <w:p w:rsidR="00A5523E" w:rsidRPr="00DC16F7" w:rsidRDefault="003D655E" w:rsidP="00BE3931">
      <w:pPr>
        <w:spacing w:line="480" w:lineRule="auto"/>
        <w:rPr>
          <w:szCs w:val="24"/>
        </w:rPr>
      </w:pPr>
      <w:r w:rsidRPr="00C04A68">
        <w:rPr>
          <w:szCs w:val="24"/>
        </w:rPr>
        <w:t>A.</w:t>
      </w:r>
      <w:r w:rsidRPr="00C04A68">
        <w:rPr>
          <w:szCs w:val="24"/>
        </w:rPr>
        <w:tab/>
        <w:t>Yes.</w:t>
      </w:r>
    </w:p>
    <w:sectPr w:rsidR="00A5523E" w:rsidRPr="00DC16F7" w:rsidSect="00FB69C7">
      <w:pgSz w:w="12240" w:h="15840" w:code="1"/>
      <w:pgMar w:top="1440" w:right="1440" w:bottom="1440" w:left="1800" w:header="720" w:footer="720" w:gutter="0"/>
      <w:lnNumType w:countBy="1"/>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01" w:rsidRDefault="008C2801" w:rsidP="00E80EC8">
      <w:r>
        <w:separator/>
      </w:r>
    </w:p>
  </w:endnote>
  <w:endnote w:type="continuationSeparator" w:id="0">
    <w:p w:rsidR="008C2801" w:rsidRDefault="008C2801" w:rsidP="00E8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1003A87" w:usb1="00000000" w:usb2="00000000" w:usb3="00420000" w:csb0="006F006F" w:csb1="006D006B"/>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01" w:rsidRDefault="008C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01" w:rsidRDefault="008C2801" w:rsidP="00BE3931">
    <w:pPr>
      <w:tabs>
        <w:tab w:val="right" w:pos="9000"/>
      </w:tabs>
      <w:rPr>
        <w:noProof/>
      </w:rPr>
    </w:pPr>
    <w:r>
      <w:rPr>
        <w:noProof/>
      </w:rPr>
      <w:t>Direct Testimony of Bruce N. Williams</w:t>
    </w:r>
    <w:r>
      <w:rPr>
        <w:noProof/>
      </w:rPr>
      <w:tab/>
      <w:t>Exhibit No.___(BNW-1T)</w:t>
    </w:r>
  </w:p>
  <w:p w:rsidR="008C2801" w:rsidRDefault="008C2801" w:rsidP="00BE3931">
    <w:pPr>
      <w:spacing w:line="288" w:lineRule="auto"/>
      <w:jc w:val="right"/>
    </w:pPr>
    <w:r>
      <w:rPr>
        <w:noProof/>
      </w:rPr>
      <w:t xml:space="preserve">Page </w:t>
    </w:r>
    <w:r>
      <w:rPr>
        <w:noProof/>
      </w:rPr>
      <w:fldChar w:fldCharType="begin"/>
    </w:r>
    <w:r>
      <w:rPr>
        <w:noProof/>
      </w:rPr>
      <w:instrText xml:space="preserve"> PAGE   \* MERGEFORMAT </w:instrText>
    </w:r>
    <w:r>
      <w:rPr>
        <w:noProof/>
      </w:rPr>
      <w:fldChar w:fldCharType="separate"/>
    </w:r>
    <w:r w:rsidR="00065CC6">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01" w:rsidRDefault="008C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01" w:rsidRDefault="008C2801" w:rsidP="00E80EC8">
      <w:r>
        <w:separator/>
      </w:r>
    </w:p>
  </w:footnote>
  <w:footnote w:type="continuationSeparator" w:id="0">
    <w:p w:rsidR="008C2801" w:rsidRDefault="008C2801" w:rsidP="00E80EC8">
      <w:r>
        <w:continuationSeparator/>
      </w:r>
    </w:p>
  </w:footnote>
  <w:footnote w:id="1">
    <w:p w:rsidR="008C2801" w:rsidRDefault="008C2801">
      <w:pPr>
        <w:pStyle w:val="FootnoteText"/>
      </w:pPr>
      <w:r>
        <w:rPr>
          <w:rStyle w:val="FootnoteReference"/>
        </w:rPr>
        <w:footnoteRef/>
      </w:r>
      <w:r>
        <w:t xml:space="preserve"> The proposed hypothetical capital structure includes the 49.10 percent equity allowed in the currently approved capital structure, but updates the allowed capital structure for the refinancing of certain preferred stock and the addition of short-term debt.  The increase in equity costs using the hypothetical capital structure is analyzed by Mr. Strunk.  His conclusion is that a 49.10 percent equity ratio in the capital structure would increase the Company’s required cost of equity by 28 basis points.</w:t>
      </w:r>
    </w:p>
  </w:footnote>
  <w:footnote w:id="2">
    <w:p w:rsidR="008C2801" w:rsidRDefault="008C2801">
      <w:pPr>
        <w:pStyle w:val="FootnoteText"/>
      </w:pPr>
      <w:r>
        <w:rPr>
          <w:rStyle w:val="FootnoteReference"/>
        </w:rPr>
        <w:footnoteRef/>
      </w:r>
      <w:r>
        <w:t xml:space="preserve"> </w:t>
      </w:r>
      <w:proofErr w:type="gramStart"/>
      <w:r>
        <w:rPr>
          <w:i/>
        </w:rPr>
        <w:t xml:space="preserve">Wash. </w:t>
      </w:r>
      <w:proofErr w:type="spellStart"/>
      <w:r>
        <w:rPr>
          <w:i/>
        </w:rPr>
        <w:t>Utils</w:t>
      </w:r>
      <w:proofErr w:type="spellEnd"/>
      <w:r>
        <w:rPr>
          <w:i/>
        </w:rPr>
        <w:t>.</w:t>
      </w:r>
      <w:proofErr w:type="gramEnd"/>
      <w:r>
        <w:rPr>
          <w:i/>
        </w:rPr>
        <w:t xml:space="preserve"> &amp; Trans. </w:t>
      </w:r>
      <w:proofErr w:type="spellStart"/>
      <w:r>
        <w:rPr>
          <w:i/>
        </w:rPr>
        <w:t>Comm’n</w:t>
      </w:r>
      <w:proofErr w:type="spellEnd"/>
      <w:r>
        <w:rPr>
          <w:i/>
        </w:rPr>
        <w:t xml:space="preserve"> v. PacifiCorp d/b/a Pacific Power &amp; Light Company, </w:t>
      </w:r>
      <w:r>
        <w:t>Docket UE-130043, Order 05, ¶ 40 (Dec. 12, 2013).</w:t>
      </w:r>
    </w:p>
  </w:footnote>
  <w:footnote w:id="3">
    <w:p w:rsidR="008C2801" w:rsidRDefault="008C2801">
      <w:pPr>
        <w:pStyle w:val="FootnoteText"/>
      </w:pPr>
      <w:r>
        <w:rPr>
          <w:rStyle w:val="FootnoteReference"/>
        </w:rPr>
        <w:footnoteRef/>
      </w:r>
      <w:r>
        <w:t xml:space="preserve"> On April 30, 2014, MidAmerican Energy Holdings Company (MEHC) changed its name to Berkshire Hathaway Energy.</w:t>
      </w:r>
    </w:p>
  </w:footnote>
  <w:footnote w:id="4">
    <w:p w:rsidR="008C2801" w:rsidRDefault="008C2801" w:rsidP="007F2AC7">
      <w:pPr>
        <w:pStyle w:val="FootnoteText"/>
      </w:pPr>
      <w:r>
        <w:rPr>
          <w:rStyle w:val="FootnoteReference"/>
        </w:rPr>
        <w:footnoteRef/>
      </w:r>
      <w:r>
        <w:t xml:space="preserve"> For example, Fitch Ratings commented on Order 05, stating: “The allowed return, in Fitch’s opinion, is lower than the sector average of around 10%.”  Fitch Ratings, Mar. 10, 2014 (a copy is attached as Exhibit No.__</w:t>
      </w:r>
      <w:proofErr w:type="gramStart"/>
      <w:r>
        <w:t>_(</w:t>
      </w:r>
      <w:proofErr w:type="gramEnd"/>
      <w:r>
        <w:t>BNW-2)).  Regulatory Research Associates (RRA) similarly observed that the “</w:t>
      </w:r>
      <w:r>
        <w:rPr>
          <w:u w:val="single"/>
        </w:rPr>
        <w:t>authorized 9.5% return on equity (ROE) is significantly below the average of returns authorized electric utilities nationwide during 2013</w:t>
      </w:r>
      <w:r>
        <w:t xml:space="preserve">.”  </w:t>
      </w:r>
      <w:proofErr w:type="gramStart"/>
      <w:r>
        <w:rPr>
          <w:lang w:val="en"/>
        </w:rPr>
        <w:t>SNL Energy’s RRA Regulatory Focus, Final Report on Docket No.</w:t>
      </w:r>
      <w:proofErr w:type="gramEnd"/>
      <w:r>
        <w:rPr>
          <w:lang w:val="en"/>
        </w:rPr>
        <w:t xml:space="preserve"> </w:t>
      </w:r>
      <w:proofErr w:type="gramStart"/>
      <w:r>
        <w:rPr>
          <w:lang w:val="en"/>
        </w:rPr>
        <w:t>UE-130043 (Jan. 17, 2014) (emphasis added).</w:t>
      </w:r>
      <w:proofErr w:type="gramEnd"/>
      <w:r>
        <w:rPr>
          <w:lang w:val="en"/>
        </w:rPr>
        <w:t xml:space="preserve">  The RRA report is more extensively quoted in Mr. </w:t>
      </w:r>
      <w:proofErr w:type="spellStart"/>
      <w:r>
        <w:rPr>
          <w:lang w:val="en"/>
        </w:rPr>
        <w:t>Strunk’s</w:t>
      </w:r>
      <w:proofErr w:type="spellEnd"/>
      <w:r>
        <w:rPr>
          <w:lang w:val="en"/>
        </w:rPr>
        <w:t xml:space="preserve"> testimony.</w:t>
      </w:r>
    </w:p>
  </w:footnote>
  <w:footnote w:id="5">
    <w:p w:rsidR="008C2801" w:rsidRDefault="008C2801">
      <w:pPr>
        <w:pStyle w:val="FootnoteText"/>
      </w:pPr>
      <w:r>
        <w:rPr>
          <w:rStyle w:val="FootnoteReference"/>
        </w:rPr>
        <w:footnoteRef/>
      </w:r>
      <w:r>
        <w:t xml:space="preserve"> Docket UE-130043, Order 05, </w:t>
      </w:r>
      <w:proofErr w:type="gramStart"/>
      <w:r>
        <w:t>¶</w:t>
      </w:r>
      <w:proofErr w:type="gramEnd"/>
      <w:r>
        <w:t>41.</w:t>
      </w:r>
    </w:p>
  </w:footnote>
  <w:footnote w:id="6">
    <w:p w:rsidR="008C2801" w:rsidRDefault="008C2801">
      <w:pPr>
        <w:pStyle w:val="FootnoteText"/>
      </w:pPr>
      <w:r>
        <w:rPr>
          <w:rStyle w:val="FootnoteReference"/>
        </w:rPr>
        <w:footnoteRef/>
      </w:r>
      <w:r>
        <w:t xml:space="preserve"> </w:t>
      </w:r>
      <w:proofErr w:type="gramStart"/>
      <w:r>
        <w:t xml:space="preserve">Standard &amp; Poor’s, </w:t>
      </w:r>
      <w:r w:rsidRPr="00777213">
        <w:rPr>
          <w:i/>
        </w:rPr>
        <w:t>Assessing U.S. Investor-Owned Utility Regulatory Environments</w:t>
      </w:r>
      <w:r>
        <w:t xml:space="preserve"> at 5 (Jan. 7, 2014) (emphasis added).</w:t>
      </w:r>
      <w:proofErr w:type="gramEnd"/>
    </w:p>
  </w:footnote>
  <w:footnote w:id="7">
    <w:p w:rsidR="008C2801" w:rsidRDefault="008C2801" w:rsidP="00081450">
      <w:pPr>
        <w:pStyle w:val="FootnoteText"/>
      </w:pPr>
      <w:r>
        <w:rPr>
          <w:rStyle w:val="FootnoteReference"/>
        </w:rPr>
        <w:footnoteRef/>
      </w:r>
      <w:r>
        <w:t xml:space="preserve"> </w:t>
      </w:r>
      <w:proofErr w:type="gramStart"/>
      <w:r w:rsidRPr="00A442C8">
        <w:rPr>
          <w:i/>
        </w:rPr>
        <w:t>See, e.g.,</w:t>
      </w:r>
      <w:r>
        <w:t xml:space="preserve"> R. Morin, </w:t>
      </w:r>
      <w:r w:rsidRPr="00A442C8">
        <w:rPr>
          <w:i/>
        </w:rPr>
        <w:t>New Regulatory Finance</w:t>
      </w:r>
      <w:r>
        <w:t>, 63 (2006).</w:t>
      </w:r>
      <w:proofErr w:type="gramEnd"/>
    </w:p>
  </w:footnote>
  <w:footnote w:id="8">
    <w:p w:rsidR="008C2801" w:rsidRPr="00BF69C1" w:rsidRDefault="008C2801">
      <w:pPr>
        <w:pStyle w:val="FootnoteText"/>
      </w:pPr>
      <w:r>
        <w:rPr>
          <w:rStyle w:val="FootnoteReference"/>
        </w:rPr>
        <w:footnoteRef/>
      </w:r>
      <w:r>
        <w:t xml:space="preserve"> </w:t>
      </w:r>
      <w:r>
        <w:rPr>
          <w:i/>
        </w:rPr>
        <w:t>See</w:t>
      </w:r>
      <w:r>
        <w:t xml:space="preserve"> </w:t>
      </w:r>
      <w:r>
        <w:rPr>
          <w:i/>
        </w:rPr>
        <w:t xml:space="preserve">Wash. </w:t>
      </w:r>
      <w:proofErr w:type="spellStart"/>
      <w:r>
        <w:rPr>
          <w:i/>
        </w:rPr>
        <w:t>Utils</w:t>
      </w:r>
      <w:proofErr w:type="spellEnd"/>
      <w:r>
        <w:rPr>
          <w:i/>
        </w:rPr>
        <w:t xml:space="preserve">. &amp; Trans. Comm. v. </w:t>
      </w:r>
      <w:proofErr w:type="spellStart"/>
      <w:r>
        <w:rPr>
          <w:i/>
        </w:rPr>
        <w:t>Avista</w:t>
      </w:r>
      <w:proofErr w:type="spellEnd"/>
      <w:r>
        <w:t>,</w:t>
      </w:r>
      <w:r>
        <w:rPr>
          <w:i/>
        </w:rPr>
        <w:t xml:space="preserve"> </w:t>
      </w:r>
      <w:r>
        <w:t xml:space="preserve">Dockets UE-110876/UG-110877 and UE-120436/UG-120437, Order 09, ¶ 32 (Dec. 26, 2012).  </w:t>
      </w:r>
      <w:proofErr w:type="spellStart"/>
      <w:r>
        <w:t>Avista’s</w:t>
      </w:r>
      <w:proofErr w:type="spellEnd"/>
      <w:r>
        <w:t xml:space="preserve"> cost of debt includes both long-term and short-term debt.  The cost of only long-term debt would be higher than 5.72 percent.</w:t>
      </w:r>
    </w:p>
  </w:footnote>
  <w:footnote w:id="9">
    <w:p w:rsidR="008C2801" w:rsidRPr="00BF69C1" w:rsidRDefault="008C2801">
      <w:pPr>
        <w:pStyle w:val="FootnoteText"/>
      </w:pPr>
      <w:r>
        <w:rPr>
          <w:rStyle w:val="FootnoteReference"/>
        </w:rPr>
        <w:footnoteRef/>
      </w:r>
      <w:r>
        <w:t xml:space="preserve"> </w:t>
      </w:r>
      <w:r>
        <w:rPr>
          <w:i/>
        </w:rPr>
        <w:t xml:space="preserve">See Wash. </w:t>
      </w:r>
      <w:proofErr w:type="spellStart"/>
      <w:r>
        <w:rPr>
          <w:i/>
        </w:rPr>
        <w:t>Utils</w:t>
      </w:r>
      <w:proofErr w:type="spellEnd"/>
      <w:r>
        <w:rPr>
          <w:i/>
        </w:rPr>
        <w:t xml:space="preserve">. &amp; Trans. Comm. v. Puget Sound Energy, </w:t>
      </w:r>
      <w:r w:rsidRPr="00072106">
        <w:t>Dockets</w:t>
      </w:r>
      <w:r>
        <w:t xml:space="preserve"> UE-121697/UG-121705 and UE-130137/UG-130138, Order 07, ¶ 220 (June 25, 2013).</w:t>
      </w:r>
    </w:p>
  </w:footnote>
  <w:footnote w:id="10">
    <w:p w:rsidR="008C2801" w:rsidRPr="000C2349" w:rsidRDefault="008C2801" w:rsidP="000C2349">
      <w:pPr>
        <w:ind w:right="720"/>
        <w:jc w:val="both"/>
        <w:rPr>
          <w:szCs w:val="24"/>
        </w:rPr>
      </w:pPr>
      <w:r w:rsidRPr="0063130E">
        <w:rPr>
          <w:rStyle w:val="FootnoteReference"/>
          <w:sz w:val="20"/>
        </w:rPr>
        <w:footnoteRef/>
      </w:r>
      <w:r>
        <w:t xml:space="preserve"> </w:t>
      </w:r>
      <w:proofErr w:type="gramStart"/>
      <w:r w:rsidRPr="000C2349">
        <w:rPr>
          <w:sz w:val="20"/>
        </w:rPr>
        <w:t>Standard &amp; Poor’s Ratings Direct</w:t>
      </w:r>
      <w:r>
        <w:rPr>
          <w:sz w:val="20"/>
        </w:rPr>
        <w:t xml:space="preserve">, </w:t>
      </w:r>
      <w:r w:rsidRPr="00B07112">
        <w:rPr>
          <w:i/>
          <w:sz w:val="20"/>
        </w:rPr>
        <w:t>Key Credit Factors for the Regulated Utilities Industry</w:t>
      </w:r>
      <w:r w:rsidRPr="000C2349">
        <w:rPr>
          <w:sz w:val="20"/>
        </w:rPr>
        <w:t xml:space="preserve"> (</w:t>
      </w:r>
      <w:r>
        <w:rPr>
          <w:sz w:val="20"/>
        </w:rPr>
        <w:t>Nov. 19, 2013</w:t>
      </w:r>
      <w:r w:rsidRPr="000C2349">
        <w:rPr>
          <w:sz w:val="20"/>
        </w:rPr>
        <w:t>).</w:t>
      </w:r>
      <w:proofErr w:type="gramEnd"/>
    </w:p>
  </w:footnote>
  <w:footnote w:id="11">
    <w:p w:rsidR="008C2801" w:rsidRPr="000C2349" w:rsidRDefault="008C2801" w:rsidP="000C2349">
      <w:pPr>
        <w:ind w:right="720"/>
        <w:jc w:val="both"/>
        <w:rPr>
          <w:szCs w:val="24"/>
        </w:rPr>
      </w:pPr>
      <w:r w:rsidRPr="0063130E">
        <w:rPr>
          <w:rStyle w:val="FootnoteReference"/>
          <w:sz w:val="20"/>
        </w:rPr>
        <w:footnoteRef/>
      </w:r>
      <w:r>
        <w:t xml:space="preserve"> </w:t>
      </w:r>
      <w:r w:rsidRPr="000C2349">
        <w:rPr>
          <w:sz w:val="20"/>
          <w:szCs w:val="24"/>
        </w:rPr>
        <w:t>Moody</w:t>
      </w:r>
      <w:r>
        <w:rPr>
          <w:sz w:val="20"/>
          <w:szCs w:val="24"/>
        </w:rPr>
        <w:t>’</w:t>
      </w:r>
      <w:r w:rsidRPr="000C2349">
        <w:rPr>
          <w:sz w:val="20"/>
          <w:szCs w:val="24"/>
        </w:rPr>
        <w:t xml:space="preserve">s Investors Service </w:t>
      </w:r>
      <w:r>
        <w:rPr>
          <w:sz w:val="20"/>
          <w:szCs w:val="24"/>
        </w:rPr>
        <w:t xml:space="preserve">at 4, 9, 15 </w:t>
      </w:r>
      <w:r w:rsidRPr="000C2349">
        <w:rPr>
          <w:sz w:val="20"/>
          <w:szCs w:val="24"/>
        </w:rPr>
        <w:t>(Dec</w:t>
      </w:r>
      <w:r>
        <w:rPr>
          <w:sz w:val="20"/>
          <w:szCs w:val="24"/>
        </w:rPr>
        <w:t>.</w:t>
      </w:r>
      <w:r w:rsidRPr="000C2349">
        <w:rPr>
          <w:sz w:val="20"/>
          <w:szCs w:val="24"/>
        </w:rPr>
        <w:t xml:space="preserve"> 23, 2013).</w:t>
      </w:r>
    </w:p>
  </w:footnote>
  <w:footnote w:id="12">
    <w:p w:rsidR="008C2801" w:rsidRDefault="008C2801">
      <w:pPr>
        <w:pStyle w:val="FootnoteText"/>
      </w:pPr>
      <w:r>
        <w:rPr>
          <w:rStyle w:val="FootnoteReference"/>
        </w:rPr>
        <w:footnoteRef/>
      </w:r>
      <w:r>
        <w:t xml:space="preserve"> </w:t>
      </w:r>
      <w:r w:rsidRPr="00F03A4C">
        <w:t xml:space="preserve">Other utilities upgraded include </w:t>
      </w:r>
      <w:proofErr w:type="spellStart"/>
      <w:r w:rsidRPr="00F03A4C">
        <w:t>Avista</w:t>
      </w:r>
      <w:proofErr w:type="spellEnd"/>
      <w:r w:rsidRPr="00F03A4C">
        <w:t xml:space="preserve"> Corp.</w:t>
      </w:r>
      <w:r>
        <w:t>;</w:t>
      </w:r>
      <w:r w:rsidRPr="00F03A4C">
        <w:t xml:space="preserve"> Black Hills Corp. and Black Hills Power</w:t>
      </w:r>
      <w:r>
        <w:t>;</w:t>
      </w:r>
      <w:r w:rsidRPr="00F03A4C">
        <w:t xml:space="preserve"> </w:t>
      </w:r>
      <w:proofErr w:type="spellStart"/>
      <w:r w:rsidRPr="00F03A4C">
        <w:t>CenterPoint</w:t>
      </w:r>
      <w:proofErr w:type="spellEnd"/>
      <w:r w:rsidRPr="00F03A4C">
        <w:t xml:space="preserve"> Energy and </w:t>
      </w:r>
      <w:proofErr w:type="spellStart"/>
      <w:r w:rsidRPr="00F03A4C">
        <w:t>CenterPoint</w:t>
      </w:r>
      <w:proofErr w:type="spellEnd"/>
      <w:r w:rsidRPr="00F03A4C">
        <w:t xml:space="preserve"> Energy Houston Electric</w:t>
      </w:r>
      <w:r>
        <w:t>;</w:t>
      </w:r>
      <w:r w:rsidRPr="00F03A4C">
        <w:t xml:space="preserve"> Consolidated Edison and its subsidiaries, Alliant Energy and Wisconsin Power &amp; Light</w:t>
      </w:r>
      <w:r>
        <w:t>;</w:t>
      </w:r>
      <w:r w:rsidRPr="00F03A4C">
        <w:t xml:space="preserve"> PNM Resources and subsidiaries, Pinnacle West Capital Corporation and Arizona Public Service</w:t>
      </w:r>
      <w:r>
        <w:t>;</w:t>
      </w:r>
      <w:r w:rsidRPr="00F03A4C">
        <w:t xml:space="preserve"> Public Service Electric &amp; Gas</w:t>
      </w:r>
      <w:r>
        <w:t>;</w:t>
      </w:r>
      <w:r w:rsidRPr="00F03A4C">
        <w:t xml:space="preserve"> Virginia Electric and Power Company</w:t>
      </w:r>
      <w:r>
        <w:t>;</w:t>
      </w:r>
      <w:r w:rsidRPr="00F03A4C">
        <w:t xml:space="preserve"> Dominion Gas Holdings</w:t>
      </w:r>
      <w:r>
        <w:t>;</w:t>
      </w:r>
      <w:r w:rsidRPr="00F03A4C">
        <w:t xml:space="preserve"> Portland General Electric</w:t>
      </w:r>
      <w:r>
        <w:t xml:space="preserve"> Company;</w:t>
      </w:r>
      <w:r w:rsidRPr="00F03A4C">
        <w:t xml:space="preserve"> Sempra Energy’s subsidiaries, San Diego Gas &amp; Electric and Southern California Gas</w:t>
      </w:r>
      <w:r>
        <w:t>;</w:t>
      </w:r>
      <w:r w:rsidRPr="00F03A4C">
        <w:t xml:space="preserve"> TECO Energy and Tampa Electric</w:t>
      </w:r>
      <w:r>
        <w:t>;</w:t>
      </w:r>
      <w:r w:rsidRPr="00F03A4C">
        <w:t xml:space="preserve"> Edison International and Southern California Edison</w:t>
      </w:r>
      <w:r>
        <w:t>;</w:t>
      </w:r>
      <w:r w:rsidRPr="00F03A4C">
        <w:t xml:space="preserve"> Exelon's subsidiaries, Baltimore Gas &amp; Electric, Commonwealth Edison and PECO Energy</w:t>
      </w:r>
      <w:r>
        <w:t>;</w:t>
      </w:r>
      <w:r w:rsidRPr="00F03A4C">
        <w:t xml:space="preserve"> Florida Power &amp; Light</w:t>
      </w:r>
      <w:r>
        <w:t xml:space="preserve">; </w:t>
      </w:r>
      <w:r w:rsidRPr="00F03A4C">
        <w:t>and Puget Energy and its subsidiary, Puget Sound Energy.</w:t>
      </w:r>
    </w:p>
  </w:footnote>
  <w:footnote w:id="13">
    <w:p w:rsidR="008C2801" w:rsidRPr="00611E82" w:rsidRDefault="008C2801" w:rsidP="00742E2F">
      <w:pPr>
        <w:ind w:left="720" w:hanging="720"/>
        <w:jc w:val="both"/>
        <w:rPr>
          <w:b/>
          <w:szCs w:val="24"/>
        </w:rPr>
      </w:pPr>
      <w:r w:rsidRPr="0063130E">
        <w:rPr>
          <w:rStyle w:val="FootnoteReference"/>
          <w:sz w:val="20"/>
        </w:rPr>
        <w:footnoteRef/>
      </w:r>
      <w:r w:rsidRPr="0063130E">
        <w:rPr>
          <w:sz w:val="20"/>
        </w:rPr>
        <w:t xml:space="preserve"> </w:t>
      </w:r>
      <w:r w:rsidRPr="00611E82">
        <w:rPr>
          <w:sz w:val="20"/>
          <w:szCs w:val="24"/>
        </w:rPr>
        <w:t>Moody</w:t>
      </w:r>
      <w:r>
        <w:rPr>
          <w:sz w:val="20"/>
          <w:szCs w:val="24"/>
        </w:rPr>
        <w:t>’</w:t>
      </w:r>
      <w:r w:rsidRPr="00611E82">
        <w:rPr>
          <w:sz w:val="20"/>
          <w:szCs w:val="24"/>
        </w:rPr>
        <w:t>s Investors Service (Jan</w:t>
      </w:r>
      <w:r>
        <w:rPr>
          <w:sz w:val="20"/>
          <w:szCs w:val="24"/>
        </w:rPr>
        <w:t>.</w:t>
      </w:r>
      <w:r w:rsidRPr="00611E82">
        <w:rPr>
          <w:sz w:val="20"/>
          <w:szCs w:val="24"/>
        </w:rPr>
        <w:t xml:space="preserve"> 30, 2014)</w:t>
      </w:r>
      <w:r>
        <w:rPr>
          <w:sz w:val="20"/>
          <w:szCs w:val="24"/>
        </w:rPr>
        <w:t xml:space="preserve">.  A copy is </w:t>
      </w:r>
      <w:r w:rsidRPr="00611E82">
        <w:rPr>
          <w:sz w:val="20"/>
          <w:szCs w:val="24"/>
        </w:rPr>
        <w:t>attached as Exhibit</w:t>
      </w:r>
      <w:r>
        <w:rPr>
          <w:sz w:val="20"/>
          <w:szCs w:val="24"/>
        </w:rPr>
        <w:t xml:space="preserve"> No.</w:t>
      </w:r>
      <w:r w:rsidRPr="00611E82">
        <w:rPr>
          <w:sz w:val="20"/>
          <w:szCs w:val="24"/>
        </w:rPr>
        <w:t>__</w:t>
      </w:r>
      <w:proofErr w:type="gramStart"/>
      <w:r w:rsidRPr="00611E82">
        <w:rPr>
          <w:sz w:val="20"/>
          <w:szCs w:val="24"/>
        </w:rPr>
        <w:t>_(</w:t>
      </w:r>
      <w:proofErr w:type="gramEnd"/>
      <w:r w:rsidRPr="00611E82">
        <w:rPr>
          <w:sz w:val="20"/>
          <w:szCs w:val="24"/>
        </w:rPr>
        <w:t>BNW-</w:t>
      </w:r>
      <w:r>
        <w:rPr>
          <w:sz w:val="20"/>
          <w:szCs w:val="24"/>
        </w:rPr>
        <w:t>3</w:t>
      </w:r>
      <w:r w:rsidRPr="00611E82">
        <w:rPr>
          <w:sz w:val="20"/>
          <w:szCs w:val="24"/>
        </w:rPr>
        <w:t>).</w:t>
      </w:r>
    </w:p>
  </w:footnote>
  <w:footnote w:id="14">
    <w:p w:rsidR="008C2801" w:rsidRPr="00611E82" w:rsidRDefault="008C2801" w:rsidP="00611E82">
      <w:pPr>
        <w:ind w:left="720" w:hanging="720"/>
        <w:jc w:val="both"/>
        <w:rPr>
          <w:b/>
          <w:szCs w:val="24"/>
        </w:rPr>
      </w:pPr>
      <w:r w:rsidRPr="0063130E">
        <w:rPr>
          <w:rStyle w:val="FootnoteReference"/>
          <w:sz w:val="20"/>
        </w:rPr>
        <w:footnoteRef/>
      </w:r>
      <w:r w:rsidRPr="0063130E">
        <w:rPr>
          <w:sz w:val="20"/>
        </w:rPr>
        <w:t xml:space="preserve"> </w:t>
      </w:r>
      <w:r>
        <w:rPr>
          <w:i/>
          <w:sz w:val="20"/>
          <w:szCs w:val="24"/>
        </w:rPr>
        <w:t>Id.</w:t>
      </w:r>
    </w:p>
  </w:footnote>
  <w:footnote w:id="15">
    <w:p w:rsidR="008C2801" w:rsidRDefault="008C2801">
      <w:pPr>
        <w:pStyle w:val="FootnoteText"/>
      </w:pPr>
      <w:r>
        <w:rPr>
          <w:rStyle w:val="FootnoteReference"/>
        </w:rPr>
        <w:footnoteRef/>
      </w:r>
      <w:r>
        <w:t xml:space="preserve"> S&amp;P Capital IQ (Nov. 6, 2013).</w:t>
      </w:r>
    </w:p>
  </w:footnote>
  <w:footnote w:id="16">
    <w:p w:rsidR="008C2801" w:rsidRDefault="008C2801">
      <w:pPr>
        <w:pStyle w:val="FootnoteText"/>
      </w:pPr>
      <w:r>
        <w:rPr>
          <w:rStyle w:val="FootnoteReference"/>
        </w:rPr>
        <w:footnoteRef/>
      </w:r>
      <w:r>
        <w:t xml:space="preserve"> S&amp;P Capital IQ (Dec. 6, 2013).</w:t>
      </w:r>
    </w:p>
  </w:footnote>
  <w:footnote w:id="17">
    <w:p w:rsidR="008C2801" w:rsidRPr="00611E82" w:rsidRDefault="008C2801" w:rsidP="00611E82">
      <w:pPr>
        <w:ind w:left="720" w:hanging="720"/>
        <w:jc w:val="both"/>
        <w:rPr>
          <w:szCs w:val="24"/>
        </w:rPr>
      </w:pPr>
      <w:r w:rsidRPr="0063130E">
        <w:rPr>
          <w:rStyle w:val="FootnoteReference"/>
          <w:sz w:val="20"/>
        </w:rPr>
        <w:footnoteRef/>
      </w:r>
      <w:r w:rsidRPr="0063130E">
        <w:rPr>
          <w:sz w:val="20"/>
        </w:rPr>
        <w:t xml:space="preserve"> </w:t>
      </w:r>
      <w:r w:rsidRPr="00611E82">
        <w:rPr>
          <w:sz w:val="20"/>
        </w:rPr>
        <w:t>Fitch Ratings (Sept</w:t>
      </w:r>
      <w:r>
        <w:rPr>
          <w:sz w:val="20"/>
        </w:rPr>
        <w:t>.</w:t>
      </w:r>
      <w:r w:rsidRPr="00611E82">
        <w:rPr>
          <w:sz w:val="20"/>
        </w:rPr>
        <w:t xml:space="preserve"> 16, 2013)</w:t>
      </w:r>
      <w:r>
        <w:rPr>
          <w:sz w:val="20"/>
        </w:rPr>
        <w:t>,</w:t>
      </w:r>
      <w:r w:rsidRPr="00611E82">
        <w:rPr>
          <w:sz w:val="20"/>
        </w:rPr>
        <w:t xml:space="preserve"> att</w:t>
      </w:r>
      <w:r>
        <w:rPr>
          <w:sz w:val="20"/>
        </w:rPr>
        <w:t>ached as Exhibit No.</w:t>
      </w:r>
      <w:r w:rsidRPr="00611E82">
        <w:rPr>
          <w:sz w:val="20"/>
        </w:rPr>
        <w:t>__</w:t>
      </w:r>
      <w:proofErr w:type="gramStart"/>
      <w:r w:rsidRPr="00611E82">
        <w:rPr>
          <w:sz w:val="20"/>
        </w:rPr>
        <w:t>_(</w:t>
      </w:r>
      <w:proofErr w:type="gramEnd"/>
      <w:r w:rsidRPr="00611E82">
        <w:rPr>
          <w:sz w:val="20"/>
        </w:rPr>
        <w:t>BNW-</w:t>
      </w:r>
      <w:r>
        <w:rPr>
          <w:sz w:val="20"/>
        </w:rPr>
        <w:t>4</w:t>
      </w:r>
      <w:r w:rsidRPr="00611E82">
        <w:rPr>
          <w:sz w:val="20"/>
        </w:rPr>
        <w:t>).</w:t>
      </w:r>
    </w:p>
  </w:footnote>
  <w:footnote w:id="18">
    <w:p w:rsidR="008C2801" w:rsidRDefault="008C2801" w:rsidP="009349B0">
      <w:pPr>
        <w:pStyle w:val="FootnoteText"/>
        <w:jc w:val="both"/>
      </w:pPr>
      <w:r>
        <w:rPr>
          <w:rStyle w:val="FootnoteReference"/>
        </w:rPr>
        <w:footnoteRef/>
      </w:r>
      <w:r>
        <w:t xml:space="preserve"> </w:t>
      </w:r>
      <w:r w:rsidRPr="009349B0">
        <w:t>Fitch Ratings (Jan</w:t>
      </w:r>
      <w:r>
        <w:t>.</w:t>
      </w:r>
      <w:r w:rsidRPr="009349B0">
        <w:t xml:space="preserve"> 6, 2011), attached as Exhibit </w:t>
      </w:r>
      <w:r>
        <w:t>No.</w:t>
      </w:r>
      <w:r w:rsidRPr="009349B0">
        <w:t>__</w:t>
      </w:r>
      <w:proofErr w:type="gramStart"/>
      <w:r w:rsidRPr="009349B0">
        <w:t>_(</w:t>
      </w:r>
      <w:proofErr w:type="gramEnd"/>
      <w:r w:rsidRPr="009349B0">
        <w:t>BNW-</w:t>
      </w:r>
      <w:r>
        <w:t>5</w:t>
      </w:r>
      <w:r w:rsidRPr="009349B0">
        <w:t>).</w:t>
      </w:r>
    </w:p>
  </w:footnote>
  <w:footnote w:id="19">
    <w:p w:rsidR="008C2801" w:rsidRDefault="008C2801">
      <w:pPr>
        <w:pStyle w:val="FootnoteText"/>
      </w:pPr>
      <w:r>
        <w:rPr>
          <w:rStyle w:val="FootnoteReference"/>
        </w:rPr>
        <w:footnoteRef/>
      </w:r>
      <w:r>
        <w:t xml:space="preserve"> </w:t>
      </w:r>
      <w:r w:rsidRPr="00C04A68">
        <w:rPr>
          <w:szCs w:val="24"/>
        </w:rPr>
        <w:t>Moody’s Investors Service (May 8, 2013),</w:t>
      </w:r>
      <w:r>
        <w:rPr>
          <w:szCs w:val="24"/>
        </w:rPr>
        <w:t xml:space="preserve"> attached as</w:t>
      </w:r>
      <w:r w:rsidRPr="00C04A68">
        <w:rPr>
          <w:szCs w:val="24"/>
        </w:rPr>
        <w:t xml:space="preserve"> Exhibit </w:t>
      </w:r>
      <w:r>
        <w:rPr>
          <w:szCs w:val="24"/>
        </w:rPr>
        <w:t>No.__</w:t>
      </w:r>
      <w:proofErr w:type="gramStart"/>
      <w:r>
        <w:rPr>
          <w:szCs w:val="24"/>
        </w:rPr>
        <w:t>_(</w:t>
      </w:r>
      <w:proofErr w:type="gramEnd"/>
      <w:r>
        <w:rPr>
          <w:szCs w:val="24"/>
        </w:rPr>
        <w:t>BNW-6).</w:t>
      </w:r>
    </w:p>
  </w:footnote>
  <w:footnote w:id="20">
    <w:p w:rsidR="008C2801" w:rsidRDefault="008C2801">
      <w:pPr>
        <w:pStyle w:val="FootnoteText"/>
      </w:pPr>
      <w:r>
        <w:rPr>
          <w:rStyle w:val="FootnoteReference"/>
        </w:rPr>
        <w:footnoteRef/>
      </w:r>
      <w:r>
        <w:t xml:space="preserve"> </w:t>
      </w:r>
      <w:r w:rsidRPr="00A36B7E">
        <w:rPr>
          <w:i/>
          <w:szCs w:val="24"/>
        </w:rPr>
        <w:t>Id</w:t>
      </w:r>
      <w:r>
        <w:rPr>
          <w:szCs w:val="24"/>
        </w:rPr>
        <w:t>.</w:t>
      </w:r>
    </w:p>
  </w:footnote>
  <w:footnote w:id="21">
    <w:p w:rsidR="008C2801" w:rsidRDefault="008C2801">
      <w:pPr>
        <w:pStyle w:val="FootnoteText"/>
      </w:pPr>
      <w:r>
        <w:rPr>
          <w:rStyle w:val="FootnoteReference"/>
        </w:rPr>
        <w:footnoteRef/>
      </w:r>
      <w:r>
        <w:t xml:space="preserve"> </w:t>
      </w:r>
      <w:r w:rsidRPr="00A36B7E">
        <w:rPr>
          <w:i/>
        </w:rPr>
        <w:t>Id</w:t>
      </w:r>
      <w:r>
        <w:t>.</w:t>
      </w:r>
    </w:p>
  </w:footnote>
  <w:footnote w:id="22">
    <w:p w:rsidR="008C2801" w:rsidRDefault="008C2801">
      <w:pPr>
        <w:pStyle w:val="FootnoteText"/>
      </w:pPr>
      <w:r>
        <w:rPr>
          <w:rStyle w:val="FootnoteReference"/>
        </w:rPr>
        <w:footnoteRef/>
      </w:r>
      <w:r>
        <w:t xml:space="preserve"> </w:t>
      </w:r>
      <w:r w:rsidRPr="009349B0">
        <w:t>Standard &amp; Poor’s Ratings Direct (Apr</w:t>
      </w:r>
      <w:r>
        <w:t>.</w:t>
      </w:r>
      <w:r w:rsidRPr="009349B0">
        <w:t xml:space="preserve"> 29</w:t>
      </w:r>
      <w:r>
        <w:t>, 2013), attached as Exhibit No.</w:t>
      </w:r>
      <w:r w:rsidRPr="009349B0">
        <w:t>__</w:t>
      </w:r>
      <w:proofErr w:type="gramStart"/>
      <w:r w:rsidRPr="009349B0">
        <w:t>_(</w:t>
      </w:r>
      <w:proofErr w:type="gramEnd"/>
      <w:r w:rsidRPr="009349B0">
        <w:t>BNW-</w:t>
      </w:r>
      <w:r>
        <w:t>7</w:t>
      </w:r>
      <w:r w:rsidRPr="009349B0">
        <w:t>).</w:t>
      </w:r>
    </w:p>
  </w:footnote>
  <w:footnote w:id="23">
    <w:p w:rsidR="008C2801" w:rsidRDefault="008C2801">
      <w:pPr>
        <w:pStyle w:val="FootnoteText"/>
      </w:pPr>
      <w:r>
        <w:rPr>
          <w:rStyle w:val="FootnoteReference"/>
        </w:rPr>
        <w:footnoteRef/>
      </w:r>
      <w:r>
        <w:t xml:space="preserve"> </w:t>
      </w:r>
      <w:r w:rsidRPr="009349B0">
        <w:t>Standard &amp; Poor’s Ratings Direct (</w:t>
      </w:r>
      <w:r>
        <w:t>Mar. 31</w:t>
      </w:r>
      <w:r w:rsidRPr="009349B0">
        <w:t>, 201</w:t>
      </w:r>
      <w:r>
        <w:t>4</w:t>
      </w:r>
      <w:r w:rsidRPr="009349B0">
        <w:t xml:space="preserve">), attached as Exhibit </w:t>
      </w:r>
      <w:r>
        <w:t>No.</w:t>
      </w:r>
      <w:r w:rsidRPr="009349B0">
        <w:t>__</w:t>
      </w:r>
      <w:proofErr w:type="gramStart"/>
      <w:r w:rsidRPr="009349B0">
        <w:t>_(</w:t>
      </w:r>
      <w:proofErr w:type="gramEnd"/>
      <w:r w:rsidRPr="009349B0">
        <w:t>BNW-</w:t>
      </w:r>
      <w:r>
        <w:t>8</w:t>
      </w:r>
      <w:r w:rsidRPr="009349B0">
        <w:t>).</w:t>
      </w:r>
    </w:p>
  </w:footnote>
  <w:footnote w:id="24">
    <w:p w:rsidR="008C2801" w:rsidRDefault="008C2801" w:rsidP="00DB63F7">
      <w:pPr>
        <w:pStyle w:val="FootnoteText"/>
      </w:pPr>
      <w:r>
        <w:rPr>
          <w:rStyle w:val="FootnoteReference"/>
        </w:rPr>
        <w:footnoteRef/>
      </w:r>
      <w:r>
        <w:t xml:space="preserve"> Standard &amp; Poor’s Ratings Direct (Oct. 23, 2012), attached as Exhibit No.__</w:t>
      </w:r>
      <w:proofErr w:type="gramStart"/>
      <w:r>
        <w:t>_(</w:t>
      </w:r>
      <w:proofErr w:type="gramEnd"/>
      <w:r>
        <w:t>BNW-9).</w:t>
      </w:r>
    </w:p>
  </w:footnote>
  <w:footnote w:id="25">
    <w:p w:rsidR="008C2801" w:rsidRDefault="008C2801" w:rsidP="00DB63F7">
      <w:pPr>
        <w:pStyle w:val="FootnoteText"/>
      </w:pPr>
      <w:r>
        <w:rPr>
          <w:rStyle w:val="FootnoteReference"/>
        </w:rPr>
        <w:footnoteRef/>
      </w:r>
      <w:r>
        <w:t xml:space="preserve"> Moody’s Investor Service (May 8, 2012), attached as Exhibit No.__</w:t>
      </w:r>
      <w:proofErr w:type="gramStart"/>
      <w:r>
        <w:t>_(</w:t>
      </w:r>
      <w:proofErr w:type="gramEnd"/>
      <w:r>
        <w:t>BNW-10).</w:t>
      </w:r>
    </w:p>
  </w:footnote>
  <w:footnote w:id="26">
    <w:p w:rsidR="008C2801" w:rsidRDefault="008C2801" w:rsidP="00DB63F7">
      <w:pPr>
        <w:pStyle w:val="FootnoteText"/>
      </w:pPr>
      <w:r>
        <w:rPr>
          <w:rStyle w:val="FootnoteReference"/>
        </w:rPr>
        <w:footnoteRef/>
      </w:r>
      <w:r>
        <w:t xml:space="preserve"> Fitch Ratings (Mar. 10, 2014), attached as Exhibit No.__</w:t>
      </w:r>
      <w:proofErr w:type="gramStart"/>
      <w:r>
        <w:t>_(</w:t>
      </w:r>
      <w:proofErr w:type="gramEnd"/>
      <w:r>
        <w:t>BNW-2).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01" w:rsidRDefault="008C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01" w:rsidRDefault="008C2801" w:rsidP="00BE3931">
    <w:pPr>
      <w:spacing w:line="288"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01" w:rsidRDefault="008C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D47"/>
    <w:multiLevelType w:val="hybridMultilevel"/>
    <w:tmpl w:val="4B3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43778"/>
    <w:multiLevelType w:val="hybridMultilevel"/>
    <w:tmpl w:val="69EE6FE2"/>
    <w:lvl w:ilvl="0" w:tplc="4C829A98">
      <w:start w:val="1"/>
      <w:numFmt w:val="upperLetter"/>
      <w:lvlText w:val="%1."/>
      <w:lvlJc w:val="left"/>
      <w:pPr>
        <w:tabs>
          <w:tab w:val="num" w:pos="7560"/>
        </w:tabs>
        <w:ind w:hanging="360"/>
      </w:pPr>
      <w:rPr>
        <w:rFonts w:cs="Times New Roman" w:hint="default"/>
      </w:rPr>
    </w:lvl>
    <w:lvl w:ilvl="1" w:tplc="04090019" w:tentative="1">
      <w:start w:val="1"/>
      <w:numFmt w:val="lowerLetter"/>
      <w:lvlText w:val="%2."/>
      <w:lvlJc w:val="left"/>
      <w:pPr>
        <w:tabs>
          <w:tab w:val="num" w:pos="8280"/>
        </w:tabs>
        <w:ind w:left="8280" w:hanging="360"/>
      </w:pPr>
      <w:rPr>
        <w:rFonts w:cs="Times New Roman"/>
      </w:rPr>
    </w:lvl>
    <w:lvl w:ilvl="2" w:tplc="0409001B" w:tentative="1">
      <w:start w:val="1"/>
      <w:numFmt w:val="lowerRoman"/>
      <w:lvlText w:val="%3."/>
      <w:lvlJc w:val="right"/>
      <w:pPr>
        <w:tabs>
          <w:tab w:val="num" w:pos="9000"/>
        </w:tabs>
        <w:ind w:left="9000" w:hanging="180"/>
      </w:pPr>
      <w:rPr>
        <w:rFonts w:cs="Times New Roman"/>
      </w:rPr>
    </w:lvl>
    <w:lvl w:ilvl="3" w:tplc="0409000F" w:tentative="1">
      <w:start w:val="1"/>
      <w:numFmt w:val="decimal"/>
      <w:lvlText w:val="%4."/>
      <w:lvlJc w:val="left"/>
      <w:pPr>
        <w:tabs>
          <w:tab w:val="num" w:pos="9720"/>
        </w:tabs>
        <w:ind w:left="9720" w:hanging="360"/>
      </w:pPr>
      <w:rPr>
        <w:rFonts w:cs="Times New Roman"/>
      </w:rPr>
    </w:lvl>
    <w:lvl w:ilvl="4" w:tplc="04090019" w:tentative="1">
      <w:start w:val="1"/>
      <w:numFmt w:val="lowerLetter"/>
      <w:lvlText w:val="%5."/>
      <w:lvlJc w:val="left"/>
      <w:pPr>
        <w:tabs>
          <w:tab w:val="num" w:pos="10440"/>
        </w:tabs>
        <w:ind w:left="10440" w:hanging="360"/>
      </w:pPr>
      <w:rPr>
        <w:rFonts w:cs="Times New Roman"/>
      </w:rPr>
    </w:lvl>
    <w:lvl w:ilvl="5" w:tplc="0409001B" w:tentative="1">
      <w:start w:val="1"/>
      <w:numFmt w:val="lowerRoman"/>
      <w:lvlText w:val="%6."/>
      <w:lvlJc w:val="right"/>
      <w:pPr>
        <w:tabs>
          <w:tab w:val="num" w:pos="11160"/>
        </w:tabs>
        <w:ind w:left="11160" w:hanging="180"/>
      </w:pPr>
      <w:rPr>
        <w:rFonts w:cs="Times New Roman"/>
      </w:rPr>
    </w:lvl>
    <w:lvl w:ilvl="6" w:tplc="0409000F" w:tentative="1">
      <w:start w:val="1"/>
      <w:numFmt w:val="decimal"/>
      <w:lvlText w:val="%7."/>
      <w:lvlJc w:val="left"/>
      <w:pPr>
        <w:tabs>
          <w:tab w:val="num" w:pos="11880"/>
        </w:tabs>
        <w:ind w:left="11880" w:hanging="360"/>
      </w:pPr>
      <w:rPr>
        <w:rFonts w:cs="Times New Roman"/>
      </w:rPr>
    </w:lvl>
    <w:lvl w:ilvl="7" w:tplc="04090019" w:tentative="1">
      <w:start w:val="1"/>
      <w:numFmt w:val="lowerLetter"/>
      <w:lvlText w:val="%8."/>
      <w:lvlJc w:val="left"/>
      <w:pPr>
        <w:tabs>
          <w:tab w:val="num" w:pos="12600"/>
        </w:tabs>
        <w:ind w:left="12600" w:hanging="360"/>
      </w:pPr>
      <w:rPr>
        <w:rFonts w:cs="Times New Roman"/>
      </w:rPr>
    </w:lvl>
    <w:lvl w:ilvl="8" w:tplc="0409001B" w:tentative="1">
      <w:start w:val="1"/>
      <w:numFmt w:val="lowerRoman"/>
      <w:lvlText w:val="%9."/>
      <w:lvlJc w:val="right"/>
      <w:pPr>
        <w:tabs>
          <w:tab w:val="num" w:pos="13320"/>
        </w:tabs>
        <w:ind w:left="13320" w:hanging="180"/>
      </w:pPr>
      <w:rPr>
        <w:rFonts w:cs="Times New Roman"/>
      </w:rPr>
    </w:lvl>
  </w:abstractNum>
  <w:abstractNum w:abstractNumId="2">
    <w:nsid w:val="22CB729F"/>
    <w:multiLevelType w:val="hybridMultilevel"/>
    <w:tmpl w:val="144E418E"/>
    <w:lvl w:ilvl="0" w:tplc="57C491A0">
      <w:start w:val="1"/>
      <w:numFmt w:val="upperLetter"/>
      <w:lvlText w:val="%1."/>
      <w:lvlJc w:val="left"/>
      <w:pPr>
        <w:ind w:left="720" w:hanging="720"/>
      </w:pPr>
    </w:lvl>
    <w:lvl w:ilvl="1" w:tplc="4DC84328">
      <w:numFmt w:val="decimal"/>
      <w:lvlText w:val=""/>
      <w:lvlJc w:val="left"/>
    </w:lvl>
    <w:lvl w:ilvl="2" w:tplc="E8383F9C">
      <w:numFmt w:val="decimal"/>
      <w:lvlText w:val=""/>
      <w:lvlJc w:val="left"/>
    </w:lvl>
    <w:lvl w:ilvl="3" w:tplc="CFCEC918">
      <w:numFmt w:val="decimal"/>
      <w:lvlText w:val=""/>
      <w:lvlJc w:val="left"/>
    </w:lvl>
    <w:lvl w:ilvl="4" w:tplc="2424C462">
      <w:numFmt w:val="decimal"/>
      <w:lvlText w:val=""/>
      <w:lvlJc w:val="left"/>
    </w:lvl>
    <w:lvl w:ilvl="5" w:tplc="60E49056">
      <w:numFmt w:val="decimal"/>
      <w:lvlText w:val=""/>
      <w:lvlJc w:val="left"/>
    </w:lvl>
    <w:lvl w:ilvl="6" w:tplc="BA722254">
      <w:numFmt w:val="decimal"/>
      <w:lvlText w:val=""/>
      <w:lvlJc w:val="left"/>
    </w:lvl>
    <w:lvl w:ilvl="7" w:tplc="60BA24C4">
      <w:numFmt w:val="decimal"/>
      <w:lvlText w:val=""/>
      <w:lvlJc w:val="left"/>
    </w:lvl>
    <w:lvl w:ilvl="8" w:tplc="D75A1302">
      <w:numFmt w:val="decimal"/>
      <w:lvlText w:val=""/>
      <w:lvlJc w:val="left"/>
    </w:lvl>
  </w:abstractNum>
  <w:abstractNum w:abstractNumId="3">
    <w:nsid w:val="31EA1970"/>
    <w:multiLevelType w:val="hybridMultilevel"/>
    <w:tmpl w:val="2CBEE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B1084"/>
    <w:multiLevelType w:val="hybridMultilevel"/>
    <w:tmpl w:val="B60EEA3A"/>
    <w:lvl w:ilvl="0" w:tplc="65FCE430">
      <w:start w:val="1"/>
      <w:numFmt w:val="upperLetter"/>
      <w:lvlText w:val="%1."/>
      <w:lvlJc w:val="left"/>
      <w:pPr>
        <w:ind w:left="720" w:hanging="720"/>
      </w:pPr>
    </w:lvl>
    <w:lvl w:ilvl="1" w:tplc="83DE60C8">
      <w:numFmt w:val="decimal"/>
      <w:lvlText w:val=""/>
      <w:lvlJc w:val="left"/>
    </w:lvl>
    <w:lvl w:ilvl="2" w:tplc="6A802A24">
      <w:numFmt w:val="decimal"/>
      <w:lvlText w:val=""/>
      <w:lvlJc w:val="left"/>
    </w:lvl>
    <w:lvl w:ilvl="3" w:tplc="1ED053B2">
      <w:numFmt w:val="decimal"/>
      <w:lvlText w:val=""/>
      <w:lvlJc w:val="left"/>
    </w:lvl>
    <w:lvl w:ilvl="4" w:tplc="607E2822">
      <w:numFmt w:val="decimal"/>
      <w:lvlText w:val=""/>
      <w:lvlJc w:val="left"/>
    </w:lvl>
    <w:lvl w:ilvl="5" w:tplc="19D42CD2">
      <w:numFmt w:val="decimal"/>
      <w:lvlText w:val=""/>
      <w:lvlJc w:val="left"/>
    </w:lvl>
    <w:lvl w:ilvl="6" w:tplc="C5E44D04">
      <w:numFmt w:val="decimal"/>
      <w:lvlText w:val=""/>
      <w:lvlJc w:val="left"/>
    </w:lvl>
    <w:lvl w:ilvl="7" w:tplc="237CA3BE">
      <w:numFmt w:val="decimal"/>
      <w:lvlText w:val=""/>
      <w:lvlJc w:val="left"/>
    </w:lvl>
    <w:lvl w:ilvl="8" w:tplc="2912E6B8">
      <w:numFmt w:val="decimal"/>
      <w:lvlText w:val=""/>
      <w:lvlJc w:val="left"/>
    </w:lvl>
  </w:abstractNum>
  <w:abstractNum w:abstractNumId="5">
    <w:nsid w:val="47F00C44"/>
    <w:multiLevelType w:val="hybridMultilevel"/>
    <w:tmpl w:val="9056AE24"/>
    <w:lvl w:ilvl="0" w:tplc="3B20B310">
      <w:start w:val="1"/>
      <w:numFmt w:val="upperLetter"/>
      <w:lvlText w:val="%1."/>
      <w:lvlJc w:val="left"/>
      <w:pPr>
        <w:ind w:left="720" w:hanging="720"/>
      </w:pPr>
    </w:lvl>
    <w:lvl w:ilvl="1" w:tplc="0494FD6C">
      <w:numFmt w:val="decimal"/>
      <w:lvlText w:val=""/>
      <w:lvlJc w:val="left"/>
    </w:lvl>
    <w:lvl w:ilvl="2" w:tplc="AC5A72F2">
      <w:numFmt w:val="decimal"/>
      <w:lvlText w:val=""/>
      <w:lvlJc w:val="left"/>
    </w:lvl>
    <w:lvl w:ilvl="3" w:tplc="50BEFD3E">
      <w:numFmt w:val="decimal"/>
      <w:lvlText w:val=""/>
      <w:lvlJc w:val="left"/>
    </w:lvl>
    <w:lvl w:ilvl="4" w:tplc="E93EA09C">
      <w:numFmt w:val="decimal"/>
      <w:lvlText w:val=""/>
      <w:lvlJc w:val="left"/>
    </w:lvl>
    <w:lvl w:ilvl="5" w:tplc="3094E768">
      <w:numFmt w:val="decimal"/>
      <w:lvlText w:val=""/>
      <w:lvlJc w:val="left"/>
    </w:lvl>
    <w:lvl w:ilvl="6" w:tplc="37C87FFA">
      <w:numFmt w:val="decimal"/>
      <w:lvlText w:val=""/>
      <w:lvlJc w:val="left"/>
    </w:lvl>
    <w:lvl w:ilvl="7" w:tplc="07AE22E2">
      <w:numFmt w:val="decimal"/>
      <w:lvlText w:val=""/>
      <w:lvlJc w:val="left"/>
    </w:lvl>
    <w:lvl w:ilvl="8" w:tplc="AAF05B96">
      <w:numFmt w:val="decimal"/>
      <w:lvlText w:val=""/>
      <w:lvlJc w:val="left"/>
    </w:lvl>
  </w:abstractNum>
  <w:abstractNum w:abstractNumId="6">
    <w:nsid w:val="533267D5"/>
    <w:multiLevelType w:val="hybridMultilevel"/>
    <w:tmpl w:val="4F62F8BE"/>
    <w:lvl w:ilvl="0" w:tplc="58FE6844">
      <w:start w:val="1"/>
      <w:numFmt w:val="upperLetter"/>
      <w:lvlText w:val="%1."/>
      <w:lvlJc w:val="left"/>
      <w:pPr>
        <w:ind w:left="720" w:hanging="720"/>
      </w:pPr>
    </w:lvl>
    <w:lvl w:ilvl="1" w:tplc="5DC4BFB0">
      <w:numFmt w:val="decimal"/>
      <w:lvlText w:val=""/>
      <w:lvlJc w:val="left"/>
    </w:lvl>
    <w:lvl w:ilvl="2" w:tplc="72F6AA9C">
      <w:numFmt w:val="decimal"/>
      <w:lvlText w:val=""/>
      <w:lvlJc w:val="left"/>
    </w:lvl>
    <w:lvl w:ilvl="3" w:tplc="D2B4CB7E">
      <w:numFmt w:val="decimal"/>
      <w:lvlText w:val=""/>
      <w:lvlJc w:val="left"/>
    </w:lvl>
    <w:lvl w:ilvl="4" w:tplc="5FC0DDBC">
      <w:numFmt w:val="decimal"/>
      <w:lvlText w:val=""/>
      <w:lvlJc w:val="left"/>
    </w:lvl>
    <w:lvl w:ilvl="5" w:tplc="17FC77B4">
      <w:numFmt w:val="decimal"/>
      <w:lvlText w:val=""/>
      <w:lvlJc w:val="left"/>
    </w:lvl>
    <w:lvl w:ilvl="6" w:tplc="D15A26A8">
      <w:numFmt w:val="decimal"/>
      <w:lvlText w:val=""/>
      <w:lvlJc w:val="left"/>
    </w:lvl>
    <w:lvl w:ilvl="7" w:tplc="6AA6E058">
      <w:numFmt w:val="decimal"/>
      <w:lvlText w:val=""/>
      <w:lvlJc w:val="left"/>
    </w:lvl>
    <w:lvl w:ilvl="8" w:tplc="40345FB8">
      <w:numFmt w:val="decimal"/>
      <w:lvlText w:val=""/>
      <w:lvlJc w:val="left"/>
    </w:lvl>
  </w:abstractNum>
  <w:abstractNum w:abstractNumId="7">
    <w:nsid w:val="65FD5655"/>
    <w:multiLevelType w:val="hybridMultilevel"/>
    <w:tmpl w:val="91DE574E"/>
    <w:lvl w:ilvl="0" w:tplc="CC0445D2">
      <w:start w:val="1"/>
      <w:numFmt w:val="upperLetter"/>
      <w:lvlText w:val="%1."/>
      <w:lvlJc w:val="left"/>
      <w:pPr>
        <w:ind w:left="720" w:hanging="820"/>
      </w:pPr>
    </w:lvl>
    <w:lvl w:ilvl="1" w:tplc="F77605BE">
      <w:numFmt w:val="decimal"/>
      <w:lvlText w:val=""/>
      <w:lvlJc w:val="left"/>
    </w:lvl>
    <w:lvl w:ilvl="2" w:tplc="882EBD8C">
      <w:numFmt w:val="decimal"/>
      <w:lvlText w:val=""/>
      <w:lvlJc w:val="left"/>
    </w:lvl>
    <w:lvl w:ilvl="3" w:tplc="169842BC">
      <w:numFmt w:val="decimal"/>
      <w:lvlText w:val=""/>
      <w:lvlJc w:val="left"/>
    </w:lvl>
    <w:lvl w:ilvl="4" w:tplc="A3DE0C6C">
      <w:numFmt w:val="decimal"/>
      <w:lvlText w:val=""/>
      <w:lvlJc w:val="left"/>
    </w:lvl>
    <w:lvl w:ilvl="5" w:tplc="D7CE9F9C">
      <w:numFmt w:val="decimal"/>
      <w:lvlText w:val=""/>
      <w:lvlJc w:val="left"/>
    </w:lvl>
    <w:lvl w:ilvl="6" w:tplc="A77E3502">
      <w:numFmt w:val="decimal"/>
      <w:lvlText w:val=""/>
      <w:lvlJc w:val="left"/>
    </w:lvl>
    <w:lvl w:ilvl="7" w:tplc="DE36467A">
      <w:numFmt w:val="decimal"/>
      <w:lvlText w:val=""/>
      <w:lvlJc w:val="left"/>
    </w:lvl>
    <w:lvl w:ilvl="8" w:tplc="0496491A">
      <w:numFmt w:val="decimal"/>
      <w:lvlText w:val=""/>
      <w:lvlJc w:val="left"/>
    </w:lvl>
  </w:abstractNum>
  <w:abstractNum w:abstractNumId="8">
    <w:nsid w:val="699A7F0E"/>
    <w:multiLevelType w:val="hybridMultilevel"/>
    <w:tmpl w:val="0248E67E"/>
    <w:lvl w:ilvl="0" w:tplc="FB766882">
      <w:start w:val="1"/>
      <w:numFmt w:val="upperLetter"/>
      <w:lvlText w:val="%1."/>
      <w:lvlJc w:val="left"/>
      <w:pPr>
        <w:ind w:left="720" w:hanging="720"/>
      </w:pPr>
    </w:lvl>
    <w:lvl w:ilvl="1" w:tplc="CDE683E4">
      <w:numFmt w:val="decimal"/>
      <w:lvlText w:val=""/>
      <w:lvlJc w:val="left"/>
    </w:lvl>
    <w:lvl w:ilvl="2" w:tplc="27323736">
      <w:numFmt w:val="decimal"/>
      <w:lvlText w:val=""/>
      <w:lvlJc w:val="left"/>
    </w:lvl>
    <w:lvl w:ilvl="3" w:tplc="9E141162">
      <w:numFmt w:val="decimal"/>
      <w:lvlText w:val=""/>
      <w:lvlJc w:val="left"/>
    </w:lvl>
    <w:lvl w:ilvl="4" w:tplc="249833DA">
      <w:numFmt w:val="decimal"/>
      <w:lvlText w:val=""/>
      <w:lvlJc w:val="left"/>
    </w:lvl>
    <w:lvl w:ilvl="5" w:tplc="930219FC">
      <w:numFmt w:val="decimal"/>
      <w:lvlText w:val=""/>
      <w:lvlJc w:val="left"/>
    </w:lvl>
    <w:lvl w:ilvl="6" w:tplc="360485E2">
      <w:numFmt w:val="decimal"/>
      <w:lvlText w:val=""/>
      <w:lvlJc w:val="left"/>
    </w:lvl>
    <w:lvl w:ilvl="7" w:tplc="8D7C6A5A">
      <w:numFmt w:val="decimal"/>
      <w:lvlText w:val=""/>
      <w:lvlJc w:val="left"/>
    </w:lvl>
    <w:lvl w:ilvl="8" w:tplc="616E4FF4">
      <w:numFmt w:val="decimal"/>
      <w:lvlText w:val=""/>
      <w:lvlJc w:val="left"/>
    </w:lvl>
  </w:abstractNum>
  <w:abstractNum w:abstractNumId="9">
    <w:nsid w:val="6FAD10A6"/>
    <w:multiLevelType w:val="hybridMultilevel"/>
    <w:tmpl w:val="DBA4C18A"/>
    <w:lvl w:ilvl="0" w:tplc="64C0AB30">
      <w:start w:val="1"/>
      <w:numFmt w:val="upperLetter"/>
      <w:lvlText w:val="%1."/>
      <w:lvlJc w:val="left"/>
      <w:pPr>
        <w:ind w:left="720" w:hanging="720"/>
      </w:pPr>
    </w:lvl>
    <w:lvl w:ilvl="1" w:tplc="C632FDE6">
      <w:numFmt w:val="decimal"/>
      <w:lvlText w:val=""/>
      <w:lvlJc w:val="left"/>
    </w:lvl>
    <w:lvl w:ilvl="2" w:tplc="27C63540">
      <w:numFmt w:val="decimal"/>
      <w:lvlText w:val=""/>
      <w:lvlJc w:val="left"/>
    </w:lvl>
    <w:lvl w:ilvl="3" w:tplc="4F34EBFE">
      <w:numFmt w:val="decimal"/>
      <w:lvlText w:val=""/>
      <w:lvlJc w:val="left"/>
    </w:lvl>
    <w:lvl w:ilvl="4" w:tplc="17C0987A">
      <w:numFmt w:val="decimal"/>
      <w:lvlText w:val=""/>
      <w:lvlJc w:val="left"/>
    </w:lvl>
    <w:lvl w:ilvl="5" w:tplc="FE8A80E8">
      <w:numFmt w:val="decimal"/>
      <w:lvlText w:val=""/>
      <w:lvlJc w:val="left"/>
    </w:lvl>
    <w:lvl w:ilvl="6" w:tplc="D0B44426">
      <w:numFmt w:val="decimal"/>
      <w:lvlText w:val=""/>
      <w:lvlJc w:val="left"/>
    </w:lvl>
    <w:lvl w:ilvl="7" w:tplc="DD9AE828">
      <w:numFmt w:val="decimal"/>
      <w:lvlText w:val=""/>
      <w:lvlJc w:val="left"/>
    </w:lvl>
    <w:lvl w:ilvl="8" w:tplc="E0A24FB4">
      <w:numFmt w:val="decimal"/>
      <w:lvlText w:val=""/>
      <w:lvlJc w:val="left"/>
    </w:lvl>
  </w:abstractNum>
  <w:num w:numId="1">
    <w:abstractNumId w:val="5"/>
  </w:num>
  <w:num w:numId="2">
    <w:abstractNumId w:val="9"/>
  </w:num>
  <w:num w:numId="3">
    <w:abstractNumId w:val="2"/>
  </w:num>
  <w:num w:numId="4">
    <w:abstractNumId w:val="6"/>
  </w:num>
  <w:num w:numId="5">
    <w:abstractNumId w:val="4"/>
  </w:num>
  <w:num w:numId="6">
    <w:abstractNumId w:val="8"/>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5E"/>
    <w:rsid w:val="00013586"/>
    <w:rsid w:val="00014E2D"/>
    <w:rsid w:val="00015B7E"/>
    <w:rsid w:val="000162B0"/>
    <w:rsid w:val="00026C9E"/>
    <w:rsid w:val="000307C0"/>
    <w:rsid w:val="00040D62"/>
    <w:rsid w:val="00044DFF"/>
    <w:rsid w:val="0004637A"/>
    <w:rsid w:val="00065CC6"/>
    <w:rsid w:val="000661D8"/>
    <w:rsid w:val="00072106"/>
    <w:rsid w:val="00081450"/>
    <w:rsid w:val="00087412"/>
    <w:rsid w:val="00090361"/>
    <w:rsid w:val="0009403B"/>
    <w:rsid w:val="00095F72"/>
    <w:rsid w:val="000C0033"/>
    <w:rsid w:val="000C0939"/>
    <w:rsid w:val="000C2349"/>
    <w:rsid w:val="000C28A3"/>
    <w:rsid w:val="000C6E8A"/>
    <w:rsid w:val="000D6428"/>
    <w:rsid w:val="000E0593"/>
    <w:rsid w:val="000E0A04"/>
    <w:rsid w:val="000E62A8"/>
    <w:rsid w:val="00101B15"/>
    <w:rsid w:val="001035AE"/>
    <w:rsid w:val="001039A9"/>
    <w:rsid w:val="001040F8"/>
    <w:rsid w:val="001072D5"/>
    <w:rsid w:val="001416FD"/>
    <w:rsid w:val="001463B1"/>
    <w:rsid w:val="001539F4"/>
    <w:rsid w:val="001566B7"/>
    <w:rsid w:val="00170CBB"/>
    <w:rsid w:val="00187634"/>
    <w:rsid w:val="001924EA"/>
    <w:rsid w:val="001A1FFA"/>
    <w:rsid w:val="001B3CE8"/>
    <w:rsid w:val="001C0923"/>
    <w:rsid w:val="001E5B0E"/>
    <w:rsid w:val="001F742F"/>
    <w:rsid w:val="00202CB9"/>
    <w:rsid w:val="0022765D"/>
    <w:rsid w:val="00236D0E"/>
    <w:rsid w:val="002371F4"/>
    <w:rsid w:val="00241F82"/>
    <w:rsid w:val="00244F1B"/>
    <w:rsid w:val="002530A4"/>
    <w:rsid w:val="0026367E"/>
    <w:rsid w:val="0027144E"/>
    <w:rsid w:val="002777DD"/>
    <w:rsid w:val="00280A53"/>
    <w:rsid w:val="002862D2"/>
    <w:rsid w:val="00286BF2"/>
    <w:rsid w:val="002900E6"/>
    <w:rsid w:val="00292F3A"/>
    <w:rsid w:val="00294878"/>
    <w:rsid w:val="002A143E"/>
    <w:rsid w:val="002A1B28"/>
    <w:rsid w:val="002A2391"/>
    <w:rsid w:val="002B076C"/>
    <w:rsid w:val="002B3A90"/>
    <w:rsid w:val="002C4F5B"/>
    <w:rsid w:val="002E02FA"/>
    <w:rsid w:val="002E3751"/>
    <w:rsid w:val="002E7E4C"/>
    <w:rsid w:val="00302D66"/>
    <w:rsid w:val="00316661"/>
    <w:rsid w:val="00316F81"/>
    <w:rsid w:val="00320B61"/>
    <w:rsid w:val="00327F73"/>
    <w:rsid w:val="003378B4"/>
    <w:rsid w:val="003419C5"/>
    <w:rsid w:val="00351E81"/>
    <w:rsid w:val="00367D03"/>
    <w:rsid w:val="003874A8"/>
    <w:rsid w:val="0039563B"/>
    <w:rsid w:val="003A7667"/>
    <w:rsid w:val="003B5DB8"/>
    <w:rsid w:val="003D655E"/>
    <w:rsid w:val="003D76BB"/>
    <w:rsid w:val="003F0A87"/>
    <w:rsid w:val="003F36C6"/>
    <w:rsid w:val="003F4377"/>
    <w:rsid w:val="003F4EC0"/>
    <w:rsid w:val="003F5902"/>
    <w:rsid w:val="0043313E"/>
    <w:rsid w:val="004379D0"/>
    <w:rsid w:val="0044087C"/>
    <w:rsid w:val="004413E1"/>
    <w:rsid w:val="004451C9"/>
    <w:rsid w:val="004471A2"/>
    <w:rsid w:val="0045372C"/>
    <w:rsid w:val="00461862"/>
    <w:rsid w:val="00474509"/>
    <w:rsid w:val="004915B7"/>
    <w:rsid w:val="004A4A6D"/>
    <w:rsid w:val="004D2EBF"/>
    <w:rsid w:val="004E4155"/>
    <w:rsid w:val="004E6D88"/>
    <w:rsid w:val="00503932"/>
    <w:rsid w:val="005116F3"/>
    <w:rsid w:val="005253A7"/>
    <w:rsid w:val="00530DBD"/>
    <w:rsid w:val="00530FAD"/>
    <w:rsid w:val="00533646"/>
    <w:rsid w:val="00534BCC"/>
    <w:rsid w:val="0054435C"/>
    <w:rsid w:val="00550458"/>
    <w:rsid w:val="005617D4"/>
    <w:rsid w:val="00562381"/>
    <w:rsid w:val="005629E2"/>
    <w:rsid w:val="0056367B"/>
    <w:rsid w:val="005A2093"/>
    <w:rsid w:val="005A6662"/>
    <w:rsid w:val="005C6670"/>
    <w:rsid w:val="005E17FA"/>
    <w:rsid w:val="005E7C6A"/>
    <w:rsid w:val="005F3560"/>
    <w:rsid w:val="00600EDF"/>
    <w:rsid w:val="00602932"/>
    <w:rsid w:val="00605234"/>
    <w:rsid w:val="00611E82"/>
    <w:rsid w:val="00620C30"/>
    <w:rsid w:val="006241FA"/>
    <w:rsid w:val="00627002"/>
    <w:rsid w:val="00630471"/>
    <w:rsid w:val="0063130E"/>
    <w:rsid w:val="00653D5F"/>
    <w:rsid w:val="00657106"/>
    <w:rsid w:val="00670D93"/>
    <w:rsid w:val="00674810"/>
    <w:rsid w:val="00675121"/>
    <w:rsid w:val="006754F9"/>
    <w:rsid w:val="00681C44"/>
    <w:rsid w:val="006825FC"/>
    <w:rsid w:val="00686C4C"/>
    <w:rsid w:val="00687138"/>
    <w:rsid w:val="00692FDE"/>
    <w:rsid w:val="00693AAD"/>
    <w:rsid w:val="006A1F3A"/>
    <w:rsid w:val="006C1204"/>
    <w:rsid w:val="006C1ACD"/>
    <w:rsid w:val="006C337E"/>
    <w:rsid w:val="006D00B1"/>
    <w:rsid w:val="006D4D1B"/>
    <w:rsid w:val="006E3FBF"/>
    <w:rsid w:val="006E45DE"/>
    <w:rsid w:val="006E5CED"/>
    <w:rsid w:val="006F1DEC"/>
    <w:rsid w:val="007007D9"/>
    <w:rsid w:val="0070294E"/>
    <w:rsid w:val="0070314C"/>
    <w:rsid w:val="007060C0"/>
    <w:rsid w:val="007117DF"/>
    <w:rsid w:val="007132D4"/>
    <w:rsid w:val="00715646"/>
    <w:rsid w:val="00716A09"/>
    <w:rsid w:val="00716A14"/>
    <w:rsid w:val="007241D9"/>
    <w:rsid w:val="00727E45"/>
    <w:rsid w:val="00735AC0"/>
    <w:rsid w:val="00741E9D"/>
    <w:rsid w:val="00742E2F"/>
    <w:rsid w:val="00745914"/>
    <w:rsid w:val="00747B35"/>
    <w:rsid w:val="007501D2"/>
    <w:rsid w:val="007529E2"/>
    <w:rsid w:val="00766F08"/>
    <w:rsid w:val="007703EC"/>
    <w:rsid w:val="00777213"/>
    <w:rsid w:val="007825AB"/>
    <w:rsid w:val="00782DBB"/>
    <w:rsid w:val="0078559D"/>
    <w:rsid w:val="007A1165"/>
    <w:rsid w:val="007B3530"/>
    <w:rsid w:val="007B3FBB"/>
    <w:rsid w:val="007B6BA1"/>
    <w:rsid w:val="007D006F"/>
    <w:rsid w:val="007D1503"/>
    <w:rsid w:val="007E1A3B"/>
    <w:rsid w:val="007E7B3E"/>
    <w:rsid w:val="007F0C64"/>
    <w:rsid w:val="007F279D"/>
    <w:rsid w:val="007F2AC7"/>
    <w:rsid w:val="00801550"/>
    <w:rsid w:val="00801BDF"/>
    <w:rsid w:val="00832DD0"/>
    <w:rsid w:val="00836A20"/>
    <w:rsid w:val="00840457"/>
    <w:rsid w:val="00845E05"/>
    <w:rsid w:val="00857FD7"/>
    <w:rsid w:val="00862809"/>
    <w:rsid w:val="008631B7"/>
    <w:rsid w:val="008802E2"/>
    <w:rsid w:val="008833DB"/>
    <w:rsid w:val="008859B8"/>
    <w:rsid w:val="00892A63"/>
    <w:rsid w:val="008970C2"/>
    <w:rsid w:val="008A0193"/>
    <w:rsid w:val="008B252D"/>
    <w:rsid w:val="008B28E5"/>
    <w:rsid w:val="008B4EA7"/>
    <w:rsid w:val="008B6CAE"/>
    <w:rsid w:val="008C2801"/>
    <w:rsid w:val="008F6FC5"/>
    <w:rsid w:val="009019B4"/>
    <w:rsid w:val="0090293D"/>
    <w:rsid w:val="00905C52"/>
    <w:rsid w:val="00924289"/>
    <w:rsid w:val="0093118D"/>
    <w:rsid w:val="009349B0"/>
    <w:rsid w:val="00941D5C"/>
    <w:rsid w:val="0094388B"/>
    <w:rsid w:val="00953F61"/>
    <w:rsid w:val="00955131"/>
    <w:rsid w:val="00957CB3"/>
    <w:rsid w:val="00965486"/>
    <w:rsid w:val="00974419"/>
    <w:rsid w:val="00994DF7"/>
    <w:rsid w:val="009A610B"/>
    <w:rsid w:val="009A6E05"/>
    <w:rsid w:val="009B5DD9"/>
    <w:rsid w:val="009C4421"/>
    <w:rsid w:val="009D27F5"/>
    <w:rsid w:val="009E1F64"/>
    <w:rsid w:val="009F31B8"/>
    <w:rsid w:val="00A003EE"/>
    <w:rsid w:val="00A02B1E"/>
    <w:rsid w:val="00A139EC"/>
    <w:rsid w:val="00A17440"/>
    <w:rsid w:val="00A30E0F"/>
    <w:rsid w:val="00A354DE"/>
    <w:rsid w:val="00A36B7E"/>
    <w:rsid w:val="00A37794"/>
    <w:rsid w:val="00A442C8"/>
    <w:rsid w:val="00A5523E"/>
    <w:rsid w:val="00A56F90"/>
    <w:rsid w:val="00A614E3"/>
    <w:rsid w:val="00A7065A"/>
    <w:rsid w:val="00A9550A"/>
    <w:rsid w:val="00A96CA7"/>
    <w:rsid w:val="00AB2F06"/>
    <w:rsid w:val="00AC55BF"/>
    <w:rsid w:val="00AD332A"/>
    <w:rsid w:val="00AE607D"/>
    <w:rsid w:val="00AE64CC"/>
    <w:rsid w:val="00AF2B10"/>
    <w:rsid w:val="00AF47B9"/>
    <w:rsid w:val="00B07112"/>
    <w:rsid w:val="00B300D4"/>
    <w:rsid w:val="00B42A80"/>
    <w:rsid w:val="00B46A81"/>
    <w:rsid w:val="00B550BE"/>
    <w:rsid w:val="00B56064"/>
    <w:rsid w:val="00B562AE"/>
    <w:rsid w:val="00B66586"/>
    <w:rsid w:val="00B719F0"/>
    <w:rsid w:val="00B86A59"/>
    <w:rsid w:val="00B95E78"/>
    <w:rsid w:val="00B97677"/>
    <w:rsid w:val="00BA1B64"/>
    <w:rsid w:val="00BA4DBC"/>
    <w:rsid w:val="00BA60D2"/>
    <w:rsid w:val="00BA7B78"/>
    <w:rsid w:val="00BB2E61"/>
    <w:rsid w:val="00BB5AEB"/>
    <w:rsid w:val="00BD6434"/>
    <w:rsid w:val="00BE3931"/>
    <w:rsid w:val="00BF63DF"/>
    <w:rsid w:val="00BF69C1"/>
    <w:rsid w:val="00BF7D7E"/>
    <w:rsid w:val="00C05CAB"/>
    <w:rsid w:val="00C11B15"/>
    <w:rsid w:val="00C204BB"/>
    <w:rsid w:val="00C21740"/>
    <w:rsid w:val="00C300D1"/>
    <w:rsid w:val="00C52C93"/>
    <w:rsid w:val="00C70C95"/>
    <w:rsid w:val="00C8104A"/>
    <w:rsid w:val="00C82A7A"/>
    <w:rsid w:val="00C82B48"/>
    <w:rsid w:val="00C862ED"/>
    <w:rsid w:val="00C955C4"/>
    <w:rsid w:val="00CA07A3"/>
    <w:rsid w:val="00CD482D"/>
    <w:rsid w:val="00CF3149"/>
    <w:rsid w:val="00CF5AD3"/>
    <w:rsid w:val="00D13361"/>
    <w:rsid w:val="00D17838"/>
    <w:rsid w:val="00D21A35"/>
    <w:rsid w:val="00D23D11"/>
    <w:rsid w:val="00D3310D"/>
    <w:rsid w:val="00D5089C"/>
    <w:rsid w:val="00D5129F"/>
    <w:rsid w:val="00D537F1"/>
    <w:rsid w:val="00D53FD6"/>
    <w:rsid w:val="00D654F4"/>
    <w:rsid w:val="00D812CC"/>
    <w:rsid w:val="00DA000A"/>
    <w:rsid w:val="00DB1C31"/>
    <w:rsid w:val="00DB63F7"/>
    <w:rsid w:val="00DC16F7"/>
    <w:rsid w:val="00DC5AA0"/>
    <w:rsid w:val="00DC66EA"/>
    <w:rsid w:val="00DE0439"/>
    <w:rsid w:val="00DE0C09"/>
    <w:rsid w:val="00DF1FD6"/>
    <w:rsid w:val="00DF3088"/>
    <w:rsid w:val="00E15897"/>
    <w:rsid w:val="00E2704E"/>
    <w:rsid w:val="00E301EC"/>
    <w:rsid w:val="00E30989"/>
    <w:rsid w:val="00E3317E"/>
    <w:rsid w:val="00E375C4"/>
    <w:rsid w:val="00E452E3"/>
    <w:rsid w:val="00E63399"/>
    <w:rsid w:val="00E6571E"/>
    <w:rsid w:val="00E66996"/>
    <w:rsid w:val="00E72384"/>
    <w:rsid w:val="00E80EC8"/>
    <w:rsid w:val="00E94458"/>
    <w:rsid w:val="00E94F8D"/>
    <w:rsid w:val="00EE07C2"/>
    <w:rsid w:val="00EE399C"/>
    <w:rsid w:val="00EE6764"/>
    <w:rsid w:val="00EE717D"/>
    <w:rsid w:val="00EF27D9"/>
    <w:rsid w:val="00F0288E"/>
    <w:rsid w:val="00F03A4C"/>
    <w:rsid w:val="00F03D34"/>
    <w:rsid w:val="00F235C7"/>
    <w:rsid w:val="00F24178"/>
    <w:rsid w:val="00F30218"/>
    <w:rsid w:val="00F328E8"/>
    <w:rsid w:val="00F434BB"/>
    <w:rsid w:val="00F50CC5"/>
    <w:rsid w:val="00F53942"/>
    <w:rsid w:val="00F70CBB"/>
    <w:rsid w:val="00F71678"/>
    <w:rsid w:val="00F80CEA"/>
    <w:rsid w:val="00F86594"/>
    <w:rsid w:val="00F96C96"/>
    <w:rsid w:val="00FA5496"/>
    <w:rsid w:val="00FB4677"/>
    <w:rsid w:val="00FB69C7"/>
    <w:rsid w:val="00FC2871"/>
    <w:rsid w:val="00FE0E8B"/>
    <w:rsid w:val="00FE6315"/>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D2"/>
    <w:pPr>
      <w:spacing w:after="0" w:line="240" w:lineRule="auto"/>
    </w:pPr>
    <w:rPr>
      <w:rFonts w:ascii="Times New Roman" w:eastAsia="Times New Roman" w:hAnsi="Times New Roman" w:cs="Times New Roman"/>
      <w:kern w:val="16"/>
      <w:sz w:val="24"/>
      <w:szCs w:val="20"/>
    </w:rPr>
  </w:style>
  <w:style w:type="paragraph" w:styleId="Heading1">
    <w:name w:val="heading 1"/>
    <w:basedOn w:val="Normal"/>
    <w:next w:val="Normal"/>
    <w:link w:val="Heading1Char"/>
    <w:uiPriority w:val="9"/>
    <w:qFormat/>
    <w:rsid w:val="002862D2"/>
    <w:pPr>
      <w:keepNext/>
      <w:keepLines/>
      <w:spacing w:line="480" w:lineRule="auto"/>
      <w:jc w:val="center"/>
      <w:outlineLvl w:val="0"/>
    </w:pPr>
    <w:rPr>
      <w:rFonts w:ascii="Times New Roman Bold" w:eastAsiaTheme="majorEastAsia" w:hAnsi="Times New Roman Bold"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63399"/>
    <w:rPr>
      <w:rFonts w:ascii="Times New Roman" w:hAnsi="Times New Roman"/>
      <w:sz w:val="24"/>
    </w:rPr>
  </w:style>
  <w:style w:type="paragraph" w:styleId="Header">
    <w:name w:val="header"/>
    <w:basedOn w:val="Normal"/>
    <w:link w:val="HeaderChar"/>
    <w:uiPriority w:val="99"/>
    <w:unhideWhenUsed/>
    <w:rsid w:val="00E80EC8"/>
    <w:pPr>
      <w:tabs>
        <w:tab w:val="center" w:pos="4680"/>
        <w:tab w:val="right" w:pos="9360"/>
      </w:tabs>
    </w:pPr>
  </w:style>
  <w:style w:type="character" w:customStyle="1" w:styleId="HeaderChar">
    <w:name w:val="Header Char"/>
    <w:basedOn w:val="DefaultParagraphFont"/>
    <w:link w:val="Header"/>
    <w:uiPriority w:val="99"/>
    <w:rsid w:val="00E80EC8"/>
    <w:rPr>
      <w:rFonts w:ascii="Times New Roman" w:eastAsia="Times New Roman" w:hAnsi="Times New Roman" w:cs="Times New Roman"/>
      <w:kern w:val="16"/>
      <w:sz w:val="24"/>
      <w:szCs w:val="20"/>
    </w:rPr>
  </w:style>
  <w:style w:type="paragraph" w:styleId="Footer">
    <w:name w:val="footer"/>
    <w:basedOn w:val="Normal"/>
    <w:link w:val="FooterChar"/>
    <w:uiPriority w:val="99"/>
    <w:unhideWhenUsed/>
    <w:rsid w:val="00E80EC8"/>
    <w:pPr>
      <w:tabs>
        <w:tab w:val="center" w:pos="4680"/>
        <w:tab w:val="right" w:pos="9360"/>
      </w:tabs>
    </w:pPr>
  </w:style>
  <w:style w:type="character" w:customStyle="1" w:styleId="FooterChar">
    <w:name w:val="Footer Char"/>
    <w:basedOn w:val="DefaultParagraphFont"/>
    <w:link w:val="Footer"/>
    <w:uiPriority w:val="99"/>
    <w:rsid w:val="00E80EC8"/>
    <w:rPr>
      <w:rFonts w:ascii="Times New Roman" w:eastAsia="Times New Roman" w:hAnsi="Times New Roman" w:cs="Times New Roman"/>
      <w:kern w:val="16"/>
      <w:sz w:val="24"/>
      <w:szCs w:val="20"/>
    </w:rPr>
  </w:style>
  <w:style w:type="paragraph" w:styleId="FootnoteText">
    <w:name w:val="footnote text"/>
    <w:basedOn w:val="Normal"/>
    <w:link w:val="FootnoteTextChar"/>
    <w:uiPriority w:val="99"/>
    <w:semiHidden/>
    <w:unhideWhenUsed/>
    <w:rsid w:val="000C2349"/>
    <w:rPr>
      <w:sz w:val="20"/>
    </w:rPr>
  </w:style>
  <w:style w:type="character" w:customStyle="1" w:styleId="FootnoteTextChar">
    <w:name w:val="Footnote Text Char"/>
    <w:basedOn w:val="DefaultParagraphFont"/>
    <w:link w:val="FootnoteText"/>
    <w:uiPriority w:val="99"/>
    <w:semiHidden/>
    <w:rsid w:val="000C2349"/>
    <w:rPr>
      <w:rFonts w:ascii="Times New Roman" w:eastAsia="Times New Roman" w:hAnsi="Times New Roman" w:cs="Times New Roman"/>
      <w:kern w:val="16"/>
      <w:sz w:val="20"/>
      <w:szCs w:val="20"/>
    </w:rPr>
  </w:style>
  <w:style w:type="character" w:styleId="FootnoteReference">
    <w:name w:val="footnote reference"/>
    <w:basedOn w:val="DefaultParagraphFont"/>
    <w:uiPriority w:val="99"/>
    <w:semiHidden/>
    <w:unhideWhenUsed/>
    <w:rsid w:val="000C2349"/>
    <w:rPr>
      <w:vertAlign w:val="superscript"/>
    </w:rPr>
  </w:style>
  <w:style w:type="paragraph" w:styleId="BalloonText">
    <w:name w:val="Balloon Text"/>
    <w:basedOn w:val="Normal"/>
    <w:link w:val="BalloonTextChar"/>
    <w:uiPriority w:val="99"/>
    <w:semiHidden/>
    <w:unhideWhenUsed/>
    <w:rsid w:val="007F0C64"/>
    <w:rPr>
      <w:rFonts w:ascii="Tahoma" w:hAnsi="Tahoma" w:cs="Tahoma"/>
      <w:sz w:val="16"/>
      <w:szCs w:val="16"/>
    </w:rPr>
  </w:style>
  <w:style w:type="character" w:customStyle="1" w:styleId="BalloonTextChar">
    <w:name w:val="Balloon Text Char"/>
    <w:basedOn w:val="DefaultParagraphFont"/>
    <w:link w:val="BalloonText"/>
    <w:uiPriority w:val="99"/>
    <w:semiHidden/>
    <w:rsid w:val="007F0C64"/>
    <w:rPr>
      <w:rFonts w:ascii="Tahoma" w:eastAsia="Times New Roman" w:hAnsi="Tahoma" w:cs="Tahoma"/>
      <w:kern w:val="16"/>
      <w:sz w:val="16"/>
      <w:szCs w:val="16"/>
    </w:rPr>
  </w:style>
  <w:style w:type="table" w:customStyle="1" w:styleId="TableGrid2">
    <w:name w:val="Table Grid2"/>
    <w:basedOn w:val="TableNormal"/>
    <w:next w:val="TableGrid"/>
    <w:uiPriority w:val="59"/>
    <w:rsid w:val="005E17FA"/>
    <w:pPr>
      <w:spacing w:after="0" w:line="240" w:lineRule="auto"/>
    </w:pPr>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E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44F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02932"/>
    <w:rPr>
      <w:sz w:val="20"/>
    </w:rPr>
  </w:style>
  <w:style w:type="character" w:customStyle="1" w:styleId="EndnoteTextChar">
    <w:name w:val="Endnote Text Char"/>
    <w:basedOn w:val="DefaultParagraphFont"/>
    <w:link w:val="EndnoteText"/>
    <w:uiPriority w:val="99"/>
    <w:semiHidden/>
    <w:rsid w:val="00602932"/>
    <w:rPr>
      <w:rFonts w:ascii="Times New Roman" w:eastAsia="Times New Roman" w:hAnsi="Times New Roman" w:cs="Times New Roman"/>
      <w:kern w:val="16"/>
      <w:sz w:val="20"/>
      <w:szCs w:val="20"/>
    </w:rPr>
  </w:style>
  <w:style w:type="character" w:styleId="EndnoteReference">
    <w:name w:val="endnote reference"/>
    <w:basedOn w:val="DefaultParagraphFont"/>
    <w:uiPriority w:val="99"/>
    <w:semiHidden/>
    <w:unhideWhenUsed/>
    <w:rsid w:val="00602932"/>
    <w:rPr>
      <w:vertAlign w:val="superscript"/>
    </w:rPr>
  </w:style>
  <w:style w:type="character" w:styleId="CommentReference">
    <w:name w:val="annotation reference"/>
    <w:basedOn w:val="DefaultParagraphFont"/>
    <w:uiPriority w:val="99"/>
    <w:semiHidden/>
    <w:unhideWhenUsed/>
    <w:rsid w:val="00170CBB"/>
    <w:rPr>
      <w:sz w:val="16"/>
      <w:szCs w:val="16"/>
    </w:rPr>
  </w:style>
  <w:style w:type="paragraph" w:styleId="CommentText">
    <w:name w:val="annotation text"/>
    <w:basedOn w:val="Normal"/>
    <w:link w:val="CommentTextChar"/>
    <w:uiPriority w:val="99"/>
    <w:semiHidden/>
    <w:unhideWhenUsed/>
    <w:rsid w:val="00170CBB"/>
    <w:rPr>
      <w:sz w:val="20"/>
    </w:rPr>
  </w:style>
  <w:style w:type="character" w:customStyle="1" w:styleId="CommentTextChar">
    <w:name w:val="Comment Text Char"/>
    <w:basedOn w:val="DefaultParagraphFont"/>
    <w:link w:val="CommentText"/>
    <w:uiPriority w:val="99"/>
    <w:semiHidden/>
    <w:rsid w:val="00170CBB"/>
    <w:rPr>
      <w:rFonts w:ascii="Times New Roman" w:eastAsia="Times New Roman" w:hAnsi="Times New Roman" w:cs="Times New Roman"/>
      <w:kern w:val="16"/>
      <w:sz w:val="20"/>
      <w:szCs w:val="20"/>
    </w:rPr>
  </w:style>
  <w:style w:type="paragraph" w:styleId="CommentSubject">
    <w:name w:val="annotation subject"/>
    <w:basedOn w:val="CommentText"/>
    <w:next w:val="CommentText"/>
    <w:link w:val="CommentSubjectChar"/>
    <w:uiPriority w:val="99"/>
    <w:semiHidden/>
    <w:unhideWhenUsed/>
    <w:rsid w:val="00170CBB"/>
    <w:rPr>
      <w:b/>
      <w:bCs/>
    </w:rPr>
  </w:style>
  <w:style w:type="character" w:customStyle="1" w:styleId="CommentSubjectChar">
    <w:name w:val="Comment Subject Char"/>
    <w:basedOn w:val="CommentTextChar"/>
    <w:link w:val="CommentSubject"/>
    <w:uiPriority w:val="99"/>
    <w:semiHidden/>
    <w:rsid w:val="00170CBB"/>
    <w:rPr>
      <w:rFonts w:ascii="Times New Roman" w:eastAsia="Times New Roman" w:hAnsi="Times New Roman" w:cs="Times New Roman"/>
      <w:b/>
      <w:bCs/>
      <w:kern w:val="16"/>
      <w:sz w:val="20"/>
      <w:szCs w:val="20"/>
    </w:rPr>
  </w:style>
  <w:style w:type="paragraph" w:styleId="Revision">
    <w:name w:val="Revision"/>
    <w:hidden/>
    <w:uiPriority w:val="99"/>
    <w:semiHidden/>
    <w:rsid w:val="002A2391"/>
    <w:pPr>
      <w:spacing w:after="0" w:line="240" w:lineRule="auto"/>
    </w:pPr>
    <w:rPr>
      <w:rFonts w:ascii="Times New Roman" w:eastAsia="Times New Roman" w:hAnsi="Times New Roman" w:cs="Times New Roman"/>
      <w:kern w:val="16"/>
      <w:sz w:val="24"/>
      <w:szCs w:val="20"/>
    </w:rPr>
  </w:style>
  <w:style w:type="paragraph" w:styleId="ListParagraph">
    <w:name w:val="List Paragraph"/>
    <w:basedOn w:val="Normal"/>
    <w:uiPriority w:val="34"/>
    <w:qFormat/>
    <w:rsid w:val="00845E05"/>
    <w:pPr>
      <w:ind w:left="720"/>
      <w:contextualSpacing/>
    </w:pPr>
  </w:style>
  <w:style w:type="paragraph" w:styleId="TOCHeading">
    <w:name w:val="TOC Heading"/>
    <w:basedOn w:val="Heading1"/>
    <w:next w:val="Normal"/>
    <w:uiPriority w:val="39"/>
    <w:semiHidden/>
    <w:unhideWhenUsed/>
    <w:qFormat/>
    <w:rsid w:val="00EE07C2"/>
    <w:pPr>
      <w:spacing w:before="480" w:line="276" w:lineRule="auto"/>
      <w:jc w:val="left"/>
      <w:outlineLvl w:val="9"/>
    </w:pPr>
    <w:rPr>
      <w:rFonts w:asciiTheme="majorHAnsi" w:hAnsiTheme="majorHAnsi"/>
      <w:caps w:val="0"/>
      <w:color w:val="365F91" w:themeColor="accent1" w:themeShade="BF"/>
      <w:kern w:val="0"/>
      <w:sz w:val="28"/>
      <w:lang w:eastAsia="ja-JP"/>
    </w:rPr>
  </w:style>
  <w:style w:type="character" w:customStyle="1" w:styleId="Heading1Char">
    <w:name w:val="Heading 1 Char"/>
    <w:basedOn w:val="DefaultParagraphFont"/>
    <w:link w:val="Heading1"/>
    <w:uiPriority w:val="9"/>
    <w:rsid w:val="002862D2"/>
    <w:rPr>
      <w:rFonts w:ascii="Times New Roman Bold" w:eastAsiaTheme="majorEastAsia" w:hAnsi="Times New Roman Bold" w:cstheme="majorBidi"/>
      <w:b/>
      <w:bCs/>
      <w:caps/>
      <w:kern w:val="16"/>
      <w:sz w:val="24"/>
      <w:szCs w:val="28"/>
    </w:rPr>
  </w:style>
  <w:style w:type="paragraph" w:styleId="TOC1">
    <w:name w:val="toc 1"/>
    <w:basedOn w:val="Normal"/>
    <w:next w:val="Normal"/>
    <w:autoRedefine/>
    <w:uiPriority w:val="39"/>
    <w:unhideWhenUsed/>
    <w:rsid w:val="00EE07C2"/>
    <w:pPr>
      <w:spacing w:after="100"/>
    </w:pPr>
  </w:style>
  <w:style w:type="character" w:styleId="Hyperlink">
    <w:name w:val="Hyperlink"/>
    <w:basedOn w:val="DefaultParagraphFont"/>
    <w:uiPriority w:val="99"/>
    <w:unhideWhenUsed/>
    <w:rsid w:val="00EE07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D2"/>
    <w:pPr>
      <w:spacing w:after="0" w:line="240" w:lineRule="auto"/>
    </w:pPr>
    <w:rPr>
      <w:rFonts w:ascii="Times New Roman" w:eastAsia="Times New Roman" w:hAnsi="Times New Roman" w:cs="Times New Roman"/>
      <w:kern w:val="16"/>
      <w:sz w:val="24"/>
      <w:szCs w:val="20"/>
    </w:rPr>
  </w:style>
  <w:style w:type="paragraph" w:styleId="Heading1">
    <w:name w:val="heading 1"/>
    <w:basedOn w:val="Normal"/>
    <w:next w:val="Normal"/>
    <w:link w:val="Heading1Char"/>
    <w:uiPriority w:val="9"/>
    <w:qFormat/>
    <w:rsid w:val="002862D2"/>
    <w:pPr>
      <w:keepNext/>
      <w:keepLines/>
      <w:spacing w:line="480" w:lineRule="auto"/>
      <w:jc w:val="center"/>
      <w:outlineLvl w:val="0"/>
    </w:pPr>
    <w:rPr>
      <w:rFonts w:ascii="Times New Roman Bold" w:eastAsiaTheme="majorEastAsia" w:hAnsi="Times New Roman Bold"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63399"/>
    <w:rPr>
      <w:rFonts w:ascii="Times New Roman" w:hAnsi="Times New Roman"/>
      <w:sz w:val="24"/>
    </w:rPr>
  </w:style>
  <w:style w:type="paragraph" w:styleId="Header">
    <w:name w:val="header"/>
    <w:basedOn w:val="Normal"/>
    <w:link w:val="HeaderChar"/>
    <w:uiPriority w:val="99"/>
    <w:unhideWhenUsed/>
    <w:rsid w:val="00E80EC8"/>
    <w:pPr>
      <w:tabs>
        <w:tab w:val="center" w:pos="4680"/>
        <w:tab w:val="right" w:pos="9360"/>
      </w:tabs>
    </w:pPr>
  </w:style>
  <w:style w:type="character" w:customStyle="1" w:styleId="HeaderChar">
    <w:name w:val="Header Char"/>
    <w:basedOn w:val="DefaultParagraphFont"/>
    <w:link w:val="Header"/>
    <w:uiPriority w:val="99"/>
    <w:rsid w:val="00E80EC8"/>
    <w:rPr>
      <w:rFonts w:ascii="Times New Roman" w:eastAsia="Times New Roman" w:hAnsi="Times New Roman" w:cs="Times New Roman"/>
      <w:kern w:val="16"/>
      <w:sz w:val="24"/>
      <w:szCs w:val="20"/>
    </w:rPr>
  </w:style>
  <w:style w:type="paragraph" w:styleId="Footer">
    <w:name w:val="footer"/>
    <w:basedOn w:val="Normal"/>
    <w:link w:val="FooterChar"/>
    <w:uiPriority w:val="99"/>
    <w:unhideWhenUsed/>
    <w:rsid w:val="00E80EC8"/>
    <w:pPr>
      <w:tabs>
        <w:tab w:val="center" w:pos="4680"/>
        <w:tab w:val="right" w:pos="9360"/>
      </w:tabs>
    </w:pPr>
  </w:style>
  <w:style w:type="character" w:customStyle="1" w:styleId="FooterChar">
    <w:name w:val="Footer Char"/>
    <w:basedOn w:val="DefaultParagraphFont"/>
    <w:link w:val="Footer"/>
    <w:uiPriority w:val="99"/>
    <w:rsid w:val="00E80EC8"/>
    <w:rPr>
      <w:rFonts w:ascii="Times New Roman" w:eastAsia="Times New Roman" w:hAnsi="Times New Roman" w:cs="Times New Roman"/>
      <w:kern w:val="16"/>
      <w:sz w:val="24"/>
      <w:szCs w:val="20"/>
    </w:rPr>
  </w:style>
  <w:style w:type="paragraph" w:styleId="FootnoteText">
    <w:name w:val="footnote text"/>
    <w:basedOn w:val="Normal"/>
    <w:link w:val="FootnoteTextChar"/>
    <w:uiPriority w:val="99"/>
    <w:semiHidden/>
    <w:unhideWhenUsed/>
    <w:rsid w:val="000C2349"/>
    <w:rPr>
      <w:sz w:val="20"/>
    </w:rPr>
  </w:style>
  <w:style w:type="character" w:customStyle="1" w:styleId="FootnoteTextChar">
    <w:name w:val="Footnote Text Char"/>
    <w:basedOn w:val="DefaultParagraphFont"/>
    <w:link w:val="FootnoteText"/>
    <w:uiPriority w:val="99"/>
    <w:semiHidden/>
    <w:rsid w:val="000C2349"/>
    <w:rPr>
      <w:rFonts w:ascii="Times New Roman" w:eastAsia="Times New Roman" w:hAnsi="Times New Roman" w:cs="Times New Roman"/>
      <w:kern w:val="16"/>
      <w:sz w:val="20"/>
      <w:szCs w:val="20"/>
    </w:rPr>
  </w:style>
  <w:style w:type="character" w:styleId="FootnoteReference">
    <w:name w:val="footnote reference"/>
    <w:basedOn w:val="DefaultParagraphFont"/>
    <w:uiPriority w:val="99"/>
    <w:semiHidden/>
    <w:unhideWhenUsed/>
    <w:rsid w:val="000C2349"/>
    <w:rPr>
      <w:vertAlign w:val="superscript"/>
    </w:rPr>
  </w:style>
  <w:style w:type="paragraph" w:styleId="BalloonText">
    <w:name w:val="Balloon Text"/>
    <w:basedOn w:val="Normal"/>
    <w:link w:val="BalloonTextChar"/>
    <w:uiPriority w:val="99"/>
    <w:semiHidden/>
    <w:unhideWhenUsed/>
    <w:rsid w:val="007F0C64"/>
    <w:rPr>
      <w:rFonts w:ascii="Tahoma" w:hAnsi="Tahoma" w:cs="Tahoma"/>
      <w:sz w:val="16"/>
      <w:szCs w:val="16"/>
    </w:rPr>
  </w:style>
  <w:style w:type="character" w:customStyle="1" w:styleId="BalloonTextChar">
    <w:name w:val="Balloon Text Char"/>
    <w:basedOn w:val="DefaultParagraphFont"/>
    <w:link w:val="BalloonText"/>
    <w:uiPriority w:val="99"/>
    <w:semiHidden/>
    <w:rsid w:val="007F0C64"/>
    <w:rPr>
      <w:rFonts w:ascii="Tahoma" w:eastAsia="Times New Roman" w:hAnsi="Tahoma" w:cs="Tahoma"/>
      <w:kern w:val="16"/>
      <w:sz w:val="16"/>
      <w:szCs w:val="16"/>
    </w:rPr>
  </w:style>
  <w:style w:type="table" w:customStyle="1" w:styleId="TableGrid2">
    <w:name w:val="Table Grid2"/>
    <w:basedOn w:val="TableNormal"/>
    <w:next w:val="TableGrid"/>
    <w:uiPriority w:val="59"/>
    <w:rsid w:val="005E17FA"/>
    <w:pPr>
      <w:spacing w:after="0" w:line="240" w:lineRule="auto"/>
    </w:pPr>
    <w:rPr>
      <w:rFonts w:ascii="Arial"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E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44F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02932"/>
    <w:rPr>
      <w:sz w:val="20"/>
    </w:rPr>
  </w:style>
  <w:style w:type="character" w:customStyle="1" w:styleId="EndnoteTextChar">
    <w:name w:val="Endnote Text Char"/>
    <w:basedOn w:val="DefaultParagraphFont"/>
    <w:link w:val="EndnoteText"/>
    <w:uiPriority w:val="99"/>
    <w:semiHidden/>
    <w:rsid w:val="00602932"/>
    <w:rPr>
      <w:rFonts w:ascii="Times New Roman" w:eastAsia="Times New Roman" w:hAnsi="Times New Roman" w:cs="Times New Roman"/>
      <w:kern w:val="16"/>
      <w:sz w:val="20"/>
      <w:szCs w:val="20"/>
    </w:rPr>
  </w:style>
  <w:style w:type="character" w:styleId="EndnoteReference">
    <w:name w:val="endnote reference"/>
    <w:basedOn w:val="DefaultParagraphFont"/>
    <w:uiPriority w:val="99"/>
    <w:semiHidden/>
    <w:unhideWhenUsed/>
    <w:rsid w:val="00602932"/>
    <w:rPr>
      <w:vertAlign w:val="superscript"/>
    </w:rPr>
  </w:style>
  <w:style w:type="character" w:styleId="CommentReference">
    <w:name w:val="annotation reference"/>
    <w:basedOn w:val="DefaultParagraphFont"/>
    <w:uiPriority w:val="99"/>
    <w:semiHidden/>
    <w:unhideWhenUsed/>
    <w:rsid w:val="00170CBB"/>
    <w:rPr>
      <w:sz w:val="16"/>
      <w:szCs w:val="16"/>
    </w:rPr>
  </w:style>
  <w:style w:type="paragraph" w:styleId="CommentText">
    <w:name w:val="annotation text"/>
    <w:basedOn w:val="Normal"/>
    <w:link w:val="CommentTextChar"/>
    <w:uiPriority w:val="99"/>
    <w:semiHidden/>
    <w:unhideWhenUsed/>
    <w:rsid w:val="00170CBB"/>
    <w:rPr>
      <w:sz w:val="20"/>
    </w:rPr>
  </w:style>
  <w:style w:type="character" w:customStyle="1" w:styleId="CommentTextChar">
    <w:name w:val="Comment Text Char"/>
    <w:basedOn w:val="DefaultParagraphFont"/>
    <w:link w:val="CommentText"/>
    <w:uiPriority w:val="99"/>
    <w:semiHidden/>
    <w:rsid w:val="00170CBB"/>
    <w:rPr>
      <w:rFonts w:ascii="Times New Roman" w:eastAsia="Times New Roman" w:hAnsi="Times New Roman" w:cs="Times New Roman"/>
      <w:kern w:val="16"/>
      <w:sz w:val="20"/>
      <w:szCs w:val="20"/>
    </w:rPr>
  </w:style>
  <w:style w:type="paragraph" w:styleId="CommentSubject">
    <w:name w:val="annotation subject"/>
    <w:basedOn w:val="CommentText"/>
    <w:next w:val="CommentText"/>
    <w:link w:val="CommentSubjectChar"/>
    <w:uiPriority w:val="99"/>
    <w:semiHidden/>
    <w:unhideWhenUsed/>
    <w:rsid w:val="00170CBB"/>
    <w:rPr>
      <w:b/>
      <w:bCs/>
    </w:rPr>
  </w:style>
  <w:style w:type="character" w:customStyle="1" w:styleId="CommentSubjectChar">
    <w:name w:val="Comment Subject Char"/>
    <w:basedOn w:val="CommentTextChar"/>
    <w:link w:val="CommentSubject"/>
    <w:uiPriority w:val="99"/>
    <w:semiHidden/>
    <w:rsid w:val="00170CBB"/>
    <w:rPr>
      <w:rFonts w:ascii="Times New Roman" w:eastAsia="Times New Roman" w:hAnsi="Times New Roman" w:cs="Times New Roman"/>
      <w:b/>
      <w:bCs/>
      <w:kern w:val="16"/>
      <w:sz w:val="20"/>
      <w:szCs w:val="20"/>
    </w:rPr>
  </w:style>
  <w:style w:type="paragraph" w:styleId="Revision">
    <w:name w:val="Revision"/>
    <w:hidden/>
    <w:uiPriority w:val="99"/>
    <w:semiHidden/>
    <w:rsid w:val="002A2391"/>
    <w:pPr>
      <w:spacing w:after="0" w:line="240" w:lineRule="auto"/>
    </w:pPr>
    <w:rPr>
      <w:rFonts w:ascii="Times New Roman" w:eastAsia="Times New Roman" w:hAnsi="Times New Roman" w:cs="Times New Roman"/>
      <w:kern w:val="16"/>
      <w:sz w:val="24"/>
      <w:szCs w:val="20"/>
    </w:rPr>
  </w:style>
  <w:style w:type="paragraph" w:styleId="ListParagraph">
    <w:name w:val="List Paragraph"/>
    <w:basedOn w:val="Normal"/>
    <w:uiPriority w:val="34"/>
    <w:qFormat/>
    <w:rsid w:val="00845E05"/>
    <w:pPr>
      <w:ind w:left="720"/>
      <w:contextualSpacing/>
    </w:pPr>
  </w:style>
  <w:style w:type="paragraph" w:styleId="TOCHeading">
    <w:name w:val="TOC Heading"/>
    <w:basedOn w:val="Heading1"/>
    <w:next w:val="Normal"/>
    <w:uiPriority w:val="39"/>
    <w:semiHidden/>
    <w:unhideWhenUsed/>
    <w:qFormat/>
    <w:rsid w:val="00EE07C2"/>
    <w:pPr>
      <w:spacing w:before="480" w:line="276" w:lineRule="auto"/>
      <w:jc w:val="left"/>
      <w:outlineLvl w:val="9"/>
    </w:pPr>
    <w:rPr>
      <w:rFonts w:asciiTheme="majorHAnsi" w:hAnsiTheme="majorHAnsi"/>
      <w:caps w:val="0"/>
      <w:color w:val="365F91" w:themeColor="accent1" w:themeShade="BF"/>
      <w:kern w:val="0"/>
      <w:sz w:val="28"/>
      <w:lang w:eastAsia="ja-JP"/>
    </w:rPr>
  </w:style>
  <w:style w:type="character" w:customStyle="1" w:styleId="Heading1Char">
    <w:name w:val="Heading 1 Char"/>
    <w:basedOn w:val="DefaultParagraphFont"/>
    <w:link w:val="Heading1"/>
    <w:uiPriority w:val="9"/>
    <w:rsid w:val="002862D2"/>
    <w:rPr>
      <w:rFonts w:ascii="Times New Roman Bold" w:eastAsiaTheme="majorEastAsia" w:hAnsi="Times New Roman Bold" w:cstheme="majorBidi"/>
      <w:b/>
      <w:bCs/>
      <w:caps/>
      <w:kern w:val="16"/>
      <w:sz w:val="24"/>
      <w:szCs w:val="28"/>
    </w:rPr>
  </w:style>
  <w:style w:type="paragraph" w:styleId="TOC1">
    <w:name w:val="toc 1"/>
    <w:basedOn w:val="Normal"/>
    <w:next w:val="Normal"/>
    <w:autoRedefine/>
    <w:uiPriority w:val="39"/>
    <w:unhideWhenUsed/>
    <w:rsid w:val="00EE07C2"/>
    <w:pPr>
      <w:spacing w:after="100"/>
    </w:pPr>
  </w:style>
  <w:style w:type="character" w:styleId="Hyperlink">
    <w:name w:val="Hyperlink"/>
    <w:basedOn w:val="DefaultParagraphFont"/>
    <w:uiPriority w:val="99"/>
    <w:unhideWhenUsed/>
    <w:rsid w:val="00EE0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1959">
      <w:bodyDiv w:val="1"/>
      <w:marLeft w:val="0"/>
      <w:marRight w:val="0"/>
      <w:marTop w:val="0"/>
      <w:marBottom w:val="0"/>
      <w:divBdr>
        <w:top w:val="none" w:sz="0" w:space="0" w:color="auto"/>
        <w:left w:val="none" w:sz="0" w:space="0" w:color="auto"/>
        <w:bottom w:val="none" w:sz="0" w:space="0" w:color="auto"/>
        <w:right w:val="none" w:sz="0" w:space="0" w:color="auto"/>
      </w:divBdr>
    </w:div>
    <w:div w:id="359627139">
      <w:bodyDiv w:val="1"/>
      <w:marLeft w:val="0"/>
      <w:marRight w:val="0"/>
      <w:marTop w:val="0"/>
      <w:marBottom w:val="0"/>
      <w:divBdr>
        <w:top w:val="none" w:sz="0" w:space="0" w:color="auto"/>
        <w:left w:val="none" w:sz="0" w:space="0" w:color="auto"/>
        <w:bottom w:val="none" w:sz="0" w:space="0" w:color="auto"/>
        <w:right w:val="none" w:sz="0" w:space="0" w:color="auto"/>
      </w:divBdr>
    </w:div>
    <w:div w:id="1105612614">
      <w:bodyDiv w:val="1"/>
      <w:marLeft w:val="0"/>
      <w:marRight w:val="0"/>
      <w:marTop w:val="0"/>
      <w:marBottom w:val="0"/>
      <w:divBdr>
        <w:top w:val="none" w:sz="0" w:space="0" w:color="auto"/>
        <w:left w:val="none" w:sz="0" w:space="0" w:color="auto"/>
        <w:bottom w:val="none" w:sz="0" w:space="0" w:color="auto"/>
        <w:right w:val="none" w:sz="0" w:space="0" w:color="auto"/>
      </w:divBdr>
    </w:div>
    <w:div w:id="1338461451">
      <w:bodyDiv w:val="1"/>
      <w:marLeft w:val="0"/>
      <w:marRight w:val="0"/>
      <w:marTop w:val="0"/>
      <w:marBottom w:val="0"/>
      <w:divBdr>
        <w:top w:val="none" w:sz="0" w:space="0" w:color="auto"/>
        <w:left w:val="none" w:sz="0" w:space="0" w:color="auto"/>
        <w:bottom w:val="none" w:sz="0" w:space="0" w:color="auto"/>
        <w:right w:val="none" w:sz="0" w:space="0" w:color="auto"/>
      </w:divBdr>
    </w:div>
    <w:div w:id="1428770743">
      <w:bodyDiv w:val="1"/>
      <w:marLeft w:val="0"/>
      <w:marRight w:val="0"/>
      <w:marTop w:val="0"/>
      <w:marBottom w:val="0"/>
      <w:divBdr>
        <w:top w:val="none" w:sz="0" w:space="0" w:color="auto"/>
        <w:left w:val="none" w:sz="0" w:space="0" w:color="auto"/>
        <w:bottom w:val="none" w:sz="0" w:space="0" w:color="auto"/>
        <w:right w:val="none" w:sz="0" w:space="0" w:color="auto"/>
      </w:divBdr>
    </w:div>
    <w:div w:id="1547597105">
      <w:bodyDiv w:val="1"/>
      <w:marLeft w:val="0"/>
      <w:marRight w:val="0"/>
      <w:marTop w:val="0"/>
      <w:marBottom w:val="0"/>
      <w:divBdr>
        <w:top w:val="none" w:sz="0" w:space="0" w:color="auto"/>
        <w:left w:val="none" w:sz="0" w:space="0" w:color="auto"/>
        <w:bottom w:val="none" w:sz="0" w:space="0" w:color="auto"/>
        <w:right w:val="none" w:sz="0" w:space="0" w:color="auto"/>
      </w:divBdr>
    </w:div>
    <w:div w:id="1555309916">
      <w:bodyDiv w:val="1"/>
      <w:marLeft w:val="0"/>
      <w:marRight w:val="0"/>
      <w:marTop w:val="0"/>
      <w:marBottom w:val="0"/>
      <w:divBdr>
        <w:top w:val="none" w:sz="0" w:space="0" w:color="auto"/>
        <w:left w:val="none" w:sz="0" w:space="0" w:color="auto"/>
        <w:bottom w:val="none" w:sz="0" w:space="0" w:color="auto"/>
        <w:right w:val="none" w:sz="0" w:space="0" w:color="auto"/>
      </w:divBdr>
    </w:div>
    <w:div w:id="1659534181">
      <w:bodyDiv w:val="1"/>
      <w:marLeft w:val="0"/>
      <w:marRight w:val="0"/>
      <w:marTop w:val="0"/>
      <w:marBottom w:val="0"/>
      <w:divBdr>
        <w:top w:val="none" w:sz="0" w:space="0" w:color="auto"/>
        <w:left w:val="none" w:sz="0" w:space="0" w:color="auto"/>
        <w:bottom w:val="none" w:sz="0" w:space="0" w:color="auto"/>
        <w:right w:val="none" w:sz="0" w:space="0" w:color="auto"/>
      </w:divBdr>
    </w:div>
    <w:div w:id="1800688228">
      <w:bodyDiv w:val="1"/>
      <w:marLeft w:val="0"/>
      <w:marRight w:val="0"/>
      <w:marTop w:val="0"/>
      <w:marBottom w:val="0"/>
      <w:divBdr>
        <w:top w:val="none" w:sz="0" w:space="0" w:color="auto"/>
        <w:left w:val="none" w:sz="0" w:space="0" w:color="auto"/>
        <w:bottom w:val="none" w:sz="0" w:space="0" w:color="auto"/>
        <w:right w:val="none" w:sz="0" w:space="0" w:color="auto"/>
      </w:divBdr>
    </w:div>
    <w:div w:id="20486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A91F7-F059-4D0B-A62C-CCEC93A713DD}"/>
</file>

<file path=customXml/itemProps2.xml><?xml version="1.0" encoding="utf-8"?>
<ds:datastoreItem xmlns:ds="http://schemas.openxmlformats.org/officeDocument/2006/customXml" ds:itemID="{00287000-9BC2-4B1B-A21E-2ED21A57248F}"/>
</file>

<file path=customXml/itemProps3.xml><?xml version="1.0" encoding="utf-8"?>
<ds:datastoreItem xmlns:ds="http://schemas.openxmlformats.org/officeDocument/2006/customXml" ds:itemID="{F57773E5-B42B-403D-9C6E-BD3352C972B3}"/>
</file>

<file path=customXml/itemProps4.xml><?xml version="1.0" encoding="utf-8"?>
<ds:datastoreItem xmlns:ds="http://schemas.openxmlformats.org/officeDocument/2006/customXml" ds:itemID="{A1CAF09E-A9D3-4292-8D8C-665F586D7847}"/>
</file>

<file path=docProps/app.xml><?xml version="1.0" encoding="utf-8"?>
<Properties xmlns="http://schemas.openxmlformats.org/officeDocument/2006/extended-properties" xmlns:vt="http://schemas.openxmlformats.org/officeDocument/2006/docPropsVTypes">
  <Template>Normal</Template>
  <TotalTime>0</TotalTime>
  <Pages>31</Pages>
  <Words>6890</Words>
  <Characters>39275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2014-04-29T16:03:00Z</dcterms:created>
  <dcterms:modified xsi:type="dcterms:W3CDTF">2014-05-01T13:56:00Z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