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2.xml" ContentType="application/vnd.openxmlformats-officedocument.themeOverrid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07" w:rsidRPr="00130F07" w:rsidRDefault="00130F07" w:rsidP="00130F07">
      <w:pPr>
        <w:numPr>
          <w:ilvl w:val="0"/>
          <w:numId w:val="0"/>
        </w:numPr>
        <w:spacing w:after="480" w:line="240" w:lineRule="auto"/>
        <w:jc w:val="center"/>
        <w:rPr>
          <w:rFonts w:eastAsia="Times New Roman" w:cs="Times New Roman"/>
          <w:b/>
          <w:szCs w:val="20"/>
        </w:rPr>
      </w:pPr>
      <w:bookmarkStart w:id="0" w:name="_GoBack"/>
      <w:bookmarkEnd w:id="0"/>
      <w:r w:rsidRPr="00130F07">
        <w:rPr>
          <w:rFonts w:eastAsia="Times New Roman" w:cs="Times New Roman"/>
          <w:b/>
          <w:szCs w:val="20"/>
        </w:rPr>
        <w:t xml:space="preserve">BEFORE THE </w:t>
      </w:r>
      <w:r w:rsidRPr="00130F07">
        <w:rPr>
          <w:rFonts w:eastAsia="Times New Roman" w:cs="Times New Roman"/>
          <w:b/>
          <w:szCs w:val="20"/>
        </w:rPr>
        <w:br/>
        <w:t>WASHINGTON UTILITIES &amp; TRANSPORTATION COMMISSION</w:t>
      </w:r>
    </w:p>
    <w:tbl>
      <w:tblPr>
        <w:tblW w:w="0" w:type="auto"/>
        <w:tblLayout w:type="fixed"/>
        <w:tblCellMar>
          <w:left w:w="0" w:type="dxa"/>
          <w:right w:w="0" w:type="dxa"/>
        </w:tblCellMar>
        <w:tblLook w:val="0000" w:firstRow="0" w:lastRow="0" w:firstColumn="0" w:lastColumn="0" w:noHBand="0" w:noVBand="0"/>
      </w:tblPr>
      <w:tblGrid>
        <w:gridCol w:w="4590"/>
        <w:gridCol w:w="4410"/>
      </w:tblGrid>
      <w:tr w:rsidR="00130F07" w:rsidRPr="00130F07" w:rsidTr="001A1FAB">
        <w:trPr>
          <w:cantSplit/>
        </w:trPr>
        <w:tc>
          <w:tcPr>
            <w:tcW w:w="4590" w:type="dxa"/>
            <w:tcBorders>
              <w:bottom w:val="single" w:sz="6" w:space="0" w:color="auto"/>
              <w:right w:val="single" w:sz="6" w:space="0" w:color="auto"/>
            </w:tcBorders>
          </w:tcPr>
          <w:p w:rsidR="00130F07" w:rsidRPr="00130F07" w:rsidRDefault="00130F07" w:rsidP="00FA6FCD">
            <w:pPr>
              <w:numPr>
                <w:ilvl w:val="0"/>
                <w:numId w:val="0"/>
              </w:numPr>
              <w:spacing w:before="0"/>
              <w:rPr>
                <w:rFonts w:eastAsia="Times New Roman" w:cs="Times New Roman"/>
                <w:szCs w:val="20"/>
              </w:rPr>
            </w:pPr>
            <w:r w:rsidRPr="00130F07">
              <w:rPr>
                <w:rFonts w:eastAsia="Times New Roman" w:cs="Times New Roman"/>
                <w:szCs w:val="20"/>
              </w:rPr>
              <w:t>In the Matter of the Petition of:</w:t>
            </w:r>
          </w:p>
          <w:p w:rsidR="00130F07" w:rsidRPr="00130F07" w:rsidRDefault="00130F07" w:rsidP="00FA6FCD">
            <w:pPr>
              <w:numPr>
                <w:ilvl w:val="0"/>
                <w:numId w:val="0"/>
              </w:numPr>
              <w:spacing w:before="0"/>
              <w:rPr>
                <w:rFonts w:eastAsia="Times New Roman" w:cs="Times New Roman"/>
                <w:szCs w:val="20"/>
              </w:rPr>
            </w:pPr>
            <w:r w:rsidRPr="00130F07">
              <w:rPr>
                <w:rFonts w:eastAsia="Times New Roman" w:cs="Times New Roman"/>
                <w:szCs w:val="20"/>
              </w:rPr>
              <w:t>PUGET SOUND ENERGY</w:t>
            </w:r>
          </w:p>
          <w:p w:rsidR="00130F07" w:rsidRPr="00130F07" w:rsidRDefault="00130F07" w:rsidP="00FA6FCD">
            <w:pPr>
              <w:numPr>
                <w:ilvl w:val="0"/>
                <w:numId w:val="0"/>
              </w:numPr>
              <w:spacing w:before="0" w:line="240" w:lineRule="auto"/>
              <w:rPr>
                <w:rFonts w:eastAsia="Times New Roman" w:cs="Times New Roman"/>
                <w:szCs w:val="20"/>
              </w:rPr>
            </w:pPr>
            <w:r w:rsidRPr="00130F07">
              <w:rPr>
                <w:rFonts w:eastAsia="Times New Roman" w:cs="Times New Roman"/>
                <w:szCs w:val="20"/>
              </w:rPr>
              <w:t>For Modification of SQI SAIDI Benchmark and Performance Evaluation Mechanics</w:t>
            </w:r>
          </w:p>
          <w:p w:rsidR="00130F07" w:rsidRPr="00130F07" w:rsidRDefault="00130F07" w:rsidP="00FA6FCD">
            <w:pPr>
              <w:numPr>
                <w:ilvl w:val="0"/>
                <w:numId w:val="0"/>
              </w:numPr>
              <w:spacing w:before="0" w:line="240" w:lineRule="auto"/>
              <w:rPr>
                <w:rFonts w:eastAsia="Times New Roman" w:cs="Times New Roman"/>
                <w:szCs w:val="20"/>
              </w:rPr>
            </w:pPr>
          </w:p>
        </w:tc>
        <w:tc>
          <w:tcPr>
            <w:tcW w:w="4410" w:type="dxa"/>
          </w:tcPr>
          <w:p w:rsidR="00130F07" w:rsidRPr="00130F07" w:rsidRDefault="00130F07" w:rsidP="00130F07">
            <w:pPr>
              <w:numPr>
                <w:ilvl w:val="0"/>
                <w:numId w:val="0"/>
              </w:numPr>
              <w:spacing w:before="0" w:line="240" w:lineRule="auto"/>
              <w:ind w:left="180"/>
              <w:rPr>
                <w:rFonts w:eastAsia="Times New Roman" w:cs="Times New Roman"/>
                <w:szCs w:val="20"/>
              </w:rPr>
            </w:pPr>
            <w:r w:rsidRPr="00130F07">
              <w:rPr>
                <w:rFonts w:eastAsia="Times New Roman" w:cs="Times New Roman"/>
                <w:szCs w:val="20"/>
              </w:rPr>
              <w:br/>
              <w:t>Docket Nos. UE</w:t>
            </w:r>
            <w:r w:rsidRPr="00130F07">
              <w:rPr>
                <w:rFonts w:eastAsia="Times New Roman" w:cs="Times New Roman"/>
                <w:szCs w:val="20"/>
              </w:rPr>
              <w:noBreakHyphen/>
              <w:t>072300 and UG</w:t>
            </w:r>
            <w:r w:rsidRPr="00130F07">
              <w:rPr>
                <w:rFonts w:eastAsia="Times New Roman" w:cs="Times New Roman"/>
                <w:szCs w:val="20"/>
              </w:rPr>
              <w:noBreakHyphen/>
              <w:t>072301 (consolidated)</w:t>
            </w:r>
            <w:r w:rsidRPr="00130F07">
              <w:rPr>
                <w:rFonts w:eastAsia="Times New Roman" w:cs="Times New Roman"/>
                <w:szCs w:val="20"/>
              </w:rPr>
              <w:br/>
            </w:r>
            <w:r w:rsidRPr="00130F07">
              <w:rPr>
                <w:rFonts w:eastAsia="Times New Roman" w:cs="Times New Roman"/>
                <w:szCs w:val="20"/>
              </w:rPr>
              <w:br/>
              <w:t xml:space="preserve">PETITION FOR MODIFICATION OF </w:t>
            </w:r>
            <w:r w:rsidRPr="00130F07">
              <w:rPr>
                <w:rFonts w:eastAsia="Times New Roman" w:cs="Times New Roman"/>
                <w:szCs w:val="20"/>
              </w:rPr>
              <w:br/>
              <w:t>SQI SAIDI MECHANICS</w:t>
            </w:r>
          </w:p>
        </w:tc>
      </w:tr>
    </w:tbl>
    <w:p w:rsidR="00130F07" w:rsidRPr="00130F07" w:rsidRDefault="00130F07" w:rsidP="00551BFF">
      <w:pPr>
        <w:pStyle w:val="Heading1"/>
        <w:spacing w:before="360" w:after="240"/>
        <w:rPr>
          <w:rFonts w:eastAsia="Times New Roman"/>
        </w:rPr>
      </w:pPr>
      <w:r w:rsidRPr="00130F07">
        <w:rPr>
          <w:rFonts w:eastAsia="Times New Roman"/>
        </w:rPr>
        <w:t>INTRODUCTION</w:t>
      </w:r>
    </w:p>
    <w:p w:rsidR="00130F07" w:rsidRPr="00B80F2E" w:rsidRDefault="00130F07" w:rsidP="00B80F2E">
      <w:pPr>
        <w:spacing w:before="0"/>
        <w:ind w:left="0" w:firstLine="720"/>
        <w:rPr>
          <w:rFonts w:eastAsia="Times New Roman" w:cs="Times New Roman"/>
          <w:szCs w:val="20"/>
        </w:rPr>
      </w:pPr>
      <w:r w:rsidRPr="00B80F2E">
        <w:rPr>
          <w:rFonts w:eastAsia="Times New Roman" w:cs="Times New Roman"/>
          <w:szCs w:val="20"/>
        </w:rPr>
        <w:t xml:space="preserve">In accordance with WAC 480-07-370(b), Puget Sound Energy ("PSE") respectfully petitions the Commission for an </w:t>
      </w:r>
      <w:r w:rsidR="00C05F69" w:rsidRPr="00B80F2E">
        <w:rPr>
          <w:rFonts w:eastAsia="Times New Roman" w:cs="Times New Roman"/>
          <w:szCs w:val="20"/>
        </w:rPr>
        <w:t>o</w:t>
      </w:r>
      <w:r w:rsidRPr="00B80F2E">
        <w:rPr>
          <w:rFonts w:eastAsia="Times New Roman" w:cs="Times New Roman"/>
          <w:szCs w:val="20"/>
        </w:rPr>
        <w:t>rder authorizing PSE to permanently modify its Service Quality Index (“SQI”) No. 3: System Average Interruption Duration Index (“SAIDI”)</w:t>
      </w:r>
      <w:r w:rsidR="00A9328F" w:rsidRPr="00254712">
        <w:rPr>
          <w:rFonts w:eastAsia="Times New Roman" w:cs="Times New Roman"/>
          <w:szCs w:val="20"/>
          <w:vertAlign w:val="superscript"/>
        </w:rPr>
        <w:footnoteReference w:id="2"/>
      </w:r>
      <w:r w:rsidRPr="00B80F2E">
        <w:rPr>
          <w:rFonts w:eastAsia="Times New Roman" w:cs="Times New Roman"/>
          <w:szCs w:val="20"/>
        </w:rPr>
        <w:t xml:space="preserve"> as described in this </w:t>
      </w:r>
      <w:r w:rsidR="009B3D7C">
        <w:rPr>
          <w:rFonts w:eastAsia="Times New Roman" w:cs="Times New Roman"/>
          <w:szCs w:val="20"/>
        </w:rPr>
        <w:t>p</w:t>
      </w:r>
      <w:r w:rsidRPr="00B80F2E">
        <w:rPr>
          <w:rFonts w:eastAsia="Times New Roman" w:cs="Times New Roman"/>
          <w:szCs w:val="20"/>
        </w:rPr>
        <w:t>etition</w:t>
      </w:r>
      <w:r w:rsidR="009B3D7C">
        <w:rPr>
          <w:rFonts w:eastAsia="Times New Roman" w:cs="Times New Roman"/>
          <w:szCs w:val="20"/>
        </w:rPr>
        <w:t xml:space="preserve"> (“Petition”)</w:t>
      </w:r>
      <w:r w:rsidRPr="00B80F2E">
        <w:rPr>
          <w:rFonts w:eastAsia="Times New Roman" w:cs="Times New Roman"/>
          <w:szCs w:val="20"/>
        </w:rPr>
        <w:t>.  This Petition is consistent with commitments PSE made to stakeholders to propose a set of permanent SAIDI benchmark and performance evaluation mechanics once PSE</w:t>
      </w:r>
      <w:r w:rsidRPr="00B80F2E" w:rsidDel="00CB3C80">
        <w:rPr>
          <w:rFonts w:eastAsia="Times New Roman" w:cs="Times New Roman"/>
          <w:szCs w:val="20"/>
        </w:rPr>
        <w:t xml:space="preserve"> </w:t>
      </w:r>
      <w:r w:rsidRPr="00B80F2E">
        <w:rPr>
          <w:rFonts w:eastAsia="Times New Roman" w:cs="Times New Roman"/>
          <w:szCs w:val="20"/>
        </w:rPr>
        <w:t>implemented its outage management system (“OMS”) and Geographic Information System (“GIS”), and after it has collected sufficient data under the new OMS to adopt permanent SAIDI mechanics.  PSE’s proposed changes to SAIDI mechanics are consistent with standards of the Institute of Electrical and Electronics Engineers, Inc. (“IEEE”)</w:t>
      </w:r>
      <w:r w:rsidR="00C05F69" w:rsidRPr="00B80F2E">
        <w:rPr>
          <w:rFonts w:eastAsia="Times New Roman" w:cs="Times New Roman"/>
          <w:szCs w:val="20"/>
        </w:rPr>
        <w:t>.</w:t>
      </w:r>
      <w:r w:rsidRPr="00B80F2E">
        <w:rPr>
          <w:rFonts w:eastAsia="Times New Roman" w:cs="Times New Roman"/>
          <w:szCs w:val="20"/>
        </w:rPr>
        <w:t xml:space="preserve"> </w:t>
      </w:r>
      <w:r w:rsidR="00C05F69" w:rsidRPr="00B80F2E">
        <w:rPr>
          <w:rFonts w:eastAsia="Times New Roman" w:cs="Times New Roman"/>
          <w:szCs w:val="20"/>
        </w:rPr>
        <w:t xml:space="preserve"> </w:t>
      </w:r>
      <w:r w:rsidR="00C05F69" w:rsidRPr="00C05F69">
        <w:rPr>
          <w:rFonts w:eastAsia="Times New Roman" w:cs="Times New Roman"/>
          <w:szCs w:val="20"/>
        </w:rPr>
        <w:t>Additionally, PSE’s proposal is consistent with past practice before this Commission, which</w:t>
      </w:r>
      <w:r w:rsidRPr="00B80F2E">
        <w:rPr>
          <w:rFonts w:eastAsia="Times New Roman" w:cs="Times New Roman"/>
          <w:szCs w:val="20"/>
        </w:rPr>
        <w:t xml:space="preserve"> recognizes </w:t>
      </w:r>
      <w:r w:rsidR="00C05F69" w:rsidRPr="00B80F2E">
        <w:rPr>
          <w:rFonts w:eastAsia="Times New Roman" w:cs="Times New Roman"/>
          <w:szCs w:val="20"/>
        </w:rPr>
        <w:t xml:space="preserve">and adjusts for the fact </w:t>
      </w:r>
      <w:r w:rsidRPr="00B80F2E">
        <w:rPr>
          <w:rFonts w:eastAsia="Times New Roman" w:cs="Times New Roman"/>
          <w:szCs w:val="20"/>
        </w:rPr>
        <w:t xml:space="preserve">that the </w:t>
      </w:r>
      <w:r w:rsidR="00B76F0F" w:rsidRPr="00B80F2E">
        <w:rPr>
          <w:rFonts w:eastAsia="Times New Roman" w:cs="Times New Roman"/>
          <w:szCs w:val="20"/>
        </w:rPr>
        <w:t xml:space="preserve">implementation of an </w:t>
      </w:r>
      <w:r w:rsidRPr="00B80F2E">
        <w:rPr>
          <w:rFonts w:eastAsia="Times New Roman" w:cs="Times New Roman"/>
          <w:szCs w:val="20"/>
        </w:rPr>
        <w:t xml:space="preserve">OMS can result in </w:t>
      </w:r>
      <w:r w:rsidR="00986112" w:rsidRPr="00B80F2E">
        <w:rPr>
          <w:rFonts w:eastAsia="Times New Roman" w:cs="Times New Roman"/>
          <w:szCs w:val="20"/>
        </w:rPr>
        <w:t>an</w:t>
      </w:r>
      <w:r w:rsidRPr="00B80F2E">
        <w:rPr>
          <w:rFonts w:eastAsia="Times New Roman" w:cs="Times New Roman"/>
          <w:szCs w:val="20"/>
        </w:rPr>
        <w:t xml:space="preserve"> increase in a utility’s reported SAIDI score</w:t>
      </w:r>
      <w:r w:rsidR="00691620">
        <w:rPr>
          <w:rFonts w:eastAsia="Times New Roman" w:cs="Times New Roman"/>
          <w:szCs w:val="20"/>
        </w:rPr>
        <w:t xml:space="preserve"> </w:t>
      </w:r>
      <w:r w:rsidRPr="00B80F2E">
        <w:rPr>
          <w:rFonts w:eastAsia="Times New Roman" w:cs="Times New Roman"/>
          <w:szCs w:val="20"/>
        </w:rPr>
        <w:t xml:space="preserve">– without any </w:t>
      </w:r>
      <w:r w:rsidR="00C05F69" w:rsidRPr="00B80F2E">
        <w:rPr>
          <w:rFonts w:eastAsia="Times New Roman" w:cs="Times New Roman"/>
          <w:szCs w:val="20"/>
        </w:rPr>
        <w:t xml:space="preserve">degradation </w:t>
      </w:r>
      <w:r w:rsidRPr="00B80F2E">
        <w:rPr>
          <w:rFonts w:eastAsia="Times New Roman" w:cs="Times New Roman"/>
          <w:szCs w:val="20"/>
        </w:rPr>
        <w:t xml:space="preserve">in reliability – due to the more </w:t>
      </w:r>
      <w:r w:rsidRPr="00B80F2E">
        <w:rPr>
          <w:rFonts w:eastAsia="Times New Roman" w:cs="Times New Roman"/>
          <w:szCs w:val="20"/>
        </w:rPr>
        <w:lastRenderedPageBreak/>
        <w:t>accurate identification of the actual number of customers experiencing an outage</w:t>
      </w:r>
      <w:r w:rsidR="00F81D7B">
        <w:rPr>
          <w:rFonts w:eastAsia="Times New Roman" w:cs="Times New Roman"/>
          <w:szCs w:val="20"/>
        </w:rPr>
        <w:t xml:space="preserve"> as reported</w:t>
      </w:r>
      <w:r w:rsidRPr="00B80F2E">
        <w:rPr>
          <w:rFonts w:eastAsia="Times New Roman" w:cs="Times New Roman"/>
          <w:szCs w:val="20"/>
        </w:rPr>
        <w:t xml:space="preserve"> under OMS.</w:t>
      </w:r>
    </w:p>
    <w:p w:rsidR="00130F07" w:rsidRPr="00130F07" w:rsidRDefault="00130F07" w:rsidP="00B80F2E">
      <w:pPr>
        <w:spacing w:before="0"/>
        <w:ind w:left="0" w:firstLine="720"/>
        <w:rPr>
          <w:rFonts w:eastAsia="Times New Roman" w:cs="Times New Roman"/>
          <w:szCs w:val="20"/>
        </w:rPr>
      </w:pPr>
      <w:r w:rsidRPr="00130F07">
        <w:rPr>
          <w:rFonts w:eastAsia="Times New Roman" w:cs="Times New Roman"/>
          <w:szCs w:val="20"/>
        </w:rPr>
        <w:t xml:space="preserve">As discussed in more detail herein, PSE proposes to adopt the following SQI-3 SAIDI mechanics: </w:t>
      </w:r>
    </w:p>
    <w:p w:rsidR="00130F07" w:rsidRPr="00130F07" w:rsidRDefault="00130F07" w:rsidP="00B80F2E">
      <w:pPr>
        <w:numPr>
          <w:ilvl w:val="0"/>
          <w:numId w:val="4"/>
        </w:numPr>
        <w:spacing w:before="0" w:line="240" w:lineRule="auto"/>
        <w:ind w:left="1440"/>
        <w:rPr>
          <w:rFonts w:eastAsia="Times New Roman" w:cs="Times New Roman"/>
          <w:szCs w:val="20"/>
        </w:rPr>
      </w:pPr>
      <w:r w:rsidRPr="00130F07">
        <w:rPr>
          <w:rFonts w:eastAsia="Times New Roman" w:cs="Times New Roman"/>
          <w:szCs w:val="20"/>
        </w:rPr>
        <w:t>An annual SQI SAIDI performance determination that is con</w:t>
      </w:r>
      <w:r w:rsidR="00551BFF">
        <w:rPr>
          <w:rFonts w:eastAsia="Times New Roman" w:cs="Times New Roman"/>
          <w:szCs w:val="20"/>
        </w:rPr>
        <w:t>sistent with the IEEE standards</w:t>
      </w:r>
      <w:r w:rsidR="00D73EE8">
        <w:rPr>
          <w:rFonts w:eastAsia="Times New Roman" w:cs="Times New Roman"/>
          <w:szCs w:val="20"/>
        </w:rPr>
        <w:t>.</w:t>
      </w:r>
    </w:p>
    <w:p w:rsidR="00130F07" w:rsidRPr="00130F07" w:rsidRDefault="00130F07" w:rsidP="00B80F2E">
      <w:pPr>
        <w:numPr>
          <w:ilvl w:val="0"/>
          <w:numId w:val="4"/>
        </w:numPr>
        <w:spacing w:before="0" w:line="240" w:lineRule="auto"/>
        <w:ind w:left="1440"/>
        <w:rPr>
          <w:rFonts w:eastAsia="Times New Roman" w:cs="Times New Roman"/>
          <w:szCs w:val="20"/>
        </w:rPr>
      </w:pPr>
      <w:r w:rsidRPr="00130F07">
        <w:rPr>
          <w:rFonts w:eastAsia="Times New Roman" w:cs="Times New Roman"/>
          <w:szCs w:val="20"/>
        </w:rPr>
        <w:t xml:space="preserve">A </w:t>
      </w:r>
      <w:r w:rsidR="00B96635">
        <w:rPr>
          <w:rFonts w:eastAsia="Times New Roman" w:cs="Times New Roman"/>
          <w:szCs w:val="20"/>
        </w:rPr>
        <w:t>b</w:t>
      </w:r>
      <w:r w:rsidRPr="00130F07">
        <w:rPr>
          <w:rFonts w:eastAsia="Times New Roman" w:cs="Times New Roman"/>
          <w:szCs w:val="20"/>
        </w:rPr>
        <w:t>enchmark design that incorporates the IEEE standards and the effect of the new OMS</w:t>
      </w:r>
      <w:r w:rsidR="00D73EE8">
        <w:rPr>
          <w:rFonts w:eastAsia="Times New Roman" w:cs="Times New Roman"/>
          <w:szCs w:val="20"/>
        </w:rPr>
        <w:t>.</w:t>
      </w:r>
    </w:p>
    <w:p w:rsidR="00130F07" w:rsidRDefault="00130F07" w:rsidP="00551BFF">
      <w:pPr>
        <w:numPr>
          <w:ilvl w:val="0"/>
          <w:numId w:val="4"/>
        </w:numPr>
        <w:spacing w:before="0" w:after="240" w:line="240" w:lineRule="auto"/>
        <w:ind w:left="1440"/>
        <w:rPr>
          <w:rFonts w:eastAsia="Times New Roman" w:cs="Times New Roman"/>
          <w:szCs w:val="20"/>
        </w:rPr>
      </w:pPr>
      <w:r w:rsidRPr="00130F07">
        <w:rPr>
          <w:rFonts w:eastAsia="Times New Roman" w:cs="Times New Roman"/>
          <w:szCs w:val="20"/>
        </w:rPr>
        <w:t xml:space="preserve">A </w:t>
      </w:r>
      <w:r w:rsidR="00B96635">
        <w:rPr>
          <w:rFonts w:eastAsia="Times New Roman" w:cs="Times New Roman"/>
          <w:szCs w:val="20"/>
        </w:rPr>
        <w:t>c</w:t>
      </w:r>
      <w:r w:rsidRPr="00130F07">
        <w:rPr>
          <w:rFonts w:eastAsia="Times New Roman" w:cs="Times New Roman"/>
          <w:szCs w:val="20"/>
        </w:rPr>
        <w:t xml:space="preserve">atastrophic event definition and threshold calculation that ensure </w:t>
      </w:r>
      <w:r w:rsidR="00986112">
        <w:rPr>
          <w:rFonts w:eastAsia="Times New Roman" w:cs="Times New Roman"/>
          <w:szCs w:val="20"/>
        </w:rPr>
        <w:t>consistent and reasonable</w:t>
      </w:r>
      <w:r w:rsidR="00986112" w:rsidRPr="00130F07">
        <w:rPr>
          <w:rFonts w:eastAsia="Times New Roman" w:cs="Times New Roman"/>
          <w:szCs w:val="20"/>
        </w:rPr>
        <w:t xml:space="preserve"> </w:t>
      </w:r>
      <w:r w:rsidRPr="00130F07">
        <w:rPr>
          <w:rFonts w:eastAsia="Times New Roman" w:cs="Times New Roman"/>
          <w:szCs w:val="20"/>
        </w:rPr>
        <w:t>measurement of SQI SAIDI performance and benchmark going forward.</w:t>
      </w:r>
    </w:p>
    <w:p w:rsidR="00130F07" w:rsidRPr="00130F07" w:rsidRDefault="00130F07" w:rsidP="00B80F2E">
      <w:pPr>
        <w:spacing w:before="0"/>
        <w:ind w:left="0" w:firstLine="720"/>
        <w:rPr>
          <w:rFonts w:eastAsia="Times New Roman" w:cs="Times New Roman"/>
          <w:szCs w:val="20"/>
        </w:rPr>
      </w:pPr>
      <w:r w:rsidRPr="00130F07">
        <w:rPr>
          <w:rFonts w:eastAsia="Times New Roman" w:cs="Times New Roman"/>
          <w:szCs w:val="20"/>
        </w:rPr>
        <w:t xml:space="preserve">PSE is engaged in the business of providing electric and gas service within the State of Washington as a public service company, and is subject to the regulatory authority of the Commission as to its retail rates, service, facilities and practices.  Its full name and mailing address are: </w:t>
      </w:r>
    </w:p>
    <w:p w:rsidR="00130F07" w:rsidRDefault="00130F07" w:rsidP="00EF3EC5">
      <w:pPr>
        <w:numPr>
          <w:ilvl w:val="0"/>
          <w:numId w:val="0"/>
        </w:numPr>
        <w:spacing w:before="0" w:after="240" w:line="240" w:lineRule="auto"/>
        <w:ind w:left="1440"/>
        <w:rPr>
          <w:rFonts w:eastAsia="Times New Roman" w:cs="Times New Roman"/>
          <w:szCs w:val="20"/>
        </w:rPr>
      </w:pPr>
      <w:r w:rsidRPr="00130F07">
        <w:rPr>
          <w:rFonts w:eastAsia="Times New Roman" w:cs="Times New Roman"/>
          <w:szCs w:val="20"/>
        </w:rPr>
        <w:t>Puget Sound Energy</w:t>
      </w:r>
      <w:r w:rsidRPr="00130F07">
        <w:rPr>
          <w:rFonts w:eastAsia="Times New Roman" w:cs="Times New Roman"/>
          <w:szCs w:val="20"/>
        </w:rPr>
        <w:br/>
        <w:t>Attn:</w:t>
      </w:r>
      <w:r w:rsidRPr="00130F07">
        <w:rPr>
          <w:rFonts w:eastAsia="Times New Roman" w:cs="Times New Roman"/>
          <w:szCs w:val="20"/>
        </w:rPr>
        <w:tab/>
        <w:t>Ken Johnson,</w:t>
      </w:r>
      <w:r w:rsidRPr="00130F07">
        <w:rPr>
          <w:rFonts w:eastAsia="Times New Roman" w:cs="Times New Roman"/>
          <w:szCs w:val="20"/>
        </w:rPr>
        <w:br/>
        <w:t>Director -- State Regulatory Affairs</w:t>
      </w:r>
      <w:r w:rsidRPr="00130F07">
        <w:rPr>
          <w:rFonts w:eastAsia="Times New Roman" w:cs="Times New Roman"/>
          <w:szCs w:val="20"/>
        </w:rPr>
        <w:br/>
        <w:t>P.O. Box 97034</w:t>
      </w:r>
      <w:r w:rsidRPr="00130F07">
        <w:rPr>
          <w:rFonts w:eastAsia="Times New Roman" w:cs="Times New Roman"/>
          <w:szCs w:val="20"/>
        </w:rPr>
        <w:br/>
        <w:t>Bellevue, Washington 98009-9734</w:t>
      </w:r>
    </w:p>
    <w:p w:rsidR="00130F07" w:rsidRPr="00130F07" w:rsidRDefault="00130F07" w:rsidP="00B80F2E">
      <w:pPr>
        <w:spacing w:before="0"/>
        <w:ind w:left="0" w:firstLine="720"/>
        <w:rPr>
          <w:rFonts w:eastAsia="Times New Roman" w:cs="Times New Roman"/>
          <w:szCs w:val="20"/>
        </w:rPr>
      </w:pPr>
      <w:r w:rsidRPr="00130F07">
        <w:rPr>
          <w:rFonts w:eastAsia="Times New Roman" w:cs="Times New Roman"/>
          <w:szCs w:val="20"/>
        </w:rPr>
        <w:t xml:space="preserve">Rules and statutes that may be brought at issue in this Petition include RCW 80.01.040 and WAC 480-07-370(b). </w:t>
      </w:r>
    </w:p>
    <w:p w:rsidR="00130F07" w:rsidRPr="00130F07" w:rsidRDefault="00130F07" w:rsidP="00B80F2E">
      <w:pPr>
        <w:spacing w:before="0"/>
        <w:ind w:left="0" w:firstLine="720"/>
        <w:rPr>
          <w:rFonts w:eastAsia="Times New Roman" w:cs="Times New Roman"/>
          <w:szCs w:val="20"/>
        </w:rPr>
      </w:pPr>
      <w:r w:rsidRPr="00130F07">
        <w:rPr>
          <w:rFonts w:eastAsia="Times New Roman" w:cs="Times New Roman"/>
          <w:szCs w:val="20"/>
        </w:rPr>
        <w:t xml:space="preserve">This </w:t>
      </w:r>
      <w:r w:rsidR="009B3D7C">
        <w:rPr>
          <w:rFonts w:eastAsia="Times New Roman" w:cs="Times New Roman"/>
          <w:szCs w:val="20"/>
        </w:rPr>
        <w:t>P</w:t>
      </w:r>
      <w:r w:rsidRPr="00130F07">
        <w:rPr>
          <w:rFonts w:eastAsia="Times New Roman" w:cs="Times New Roman"/>
          <w:szCs w:val="20"/>
        </w:rPr>
        <w:t>etition presents a background summary of PSE’s SQI No. 3 (Section</w:t>
      </w:r>
      <w:r w:rsidR="00EF3EC5">
        <w:rPr>
          <w:rFonts w:eastAsia="Times New Roman" w:cs="Times New Roman"/>
          <w:szCs w:val="20"/>
        </w:rPr>
        <w:t xml:space="preserve"> II</w:t>
      </w:r>
      <w:r w:rsidRPr="00EF3EC5">
        <w:rPr>
          <w:rFonts w:eastAsia="Times New Roman" w:cs="Times New Roman"/>
          <w:szCs w:val="20"/>
        </w:rPr>
        <w:t>)</w:t>
      </w:r>
      <w:r w:rsidRPr="00130F07">
        <w:rPr>
          <w:rFonts w:eastAsia="Times New Roman" w:cs="Times New Roman"/>
          <w:szCs w:val="20"/>
        </w:rPr>
        <w:t>, PSE’s proposal for the new benchmark for SQI No. 3 SAIDI (Section III),</w:t>
      </w:r>
      <w:r w:rsidRPr="00130F07" w:rsidDel="005633E9">
        <w:rPr>
          <w:rFonts w:eastAsia="Times New Roman" w:cs="Times New Roman"/>
          <w:szCs w:val="20"/>
        </w:rPr>
        <w:t xml:space="preserve"> </w:t>
      </w:r>
      <w:r w:rsidR="00254712" w:rsidRPr="00130F07">
        <w:rPr>
          <w:rFonts w:eastAsia="Times New Roman" w:cs="Times New Roman"/>
          <w:szCs w:val="20"/>
        </w:rPr>
        <w:t xml:space="preserve">a full discussion of </w:t>
      </w:r>
      <w:r w:rsidR="00254712">
        <w:rPr>
          <w:rFonts w:eastAsia="Times New Roman" w:cs="Times New Roman"/>
          <w:szCs w:val="20"/>
        </w:rPr>
        <w:t xml:space="preserve">and explanation of </w:t>
      </w:r>
      <w:r w:rsidRPr="00130F07">
        <w:rPr>
          <w:rFonts w:eastAsia="Times New Roman" w:cs="Times New Roman"/>
          <w:szCs w:val="20"/>
        </w:rPr>
        <w:t>PSE’s proposal (Section IV), PSE’s analysis supporting the new SQI SAIDI mechanics (Section V)</w:t>
      </w:r>
      <w:r w:rsidR="00BF1DB8">
        <w:rPr>
          <w:rFonts w:eastAsia="Times New Roman" w:cs="Times New Roman"/>
          <w:szCs w:val="20"/>
        </w:rPr>
        <w:t>,</w:t>
      </w:r>
      <w:r w:rsidRPr="00130F07">
        <w:rPr>
          <w:rFonts w:eastAsia="Times New Roman" w:cs="Times New Roman"/>
          <w:szCs w:val="20"/>
        </w:rPr>
        <w:t xml:space="preserve"> and a summary of the proposal elements (Section VI).</w:t>
      </w:r>
      <w:r w:rsidR="009B3D7C">
        <w:rPr>
          <w:rFonts w:eastAsia="Times New Roman" w:cs="Times New Roman"/>
          <w:szCs w:val="20"/>
        </w:rPr>
        <w:t xml:space="preserve">  Attachments A through </w:t>
      </w:r>
      <w:r w:rsidR="00FF02B5">
        <w:rPr>
          <w:rFonts w:eastAsia="Times New Roman" w:cs="Times New Roman"/>
          <w:szCs w:val="20"/>
        </w:rPr>
        <w:t>H include the reference documents cited in this Petition.</w:t>
      </w:r>
    </w:p>
    <w:p w:rsidR="00130F07" w:rsidRPr="00130F07" w:rsidRDefault="00130F07" w:rsidP="00693A88">
      <w:pPr>
        <w:pStyle w:val="Heading1"/>
        <w:rPr>
          <w:rFonts w:eastAsia="Times New Roman"/>
        </w:rPr>
      </w:pPr>
      <w:bookmarkStart w:id="1" w:name="_Ref434850966"/>
      <w:r w:rsidRPr="00130F07">
        <w:rPr>
          <w:rFonts w:eastAsia="Times New Roman"/>
        </w:rPr>
        <w:lastRenderedPageBreak/>
        <w:t>BACKGROUND</w:t>
      </w:r>
      <w:bookmarkEnd w:id="1"/>
    </w:p>
    <w:p w:rsidR="00130F07" w:rsidRPr="00130F07" w:rsidRDefault="00130F07" w:rsidP="00EF3EC5">
      <w:pPr>
        <w:pStyle w:val="Heading2"/>
        <w:spacing w:after="240"/>
        <w:rPr>
          <w:rFonts w:eastAsia="Times New Roman"/>
        </w:rPr>
      </w:pPr>
      <w:r w:rsidRPr="00130F07">
        <w:rPr>
          <w:rFonts w:eastAsia="Times New Roman"/>
        </w:rPr>
        <w:t>A.</w:t>
      </w:r>
      <w:r w:rsidRPr="00130F07">
        <w:rPr>
          <w:rFonts w:eastAsia="Times New Roman"/>
        </w:rPr>
        <w:tab/>
        <w:t>1995-1996 Merger Dockets</w:t>
      </w:r>
      <w:r w:rsidR="00872DEB" w:rsidRPr="00130F07">
        <w:rPr>
          <w:rFonts w:eastAsia="Times New Roman"/>
          <w:vertAlign w:val="superscript"/>
        </w:rPr>
        <w:footnoteReference w:id="3"/>
      </w:r>
    </w:p>
    <w:p w:rsidR="00130F07" w:rsidRPr="00B80F2E" w:rsidRDefault="00130F07" w:rsidP="00B80F2E">
      <w:pPr>
        <w:spacing w:before="0"/>
        <w:ind w:left="0" w:firstLine="720"/>
        <w:rPr>
          <w:rFonts w:eastAsia="Times New Roman" w:cs="Times New Roman"/>
          <w:szCs w:val="20"/>
        </w:rPr>
      </w:pPr>
      <w:r w:rsidRPr="00B80F2E">
        <w:rPr>
          <w:rFonts w:eastAsia="Times New Roman" w:cs="Times New Roman"/>
          <w:szCs w:val="20"/>
        </w:rPr>
        <w:t xml:space="preserve">PSE first implemented its Service Quality Program (“SQ Program”) pursuant to </w:t>
      </w:r>
      <w:r w:rsidR="0055255A">
        <w:rPr>
          <w:rFonts w:eastAsia="Times New Roman" w:cs="Times New Roman"/>
          <w:szCs w:val="20"/>
        </w:rPr>
        <w:t xml:space="preserve">a settlement stipulation in </w:t>
      </w:r>
      <w:r w:rsidRPr="00B80F2E">
        <w:rPr>
          <w:rFonts w:eastAsia="Times New Roman" w:cs="Times New Roman"/>
          <w:szCs w:val="20"/>
        </w:rPr>
        <w:t>the dockets approving the merger between Washington Natural Gas Company and Puget Sound Power &amp; Light Company.  The stated purpose of the SQ Program was to “provide a specific mechanism to assure customers that they will not experience deterioration in quality of service”</w:t>
      </w:r>
      <w:r w:rsidR="0001122B" w:rsidRPr="00EF3EC5">
        <w:rPr>
          <w:rFonts w:eastAsia="Times New Roman" w:cs="Times New Roman"/>
          <w:szCs w:val="20"/>
          <w:vertAlign w:val="superscript"/>
        </w:rPr>
        <w:footnoteReference w:id="4"/>
      </w:r>
      <w:r w:rsidRPr="00B80F2E">
        <w:rPr>
          <w:rFonts w:eastAsia="Times New Roman" w:cs="Times New Roman"/>
          <w:szCs w:val="20"/>
        </w:rPr>
        <w:t xml:space="preserve"> and to “protect customers of PSE from poorly-targeted cost cutting”</w:t>
      </w:r>
      <w:r w:rsidR="0001122B" w:rsidRPr="00FF02B5">
        <w:rPr>
          <w:rFonts w:eastAsia="Times New Roman" w:cs="Times New Roman"/>
          <w:szCs w:val="20"/>
          <w:vertAlign w:val="superscript"/>
        </w:rPr>
        <w:footnoteReference w:id="5"/>
      </w:r>
      <w:r w:rsidRPr="00B80F2E">
        <w:rPr>
          <w:rFonts w:eastAsia="Times New Roman" w:cs="Times New Roman"/>
          <w:szCs w:val="20"/>
        </w:rPr>
        <w:t xml:space="preserve"> as a result of the merger.  The SQ Program was </w:t>
      </w:r>
      <w:r w:rsidR="00691620" w:rsidRPr="00B80F2E" w:rsidDel="00F57E13">
        <w:rPr>
          <w:rFonts w:eastAsia="Times New Roman" w:cs="Times New Roman"/>
          <w:szCs w:val="20"/>
        </w:rPr>
        <w:t>initially</w:t>
      </w:r>
      <w:r w:rsidRPr="00B80F2E">
        <w:rPr>
          <w:rFonts w:eastAsia="Times New Roman" w:cs="Times New Roman"/>
          <w:szCs w:val="20"/>
        </w:rPr>
        <w:t xml:space="preserve"> set to be effective for five years.  The SQ Program mechanics outlined the benchmarks, the potential penalty calculations, and the reporting requirements.  The mechanics also prescribed the determination of the effective SQI No. 3: SAIDI performance and benchmark used in calculation of potential penalties.  The benchmark and the performance calculation excluded Major Events, which were days when more than five percent of PSE’s customers are without service</w:t>
      </w:r>
      <w:r w:rsidR="00691620">
        <w:rPr>
          <w:rFonts w:eastAsia="Times New Roman" w:cs="Times New Roman"/>
          <w:szCs w:val="20"/>
        </w:rPr>
        <w:t>.</w:t>
      </w:r>
      <w:r w:rsidR="007358E0" w:rsidRPr="00B80F2E">
        <w:rPr>
          <w:rFonts w:eastAsia="Times New Roman" w:cs="Times New Roman"/>
          <w:szCs w:val="20"/>
          <w:vertAlign w:val="superscript"/>
        </w:rPr>
        <w:footnoteReference w:id="6"/>
      </w:r>
      <w:r w:rsidRPr="00B80F2E">
        <w:rPr>
          <w:rFonts w:eastAsia="Times New Roman" w:cs="Times New Roman"/>
          <w:szCs w:val="20"/>
        </w:rPr>
        <w:t xml:space="preserve"> </w:t>
      </w:r>
    </w:p>
    <w:p w:rsidR="00130F07" w:rsidRDefault="00130F07" w:rsidP="00A23025">
      <w:pPr>
        <w:pStyle w:val="Heading2"/>
        <w:spacing w:after="240"/>
        <w:rPr>
          <w:rFonts w:eastAsia="Times New Roman"/>
        </w:rPr>
      </w:pPr>
      <w:r w:rsidRPr="00130F07">
        <w:rPr>
          <w:rFonts w:eastAsia="Times New Roman"/>
        </w:rPr>
        <w:t>B.</w:t>
      </w:r>
      <w:r w:rsidRPr="00130F07">
        <w:rPr>
          <w:rFonts w:eastAsia="Times New Roman"/>
        </w:rPr>
        <w:tab/>
        <w:t>2001 General Rate Case Dockets</w:t>
      </w:r>
      <w:r w:rsidRPr="00130F07">
        <w:rPr>
          <w:rFonts w:eastAsia="Times New Roman"/>
          <w:vertAlign w:val="superscript"/>
        </w:rPr>
        <w:footnoteReference w:id="7"/>
      </w:r>
    </w:p>
    <w:p w:rsidR="00130F07" w:rsidRPr="00130F07" w:rsidRDefault="00130F07" w:rsidP="00B80F2E">
      <w:pPr>
        <w:spacing w:before="0"/>
        <w:ind w:left="0" w:firstLine="720"/>
        <w:rPr>
          <w:rFonts w:eastAsia="Times New Roman" w:cs="Times New Roman"/>
          <w:szCs w:val="20"/>
        </w:rPr>
      </w:pPr>
      <w:r w:rsidRPr="00130F07">
        <w:rPr>
          <w:rFonts w:eastAsia="Times New Roman" w:cs="Times New Roman"/>
          <w:szCs w:val="20"/>
        </w:rPr>
        <w:t xml:space="preserve">The SQ </w:t>
      </w:r>
      <w:r w:rsidR="00822803">
        <w:rPr>
          <w:rFonts w:eastAsia="Times New Roman" w:cs="Times New Roman"/>
          <w:szCs w:val="20"/>
        </w:rPr>
        <w:t>P</w:t>
      </w:r>
      <w:r w:rsidRPr="00130F07">
        <w:rPr>
          <w:rFonts w:eastAsia="Times New Roman" w:cs="Times New Roman"/>
          <w:szCs w:val="20"/>
        </w:rPr>
        <w:t xml:space="preserve">rogram was extended for a minimum of five years </w:t>
      </w:r>
      <w:r w:rsidR="00822803">
        <w:rPr>
          <w:rFonts w:eastAsia="Times New Roman" w:cs="Times New Roman"/>
          <w:szCs w:val="20"/>
        </w:rPr>
        <w:t xml:space="preserve">as part of the settlement in PSE’s 2001 general rate case. </w:t>
      </w:r>
      <w:r w:rsidRPr="00130F07" w:rsidDel="00AF649B">
        <w:rPr>
          <w:rFonts w:eastAsia="Times New Roman" w:cs="Times New Roman"/>
          <w:szCs w:val="20"/>
        </w:rPr>
        <w:t xml:space="preserve"> </w:t>
      </w:r>
      <w:r w:rsidR="00822803">
        <w:rPr>
          <w:rFonts w:eastAsia="Times New Roman" w:cs="Times New Roman"/>
          <w:szCs w:val="20"/>
        </w:rPr>
        <w:t>T</w:t>
      </w:r>
      <w:r w:rsidRPr="00130F07">
        <w:rPr>
          <w:rFonts w:eastAsia="Times New Roman" w:cs="Times New Roman"/>
          <w:szCs w:val="20"/>
        </w:rPr>
        <w:t xml:space="preserve">he </w:t>
      </w:r>
      <w:r w:rsidR="00822803">
        <w:rPr>
          <w:rFonts w:eastAsia="Times New Roman" w:cs="Times New Roman"/>
          <w:szCs w:val="20"/>
        </w:rPr>
        <w:t xml:space="preserve">settling </w:t>
      </w:r>
      <w:r w:rsidRPr="00130F07">
        <w:rPr>
          <w:rFonts w:eastAsia="Times New Roman" w:cs="Times New Roman"/>
          <w:szCs w:val="20"/>
        </w:rPr>
        <w:t xml:space="preserve">parties agreed to measure PSE’s SQI SAIDI performance based upon a single-year SAIDI result, rather than the five-year rolling average that had previously been in place. The </w:t>
      </w:r>
      <w:r w:rsidR="00822803">
        <w:rPr>
          <w:rFonts w:eastAsia="Times New Roman" w:cs="Times New Roman"/>
          <w:szCs w:val="20"/>
        </w:rPr>
        <w:t xml:space="preserve">settling </w:t>
      </w:r>
      <w:r w:rsidRPr="00130F07">
        <w:rPr>
          <w:rFonts w:eastAsia="Times New Roman" w:cs="Times New Roman"/>
          <w:szCs w:val="20"/>
        </w:rPr>
        <w:t>parties also agreed to</w:t>
      </w:r>
      <w:r w:rsidRPr="00130F07" w:rsidDel="005A7CC5">
        <w:rPr>
          <w:rFonts w:eastAsia="Times New Roman" w:cs="Times New Roman"/>
          <w:szCs w:val="20"/>
        </w:rPr>
        <w:t xml:space="preserve"> </w:t>
      </w:r>
      <w:r w:rsidRPr="00130F07">
        <w:rPr>
          <w:rFonts w:eastAsia="Times New Roman" w:cs="Times New Roman"/>
          <w:szCs w:val="20"/>
        </w:rPr>
        <w:t xml:space="preserve">the fixed benchmark </w:t>
      </w:r>
      <w:r w:rsidRPr="00130F07">
        <w:rPr>
          <w:rFonts w:eastAsia="Times New Roman" w:cs="Times New Roman"/>
          <w:szCs w:val="20"/>
        </w:rPr>
        <w:lastRenderedPageBreak/>
        <w:t xml:space="preserve">of 136 outage minutes per customer per year with </w:t>
      </w:r>
      <w:bookmarkStart w:id="4" w:name="OLE_LINK1"/>
      <w:r w:rsidRPr="00130F07">
        <w:rPr>
          <w:rFonts w:eastAsia="Times New Roman" w:cs="Times New Roman"/>
          <w:szCs w:val="20"/>
        </w:rPr>
        <w:t xml:space="preserve">the </w:t>
      </w:r>
      <w:r w:rsidR="00952BEC">
        <w:rPr>
          <w:rFonts w:eastAsia="Times New Roman" w:cs="Times New Roman"/>
          <w:szCs w:val="20"/>
        </w:rPr>
        <w:t xml:space="preserve">five </w:t>
      </w:r>
      <w:r w:rsidR="00661DA5">
        <w:rPr>
          <w:rFonts w:eastAsia="Times New Roman" w:cs="Times New Roman"/>
          <w:szCs w:val="20"/>
        </w:rPr>
        <w:t>percent</w:t>
      </w:r>
      <w:r w:rsidRPr="00130F07">
        <w:rPr>
          <w:rFonts w:eastAsia="Times New Roman" w:cs="Times New Roman"/>
          <w:szCs w:val="20"/>
        </w:rPr>
        <w:t>-customer-out Major-Event exclusion</w:t>
      </w:r>
      <w:bookmarkEnd w:id="4"/>
      <w:r w:rsidR="00691620">
        <w:rPr>
          <w:rFonts w:eastAsia="Times New Roman" w:cs="Times New Roman"/>
          <w:szCs w:val="20"/>
        </w:rPr>
        <w:t>.</w:t>
      </w:r>
    </w:p>
    <w:p w:rsidR="00B80F2E" w:rsidRDefault="00130F07" w:rsidP="00A23025">
      <w:pPr>
        <w:keepNext/>
        <w:keepLines/>
        <w:numPr>
          <w:ilvl w:val="0"/>
          <w:numId w:val="0"/>
        </w:numPr>
        <w:tabs>
          <w:tab w:val="left" w:pos="720"/>
        </w:tabs>
        <w:spacing w:before="0" w:after="240" w:line="240" w:lineRule="auto"/>
        <w:outlineLvl w:val="1"/>
        <w:rPr>
          <w:rFonts w:ascii="Times New Roman Bold" w:eastAsia="Times New Roman" w:hAnsi="Times New Roman Bold" w:cs="Arial"/>
          <w:b/>
          <w:bCs/>
          <w:iCs/>
          <w:szCs w:val="28"/>
        </w:rPr>
      </w:pPr>
      <w:r w:rsidRPr="00130F07">
        <w:rPr>
          <w:rFonts w:ascii="Times New Roman Bold" w:eastAsia="Times New Roman" w:hAnsi="Times New Roman Bold" w:cs="Arial"/>
          <w:b/>
          <w:bCs/>
          <w:iCs/>
          <w:szCs w:val="28"/>
        </w:rPr>
        <w:t>C.</w:t>
      </w:r>
      <w:r w:rsidRPr="00130F07">
        <w:rPr>
          <w:rFonts w:ascii="Times New Roman Bold" w:eastAsia="Times New Roman" w:hAnsi="Times New Roman Bold" w:cs="Arial"/>
          <w:b/>
          <w:bCs/>
          <w:iCs/>
          <w:szCs w:val="28"/>
        </w:rPr>
        <w:tab/>
        <w:t>Puget Holdings/PSE Merger Docket U-072375</w:t>
      </w:r>
    </w:p>
    <w:p w:rsidR="00130F07" w:rsidRPr="00130F07" w:rsidRDefault="00130F07" w:rsidP="00B80F2E">
      <w:pPr>
        <w:spacing w:before="0"/>
        <w:ind w:left="0" w:firstLine="720"/>
        <w:rPr>
          <w:rFonts w:eastAsia="Times New Roman" w:cs="Times New Roman"/>
          <w:szCs w:val="20"/>
        </w:rPr>
      </w:pPr>
      <w:r w:rsidRPr="00130F07">
        <w:rPr>
          <w:rFonts w:eastAsia="Times New Roman" w:cs="Times New Roman"/>
          <w:szCs w:val="20"/>
        </w:rPr>
        <w:t>In 2007, Puget Holdings LLC and Puget Sound Energy</w:t>
      </w:r>
      <w:r w:rsidRPr="00E57AAE">
        <w:rPr>
          <w:rFonts w:eastAsia="Times New Roman" w:cs="Times New Roman"/>
          <w:szCs w:val="20"/>
        </w:rPr>
        <w:t>, Inc.</w:t>
      </w:r>
      <w:r w:rsidRPr="00130F07">
        <w:rPr>
          <w:rFonts w:eastAsia="Times New Roman" w:cs="Times New Roman"/>
          <w:szCs w:val="20"/>
        </w:rPr>
        <w:t xml:space="preserve"> filed an application seeking approval of the acquisition of Puget Energy by Puget Holdings, an investor consortium.  The first commitment made by the Joint Applicants in that docket was that PSE would continue its service quality indicators.  </w:t>
      </w:r>
      <w:r w:rsidR="00691620">
        <w:rPr>
          <w:rFonts w:eastAsia="Times New Roman" w:cs="Times New Roman"/>
          <w:szCs w:val="20"/>
        </w:rPr>
        <w:t>A</w:t>
      </w:r>
      <w:r w:rsidRPr="00130F07">
        <w:rPr>
          <w:rFonts w:eastAsia="Times New Roman" w:cs="Times New Roman"/>
          <w:szCs w:val="20"/>
        </w:rPr>
        <w:t xml:space="preserve">s part of a multi-party settlement stipulation, PSE and Puget Holdings </w:t>
      </w:r>
      <w:r w:rsidR="00691620">
        <w:rPr>
          <w:rFonts w:eastAsia="Times New Roman" w:cs="Times New Roman"/>
          <w:szCs w:val="20"/>
        </w:rPr>
        <w:t xml:space="preserve">ultimately </w:t>
      </w:r>
      <w:r w:rsidRPr="00130F07">
        <w:rPr>
          <w:rFonts w:eastAsia="Times New Roman" w:cs="Times New Roman"/>
          <w:szCs w:val="20"/>
        </w:rPr>
        <w:t>committed “to continue the Service Quality measures currently in place for PSE or as may be modified in any future proceeding.</w:t>
      </w:r>
      <w:r w:rsidR="00691620">
        <w:rPr>
          <w:rFonts w:eastAsia="Times New Roman" w:cs="Times New Roman"/>
          <w:szCs w:val="20"/>
        </w:rPr>
        <w:t>”</w:t>
      </w:r>
      <w:r w:rsidR="00140A79" w:rsidRPr="00140A79">
        <w:rPr>
          <w:rFonts w:eastAsia="Times New Roman" w:cs="Times New Roman"/>
          <w:szCs w:val="20"/>
          <w:vertAlign w:val="superscript"/>
        </w:rPr>
        <w:t xml:space="preserve"> </w:t>
      </w:r>
      <w:r w:rsidR="00140A79" w:rsidRPr="00B80F2E">
        <w:rPr>
          <w:rFonts w:eastAsia="Times New Roman" w:cs="Times New Roman"/>
          <w:szCs w:val="20"/>
          <w:vertAlign w:val="superscript"/>
        </w:rPr>
        <w:footnoteReference w:id="8"/>
      </w:r>
      <w:r w:rsidRPr="00130F07">
        <w:rPr>
          <w:rFonts w:eastAsia="Times New Roman" w:cs="Times New Roman"/>
          <w:szCs w:val="20"/>
        </w:rPr>
        <w:t xml:space="preserve">  The Commission approved the merger and the commitments made by PSE.</w:t>
      </w:r>
    </w:p>
    <w:p w:rsidR="00130F07" w:rsidRPr="00130F07" w:rsidRDefault="00130F07" w:rsidP="00A23025">
      <w:pPr>
        <w:keepNext/>
        <w:keepLines/>
        <w:numPr>
          <w:ilvl w:val="0"/>
          <w:numId w:val="0"/>
        </w:numPr>
        <w:tabs>
          <w:tab w:val="left" w:pos="720"/>
        </w:tabs>
        <w:spacing w:before="0" w:after="240" w:line="240" w:lineRule="auto"/>
        <w:outlineLvl w:val="1"/>
        <w:rPr>
          <w:rFonts w:ascii="Times New Roman Bold" w:eastAsia="Times New Roman" w:hAnsi="Times New Roman Bold" w:cs="Arial"/>
          <w:b/>
          <w:bCs/>
          <w:iCs/>
          <w:szCs w:val="28"/>
        </w:rPr>
      </w:pPr>
      <w:r w:rsidRPr="00130F07">
        <w:rPr>
          <w:rFonts w:ascii="Times New Roman Bold" w:eastAsia="Times New Roman" w:hAnsi="Times New Roman Bold" w:cs="Arial"/>
          <w:b/>
          <w:bCs/>
          <w:iCs/>
          <w:szCs w:val="28"/>
        </w:rPr>
        <w:t>D.</w:t>
      </w:r>
      <w:r w:rsidRPr="00130F07">
        <w:rPr>
          <w:rFonts w:ascii="Times New Roman Bold" w:eastAsia="Times New Roman" w:hAnsi="Times New Roman Bold" w:cs="Arial"/>
          <w:b/>
          <w:bCs/>
          <w:iCs/>
          <w:szCs w:val="28"/>
        </w:rPr>
        <w:tab/>
        <w:t>2007 General Rate Case Dockets</w:t>
      </w:r>
      <w:r w:rsidRPr="00130F07">
        <w:rPr>
          <w:rFonts w:ascii="Times New Roman Bold" w:eastAsia="Times New Roman" w:hAnsi="Times New Roman Bold" w:cs="Arial"/>
          <w:b/>
          <w:bCs/>
          <w:iCs/>
          <w:szCs w:val="28"/>
          <w:vertAlign w:val="superscript"/>
        </w:rPr>
        <w:footnoteReference w:id="9"/>
      </w:r>
    </w:p>
    <w:p w:rsidR="00130F07" w:rsidRPr="00130F07" w:rsidRDefault="00130F07" w:rsidP="00B80F2E">
      <w:pPr>
        <w:spacing w:before="0"/>
        <w:ind w:left="0" w:firstLine="720"/>
        <w:rPr>
          <w:rFonts w:eastAsia="Times New Roman" w:cs="Times New Roman"/>
          <w:szCs w:val="20"/>
        </w:rPr>
      </w:pPr>
      <w:r w:rsidRPr="00130F07">
        <w:rPr>
          <w:rFonts w:eastAsia="Times New Roman" w:cs="Times New Roman"/>
          <w:szCs w:val="20"/>
        </w:rPr>
        <w:t>The SQ program was extended indefinitely with additional modifications in PSE’s 2007 general rate case.</w:t>
      </w:r>
      <w:r w:rsidR="00AF649B" w:rsidRPr="00026F9B">
        <w:rPr>
          <w:rFonts w:eastAsia="Times New Roman" w:cs="Times New Roman"/>
          <w:szCs w:val="20"/>
          <w:vertAlign w:val="superscript"/>
        </w:rPr>
        <w:footnoteReference w:id="10"/>
      </w:r>
      <w:r w:rsidRPr="00130F07">
        <w:rPr>
          <w:rFonts w:eastAsia="Times New Roman" w:cs="Times New Roman"/>
          <w:szCs w:val="20"/>
        </w:rPr>
        <w:t xml:space="preserve">  The SQI No. 3 benchmark remained set at an average of 136 outage minutes per customer per year excluding Major Events and carry-forward days.  Additionally, potential penalty amounts were increased to $1.5 million per index with a doubling of penalty amounts if an index has been missed two</w:t>
      </w:r>
      <w:r w:rsidR="00B80BAF">
        <w:rPr>
          <w:rFonts w:eastAsia="Times New Roman" w:cs="Times New Roman"/>
          <w:szCs w:val="20"/>
        </w:rPr>
        <w:t xml:space="preserve"> </w:t>
      </w:r>
      <w:r w:rsidRPr="00130F07">
        <w:rPr>
          <w:rFonts w:eastAsia="Times New Roman" w:cs="Times New Roman"/>
          <w:szCs w:val="20"/>
        </w:rPr>
        <w:t>year</w:t>
      </w:r>
      <w:r w:rsidR="00691620">
        <w:rPr>
          <w:rFonts w:eastAsia="Times New Roman" w:cs="Times New Roman"/>
          <w:szCs w:val="20"/>
        </w:rPr>
        <w:t>s</w:t>
      </w:r>
      <w:r w:rsidRPr="00130F07">
        <w:rPr>
          <w:rFonts w:eastAsia="Times New Roman" w:cs="Times New Roman"/>
          <w:szCs w:val="20"/>
        </w:rPr>
        <w:t xml:space="preserve"> in </w:t>
      </w:r>
      <w:r w:rsidR="00691620">
        <w:rPr>
          <w:rFonts w:eastAsia="Times New Roman" w:cs="Times New Roman"/>
          <w:szCs w:val="20"/>
        </w:rPr>
        <w:t>a</w:t>
      </w:r>
      <w:r w:rsidRPr="00130F07">
        <w:rPr>
          <w:rFonts w:eastAsia="Times New Roman" w:cs="Times New Roman"/>
          <w:szCs w:val="20"/>
        </w:rPr>
        <w:t xml:space="preserve"> row.  </w:t>
      </w:r>
    </w:p>
    <w:p w:rsidR="00130F07" w:rsidRPr="00130F07" w:rsidRDefault="00130F07" w:rsidP="00A23025">
      <w:pPr>
        <w:keepNext/>
        <w:keepLines/>
        <w:numPr>
          <w:ilvl w:val="0"/>
          <w:numId w:val="0"/>
        </w:numPr>
        <w:tabs>
          <w:tab w:val="left" w:pos="720"/>
        </w:tabs>
        <w:spacing w:before="0" w:after="240" w:line="240" w:lineRule="auto"/>
        <w:outlineLvl w:val="1"/>
        <w:rPr>
          <w:rFonts w:ascii="Times New Roman Bold" w:eastAsia="Times New Roman" w:hAnsi="Times New Roman Bold" w:cs="Arial"/>
          <w:b/>
          <w:bCs/>
          <w:iCs/>
          <w:szCs w:val="28"/>
        </w:rPr>
      </w:pPr>
      <w:r w:rsidRPr="00130F07">
        <w:rPr>
          <w:rFonts w:ascii="Times New Roman Bold" w:eastAsia="Times New Roman" w:hAnsi="Times New Roman Bold" w:cs="Arial"/>
          <w:b/>
          <w:bCs/>
          <w:iCs/>
          <w:szCs w:val="28"/>
        </w:rPr>
        <w:lastRenderedPageBreak/>
        <w:t>E.</w:t>
      </w:r>
      <w:r w:rsidRPr="00130F07">
        <w:rPr>
          <w:rFonts w:ascii="Times New Roman Bold" w:eastAsia="Times New Roman" w:hAnsi="Times New Roman Bold" w:cs="Arial"/>
          <w:b/>
          <w:bCs/>
          <w:iCs/>
          <w:szCs w:val="28"/>
        </w:rPr>
        <w:tab/>
        <w:t>2010 SQI SAIDI Petition</w:t>
      </w:r>
      <w:r w:rsidRPr="00130F07">
        <w:rPr>
          <w:rFonts w:ascii="Times New Roman Bold" w:eastAsia="Times New Roman" w:hAnsi="Times New Roman Bold" w:cs="Arial"/>
          <w:b/>
          <w:bCs/>
          <w:iCs/>
          <w:szCs w:val="28"/>
          <w:vertAlign w:val="superscript"/>
        </w:rPr>
        <w:footnoteReference w:id="11"/>
      </w:r>
    </w:p>
    <w:p w:rsidR="00130F07" w:rsidRPr="00026F9B" w:rsidRDefault="00130F07" w:rsidP="00026F9B">
      <w:pPr>
        <w:spacing w:before="0"/>
        <w:ind w:left="0" w:firstLine="720"/>
        <w:rPr>
          <w:rFonts w:eastAsia="Times New Roman" w:cs="Times New Roman"/>
          <w:szCs w:val="20"/>
        </w:rPr>
      </w:pPr>
      <w:r w:rsidRPr="00026F9B">
        <w:rPr>
          <w:rFonts w:eastAsia="Times New Roman" w:cs="Times New Roman"/>
          <w:szCs w:val="20"/>
        </w:rPr>
        <w:t>In 2010, PSE proposed a change to the SQI-3 SAIDI benchmark and associated performance calculation that would be effective for four annual reporting periods, 2010 through 2013, in anticipation of PSE’s implementation of a new outage management system and the availability of analysis-ready data from the new system.  Following this period, PSE would establish permanent SQI SAIDI mechanics based on the industry accepted benchmark similar to IEEE Standard 1366.</w:t>
      </w:r>
      <w:r w:rsidR="005A7CC5" w:rsidRPr="00026F9B">
        <w:rPr>
          <w:rFonts w:eastAsia="Times New Roman" w:cs="Times New Roman"/>
          <w:szCs w:val="20"/>
          <w:vertAlign w:val="superscript"/>
        </w:rPr>
        <w:footnoteReference w:id="12"/>
      </w:r>
      <w:r w:rsidRPr="00026F9B">
        <w:rPr>
          <w:rFonts w:eastAsia="Times New Roman" w:cs="Times New Roman"/>
          <w:szCs w:val="20"/>
        </w:rPr>
        <w:t xml:space="preserve">  With Commission Staff’s support, the</w:t>
      </w:r>
      <w:r w:rsidRPr="00026F9B" w:rsidDel="005A7CC5">
        <w:rPr>
          <w:rFonts w:eastAsia="Times New Roman" w:cs="Times New Roman"/>
          <w:szCs w:val="20"/>
        </w:rPr>
        <w:t xml:space="preserve"> </w:t>
      </w:r>
      <w:r w:rsidRPr="00026F9B">
        <w:rPr>
          <w:rFonts w:eastAsia="Times New Roman" w:cs="Times New Roman"/>
          <w:szCs w:val="20"/>
        </w:rPr>
        <w:t>Commission approved the proposed temporary SQI No. 3: SAIDI mechanics</w:t>
      </w:r>
      <w:r w:rsidR="000D117B" w:rsidRPr="00026F9B">
        <w:rPr>
          <w:rFonts w:eastAsia="Times New Roman" w:cs="Times New Roman"/>
          <w:szCs w:val="20"/>
        </w:rPr>
        <w:t>,</w:t>
      </w:r>
      <w:r w:rsidR="00DA74CE" w:rsidRPr="00026F9B">
        <w:rPr>
          <w:rFonts w:eastAsia="Times New Roman" w:cs="Times New Roman"/>
          <w:szCs w:val="20"/>
          <w:vertAlign w:val="superscript"/>
        </w:rPr>
        <w:footnoteReference w:id="13"/>
      </w:r>
      <w:r w:rsidRPr="00026F9B">
        <w:rPr>
          <w:rFonts w:eastAsia="Times New Roman" w:cs="Times New Roman"/>
          <w:szCs w:val="20"/>
        </w:rPr>
        <w:t xml:space="preserve"> which included</w:t>
      </w:r>
      <w:r w:rsidRPr="00026F9B" w:rsidDel="00FE7C1A">
        <w:rPr>
          <w:rFonts w:eastAsia="Times New Roman" w:cs="Times New Roman"/>
          <w:szCs w:val="20"/>
        </w:rPr>
        <w:t xml:space="preserve"> </w:t>
      </w:r>
      <w:r w:rsidRPr="00026F9B">
        <w:rPr>
          <w:rFonts w:eastAsia="Times New Roman" w:cs="Times New Roman"/>
          <w:szCs w:val="20"/>
        </w:rPr>
        <w:t>an annual total SQI SAIDI benchmark of 320 minutes and a corresponding annual performance calculation based on the 5-year-rolling average of annual all-inclusive SAIDI results.</w:t>
      </w:r>
      <w:r w:rsidR="00CB5A60" w:rsidRPr="00026F9B">
        <w:rPr>
          <w:rFonts w:eastAsia="Times New Roman" w:cs="Times New Roman"/>
          <w:szCs w:val="20"/>
          <w:vertAlign w:val="superscript"/>
        </w:rPr>
        <w:footnoteReference w:id="14"/>
      </w:r>
      <w:r w:rsidRPr="00026F9B">
        <w:rPr>
          <w:rFonts w:eastAsia="Times New Roman" w:cs="Times New Roman"/>
          <w:szCs w:val="20"/>
        </w:rPr>
        <w:t xml:space="preserve"> There was no provision for excluding Major</w:t>
      </w:r>
      <w:r w:rsidR="007001DB">
        <w:rPr>
          <w:rFonts w:eastAsia="Times New Roman" w:cs="Times New Roman"/>
          <w:szCs w:val="20"/>
        </w:rPr>
        <w:t xml:space="preserve"> </w:t>
      </w:r>
      <w:r w:rsidRPr="00026F9B">
        <w:rPr>
          <w:rFonts w:eastAsia="Times New Roman" w:cs="Times New Roman"/>
          <w:szCs w:val="20"/>
        </w:rPr>
        <w:t xml:space="preserve">Events in this temporary SQI SAIDI </w:t>
      </w:r>
      <w:r w:rsidR="0031172F" w:rsidRPr="00026F9B">
        <w:rPr>
          <w:rFonts w:eastAsia="Times New Roman" w:cs="Times New Roman"/>
          <w:szCs w:val="20"/>
        </w:rPr>
        <w:t>mechanics</w:t>
      </w:r>
      <w:r w:rsidR="00E07939">
        <w:rPr>
          <w:rFonts w:eastAsia="Times New Roman" w:cs="Times New Roman"/>
          <w:szCs w:val="20"/>
        </w:rPr>
        <w:t xml:space="preserve"> except </w:t>
      </w:r>
      <w:r w:rsidR="007001DB">
        <w:rPr>
          <w:rFonts w:eastAsia="Times New Roman" w:cs="Times New Roman"/>
          <w:szCs w:val="20"/>
        </w:rPr>
        <w:t xml:space="preserve">certain </w:t>
      </w:r>
      <w:r w:rsidR="00E07939">
        <w:rPr>
          <w:rFonts w:eastAsia="Times New Roman" w:cs="Times New Roman"/>
          <w:szCs w:val="20"/>
        </w:rPr>
        <w:t>exclusion</w:t>
      </w:r>
      <w:r w:rsidR="00F81D7B">
        <w:rPr>
          <w:rFonts w:eastAsia="Times New Roman" w:cs="Times New Roman"/>
          <w:szCs w:val="20"/>
        </w:rPr>
        <w:t>s</w:t>
      </w:r>
      <w:r w:rsidR="00E07939">
        <w:rPr>
          <w:rFonts w:eastAsia="Times New Roman" w:cs="Times New Roman"/>
          <w:szCs w:val="20"/>
        </w:rPr>
        <w:t xml:space="preserve"> approved by the Commission</w:t>
      </w:r>
      <w:r w:rsidRPr="00026F9B">
        <w:rPr>
          <w:rFonts w:eastAsia="Times New Roman" w:cs="Times New Roman"/>
          <w:szCs w:val="20"/>
        </w:rPr>
        <w:t xml:space="preserve">. </w:t>
      </w:r>
    </w:p>
    <w:p w:rsidR="00130F07" w:rsidRPr="00130F07" w:rsidRDefault="00693A88" w:rsidP="00707BC9">
      <w:pPr>
        <w:keepNext/>
        <w:keepLines/>
        <w:numPr>
          <w:ilvl w:val="0"/>
          <w:numId w:val="0"/>
        </w:numPr>
        <w:tabs>
          <w:tab w:val="left" w:pos="720"/>
        </w:tabs>
        <w:spacing w:before="0" w:after="240" w:line="240" w:lineRule="auto"/>
        <w:outlineLvl w:val="1"/>
        <w:rPr>
          <w:rFonts w:ascii="Times New Roman Bold" w:eastAsia="Times New Roman" w:hAnsi="Times New Roman Bold" w:cs="Arial"/>
          <w:b/>
          <w:bCs/>
          <w:iCs/>
          <w:szCs w:val="28"/>
        </w:rPr>
      </w:pPr>
      <w:r>
        <w:rPr>
          <w:rFonts w:ascii="Times New Roman Bold" w:eastAsia="Times New Roman" w:hAnsi="Times New Roman Bold" w:cs="Arial"/>
          <w:b/>
          <w:bCs/>
          <w:iCs/>
          <w:szCs w:val="28"/>
        </w:rPr>
        <w:t>F.</w:t>
      </w:r>
      <w:r>
        <w:rPr>
          <w:rFonts w:ascii="Times New Roman Bold" w:eastAsia="Times New Roman" w:hAnsi="Times New Roman Bold" w:cs="Arial"/>
          <w:b/>
          <w:bCs/>
          <w:iCs/>
          <w:szCs w:val="28"/>
        </w:rPr>
        <w:tab/>
      </w:r>
      <w:r w:rsidR="00130F07" w:rsidRPr="00130F07">
        <w:rPr>
          <w:rFonts w:ascii="Times New Roman Bold" w:eastAsia="Times New Roman" w:hAnsi="Times New Roman Bold" w:cs="Arial"/>
          <w:b/>
          <w:bCs/>
          <w:iCs/>
          <w:szCs w:val="28"/>
        </w:rPr>
        <w:t>2012 SQI SAIDI Petition</w:t>
      </w:r>
      <w:r w:rsidR="00130F07" w:rsidRPr="00130F07">
        <w:rPr>
          <w:rFonts w:ascii="Times New Roman Bold" w:eastAsia="Times New Roman" w:hAnsi="Times New Roman Bold" w:cs="Arial"/>
          <w:b/>
          <w:bCs/>
          <w:iCs/>
          <w:szCs w:val="28"/>
          <w:vertAlign w:val="superscript"/>
        </w:rPr>
        <w:footnoteReference w:id="15"/>
      </w:r>
    </w:p>
    <w:p w:rsidR="00130F07" w:rsidRPr="00130F07" w:rsidRDefault="00130F07" w:rsidP="00B80F2E">
      <w:pPr>
        <w:spacing w:before="0"/>
        <w:ind w:left="0" w:firstLine="720"/>
        <w:rPr>
          <w:rFonts w:eastAsia="Times New Roman" w:cs="Times New Roman"/>
          <w:szCs w:val="20"/>
        </w:rPr>
      </w:pPr>
      <w:r w:rsidRPr="00130F07">
        <w:rPr>
          <w:rFonts w:eastAsia="Times New Roman" w:cs="Times New Roman"/>
          <w:szCs w:val="20"/>
        </w:rPr>
        <w:t>In 2012, the target date of implementation for the OMS was revised to April 1, 2013</w:t>
      </w:r>
      <w:r w:rsidR="007001DB">
        <w:rPr>
          <w:rFonts w:eastAsia="Times New Roman" w:cs="Times New Roman"/>
          <w:szCs w:val="20"/>
        </w:rPr>
        <w:t>,</w:t>
      </w:r>
      <w:r w:rsidRPr="00130F07">
        <w:rPr>
          <w:rFonts w:eastAsia="Times New Roman" w:cs="Times New Roman"/>
          <w:szCs w:val="20"/>
        </w:rPr>
        <w:t xml:space="preserve"> due to PSE accelerating its GIS deployment so that both the OMS and the GIS could be implemented at the same time.  PSE petitioned for </w:t>
      </w:r>
      <w:r w:rsidR="003F4923" w:rsidRPr="00130F07">
        <w:rPr>
          <w:rFonts w:eastAsia="Times New Roman" w:cs="Times New Roman"/>
          <w:szCs w:val="20"/>
        </w:rPr>
        <w:t>an</w:t>
      </w:r>
      <w:r w:rsidRPr="00130F07">
        <w:rPr>
          <w:rFonts w:eastAsia="Times New Roman" w:cs="Times New Roman"/>
          <w:szCs w:val="20"/>
        </w:rPr>
        <w:t xml:space="preserve"> one</w:t>
      </w:r>
      <w:r w:rsidRPr="00130F07">
        <w:rPr>
          <w:rFonts w:eastAsia="Times New Roman" w:cs="Times New Roman"/>
          <w:szCs w:val="20"/>
        </w:rPr>
        <w:noBreakHyphen/>
        <w:t xml:space="preserve">year extension of the temporary </w:t>
      </w:r>
      <w:r w:rsidR="007001DB">
        <w:rPr>
          <w:rFonts w:eastAsia="Times New Roman" w:cs="Times New Roman"/>
          <w:szCs w:val="20"/>
        </w:rPr>
        <w:t xml:space="preserve">SQI SAIDI </w:t>
      </w:r>
      <w:r w:rsidRPr="00130F07">
        <w:rPr>
          <w:rFonts w:eastAsia="Times New Roman" w:cs="Times New Roman"/>
          <w:szCs w:val="20"/>
        </w:rPr>
        <w:t xml:space="preserve">benchmark of 320 to 2014 in order to collect a full year of data from the new OMS </w:t>
      </w:r>
      <w:r w:rsidRPr="00130F07">
        <w:rPr>
          <w:rFonts w:eastAsia="Times New Roman" w:cs="Times New Roman"/>
          <w:szCs w:val="20"/>
        </w:rPr>
        <w:lastRenderedPageBreak/>
        <w:t>system.</w:t>
      </w:r>
      <w:r w:rsidRPr="00130F07" w:rsidDel="00FE7C1A">
        <w:rPr>
          <w:rFonts w:eastAsia="Times New Roman" w:cs="Times New Roman"/>
          <w:szCs w:val="20"/>
        </w:rPr>
        <w:t xml:space="preserve"> </w:t>
      </w:r>
      <w:r w:rsidRPr="00130F07">
        <w:rPr>
          <w:rFonts w:eastAsia="Times New Roman" w:cs="Times New Roman"/>
          <w:szCs w:val="20"/>
        </w:rPr>
        <w:t>Commission Staff supported PSE’s petition because it advanced deployment of the electric GIS by over two years (from the original target of 2015 to 2013).</w:t>
      </w:r>
      <w:r w:rsidR="00D57325" w:rsidRPr="00B80F2E">
        <w:rPr>
          <w:rFonts w:eastAsia="Times New Roman" w:cs="Times New Roman"/>
          <w:szCs w:val="20"/>
          <w:vertAlign w:val="superscript"/>
        </w:rPr>
        <w:footnoteReference w:id="16"/>
      </w:r>
      <w:r w:rsidRPr="00130F07">
        <w:rPr>
          <w:rFonts w:eastAsia="Times New Roman" w:cs="Times New Roman"/>
          <w:szCs w:val="20"/>
        </w:rPr>
        <w:t xml:space="preserve">  The Commission approved PSE’s petition. </w:t>
      </w:r>
    </w:p>
    <w:p w:rsidR="00130F07" w:rsidRPr="00130F07" w:rsidRDefault="00130F07" w:rsidP="00707BC9">
      <w:pPr>
        <w:keepNext/>
        <w:keepLines/>
        <w:numPr>
          <w:ilvl w:val="0"/>
          <w:numId w:val="0"/>
        </w:numPr>
        <w:tabs>
          <w:tab w:val="left" w:pos="720"/>
        </w:tabs>
        <w:spacing w:before="0" w:after="240" w:line="240" w:lineRule="auto"/>
        <w:outlineLvl w:val="1"/>
        <w:rPr>
          <w:rFonts w:ascii="Times New Roman Bold" w:eastAsia="Times New Roman" w:hAnsi="Times New Roman Bold" w:cs="Arial"/>
          <w:b/>
          <w:bCs/>
          <w:iCs/>
          <w:szCs w:val="28"/>
        </w:rPr>
      </w:pPr>
      <w:r w:rsidRPr="00130F07">
        <w:rPr>
          <w:rFonts w:ascii="Times New Roman Bold" w:eastAsia="Times New Roman" w:hAnsi="Times New Roman Bold" w:cs="Arial"/>
          <w:b/>
          <w:bCs/>
          <w:iCs/>
          <w:szCs w:val="28"/>
        </w:rPr>
        <w:t>G.</w:t>
      </w:r>
      <w:r w:rsidRPr="00130F07">
        <w:rPr>
          <w:rFonts w:ascii="Times New Roman Bold" w:eastAsia="Times New Roman" w:hAnsi="Times New Roman Bold" w:cs="Arial"/>
          <w:b/>
          <w:bCs/>
          <w:iCs/>
          <w:szCs w:val="28"/>
        </w:rPr>
        <w:tab/>
        <w:t>2014 SQI SAIDI Petition</w:t>
      </w:r>
      <w:r w:rsidRPr="00130F07">
        <w:rPr>
          <w:rFonts w:ascii="Times New Roman Bold" w:eastAsia="Times New Roman" w:hAnsi="Times New Roman Bold" w:cs="Arial"/>
          <w:b/>
          <w:bCs/>
          <w:iCs/>
          <w:szCs w:val="28"/>
          <w:vertAlign w:val="superscript"/>
        </w:rPr>
        <w:footnoteReference w:id="17"/>
      </w:r>
    </w:p>
    <w:p w:rsidR="00130F07" w:rsidRPr="00130F07" w:rsidRDefault="00130F07" w:rsidP="00B80F2E">
      <w:pPr>
        <w:spacing w:before="0"/>
        <w:ind w:left="0" w:firstLine="720"/>
        <w:rPr>
          <w:rFonts w:eastAsia="Times New Roman" w:cs="Times New Roman"/>
          <w:szCs w:val="20"/>
        </w:rPr>
      </w:pPr>
      <w:r w:rsidRPr="00130F07">
        <w:rPr>
          <w:rFonts w:eastAsia="Times New Roman" w:cs="Times New Roman"/>
          <w:szCs w:val="20"/>
        </w:rPr>
        <w:t>In 2014, PSE petitioned for an additional one</w:t>
      </w:r>
      <w:r w:rsidRPr="00130F07">
        <w:rPr>
          <w:rFonts w:eastAsia="Times New Roman" w:cs="Times New Roman"/>
          <w:szCs w:val="20"/>
        </w:rPr>
        <w:noBreakHyphen/>
        <w:t>year extension of the temporary SQI No. 3: SAIDI benchmark</w:t>
      </w:r>
      <w:r w:rsidRPr="00130F07" w:rsidDel="00FE7C1A">
        <w:rPr>
          <w:rFonts w:eastAsia="Times New Roman" w:cs="Times New Roman"/>
          <w:szCs w:val="20"/>
        </w:rPr>
        <w:t xml:space="preserve"> </w:t>
      </w:r>
      <w:r w:rsidRPr="00130F07">
        <w:rPr>
          <w:rFonts w:eastAsia="Times New Roman" w:cs="Times New Roman"/>
          <w:szCs w:val="20"/>
        </w:rPr>
        <w:t>because it recognized the need of additional data for the design of permanent electric service reliability measures.  In its petition, PSE cited the results of studies that suggest that utilities would report “worse” SAIDI results initially due to a more accurate measurement of reliability, after implementation of an OMS system.</w:t>
      </w:r>
      <w:r w:rsidR="00A415A6">
        <w:rPr>
          <w:rStyle w:val="FootnoteReference"/>
          <w:rFonts w:eastAsia="Times New Roman" w:cs="Times New Roman"/>
          <w:szCs w:val="20"/>
        </w:rPr>
        <w:footnoteReference w:id="18"/>
      </w:r>
      <w:r w:rsidRPr="00130F07">
        <w:rPr>
          <w:rFonts w:eastAsia="Times New Roman" w:cs="Times New Roman"/>
          <w:szCs w:val="20"/>
        </w:rPr>
        <w:t xml:space="preserve"> Again, Commission Staff supported the 2014 petition because it allowed PSE</w:t>
      </w:r>
      <w:r w:rsidR="00866AA0">
        <w:rPr>
          <w:rFonts w:eastAsia="Times New Roman" w:cs="Times New Roman"/>
          <w:szCs w:val="20"/>
        </w:rPr>
        <w:t xml:space="preserve"> </w:t>
      </w:r>
      <w:r w:rsidRPr="00130F07">
        <w:rPr>
          <w:rFonts w:eastAsia="Times New Roman" w:cs="Times New Roman"/>
          <w:szCs w:val="20"/>
        </w:rPr>
        <w:t xml:space="preserve"> </w:t>
      </w:r>
      <w:r w:rsidR="00866AA0">
        <w:rPr>
          <w:rFonts w:eastAsia="Times New Roman" w:cs="Times New Roman"/>
          <w:szCs w:val="20"/>
        </w:rPr>
        <w:t>“</w:t>
      </w:r>
      <w:r w:rsidRPr="00130F07">
        <w:rPr>
          <w:rFonts w:eastAsia="Times New Roman" w:cs="Times New Roman"/>
          <w:szCs w:val="20"/>
        </w:rPr>
        <w:t>to collect sufficient data from the new OMS with accuracy supported by the GIS.</w:t>
      </w:r>
      <w:r w:rsidR="00866AA0">
        <w:rPr>
          <w:rFonts w:eastAsia="Times New Roman" w:cs="Times New Roman"/>
          <w:szCs w:val="20"/>
        </w:rPr>
        <w:t>”</w:t>
      </w:r>
      <w:r w:rsidR="00D57325" w:rsidRPr="007001DB">
        <w:rPr>
          <w:rFonts w:eastAsia="Times New Roman" w:cs="Times New Roman"/>
          <w:szCs w:val="20"/>
          <w:vertAlign w:val="superscript"/>
        </w:rPr>
        <w:footnoteReference w:id="19"/>
      </w:r>
      <w:r w:rsidRPr="00130F07">
        <w:rPr>
          <w:rFonts w:eastAsia="Times New Roman" w:cs="Times New Roman"/>
          <w:szCs w:val="20"/>
        </w:rPr>
        <w:t xml:space="preserve">  The extension of the temporary SQI SAIDI mechanics would also allow PSE to work with the Staff and other stakeholders to establish permanent SQI electric service reliability measures that are based upon both PSE’s OMS experience and industry-accepted standards.  The Commission approved PSE’s petition. </w:t>
      </w:r>
    </w:p>
    <w:p w:rsidR="00130F07" w:rsidRPr="00130F07" w:rsidRDefault="00130F07" w:rsidP="00707BC9">
      <w:pPr>
        <w:keepNext/>
        <w:keepLines/>
        <w:numPr>
          <w:ilvl w:val="0"/>
          <w:numId w:val="0"/>
        </w:numPr>
        <w:tabs>
          <w:tab w:val="left" w:pos="720"/>
        </w:tabs>
        <w:spacing w:before="0" w:after="240" w:line="240" w:lineRule="auto"/>
        <w:outlineLvl w:val="1"/>
        <w:rPr>
          <w:rFonts w:ascii="Times New Roman Bold" w:eastAsia="Times New Roman" w:hAnsi="Times New Roman Bold" w:cs="Arial"/>
          <w:b/>
          <w:bCs/>
          <w:iCs/>
          <w:szCs w:val="28"/>
        </w:rPr>
      </w:pPr>
      <w:r w:rsidRPr="00130F07">
        <w:rPr>
          <w:rFonts w:ascii="Times New Roman Bold" w:eastAsia="Times New Roman" w:hAnsi="Times New Roman Bold" w:cs="Arial"/>
          <w:b/>
          <w:bCs/>
          <w:iCs/>
          <w:szCs w:val="28"/>
        </w:rPr>
        <w:t>H.</w:t>
      </w:r>
      <w:r w:rsidRPr="00130F07">
        <w:rPr>
          <w:rFonts w:ascii="Times New Roman Bold" w:eastAsia="Times New Roman" w:hAnsi="Times New Roman Bold" w:cs="Arial"/>
          <w:b/>
          <w:bCs/>
          <w:iCs/>
          <w:szCs w:val="28"/>
        </w:rPr>
        <w:tab/>
        <w:t>2015 PSE Effort with Commission Staff and Public Council</w:t>
      </w:r>
    </w:p>
    <w:p w:rsidR="00130F07" w:rsidRPr="00130F07" w:rsidRDefault="00130F07" w:rsidP="00B80F2E">
      <w:pPr>
        <w:spacing w:before="0"/>
        <w:ind w:left="0" w:firstLine="720"/>
        <w:rPr>
          <w:rFonts w:eastAsia="Times New Roman" w:cs="Times New Roman"/>
          <w:szCs w:val="20"/>
        </w:rPr>
      </w:pPr>
      <w:r w:rsidRPr="00130F07">
        <w:rPr>
          <w:rFonts w:eastAsia="Times New Roman" w:cs="Times New Roman"/>
          <w:szCs w:val="20"/>
        </w:rPr>
        <w:t>PSE, Commission Staff, and the Public Counsel Unit of the Attorney General (“Public Counsel”) participated in a series of nine discussions on PSE’s SQI No. 3: SAIDI benchmark and performance evaluation mechanics in 2015.  The initial discussion was held on June 18, 2015.  Additional meetings w</w:t>
      </w:r>
      <w:r w:rsidR="00D178B0">
        <w:rPr>
          <w:rFonts w:eastAsia="Times New Roman" w:cs="Times New Roman"/>
          <w:szCs w:val="20"/>
        </w:rPr>
        <w:t>ere held on July 27, August 10</w:t>
      </w:r>
      <w:r w:rsidRPr="00130F07">
        <w:rPr>
          <w:rFonts w:eastAsia="Times New Roman" w:cs="Times New Roman"/>
          <w:szCs w:val="20"/>
        </w:rPr>
        <w:t xml:space="preserve">, August 31, September 14, </w:t>
      </w:r>
      <w:r w:rsidRPr="00130F07">
        <w:rPr>
          <w:rFonts w:eastAsia="Times New Roman" w:cs="Times New Roman"/>
          <w:szCs w:val="20"/>
        </w:rPr>
        <w:lastRenderedPageBreak/>
        <w:t>September 25, October 7, October 21, and October 28.  While the meetings were productive and educational, the stakeholders and PSE were not able to agree on the design of permanent electric service reliability measures.</w:t>
      </w:r>
      <w:r w:rsidR="007001DB">
        <w:rPr>
          <w:rFonts w:eastAsia="Times New Roman" w:cs="Times New Roman"/>
          <w:szCs w:val="20"/>
        </w:rPr>
        <w:t xml:space="preserve"> </w:t>
      </w:r>
      <w:r w:rsidRPr="00130F07">
        <w:rPr>
          <w:rFonts w:eastAsia="Times New Roman" w:cs="Times New Roman"/>
          <w:szCs w:val="20"/>
        </w:rPr>
        <w:t xml:space="preserve"> Therefore, this </w:t>
      </w:r>
      <w:r w:rsidR="00A415A6">
        <w:rPr>
          <w:rFonts w:eastAsia="Times New Roman" w:cs="Times New Roman"/>
          <w:szCs w:val="20"/>
        </w:rPr>
        <w:t>P</w:t>
      </w:r>
      <w:r w:rsidR="00A415A6" w:rsidRPr="00130F07">
        <w:rPr>
          <w:rFonts w:eastAsia="Times New Roman" w:cs="Times New Roman"/>
          <w:szCs w:val="20"/>
        </w:rPr>
        <w:t xml:space="preserve">etition </w:t>
      </w:r>
      <w:r w:rsidRPr="00130F07">
        <w:rPr>
          <w:rFonts w:eastAsia="Times New Roman" w:cs="Times New Roman"/>
          <w:szCs w:val="20"/>
        </w:rPr>
        <w:t xml:space="preserve">presents PSE’s proposal for the permanent SQI No. 3: SAIDI benchmark and performance evaluation mechanics. </w:t>
      </w:r>
    </w:p>
    <w:p w:rsidR="00130F07" w:rsidRPr="00130F07" w:rsidRDefault="00130F07" w:rsidP="00707BC9">
      <w:pPr>
        <w:keepNext/>
        <w:keepLines/>
        <w:numPr>
          <w:ilvl w:val="0"/>
          <w:numId w:val="0"/>
        </w:numPr>
        <w:tabs>
          <w:tab w:val="left" w:pos="720"/>
        </w:tabs>
        <w:spacing w:before="0" w:after="240" w:line="240" w:lineRule="auto"/>
        <w:outlineLvl w:val="1"/>
        <w:rPr>
          <w:rFonts w:ascii="Times New Roman Bold" w:eastAsia="Times New Roman" w:hAnsi="Times New Roman Bold" w:cs="Arial"/>
          <w:b/>
          <w:bCs/>
          <w:iCs/>
          <w:szCs w:val="28"/>
        </w:rPr>
      </w:pPr>
      <w:bookmarkStart w:id="5" w:name="_Ref435604607"/>
      <w:r w:rsidRPr="00130F07">
        <w:rPr>
          <w:rFonts w:ascii="Times New Roman Bold" w:eastAsia="Times New Roman" w:hAnsi="Times New Roman Bold" w:cs="Arial"/>
          <w:b/>
          <w:bCs/>
          <w:iCs/>
          <w:szCs w:val="28"/>
        </w:rPr>
        <w:t>I.</w:t>
      </w:r>
      <w:r w:rsidRPr="00130F07">
        <w:rPr>
          <w:rFonts w:ascii="Times New Roman Bold" w:eastAsia="Times New Roman" w:hAnsi="Times New Roman Bold" w:cs="Arial"/>
          <w:b/>
          <w:bCs/>
          <w:iCs/>
          <w:szCs w:val="28"/>
        </w:rPr>
        <w:tab/>
        <w:t>Business and System Process Changes Impacted by OMS and GIS</w:t>
      </w:r>
      <w:bookmarkEnd w:id="5"/>
    </w:p>
    <w:p w:rsidR="00130F07" w:rsidRPr="003359EB" w:rsidRDefault="00130F07" w:rsidP="003359EB">
      <w:pPr>
        <w:spacing w:before="0"/>
        <w:ind w:left="0" w:firstLine="720"/>
        <w:rPr>
          <w:rFonts w:eastAsia="Times New Roman" w:cs="Times New Roman"/>
          <w:szCs w:val="20"/>
        </w:rPr>
      </w:pPr>
      <w:r w:rsidRPr="003359EB">
        <w:rPr>
          <w:rFonts w:eastAsia="Times New Roman" w:cs="Times New Roman"/>
          <w:szCs w:val="20"/>
        </w:rPr>
        <w:t>On April 1, 2013, PSE implemented</w:t>
      </w:r>
      <w:r w:rsidRPr="003359EB" w:rsidDel="00FE7C1A">
        <w:rPr>
          <w:rFonts w:eastAsia="Times New Roman" w:cs="Times New Roman"/>
          <w:szCs w:val="20"/>
        </w:rPr>
        <w:t xml:space="preserve"> </w:t>
      </w:r>
      <w:r w:rsidRPr="003359EB">
        <w:rPr>
          <w:rFonts w:eastAsia="Times New Roman" w:cs="Times New Roman"/>
          <w:szCs w:val="20"/>
        </w:rPr>
        <w:t>an OMS, GIS, and a Customer Information System (</w:t>
      </w:r>
      <w:r w:rsidR="004A1DF4">
        <w:rPr>
          <w:rFonts w:eastAsia="Times New Roman" w:cs="Times New Roman"/>
          <w:szCs w:val="20"/>
        </w:rPr>
        <w:t>“</w:t>
      </w:r>
      <w:r w:rsidRPr="003359EB">
        <w:rPr>
          <w:rFonts w:eastAsia="Times New Roman" w:cs="Times New Roman"/>
          <w:szCs w:val="20"/>
        </w:rPr>
        <w:t>CIS</w:t>
      </w:r>
      <w:r w:rsidR="004A1DF4">
        <w:rPr>
          <w:rFonts w:eastAsia="Times New Roman" w:cs="Times New Roman"/>
          <w:szCs w:val="20"/>
        </w:rPr>
        <w:t>”</w:t>
      </w:r>
      <w:r w:rsidRPr="003359EB">
        <w:rPr>
          <w:rFonts w:eastAsia="Times New Roman" w:cs="Times New Roman"/>
          <w:szCs w:val="20"/>
        </w:rPr>
        <w:t xml:space="preserve">).  The OMS, along with GIS and CIS, provides PSE with a fully integrated platform for managing electric service restoration and tracking and reporting reliability performance.  </w:t>
      </w:r>
      <w:r w:rsidR="00A645F8" w:rsidRPr="003359EB">
        <w:rPr>
          <w:rFonts w:eastAsia="Times New Roman" w:cs="Times New Roman"/>
          <w:szCs w:val="20"/>
        </w:rPr>
        <w:t xml:space="preserve">The </w:t>
      </w:r>
      <w:r w:rsidR="005C0647" w:rsidRPr="003359EB">
        <w:rPr>
          <w:rFonts w:eastAsia="Times New Roman" w:cs="Times New Roman"/>
          <w:szCs w:val="20"/>
        </w:rPr>
        <w:t xml:space="preserve">implementation of these major </w:t>
      </w:r>
      <w:r w:rsidR="00A645F8" w:rsidRPr="003359EB">
        <w:rPr>
          <w:rFonts w:eastAsia="Times New Roman" w:cs="Times New Roman"/>
          <w:szCs w:val="20"/>
        </w:rPr>
        <w:t>information systems is part of PSE’s effort to</w:t>
      </w:r>
      <w:r w:rsidR="005C0647" w:rsidRPr="003359EB">
        <w:rPr>
          <w:rFonts w:eastAsia="Times New Roman" w:cs="Times New Roman"/>
          <w:szCs w:val="20"/>
        </w:rPr>
        <w:t xml:space="preserve"> modernize its infrastructure</w:t>
      </w:r>
      <w:r w:rsidR="003E28DE" w:rsidRPr="003359EB">
        <w:rPr>
          <w:rFonts w:eastAsia="Times New Roman" w:cs="Times New Roman"/>
          <w:szCs w:val="20"/>
        </w:rPr>
        <w:t xml:space="preserve"> </w:t>
      </w:r>
      <w:r w:rsidR="00845176" w:rsidRPr="003359EB">
        <w:rPr>
          <w:rFonts w:eastAsia="Times New Roman" w:cs="Times New Roman"/>
          <w:szCs w:val="20"/>
        </w:rPr>
        <w:t xml:space="preserve">and </w:t>
      </w:r>
      <w:r w:rsidR="005C0647" w:rsidRPr="003359EB">
        <w:rPr>
          <w:rFonts w:eastAsia="Times New Roman" w:cs="Times New Roman"/>
          <w:szCs w:val="20"/>
        </w:rPr>
        <w:t xml:space="preserve">enhance PSE’s capability to </w:t>
      </w:r>
      <w:r w:rsidR="004A7D29" w:rsidRPr="003359EB">
        <w:rPr>
          <w:rFonts w:eastAsia="Times New Roman" w:cs="Times New Roman"/>
          <w:szCs w:val="20"/>
        </w:rPr>
        <w:t>better serve its customers</w:t>
      </w:r>
      <w:r w:rsidR="005C0647" w:rsidRPr="003359EB">
        <w:rPr>
          <w:rFonts w:eastAsia="Times New Roman" w:cs="Times New Roman"/>
          <w:szCs w:val="20"/>
        </w:rPr>
        <w:t xml:space="preserve">.  Through </w:t>
      </w:r>
      <w:r w:rsidR="004D623C" w:rsidRPr="003359EB">
        <w:rPr>
          <w:rFonts w:eastAsia="Times New Roman" w:cs="Times New Roman"/>
          <w:szCs w:val="20"/>
        </w:rPr>
        <w:t xml:space="preserve">the </w:t>
      </w:r>
      <w:r w:rsidR="004D623C">
        <w:rPr>
          <w:rFonts w:eastAsia="Times New Roman" w:cs="Times New Roman"/>
          <w:szCs w:val="20"/>
        </w:rPr>
        <w:t xml:space="preserve">implementation of these </w:t>
      </w:r>
      <w:r w:rsidR="00773286">
        <w:rPr>
          <w:rFonts w:eastAsia="Times New Roman" w:cs="Times New Roman"/>
          <w:szCs w:val="20"/>
        </w:rPr>
        <w:t>new information systems</w:t>
      </w:r>
      <w:r w:rsidR="004D623C">
        <w:rPr>
          <w:rFonts w:eastAsia="Times New Roman" w:cs="Times New Roman"/>
          <w:szCs w:val="20"/>
        </w:rPr>
        <w:t xml:space="preserve"> and other </w:t>
      </w:r>
      <w:r w:rsidR="005C0647" w:rsidRPr="005C0647">
        <w:rPr>
          <w:rFonts w:eastAsia="Times New Roman" w:cs="Times New Roman"/>
          <w:szCs w:val="20"/>
        </w:rPr>
        <w:t xml:space="preserve">programmatic </w:t>
      </w:r>
      <w:r w:rsidR="004A7D29">
        <w:rPr>
          <w:rFonts w:eastAsia="Times New Roman" w:cs="Times New Roman"/>
          <w:szCs w:val="20"/>
        </w:rPr>
        <w:t xml:space="preserve">electric </w:t>
      </w:r>
      <w:r w:rsidR="003E28DE">
        <w:rPr>
          <w:rFonts w:eastAsia="Times New Roman" w:cs="Times New Roman"/>
          <w:szCs w:val="20"/>
        </w:rPr>
        <w:t xml:space="preserve">infrastructure </w:t>
      </w:r>
      <w:r w:rsidR="005C0647" w:rsidRPr="005C0647">
        <w:rPr>
          <w:rFonts w:eastAsia="Times New Roman" w:cs="Times New Roman"/>
          <w:szCs w:val="20"/>
        </w:rPr>
        <w:t>investment</w:t>
      </w:r>
      <w:r w:rsidR="00F9062D">
        <w:rPr>
          <w:rFonts w:eastAsia="Times New Roman" w:cs="Times New Roman"/>
          <w:szCs w:val="20"/>
        </w:rPr>
        <w:t xml:space="preserve">s </w:t>
      </w:r>
      <w:r w:rsidR="00845176">
        <w:rPr>
          <w:rFonts w:eastAsia="Times New Roman" w:cs="Times New Roman"/>
          <w:szCs w:val="20"/>
        </w:rPr>
        <w:t>(</w:t>
      </w:r>
      <w:r w:rsidR="00F9062D">
        <w:rPr>
          <w:rFonts w:eastAsia="Times New Roman" w:cs="Times New Roman"/>
          <w:szCs w:val="20"/>
        </w:rPr>
        <w:t>such</w:t>
      </w:r>
      <w:r w:rsidR="00F9062D" w:rsidDel="003E28DE">
        <w:rPr>
          <w:rFonts w:eastAsia="Times New Roman" w:cs="Times New Roman"/>
          <w:szCs w:val="20"/>
        </w:rPr>
        <w:t xml:space="preserve"> as</w:t>
      </w:r>
      <w:r w:rsidR="00845176">
        <w:rPr>
          <w:rFonts w:eastAsia="Times New Roman" w:cs="Times New Roman"/>
          <w:szCs w:val="20"/>
        </w:rPr>
        <w:t xml:space="preserve"> its </w:t>
      </w:r>
      <w:r w:rsidR="003E28DE">
        <w:rPr>
          <w:rFonts w:eastAsia="Times New Roman" w:cs="Times New Roman"/>
          <w:szCs w:val="20"/>
        </w:rPr>
        <w:t>Cable Remediation Program, Tree Wire Installation</w:t>
      </w:r>
      <w:r w:rsidR="00924E24">
        <w:rPr>
          <w:rFonts w:eastAsia="Times New Roman" w:cs="Times New Roman"/>
          <w:szCs w:val="20"/>
        </w:rPr>
        <w:t>,</w:t>
      </w:r>
      <w:r w:rsidR="003E28DE">
        <w:rPr>
          <w:rFonts w:eastAsia="Times New Roman" w:cs="Times New Roman"/>
          <w:szCs w:val="20"/>
        </w:rPr>
        <w:t xml:space="preserve"> and</w:t>
      </w:r>
      <w:r w:rsidR="003E2604">
        <w:rPr>
          <w:rFonts w:eastAsia="Times New Roman" w:cs="Times New Roman"/>
          <w:szCs w:val="20"/>
        </w:rPr>
        <w:t xml:space="preserve"> Automatic Sectionalizing Device Installation</w:t>
      </w:r>
      <w:r w:rsidR="00845176">
        <w:rPr>
          <w:rFonts w:eastAsia="Times New Roman" w:cs="Times New Roman"/>
          <w:szCs w:val="20"/>
        </w:rPr>
        <w:t xml:space="preserve">), </w:t>
      </w:r>
      <w:r w:rsidR="00F9062D">
        <w:rPr>
          <w:rFonts w:eastAsia="Times New Roman" w:cs="Times New Roman"/>
          <w:szCs w:val="20"/>
        </w:rPr>
        <w:t xml:space="preserve">PSE can improve its electric </w:t>
      </w:r>
      <w:r w:rsidR="00B55036">
        <w:rPr>
          <w:rFonts w:eastAsia="Times New Roman" w:cs="Times New Roman"/>
          <w:szCs w:val="20"/>
        </w:rPr>
        <w:t>service reliability</w:t>
      </w:r>
      <w:r w:rsidR="004A7D29">
        <w:rPr>
          <w:rFonts w:eastAsia="Times New Roman" w:cs="Times New Roman"/>
          <w:szCs w:val="20"/>
        </w:rPr>
        <w:t xml:space="preserve"> and </w:t>
      </w:r>
      <w:r w:rsidR="004A7D29" w:rsidRPr="004A7D29">
        <w:rPr>
          <w:rFonts w:eastAsia="Times New Roman" w:cs="Times New Roman"/>
          <w:szCs w:val="20"/>
        </w:rPr>
        <w:t>provide reliable, safe, and efficient electric service</w:t>
      </w:r>
      <w:r w:rsidR="00B55036">
        <w:rPr>
          <w:rFonts w:eastAsia="Times New Roman" w:cs="Times New Roman"/>
          <w:szCs w:val="20"/>
        </w:rPr>
        <w:t>.</w:t>
      </w:r>
      <w:r w:rsidR="00A645F8" w:rsidRPr="003359EB">
        <w:rPr>
          <w:rFonts w:eastAsia="Times New Roman" w:cs="Times New Roman"/>
          <w:szCs w:val="20"/>
        </w:rPr>
        <w:t xml:space="preserve">  </w:t>
      </w:r>
      <w:r w:rsidRPr="003359EB">
        <w:rPr>
          <w:rFonts w:eastAsia="Times New Roman" w:cs="Times New Roman"/>
          <w:szCs w:val="20"/>
        </w:rPr>
        <w:t xml:space="preserve">Not surprisingly, the automated OMS highlights some gaps that existed with the prior outage management, data collection and reporting processes (CLX processes or CLX).  Specifically, the key changes occurring in the migration to OMS are: </w:t>
      </w:r>
    </w:p>
    <w:p w:rsidR="00130F07" w:rsidRPr="00130F07" w:rsidRDefault="00130F07" w:rsidP="00130F07">
      <w:pPr>
        <w:numPr>
          <w:ilvl w:val="0"/>
          <w:numId w:val="0"/>
        </w:numPr>
        <w:spacing w:before="0"/>
        <w:rPr>
          <w:rFonts w:eastAsia="Times New Roman" w:cs="Times New Roman"/>
          <w:szCs w:val="20"/>
        </w:rPr>
      </w:pPr>
      <w:r w:rsidRPr="00130F07">
        <w:rPr>
          <w:rFonts w:eastAsia="Times New Roman" w:cs="Times New Roman"/>
          <w:szCs w:val="20"/>
        </w:rPr>
        <w:tab/>
      </w:r>
      <w:r w:rsidRPr="00130F07">
        <w:rPr>
          <w:rFonts w:eastAsia="Times New Roman" w:cs="Times New Roman"/>
          <w:szCs w:val="20"/>
        </w:rPr>
        <w:tab/>
        <w:t>(a)</w:t>
      </w:r>
      <w:r w:rsidRPr="00130F07">
        <w:rPr>
          <w:rFonts w:eastAsia="Times New Roman" w:cs="Times New Roman"/>
          <w:szCs w:val="20"/>
        </w:rPr>
        <w:tab/>
      </w:r>
      <w:r w:rsidRPr="00130F07">
        <w:rPr>
          <w:rFonts w:eastAsia="Times New Roman" w:cs="Times New Roman"/>
          <w:b/>
          <w:szCs w:val="20"/>
        </w:rPr>
        <w:t xml:space="preserve">Identifying the number of impacted customers during an outage:  </w:t>
      </w:r>
      <w:r w:rsidR="00BF2826" w:rsidRPr="00BF2826">
        <w:rPr>
          <w:rFonts w:eastAsia="Times New Roman" w:cs="Times New Roman"/>
          <w:szCs w:val="20"/>
        </w:rPr>
        <w:t>Because the SAIDI calculation is affected by the number of customers experiencing outages, PSE’s implementation of the OMS has had a</w:t>
      </w:r>
      <w:r w:rsidR="00BF2826">
        <w:rPr>
          <w:rFonts w:eastAsia="Times New Roman" w:cs="Times New Roman"/>
          <w:szCs w:val="20"/>
        </w:rPr>
        <w:t>n</w:t>
      </w:r>
      <w:r w:rsidR="00BF2826" w:rsidRPr="00BF2826">
        <w:rPr>
          <w:rFonts w:eastAsia="Times New Roman" w:cs="Times New Roman"/>
          <w:szCs w:val="20"/>
        </w:rPr>
        <w:t xml:space="preserve"> impact on PSE’s SAIDI metrics, causing PSE’s SAIDI results to trend upward without any degradation in reliability.  This is because </w:t>
      </w:r>
      <w:r w:rsidR="00BF2826">
        <w:rPr>
          <w:rFonts w:eastAsia="Times New Roman" w:cs="Times New Roman"/>
          <w:szCs w:val="20"/>
        </w:rPr>
        <w:t>t</w:t>
      </w:r>
      <w:r w:rsidRPr="00130F07">
        <w:rPr>
          <w:rFonts w:eastAsia="Times New Roman" w:cs="Times New Roman"/>
          <w:szCs w:val="20"/>
        </w:rPr>
        <w:t xml:space="preserve">he OMS, coupled with geospatial information from the GIS, produces a more accurate number of customers affected during an outage as compared to the number reported by CLX. </w:t>
      </w:r>
      <w:r w:rsidR="00BF2826">
        <w:rPr>
          <w:rFonts w:eastAsia="Times New Roman" w:cs="Times New Roman"/>
          <w:szCs w:val="20"/>
        </w:rPr>
        <w:t xml:space="preserve"> </w:t>
      </w:r>
      <w:r w:rsidR="00BF2826" w:rsidRPr="00BF2826">
        <w:rPr>
          <w:rFonts w:eastAsia="Times New Roman" w:cs="Times New Roman"/>
          <w:szCs w:val="20"/>
        </w:rPr>
        <w:t xml:space="preserve">The OMS has </w:t>
      </w:r>
      <w:r w:rsidR="00BF2826" w:rsidRPr="00BF2826">
        <w:rPr>
          <w:rFonts w:eastAsia="Times New Roman" w:cs="Times New Roman"/>
          <w:szCs w:val="20"/>
        </w:rPr>
        <w:lastRenderedPageBreak/>
        <w:t xml:space="preserve">functionality to </w:t>
      </w:r>
      <w:r w:rsidR="00DA793F">
        <w:rPr>
          <w:rFonts w:eastAsia="Times New Roman" w:cs="Times New Roman"/>
          <w:szCs w:val="20"/>
        </w:rPr>
        <w:t>include</w:t>
      </w:r>
      <w:r w:rsidR="00BF2826">
        <w:rPr>
          <w:rFonts w:eastAsia="Times New Roman" w:cs="Times New Roman"/>
          <w:szCs w:val="20"/>
        </w:rPr>
        <w:t xml:space="preserve"> </w:t>
      </w:r>
      <w:r w:rsidR="00BF2826" w:rsidRPr="00BF2826">
        <w:rPr>
          <w:rFonts w:eastAsia="Times New Roman" w:cs="Times New Roman"/>
          <w:szCs w:val="20"/>
        </w:rPr>
        <w:t>all customers impacted, regardless if the customer reports the outage.</w:t>
      </w:r>
      <w:r w:rsidR="00BF2826">
        <w:rPr>
          <w:rFonts w:eastAsia="Times New Roman" w:cs="Times New Roman"/>
          <w:szCs w:val="20"/>
        </w:rPr>
        <w:t xml:space="preserve"> </w:t>
      </w:r>
      <w:r w:rsidR="00BF2826" w:rsidRPr="00BF2826">
        <w:rPr>
          <w:rFonts w:eastAsia="Times New Roman" w:cs="Times New Roman"/>
          <w:szCs w:val="20"/>
        </w:rPr>
        <w:t xml:space="preserve"> </w:t>
      </w:r>
      <w:r w:rsidRPr="00130F07">
        <w:rPr>
          <w:rFonts w:eastAsia="Times New Roman" w:cs="Times New Roman"/>
          <w:szCs w:val="20"/>
        </w:rPr>
        <w:t>The CLX did not have the functionality to automatically include all customers affected by an outage; it only estimated the number of customers based on those customers who called in to report the outage</w:t>
      </w:r>
      <w:r w:rsidR="003359EB">
        <w:rPr>
          <w:rFonts w:eastAsia="Times New Roman" w:cs="Times New Roman"/>
          <w:szCs w:val="20"/>
        </w:rPr>
        <w:t>.</w:t>
      </w:r>
      <w:r w:rsidRPr="00130F07">
        <w:rPr>
          <w:rFonts w:eastAsia="Times New Roman" w:cs="Times New Roman"/>
          <w:szCs w:val="20"/>
        </w:rPr>
        <w:t xml:space="preserve"> </w:t>
      </w:r>
      <w:r w:rsidR="00D43D9E">
        <w:rPr>
          <w:rFonts w:eastAsia="Times New Roman" w:cs="Times New Roman"/>
          <w:szCs w:val="20"/>
        </w:rPr>
        <w:t xml:space="preserve"> </w:t>
      </w:r>
      <w:r w:rsidR="00752971">
        <w:rPr>
          <w:rFonts w:eastAsia="Times New Roman" w:cs="Times New Roman"/>
          <w:szCs w:val="20"/>
        </w:rPr>
        <w:t xml:space="preserve">Experienced outage managers could adjust the CLX estimate </w:t>
      </w:r>
      <w:r w:rsidR="00A16327">
        <w:rPr>
          <w:rFonts w:eastAsia="Times New Roman" w:cs="Times New Roman"/>
          <w:szCs w:val="20"/>
        </w:rPr>
        <w:t xml:space="preserve">based on their expertise but nonetheless the </w:t>
      </w:r>
      <w:r w:rsidR="00763714">
        <w:rPr>
          <w:rFonts w:eastAsia="Times New Roman" w:cs="Times New Roman"/>
          <w:szCs w:val="20"/>
        </w:rPr>
        <w:t xml:space="preserve">number of </w:t>
      </w:r>
      <w:r w:rsidR="00A16327">
        <w:rPr>
          <w:rFonts w:eastAsia="Times New Roman" w:cs="Times New Roman"/>
          <w:szCs w:val="20"/>
        </w:rPr>
        <w:t xml:space="preserve">customers out </w:t>
      </w:r>
      <w:r w:rsidR="00763714">
        <w:rPr>
          <w:rFonts w:eastAsia="Times New Roman" w:cs="Times New Roman"/>
          <w:szCs w:val="20"/>
        </w:rPr>
        <w:t xml:space="preserve">of service </w:t>
      </w:r>
      <w:r w:rsidR="00A16327">
        <w:rPr>
          <w:rFonts w:eastAsia="Times New Roman" w:cs="Times New Roman"/>
          <w:szCs w:val="20"/>
        </w:rPr>
        <w:t>was still an estimated count rather than an exact figure.</w:t>
      </w:r>
      <w:r w:rsidR="00752971">
        <w:rPr>
          <w:rFonts w:eastAsia="Times New Roman" w:cs="Times New Roman"/>
          <w:szCs w:val="20"/>
        </w:rPr>
        <w:t xml:space="preserve"> </w:t>
      </w:r>
      <w:r w:rsidR="00D43D9E">
        <w:rPr>
          <w:rFonts w:eastAsia="Times New Roman" w:cs="Times New Roman"/>
          <w:szCs w:val="20"/>
        </w:rPr>
        <w:t xml:space="preserve"> </w:t>
      </w:r>
      <w:r w:rsidRPr="00130F07">
        <w:rPr>
          <w:rFonts w:eastAsia="Times New Roman" w:cs="Times New Roman"/>
          <w:szCs w:val="20"/>
        </w:rPr>
        <w:t xml:space="preserve">As discussed in more detail later in this Petition, the increase in identified </w:t>
      </w:r>
      <w:r w:rsidR="00A61C39">
        <w:rPr>
          <w:rFonts w:eastAsia="Times New Roman" w:cs="Times New Roman"/>
          <w:szCs w:val="20"/>
        </w:rPr>
        <w:t>customer outage count</w:t>
      </w:r>
      <w:r w:rsidR="00A61C39" w:rsidRPr="00130F07">
        <w:rPr>
          <w:rFonts w:eastAsia="Times New Roman" w:cs="Times New Roman"/>
          <w:szCs w:val="20"/>
        </w:rPr>
        <w:t xml:space="preserve"> </w:t>
      </w:r>
      <w:r w:rsidRPr="00130F07">
        <w:rPr>
          <w:rFonts w:eastAsia="Times New Roman" w:cs="Times New Roman"/>
          <w:szCs w:val="20"/>
        </w:rPr>
        <w:t xml:space="preserve">after implementing OMS has been documented by other </w:t>
      </w:r>
      <w:r w:rsidR="0031172F">
        <w:rPr>
          <w:rFonts w:eastAsia="Times New Roman" w:cs="Times New Roman"/>
          <w:szCs w:val="20"/>
        </w:rPr>
        <w:t>utilities and state commissions</w:t>
      </w:r>
      <w:r w:rsidR="00691620">
        <w:rPr>
          <w:rFonts w:eastAsia="Times New Roman" w:cs="Times New Roman"/>
          <w:szCs w:val="20"/>
        </w:rPr>
        <w:t>,</w:t>
      </w:r>
      <w:r w:rsidRPr="00130F07">
        <w:rPr>
          <w:rFonts w:eastAsia="Times New Roman" w:cs="Times New Roman"/>
          <w:szCs w:val="20"/>
        </w:rPr>
        <w:t xml:space="preserve"> and PSE has also documented </w:t>
      </w:r>
      <w:r w:rsidR="00DF5E88">
        <w:rPr>
          <w:rFonts w:eastAsia="Times New Roman" w:cs="Times New Roman"/>
          <w:szCs w:val="20"/>
        </w:rPr>
        <w:t xml:space="preserve">a </w:t>
      </w:r>
      <w:r w:rsidR="00B76F0F">
        <w:rPr>
          <w:rFonts w:eastAsia="Times New Roman" w:cs="Times New Roman"/>
          <w:szCs w:val="20"/>
        </w:rPr>
        <w:t xml:space="preserve">specific </w:t>
      </w:r>
      <w:r w:rsidRPr="00130F07">
        <w:rPr>
          <w:rFonts w:eastAsia="Times New Roman" w:cs="Times New Roman"/>
          <w:szCs w:val="20"/>
        </w:rPr>
        <w:t>instance where a more robust customer outage count was available with OMS.</w:t>
      </w:r>
    </w:p>
    <w:p w:rsidR="00130F07" w:rsidRPr="00130F07" w:rsidRDefault="00130F07" w:rsidP="00130F07">
      <w:pPr>
        <w:numPr>
          <w:ilvl w:val="0"/>
          <w:numId w:val="0"/>
        </w:numPr>
        <w:spacing w:before="0"/>
        <w:rPr>
          <w:rFonts w:eastAsia="Times New Roman" w:cs="Times New Roman"/>
          <w:szCs w:val="20"/>
        </w:rPr>
      </w:pPr>
      <w:r w:rsidRPr="00130F07">
        <w:rPr>
          <w:rFonts w:eastAsia="Times New Roman" w:cs="Times New Roman"/>
          <w:szCs w:val="20"/>
        </w:rPr>
        <w:tab/>
      </w:r>
      <w:r w:rsidRPr="00130F07">
        <w:rPr>
          <w:rFonts w:eastAsia="Times New Roman" w:cs="Times New Roman"/>
          <w:szCs w:val="20"/>
        </w:rPr>
        <w:tab/>
        <w:t>(b)</w:t>
      </w:r>
      <w:r w:rsidRPr="00130F07">
        <w:rPr>
          <w:rFonts w:eastAsia="Times New Roman" w:cs="Times New Roman"/>
          <w:szCs w:val="20"/>
        </w:rPr>
        <w:tab/>
      </w:r>
      <w:r w:rsidRPr="00130F07">
        <w:rPr>
          <w:rFonts w:eastAsia="Times New Roman" w:cs="Times New Roman"/>
          <w:b/>
          <w:szCs w:val="20"/>
        </w:rPr>
        <w:t>Identification of the outage location based on the customer call:</w:t>
      </w:r>
      <w:r w:rsidRPr="00130F07">
        <w:rPr>
          <w:rFonts w:eastAsia="Times New Roman" w:cs="Times New Roman"/>
          <w:szCs w:val="20"/>
        </w:rPr>
        <w:t xml:space="preserve"> Prior to the implementation of the OMS, PSE used paper maps to correlate the customers who reported the outage with the likely source of the outage.  With the OMS, the reported customer location is immediately and automatically identified on the electronic network map when the customer calls in</w:t>
      </w:r>
      <w:r w:rsidR="00A415A6">
        <w:rPr>
          <w:rFonts w:eastAsia="Times New Roman" w:cs="Times New Roman"/>
          <w:szCs w:val="20"/>
        </w:rPr>
        <w:t>,</w:t>
      </w:r>
      <w:r w:rsidRPr="00130F07">
        <w:rPr>
          <w:rFonts w:eastAsia="Times New Roman" w:cs="Times New Roman"/>
          <w:szCs w:val="20"/>
        </w:rPr>
        <w:t xml:space="preserve"> and the prediction rules automate the identification of the source of the outage so that response personnel can be dispatched to source of the outage.  The OMS provides a faster and more precise identification of an outage than the CLX processes.</w:t>
      </w:r>
    </w:p>
    <w:p w:rsidR="00130F07" w:rsidRPr="00130F07" w:rsidRDefault="00130F07" w:rsidP="00130F07">
      <w:pPr>
        <w:numPr>
          <w:ilvl w:val="0"/>
          <w:numId w:val="0"/>
        </w:numPr>
        <w:spacing w:before="0"/>
        <w:rPr>
          <w:rFonts w:cs="Times New Roman"/>
          <w:szCs w:val="20"/>
        </w:rPr>
      </w:pPr>
      <w:r w:rsidRPr="00130F07">
        <w:rPr>
          <w:rFonts w:cs="Times New Roman"/>
          <w:szCs w:val="20"/>
        </w:rPr>
        <w:tab/>
      </w:r>
      <w:r w:rsidRPr="00130F07">
        <w:rPr>
          <w:rFonts w:cs="Times New Roman"/>
          <w:szCs w:val="20"/>
        </w:rPr>
        <w:tab/>
        <w:t>(c)</w:t>
      </w:r>
      <w:r w:rsidRPr="00130F07">
        <w:rPr>
          <w:rFonts w:cs="Times New Roman"/>
          <w:szCs w:val="20"/>
        </w:rPr>
        <w:tab/>
      </w:r>
      <w:r w:rsidRPr="00130F07">
        <w:rPr>
          <w:rFonts w:cs="Times New Roman"/>
          <w:b/>
          <w:szCs w:val="20"/>
        </w:rPr>
        <w:t>Auditing and correcting outage data:</w:t>
      </w:r>
      <w:r w:rsidRPr="00130F07">
        <w:rPr>
          <w:rFonts w:cs="Times New Roman"/>
          <w:szCs w:val="20"/>
        </w:rPr>
        <w:t xml:space="preserve"> From 2004 through</w:t>
      </w:r>
      <w:r w:rsidRPr="00130F07" w:rsidDel="00E07B98">
        <w:rPr>
          <w:rFonts w:cs="Times New Roman"/>
          <w:szCs w:val="20"/>
        </w:rPr>
        <w:t xml:space="preserve"> </w:t>
      </w:r>
      <w:r w:rsidRPr="00130F07">
        <w:rPr>
          <w:rFonts w:cs="Times New Roman"/>
          <w:szCs w:val="20"/>
        </w:rPr>
        <w:t>2009, all non</w:t>
      </w:r>
      <w:r w:rsidR="00B058FC">
        <w:rPr>
          <w:rFonts w:cs="Times New Roman"/>
          <w:szCs w:val="20"/>
        </w:rPr>
        <w:noBreakHyphen/>
        <w:t>M</w:t>
      </w:r>
      <w:r w:rsidRPr="00130F07">
        <w:rPr>
          <w:rFonts w:cs="Times New Roman"/>
          <w:szCs w:val="20"/>
        </w:rPr>
        <w:t>ajor</w:t>
      </w:r>
      <w:r w:rsidR="00B058FC">
        <w:rPr>
          <w:rFonts w:cs="Times New Roman"/>
          <w:szCs w:val="20"/>
        </w:rPr>
        <w:noBreakHyphen/>
        <w:t>E</w:t>
      </w:r>
      <w:r w:rsidRPr="00130F07">
        <w:rPr>
          <w:rFonts w:cs="Times New Roman"/>
          <w:szCs w:val="20"/>
        </w:rPr>
        <w:t>vent</w:t>
      </w:r>
      <w:r w:rsidRPr="00130F07">
        <w:rPr>
          <w:rFonts w:cs="Times New Roman"/>
          <w:szCs w:val="20"/>
          <w:vertAlign w:val="superscript"/>
        </w:rPr>
        <w:footnoteReference w:id="20"/>
      </w:r>
      <w:r w:rsidRPr="00130F07">
        <w:rPr>
          <w:rFonts w:cs="Times New Roman"/>
          <w:szCs w:val="20"/>
        </w:rPr>
        <w:t>outages that were 20,000 customer minute interruptions or higher were audited by PSE and corrected if necessary.  The audited outages account for approximately 10</w:t>
      </w:r>
      <w:r w:rsidR="004A1DF4">
        <w:rPr>
          <w:rFonts w:cs="Times New Roman"/>
          <w:szCs w:val="20"/>
        </w:rPr>
        <w:t xml:space="preserve"> </w:t>
      </w:r>
      <w:r w:rsidR="00661DA5">
        <w:rPr>
          <w:rFonts w:cs="Times New Roman"/>
          <w:szCs w:val="20"/>
        </w:rPr>
        <w:t>percent</w:t>
      </w:r>
      <w:r w:rsidRPr="00130F07">
        <w:rPr>
          <w:rFonts w:cs="Times New Roman"/>
          <w:szCs w:val="20"/>
        </w:rPr>
        <w:t xml:space="preserve"> of the recorded outages.  In 2010, PSE added Major-Event outages with 20,000 customer minutes or higher to the audit process.  Since the OMS implementation in 2013, PSE enhanced </w:t>
      </w:r>
      <w:r w:rsidRPr="00130F07">
        <w:rPr>
          <w:rFonts w:cs="Times New Roman"/>
          <w:szCs w:val="20"/>
        </w:rPr>
        <w:lastRenderedPageBreak/>
        <w:t xml:space="preserve">the business process and is now reviewing </w:t>
      </w:r>
      <w:r w:rsidR="00073715">
        <w:rPr>
          <w:rFonts w:cs="Times New Roman"/>
          <w:szCs w:val="20"/>
        </w:rPr>
        <w:t>all</w:t>
      </w:r>
      <w:r w:rsidRPr="00130F07">
        <w:rPr>
          <w:rFonts w:cs="Times New Roman"/>
          <w:szCs w:val="20"/>
        </w:rPr>
        <w:t xml:space="preserve"> outage data </w:t>
      </w:r>
      <w:r w:rsidR="00691620">
        <w:rPr>
          <w:rFonts w:cs="Times New Roman"/>
          <w:szCs w:val="20"/>
        </w:rPr>
        <w:t>on a</w:t>
      </w:r>
      <w:r w:rsidRPr="00130F07">
        <w:rPr>
          <w:rFonts w:cs="Times New Roman"/>
          <w:szCs w:val="20"/>
        </w:rPr>
        <w:t xml:space="preserve"> daily</w:t>
      </w:r>
      <w:r w:rsidR="00073715">
        <w:rPr>
          <w:rFonts w:cs="Times New Roman"/>
          <w:szCs w:val="20"/>
        </w:rPr>
        <w:t xml:space="preserve"> basis</w:t>
      </w:r>
      <w:r w:rsidRPr="00130F07">
        <w:rPr>
          <w:rFonts w:cs="Times New Roman"/>
          <w:szCs w:val="20"/>
        </w:rPr>
        <w:t>.</w:t>
      </w:r>
      <w:r w:rsidR="00DA793F">
        <w:t xml:space="preserve">  </w:t>
      </w:r>
      <w:r w:rsidR="006D5364">
        <w:t>Therefore the data is more</w:t>
      </w:r>
      <w:r w:rsidR="00B96635">
        <w:t xml:space="preserve"> inclusive and</w:t>
      </w:r>
      <w:r w:rsidR="006D5364">
        <w:t xml:space="preserve"> accurate compared to CLX based processes</w:t>
      </w:r>
      <w:r w:rsidR="00B96635">
        <w:t>.</w:t>
      </w:r>
    </w:p>
    <w:p w:rsidR="00130F07" w:rsidRPr="00130F07" w:rsidRDefault="00130F07" w:rsidP="00693A88">
      <w:pPr>
        <w:pStyle w:val="Heading1"/>
        <w:spacing w:before="0"/>
        <w:rPr>
          <w:rFonts w:eastAsia="Times New Roman"/>
        </w:rPr>
      </w:pPr>
      <w:r w:rsidRPr="00130F07">
        <w:rPr>
          <w:rFonts w:eastAsia="Times New Roman"/>
        </w:rPr>
        <w:t>PSE’S PROPOSAL FOR PERMANENT SQI SAIDI MECHANICS</w:t>
      </w:r>
    </w:p>
    <w:p w:rsidR="00130F07" w:rsidRPr="00130F07" w:rsidRDefault="00130F07" w:rsidP="00707BC9">
      <w:pPr>
        <w:keepNext/>
        <w:keepLines/>
        <w:numPr>
          <w:ilvl w:val="0"/>
          <w:numId w:val="0"/>
        </w:numPr>
        <w:tabs>
          <w:tab w:val="left" w:pos="720"/>
        </w:tabs>
        <w:spacing w:after="240" w:line="240" w:lineRule="auto"/>
        <w:outlineLvl w:val="1"/>
        <w:rPr>
          <w:rFonts w:ascii="Times New Roman Bold" w:eastAsia="Times New Roman" w:hAnsi="Times New Roman Bold" w:cs="Arial"/>
          <w:b/>
          <w:bCs/>
          <w:iCs/>
          <w:szCs w:val="28"/>
        </w:rPr>
      </w:pPr>
      <w:r w:rsidRPr="00130F07">
        <w:rPr>
          <w:rFonts w:ascii="Times New Roman Bold" w:eastAsia="Times New Roman" w:hAnsi="Times New Roman Bold" w:cs="Arial"/>
          <w:b/>
          <w:bCs/>
          <w:iCs/>
          <w:szCs w:val="28"/>
        </w:rPr>
        <w:t>A.</w:t>
      </w:r>
      <w:r w:rsidRPr="00130F07">
        <w:rPr>
          <w:rFonts w:ascii="Times New Roman Bold" w:eastAsia="Times New Roman" w:hAnsi="Times New Roman Bold" w:cs="Arial"/>
          <w:b/>
          <w:bCs/>
          <w:iCs/>
          <w:szCs w:val="28"/>
        </w:rPr>
        <w:tab/>
        <w:t>SQI SAIDI Annual Performance</w:t>
      </w:r>
    </w:p>
    <w:p w:rsidR="00130F07" w:rsidRPr="00130F07" w:rsidRDefault="00130F07" w:rsidP="003C6C37">
      <w:pPr>
        <w:spacing w:before="0"/>
        <w:ind w:left="0" w:firstLine="720"/>
        <w:rPr>
          <w:rFonts w:eastAsia="Times New Roman" w:cs="Times New Roman"/>
          <w:szCs w:val="20"/>
        </w:rPr>
      </w:pPr>
      <w:r w:rsidRPr="00130F07">
        <w:rPr>
          <w:rFonts w:eastAsia="Times New Roman" w:cs="Times New Roman"/>
          <w:szCs w:val="20"/>
        </w:rPr>
        <w:t>PSE proposes aligning the SQI No. 3: SAIDI annual performance calculation to the IEEE St</w:t>
      </w:r>
      <w:r w:rsidR="00F81D7B">
        <w:rPr>
          <w:rFonts w:eastAsia="Times New Roman" w:cs="Times New Roman"/>
          <w:szCs w:val="20"/>
        </w:rPr>
        <w:t>andar</w:t>
      </w:r>
      <w:r w:rsidRPr="00130F07">
        <w:rPr>
          <w:rFonts w:eastAsia="Times New Roman" w:cs="Times New Roman"/>
          <w:szCs w:val="20"/>
        </w:rPr>
        <w:t>d 1366 method (called ‘IEEE SAIDI’ herein</w:t>
      </w:r>
      <w:r w:rsidR="00FF02B5">
        <w:rPr>
          <w:rFonts w:eastAsia="Times New Roman" w:cs="Times New Roman"/>
          <w:szCs w:val="20"/>
        </w:rPr>
        <w:t xml:space="preserve">).  </w:t>
      </w:r>
      <w:r w:rsidR="00B76F0F">
        <w:rPr>
          <w:rFonts w:eastAsia="Times New Roman" w:cs="Times New Roman"/>
          <w:szCs w:val="20"/>
        </w:rPr>
        <w:t xml:space="preserve">This includes adopting </w:t>
      </w:r>
      <w:r w:rsidR="0031172F">
        <w:rPr>
          <w:rFonts w:eastAsia="Times New Roman" w:cs="Times New Roman"/>
          <w:szCs w:val="20"/>
        </w:rPr>
        <w:t xml:space="preserve">the </w:t>
      </w:r>
      <w:r w:rsidR="0031172F" w:rsidRPr="00130F07">
        <w:rPr>
          <w:rFonts w:eastAsia="Times New Roman" w:cs="Times New Roman"/>
          <w:szCs w:val="20"/>
        </w:rPr>
        <w:t>IEEE</w:t>
      </w:r>
      <w:r w:rsidRPr="00130F07">
        <w:rPr>
          <w:rFonts w:eastAsia="Times New Roman" w:cs="Times New Roman"/>
          <w:szCs w:val="20"/>
        </w:rPr>
        <w:t xml:space="preserve"> definition of a </w:t>
      </w:r>
      <w:r w:rsidR="000313FD">
        <w:rPr>
          <w:rFonts w:eastAsia="Times New Roman" w:cs="Times New Roman"/>
          <w:szCs w:val="20"/>
        </w:rPr>
        <w:t>“</w:t>
      </w:r>
      <w:r w:rsidRPr="00130F07">
        <w:rPr>
          <w:rFonts w:eastAsia="Times New Roman" w:cs="Times New Roman"/>
          <w:szCs w:val="20"/>
        </w:rPr>
        <w:t>momentary outage</w:t>
      </w:r>
      <w:r w:rsidR="00691620">
        <w:rPr>
          <w:rFonts w:eastAsia="Times New Roman" w:cs="Times New Roman"/>
          <w:szCs w:val="20"/>
        </w:rPr>
        <w:t>,</w:t>
      </w:r>
      <w:r w:rsidR="000313FD">
        <w:rPr>
          <w:rFonts w:eastAsia="Times New Roman" w:cs="Times New Roman"/>
          <w:szCs w:val="20"/>
        </w:rPr>
        <w:t>” which is</w:t>
      </w:r>
      <w:r w:rsidRPr="00130F07">
        <w:rPr>
          <w:rFonts w:eastAsia="Times New Roman" w:cs="Times New Roman"/>
          <w:szCs w:val="20"/>
        </w:rPr>
        <w:t xml:space="preserve"> five minutes or less, and </w:t>
      </w:r>
      <w:r w:rsidR="000313FD">
        <w:rPr>
          <w:rFonts w:eastAsia="Times New Roman" w:cs="Times New Roman"/>
          <w:szCs w:val="20"/>
        </w:rPr>
        <w:t xml:space="preserve">adopting the IEEE definition of </w:t>
      </w:r>
      <w:r w:rsidRPr="00130F07">
        <w:rPr>
          <w:rFonts w:eastAsia="Times New Roman" w:cs="Times New Roman"/>
          <w:szCs w:val="20"/>
        </w:rPr>
        <w:t xml:space="preserve">a </w:t>
      </w:r>
      <w:r w:rsidR="000313FD">
        <w:rPr>
          <w:rFonts w:eastAsia="Times New Roman" w:cs="Times New Roman"/>
          <w:szCs w:val="20"/>
        </w:rPr>
        <w:t>“</w:t>
      </w:r>
      <w:r w:rsidRPr="00130F07">
        <w:rPr>
          <w:rFonts w:eastAsia="Times New Roman" w:cs="Times New Roman"/>
          <w:szCs w:val="20"/>
        </w:rPr>
        <w:t>sustained outage</w:t>
      </w:r>
      <w:r w:rsidR="00691620">
        <w:rPr>
          <w:rFonts w:eastAsia="Times New Roman" w:cs="Times New Roman"/>
          <w:szCs w:val="20"/>
        </w:rPr>
        <w:t>,</w:t>
      </w:r>
      <w:r w:rsidR="000313FD">
        <w:rPr>
          <w:rFonts w:eastAsia="Times New Roman" w:cs="Times New Roman"/>
          <w:szCs w:val="20"/>
        </w:rPr>
        <w:t>” which</w:t>
      </w:r>
      <w:r w:rsidRPr="00130F07">
        <w:rPr>
          <w:rFonts w:eastAsia="Times New Roman" w:cs="Times New Roman"/>
          <w:szCs w:val="20"/>
        </w:rPr>
        <w:t xml:space="preserve"> is any interruption lasting longer than five minutes.  </w:t>
      </w:r>
      <w:r w:rsidR="00770F75">
        <w:rPr>
          <w:rFonts w:eastAsia="Times New Roman" w:cs="Times New Roman"/>
          <w:szCs w:val="20"/>
        </w:rPr>
        <w:t xml:space="preserve">Additional details regarding the IEEE Standard 1366 method are discussed in Section IV.  Additionally, </w:t>
      </w:r>
      <w:r w:rsidRPr="00130F07">
        <w:rPr>
          <w:rFonts w:eastAsia="Times New Roman" w:cs="Times New Roman"/>
          <w:szCs w:val="20"/>
        </w:rPr>
        <w:t xml:space="preserve">PSE proposes establishing a new benchmark for SQI No. 3 described below.  </w:t>
      </w:r>
    </w:p>
    <w:p w:rsidR="00130F07" w:rsidRPr="00130F07" w:rsidRDefault="00130F07" w:rsidP="00707BC9">
      <w:pPr>
        <w:keepNext/>
        <w:keepLines/>
        <w:numPr>
          <w:ilvl w:val="0"/>
          <w:numId w:val="0"/>
        </w:numPr>
        <w:tabs>
          <w:tab w:val="left" w:pos="720"/>
        </w:tabs>
        <w:spacing w:before="0" w:after="240" w:line="240" w:lineRule="auto"/>
        <w:outlineLvl w:val="1"/>
        <w:rPr>
          <w:rFonts w:ascii="Times New Roman Bold" w:eastAsia="Times New Roman" w:hAnsi="Times New Roman Bold" w:cs="Arial"/>
          <w:b/>
          <w:bCs/>
          <w:iCs/>
          <w:szCs w:val="28"/>
        </w:rPr>
      </w:pPr>
      <w:r w:rsidRPr="00130F07">
        <w:rPr>
          <w:rFonts w:ascii="Times New Roman Bold" w:eastAsia="Times New Roman" w:hAnsi="Times New Roman Bold" w:cs="Arial"/>
          <w:b/>
          <w:bCs/>
          <w:iCs/>
          <w:szCs w:val="28"/>
        </w:rPr>
        <w:t>B.</w:t>
      </w:r>
      <w:r w:rsidRPr="00130F07">
        <w:rPr>
          <w:rFonts w:ascii="Times New Roman Bold" w:eastAsia="Times New Roman" w:hAnsi="Times New Roman Bold" w:cs="Arial"/>
          <w:b/>
          <w:bCs/>
          <w:iCs/>
          <w:szCs w:val="28"/>
        </w:rPr>
        <w:tab/>
        <w:t>SQI SAIDI Benchmark</w:t>
      </w:r>
    </w:p>
    <w:p w:rsidR="00DF5E88" w:rsidRDefault="001A1FAB" w:rsidP="00B80F2E">
      <w:pPr>
        <w:spacing w:before="0"/>
        <w:ind w:left="0" w:firstLine="720"/>
        <w:rPr>
          <w:rFonts w:eastAsia="Times New Roman" w:cs="Times New Roman"/>
          <w:szCs w:val="20"/>
        </w:rPr>
      </w:pPr>
      <w:r w:rsidRPr="00B80F2E">
        <w:rPr>
          <w:rFonts w:eastAsia="Times New Roman" w:cs="Times New Roman"/>
          <w:szCs w:val="20"/>
        </w:rPr>
        <w:t>Herein, the Proposed SQI No. 3</w:t>
      </w:r>
      <w:r w:rsidR="00225E40" w:rsidRPr="00B80F2E">
        <w:rPr>
          <w:rFonts w:eastAsia="Times New Roman" w:cs="Times New Roman"/>
          <w:szCs w:val="20"/>
        </w:rPr>
        <w:t>:</w:t>
      </w:r>
      <w:r w:rsidRPr="00B80F2E">
        <w:rPr>
          <w:rFonts w:eastAsia="Times New Roman" w:cs="Times New Roman"/>
          <w:szCs w:val="20"/>
        </w:rPr>
        <w:t xml:space="preserve"> SAIDI </w:t>
      </w:r>
      <w:r w:rsidR="00225E40" w:rsidRPr="00B80F2E">
        <w:rPr>
          <w:rFonts w:eastAsia="Times New Roman" w:cs="Times New Roman"/>
          <w:szCs w:val="20"/>
        </w:rPr>
        <w:t>b</w:t>
      </w:r>
      <w:r w:rsidRPr="00B80F2E">
        <w:rPr>
          <w:rFonts w:eastAsia="Times New Roman" w:cs="Times New Roman"/>
          <w:szCs w:val="20"/>
        </w:rPr>
        <w:t xml:space="preserve">enchmark </w:t>
      </w:r>
      <w:r w:rsidR="00225E40" w:rsidRPr="00B80F2E">
        <w:rPr>
          <w:rFonts w:eastAsia="Times New Roman" w:cs="Times New Roman"/>
          <w:szCs w:val="20"/>
        </w:rPr>
        <w:t>c</w:t>
      </w:r>
      <w:r w:rsidRPr="00B80F2E">
        <w:rPr>
          <w:rFonts w:eastAsia="Times New Roman" w:cs="Times New Roman"/>
          <w:szCs w:val="20"/>
        </w:rPr>
        <w:t>alculation will be called “Benchmark Calculation</w:t>
      </w:r>
      <w:r w:rsidR="0052061B" w:rsidRPr="00B80F2E">
        <w:rPr>
          <w:rFonts w:eastAsia="Times New Roman" w:cs="Times New Roman"/>
          <w:szCs w:val="20"/>
        </w:rPr>
        <w:t>.</w:t>
      </w:r>
      <w:r w:rsidRPr="00B80F2E">
        <w:rPr>
          <w:rFonts w:eastAsia="Times New Roman" w:cs="Times New Roman"/>
          <w:szCs w:val="20"/>
        </w:rPr>
        <w:t xml:space="preserve">” </w:t>
      </w:r>
      <w:r w:rsidR="00130F07" w:rsidRPr="00B80F2E">
        <w:rPr>
          <w:rFonts w:eastAsia="Times New Roman" w:cs="Times New Roman"/>
          <w:szCs w:val="20"/>
        </w:rPr>
        <w:t xml:space="preserve">Given the limited number of years of longitudinal data available from OMS, PSE proposes implementing a path </w:t>
      </w:r>
      <w:r w:rsidR="00046299" w:rsidRPr="00B80F2E">
        <w:rPr>
          <w:rFonts w:eastAsia="Times New Roman" w:cs="Times New Roman"/>
          <w:szCs w:val="20"/>
        </w:rPr>
        <w:t>that</w:t>
      </w:r>
      <w:r w:rsidR="00630E90">
        <w:rPr>
          <w:rFonts w:eastAsia="Times New Roman" w:cs="Times New Roman"/>
          <w:szCs w:val="20"/>
        </w:rPr>
        <w:t xml:space="preserve"> both establishes a SAIDI benchmark for 2016 – 2018 </w:t>
      </w:r>
      <w:r w:rsidR="006B4180">
        <w:rPr>
          <w:rFonts w:eastAsia="Times New Roman" w:cs="Times New Roman"/>
          <w:szCs w:val="20"/>
        </w:rPr>
        <w:t>and</w:t>
      </w:r>
      <w:r w:rsidR="00046299" w:rsidRPr="00B80F2E">
        <w:rPr>
          <w:rFonts w:eastAsia="Times New Roman" w:cs="Times New Roman"/>
          <w:szCs w:val="20"/>
        </w:rPr>
        <w:t xml:space="preserve"> </w:t>
      </w:r>
      <w:r w:rsidR="006B4180">
        <w:rPr>
          <w:rFonts w:eastAsia="Times New Roman" w:cs="Times New Roman"/>
          <w:szCs w:val="20"/>
        </w:rPr>
        <w:t xml:space="preserve">also </w:t>
      </w:r>
      <w:r w:rsidR="00046299" w:rsidRPr="00B80F2E">
        <w:rPr>
          <w:rFonts w:eastAsia="Times New Roman" w:cs="Times New Roman"/>
          <w:szCs w:val="20"/>
        </w:rPr>
        <w:t xml:space="preserve">leads to the determination of </w:t>
      </w:r>
      <w:r w:rsidR="00130F07" w:rsidRPr="00B80F2E">
        <w:rPr>
          <w:rFonts w:eastAsia="Times New Roman" w:cs="Times New Roman"/>
          <w:szCs w:val="20"/>
        </w:rPr>
        <w:t xml:space="preserve">a permanent </w:t>
      </w:r>
      <w:r w:rsidR="00046299" w:rsidRPr="00B80F2E">
        <w:rPr>
          <w:rFonts w:eastAsia="Times New Roman" w:cs="Times New Roman"/>
          <w:szCs w:val="20"/>
        </w:rPr>
        <w:t xml:space="preserve">SQI SAIDI </w:t>
      </w:r>
      <w:r w:rsidR="00130F07" w:rsidRPr="00B80F2E">
        <w:rPr>
          <w:rFonts w:eastAsia="Times New Roman" w:cs="Times New Roman"/>
          <w:szCs w:val="20"/>
        </w:rPr>
        <w:t>benchmark</w:t>
      </w:r>
      <w:r w:rsidR="006B4180">
        <w:rPr>
          <w:rFonts w:eastAsia="Times New Roman" w:cs="Times New Roman"/>
          <w:szCs w:val="20"/>
        </w:rPr>
        <w:t xml:space="preserve"> for SQI reporting year 2019 and after.  The Benchmark Calculation</w:t>
      </w:r>
      <w:r w:rsidR="00130F07" w:rsidRPr="00B80F2E">
        <w:rPr>
          <w:rFonts w:eastAsia="Times New Roman" w:cs="Times New Roman"/>
          <w:szCs w:val="20"/>
        </w:rPr>
        <w:t xml:space="preserve"> uses </w:t>
      </w:r>
      <w:r w:rsidR="000313FD" w:rsidRPr="00B80F2E">
        <w:rPr>
          <w:rFonts w:eastAsia="Times New Roman" w:cs="Times New Roman"/>
          <w:szCs w:val="20"/>
        </w:rPr>
        <w:t xml:space="preserve">(i) </w:t>
      </w:r>
      <w:r w:rsidR="007710D1" w:rsidRPr="00B80F2E">
        <w:rPr>
          <w:rFonts w:eastAsia="Times New Roman" w:cs="Times New Roman"/>
          <w:szCs w:val="20"/>
        </w:rPr>
        <w:t>2010</w:t>
      </w:r>
      <w:r w:rsidR="007710D1" w:rsidRPr="00B80F2E">
        <w:rPr>
          <w:rFonts w:eastAsia="Times New Roman" w:cs="Times New Roman"/>
          <w:szCs w:val="20"/>
        </w:rPr>
        <w:noBreakHyphen/>
        <w:t xml:space="preserve">2012 </w:t>
      </w:r>
      <w:r w:rsidR="00130F07" w:rsidRPr="00B80F2E">
        <w:rPr>
          <w:rFonts w:eastAsia="Times New Roman" w:cs="Times New Roman"/>
          <w:szCs w:val="20"/>
        </w:rPr>
        <w:t>adjusted pre</w:t>
      </w:r>
      <w:r w:rsidR="004B56E9" w:rsidRPr="00B80F2E">
        <w:rPr>
          <w:rFonts w:eastAsia="Times New Roman" w:cs="Times New Roman"/>
          <w:szCs w:val="20"/>
        </w:rPr>
        <w:noBreakHyphen/>
      </w:r>
      <w:r w:rsidR="00130F07" w:rsidRPr="00B80F2E">
        <w:rPr>
          <w:rFonts w:eastAsia="Times New Roman" w:cs="Times New Roman"/>
          <w:szCs w:val="20"/>
        </w:rPr>
        <w:t>OMS IEEE SAIDI data</w:t>
      </w:r>
      <w:r w:rsidR="000313FD" w:rsidRPr="00B80F2E">
        <w:rPr>
          <w:rFonts w:eastAsia="Times New Roman" w:cs="Times New Roman"/>
          <w:szCs w:val="20"/>
        </w:rPr>
        <w:t xml:space="preserve">, (ii) </w:t>
      </w:r>
      <w:r w:rsidR="007710D1" w:rsidRPr="00B80F2E">
        <w:rPr>
          <w:rFonts w:eastAsia="Times New Roman" w:cs="Times New Roman"/>
          <w:szCs w:val="20"/>
        </w:rPr>
        <w:t>2014</w:t>
      </w:r>
      <w:r w:rsidR="007710D1" w:rsidRPr="00B80F2E">
        <w:rPr>
          <w:rFonts w:eastAsia="Times New Roman" w:cs="Times New Roman"/>
          <w:szCs w:val="20"/>
        </w:rPr>
        <w:noBreakHyphen/>
        <w:t xml:space="preserve">2015 </w:t>
      </w:r>
      <w:r w:rsidR="000313FD" w:rsidRPr="00B80F2E">
        <w:rPr>
          <w:rFonts w:eastAsia="Times New Roman" w:cs="Times New Roman"/>
          <w:szCs w:val="20"/>
        </w:rPr>
        <w:t xml:space="preserve">unadjusted post-OMS </w:t>
      </w:r>
      <w:r w:rsidRPr="00B80F2E">
        <w:rPr>
          <w:rFonts w:eastAsia="Times New Roman" w:cs="Times New Roman"/>
          <w:szCs w:val="20"/>
        </w:rPr>
        <w:t xml:space="preserve">IEEE </w:t>
      </w:r>
      <w:r w:rsidR="000313FD" w:rsidRPr="00B80F2E">
        <w:rPr>
          <w:rFonts w:eastAsia="Times New Roman" w:cs="Times New Roman"/>
          <w:szCs w:val="20"/>
        </w:rPr>
        <w:t xml:space="preserve">SAIDI data that is </w:t>
      </w:r>
      <w:r w:rsidR="007710D1" w:rsidRPr="00B80F2E">
        <w:rPr>
          <w:rFonts w:eastAsia="Times New Roman" w:cs="Times New Roman"/>
          <w:szCs w:val="20"/>
        </w:rPr>
        <w:t xml:space="preserve">currently </w:t>
      </w:r>
      <w:r w:rsidR="000313FD" w:rsidRPr="00B80F2E">
        <w:rPr>
          <w:rFonts w:eastAsia="Times New Roman" w:cs="Times New Roman"/>
          <w:szCs w:val="20"/>
        </w:rPr>
        <w:t xml:space="preserve">available, </w:t>
      </w:r>
      <w:r w:rsidR="00130F07" w:rsidRPr="00B80F2E">
        <w:rPr>
          <w:rFonts w:eastAsia="Times New Roman" w:cs="Times New Roman"/>
          <w:szCs w:val="20"/>
        </w:rPr>
        <w:t xml:space="preserve">and </w:t>
      </w:r>
      <w:r w:rsidR="000313FD" w:rsidRPr="00B80F2E">
        <w:rPr>
          <w:rFonts w:eastAsia="Times New Roman" w:cs="Times New Roman"/>
          <w:szCs w:val="20"/>
        </w:rPr>
        <w:t xml:space="preserve">(iii) </w:t>
      </w:r>
      <w:r w:rsidR="00130F07" w:rsidRPr="00B80F2E">
        <w:rPr>
          <w:rFonts w:eastAsia="Times New Roman" w:cs="Times New Roman"/>
          <w:szCs w:val="20"/>
        </w:rPr>
        <w:t xml:space="preserve">future years of unadjusted post-OMS </w:t>
      </w:r>
      <w:r w:rsidRPr="00B80F2E">
        <w:rPr>
          <w:rFonts w:eastAsia="Times New Roman" w:cs="Times New Roman"/>
          <w:szCs w:val="20"/>
        </w:rPr>
        <w:t xml:space="preserve">IEEE SAIDI </w:t>
      </w:r>
      <w:r w:rsidR="007710D1" w:rsidRPr="00B80F2E">
        <w:rPr>
          <w:rFonts w:eastAsia="Times New Roman" w:cs="Times New Roman"/>
          <w:szCs w:val="20"/>
        </w:rPr>
        <w:t>2016</w:t>
      </w:r>
      <w:r w:rsidR="007710D1" w:rsidRPr="00B80F2E">
        <w:rPr>
          <w:rFonts w:eastAsia="Times New Roman" w:cs="Times New Roman"/>
          <w:szCs w:val="20"/>
        </w:rPr>
        <w:noBreakHyphen/>
        <w:t xml:space="preserve">2018 </w:t>
      </w:r>
      <w:r w:rsidR="00130F07" w:rsidRPr="00B80F2E">
        <w:rPr>
          <w:rFonts w:eastAsia="Times New Roman" w:cs="Times New Roman"/>
          <w:szCs w:val="20"/>
        </w:rPr>
        <w:t>data</w:t>
      </w:r>
      <w:r w:rsidR="000313FD" w:rsidRPr="00B80F2E">
        <w:rPr>
          <w:rFonts w:eastAsia="Times New Roman" w:cs="Times New Roman"/>
          <w:szCs w:val="20"/>
        </w:rPr>
        <w:t xml:space="preserve"> as </w:t>
      </w:r>
      <w:r w:rsidR="00DF5E88">
        <w:rPr>
          <w:rFonts w:eastAsia="Times New Roman" w:cs="Times New Roman"/>
          <w:szCs w:val="20"/>
        </w:rPr>
        <w:t>they</w:t>
      </w:r>
      <w:r w:rsidR="00DF5E88" w:rsidRPr="00B80F2E">
        <w:rPr>
          <w:rFonts w:eastAsia="Times New Roman" w:cs="Times New Roman"/>
          <w:szCs w:val="20"/>
        </w:rPr>
        <w:t xml:space="preserve"> </w:t>
      </w:r>
      <w:r w:rsidR="000313FD" w:rsidRPr="00B80F2E">
        <w:rPr>
          <w:rFonts w:eastAsia="Times New Roman" w:cs="Times New Roman"/>
          <w:szCs w:val="20"/>
        </w:rPr>
        <w:t>become available</w:t>
      </w:r>
      <w:r w:rsidR="00130F07" w:rsidRPr="00B80F2E">
        <w:rPr>
          <w:rFonts w:eastAsia="Times New Roman" w:cs="Times New Roman"/>
          <w:szCs w:val="20"/>
        </w:rPr>
        <w:t xml:space="preserve">.  In doing so, a full five years of </w:t>
      </w:r>
      <w:r w:rsidR="00F81D1A">
        <w:rPr>
          <w:rFonts w:eastAsia="Times New Roman" w:cs="Times New Roman"/>
          <w:szCs w:val="20"/>
        </w:rPr>
        <w:t>post-</w:t>
      </w:r>
      <w:r w:rsidR="001F4639">
        <w:rPr>
          <w:rFonts w:eastAsia="Times New Roman" w:cs="Times New Roman"/>
          <w:szCs w:val="20"/>
        </w:rPr>
        <w:t xml:space="preserve">OMS implementation </w:t>
      </w:r>
      <w:r w:rsidR="00130F07" w:rsidRPr="00B80F2E">
        <w:rPr>
          <w:rFonts w:eastAsia="Times New Roman" w:cs="Times New Roman"/>
          <w:szCs w:val="20"/>
        </w:rPr>
        <w:t xml:space="preserve">performance can be incorporated into formulation of a </w:t>
      </w:r>
      <w:r w:rsidR="001D1408" w:rsidRPr="00B80F2E">
        <w:rPr>
          <w:rFonts w:eastAsia="Times New Roman" w:cs="Times New Roman"/>
          <w:szCs w:val="20"/>
        </w:rPr>
        <w:t xml:space="preserve">permanent </w:t>
      </w:r>
      <w:r w:rsidR="00130F07" w:rsidRPr="00B80F2E">
        <w:rPr>
          <w:rFonts w:eastAsia="Times New Roman" w:cs="Times New Roman"/>
          <w:szCs w:val="20"/>
        </w:rPr>
        <w:t>SQI No. 3</w:t>
      </w:r>
      <w:r w:rsidR="00225E40" w:rsidRPr="00B80F2E">
        <w:rPr>
          <w:rFonts w:eastAsia="Times New Roman" w:cs="Times New Roman"/>
          <w:szCs w:val="20"/>
        </w:rPr>
        <w:t>:</w:t>
      </w:r>
      <w:r w:rsidR="00130F07" w:rsidRPr="00B80F2E">
        <w:rPr>
          <w:rFonts w:eastAsia="Times New Roman" w:cs="Times New Roman"/>
          <w:szCs w:val="20"/>
        </w:rPr>
        <w:t xml:space="preserve"> SAIDI benchmark </w:t>
      </w:r>
      <w:r w:rsidR="00225E40" w:rsidRPr="00B80F2E">
        <w:rPr>
          <w:rFonts w:eastAsia="Times New Roman" w:cs="Times New Roman"/>
          <w:szCs w:val="20"/>
        </w:rPr>
        <w:t xml:space="preserve">for SQI reporting years </w:t>
      </w:r>
      <w:r w:rsidR="00130F07" w:rsidRPr="00B80F2E">
        <w:rPr>
          <w:rFonts w:eastAsia="Times New Roman" w:cs="Times New Roman"/>
          <w:szCs w:val="20"/>
        </w:rPr>
        <w:t>2019</w:t>
      </w:r>
      <w:r w:rsidR="00046299" w:rsidRPr="00B80F2E">
        <w:rPr>
          <w:rFonts w:eastAsia="Times New Roman" w:cs="Times New Roman"/>
          <w:szCs w:val="20"/>
        </w:rPr>
        <w:t xml:space="preserve"> and </w:t>
      </w:r>
      <w:r w:rsidR="00225E40" w:rsidRPr="00B80F2E">
        <w:rPr>
          <w:rFonts w:eastAsia="Times New Roman" w:cs="Times New Roman"/>
          <w:szCs w:val="20"/>
        </w:rPr>
        <w:t>years after</w:t>
      </w:r>
      <w:r w:rsidR="00130F07" w:rsidRPr="00B80F2E">
        <w:rPr>
          <w:rFonts w:eastAsia="Times New Roman" w:cs="Times New Roman"/>
          <w:szCs w:val="20"/>
        </w:rPr>
        <w:t>.</w:t>
      </w:r>
      <w:r w:rsidR="00861859">
        <w:rPr>
          <w:rFonts w:eastAsia="Times New Roman" w:cs="Times New Roman"/>
          <w:szCs w:val="20"/>
        </w:rPr>
        <w:t xml:space="preserve">  </w:t>
      </w:r>
      <w:r w:rsidR="00130F07" w:rsidRPr="00B80F2E">
        <w:rPr>
          <w:rFonts w:eastAsia="Times New Roman" w:cs="Times New Roman"/>
          <w:szCs w:val="20"/>
        </w:rPr>
        <w:t xml:space="preserve">For the </w:t>
      </w:r>
      <w:r w:rsidR="00E33172">
        <w:rPr>
          <w:rFonts w:eastAsia="Times New Roman" w:cs="Times New Roman"/>
          <w:szCs w:val="20"/>
        </w:rPr>
        <w:t xml:space="preserve">2016 through 2018 reporting years, five years of data will also be used, but PSE proposes to adjust </w:t>
      </w:r>
      <w:r w:rsidR="0047464D" w:rsidRPr="00B80F2E">
        <w:rPr>
          <w:rFonts w:eastAsia="Times New Roman" w:cs="Times New Roman"/>
          <w:szCs w:val="20"/>
        </w:rPr>
        <w:t>the pre</w:t>
      </w:r>
      <w:r w:rsidR="004B56E9" w:rsidRPr="00B80F2E">
        <w:rPr>
          <w:rFonts w:eastAsia="Times New Roman" w:cs="Times New Roman"/>
          <w:szCs w:val="20"/>
        </w:rPr>
        <w:noBreakHyphen/>
      </w:r>
      <w:r w:rsidR="0047464D" w:rsidRPr="00B80F2E">
        <w:rPr>
          <w:rFonts w:eastAsia="Times New Roman" w:cs="Times New Roman"/>
          <w:szCs w:val="20"/>
        </w:rPr>
        <w:t xml:space="preserve">OMS IEEE SAIDI values </w:t>
      </w:r>
      <w:r w:rsidR="00130F07" w:rsidRPr="00B80F2E">
        <w:rPr>
          <w:rFonts w:eastAsia="Times New Roman" w:cs="Times New Roman"/>
          <w:szCs w:val="20"/>
        </w:rPr>
        <w:t>by 22</w:t>
      </w:r>
      <w:r w:rsidR="00D178B0">
        <w:rPr>
          <w:rFonts w:eastAsia="Times New Roman" w:cs="Times New Roman"/>
          <w:szCs w:val="20"/>
        </w:rPr>
        <w:t xml:space="preserve"> </w:t>
      </w:r>
      <w:r w:rsidR="00661DA5">
        <w:rPr>
          <w:rFonts w:eastAsia="Times New Roman" w:cs="Times New Roman"/>
          <w:szCs w:val="20"/>
        </w:rPr>
        <w:t>percent</w:t>
      </w:r>
      <w:r w:rsidR="00B45315" w:rsidRPr="00B80F2E">
        <w:rPr>
          <w:rFonts w:eastAsia="Times New Roman" w:cs="Times New Roman"/>
          <w:szCs w:val="20"/>
        </w:rPr>
        <w:t xml:space="preserve"> to address the </w:t>
      </w:r>
      <w:r w:rsidR="00BE554C" w:rsidRPr="00B80F2E">
        <w:rPr>
          <w:rFonts w:eastAsia="Times New Roman" w:cs="Times New Roman"/>
          <w:szCs w:val="20"/>
        </w:rPr>
        <w:t xml:space="preserve">step-change in </w:t>
      </w:r>
      <w:r w:rsidRPr="00B80F2E">
        <w:rPr>
          <w:rFonts w:eastAsia="Times New Roman" w:cs="Times New Roman"/>
          <w:szCs w:val="20"/>
        </w:rPr>
        <w:t xml:space="preserve">IEEE </w:t>
      </w:r>
      <w:r w:rsidR="00B45315" w:rsidRPr="00B80F2E">
        <w:rPr>
          <w:rFonts w:eastAsia="Times New Roman" w:cs="Times New Roman"/>
          <w:szCs w:val="20"/>
        </w:rPr>
        <w:t xml:space="preserve">SAIDI </w:t>
      </w:r>
      <w:r w:rsidR="00BE554C" w:rsidRPr="00B80F2E">
        <w:rPr>
          <w:rFonts w:eastAsia="Times New Roman" w:cs="Times New Roman"/>
          <w:szCs w:val="20"/>
        </w:rPr>
        <w:t xml:space="preserve">resulting </w:t>
      </w:r>
      <w:r w:rsidR="0047464D" w:rsidRPr="00B80F2E">
        <w:rPr>
          <w:rFonts w:eastAsia="Times New Roman" w:cs="Times New Roman"/>
          <w:szCs w:val="20"/>
        </w:rPr>
        <w:t>from</w:t>
      </w:r>
      <w:r w:rsidR="00B45315" w:rsidRPr="00B80F2E">
        <w:rPr>
          <w:rFonts w:eastAsia="Times New Roman" w:cs="Times New Roman"/>
          <w:szCs w:val="20"/>
        </w:rPr>
        <w:t xml:space="preserve"> installation of the OMS</w:t>
      </w:r>
      <w:r w:rsidR="00130F07" w:rsidRPr="00B80F2E">
        <w:rPr>
          <w:rFonts w:eastAsia="Times New Roman" w:cs="Times New Roman"/>
          <w:szCs w:val="20"/>
        </w:rPr>
        <w:t xml:space="preserve">. </w:t>
      </w:r>
      <w:r w:rsidR="009D34F6" w:rsidRPr="00B80F2E">
        <w:rPr>
          <w:rFonts w:eastAsia="Times New Roman" w:cs="Times New Roman"/>
          <w:szCs w:val="20"/>
        </w:rPr>
        <w:t xml:space="preserve"> </w:t>
      </w:r>
      <w:r w:rsidR="003B30A6" w:rsidRPr="00B80F2E">
        <w:rPr>
          <w:rFonts w:eastAsia="Times New Roman" w:cs="Times New Roman"/>
          <w:szCs w:val="20"/>
        </w:rPr>
        <w:lastRenderedPageBreak/>
        <w:t>Furt</w:t>
      </w:r>
      <w:r w:rsidR="00130F07" w:rsidRPr="00B80F2E">
        <w:rPr>
          <w:rFonts w:eastAsia="Times New Roman" w:cs="Times New Roman"/>
          <w:szCs w:val="20"/>
        </w:rPr>
        <w:t>he</w:t>
      </w:r>
      <w:r w:rsidR="003B30A6" w:rsidRPr="00B80F2E">
        <w:rPr>
          <w:rFonts w:eastAsia="Times New Roman" w:cs="Times New Roman"/>
          <w:szCs w:val="20"/>
        </w:rPr>
        <w:t>r discussion of the</w:t>
      </w:r>
      <w:r w:rsidR="00130F07" w:rsidRPr="00B80F2E">
        <w:rPr>
          <w:rFonts w:eastAsia="Times New Roman" w:cs="Times New Roman"/>
          <w:szCs w:val="20"/>
        </w:rPr>
        <w:t xml:space="preserve"> </w:t>
      </w:r>
      <w:r w:rsidR="003B30A6" w:rsidRPr="00B80F2E">
        <w:rPr>
          <w:rFonts w:eastAsia="Times New Roman" w:cs="Times New Roman"/>
          <w:szCs w:val="20"/>
        </w:rPr>
        <w:t>rationale for adjustment of pre</w:t>
      </w:r>
      <w:r w:rsidR="009D34F6" w:rsidRPr="00B80F2E">
        <w:rPr>
          <w:rFonts w:eastAsia="Times New Roman" w:cs="Times New Roman"/>
          <w:szCs w:val="20"/>
        </w:rPr>
        <w:noBreakHyphen/>
      </w:r>
      <w:r w:rsidR="003B30A6" w:rsidRPr="00B80F2E">
        <w:rPr>
          <w:rFonts w:eastAsia="Times New Roman" w:cs="Times New Roman"/>
          <w:szCs w:val="20"/>
        </w:rPr>
        <w:t xml:space="preserve">OMS IEEE SAIDI and the </w:t>
      </w:r>
      <w:r w:rsidR="00130F07" w:rsidRPr="00B80F2E">
        <w:rPr>
          <w:rFonts w:eastAsia="Times New Roman" w:cs="Times New Roman"/>
          <w:szCs w:val="20"/>
        </w:rPr>
        <w:t xml:space="preserve">selection of </w:t>
      </w:r>
      <w:r w:rsidR="003B30A6" w:rsidRPr="00B80F2E">
        <w:rPr>
          <w:rFonts w:eastAsia="Times New Roman" w:cs="Times New Roman"/>
          <w:szCs w:val="20"/>
        </w:rPr>
        <w:t xml:space="preserve">a </w:t>
      </w:r>
      <w:r w:rsidR="00130F07" w:rsidRPr="00B80F2E">
        <w:rPr>
          <w:rFonts w:eastAsia="Times New Roman" w:cs="Times New Roman"/>
          <w:szCs w:val="20"/>
        </w:rPr>
        <w:t>22</w:t>
      </w:r>
      <w:r w:rsidR="00D178B0">
        <w:rPr>
          <w:rFonts w:eastAsia="Times New Roman" w:cs="Times New Roman"/>
          <w:szCs w:val="20"/>
        </w:rPr>
        <w:t xml:space="preserve"> </w:t>
      </w:r>
      <w:r w:rsidR="00661DA5">
        <w:rPr>
          <w:rFonts w:eastAsia="Times New Roman" w:cs="Times New Roman"/>
          <w:szCs w:val="20"/>
        </w:rPr>
        <w:t>percent</w:t>
      </w:r>
      <w:r w:rsidR="00130F07" w:rsidRPr="00B80F2E">
        <w:rPr>
          <w:rFonts w:eastAsia="Times New Roman" w:cs="Times New Roman"/>
          <w:szCs w:val="20"/>
        </w:rPr>
        <w:t xml:space="preserve"> </w:t>
      </w:r>
      <w:r w:rsidR="003B30A6" w:rsidRPr="00B80F2E">
        <w:rPr>
          <w:rFonts w:eastAsia="Times New Roman" w:cs="Times New Roman"/>
          <w:szCs w:val="20"/>
        </w:rPr>
        <w:t xml:space="preserve">adjustment factor are </w:t>
      </w:r>
      <w:r w:rsidR="00130F07" w:rsidRPr="00B80F2E">
        <w:rPr>
          <w:rFonts w:eastAsia="Times New Roman" w:cs="Times New Roman"/>
          <w:szCs w:val="20"/>
        </w:rPr>
        <w:t>described in Section </w:t>
      </w:r>
      <w:r w:rsidR="00BF7135">
        <w:rPr>
          <w:rFonts w:eastAsia="Times New Roman" w:cs="Times New Roman"/>
          <w:szCs w:val="20"/>
        </w:rPr>
        <w:t>V</w:t>
      </w:r>
      <w:r w:rsidR="00130F07" w:rsidRPr="00B80F2E">
        <w:rPr>
          <w:rFonts w:eastAsia="Times New Roman" w:cs="Times New Roman"/>
          <w:szCs w:val="20"/>
        </w:rPr>
        <w:t>.</w:t>
      </w:r>
      <w:r w:rsidR="0099234D" w:rsidRPr="00B80F2E">
        <w:rPr>
          <w:rFonts w:eastAsia="Times New Roman" w:cs="Times New Roman"/>
          <w:szCs w:val="20"/>
        </w:rPr>
        <w:t xml:space="preserve">  </w:t>
      </w:r>
    </w:p>
    <w:p w:rsidR="003345E4" w:rsidRDefault="003345E4" w:rsidP="00B80F2E">
      <w:pPr>
        <w:spacing w:before="0"/>
        <w:ind w:left="0" w:firstLine="720"/>
        <w:rPr>
          <w:rFonts w:eastAsia="Times New Roman" w:cs="Times New Roman"/>
          <w:szCs w:val="20"/>
        </w:rPr>
      </w:pPr>
      <w:r>
        <w:rPr>
          <w:rFonts w:eastAsia="Times New Roman" w:cs="Times New Roman"/>
          <w:szCs w:val="20"/>
        </w:rPr>
        <w:t>Table 1, below, provides the proposed SAIDI Benchmark Calculation for each reporting year beginning in 2016.  Note that t</w:t>
      </w:r>
      <w:r w:rsidRPr="00B80F2E">
        <w:rPr>
          <w:rFonts w:eastAsia="Times New Roman" w:cs="Times New Roman"/>
          <w:szCs w:val="20"/>
        </w:rPr>
        <w:t>he SQI SAIDI Benchmark Calculation will exclude 2013 data because it contains both pre- and post</w:t>
      </w:r>
      <w:r w:rsidRPr="00B80F2E">
        <w:rPr>
          <w:rFonts w:eastAsia="Times New Roman" w:cs="Times New Roman"/>
          <w:szCs w:val="20"/>
        </w:rPr>
        <w:noBreakHyphen/>
        <w:t>OMS results that are not easily p</w:t>
      </w:r>
      <w:r>
        <w:rPr>
          <w:rFonts w:eastAsia="Times New Roman" w:cs="Times New Roman"/>
          <w:szCs w:val="20"/>
        </w:rPr>
        <w:t>arsed.</w:t>
      </w:r>
    </w:p>
    <w:p w:rsidR="0099234D" w:rsidRPr="009A7450" w:rsidRDefault="0099234D" w:rsidP="006E6D6E">
      <w:pPr>
        <w:keepNext/>
        <w:numPr>
          <w:ilvl w:val="0"/>
          <w:numId w:val="0"/>
        </w:numPr>
        <w:spacing w:before="0"/>
        <w:ind w:left="720"/>
        <w:rPr>
          <w:b/>
          <w:szCs w:val="24"/>
        </w:rPr>
      </w:pPr>
      <w:r w:rsidRPr="009A7450">
        <w:rPr>
          <w:b/>
          <w:szCs w:val="24"/>
        </w:rPr>
        <w:t xml:space="preserve">Table </w:t>
      </w:r>
      <w:r w:rsidR="00BA2FFB" w:rsidRPr="009A7450">
        <w:rPr>
          <w:b/>
          <w:szCs w:val="24"/>
        </w:rPr>
        <w:fldChar w:fldCharType="begin"/>
      </w:r>
      <w:r w:rsidR="00BA2FFB" w:rsidRPr="009A7450">
        <w:rPr>
          <w:b/>
          <w:szCs w:val="24"/>
        </w:rPr>
        <w:instrText xml:space="preserve"> SEQ Table \* ARABIC </w:instrText>
      </w:r>
      <w:r w:rsidR="00BA2FFB" w:rsidRPr="009A7450">
        <w:rPr>
          <w:b/>
          <w:szCs w:val="24"/>
        </w:rPr>
        <w:fldChar w:fldCharType="separate"/>
      </w:r>
      <w:r w:rsidR="001F31A5">
        <w:rPr>
          <w:b/>
          <w:noProof/>
          <w:szCs w:val="24"/>
        </w:rPr>
        <w:t>1</w:t>
      </w:r>
      <w:r w:rsidR="00BA2FFB" w:rsidRPr="009A7450">
        <w:rPr>
          <w:b/>
          <w:noProof/>
          <w:szCs w:val="24"/>
        </w:rPr>
        <w:fldChar w:fldCharType="end"/>
      </w:r>
      <w:r w:rsidRPr="009A7450">
        <w:rPr>
          <w:b/>
          <w:szCs w:val="24"/>
        </w:rPr>
        <w:t xml:space="preserve">: </w:t>
      </w:r>
      <w:r w:rsidRPr="009A7450">
        <w:rPr>
          <w:rFonts w:eastAsia="Times New Roman" w:cs="Times New Roman"/>
          <w:b/>
          <w:szCs w:val="24"/>
        </w:rPr>
        <w:t>Proposed SQI No. 3 SAIDI Benchmark Calculation</w:t>
      </w:r>
    </w:p>
    <w:tbl>
      <w:tblPr>
        <w:tblStyle w:val="TableGrid1"/>
        <w:tblW w:w="0" w:type="auto"/>
        <w:tblLook w:val="04A0" w:firstRow="1" w:lastRow="0" w:firstColumn="1" w:lastColumn="0" w:noHBand="0" w:noVBand="1"/>
      </w:tblPr>
      <w:tblGrid>
        <w:gridCol w:w="1483"/>
        <w:gridCol w:w="5923"/>
        <w:gridCol w:w="1738"/>
      </w:tblGrid>
      <w:tr w:rsidR="00130F07" w:rsidRPr="00130F07" w:rsidTr="001A1FAB">
        <w:trPr>
          <w:trHeight w:val="300"/>
        </w:trPr>
        <w:tc>
          <w:tcPr>
            <w:tcW w:w="1483" w:type="dxa"/>
            <w:noWrap/>
            <w:hideMark/>
          </w:tcPr>
          <w:p w:rsidR="00130F07" w:rsidRPr="00691620" w:rsidRDefault="00130F07" w:rsidP="00E367B3">
            <w:pPr>
              <w:numPr>
                <w:ilvl w:val="0"/>
                <w:numId w:val="0"/>
              </w:numPr>
              <w:spacing w:line="240" w:lineRule="auto"/>
              <w:rPr>
                <w:rFonts w:eastAsia="Times New Roman"/>
                <w:b/>
              </w:rPr>
            </w:pPr>
            <w:r w:rsidRPr="00691620">
              <w:rPr>
                <w:rFonts w:eastAsia="Times New Roman"/>
                <w:b/>
              </w:rPr>
              <w:br/>
              <w:t>Reporting</w:t>
            </w:r>
            <w:r w:rsidRPr="00691620">
              <w:rPr>
                <w:rFonts w:eastAsia="Times New Roman"/>
                <w:b/>
              </w:rPr>
              <w:br/>
              <w:t>Year</w:t>
            </w:r>
          </w:p>
        </w:tc>
        <w:tc>
          <w:tcPr>
            <w:tcW w:w="5923" w:type="dxa"/>
            <w:noWrap/>
            <w:hideMark/>
          </w:tcPr>
          <w:p w:rsidR="00130F07" w:rsidRPr="00691620" w:rsidRDefault="00130F07" w:rsidP="00130F07">
            <w:pPr>
              <w:numPr>
                <w:ilvl w:val="0"/>
                <w:numId w:val="0"/>
              </w:numPr>
              <w:spacing w:line="240" w:lineRule="auto"/>
              <w:rPr>
                <w:rFonts w:eastAsia="Times New Roman"/>
                <w:b/>
              </w:rPr>
            </w:pPr>
            <w:r w:rsidRPr="00691620">
              <w:rPr>
                <w:rFonts w:eastAsia="Times New Roman"/>
                <w:b/>
              </w:rPr>
              <w:br/>
            </w:r>
            <w:r w:rsidRPr="00691620">
              <w:rPr>
                <w:rFonts w:eastAsia="Times New Roman"/>
                <w:b/>
              </w:rPr>
              <w:br/>
              <w:t xml:space="preserve">Proposed </w:t>
            </w:r>
            <w:r w:rsidR="0099234D" w:rsidRPr="00691620">
              <w:rPr>
                <w:rFonts w:eastAsia="Times New Roman"/>
                <w:b/>
              </w:rPr>
              <w:t xml:space="preserve">SQI No. 3 SAIDI </w:t>
            </w:r>
            <w:r w:rsidRPr="00691620">
              <w:rPr>
                <w:rFonts w:eastAsia="Times New Roman"/>
                <w:b/>
              </w:rPr>
              <w:t>Benchmark</w:t>
            </w:r>
            <w:r w:rsidR="0099234D" w:rsidRPr="00691620">
              <w:rPr>
                <w:rFonts w:eastAsia="Times New Roman"/>
                <w:b/>
              </w:rPr>
              <w:t xml:space="preserve"> Calculation</w:t>
            </w:r>
            <w:r w:rsidR="005633E9" w:rsidRPr="00691620">
              <w:rPr>
                <w:rFonts w:eastAsia="Times New Roman"/>
                <w:b/>
                <w:vertAlign w:val="superscript"/>
              </w:rPr>
              <w:footnoteReference w:id="21"/>
            </w:r>
          </w:p>
        </w:tc>
        <w:tc>
          <w:tcPr>
            <w:tcW w:w="1738" w:type="dxa"/>
            <w:noWrap/>
            <w:hideMark/>
          </w:tcPr>
          <w:p w:rsidR="00130F07" w:rsidRPr="00691620" w:rsidRDefault="00130F07" w:rsidP="00130F07">
            <w:pPr>
              <w:numPr>
                <w:ilvl w:val="0"/>
                <w:numId w:val="0"/>
              </w:numPr>
              <w:spacing w:line="240" w:lineRule="auto"/>
              <w:rPr>
                <w:rFonts w:eastAsia="Times New Roman"/>
                <w:b/>
              </w:rPr>
            </w:pPr>
            <w:r w:rsidRPr="00691620">
              <w:rPr>
                <w:rFonts w:eastAsia="Times New Roman"/>
                <w:b/>
              </w:rPr>
              <w:t>Benchmark Submitted to Commission</w:t>
            </w:r>
          </w:p>
        </w:tc>
      </w:tr>
      <w:tr w:rsidR="00130F07" w:rsidRPr="00130F07" w:rsidTr="001A1FAB">
        <w:trPr>
          <w:trHeight w:val="600"/>
        </w:trPr>
        <w:tc>
          <w:tcPr>
            <w:tcW w:w="1483" w:type="dxa"/>
            <w:noWrap/>
            <w:hideMark/>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2016</w:t>
            </w:r>
          </w:p>
        </w:tc>
        <w:tc>
          <w:tcPr>
            <w:tcW w:w="5923" w:type="dxa"/>
            <w:hideMark/>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 xml:space="preserve">[(Sum of 2010-2012 IEEE SAIDI * 1.22) + (Sum of </w:t>
            </w:r>
            <w:r w:rsidR="009E4F68">
              <w:rPr>
                <w:rFonts w:eastAsia="Times New Roman" w:cs="Times New Roman"/>
                <w:szCs w:val="20"/>
              </w:rPr>
              <w:t xml:space="preserve">actual </w:t>
            </w:r>
            <w:r w:rsidRPr="00130F07">
              <w:rPr>
                <w:rFonts w:eastAsia="Times New Roman" w:cs="Times New Roman"/>
                <w:szCs w:val="20"/>
              </w:rPr>
              <w:t>2014-2015 IEEE SAIDI)]/5 + (1 Standard Deviation of adjusted 2010-2012</w:t>
            </w:r>
            <w:r w:rsidR="009E4F68">
              <w:rPr>
                <w:rFonts w:eastAsia="Times New Roman" w:cs="Times New Roman"/>
                <w:szCs w:val="20"/>
              </w:rPr>
              <w:t xml:space="preserve"> </w:t>
            </w:r>
            <w:r w:rsidR="009E4F68" w:rsidRPr="00130F07">
              <w:rPr>
                <w:rFonts w:eastAsia="Times New Roman" w:cs="Times New Roman"/>
                <w:szCs w:val="20"/>
              </w:rPr>
              <w:t>IEEE SAIDI</w:t>
            </w:r>
            <w:r w:rsidRPr="00130F07">
              <w:rPr>
                <w:rFonts w:eastAsia="Times New Roman" w:cs="Times New Roman"/>
                <w:szCs w:val="20"/>
              </w:rPr>
              <w:t xml:space="preserve">, </w:t>
            </w:r>
            <w:r w:rsidR="00691620">
              <w:rPr>
                <w:rFonts w:eastAsia="Times New Roman" w:cs="Times New Roman"/>
                <w:szCs w:val="20"/>
              </w:rPr>
              <w:t xml:space="preserve">actual </w:t>
            </w:r>
            <w:r w:rsidRPr="00130F07">
              <w:rPr>
                <w:rFonts w:eastAsia="Times New Roman" w:cs="Times New Roman"/>
                <w:szCs w:val="20"/>
              </w:rPr>
              <w:t>2014-2015 IEEE SAIDI)</w:t>
            </w:r>
          </w:p>
        </w:tc>
        <w:tc>
          <w:tcPr>
            <w:tcW w:w="1738" w:type="dxa"/>
            <w:noWrap/>
            <w:hideMark/>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March 2016</w:t>
            </w:r>
          </w:p>
        </w:tc>
      </w:tr>
      <w:tr w:rsidR="00130F07" w:rsidRPr="00130F07" w:rsidTr="001A1FAB">
        <w:trPr>
          <w:trHeight w:val="600"/>
        </w:trPr>
        <w:tc>
          <w:tcPr>
            <w:tcW w:w="1483" w:type="dxa"/>
            <w:noWrap/>
            <w:hideMark/>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2017</w:t>
            </w:r>
          </w:p>
        </w:tc>
        <w:tc>
          <w:tcPr>
            <w:tcW w:w="5923" w:type="dxa"/>
            <w:hideMark/>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 xml:space="preserve">[(Sum of 2011-2012 IEEE SAIDI * 1.22) + (Sum of </w:t>
            </w:r>
            <w:r w:rsidR="009E4F68">
              <w:rPr>
                <w:rFonts w:eastAsia="Times New Roman" w:cs="Times New Roman"/>
                <w:szCs w:val="20"/>
              </w:rPr>
              <w:t xml:space="preserve">actual </w:t>
            </w:r>
            <w:r w:rsidRPr="00130F07">
              <w:rPr>
                <w:rFonts w:eastAsia="Times New Roman" w:cs="Times New Roman"/>
                <w:szCs w:val="20"/>
              </w:rPr>
              <w:t>2014-2016 IEEE SAIDI)]/5 + (1 Standard Deviation of adjusted 2011-2012</w:t>
            </w:r>
            <w:r w:rsidR="009E4F68">
              <w:rPr>
                <w:rFonts w:eastAsia="Times New Roman" w:cs="Times New Roman"/>
                <w:szCs w:val="20"/>
              </w:rPr>
              <w:t xml:space="preserve"> </w:t>
            </w:r>
            <w:r w:rsidR="009E4F68" w:rsidRPr="00130F07">
              <w:rPr>
                <w:rFonts w:eastAsia="Times New Roman" w:cs="Times New Roman"/>
                <w:szCs w:val="20"/>
              </w:rPr>
              <w:t>IEEE SAIDI</w:t>
            </w:r>
            <w:r w:rsidRPr="00130F07">
              <w:rPr>
                <w:rFonts w:eastAsia="Times New Roman" w:cs="Times New Roman"/>
                <w:szCs w:val="20"/>
              </w:rPr>
              <w:t xml:space="preserve">, </w:t>
            </w:r>
            <w:r w:rsidR="00691620">
              <w:rPr>
                <w:rFonts w:eastAsia="Times New Roman" w:cs="Times New Roman"/>
                <w:szCs w:val="20"/>
              </w:rPr>
              <w:t xml:space="preserve">actual </w:t>
            </w:r>
            <w:r w:rsidRPr="00130F07">
              <w:rPr>
                <w:rFonts w:eastAsia="Times New Roman" w:cs="Times New Roman"/>
                <w:szCs w:val="20"/>
              </w:rPr>
              <w:t>2014-2016 IEEE SAIDI)</w:t>
            </w:r>
          </w:p>
        </w:tc>
        <w:tc>
          <w:tcPr>
            <w:tcW w:w="1738" w:type="dxa"/>
            <w:noWrap/>
            <w:hideMark/>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March 2017</w:t>
            </w:r>
          </w:p>
        </w:tc>
      </w:tr>
      <w:tr w:rsidR="00130F07" w:rsidRPr="00130F07" w:rsidTr="001A1FAB">
        <w:trPr>
          <w:trHeight w:val="600"/>
        </w:trPr>
        <w:tc>
          <w:tcPr>
            <w:tcW w:w="1483" w:type="dxa"/>
            <w:noWrap/>
            <w:hideMark/>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2018</w:t>
            </w:r>
          </w:p>
        </w:tc>
        <w:tc>
          <w:tcPr>
            <w:tcW w:w="5923" w:type="dxa"/>
            <w:hideMark/>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 xml:space="preserve">[(2012 IEEE SAIDI * 1.22) + (Sum of </w:t>
            </w:r>
            <w:r w:rsidR="009E4F68">
              <w:rPr>
                <w:rFonts w:eastAsia="Times New Roman" w:cs="Times New Roman"/>
                <w:szCs w:val="20"/>
              </w:rPr>
              <w:t xml:space="preserve">actual </w:t>
            </w:r>
            <w:r w:rsidRPr="00130F07">
              <w:rPr>
                <w:rFonts w:eastAsia="Times New Roman" w:cs="Times New Roman"/>
                <w:szCs w:val="20"/>
              </w:rPr>
              <w:t>2014-2017 IEEE SAIDI)]/5 + (1 Standard Deviation of adjusted 2012</w:t>
            </w:r>
            <w:r w:rsidR="009E4F68">
              <w:rPr>
                <w:rFonts w:eastAsia="Times New Roman" w:cs="Times New Roman"/>
                <w:szCs w:val="20"/>
              </w:rPr>
              <w:t xml:space="preserve"> </w:t>
            </w:r>
            <w:r w:rsidR="009E4F68" w:rsidRPr="00130F07">
              <w:rPr>
                <w:rFonts w:eastAsia="Times New Roman" w:cs="Times New Roman"/>
                <w:szCs w:val="20"/>
              </w:rPr>
              <w:t>IEEE SAIDI</w:t>
            </w:r>
            <w:r w:rsidRPr="00130F07">
              <w:rPr>
                <w:rFonts w:eastAsia="Times New Roman" w:cs="Times New Roman"/>
                <w:szCs w:val="20"/>
              </w:rPr>
              <w:t xml:space="preserve">, </w:t>
            </w:r>
            <w:r w:rsidR="00691620">
              <w:rPr>
                <w:rFonts w:eastAsia="Times New Roman" w:cs="Times New Roman"/>
                <w:szCs w:val="20"/>
              </w:rPr>
              <w:t xml:space="preserve">actual </w:t>
            </w:r>
            <w:r w:rsidRPr="00130F07">
              <w:rPr>
                <w:rFonts w:eastAsia="Times New Roman" w:cs="Times New Roman"/>
                <w:szCs w:val="20"/>
              </w:rPr>
              <w:t>2014-2017 IEEE SAIDI)</w:t>
            </w:r>
          </w:p>
        </w:tc>
        <w:tc>
          <w:tcPr>
            <w:tcW w:w="1738" w:type="dxa"/>
            <w:noWrap/>
            <w:hideMark/>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March 2018</w:t>
            </w:r>
          </w:p>
        </w:tc>
      </w:tr>
      <w:tr w:rsidR="00130F07" w:rsidRPr="00130F07" w:rsidTr="001A1FAB">
        <w:trPr>
          <w:trHeight w:val="300"/>
        </w:trPr>
        <w:tc>
          <w:tcPr>
            <w:tcW w:w="1483" w:type="dxa"/>
            <w:noWrap/>
            <w:hideMark/>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2019 and onward</w:t>
            </w:r>
          </w:p>
        </w:tc>
        <w:tc>
          <w:tcPr>
            <w:tcW w:w="5923" w:type="dxa"/>
            <w:hideMark/>
          </w:tcPr>
          <w:p w:rsidR="00130F07" w:rsidRPr="00130F07" w:rsidRDefault="00130F07" w:rsidP="00BF7135">
            <w:pPr>
              <w:numPr>
                <w:ilvl w:val="0"/>
                <w:numId w:val="0"/>
              </w:numPr>
              <w:spacing w:line="240" w:lineRule="auto"/>
              <w:rPr>
                <w:rFonts w:eastAsia="Times New Roman" w:cs="Times New Roman"/>
                <w:szCs w:val="20"/>
              </w:rPr>
            </w:pPr>
            <w:r w:rsidRPr="00130F07">
              <w:rPr>
                <w:rFonts w:eastAsia="Times New Roman" w:cs="Times New Roman"/>
                <w:szCs w:val="20"/>
              </w:rPr>
              <w:t xml:space="preserve">(Sum of </w:t>
            </w:r>
            <w:r w:rsidR="00906C1B">
              <w:rPr>
                <w:rFonts w:eastAsia="Times New Roman" w:cs="Times New Roman"/>
                <w:szCs w:val="20"/>
              </w:rPr>
              <w:t xml:space="preserve">actual </w:t>
            </w:r>
            <w:r w:rsidRPr="00130F07">
              <w:rPr>
                <w:rFonts w:eastAsia="Times New Roman" w:cs="Times New Roman"/>
                <w:szCs w:val="20"/>
              </w:rPr>
              <w:t xml:space="preserve">2014-2018 IEEE SAIDI)/5 + (1 Standard Deviation of </w:t>
            </w:r>
            <w:r w:rsidR="00691620">
              <w:rPr>
                <w:rFonts w:eastAsia="Times New Roman" w:cs="Times New Roman"/>
                <w:szCs w:val="20"/>
              </w:rPr>
              <w:t xml:space="preserve">actual </w:t>
            </w:r>
            <w:r w:rsidRPr="00130F07">
              <w:rPr>
                <w:rFonts w:eastAsia="Times New Roman" w:cs="Times New Roman"/>
                <w:szCs w:val="20"/>
              </w:rPr>
              <w:t>2014-2018 IEEE SAIDI)</w:t>
            </w:r>
          </w:p>
        </w:tc>
        <w:tc>
          <w:tcPr>
            <w:tcW w:w="1738" w:type="dxa"/>
            <w:noWrap/>
            <w:hideMark/>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 xml:space="preserve">March 2019 </w:t>
            </w:r>
          </w:p>
        </w:tc>
      </w:tr>
    </w:tbl>
    <w:p w:rsidR="00287FBF" w:rsidRPr="00B80F2E" w:rsidRDefault="00287FBF" w:rsidP="006E6D6E">
      <w:pPr>
        <w:ind w:left="0" w:firstLine="720"/>
        <w:rPr>
          <w:rFonts w:eastAsia="Times New Roman" w:cs="Times New Roman"/>
          <w:szCs w:val="20"/>
        </w:rPr>
      </w:pPr>
      <w:r>
        <w:rPr>
          <w:rFonts w:eastAsia="Times New Roman" w:cs="Times New Roman"/>
          <w:szCs w:val="20"/>
        </w:rPr>
        <w:t xml:space="preserve">Table 2 provides an </w:t>
      </w:r>
      <w:r w:rsidRPr="00130F07">
        <w:rPr>
          <w:rFonts w:eastAsia="Times New Roman" w:cs="Times New Roman"/>
          <w:szCs w:val="20"/>
        </w:rPr>
        <w:t xml:space="preserve">example </w:t>
      </w:r>
      <w:r w:rsidR="00866AA0">
        <w:rPr>
          <w:rFonts w:eastAsia="Times New Roman" w:cs="Times New Roman"/>
          <w:szCs w:val="20"/>
        </w:rPr>
        <w:t xml:space="preserve">of </w:t>
      </w:r>
      <w:r w:rsidRPr="00130F07">
        <w:rPr>
          <w:rFonts w:eastAsia="Times New Roman" w:cs="Times New Roman"/>
          <w:szCs w:val="20"/>
        </w:rPr>
        <w:t xml:space="preserve">the </w:t>
      </w:r>
      <w:r>
        <w:rPr>
          <w:rFonts w:eastAsia="Times New Roman" w:cs="Times New Roman"/>
          <w:szCs w:val="20"/>
        </w:rPr>
        <w:t>SQI SAIDI B</w:t>
      </w:r>
      <w:r w:rsidRPr="00130F07">
        <w:rPr>
          <w:rFonts w:eastAsia="Times New Roman" w:cs="Times New Roman"/>
          <w:szCs w:val="20"/>
        </w:rPr>
        <w:t xml:space="preserve">enchmark </w:t>
      </w:r>
      <w:r>
        <w:rPr>
          <w:rFonts w:eastAsia="Times New Roman" w:cs="Times New Roman"/>
          <w:szCs w:val="20"/>
        </w:rPr>
        <w:t>Calculation</w:t>
      </w:r>
      <w:r w:rsidRPr="00130F07">
        <w:rPr>
          <w:rFonts w:eastAsia="Times New Roman" w:cs="Times New Roman"/>
          <w:szCs w:val="20"/>
        </w:rPr>
        <w:t xml:space="preserve"> for 2017 </w:t>
      </w:r>
      <w:r>
        <w:rPr>
          <w:rFonts w:eastAsia="Times New Roman" w:cs="Times New Roman"/>
          <w:szCs w:val="20"/>
        </w:rPr>
        <w:t>using hypothetical values for 2015 and 2016, as the actual values for these years are not yet known.</w:t>
      </w:r>
    </w:p>
    <w:p w:rsidR="0099234D" w:rsidRPr="009A7450" w:rsidRDefault="0099234D" w:rsidP="006E6D6E">
      <w:pPr>
        <w:keepNext/>
        <w:numPr>
          <w:ilvl w:val="0"/>
          <w:numId w:val="0"/>
        </w:numPr>
        <w:spacing w:before="0" w:after="120"/>
        <w:ind w:left="1440"/>
        <w:rPr>
          <w:b/>
          <w:szCs w:val="24"/>
        </w:rPr>
      </w:pPr>
      <w:r w:rsidRPr="009A7450">
        <w:rPr>
          <w:b/>
          <w:szCs w:val="24"/>
        </w:rPr>
        <w:lastRenderedPageBreak/>
        <w:t xml:space="preserve">Table </w:t>
      </w:r>
      <w:r w:rsidR="00BA2FFB" w:rsidRPr="009A7450">
        <w:rPr>
          <w:b/>
          <w:szCs w:val="24"/>
        </w:rPr>
        <w:fldChar w:fldCharType="begin"/>
      </w:r>
      <w:r w:rsidR="00BA2FFB" w:rsidRPr="009A7450">
        <w:rPr>
          <w:b/>
          <w:szCs w:val="24"/>
        </w:rPr>
        <w:instrText xml:space="preserve"> SEQ Table \* ARABIC </w:instrText>
      </w:r>
      <w:r w:rsidR="00BA2FFB" w:rsidRPr="009A7450">
        <w:rPr>
          <w:b/>
          <w:szCs w:val="24"/>
        </w:rPr>
        <w:fldChar w:fldCharType="separate"/>
      </w:r>
      <w:r w:rsidR="001F31A5">
        <w:rPr>
          <w:b/>
          <w:noProof/>
          <w:szCs w:val="24"/>
        </w:rPr>
        <w:t>2</w:t>
      </w:r>
      <w:r w:rsidR="00BA2FFB" w:rsidRPr="009A7450">
        <w:rPr>
          <w:b/>
          <w:noProof/>
          <w:szCs w:val="24"/>
        </w:rPr>
        <w:fldChar w:fldCharType="end"/>
      </w:r>
      <w:r w:rsidRPr="009A7450">
        <w:rPr>
          <w:b/>
          <w:szCs w:val="24"/>
        </w:rPr>
        <w:t>: Hypothetical Example of 2017 Benchmark Calculation</w:t>
      </w:r>
      <w:r w:rsidR="00210620" w:rsidRPr="009A7450">
        <w:rPr>
          <w:b/>
          <w:szCs w:val="24"/>
        </w:rPr>
        <w:t> </w:t>
      </w:r>
    </w:p>
    <w:tbl>
      <w:tblPr>
        <w:tblStyle w:val="TableGrid1"/>
        <w:tblW w:w="0" w:type="auto"/>
        <w:tblLook w:val="04A0" w:firstRow="1" w:lastRow="0" w:firstColumn="1" w:lastColumn="0" w:noHBand="0" w:noVBand="1"/>
      </w:tblPr>
      <w:tblGrid>
        <w:gridCol w:w="2088"/>
        <w:gridCol w:w="1620"/>
        <w:gridCol w:w="2023"/>
        <w:gridCol w:w="1462"/>
        <w:gridCol w:w="2383"/>
      </w:tblGrid>
      <w:tr w:rsidR="00130F07" w:rsidRPr="00130F07" w:rsidTr="001A1FAB">
        <w:trPr>
          <w:trHeight w:val="288"/>
        </w:trPr>
        <w:tc>
          <w:tcPr>
            <w:tcW w:w="2088" w:type="dxa"/>
          </w:tcPr>
          <w:p w:rsidR="00130F07" w:rsidRPr="00691620" w:rsidRDefault="00130F07" w:rsidP="00A16327">
            <w:pPr>
              <w:numPr>
                <w:ilvl w:val="0"/>
                <w:numId w:val="0"/>
              </w:numPr>
              <w:spacing w:line="240" w:lineRule="auto"/>
              <w:jc w:val="center"/>
              <w:rPr>
                <w:rFonts w:eastAsia="Times New Roman"/>
                <w:b/>
              </w:rPr>
            </w:pPr>
            <w:r w:rsidRPr="00691620">
              <w:rPr>
                <w:rFonts w:eastAsia="Times New Roman"/>
                <w:b/>
              </w:rPr>
              <w:br/>
            </w:r>
            <w:r w:rsidRPr="00691620">
              <w:rPr>
                <w:rFonts w:eastAsia="Times New Roman"/>
                <w:b/>
              </w:rPr>
              <w:br/>
              <w:t>Year</w:t>
            </w:r>
          </w:p>
        </w:tc>
        <w:tc>
          <w:tcPr>
            <w:tcW w:w="1620" w:type="dxa"/>
          </w:tcPr>
          <w:p w:rsidR="00130F07" w:rsidRPr="00691620" w:rsidRDefault="00130F07" w:rsidP="00A16327">
            <w:pPr>
              <w:numPr>
                <w:ilvl w:val="0"/>
                <w:numId w:val="0"/>
              </w:numPr>
              <w:spacing w:line="240" w:lineRule="auto"/>
              <w:jc w:val="center"/>
              <w:rPr>
                <w:rFonts w:eastAsia="Times New Roman"/>
                <w:b/>
              </w:rPr>
            </w:pPr>
            <w:r w:rsidRPr="00691620">
              <w:rPr>
                <w:rFonts w:eastAsia="Times New Roman"/>
                <w:b/>
              </w:rPr>
              <w:br/>
              <w:t>Pre</w:t>
            </w:r>
            <w:r w:rsidR="004B56E9" w:rsidRPr="00691620">
              <w:rPr>
                <w:rFonts w:eastAsia="Times New Roman"/>
                <w:b/>
              </w:rPr>
              <w:noBreakHyphen/>
            </w:r>
            <w:r w:rsidRPr="00691620">
              <w:rPr>
                <w:rFonts w:eastAsia="Times New Roman"/>
                <w:b/>
              </w:rPr>
              <w:t>OMS IEEE SAIDI</w:t>
            </w:r>
          </w:p>
        </w:tc>
        <w:tc>
          <w:tcPr>
            <w:tcW w:w="2023" w:type="dxa"/>
          </w:tcPr>
          <w:p w:rsidR="00130F07" w:rsidRPr="00691620" w:rsidRDefault="00130F07" w:rsidP="00A16327">
            <w:pPr>
              <w:numPr>
                <w:ilvl w:val="0"/>
                <w:numId w:val="0"/>
              </w:numPr>
              <w:spacing w:line="240" w:lineRule="auto"/>
              <w:jc w:val="center"/>
              <w:rPr>
                <w:rFonts w:eastAsia="Times New Roman"/>
                <w:b/>
              </w:rPr>
            </w:pPr>
            <w:r w:rsidRPr="00691620">
              <w:rPr>
                <w:rFonts w:eastAsia="Times New Roman"/>
                <w:b/>
              </w:rPr>
              <w:t>Adjusted Pre</w:t>
            </w:r>
            <w:r w:rsidR="0076103A" w:rsidRPr="00691620">
              <w:rPr>
                <w:rFonts w:eastAsia="Times New Roman"/>
                <w:b/>
              </w:rPr>
              <w:noBreakHyphen/>
            </w:r>
            <w:r w:rsidRPr="00691620">
              <w:rPr>
                <w:rFonts w:eastAsia="Times New Roman"/>
                <w:b/>
              </w:rPr>
              <w:t xml:space="preserve">OMS IEEE SAIDI (adjusted by </w:t>
            </w:r>
            <w:r w:rsidRPr="00691620">
              <w:rPr>
                <w:rFonts w:eastAsia="Times New Roman" w:cs="Times New Roman"/>
                <w:b/>
                <w:szCs w:val="20"/>
              </w:rPr>
              <w:t>22</w:t>
            </w:r>
            <w:r w:rsidR="00952BEC" w:rsidRPr="00691620">
              <w:rPr>
                <w:rFonts w:eastAsia="Times New Roman" w:cs="Times New Roman"/>
                <w:b/>
                <w:szCs w:val="20"/>
              </w:rPr>
              <w:t xml:space="preserve"> </w:t>
            </w:r>
            <w:r w:rsidR="00661DA5" w:rsidRPr="00691620">
              <w:rPr>
                <w:rFonts w:eastAsia="Times New Roman" w:cs="Times New Roman"/>
                <w:b/>
                <w:szCs w:val="20"/>
              </w:rPr>
              <w:t>percent</w:t>
            </w:r>
            <w:r w:rsidRPr="00691620">
              <w:rPr>
                <w:rFonts w:eastAsia="Times New Roman"/>
                <w:b/>
              </w:rPr>
              <w:t>)</w:t>
            </w:r>
          </w:p>
        </w:tc>
        <w:tc>
          <w:tcPr>
            <w:tcW w:w="0" w:type="auto"/>
          </w:tcPr>
          <w:p w:rsidR="00130F07" w:rsidRPr="00691620" w:rsidRDefault="00130F07" w:rsidP="00A16327">
            <w:pPr>
              <w:numPr>
                <w:ilvl w:val="0"/>
                <w:numId w:val="0"/>
              </w:numPr>
              <w:spacing w:line="240" w:lineRule="auto"/>
              <w:jc w:val="center"/>
              <w:rPr>
                <w:rFonts w:eastAsia="Times New Roman"/>
                <w:b/>
              </w:rPr>
            </w:pPr>
            <w:r w:rsidRPr="00691620">
              <w:rPr>
                <w:rFonts w:eastAsia="Times New Roman"/>
                <w:b/>
              </w:rPr>
              <w:t>Post</w:t>
            </w:r>
            <w:r w:rsidR="0076103A" w:rsidRPr="00691620">
              <w:rPr>
                <w:rFonts w:eastAsia="Times New Roman"/>
                <w:b/>
              </w:rPr>
              <w:noBreakHyphen/>
            </w:r>
            <w:r w:rsidRPr="00691620">
              <w:rPr>
                <w:rFonts w:eastAsia="Times New Roman"/>
                <w:b/>
              </w:rPr>
              <w:t>OMS SAIDI</w:t>
            </w:r>
          </w:p>
        </w:tc>
        <w:tc>
          <w:tcPr>
            <w:tcW w:w="0" w:type="auto"/>
          </w:tcPr>
          <w:p w:rsidR="00130F07" w:rsidRPr="00691620" w:rsidRDefault="00130F07" w:rsidP="00A16327">
            <w:pPr>
              <w:numPr>
                <w:ilvl w:val="0"/>
                <w:numId w:val="0"/>
              </w:numPr>
              <w:spacing w:line="240" w:lineRule="auto"/>
              <w:jc w:val="center"/>
              <w:rPr>
                <w:rFonts w:eastAsia="Times New Roman"/>
                <w:b/>
              </w:rPr>
            </w:pPr>
            <w:r w:rsidRPr="00691620">
              <w:rPr>
                <w:rFonts w:eastAsia="Times New Roman"/>
                <w:b/>
              </w:rPr>
              <w:t xml:space="preserve">SAIDI value to be used in </w:t>
            </w:r>
            <w:r w:rsidR="001A1FAB" w:rsidRPr="00691620">
              <w:rPr>
                <w:rFonts w:eastAsia="Times New Roman"/>
                <w:b/>
              </w:rPr>
              <w:t>B</w:t>
            </w:r>
            <w:r w:rsidRPr="00691620">
              <w:rPr>
                <w:rFonts w:eastAsia="Times New Roman"/>
                <w:b/>
              </w:rPr>
              <w:t xml:space="preserve">enchmark </w:t>
            </w:r>
            <w:r w:rsidR="001A1FAB" w:rsidRPr="00691620">
              <w:rPr>
                <w:rFonts w:eastAsia="Times New Roman"/>
                <w:b/>
              </w:rPr>
              <w:t>C</w:t>
            </w:r>
            <w:r w:rsidRPr="00691620">
              <w:rPr>
                <w:rFonts w:eastAsia="Times New Roman"/>
                <w:b/>
              </w:rPr>
              <w:t>alculation</w:t>
            </w:r>
          </w:p>
        </w:tc>
      </w:tr>
      <w:tr w:rsidR="00130F07" w:rsidRPr="00130F07" w:rsidTr="001A1FAB">
        <w:trPr>
          <w:trHeight w:val="288"/>
        </w:trPr>
        <w:tc>
          <w:tcPr>
            <w:tcW w:w="2088" w:type="dxa"/>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2011</w:t>
            </w:r>
          </w:p>
        </w:tc>
        <w:tc>
          <w:tcPr>
            <w:tcW w:w="1620" w:type="dxa"/>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144</w:t>
            </w:r>
          </w:p>
        </w:tc>
        <w:tc>
          <w:tcPr>
            <w:tcW w:w="2023" w:type="dxa"/>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176</w:t>
            </w:r>
          </w:p>
        </w:tc>
        <w:tc>
          <w:tcPr>
            <w:tcW w:w="0" w:type="auto"/>
          </w:tcPr>
          <w:p w:rsidR="00130F07" w:rsidRPr="00130F07" w:rsidRDefault="00691620" w:rsidP="00A16327">
            <w:pPr>
              <w:numPr>
                <w:ilvl w:val="0"/>
                <w:numId w:val="0"/>
              </w:numPr>
              <w:spacing w:line="240" w:lineRule="auto"/>
              <w:jc w:val="center"/>
              <w:rPr>
                <w:rFonts w:eastAsia="Times New Roman" w:cs="Times New Roman"/>
                <w:szCs w:val="20"/>
              </w:rPr>
            </w:pPr>
            <w:r>
              <w:rPr>
                <w:rFonts w:eastAsia="Times New Roman" w:cs="Times New Roman"/>
                <w:szCs w:val="20"/>
              </w:rPr>
              <w:t>-</w:t>
            </w:r>
          </w:p>
        </w:tc>
        <w:tc>
          <w:tcPr>
            <w:tcW w:w="0" w:type="auto"/>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176</w:t>
            </w:r>
          </w:p>
        </w:tc>
      </w:tr>
      <w:tr w:rsidR="00130F07" w:rsidRPr="00130F07" w:rsidTr="001A1FAB">
        <w:trPr>
          <w:trHeight w:val="288"/>
        </w:trPr>
        <w:tc>
          <w:tcPr>
            <w:tcW w:w="2088" w:type="dxa"/>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2012</w:t>
            </w:r>
          </w:p>
        </w:tc>
        <w:tc>
          <w:tcPr>
            <w:tcW w:w="1620" w:type="dxa"/>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120</w:t>
            </w:r>
          </w:p>
        </w:tc>
        <w:tc>
          <w:tcPr>
            <w:tcW w:w="2023" w:type="dxa"/>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146</w:t>
            </w:r>
          </w:p>
        </w:tc>
        <w:tc>
          <w:tcPr>
            <w:tcW w:w="0" w:type="auto"/>
          </w:tcPr>
          <w:p w:rsidR="00130F07" w:rsidRPr="00130F07" w:rsidRDefault="00691620" w:rsidP="00A16327">
            <w:pPr>
              <w:numPr>
                <w:ilvl w:val="0"/>
                <w:numId w:val="0"/>
              </w:numPr>
              <w:spacing w:line="240" w:lineRule="auto"/>
              <w:jc w:val="center"/>
              <w:rPr>
                <w:rFonts w:eastAsia="Times New Roman" w:cs="Times New Roman"/>
                <w:szCs w:val="20"/>
              </w:rPr>
            </w:pPr>
            <w:r>
              <w:rPr>
                <w:rFonts w:eastAsia="Times New Roman" w:cs="Times New Roman"/>
                <w:szCs w:val="20"/>
              </w:rPr>
              <w:t>-</w:t>
            </w:r>
          </w:p>
        </w:tc>
        <w:tc>
          <w:tcPr>
            <w:tcW w:w="0" w:type="auto"/>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146</w:t>
            </w:r>
          </w:p>
        </w:tc>
      </w:tr>
      <w:tr w:rsidR="00130F07" w:rsidRPr="00130F07" w:rsidTr="001A1FAB">
        <w:trPr>
          <w:trHeight w:val="288"/>
        </w:trPr>
        <w:tc>
          <w:tcPr>
            <w:tcW w:w="2088" w:type="dxa"/>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2014</w:t>
            </w:r>
          </w:p>
        </w:tc>
        <w:tc>
          <w:tcPr>
            <w:tcW w:w="1620" w:type="dxa"/>
          </w:tcPr>
          <w:p w:rsidR="00130F07" w:rsidRPr="00130F07" w:rsidRDefault="00691620" w:rsidP="00A16327">
            <w:pPr>
              <w:numPr>
                <w:ilvl w:val="0"/>
                <w:numId w:val="0"/>
              </w:numPr>
              <w:spacing w:line="240" w:lineRule="auto"/>
              <w:jc w:val="center"/>
              <w:rPr>
                <w:rFonts w:eastAsia="Times New Roman" w:cs="Times New Roman"/>
                <w:szCs w:val="20"/>
              </w:rPr>
            </w:pPr>
            <w:r>
              <w:rPr>
                <w:rFonts w:eastAsia="Times New Roman" w:cs="Times New Roman"/>
                <w:szCs w:val="20"/>
              </w:rPr>
              <w:t>-</w:t>
            </w:r>
          </w:p>
        </w:tc>
        <w:tc>
          <w:tcPr>
            <w:tcW w:w="2023" w:type="dxa"/>
          </w:tcPr>
          <w:p w:rsidR="00130F07" w:rsidRPr="00130F07" w:rsidRDefault="00691620" w:rsidP="00A16327">
            <w:pPr>
              <w:numPr>
                <w:ilvl w:val="0"/>
                <w:numId w:val="0"/>
              </w:numPr>
              <w:spacing w:line="240" w:lineRule="auto"/>
              <w:jc w:val="center"/>
              <w:rPr>
                <w:rFonts w:eastAsia="Times New Roman" w:cs="Times New Roman"/>
                <w:szCs w:val="20"/>
              </w:rPr>
            </w:pPr>
            <w:r>
              <w:rPr>
                <w:rFonts w:eastAsia="Times New Roman" w:cs="Times New Roman"/>
                <w:szCs w:val="20"/>
              </w:rPr>
              <w:t>-</w:t>
            </w:r>
          </w:p>
        </w:tc>
        <w:tc>
          <w:tcPr>
            <w:tcW w:w="0" w:type="auto"/>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154</w:t>
            </w:r>
          </w:p>
        </w:tc>
        <w:tc>
          <w:tcPr>
            <w:tcW w:w="0" w:type="auto"/>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154</w:t>
            </w:r>
          </w:p>
        </w:tc>
      </w:tr>
      <w:tr w:rsidR="00130F07" w:rsidRPr="00130F07" w:rsidTr="001A1FAB">
        <w:trPr>
          <w:trHeight w:val="288"/>
        </w:trPr>
        <w:tc>
          <w:tcPr>
            <w:tcW w:w="2088" w:type="dxa"/>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2015</w:t>
            </w:r>
          </w:p>
        </w:tc>
        <w:tc>
          <w:tcPr>
            <w:tcW w:w="1620" w:type="dxa"/>
          </w:tcPr>
          <w:p w:rsidR="00130F07" w:rsidRPr="00130F07" w:rsidRDefault="00691620" w:rsidP="00A16327">
            <w:pPr>
              <w:numPr>
                <w:ilvl w:val="0"/>
                <w:numId w:val="0"/>
              </w:numPr>
              <w:spacing w:line="240" w:lineRule="auto"/>
              <w:jc w:val="center"/>
              <w:rPr>
                <w:rFonts w:eastAsia="Times New Roman" w:cs="Times New Roman"/>
                <w:szCs w:val="20"/>
              </w:rPr>
            </w:pPr>
            <w:r>
              <w:rPr>
                <w:rFonts w:eastAsia="Times New Roman" w:cs="Times New Roman"/>
                <w:szCs w:val="20"/>
              </w:rPr>
              <w:t>-</w:t>
            </w:r>
          </w:p>
        </w:tc>
        <w:tc>
          <w:tcPr>
            <w:tcW w:w="2023" w:type="dxa"/>
          </w:tcPr>
          <w:p w:rsidR="00130F07" w:rsidRPr="00130F07" w:rsidRDefault="00691620" w:rsidP="00A16327">
            <w:pPr>
              <w:numPr>
                <w:ilvl w:val="0"/>
                <w:numId w:val="0"/>
              </w:numPr>
              <w:spacing w:line="240" w:lineRule="auto"/>
              <w:jc w:val="center"/>
              <w:rPr>
                <w:rFonts w:eastAsia="Times New Roman" w:cs="Times New Roman"/>
                <w:szCs w:val="20"/>
              </w:rPr>
            </w:pPr>
            <w:r>
              <w:rPr>
                <w:rFonts w:eastAsia="Times New Roman" w:cs="Times New Roman"/>
                <w:szCs w:val="20"/>
              </w:rPr>
              <w:t>-</w:t>
            </w:r>
          </w:p>
        </w:tc>
        <w:tc>
          <w:tcPr>
            <w:tcW w:w="0" w:type="auto"/>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137*</w:t>
            </w:r>
          </w:p>
        </w:tc>
        <w:tc>
          <w:tcPr>
            <w:tcW w:w="0" w:type="auto"/>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137*</w:t>
            </w:r>
          </w:p>
        </w:tc>
      </w:tr>
      <w:tr w:rsidR="00130F07" w:rsidRPr="00130F07" w:rsidTr="001A1FAB">
        <w:trPr>
          <w:trHeight w:val="288"/>
        </w:trPr>
        <w:tc>
          <w:tcPr>
            <w:tcW w:w="2088" w:type="dxa"/>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2016</w:t>
            </w:r>
          </w:p>
        </w:tc>
        <w:tc>
          <w:tcPr>
            <w:tcW w:w="1620" w:type="dxa"/>
          </w:tcPr>
          <w:p w:rsidR="00130F07" w:rsidRPr="00130F07" w:rsidRDefault="00691620" w:rsidP="00A16327">
            <w:pPr>
              <w:numPr>
                <w:ilvl w:val="0"/>
                <w:numId w:val="0"/>
              </w:numPr>
              <w:spacing w:line="240" w:lineRule="auto"/>
              <w:jc w:val="center"/>
              <w:rPr>
                <w:rFonts w:eastAsia="Times New Roman" w:cs="Times New Roman"/>
                <w:szCs w:val="20"/>
              </w:rPr>
            </w:pPr>
            <w:r>
              <w:rPr>
                <w:rFonts w:eastAsia="Times New Roman" w:cs="Times New Roman"/>
                <w:szCs w:val="20"/>
              </w:rPr>
              <w:t>-</w:t>
            </w:r>
          </w:p>
        </w:tc>
        <w:tc>
          <w:tcPr>
            <w:tcW w:w="2023" w:type="dxa"/>
          </w:tcPr>
          <w:p w:rsidR="00130F07" w:rsidRPr="00130F07" w:rsidRDefault="00691620" w:rsidP="00A16327">
            <w:pPr>
              <w:numPr>
                <w:ilvl w:val="0"/>
                <w:numId w:val="0"/>
              </w:numPr>
              <w:spacing w:line="240" w:lineRule="auto"/>
              <w:jc w:val="center"/>
              <w:rPr>
                <w:rFonts w:eastAsia="Times New Roman" w:cs="Times New Roman"/>
                <w:szCs w:val="20"/>
              </w:rPr>
            </w:pPr>
            <w:r>
              <w:rPr>
                <w:rFonts w:eastAsia="Times New Roman" w:cs="Times New Roman"/>
                <w:szCs w:val="20"/>
              </w:rPr>
              <w:t>-</w:t>
            </w:r>
          </w:p>
        </w:tc>
        <w:tc>
          <w:tcPr>
            <w:tcW w:w="0" w:type="auto"/>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160*</w:t>
            </w:r>
          </w:p>
        </w:tc>
        <w:tc>
          <w:tcPr>
            <w:tcW w:w="0" w:type="auto"/>
          </w:tcPr>
          <w:p w:rsidR="00130F07" w:rsidRPr="00130F07" w:rsidRDefault="00130F07" w:rsidP="00A16327">
            <w:pPr>
              <w:numPr>
                <w:ilvl w:val="0"/>
                <w:numId w:val="0"/>
              </w:numPr>
              <w:spacing w:line="240" w:lineRule="auto"/>
              <w:jc w:val="center"/>
              <w:rPr>
                <w:rFonts w:eastAsia="Times New Roman" w:cs="Times New Roman"/>
                <w:szCs w:val="20"/>
              </w:rPr>
            </w:pPr>
            <w:r w:rsidRPr="00130F07">
              <w:rPr>
                <w:rFonts w:eastAsia="Times New Roman" w:cs="Times New Roman"/>
                <w:szCs w:val="20"/>
              </w:rPr>
              <w:t>160*</w:t>
            </w:r>
          </w:p>
        </w:tc>
      </w:tr>
      <w:tr w:rsidR="00130F07" w:rsidRPr="00130F07" w:rsidTr="001A1FAB">
        <w:trPr>
          <w:trHeight w:val="288"/>
        </w:trPr>
        <w:tc>
          <w:tcPr>
            <w:tcW w:w="2088" w:type="dxa"/>
            <w:shd w:val="clear" w:color="auto" w:fill="0D0D0D" w:themeFill="text1" w:themeFillTint="F2"/>
          </w:tcPr>
          <w:p w:rsidR="00130F07" w:rsidRPr="00130F07" w:rsidRDefault="00130F07" w:rsidP="00130F07">
            <w:pPr>
              <w:numPr>
                <w:ilvl w:val="0"/>
                <w:numId w:val="0"/>
              </w:numPr>
              <w:spacing w:line="240" w:lineRule="auto"/>
              <w:rPr>
                <w:rFonts w:eastAsia="Times New Roman" w:cs="Times New Roman"/>
                <w:szCs w:val="20"/>
              </w:rPr>
            </w:pPr>
          </w:p>
        </w:tc>
        <w:tc>
          <w:tcPr>
            <w:tcW w:w="1620" w:type="dxa"/>
            <w:shd w:val="clear" w:color="auto" w:fill="0D0D0D" w:themeFill="text1" w:themeFillTint="F2"/>
          </w:tcPr>
          <w:p w:rsidR="00130F07" w:rsidRPr="00130F07" w:rsidRDefault="00130F07" w:rsidP="00130F07">
            <w:pPr>
              <w:numPr>
                <w:ilvl w:val="0"/>
                <w:numId w:val="0"/>
              </w:numPr>
              <w:spacing w:line="240" w:lineRule="auto"/>
              <w:rPr>
                <w:rFonts w:eastAsia="Times New Roman" w:cs="Times New Roman"/>
                <w:szCs w:val="20"/>
              </w:rPr>
            </w:pPr>
          </w:p>
        </w:tc>
        <w:tc>
          <w:tcPr>
            <w:tcW w:w="2023" w:type="dxa"/>
            <w:shd w:val="clear" w:color="auto" w:fill="0D0D0D" w:themeFill="text1" w:themeFillTint="F2"/>
          </w:tcPr>
          <w:p w:rsidR="00130F07" w:rsidRPr="00130F07" w:rsidRDefault="00130F07" w:rsidP="00130F07">
            <w:pPr>
              <w:numPr>
                <w:ilvl w:val="0"/>
                <w:numId w:val="0"/>
              </w:numPr>
              <w:spacing w:line="240" w:lineRule="auto"/>
              <w:rPr>
                <w:rFonts w:eastAsia="Times New Roman" w:cs="Times New Roman"/>
                <w:szCs w:val="20"/>
              </w:rPr>
            </w:pPr>
          </w:p>
        </w:tc>
        <w:tc>
          <w:tcPr>
            <w:tcW w:w="0" w:type="auto"/>
            <w:shd w:val="clear" w:color="auto" w:fill="0D0D0D" w:themeFill="text1" w:themeFillTint="F2"/>
          </w:tcPr>
          <w:p w:rsidR="00130F07" w:rsidRPr="00130F07" w:rsidRDefault="00130F07" w:rsidP="00130F07">
            <w:pPr>
              <w:numPr>
                <w:ilvl w:val="0"/>
                <w:numId w:val="0"/>
              </w:numPr>
              <w:spacing w:line="240" w:lineRule="auto"/>
              <w:rPr>
                <w:rFonts w:eastAsia="Times New Roman" w:cs="Times New Roman"/>
                <w:szCs w:val="20"/>
              </w:rPr>
            </w:pPr>
          </w:p>
        </w:tc>
        <w:tc>
          <w:tcPr>
            <w:tcW w:w="0" w:type="auto"/>
            <w:shd w:val="clear" w:color="auto" w:fill="0D0D0D" w:themeFill="text1" w:themeFillTint="F2"/>
          </w:tcPr>
          <w:p w:rsidR="00130F07" w:rsidRPr="00130F07" w:rsidRDefault="00130F07" w:rsidP="00130F07">
            <w:pPr>
              <w:numPr>
                <w:ilvl w:val="0"/>
                <w:numId w:val="0"/>
              </w:numPr>
              <w:spacing w:line="240" w:lineRule="auto"/>
              <w:rPr>
                <w:rFonts w:eastAsia="Times New Roman" w:cs="Times New Roman"/>
                <w:szCs w:val="20"/>
              </w:rPr>
            </w:pPr>
          </w:p>
        </w:tc>
      </w:tr>
      <w:tr w:rsidR="00130F07" w:rsidRPr="00130F07" w:rsidTr="009D34F6">
        <w:trPr>
          <w:trHeight w:val="341"/>
        </w:trPr>
        <w:tc>
          <w:tcPr>
            <w:tcW w:w="9576" w:type="dxa"/>
            <w:gridSpan w:val="5"/>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2017 Benchmark Components (Based on hypothetical values)</w:t>
            </w:r>
          </w:p>
        </w:tc>
      </w:tr>
      <w:tr w:rsidR="00130F07" w:rsidRPr="00130F07" w:rsidTr="001A1FAB">
        <w:trPr>
          <w:trHeight w:val="350"/>
        </w:trPr>
        <w:tc>
          <w:tcPr>
            <w:tcW w:w="2088" w:type="dxa"/>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5-Year Average</w:t>
            </w:r>
          </w:p>
        </w:tc>
        <w:tc>
          <w:tcPr>
            <w:tcW w:w="7488" w:type="dxa"/>
            <w:gridSpan w:val="4"/>
          </w:tcPr>
          <w:p w:rsidR="00130F07" w:rsidRPr="00130F07" w:rsidRDefault="00130F07" w:rsidP="0076103A">
            <w:pPr>
              <w:numPr>
                <w:ilvl w:val="0"/>
                <w:numId w:val="0"/>
              </w:numPr>
              <w:spacing w:line="240" w:lineRule="auto"/>
              <w:rPr>
                <w:rFonts w:eastAsia="Times New Roman" w:cs="Times New Roman"/>
                <w:szCs w:val="20"/>
              </w:rPr>
            </w:pPr>
            <w:r w:rsidRPr="00130F07">
              <w:rPr>
                <w:rFonts w:eastAsia="Times New Roman" w:cs="Times New Roman"/>
                <w:szCs w:val="20"/>
              </w:rPr>
              <w:t>155*</w:t>
            </w:r>
            <w:r w:rsidR="0076103A">
              <w:rPr>
                <w:rFonts w:eastAsia="Times New Roman" w:cs="Times New Roman"/>
                <w:szCs w:val="20"/>
              </w:rPr>
              <w:t xml:space="preserve"> = Average of (</w:t>
            </w:r>
            <w:r w:rsidR="0076103A" w:rsidRPr="0076103A">
              <w:rPr>
                <w:rFonts w:eastAsia="Times New Roman" w:cs="Times New Roman"/>
                <w:szCs w:val="20"/>
              </w:rPr>
              <w:t>176</w:t>
            </w:r>
            <w:r w:rsidR="0076103A">
              <w:rPr>
                <w:rFonts w:eastAsia="Times New Roman" w:cs="Times New Roman"/>
                <w:szCs w:val="20"/>
              </w:rPr>
              <w:t xml:space="preserve">, </w:t>
            </w:r>
            <w:r w:rsidR="0076103A" w:rsidRPr="0076103A">
              <w:rPr>
                <w:rFonts w:eastAsia="Times New Roman" w:cs="Times New Roman"/>
                <w:szCs w:val="20"/>
              </w:rPr>
              <w:t>146</w:t>
            </w:r>
            <w:r w:rsidR="0076103A">
              <w:rPr>
                <w:rFonts w:eastAsia="Times New Roman" w:cs="Times New Roman"/>
                <w:szCs w:val="20"/>
              </w:rPr>
              <w:t xml:space="preserve">, </w:t>
            </w:r>
            <w:r w:rsidR="0076103A" w:rsidRPr="0076103A">
              <w:rPr>
                <w:rFonts w:eastAsia="Times New Roman" w:cs="Times New Roman"/>
                <w:szCs w:val="20"/>
              </w:rPr>
              <w:t>154</w:t>
            </w:r>
            <w:r w:rsidR="0076103A">
              <w:rPr>
                <w:rFonts w:eastAsia="Times New Roman" w:cs="Times New Roman"/>
                <w:szCs w:val="20"/>
              </w:rPr>
              <w:t xml:space="preserve">, </w:t>
            </w:r>
            <w:r w:rsidR="0076103A" w:rsidRPr="0076103A">
              <w:rPr>
                <w:rFonts w:eastAsia="Times New Roman" w:cs="Times New Roman"/>
                <w:szCs w:val="20"/>
              </w:rPr>
              <w:t>137</w:t>
            </w:r>
            <w:r w:rsidR="0076103A">
              <w:rPr>
                <w:rFonts w:eastAsia="Times New Roman" w:cs="Times New Roman"/>
                <w:szCs w:val="20"/>
              </w:rPr>
              <w:t xml:space="preserve">, </w:t>
            </w:r>
            <w:r w:rsidR="0076103A" w:rsidRPr="0076103A">
              <w:rPr>
                <w:rFonts w:eastAsia="Times New Roman" w:cs="Times New Roman"/>
                <w:szCs w:val="20"/>
              </w:rPr>
              <w:t>160</w:t>
            </w:r>
            <w:r w:rsidR="0076103A">
              <w:rPr>
                <w:rFonts w:eastAsia="Times New Roman" w:cs="Times New Roman"/>
                <w:szCs w:val="20"/>
              </w:rPr>
              <w:t>)</w:t>
            </w:r>
          </w:p>
        </w:tc>
      </w:tr>
      <w:tr w:rsidR="00130F07" w:rsidRPr="00130F07" w:rsidTr="001A1FAB">
        <w:trPr>
          <w:trHeight w:val="323"/>
        </w:trPr>
        <w:tc>
          <w:tcPr>
            <w:tcW w:w="2088" w:type="dxa"/>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Standard Deviation</w:t>
            </w:r>
          </w:p>
        </w:tc>
        <w:tc>
          <w:tcPr>
            <w:tcW w:w="7488" w:type="dxa"/>
            <w:gridSpan w:val="4"/>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13*</w:t>
            </w:r>
            <w:r w:rsidR="0076103A">
              <w:rPr>
                <w:rFonts w:eastAsia="Times New Roman" w:cs="Times New Roman"/>
                <w:szCs w:val="20"/>
              </w:rPr>
              <w:t xml:space="preserve"> = </w:t>
            </w:r>
            <w:r w:rsidR="0076103A" w:rsidRPr="0076103A">
              <w:rPr>
                <w:rFonts w:eastAsia="Times New Roman" w:cs="Times New Roman"/>
                <w:szCs w:val="20"/>
              </w:rPr>
              <w:t>Standard Deviation</w:t>
            </w:r>
            <w:r w:rsidR="0076103A">
              <w:rPr>
                <w:rFonts w:eastAsia="Times New Roman" w:cs="Times New Roman"/>
                <w:szCs w:val="20"/>
              </w:rPr>
              <w:t xml:space="preserve"> of (</w:t>
            </w:r>
            <w:r w:rsidR="0076103A" w:rsidRPr="0076103A">
              <w:rPr>
                <w:rFonts w:eastAsia="Times New Roman" w:cs="Times New Roman"/>
                <w:szCs w:val="20"/>
              </w:rPr>
              <w:t>176</w:t>
            </w:r>
            <w:r w:rsidR="0076103A">
              <w:rPr>
                <w:rFonts w:eastAsia="Times New Roman" w:cs="Times New Roman"/>
                <w:szCs w:val="20"/>
              </w:rPr>
              <w:t xml:space="preserve">, </w:t>
            </w:r>
            <w:r w:rsidR="0076103A" w:rsidRPr="0076103A">
              <w:rPr>
                <w:rFonts w:eastAsia="Times New Roman" w:cs="Times New Roman"/>
                <w:szCs w:val="20"/>
              </w:rPr>
              <w:t>146</w:t>
            </w:r>
            <w:r w:rsidR="0076103A">
              <w:rPr>
                <w:rFonts w:eastAsia="Times New Roman" w:cs="Times New Roman"/>
                <w:szCs w:val="20"/>
              </w:rPr>
              <w:t xml:space="preserve">, </w:t>
            </w:r>
            <w:r w:rsidR="0076103A" w:rsidRPr="0076103A">
              <w:rPr>
                <w:rFonts w:eastAsia="Times New Roman" w:cs="Times New Roman"/>
                <w:szCs w:val="20"/>
              </w:rPr>
              <w:t>154</w:t>
            </w:r>
            <w:r w:rsidR="0076103A">
              <w:rPr>
                <w:rFonts w:eastAsia="Times New Roman" w:cs="Times New Roman"/>
                <w:szCs w:val="20"/>
              </w:rPr>
              <w:t xml:space="preserve">, </w:t>
            </w:r>
            <w:r w:rsidR="0076103A" w:rsidRPr="0076103A">
              <w:rPr>
                <w:rFonts w:eastAsia="Times New Roman" w:cs="Times New Roman"/>
                <w:szCs w:val="20"/>
              </w:rPr>
              <w:t>137</w:t>
            </w:r>
            <w:r w:rsidR="0076103A">
              <w:rPr>
                <w:rFonts w:eastAsia="Times New Roman" w:cs="Times New Roman"/>
                <w:szCs w:val="20"/>
              </w:rPr>
              <w:t xml:space="preserve">, </w:t>
            </w:r>
            <w:r w:rsidR="0076103A" w:rsidRPr="0076103A">
              <w:rPr>
                <w:rFonts w:eastAsia="Times New Roman" w:cs="Times New Roman"/>
                <w:szCs w:val="20"/>
              </w:rPr>
              <w:t>160</w:t>
            </w:r>
            <w:r w:rsidR="0076103A">
              <w:rPr>
                <w:rFonts w:eastAsia="Times New Roman" w:cs="Times New Roman"/>
                <w:szCs w:val="20"/>
              </w:rPr>
              <w:t>)</w:t>
            </w:r>
          </w:p>
        </w:tc>
      </w:tr>
      <w:tr w:rsidR="00130F07" w:rsidRPr="00130F07" w:rsidTr="001A1FAB">
        <w:trPr>
          <w:trHeight w:val="288"/>
        </w:trPr>
        <w:tc>
          <w:tcPr>
            <w:tcW w:w="2088" w:type="dxa"/>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2017 Benchmark</w:t>
            </w:r>
          </w:p>
        </w:tc>
        <w:tc>
          <w:tcPr>
            <w:tcW w:w="7488" w:type="dxa"/>
            <w:gridSpan w:val="4"/>
          </w:tcPr>
          <w:p w:rsidR="00130F07" w:rsidRPr="00130F07" w:rsidRDefault="00130F07" w:rsidP="00130F07">
            <w:pPr>
              <w:numPr>
                <w:ilvl w:val="0"/>
                <w:numId w:val="0"/>
              </w:numPr>
              <w:spacing w:line="240" w:lineRule="auto"/>
              <w:rPr>
                <w:rFonts w:eastAsia="Times New Roman" w:cs="Times New Roman"/>
                <w:szCs w:val="20"/>
              </w:rPr>
            </w:pPr>
            <w:r w:rsidRPr="00130F07">
              <w:rPr>
                <w:rFonts w:eastAsia="Times New Roman" w:cs="Times New Roman"/>
                <w:szCs w:val="20"/>
              </w:rPr>
              <w:t>168*</w:t>
            </w:r>
            <w:r w:rsidR="0076103A">
              <w:rPr>
                <w:rFonts w:eastAsia="Times New Roman" w:cs="Times New Roman"/>
                <w:szCs w:val="20"/>
              </w:rPr>
              <w:t xml:space="preserve"> = 155 + 13</w:t>
            </w:r>
          </w:p>
        </w:tc>
      </w:tr>
    </w:tbl>
    <w:p w:rsidR="00130F07" w:rsidRPr="00CF2B78" w:rsidRDefault="00130F07" w:rsidP="00130F07">
      <w:pPr>
        <w:numPr>
          <w:ilvl w:val="0"/>
          <w:numId w:val="0"/>
        </w:numPr>
        <w:spacing w:before="0"/>
        <w:rPr>
          <w:rFonts w:eastAsia="Times New Roman" w:cs="Times New Roman"/>
          <w:sz w:val="18"/>
          <w:szCs w:val="18"/>
        </w:rPr>
      </w:pPr>
      <w:r w:rsidRPr="00130F07">
        <w:rPr>
          <w:rFonts w:eastAsia="Times New Roman" w:cs="Times New Roman"/>
          <w:szCs w:val="20"/>
        </w:rPr>
        <w:t>*</w:t>
      </w:r>
      <w:r w:rsidRPr="00210620">
        <w:rPr>
          <w:rFonts w:eastAsia="Times New Roman" w:cs="Times New Roman"/>
          <w:szCs w:val="24"/>
        </w:rPr>
        <w:t>Hypothetical values</w:t>
      </w:r>
    </w:p>
    <w:p w:rsidR="00EB3F5F" w:rsidRPr="00130F07" w:rsidRDefault="00EB3F5F" w:rsidP="00130F07">
      <w:pPr>
        <w:numPr>
          <w:ilvl w:val="0"/>
          <w:numId w:val="0"/>
        </w:numPr>
        <w:spacing w:before="0"/>
        <w:rPr>
          <w:rFonts w:eastAsia="Times New Roman" w:cs="Times New Roman"/>
          <w:szCs w:val="20"/>
        </w:rPr>
      </w:pPr>
    </w:p>
    <w:p w:rsidR="00130F07" w:rsidRPr="00130F07" w:rsidRDefault="00130F07" w:rsidP="00707BC9">
      <w:pPr>
        <w:keepNext/>
        <w:keepLines/>
        <w:numPr>
          <w:ilvl w:val="0"/>
          <w:numId w:val="0"/>
        </w:numPr>
        <w:tabs>
          <w:tab w:val="left" w:pos="720"/>
        </w:tabs>
        <w:spacing w:before="0" w:after="240" w:line="240" w:lineRule="auto"/>
        <w:outlineLvl w:val="1"/>
        <w:rPr>
          <w:rFonts w:ascii="Times New Roman Bold" w:eastAsia="Times New Roman" w:hAnsi="Times New Roman Bold" w:cs="Arial"/>
          <w:b/>
          <w:bCs/>
          <w:iCs/>
          <w:szCs w:val="28"/>
        </w:rPr>
      </w:pPr>
      <w:r w:rsidRPr="00130F07">
        <w:rPr>
          <w:rFonts w:ascii="Times New Roman Bold" w:eastAsia="Times New Roman" w:hAnsi="Times New Roman Bold" w:cs="Arial"/>
          <w:b/>
          <w:bCs/>
          <w:iCs/>
          <w:szCs w:val="28"/>
        </w:rPr>
        <w:t>C.</w:t>
      </w:r>
      <w:r w:rsidRPr="00130F07">
        <w:rPr>
          <w:rFonts w:ascii="Times New Roman Bold" w:eastAsia="Times New Roman" w:hAnsi="Times New Roman Bold" w:cs="Arial"/>
          <w:b/>
          <w:bCs/>
          <w:iCs/>
          <w:szCs w:val="28"/>
        </w:rPr>
        <w:tab/>
        <w:t>Catastrophic Events</w:t>
      </w:r>
    </w:p>
    <w:p w:rsidR="00130F07" w:rsidRPr="0047464D" w:rsidRDefault="00130F07" w:rsidP="000D24AD">
      <w:pPr>
        <w:spacing w:before="0"/>
        <w:ind w:left="0" w:firstLine="720"/>
        <w:rPr>
          <w:rFonts w:eastAsia="Times New Roman" w:cs="Times New Roman"/>
          <w:szCs w:val="20"/>
        </w:rPr>
      </w:pPr>
      <w:r w:rsidRPr="00130F07">
        <w:rPr>
          <w:rFonts w:eastAsia="Times New Roman" w:cs="Times New Roman"/>
          <w:szCs w:val="20"/>
        </w:rPr>
        <w:t xml:space="preserve">PSE also proposes </w:t>
      </w:r>
      <w:r w:rsidR="00CD4EB1">
        <w:rPr>
          <w:rFonts w:eastAsia="Times New Roman" w:cs="Times New Roman"/>
          <w:szCs w:val="20"/>
        </w:rPr>
        <w:t>through this Petition to establish a definition of</w:t>
      </w:r>
      <w:r w:rsidRPr="00130F07">
        <w:rPr>
          <w:rFonts w:eastAsia="Times New Roman" w:cs="Times New Roman"/>
          <w:szCs w:val="20"/>
        </w:rPr>
        <w:t xml:space="preserve"> catastrophic events using a 4.5</w:t>
      </w:r>
      <w:r w:rsidR="001A1FAB">
        <w:rPr>
          <w:rFonts w:eastAsia="Times New Roman" w:cs="Times New Roman"/>
          <w:szCs w:val="20"/>
        </w:rPr>
        <w:t xml:space="preserve"> Beta</w:t>
      </w:r>
      <w:r w:rsidRPr="00130F07">
        <w:rPr>
          <w:rFonts w:eastAsia="Times New Roman" w:cs="Times New Roman"/>
          <w:szCs w:val="20"/>
        </w:rPr>
        <w:t xml:space="preserve"> threshold. Any </w:t>
      </w:r>
      <w:r w:rsidR="00B32E44">
        <w:rPr>
          <w:rFonts w:eastAsia="Times New Roman" w:cs="Times New Roman"/>
          <w:szCs w:val="20"/>
        </w:rPr>
        <w:t xml:space="preserve">outage </w:t>
      </w:r>
      <w:r w:rsidRPr="00130F07">
        <w:rPr>
          <w:rFonts w:eastAsia="Times New Roman" w:cs="Times New Roman"/>
          <w:szCs w:val="20"/>
        </w:rPr>
        <w:t>event exceeding the 4.5</w:t>
      </w:r>
      <w:r w:rsidR="001A1FAB">
        <w:rPr>
          <w:rFonts w:eastAsia="Times New Roman" w:cs="Times New Roman"/>
          <w:szCs w:val="20"/>
        </w:rPr>
        <w:t xml:space="preserve"> Beta</w:t>
      </w:r>
      <w:r w:rsidRPr="00130F07">
        <w:rPr>
          <w:rFonts w:eastAsia="Times New Roman" w:cs="Times New Roman"/>
          <w:szCs w:val="20"/>
        </w:rPr>
        <w:t xml:space="preserve"> threshold will be replaced through the methods described in </w:t>
      </w:r>
      <w:r w:rsidR="00E9291B">
        <w:rPr>
          <w:rFonts w:eastAsia="Times New Roman" w:cs="Times New Roman"/>
          <w:szCs w:val="20"/>
        </w:rPr>
        <w:t>S</w:t>
      </w:r>
      <w:r w:rsidRPr="00130F07">
        <w:rPr>
          <w:rFonts w:eastAsia="Times New Roman" w:cs="Times New Roman"/>
          <w:szCs w:val="20"/>
        </w:rPr>
        <w:t xml:space="preserve">ection </w:t>
      </w:r>
      <w:r w:rsidRPr="000D24AD">
        <w:rPr>
          <w:rFonts w:eastAsia="Times New Roman" w:cs="Times New Roman"/>
          <w:szCs w:val="20"/>
        </w:rPr>
        <w:t>IV.</w:t>
      </w:r>
      <w:r w:rsidR="000558EA">
        <w:rPr>
          <w:rFonts w:eastAsia="Times New Roman" w:cs="Times New Roman"/>
          <w:szCs w:val="20"/>
        </w:rPr>
        <w:t>C</w:t>
      </w:r>
      <w:r w:rsidRPr="00130F07">
        <w:rPr>
          <w:rFonts w:eastAsia="Times New Roman" w:cs="Times New Roman"/>
          <w:szCs w:val="20"/>
        </w:rPr>
        <w:t xml:space="preserve">.  This will </w:t>
      </w:r>
      <w:r w:rsidR="00AD6DA3">
        <w:rPr>
          <w:rFonts w:eastAsia="Times New Roman" w:cs="Times New Roman"/>
          <w:szCs w:val="20"/>
        </w:rPr>
        <w:t>eliminate</w:t>
      </w:r>
      <w:r w:rsidR="00AD6DA3" w:rsidRPr="00130F07">
        <w:rPr>
          <w:rFonts w:eastAsia="Times New Roman" w:cs="Times New Roman"/>
          <w:szCs w:val="20"/>
        </w:rPr>
        <w:t xml:space="preserve"> </w:t>
      </w:r>
      <w:r w:rsidRPr="00130F07">
        <w:rPr>
          <w:rFonts w:eastAsia="Times New Roman" w:cs="Times New Roman"/>
          <w:szCs w:val="20"/>
        </w:rPr>
        <w:t xml:space="preserve">the current catastrophic event </w:t>
      </w:r>
      <w:r w:rsidR="00110779">
        <w:rPr>
          <w:rFonts w:eastAsia="Times New Roman" w:cs="Times New Roman"/>
          <w:szCs w:val="20"/>
        </w:rPr>
        <w:t>petition</w:t>
      </w:r>
      <w:r w:rsidR="00110779" w:rsidRPr="00130F07">
        <w:rPr>
          <w:rFonts w:eastAsia="Times New Roman" w:cs="Times New Roman"/>
          <w:szCs w:val="20"/>
        </w:rPr>
        <w:t xml:space="preserve"> </w:t>
      </w:r>
      <w:r w:rsidRPr="00130F07">
        <w:rPr>
          <w:rFonts w:eastAsia="Times New Roman" w:cs="Times New Roman"/>
          <w:szCs w:val="20"/>
        </w:rPr>
        <w:t xml:space="preserve">process but </w:t>
      </w:r>
      <w:r w:rsidR="00AD6DA3">
        <w:rPr>
          <w:rFonts w:eastAsia="Times New Roman" w:cs="Times New Roman"/>
          <w:szCs w:val="20"/>
        </w:rPr>
        <w:t xml:space="preserve">will provide for exclusion of </w:t>
      </w:r>
      <w:r w:rsidRPr="00130F07">
        <w:rPr>
          <w:rFonts w:eastAsia="Times New Roman" w:cs="Times New Roman"/>
          <w:szCs w:val="20"/>
        </w:rPr>
        <w:t>catastrophic event</w:t>
      </w:r>
      <w:r w:rsidR="00AD6DA3">
        <w:rPr>
          <w:rFonts w:eastAsia="Times New Roman" w:cs="Times New Roman"/>
          <w:szCs w:val="20"/>
        </w:rPr>
        <w:t>s that are similar to those</w:t>
      </w:r>
      <w:r w:rsidRPr="00130F07">
        <w:rPr>
          <w:rFonts w:eastAsia="Times New Roman" w:cs="Times New Roman"/>
          <w:szCs w:val="20"/>
        </w:rPr>
        <w:t xml:space="preserve"> </w:t>
      </w:r>
      <w:r w:rsidR="00AD6DA3" w:rsidRPr="00130F07">
        <w:rPr>
          <w:rFonts w:eastAsia="Times New Roman" w:cs="Times New Roman"/>
          <w:szCs w:val="20"/>
        </w:rPr>
        <w:t>exclu</w:t>
      </w:r>
      <w:r w:rsidR="00AD6DA3">
        <w:rPr>
          <w:rFonts w:eastAsia="Times New Roman" w:cs="Times New Roman"/>
          <w:szCs w:val="20"/>
        </w:rPr>
        <w:t>ded</w:t>
      </w:r>
      <w:r w:rsidR="00AD6DA3" w:rsidRPr="00130F07">
        <w:rPr>
          <w:rFonts w:eastAsia="Times New Roman" w:cs="Times New Roman"/>
          <w:szCs w:val="20"/>
        </w:rPr>
        <w:t xml:space="preserve"> </w:t>
      </w:r>
      <w:r w:rsidR="00AD6DA3">
        <w:rPr>
          <w:rFonts w:eastAsia="Times New Roman" w:cs="Times New Roman"/>
          <w:szCs w:val="20"/>
        </w:rPr>
        <w:t xml:space="preserve">by </w:t>
      </w:r>
      <w:r w:rsidR="00110779">
        <w:rPr>
          <w:rFonts w:eastAsia="Times New Roman" w:cs="Times New Roman"/>
          <w:szCs w:val="20"/>
        </w:rPr>
        <w:t xml:space="preserve">the Commission </w:t>
      </w:r>
      <w:r w:rsidR="0047464D">
        <w:rPr>
          <w:rFonts w:eastAsia="Times New Roman" w:cs="Times New Roman"/>
          <w:szCs w:val="20"/>
        </w:rPr>
        <w:t>in past years</w:t>
      </w:r>
      <w:r w:rsidRPr="00130F07">
        <w:rPr>
          <w:rFonts w:eastAsia="Times New Roman" w:cs="Times New Roman"/>
          <w:szCs w:val="20"/>
        </w:rPr>
        <w:t>.</w:t>
      </w:r>
    </w:p>
    <w:p w:rsidR="00130F07" w:rsidRPr="00130F07" w:rsidRDefault="00110779" w:rsidP="00770F75">
      <w:pPr>
        <w:pStyle w:val="Heading1"/>
        <w:spacing w:after="240"/>
        <w:rPr>
          <w:rFonts w:eastAsia="Times New Roman"/>
        </w:rPr>
      </w:pPr>
      <w:r>
        <w:rPr>
          <w:rFonts w:eastAsia="Times New Roman"/>
        </w:rPr>
        <w:lastRenderedPageBreak/>
        <w:t>EXPLANATI</w:t>
      </w:r>
      <w:r w:rsidR="003A243C">
        <w:rPr>
          <w:rFonts w:eastAsia="Times New Roman"/>
        </w:rPr>
        <w:t>O</w:t>
      </w:r>
      <w:r>
        <w:rPr>
          <w:rFonts w:eastAsia="Times New Roman"/>
        </w:rPr>
        <w:t xml:space="preserve">N OF THE </w:t>
      </w:r>
      <w:r w:rsidR="00130F07" w:rsidRPr="00130F07">
        <w:rPr>
          <w:rFonts w:eastAsia="Times New Roman"/>
        </w:rPr>
        <w:t xml:space="preserve">PROPOSED SQI SAIDI MECHANICS </w:t>
      </w:r>
      <w:r w:rsidR="00770F75">
        <w:rPr>
          <w:rFonts w:eastAsia="Times New Roman"/>
        </w:rPr>
        <w:t xml:space="preserve">USING THE </w:t>
      </w:r>
      <w:r w:rsidR="00770F75">
        <w:rPr>
          <w:rFonts w:eastAsia="Times New Roman" w:cs="Arial"/>
          <w:iCs/>
        </w:rPr>
        <w:t xml:space="preserve">IEEE STANDARD </w:t>
      </w:r>
      <w:r w:rsidR="00770F75" w:rsidRPr="00130F07">
        <w:rPr>
          <w:rFonts w:eastAsia="Times New Roman" w:cs="Arial"/>
          <w:iCs/>
        </w:rPr>
        <w:t>1366-2012 M</w:t>
      </w:r>
      <w:r w:rsidR="00770F75">
        <w:rPr>
          <w:rFonts w:eastAsia="Times New Roman" w:cs="Arial"/>
          <w:iCs/>
        </w:rPr>
        <w:t>ETHODOLOGY</w:t>
      </w:r>
    </w:p>
    <w:p w:rsidR="00130F07" w:rsidRPr="00130F07" w:rsidRDefault="00130F07" w:rsidP="000D24AD">
      <w:pPr>
        <w:spacing w:before="0"/>
        <w:ind w:left="0" w:firstLine="720"/>
        <w:rPr>
          <w:rFonts w:eastAsia="Times New Roman" w:cs="Times New Roman"/>
          <w:szCs w:val="20"/>
        </w:rPr>
      </w:pPr>
      <w:r w:rsidRPr="00130F07">
        <w:rPr>
          <w:rFonts w:eastAsia="Times New Roman" w:cs="Times New Roman"/>
          <w:szCs w:val="20"/>
        </w:rPr>
        <w:t>As stated in PSE’s 2010 and subsequent SQI SAIDI petitions, PSE is committed to incorporating into the permanent SAIDI mechanics the Institute of Electrical and Electronics Engineers, Inc. Standard 1366</w:t>
      </w:r>
      <w:r w:rsidR="004B593E" w:rsidRPr="00B617B4">
        <w:rPr>
          <w:rFonts w:eastAsia="Times New Roman" w:cs="Times New Roman"/>
          <w:szCs w:val="20"/>
          <w:vertAlign w:val="superscript"/>
        </w:rPr>
        <w:footnoteReference w:id="22"/>
      </w:r>
      <w:r w:rsidRPr="00112670">
        <w:rPr>
          <w:rFonts w:eastAsia="Times New Roman"/>
          <w:vertAlign w:val="superscript"/>
        </w:rPr>
        <w:t xml:space="preserve"> </w:t>
      </w:r>
      <w:r w:rsidRPr="00130F07">
        <w:rPr>
          <w:rFonts w:eastAsia="Times New Roman" w:cs="Times New Roman"/>
          <w:szCs w:val="20"/>
        </w:rPr>
        <w:t xml:space="preserve">(“IEEE Std 1366”).  </w:t>
      </w:r>
      <w:r w:rsidR="001C7CAF">
        <w:rPr>
          <w:rFonts w:eastAsia="Times New Roman" w:cs="Times New Roman"/>
          <w:szCs w:val="20"/>
        </w:rPr>
        <w:t>Attachment A to this Petition outlines the standard.</w:t>
      </w:r>
      <w:r w:rsidR="000F02B9">
        <w:rPr>
          <w:rStyle w:val="FootnoteReference"/>
          <w:rFonts w:eastAsia="Times New Roman" w:cs="Times New Roman"/>
          <w:szCs w:val="20"/>
        </w:rPr>
        <w:footnoteReference w:id="23"/>
      </w:r>
      <w:r w:rsidR="001C7CAF">
        <w:rPr>
          <w:rFonts w:eastAsia="Times New Roman" w:cs="Times New Roman"/>
          <w:szCs w:val="20"/>
        </w:rPr>
        <w:t xml:space="preserve">  </w:t>
      </w:r>
      <w:r w:rsidRPr="00130F07">
        <w:rPr>
          <w:rFonts w:eastAsia="Times New Roman" w:cs="Times New Roman"/>
          <w:szCs w:val="20"/>
        </w:rPr>
        <w:t>The IEEE Standards Association</w:t>
      </w:r>
      <w:r w:rsidR="004B593E" w:rsidRPr="001C7CAF">
        <w:rPr>
          <w:rFonts w:eastAsia="Times New Roman" w:cs="Times New Roman"/>
          <w:szCs w:val="20"/>
          <w:vertAlign w:val="superscript"/>
        </w:rPr>
        <w:footnoteReference w:id="24"/>
      </w:r>
      <w:r w:rsidRPr="00130F07">
        <w:rPr>
          <w:rFonts w:eastAsia="Times New Roman" w:cs="Times New Roman"/>
          <w:szCs w:val="20"/>
        </w:rPr>
        <w:t xml:space="preserve"> publishes a third of the world’s technical literature in electrical engineering, computer science and electronics and is a leading developer of international standards that underpin many of today’s telecommunications, information technology and power generation products and services. The purpose of IEEE Std 1366 is to foster uniformity in the development of </w:t>
      </w:r>
      <w:r w:rsidR="00EB3F5F">
        <w:rPr>
          <w:rFonts w:eastAsia="Times New Roman" w:cs="Times New Roman"/>
          <w:szCs w:val="20"/>
        </w:rPr>
        <w:t>electric</w:t>
      </w:r>
      <w:r w:rsidR="00EB3F5F" w:rsidRPr="00130F07">
        <w:rPr>
          <w:rFonts w:eastAsia="Times New Roman" w:cs="Times New Roman"/>
          <w:szCs w:val="20"/>
        </w:rPr>
        <w:t xml:space="preserve"> </w:t>
      </w:r>
      <w:r w:rsidRPr="00130F07">
        <w:rPr>
          <w:rFonts w:eastAsia="Times New Roman" w:cs="Times New Roman"/>
          <w:szCs w:val="20"/>
        </w:rPr>
        <w:t>service reliability indices, to identify factors which affect the indices, and to aid in consistent reporting practices among utilities.</w:t>
      </w:r>
      <w:r w:rsidR="004B593E" w:rsidRPr="00E9291B">
        <w:rPr>
          <w:rFonts w:eastAsia="Times New Roman"/>
          <w:vertAlign w:val="superscript"/>
        </w:rPr>
        <w:footnoteReference w:id="25"/>
      </w:r>
      <w:r w:rsidRPr="00C06734">
        <w:rPr>
          <w:rFonts w:eastAsia="Times New Roman"/>
          <w:vertAlign w:val="superscript"/>
        </w:rPr>
        <w:t xml:space="preserve"> </w:t>
      </w:r>
      <w:r w:rsidRPr="00130F07">
        <w:rPr>
          <w:rFonts w:eastAsia="Times New Roman" w:cs="Times New Roman"/>
          <w:szCs w:val="20"/>
        </w:rPr>
        <w:t xml:space="preserve"> </w:t>
      </w:r>
      <w:r w:rsidR="0088737B">
        <w:rPr>
          <w:rFonts w:eastAsia="Times New Roman" w:cs="Times New Roman"/>
          <w:szCs w:val="20"/>
        </w:rPr>
        <w:t xml:space="preserve">The IEEE Std 1366 is widely used by utilities and utility commissions to </w:t>
      </w:r>
      <w:r w:rsidR="001C1D90">
        <w:rPr>
          <w:rFonts w:eastAsia="Times New Roman" w:cs="Times New Roman"/>
          <w:szCs w:val="20"/>
        </w:rPr>
        <w:t xml:space="preserve">establish </w:t>
      </w:r>
      <w:r w:rsidR="00EB3F5F">
        <w:rPr>
          <w:rFonts w:eastAsia="Times New Roman" w:cs="Times New Roman"/>
          <w:szCs w:val="20"/>
        </w:rPr>
        <w:t>electric</w:t>
      </w:r>
      <w:r w:rsidR="001C1D90">
        <w:rPr>
          <w:rFonts w:eastAsia="Times New Roman" w:cs="Times New Roman"/>
          <w:szCs w:val="20"/>
        </w:rPr>
        <w:t xml:space="preserve"> service reliability measurements.</w:t>
      </w:r>
      <w:r w:rsidRPr="00130F07">
        <w:rPr>
          <w:rFonts w:eastAsia="Times New Roman" w:cs="Times New Roman"/>
          <w:szCs w:val="20"/>
        </w:rPr>
        <w:t xml:space="preserve">  </w:t>
      </w:r>
    </w:p>
    <w:p w:rsidR="00130F07" w:rsidRPr="00130F07" w:rsidRDefault="00770F75" w:rsidP="00770F75">
      <w:pPr>
        <w:keepNext/>
        <w:keepLines/>
        <w:numPr>
          <w:ilvl w:val="0"/>
          <w:numId w:val="0"/>
        </w:numPr>
        <w:spacing w:before="0" w:after="240" w:line="240" w:lineRule="auto"/>
        <w:ind w:left="720" w:hanging="720"/>
        <w:outlineLvl w:val="2"/>
        <w:rPr>
          <w:rFonts w:ascii="Times New Roman Bold" w:eastAsia="Times New Roman" w:hAnsi="Times New Roman Bold" w:cs="Arial"/>
          <w:b/>
          <w:bCs/>
          <w:szCs w:val="26"/>
        </w:rPr>
      </w:pPr>
      <w:r>
        <w:rPr>
          <w:rFonts w:ascii="Times New Roman Bold" w:eastAsia="Times New Roman" w:hAnsi="Times New Roman Bold" w:cs="Arial"/>
          <w:b/>
          <w:bCs/>
          <w:szCs w:val="26"/>
        </w:rPr>
        <w:t>A</w:t>
      </w:r>
      <w:r w:rsidR="00130F07" w:rsidRPr="00130F07">
        <w:rPr>
          <w:rFonts w:ascii="Times New Roman Bold" w:eastAsia="Times New Roman" w:hAnsi="Times New Roman Bold" w:cs="Arial"/>
          <w:b/>
          <w:bCs/>
          <w:szCs w:val="26"/>
        </w:rPr>
        <w:t>.</w:t>
      </w:r>
      <w:r w:rsidR="00130F07" w:rsidRPr="00130F07">
        <w:rPr>
          <w:rFonts w:ascii="Times New Roman Bold" w:eastAsia="Times New Roman" w:hAnsi="Times New Roman Bold" w:cs="Arial"/>
          <w:b/>
          <w:bCs/>
          <w:szCs w:val="26"/>
        </w:rPr>
        <w:tab/>
        <w:t>IEEE Major Event Day</w:t>
      </w:r>
    </w:p>
    <w:p w:rsidR="00130F07" w:rsidRPr="00130F07" w:rsidRDefault="0062425E" w:rsidP="000D24AD">
      <w:pPr>
        <w:spacing w:before="0"/>
        <w:ind w:left="0" w:firstLine="720"/>
        <w:rPr>
          <w:rFonts w:eastAsia="Times New Roman" w:cs="Times New Roman"/>
          <w:szCs w:val="20"/>
        </w:rPr>
      </w:pPr>
      <w:r>
        <w:rPr>
          <w:rFonts w:eastAsia="Times New Roman" w:cs="Times New Roman"/>
          <w:szCs w:val="20"/>
        </w:rPr>
        <w:t xml:space="preserve">PSE proposes </w:t>
      </w:r>
      <w:r w:rsidR="00AD6DA3">
        <w:rPr>
          <w:rFonts w:eastAsia="Times New Roman" w:cs="Times New Roman"/>
          <w:szCs w:val="20"/>
        </w:rPr>
        <w:t xml:space="preserve">to </w:t>
      </w:r>
      <w:r>
        <w:rPr>
          <w:rFonts w:eastAsia="Times New Roman" w:cs="Times New Roman"/>
          <w:szCs w:val="20"/>
        </w:rPr>
        <w:t>exclud</w:t>
      </w:r>
      <w:r w:rsidR="00AD6DA3">
        <w:rPr>
          <w:rFonts w:eastAsia="Times New Roman" w:cs="Times New Roman"/>
          <w:szCs w:val="20"/>
        </w:rPr>
        <w:t>e</w:t>
      </w:r>
      <w:r>
        <w:rPr>
          <w:rFonts w:eastAsia="Times New Roman" w:cs="Times New Roman"/>
          <w:szCs w:val="20"/>
        </w:rPr>
        <w:t xml:space="preserve"> </w:t>
      </w:r>
      <w:r w:rsidR="00130F07" w:rsidRPr="00130F07">
        <w:rPr>
          <w:rFonts w:eastAsia="Times New Roman" w:cs="Times New Roman"/>
          <w:szCs w:val="20"/>
        </w:rPr>
        <w:t>Major Event Days (</w:t>
      </w:r>
      <w:r w:rsidR="00110779">
        <w:rPr>
          <w:rFonts w:eastAsia="Times New Roman" w:cs="Times New Roman"/>
          <w:szCs w:val="20"/>
        </w:rPr>
        <w:t>“</w:t>
      </w:r>
      <w:r w:rsidR="00130F07" w:rsidRPr="00130F07">
        <w:rPr>
          <w:rFonts w:eastAsia="Times New Roman" w:cs="Times New Roman"/>
          <w:szCs w:val="20"/>
        </w:rPr>
        <w:t>MED</w:t>
      </w:r>
      <w:r w:rsidR="00563E78">
        <w:rPr>
          <w:rFonts w:eastAsia="Times New Roman" w:cs="Times New Roman"/>
          <w:szCs w:val="20"/>
        </w:rPr>
        <w:t>s</w:t>
      </w:r>
      <w:r w:rsidR="00110779">
        <w:rPr>
          <w:rFonts w:eastAsia="Times New Roman" w:cs="Times New Roman"/>
          <w:szCs w:val="20"/>
        </w:rPr>
        <w:t>”</w:t>
      </w:r>
      <w:r w:rsidR="00130F07" w:rsidRPr="00130F07">
        <w:rPr>
          <w:rFonts w:eastAsia="Times New Roman" w:cs="Times New Roman"/>
          <w:szCs w:val="20"/>
        </w:rPr>
        <w:t xml:space="preserve">) </w:t>
      </w:r>
      <w:r>
        <w:rPr>
          <w:rFonts w:eastAsia="Times New Roman" w:cs="Times New Roman"/>
          <w:szCs w:val="20"/>
        </w:rPr>
        <w:t xml:space="preserve">from its SAIDI calculation, consistent with the IEEE Std 1366 methodology.  MEDs </w:t>
      </w:r>
      <w:r w:rsidR="00130F07" w:rsidRPr="00130F07">
        <w:rPr>
          <w:rFonts w:eastAsia="Times New Roman" w:cs="Times New Roman"/>
          <w:szCs w:val="20"/>
        </w:rPr>
        <w:t>are days in which the daily system SAIDI exceeds a threshold value, T</w:t>
      </w:r>
      <w:r w:rsidR="00130F07" w:rsidRPr="00E9291B">
        <w:rPr>
          <w:rFonts w:eastAsia="Times New Roman"/>
          <w:vertAlign w:val="subscript"/>
        </w:rPr>
        <w:t>MED</w:t>
      </w:r>
      <w:r w:rsidR="00130F07" w:rsidRPr="00130F07">
        <w:rPr>
          <w:rFonts w:eastAsia="Times New Roman" w:cs="Times New Roman"/>
          <w:szCs w:val="20"/>
        </w:rPr>
        <w:t xml:space="preserve">.  The </w:t>
      </w:r>
      <w:r w:rsidR="00C33A94" w:rsidRPr="00130F07">
        <w:rPr>
          <w:rFonts w:eastAsia="Times New Roman" w:cs="Times New Roman"/>
          <w:szCs w:val="20"/>
        </w:rPr>
        <w:t>T</w:t>
      </w:r>
      <w:r w:rsidR="00C33A94" w:rsidRPr="00E9291B">
        <w:rPr>
          <w:rFonts w:eastAsia="Times New Roman"/>
          <w:vertAlign w:val="subscript"/>
        </w:rPr>
        <w:t>MED</w:t>
      </w:r>
      <w:r w:rsidR="00130F07" w:rsidRPr="00130F07">
        <w:rPr>
          <w:rFonts w:eastAsia="Times New Roman" w:cs="Times New Roman"/>
          <w:szCs w:val="20"/>
        </w:rPr>
        <w:t xml:space="preserve"> value is calculated at the end of each reporting year for use during the next reporting year.  It is determined by reviewing the past five years of daily system SAIDI, and using the IEEE Std 1366 2.5 Beta methodology in calculating </w:t>
      </w:r>
      <w:r w:rsidR="00130F07" w:rsidRPr="00130F07">
        <w:rPr>
          <w:rFonts w:eastAsia="Times New Roman" w:cs="Times New Roman"/>
          <w:szCs w:val="20"/>
        </w:rPr>
        <w:lastRenderedPageBreak/>
        <w:t>the threshold value.  Page 10 of IEEE</w:t>
      </w:r>
      <w:r w:rsidR="0047464D">
        <w:rPr>
          <w:rFonts w:eastAsia="Times New Roman" w:cs="Times New Roman"/>
          <w:szCs w:val="20"/>
        </w:rPr>
        <w:t xml:space="preserve"> Std 1366</w:t>
      </w:r>
      <w:r w:rsidR="00130F07" w:rsidRPr="00130F07">
        <w:rPr>
          <w:rFonts w:eastAsia="Times New Roman" w:cs="Times New Roman"/>
          <w:szCs w:val="20"/>
        </w:rPr>
        <w:t xml:space="preserve"> has the specific methodology and formulas.  Any days having a daily system SAIDI greater than </w:t>
      </w:r>
      <w:r w:rsidR="00C33A94" w:rsidRPr="00130F07">
        <w:rPr>
          <w:rFonts w:eastAsia="Times New Roman" w:cs="Times New Roman"/>
          <w:szCs w:val="20"/>
        </w:rPr>
        <w:t>T</w:t>
      </w:r>
      <w:r w:rsidR="00C33A94" w:rsidRPr="00E9291B">
        <w:rPr>
          <w:rFonts w:eastAsia="Times New Roman"/>
          <w:vertAlign w:val="subscript"/>
        </w:rPr>
        <w:t>MED</w:t>
      </w:r>
      <w:r w:rsidR="00130F07" w:rsidRPr="00130F07">
        <w:rPr>
          <w:rFonts w:eastAsia="Times New Roman" w:cs="Times New Roman"/>
          <w:szCs w:val="20"/>
        </w:rPr>
        <w:t xml:space="preserve"> are days on which the electric distribution system experienced stresses beyond those normally expected, </w:t>
      </w:r>
      <w:r w:rsidR="00130F07" w:rsidRPr="00DD7E72">
        <w:rPr>
          <w:rFonts w:eastAsia="Times New Roman" w:cs="Times New Roman"/>
          <w:i/>
          <w:szCs w:val="20"/>
        </w:rPr>
        <w:t>i.e.,</w:t>
      </w:r>
      <w:r w:rsidR="00130F07" w:rsidRPr="00130F07">
        <w:rPr>
          <w:rFonts w:eastAsia="Times New Roman" w:cs="Times New Roman"/>
          <w:szCs w:val="20"/>
        </w:rPr>
        <w:t xml:space="preserve"> IEEE Std 1366 Major Event Days.  It should be noted that the major event exclusion defined in the SQI No. 3 for 2002-2009 is different than the definition of the major event day exclusion under IEEE Std 1366</w:t>
      </w:r>
      <w:r>
        <w:rPr>
          <w:rFonts w:eastAsia="Times New Roman" w:cs="Times New Roman"/>
          <w:szCs w:val="20"/>
        </w:rPr>
        <w:t>, which PSE is proposing to use in this Petition</w:t>
      </w:r>
      <w:r w:rsidR="00130F07" w:rsidRPr="00130F07">
        <w:rPr>
          <w:rFonts w:eastAsia="Times New Roman" w:cs="Times New Roman"/>
          <w:szCs w:val="20"/>
        </w:rPr>
        <w:t>.</w:t>
      </w:r>
    </w:p>
    <w:p w:rsidR="00130F07" w:rsidRPr="00130F07" w:rsidRDefault="00770F75" w:rsidP="00770F75">
      <w:pPr>
        <w:keepNext/>
        <w:keepLines/>
        <w:numPr>
          <w:ilvl w:val="0"/>
          <w:numId w:val="0"/>
        </w:numPr>
        <w:spacing w:before="0" w:after="240" w:line="240" w:lineRule="auto"/>
        <w:ind w:left="720" w:hanging="720"/>
        <w:outlineLvl w:val="2"/>
        <w:rPr>
          <w:rFonts w:ascii="Times New Roman Bold" w:eastAsia="Times New Roman" w:hAnsi="Times New Roman Bold" w:cs="Arial"/>
          <w:b/>
          <w:bCs/>
          <w:szCs w:val="26"/>
        </w:rPr>
      </w:pPr>
      <w:bookmarkStart w:id="6" w:name="_Ref434851002"/>
      <w:r>
        <w:rPr>
          <w:rFonts w:ascii="Times New Roman Bold" w:eastAsia="Times New Roman" w:hAnsi="Times New Roman Bold" w:cs="Arial"/>
          <w:b/>
          <w:bCs/>
          <w:szCs w:val="26"/>
        </w:rPr>
        <w:t>B</w:t>
      </w:r>
      <w:r w:rsidR="00130F07" w:rsidRPr="00130F07">
        <w:rPr>
          <w:rFonts w:ascii="Times New Roman Bold" w:eastAsia="Times New Roman" w:hAnsi="Times New Roman Bold" w:cs="Arial"/>
          <w:b/>
          <w:bCs/>
          <w:szCs w:val="26"/>
        </w:rPr>
        <w:t>.</w:t>
      </w:r>
      <w:r w:rsidR="00130F07" w:rsidRPr="00130F07">
        <w:rPr>
          <w:rFonts w:ascii="Times New Roman Bold" w:eastAsia="Times New Roman" w:hAnsi="Times New Roman Bold" w:cs="Arial"/>
          <w:b/>
          <w:bCs/>
          <w:szCs w:val="26"/>
        </w:rPr>
        <w:tab/>
        <w:t>IEEE Definition of Sustained Interruption</w:t>
      </w:r>
    </w:p>
    <w:p w:rsidR="00130F07" w:rsidRPr="00130F07" w:rsidRDefault="00130F07" w:rsidP="000D24AD">
      <w:pPr>
        <w:spacing w:before="0"/>
        <w:ind w:left="0" w:firstLine="720"/>
        <w:rPr>
          <w:rFonts w:eastAsia="Times New Roman" w:cs="Times New Roman"/>
          <w:szCs w:val="20"/>
        </w:rPr>
      </w:pPr>
      <w:r w:rsidRPr="00130F07">
        <w:rPr>
          <w:rFonts w:eastAsia="Times New Roman" w:cs="Times New Roman"/>
          <w:szCs w:val="20"/>
        </w:rPr>
        <w:t xml:space="preserve">Per IEEE Std 1366, only sustained outages defined as outage duration longer than </w:t>
      </w:r>
      <w:r w:rsidR="00DD7E72">
        <w:rPr>
          <w:rFonts w:eastAsia="Times New Roman" w:cs="Times New Roman"/>
          <w:szCs w:val="20"/>
        </w:rPr>
        <w:t>five</w:t>
      </w:r>
      <w:r w:rsidR="00DD7E72" w:rsidRPr="00130F07">
        <w:rPr>
          <w:rFonts w:eastAsia="Times New Roman" w:cs="Times New Roman"/>
          <w:szCs w:val="20"/>
        </w:rPr>
        <w:t xml:space="preserve"> </w:t>
      </w:r>
      <w:r w:rsidRPr="00130F07">
        <w:rPr>
          <w:rFonts w:eastAsia="Times New Roman" w:cs="Times New Roman"/>
          <w:szCs w:val="20"/>
        </w:rPr>
        <w:t xml:space="preserve">minutes are included in the reliability indices. PSE agrees with adopting this definition of a sustained interruption. Under the current mechanics, PSE has considered a sustained interruption as an outage </w:t>
      </w:r>
      <w:r w:rsidR="00625CD7">
        <w:rPr>
          <w:rFonts w:eastAsia="Times New Roman" w:cs="Times New Roman"/>
          <w:szCs w:val="20"/>
        </w:rPr>
        <w:t>one</w:t>
      </w:r>
      <w:r w:rsidR="00625CD7" w:rsidRPr="00130F07">
        <w:rPr>
          <w:rFonts w:eastAsia="Times New Roman" w:cs="Times New Roman"/>
          <w:szCs w:val="20"/>
        </w:rPr>
        <w:t xml:space="preserve"> </w:t>
      </w:r>
      <w:r w:rsidRPr="00130F07">
        <w:rPr>
          <w:rFonts w:eastAsia="Times New Roman" w:cs="Times New Roman"/>
          <w:szCs w:val="20"/>
        </w:rPr>
        <w:t xml:space="preserve">minute or longer.  PSE will continue to record outages </w:t>
      </w:r>
      <w:r w:rsidR="00625CD7">
        <w:rPr>
          <w:rFonts w:eastAsia="Times New Roman" w:cs="Times New Roman"/>
          <w:szCs w:val="20"/>
        </w:rPr>
        <w:t>five</w:t>
      </w:r>
      <w:r w:rsidR="00625CD7" w:rsidRPr="00130F07">
        <w:rPr>
          <w:rFonts w:eastAsia="Times New Roman" w:cs="Times New Roman"/>
          <w:szCs w:val="20"/>
        </w:rPr>
        <w:t xml:space="preserve"> </w:t>
      </w:r>
      <w:r w:rsidRPr="00130F07">
        <w:rPr>
          <w:rFonts w:eastAsia="Times New Roman" w:cs="Times New Roman"/>
          <w:szCs w:val="20"/>
        </w:rPr>
        <w:t xml:space="preserve">minutes or less in the OMS but those outages would not be included in the future SQI SAIDI reportable results.  PSE discussed the adoption of the </w:t>
      </w:r>
      <w:r w:rsidR="00625CD7">
        <w:rPr>
          <w:rFonts w:eastAsia="Times New Roman" w:cs="Times New Roman"/>
          <w:szCs w:val="20"/>
        </w:rPr>
        <w:t>five-</w:t>
      </w:r>
      <w:r w:rsidRPr="00130F07">
        <w:rPr>
          <w:rFonts w:eastAsia="Times New Roman" w:cs="Times New Roman"/>
          <w:szCs w:val="20"/>
        </w:rPr>
        <w:t xml:space="preserve">minute definition with the Commission Staff and Public Counsel during the June 18, 2015 meeting and no one objected to PSE implementing this IEEE </w:t>
      </w:r>
      <w:r w:rsidR="0047464D">
        <w:rPr>
          <w:rFonts w:eastAsia="Times New Roman" w:cs="Times New Roman"/>
          <w:szCs w:val="20"/>
        </w:rPr>
        <w:t>Std 1366</w:t>
      </w:r>
      <w:r w:rsidR="0047464D" w:rsidRPr="00130F07">
        <w:rPr>
          <w:rFonts w:eastAsia="Times New Roman" w:cs="Times New Roman"/>
          <w:szCs w:val="20"/>
        </w:rPr>
        <w:t xml:space="preserve"> </w:t>
      </w:r>
      <w:r w:rsidRPr="00130F07">
        <w:rPr>
          <w:rFonts w:eastAsia="Times New Roman" w:cs="Times New Roman"/>
          <w:szCs w:val="20"/>
        </w:rPr>
        <w:t>element going forward.</w:t>
      </w:r>
    </w:p>
    <w:p w:rsidR="00130F07" w:rsidRPr="00130F07" w:rsidRDefault="00770F75" w:rsidP="00770F75">
      <w:pPr>
        <w:keepNext/>
        <w:keepLines/>
        <w:numPr>
          <w:ilvl w:val="0"/>
          <w:numId w:val="0"/>
        </w:numPr>
        <w:spacing w:before="0" w:after="240" w:line="240" w:lineRule="auto"/>
        <w:ind w:left="720" w:hanging="720"/>
        <w:outlineLvl w:val="2"/>
        <w:rPr>
          <w:rFonts w:ascii="Times New Roman Bold" w:eastAsia="Times New Roman" w:hAnsi="Times New Roman Bold" w:cs="Arial"/>
          <w:b/>
          <w:bCs/>
          <w:szCs w:val="26"/>
        </w:rPr>
      </w:pPr>
      <w:r>
        <w:rPr>
          <w:rFonts w:ascii="Times New Roman Bold" w:eastAsia="Times New Roman" w:hAnsi="Times New Roman Bold" w:cs="Arial"/>
          <w:b/>
          <w:bCs/>
          <w:szCs w:val="26"/>
        </w:rPr>
        <w:t>C</w:t>
      </w:r>
      <w:r w:rsidR="00130F07" w:rsidRPr="00130F07">
        <w:rPr>
          <w:rFonts w:ascii="Times New Roman Bold" w:eastAsia="Times New Roman" w:hAnsi="Times New Roman Bold" w:cs="Arial"/>
          <w:b/>
          <w:bCs/>
          <w:szCs w:val="26"/>
        </w:rPr>
        <w:t>.</w:t>
      </w:r>
      <w:r w:rsidR="00130F07" w:rsidRPr="00130F07">
        <w:rPr>
          <w:rFonts w:ascii="Times New Roman Bold" w:eastAsia="Times New Roman" w:hAnsi="Times New Roman Bold" w:cs="Arial"/>
          <w:b/>
          <w:bCs/>
          <w:szCs w:val="26"/>
        </w:rPr>
        <w:tab/>
        <w:t>Catastrophic Event Definition</w:t>
      </w:r>
    </w:p>
    <w:p w:rsidR="00130F07" w:rsidRPr="00130F07" w:rsidRDefault="00130F07" w:rsidP="000D24AD">
      <w:pPr>
        <w:spacing w:before="0"/>
        <w:ind w:left="0" w:firstLine="720"/>
        <w:rPr>
          <w:rFonts w:eastAsia="Times New Roman" w:cs="Times New Roman"/>
          <w:szCs w:val="20"/>
        </w:rPr>
      </w:pPr>
      <w:r w:rsidRPr="00130F07">
        <w:rPr>
          <w:rFonts w:eastAsia="Times New Roman" w:cs="Times New Roman"/>
          <w:szCs w:val="20"/>
        </w:rPr>
        <w:t xml:space="preserve">As utilities use the IEEE Std 1366 2.5 Beta methodology to classify </w:t>
      </w:r>
      <w:r w:rsidR="00C129CE">
        <w:rPr>
          <w:rFonts w:eastAsia="Times New Roman" w:cs="Times New Roman"/>
          <w:szCs w:val="20"/>
        </w:rPr>
        <w:t>major event day</w:t>
      </w:r>
      <w:r w:rsidRPr="00130F07">
        <w:rPr>
          <w:rFonts w:eastAsia="Times New Roman" w:cs="Times New Roman"/>
          <w:szCs w:val="20"/>
        </w:rPr>
        <w:t xml:space="preserve">s, some have experienced large scale events that result in unusually high daily SAIDI values.  If not addressed, these extremely high daily SAIDI values will persist in the data set for five years, affecting the </w:t>
      </w:r>
      <w:r w:rsidR="00C33A94" w:rsidRPr="00130F07">
        <w:rPr>
          <w:rFonts w:eastAsia="Times New Roman" w:cs="Times New Roman"/>
          <w:szCs w:val="20"/>
        </w:rPr>
        <w:t>T</w:t>
      </w:r>
      <w:r w:rsidR="00C33A94" w:rsidRPr="00CB02F7">
        <w:rPr>
          <w:rFonts w:eastAsia="Times New Roman"/>
          <w:vertAlign w:val="subscript"/>
        </w:rPr>
        <w:t>MED</w:t>
      </w:r>
      <w:r w:rsidRPr="00130F07">
        <w:rPr>
          <w:rFonts w:eastAsia="Times New Roman" w:cs="Times New Roman"/>
          <w:szCs w:val="20"/>
        </w:rPr>
        <w:t xml:space="preserve"> calculation by causing a notable</w:t>
      </w:r>
      <w:r w:rsidRPr="00130F07" w:rsidDel="00C7411B">
        <w:rPr>
          <w:rFonts w:eastAsia="Times New Roman" w:cs="Times New Roman"/>
          <w:szCs w:val="20"/>
        </w:rPr>
        <w:t xml:space="preserve"> </w:t>
      </w:r>
      <w:r w:rsidRPr="00130F07">
        <w:rPr>
          <w:rFonts w:eastAsia="Times New Roman" w:cs="Times New Roman"/>
          <w:szCs w:val="20"/>
        </w:rPr>
        <w:t xml:space="preserve">upward shift in the </w:t>
      </w:r>
      <w:r w:rsidR="00C33A94" w:rsidRPr="00130F07">
        <w:rPr>
          <w:rFonts w:eastAsia="Times New Roman" w:cs="Times New Roman"/>
          <w:szCs w:val="20"/>
        </w:rPr>
        <w:t>T</w:t>
      </w:r>
      <w:r w:rsidR="00C33A94" w:rsidRPr="00CB02F7">
        <w:rPr>
          <w:rFonts w:eastAsia="Times New Roman"/>
          <w:vertAlign w:val="subscript"/>
        </w:rPr>
        <w:t>MED</w:t>
      </w:r>
      <w:r w:rsidR="00C33A94" w:rsidRPr="000D24AD">
        <w:rPr>
          <w:rFonts w:eastAsia="Times New Roman" w:cs="Times New Roman"/>
          <w:szCs w:val="20"/>
        </w:rPr>
        <w:t xml:space="preserve"> </w:t>
      </w:r>
      <w:r w:rsidR="00C33A94">
        <w:rPr>
          <w:rFonts w:eastAsia="Times New Roman" w:cs="Times New Roman"/>
          <w:szCs w:val="20"/>
        </w:rPr>
        <w:t>value.</w:t>
      </w:r>
      <w:r w:rsidR="001C7CAF">
        <w:rPr>
          <w:rFonts w:eastAsia="Times New Roman" w:cs="Times New Roman"/>
          <w:szCs w:val="20"/>
        </w:rPr>
        <w:t xml:space="preserve"> </w:t>
      </w:r>
      <w:r w:rsidR="00C33A94">
        <w:rPr>
          <w:rFonts w:eastAsia="Times New Roman" w:cs="Times New Roman"/>
          <w:szCs w:val="20"/>
        </w:rPr>
        <w:t xml:space="preserve"> As </w:t>
      </w:r>
      <w:r w:rsidR="00C33A94" w:rsidRPr="00130F07">
        <w:rPr>
          <w:rFonts w:eastAsia="Times New Roman" w:cs="Times New Roman"/>
          <w:szCs w:val="20"/>
        </w:rPr>
        <w:t>T</w:t>
      </w:r>
      <w:r w:rsidR="00C33A94" w:rsidRPr="00CB02F7">
        <w:rPr>
          <w:rFonts w:eastAsia="Times New Roman"/>
          <w:vertAlign w:val="subscript"/>
        </w:rPr>
        <w:t>MED</w:t>
      </w:r>
      <w:r w:rsidRPr="00130F07">
        <w:rPr>
          <w:rFonts w:eastAsia="Times New Roman" w:cs="Times New Roman"/>
          <w:szCs w:val="20"/>
        </w:rPr>
        <w:t xml:space="preserve"> rises, it is more difficult to have a day exceed the higher </w:t>
      </w:r>
      <w:r w:rsidR="00C33A94" w:rsidRPr="00130F07">
        <w:rPr>
          <w:rFonts w:eastAsia="Times New Roman" w:cs="Times New Roman"/>
          <w:szCs w:val="20"/>
        </w:rPr>
        <w:t>T</w:t>
      </w:r>
      <w:r w:rsidR="00C33A94" w:rsidRPr="00CB02F7">
        <w:rPr>
          <w:rFonts w:eastAsia="Times New Roman"/>
          <w:vertAlign w:val="subscript"/>
        </w:rPr>
        <w:t>MED</w:t>
      </w:r>
      <w:r w:rsidRPr="00130F07">
        <w:rPr>
          <w:rFonts w:eastAsia="Times New Roman" w:cs="Times New Roman"/>
          <w:szCs w:val="20"/>
        </w:rPr>
        <w:t xml:space="preserve">.  </w:t>
      </w:r>
      <w:r w:rsidR="001C7CAF">
        <w:rPr>
          <w:rFonts w:eastAsia="Times New Roman" w:cs="Times New Roman"/>
          <w:szCs w:val="20"/>
        </w:rPr>
        <w:t xml:space="preserve">Attachment A to this Petition </w:t>
      </w:r>
      <w:r w:rsidR="000F02B9">
        <w:rPr>
          <w:rFonts w:eastAsia="Times New Roman" w:cs="Times New Roman"/>
          <w:szCs w:val="20"/>
        </w:rPr>
        <w:t xml:space="preserve">also </w:t>
      </w:r>
      <w:r w:rsidR="001C7CAF">
        <w:rPr>
          <w:rFonts w:eastAsia="Times New Roman" w:cs="Times New Roman"/>
          <w:szCs w:val="20"/>
        </w:rPr>
        <w:t xml:space="preserve">outlines the catastrophic days related issues identified by </w:t>
      </w:r>
      <w:r w:rsidR="000F02B9">
        <w:rPr>
          <w:rFonts w:eastAsia="Times New Roman" w:cs="Times New Roman"/>
          <w:szCs w:val="20"/>
        </w:rPr>
        <w:t xml:space="preserve">a member of </w:t>
      </w:r>
      <w:r w:rsidR="001C7CAF">
        <w:rPr>
          <w:rFonts w:eastAsia="Times New Roman" w:cs="Times New Roman"/>
          <w:szCs w:val="20"/>
        </w:rPr>
        <w:t xml:space="preserve">IEEE’s </w:t>
      </w:r>
      <w:r w:rsidR="000F02B9" w:rsidRPr="00130F07">
        <w:rPr>
          <w:rFonts w:eastAsia="Times New Roman" w:cs="Times New Roman"/>
          <w:szCs w:val="20"/>
        </w:rPr>
        <w:t>Distribution Reliability Working Group</w:t>
      </w:r>
      <w:r w:rsidR="001C7CAF">
        <w:rPr>
          <w:rFonts w:eastAsia="Times New Roman" w:cs="Times New Roman"/>
          <w:szCs w:val="20"/>
        </w:rPr>
        <w:t xml:space="preserve">.  </w:t>
      </w:r>
      <w:r w:rsidRPr="00130F07">
        <w:rPr>
          <w:rFonts w:eastAsia="Times New Roman" w:cs="Times New Roman"/>
          <w:szCs w:val="20"/>
        </w:rPr>
        <w:t xml:space="preserve">Current guidance in IEEE Std 1366 is that the </w:t>
      </w:r>
      <w:r w:rsidRPr="00130F07">
        <w:rPr>
          <w:rFonts w:eastAsia="Times New Roman" w:cs="Times New Roman"/>
          <w:szCs w:val="20"/>
        </w:rPr>
        <w:lastRenderedPageBreak/>
        <w:t>identification and processing of catastrophic events for reliability purposes should be determined on an individual company basis by regulators and utilities.</w:t>
      </w:r>
      <w:r w:rsidR="00A77515" w:rsidRPr="001C7CAF">
        <w:rPr>
          <w:rFonts w:eastAsia="Times New Roman" w:cs="Times New Roman"/>
          <w:szCs w:val="20"/>
          <w:vertAlign w:val="superscript"/>
        </w:rPr>
        <w:footnoteReference w:id="26"/>
      </w:r>
      <w:r w:rsidRPr="00130F07">
        <w:rPr>
          <w:rFonts w:eastAsia="Times New Roman" w:cs="Times New Roman"/>
          <w:szCs w:val="20"/>
        </w:rPr>
        <w:t xml:space="preserve">  The IEEE Distribution Reliability Working Group continues to study potential methodologies to address this shift, but has yet to formally adopt a set definition for catastrophic events.</w:t>
      </w:r>
      <w:r w:rsidR="00A77515" w:rsidRPr="000F02B9">
        <w:rPr>
          <w:rFonts w:eastAsia="Times New Roman" w:cs="Times New Roman"/>
          <w:szCs w:val="20"/>
          <w:vertAlign w:val="superscript"/>
        </w:rPr>
        <w:footnoteReference w:id="27"/>
      </w:r>
      <w:r w:rsidR="00A77515" w:rsidRPr="00130F07">
        <w:rPr>
          <w:rFonts w:eastAsia="Times New Roman" w:cs="Times New Roman"/>
          <w:szCs w:val="20"/>
        </w:rPr>
        <w:t xml:space="preserve"> </w:t>
      </w:r>
      <w:r w:rsidRPr="00130F07">
        <w:rPr>
          <w:rFonts w:eastAsia="Times New Roman" w:cs="Times New Roman"/>
          <w:szCs w:val="20"/>
        </w:rPr>
        <w:t>These methodologies form the basis for PSE’s proposal on catastrophic events.</w:t>
      </w:r>
    </w:p>
    <w:p w:rsidR="00130F07" w:rsidRPr="00130F07" w:rsidRDefault="00130F07" w:rsidP="000D24AD">
      <w:pPr>
        <w:spacing w:before="0"/>
        <w:ind w:left="0" w:firstLine="720"/>
        <w:rPr>
          <w:rFonts w:eastAsia="Times New Roman" w:cs="Times New Roman"/>
          <w:szCs w:val="20"/>
        </w:rPr>
      </w:pPr>
      <w:r w:rsidRPr="00130F07">
        <w:rPr>
          <w:rFonts w:eastAsia="Times New Roman" w:cs="Times New Roman"/>
          <w:szCs w:val="20"/>
        </w:rPr>
        <w:t>Currently, PSE can petition to exclude an outage event from SQI No. 3: SAIDI performance calculation, with the mitigation standard requiring that the event was unusual or exceptional and PSE’s level of preparedness and response was reasonable.  If the exclusion is approved by the Commission, PSE does not include the catastrophic event in the total annual SQI SAIDI value.  Due to the subjective nature of this process, PSE proposed adoption of an objective approach to measuring catastrophic events during its 2015 discussions with the Commission Staff and Public Counsel.</w:t>
      </w:r>
    </w:p>
    <w:p w:rsidR="00130F07" w:rsidRPr="00130F07" w:rsidRDefault="00130F07" w:rsidP="000D24AD">
      <w:pPr>
        <w:spacing w:before="0"/>
        <w:ind w:left="0" w:firstLine="720"/>
        <w:rPr>
          <w:rFonts w:eastAsia="Times New Roman" w:cs="Times New Roman"/>
          <w:szCs w:val="20"/>
        </w:rPr>
      </w:pPr>
      <w:r w:rsidRPr="00130F07">
        <w:rPr>
          <w:rFonts w:eastAsia="Times New Roman" w:cs="Times New Roman"/>
          <w:szCs w:val="20"/>
        </w:rPr>
        <w:t>PSE proposes that any daily system SAIDI exceeding 4.5 standard deviations of the daily system SAIDI will be considered a catastrophic event for the purpose of the SQI No. 3</w:t>
      </w:r>
      <w:r w:rsidR="00110779" w:rsidRPr="00130F07">
        <w:rPr>
          <w:rFonts w:eastAsia="Times New Roman" w:cs="Times New Roman"/>
          <w:szCs w:val="20"/>
        </w:rPr>
        <w:t>:</w:t>
      </w:r>
      <w:r w:rsidR="00110779">
        <w:rPr>
          <w:rFonts w:eastAsia="Times New Roman" w:cs="Times New Roman"/>
          <w:szCs w:val="20"/>
        </w:rPr>
        <w:t> </w:t>
      </w:r>
      <w:r w:rsidRPr="00130F07">
        <w:rPr>
          <w:rFonts w:eastAsia="Times New Roman" w:cs="Times New Roman"/>
          <w:szCs w:val="20"/>
        </w:rPr>
        <w:t xml:space="preserve">SAIDI mechanics.  The daily SAIDI value for that day will be replaced with a five-year average of that month’s previous daily SAIDI as calculated with IEEE Std 1366.  Similar to the </w:t>
      </w:r>
      <w:r w:rsidR="00C33A94" w:rsidRPr="00130F07">
        <w:rPr>
          <w:rFonts w:eastAsia="Times New Roman" w:cs="Times New Roman"/>
          <w:szCs w:val="20"/>
        </w:rPr>
        <w:t>T</w:t>
      </w:r>
      <w:r w:rsidR="00C33A94" w:rsidRPr="000F02B9">
        <w:rPr>
          <w:rFonts w:eastAsia="Times New Roman" w:cs="Times New Roman"/>
          <w:szCs w:val="20"/>
          <w:vertAlign w:val="subscript"/>
        </w:rPr>
        <w:t>MED</w:t>
      </w:r>
      <w:r w:rsidRPr="00130F07">
        <w:rPr>
          <w:rFonts w:eastAsia="Times New Roman" w:cs="Times New Roman"/>
          <w:szCs w:val="20"/>
        </w:rPr>
        <w:t xml:space="preserve"> calculation, the formula to determine the 4.5 Beta threshold (T</w:t>
      </w:r>
      <w:r w:rsidRPr="000F02B9">
        <w:rPr>
          <w:rFonts w:eastAsia="Times New Roman" w:cs="Times New Roman"/>
          <w:szCs w:val="20"/>
          <w:vertAlign w:val="subscript"/>
        </w:rPr>
        <w:t>CAT</w:t>
      </w:r>
      <w:r w:rsidRPr="00130F07">
        <w:rPr>
          <w:rFonts w:eastAsia="Times New Roman" w:cs="Times New Roman"/>
          <w:szCs w:val="20"/>
        </w:rPr>
        <w:t>) for a year is:</w:t>
      </w:r>
    </w:p>
    <w:p w:rsidR="00130F07" w:rsidRPr="00130F07" w:rsidRDefault="00130F07" w:rsidP="001E7361">
      <w:pPr>
        <w:numPr>
          <w:ilvl w:val="0"/>
          <w:numId w:val="0"/>
        </w:numPr>
        <w:spacing w:before="0"/>
        <w:ind w:left="720"/>
        <w:rPr>
          <w:rFonts w:eastAsia="Times New Roman" w:cs="Times New Roman"/>
          <w:szCs w:val="20"/>
        </w:rPr>
      </w:pPr>
      <w:r w:rsidRPr="000D24AD">
        <w:rPr>
          <w:rFonts w:eastAsia="Times New Roman" w:cs="Times New Roman"/>
          <w:szCs w:val="20"/>
        </w:rPr>
        <w:t>T</w:t>
      </w:r>
      <w:r w:rsidRPr="000F02B9">
        <w:rPr>
          <w:rFonts w:eastAsia="Times New Roman" w:cs="Times New Roman"/>
          <w:szCs w:val="20"/>
          <w:vertAlign w:val="subscript"/>
        </w:rPr>
        <w:t>CAT</w:t>
      </w:r>
      <w:r w:rsidR="00BF0FF9">
        <w:rPr>
          <w:rFonts w:eastAsia="Times New Roman" w:cs="Times New Roman"/>
          <w:szCs w:val="20"/>
        </w:rPr>
        <w:t> </w:t>
      </w:r>
      <w:r w:rsidRPr="000D24AD">
        <w:rPr>
          <w:rFonts w:eastAsia="Times New Roman" w:cs="Times New Roman"/>
          <w:szCs w:val="20"/>
        </w:rPr>
        <w:t>=</w:t>
      </w:r>
      <w:r w:rsidR="00BF0FF9">
        <w:rPr>
          <w:rFonts w:eastAsia="Times New Roman" w:cs="Times New Roman"/>
          <w:szCs w:val="20"/>
        </w:rPr>
        <w:t> </w:t>
      </w:r>
      <w:r w:rsidRPr="000D24AD">
        <w:rPr>
          <w:rFonts w:eastAsia="Times New Roman" w:cs="Times New Roman"/>
          <w:szCs w:val="20"/>
        </w:rPr>
        <w:t>e</w:t>
      </w:r>
      <w:r w:rsidRPr="000F02B9">
        <w:rPr>
          <w:rFonts w:eastAsia="Times New Roman" w:cs="Times New Roman"/>
          <w:szCs w:val="20"/>
          <w:vertAlign w:val="superscript"/>
        </w:rPr>
        <w:t>(α +4.5β )</w:t>
      </w:r>
    </w:p>
    <w:p w:rsidR="00697DF9" w:rsidRDefault="0031223E" w:rsidP="000D2205">
      <w:pPr>
        <w:numPr>
          <w:ilvl w:val="0"/>
          <w:numId w:val="0"/>
        </w:numPr>
        <w:spacing w:before="0"/>
        <w:rPr>
          <w:rFonts w:eastAsia="Times New Roman" w:cs="Times New Roman"/>
          <w:szCs w:val="20"/>
        </w:rPr>
      </w:pPr>
      <w:r>
        <w:rPr>
          <w:rFonts w:eastAsia="Times New Roman" w:cs="Times New Roman"/>
          <w:szCs w:val="20"/>
        </w:rPr>
        <w:t>w</w:t>
      </w:r>
      <w:r w:rsidRPr="00130F07">
        <w:rPr>
          <w:rFonts w:eastAsia="Times New Roman" w:cs="Times New Roman"/>
          <w:szCs w:val="20"/>
        </w:rPr>
        <w:t xml:space="preserve">here </w:t>
      </w:r>
      <w:r w:rsidR="00130F07" w:rsidRPr="00130F07">
        <w:rPr>
          <w:rFonts w:eastAsia="Times New Roman" w:cs="Times New Roman"/>
          <w:szCs w:val="20"/>
        </w:rPr>
        <w:t xml:space="preserve">α and β are found in the same manner as the </w:t>
      </w:r>
      <w:r w:rsidR="00C33A94" w:rsidRPr="00130F07">
        <w:rPr>
          <w:rFonts w:eastAsia="Times New Roman" w:cs="Times New Roman"/>
          <w:szCs w:val="20"/>
        </w:rPr>
        <w:t>T</w:t>
      </w:r>
      <w:r w:rsidR="00C33A94" w:rsidRPr="000F02B9">
        <w:rPr>
          <w:rFonts w:eastAsia="Times New Roman" w:cs="Times New Roman"/>
          <w:szCs w:val="20"/>
          <w:vertAlign w:val="subscript"/>
        </w:rPr>
        <w:t>MED</w:t>
      </w:r>
      <w:r w:rsidR="00130F07" w:rsidRPr="00130F07">
        <w:rPr>
          <w:rFonts w:eastAsia="Times New Roman" w:cs="Times New Roman"/>
          <w:szCs w:val="20"/>
        </w:rPr>
        <w:t xml:space="preserve"> </w:t>
      </w:r>
      <w:r w:rsidR="0033442A">
        <w:rPr>
          <w:rFonts w:eastAsia="Times New Roman" w:cs="Times New Roman"/>
          <w:szCs w:val="20"/>
        </w:rPr>
        <w:t>c</w:t>
      </w:r>
      <w:r w:rsidR="00130F07" w:rsidRPr="00130F07">
        <w:rPr>
          <w:rFonts w:eastAsia="Times New Roman" w:cs="Times New Roman"/>
          <w:szCs w:val="20"/>
        </w:rPr>
        <w:t xml:space="preserve">alculation covered in IEEE Std 1366-2012, page 10.  </w:t>
      </w:r>
    </w:p>
    <w:p w:rsidR="00C0100D" w:rsidRDefault="00842BFB" w:rsidP="000D24AD">
      <w:pPr>
        <w:spacing w:before="0"/>
        <w:ind w:left="0" w:firstLine="720"/>
        <w:rPr>
          <w:rFonts w:eastAsia="Times New Roman" w:cs="Times New Roman"/>
          <w:szCs w:val="20"/>
        </w:rPr>
      </w:pPr>
      <w:r w:rsidRPr="000D24AD">
        <w:rPr>
          <w:rFonts w:eastAsia="Times New Roman" w:cs="Times New Roman"/>
          <w:szCs w:val="20"/>
        </w:rPr>
        <w:lastRenderedPageBreak/>
        <w:t>Table 3</w:t>
      </w:r>
      <w:r w:rsidR="00D81953" w:rsidRPr="000D24AD">
        <w:rPr>
          <w:rFonts w:eastAsia="Times New Roman" w:cs="Times New Roman"/>
          <w:szCs w:val="20"/>
        </w:rPr>
        <w:t xml:space="preserve"> shows the T</w:t>
      </w:r>
      <w:r w:rsidR="00D81953" w:rsidRPr="000F02B9">
        <w:rPr>
          <w:rFonts w:eastAsia="Times New Roman" w:cs="Times New Roman"/>
          <w:szCs w:val="20"/>
          <w:vertAlign w:val="subscript"/>
        </w:rPr>
        <w:t xml:space="preserve">CAT </w:t>
      </w:r>
      <w:r w:rsidR="00D81953" w:rsidRPr="000D24AD">
        <w:rPr>
          <w:rFonts w:eastAsia="Times New Roman" w:cs="Times New Roman"/>
          <w:szCs w:val="20"/>
        </w:rPr>
        <w:t>Values for 2006-2014, and the dates with system daily SAIDI values that exceed the T</w:t>
      </w:r>
      <w:r w:rsidR="00D81953" w:rsidRPr="000F02B9">
        <w:rPr>
          <w:rFonts w:eastAsia="Times New Roman" w:cs="Times New Roman"/>
          <w:szCs w:val="20"/>
          <w:vertAlign w:val="subscript"/>
        </w:rPr>
        <w:t>CAT</w:t>
      </w:r>
      <w:r w:rsidR="00D81953" w:rsidRPr="000D24AD">
        <w:rPr>
          <w:rFonts w:eastAsia="Times New Roman" w:cs="Times New Roman"/>
          <w:szCs w:val="20"/>
        </w:rPr>
        <w:t xml:space="preserve"> threshold, </w:t>
      </w:r>
      <w:r w:rsidR="00D81953" w:rsidRPr="00FB1DBC">
        <w:rPr>
          <w:rFonts w:eastAsia="Times New Roman" w:cs="Times New Roman"/>
          <w:i/>
          <w:szCs w:val="20"/>
        </w:rPr>
        <w:t>i.e.,</w:t>
      </w:r>
      <w:r w:rsidR="00D81953" w:rsidRPr="000D24AD">
        <w:rPr>
          <w:rFonts w:eastAsia="Times New Roman" w:cs="Times New Roman"/>
          <w:szCs w:val="20"/>
        </w:rPr>
        <w:t xml:space="preserve"> days </w:t>
      </w:r>
      <w:r w:rsidR="00BA12C8">
        <w:rPr>
          <w:rFonts w:eastAsia="Times New Roman" w:cs="Times New Roman"/>
          <w:szCs w:val="20"/>
        </w:rPr>
        <w:t xml:space="preserve">that </w:t>
      </w:r>
      <w:r w:rsidR="00D81953" w:rsidRPr="000D24AD">
        <w:rPr>
          <w:rFonts w:eastAsia="Times New Roman" w:cs="Times New Roman"/>
          <w:szCs w:val="20"/>
        </w:rPr>
        <w:t>would be considered as c</w:t>
      </w:r>
      <w:r w:rsidR="00D81953" w:rsidRPr="00D81953">
        <w:rPr>
          <w:rFonts w:eastAsia="Times New Roman" w:cs="Times New Roman"/>
          <w:szCs w:val="20"/>
        </w:rPr>
        <w:t xml:space="preserve">atastrophic </w:t>
      </w:r>
      <w:r w:rsidR="00D81953">
        <w:rPr>
          <w:rFonts w:eastAsia="Times New Roman" w:cs="Times New Roman"/>
          <w:szCs w:val="20"/>
        </w:rPr>
        <w:t>e</w:t>
      </w:r>
      <w:r w:rsidR="00D81953" w:rsidRPr="00D81953">
        <w:rPr>
          <w:rFonts w:eastAsia="Times New Roman" w:cs="Times New Roman"/>
          <w:szCs w:val="20"/>
        </w:rPr>
        <w:t>vent</w:t>
      </w:r>
      <w:r w:rsidR="00D81953">
        <w:rPr>
          <w:rFonts w:eastAsia="Times New Roman" w:cs="Times New Roman"/>
          <w:szCs w:val="20"/>
        </w:rPr>
        <w:t xml:space="preserve"> days and be replaced in the T</w:t>
      </w:r>
      <w:r w:rsidR="00D81953" w:rsidRPr="000F02B9">
        <w:rPr>
          <w:rFonts w:eastAsia="Times New Roman" w:cs="Times New Roman"/>
          <w:szCs w:val="20"/>
          <w:vertAlign w:val="subscript"/>
        </w:rPr>
        <w:t>MED</w:t>
      </w:r>
      <w:r w:rsidR="00D81953">
        <w:rPr>
          <w:rFonts w:eastAsia="Times New Roman" w:cs="Times New Roman"/>
          <w:szCs w:val="20"/>
        </w:rPr>
        <w:t xml:space="preserve"> calculation.  The table also show</w:t>
      </w:r>
      <w:r w:rsidR="00D81953" w:rsidRPr="00D81953">
        <w:rPr>
          <w:rFonts w:eastAsia="Times New Roman" w:cs="Times New Roman"/>
          <w:szCs w:val="20"/>
        </w:rPr>
        <w:t>s</w:t>
      </w:r>
      <w:r w:rsidR="00D81953">
        <w:rPr>
          <w:rFonts w:eastAsia="Times New Roman" w:cs="Times New Roman"/>
          <w:szCs w:val="20"/>
        </w:rPr>
        <w:t xml:space="preserve"> by year </w:t>
      </w:r>
      <w:r w:rsidR="00D81953" w:rsidRPr="000D24AD">
        <w:rPr>
          <w:rFonts w:eastAsia="Times New Roman" w:cs="Times New Roman"/>
          <w:szCs w:val="20"/>
        </w:rPr>
        <w:t>the catastrophic events approved by Commission for exclusions in the current S</w:t>
      </w:r>
      <w:r w:rsidR="00C0100D">
        <w:rPr>
          <w:rFonts w:eastAsia="Times New Roman" w:cs="Times New Roman"/>
          <w:szCs w:val="20"/>
        </w:rPr>
        <w:t>QI SAIDI performance evaluation</w:t>
      </w:r>
      <w:r w:rsidR="00697DF9" w:rsidRPr="00130F07">
        <w:rPr>
          <w:rFonts w:eastAsia="Times New Roman" w:cs="Times New Roman"/>
          <w:szCs w:val="20"/>
        </w:rPr>
        <w:t xml:space="preserve">.  </w:t>
      </w:r>
    </w:p>
    <w:p w:rsidR="00C0100D" w:rsidRPr="007F22D2" w:rsidRDefault="00C0100D" w:rsidP="00C0100D">
      <w:pPr>
        <w:keepNext/>
        <w:numPr>
          <w:ilvl w:val="0"/>
          <w:numId w:val="0"/>
        </w:numPr>
        <w:spacing w:before="0" w:after="200" w:line="276" w:lineRule="auto"/>
        <w:jc w:val="center"/>
        <w:rPr>
          <w:rFonts w:eastAsia="Times New Roman" w:cs="Times New Roman"/>
          <w:b/>
          <w:szCs w:val="24"/>
        </w:rPr>
      </w:pPr>
      <w:bookmarkStart w:id="7" w:name="_Ref435603106"/>
      <w:r w:rsidRPr="00110779">
        <w:rPr>
          <w:rFonts w:eastAsia="Times New Roman" w:cs="Times New Roman"/>
          <w:b/>
          <w:szCs w:val="24"/>
        </w:rPr>
        <w:t xml:space="preserve">Table </w:t>
      </w:r>
      <w:r w:rsidRPr="00110779">
        <w:rPr>
          <w:rFonts w:eastAsia="Times New Roman" w:cs="Times New Roman"/>
          <w:b/>
          <w:szCs w:val="24"/>
        </w:rPr>
        <w:fldChar w:fldCharType="begin"/>
      </w:r>
      <w:r w:rsidRPr="00110779">
        <w:rPr>
          <w:rFonts w:eastAsia="Times New Roman" w:cs="Times New Roman"/>
          <w:b/>
          <w:szCs w:val="24"/>
        </w:rPr>
        <w:instrText xml:space="preserve"> SEQ Table \* ARABIC </w:instrText>
      </w:r>
      <w:r w:rsidRPr="00110779">
        <w:rPr>
          <w:rFonts w:eastAsia="Times New Roman" w:cs="Times New Roman"/>
          <w:b/>
          <w:szCs w:val="24"/>
        </w:rPr>
        <w:fldChar w:fldCharType="separate"/>
      </w:r>
      <w:r w:rsidR="001F31A5">
        <w:rPr>
          <w:rFonts w:eastAsia="Times New Roman" w:cs="Times New Roman"/>
          <w:b/>
          <w:noProof/>
          <w:szCs w:val="24"/>
        </w:rPr>
        <w:t>3</w:t>
      </w:r>
      <w:r w:rsidRPr="00110779">
        <w:rPr>
          <w:rFonts w:eastAsia="Times New Roman" w:cs="Times New Roman"/>
          <w:b/>
          <w:szCs w:val="24"/>
        </w:rPr>
        <w:fldChar w:fldCharType="end"/>
      </w:r>
      <w:bookmarkEnd w:id="7"/>
      <w:r w:rsidRPr="00110779">
        <w:rPr>
          <w:rFonts w:eastAsia="Times New Roman" w:cs="Times New Roman"/>
          <w:b/>
          <w:szCs w:val="24"/>
        </w:rPr>
        <w:t xml:space="preserve">: </w:t>
      </w:r>
      <w:r>
        <w:rPr>
          <w:rFonts w:eastAsia="Times New Roman" w:cs="Times New Roman"/>
          <w:b/>
          <w:szCs w:val="24"/>
        </w:rPr>
        <w:t>T</w:t>
      </w:r>
      <w:r w:rsidRPr="00842BFB">
        <w:rPr>
          <w:rFonts w:eastAsia="Times New Roman" w:cs="Times New Roman"/>
          <w:b/>
          <w:szCs w:val="24"/>
          <w:vertAlign w:val="subscript"/>
        </w:rPr>
        <w:t>CAT</w:t>
      </w:r>
      <w:r w:rsidRPr="00110779">
        <w:rPr>
          <w:rFonts w:eastAsia="Times New Roman" w:cs="Times New Roman"/>
          <w:b/>
          <w:szCs w:val="24"/>
        </w:rPr>
        <w:t xml:space="preserve"> </w:t>
      </w:r>
      <w:r>
        <w:rPr>
          <w:rFonts w:eastAsia="Times New Roman" w:cs="Times New Roman"/>
          <w:b/>
          <w:szCs w:val="24"/>
        </w:rPr>
        <w:t>V</w:t>
      </w:r>
      <w:r w:rsidRPr="00110779">
        <w:rPr>
          <w:rFonts w:eastAsia="Times New Roman" w:cs="Times New Roman"/>
          <w:b/>
          <w:szCs w:val="24"/>
        </w:rPr>
        <w:t xml:space="preserve">alues, the </w:t>
      </w:r>
      <w:r>
        <w:rPr>
          <w:rFonts w:eastAsia="Times New Roman" w:cs="Times New Roman"/>
          <w:b/>
          <w:szCs w:val="24"/>
        </w:rPr>
        <w:t>D</w:t>
      </w:r>
      <w:r w:rsidRPr="00110779">
        <w:rPr>
          <w:rFonts w:eastAsia="Times New Roman" w:cs="Times New Roman"/>
          <w:b/>
          <w:szCs w:val="24"/>
        </w:rPr>
        <w:t>a</w:t>
      </w:r>
      <w:r>
        <w:rPr>
          <w:rFonts w:eastAsia="Times New Roman" w:cs="Times New Roman"/>
          <w:b/>
          <w:szCs w:val="24"/>
        </w:rPr>
        <w:t>tes</w:t>
      </w:r>
      <w:r w:rsidRPr="00110779">
        <w:rPr>
          <w:rFonts w:eastAsia="Times New Roman" w:cs="Times New Roman"/>
          <w:b/>
          <w:szCs w:val="24"/>
        </w:rPr>
        <w:t xml:space="preserve"> </w:t>
      </w:r>
      <w:r>
        <w:rPr>
          <w:rFonts w:eastAsia="Times New Roman" w:cs="Times New Roman"/>
          <w:b/>
          <w:szCs w:val="24"/>
        </w:rPr>
        <w:t>T</w:t>
      </w:r>
      <w:r w:rsidRPr="00110779">
        <w:rPr>
          <w:rFonts w:eastAsia="Times New Roman" w:cs="Times New Roman"/>
          <w:b/>
          <w:szCs w:val="24"/>
        </w:rPr>
        <w:t xml:space="preserve">hat </w:t>
      </w:r>
      <w:r>
        <w:rPr>
          <w:rFonts w:eastAsia="Times New Roman" w:cs="Times New Roman"/>
          <w:b/>
          <w:szCs w:val="24"/>
        </w:rPr>
        <w:t>E</w:t>
      </w:r>
      <w:r w:rsidRPr="00110779">
        <w:rPr>
          <w:rFonts w:eastAsia="Times New Roman" w:cs="Times New Roman"/>
          <w:b/>
          <w:szCs w:val="24"/>
        </w:rPr>
        <w:t xml:space="preserve">xceed </w:t>
      </w:r>
      <w:r>
        <w:rPr>
          <w:rFonts w:eastAsia="Times New Roman" w:cs="Times New Roman"/>
          <w:b/>
          <w:szCs w:val="24"/>
        </w:rPr>
        <w:t>T</w:t>
      </w:r>
      <w:r w:rsidRPr="00842BFB">
        <w:rPr>
          <w:rFonts w:eastAsia="Times New Roman" w:cs="Times New Roman"/>
          <w:b/>
          <w:szCs w:val="24"/>
          <w:vertAlign w:val="subscript"/>
        </w:rPr>
        <w:t>CAT</w:t>
      </w:r>
      <w:r w:rsidRPr="00110779">
        <w:rPr>
          <w:rFonts w:eastAsia="Times New Roman" w:cs="Times New Roman"/>
          <w:b/>
          <w:szCs w:val="24"/>
        </w:rPr>
        <w:t>, and the</w:t>
      </w:r>
      <w:r>
        <w:rPr>
          <w:rFonts w:eastAsia="Times New Roman" w:cs="Times New Roman"/>
          <w:b/>
          <w:szCs w:val="24"/>
        </w:rPr>
        <w:t xml:space="preserve"> Catastrophic Events Approved by Commission for Current SQI SAIDI Exclusions</w:t>
      </w:r>
    </w:p>
    <w:tbl>
      <w:tblPr>
        <w:tblStyle w:val="TableGrid"/>
        <w:tblW w:w="0" w:type="auto"/>
        <w:jc w:val="center"/>
        <w:tblInd w:w="604" w:type="dxa"/>
        <w:tblLook w:val="04A0" w:firstRow="1" w:lastRow="0" w:firstColumn="1" w:lastColumn="0" w:noHBand="0" w:noVBand="1"/>
      </w:tblPr>
      <w:tblGrid>
        <w:gridCol w:w="1978"/>
        <w:gridCol w:w="1816"/>
        <w:gridCol w:w="2013"/>
        <w:gridCol w:w="2721"/>
      </w:tblGrid>
      <w:tr w:rsidR="00C0100D" w:rsidRPr="00243EC2" w:rsidTr="000C6DD7">
        <w:trPr>
          <w:trHeight w:val="939"/>
          <w:jc w:val="center"/>
        </w:trPr>
        <w:tc>
          <w:tcPr>
            <w:tcW w:w="1978" w:type="dxa"/>
          </w:tcPr>
          <w:p w:rsidR="00C0100D" w:rsidRPr="000D7D4F" w:rsidRDefault="00C0100D" w:rsidP="000C6DD7">
            <w:pPr>
              <w:keepNext/>
              <w:numPr>
                <w:ilvl w:val="0"/>
                <w:numId w:val="0"/>
              </w:numPr>
              <w:spacing w:before="60" w:after="60" w:line="240" w:lineRule="auto"/>
              <w:jc w:val="center"/>
              <w:rPr>
                <w:rFonts w:eastAsia="Times New Roman"/>
                <w:b/>
              </w:rPr>
            </w:pPr>
            <w:r w:rsidRPr="000D7D4F">
              <w:rPr>
                <w:rFonts w:eastAsia="Times New Roman"/>
                <w:b/>
              </w:rPr>
              <w:t>Year</w:t>
            </w:r>
          </w:p>
        </w:tc>
        <w:tc>
          <w:tcPr>
            <w:tcW w:w="1816" w:type="dxa"/>
          </w:tcPr>
          <w:p w:rsidR="00C0100D" w:rsidRPr="000D7D4F" w:rsidRDefault="00C0100D" w:rsidP="000C6DD7">
            <w:pPr>
              <w:keepNext/>
              <w:numPr>
                <w:ilvl w:val="0"/>
                <w:numId w:val="0"/>
              </w:numPr>
              <w:spacing w:before="60" w:after="60" w:line="240" w:lineRule="auto"/>
              <w:jc w:val="center"/>
              <w:rPr>
                <w:rFonts w:eastAsia="Times New Roman"/>
                <w:b/>
              </w:rPr>
            </w:pPr>
            <w:r w:rsidRPr="000D7D4F">
              <w:rPr>
                <w:rFonts w:eastAsia="Times New Roman"/>
                <w:b/>
              </w:rPr>
              <w:t>T</w:t>
            </w:r>
            <w:r w:rsidRPr="000D7D4F">
              <w:rPr>
                <w:rFonts w:eastAsia="Times New Roman"/>
                <w:b/>
                <w:vertAlign w:val="subscript"/>
              </w:rPr>
              <w:t xml:space="preserve">CAT </w:t>
            </w:r>
            <w:r w:rsidRPr="000D7D4F">
              <w:rPr>
                <w:rFonts w:eastAsia="Times New Roman"/>
                <w:b/>
              </w:rPr>
              <w:t>Threshold (in SAIDI Minutes)</w:t>
            </w:r>
          </w:p>
        </w:tc>
        <w:tc>
          <w:tcPr>
            <w:tcW w:w="2013" w:type="dxa"/>
          </w:tcPr>
          <w:p w:rsidR="00C0100D" w:rsidRPr="000D7D4F" w:rsidRDefault="00C0100D" w:rsidP="000C6DD7">
            <w:pPr>
              <w:keepNext/>
              <w:numPr>
                <w:ilvl w:val="0"/>
                <w:numId w:val="0"/>
              </w:numPr>
              <w:spacing w:before="60" w:after="60" w:line="240" w:lineRule="auto"/>
              <w:jc w:val="center"/>
              <w:rPr>
                <w:rFonts w:eastAsia="Times New Roman"/>
                <w:b/>
              </w:rPr>
            </w:pPr>
            <w:r w:rsidRPr="000D7D4F">
              <w:rPr>
                <w:rFonts w:eastAsia="Times New Roman"/>
                <w:b/>
              </w:rPr>
              <w:t>Dates SAIDI &gt; T</w:t>
            </w:r>
            <w:r w:rsidRPr="000D7D4F">
              <w:rPr>
                <w:rFonts w:eastAsia="Times New Roman"/>
                <w:b/>
                <w:vertAlign w:val="subscript"/>
              </w:rPr>
              <w:t>CAT</w:t>
            </w:r>
            <w:r w:rsidRPr="000D7D4F">
              <w:rPr>
                <w:rFonts w:eastAsia="Times New Roman"/>
                <w:b/>
              </w:rPr>
              <w:t xml:space="preserve"> Under Proposal</w:t>
            </w:r>
          </w:p>
        </w:tc>
        <w:tc>
          <w:tcPr>
            <w:tcW w:w="2721" w:type="dxa"/>
          </w:tcPr>
          <w:p w:rsidR="00C0100D" w:rsidRPr="000D7D4F" w:rsidRDefault="00C0100D" w:rsidP="000C6DD7">
            <w:pPr>
              <w:keepNext/>
              <w:numPr>
                <w:ilvl w:val="0"/>
                <w:numId w:val="0"/>
              </w:numPr>
              <w:spacing w:before="60" w:after="60" w:line="240" w:lineRule="auto"/>
              <w:jc w:val="center"/>
              <w:rPr>
                <w:rFonts w:eastAsia="Times New Roman"/>
                <w:b/>
              </w:rPr>
            </w:pPr>
            <w:r w:rsidRPr="000D7D4F">
              <w:rPr>
                <w:rFonts w:eastAsia="Times New Roman"/>
                <w:b/>
              </w:rPr>
              <w:t>Commission Approved Exclusion for Current SQI</w:t>
            </w:r>
            <w:r>
              <w:rPr>
                <w:rFonts w:eastAsia="Times New Roman"/>
                <w:b/>
              </w:rPr>
              <w:t xml:space="preserve"> SAIDI</w:t>
            </w:r>
            <w:r w:rsidRPr="00110779">
              <w:rPr>
                <w:rFonts w:eastAsia="Times New Roman" w:cs="Times New Roman"/>
                <w:b/>
                <w:szCs w:val="24"/>
                <w:vertAlign w:val="superscript"/>
              </w:rPr>
              <w:footnoteReference w:id="28"/>
            </w:r>
          </w:p>
        </w:tc>
      </w:tr>
      <w:tr w:rsidR="00C0100D" w:rsidRPr="00243EC2" w:rsidTr="000C6DD7">
        <w:trPr>
          <w:trHeight w:val="289"/>
          <w:jc w:val="center"/>
        </w:trPr>
        <w:tc>
          <w:tcPr>
            <w:tcW w:w="1978"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2006</w:t>
            </w:r>
          </w:p>
        </w:tc>
        <w:tc>
          <w:tcPr>
            <w:tcW w:w="1816"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79.13</w:t>
            </w:r>
          </w:p>
        </w:tc>
        <w:tc>
          <w:tcPr>
            <w:tcW w:w="2013"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Feb 6, Nov 15, Dec 14-16</w:t>
            </w:r>
          </w:p>
        </w:tc>
        <w:tc>
          <w:tcPr>
            <w:tcW w:w="2721"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Yes</w:t>
            </w:r>
          </w:p>
        </w:tc>
      </w:tr>
      <w:tr w:rsidR="00C0100D" w:rsidRPr="00243EC2" w:rsidTr="000C6DD7">
        <w:trPr>
          <w:trHeight w:val="352"/>
          <w:jc w:val="center"/>
        </w:trPr>
        <w:tc>
          <w:tcPr>
            <w:tcW w:w="1978"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2007</w:t>
            </w:r>
          </w:p>
        </w:tc>
        <w:tc>
          <w:tcPr>
            <w:tcW w:w="1816"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126.3</w:t>
            </w:r>
          </w:p>
        </w:tc>
        <w:tc>
          <w:tcPr>
            <w:tcW w:w="2013"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w:t>
            </w:r>
          </w:p>
        </w:tc>
        <w:tc>
          <w:tcPr>
            <w:tcW w:w="2721"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w:t>
            </w:r>
          </w:p>
        </w:tc>
      </w:tr>
      <w:tr w:rsidR="00C0100D" w:rsidRPr="00243EC2" w:rsidTr="000C6DD7">
        <w:trPr>
          <w:trHeight w:val="512"/>
          <w:jc w:val="center"/>
        </w:trPr>
        <w:tc>
          <w:tcPr>
            <w:tcW w:w="1978"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2008</w:t>
            </w:r>
          </w:p>
        </w:tc>
        <w:tc>
          <w:tcPr>
            <w:tcW w:w="1816"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131.09</w:t>
            </w:r>
          </w:p>
        </w:tc>
        <w:tc>
          <w:tcPr>
            <w:tcW w:w="2013"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w:t>
            </w:r>
          </w:p>
        </w:tc>
        <w:tc>
          <w:tcPr>
            <w:tcW w:w="2721"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w:t>
            </w:r>
          </w:p>
        </w:tc>
      </w:tr>
      <w:tr w:rsidR="00C0100D" w:rsidRPr="00243EC2" w:rsidTr="000C6DD7">
        <w:trPr>
          <w:trHeight w:val="512"/>
          <w:jc w:val="center"/>
        </w:trPr>
        <w:tc>
          <w:tcPr>
            <w:tcW w:w="1978"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2009</w:t>
            </w:r>
          </w:p>
        </w:tc>
        <w:tc>
          <w:tcPr>
            <w:tcW w:w="1816"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115.46</w:t>
            </w:r>
          </w:p>
        </w:tc>
        <w:tc>
          <w:tcPr>
            <w:tcW w:w="2013"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w:t>
            </w:r>
          </w:p>
        </w:tc>
        <w:tc>
          <w:tcPr>
            <w:tcW w:w="2721"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w:t>
            </w:r>
          </w:p>
        </w:tc>
      </w:tr>
      <w:tr w:rsidR="00C0100D" w:rsidRPr="00243EC2" w:rsidTr="000C6DD7">
        <w:trPr>
          <w:trHeight w:val="532"/>
          <w:jc w:val="center"/>
        </w:trPr>
        <w:tc>
          <w:tcPr>
            <w:tcW w:w="1978"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2010</w:t>
            </w:r>
          </w:p>
        </w:tc>
        <w:tc>
          <w:tcPr>
            <w:tcW w:w="1816"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120.21</w:t>
            </w:r>
          </w:p>
        </w:tc>
        <w:tc>
          <w:tcPr>
            <w:tcW w:w="2013"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Pr>
                <w:rFonts w:eastAsia="Times New Roman" w:cs="Times New Roman"/>
                <w:szCs w:val="20"/>
              </w:rPr>
              <w:t>Nov 22</w:t>
            </w:r>
          </w:p>
        </w:tc>
        <w:tc>
          <w:tcPr>
            <w:tcW w:w="2721"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PSE did not petition</w:t>
            </w:r>
          </w:p>
        </w:tc>
      </w:tr>
      <w:tr w:rsidR="00C0100D" w:rsidRPr="00243EC2" w:rsidTr="000C6DD7">
        <w:trPr>
          <w:trHeight w:val="512"/>
          <w:jc w:val="center"/>
        </w:trPr>
        <w:tc>
          <w:tcPr>
            <w:tcW w:w="1978"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2011</w:t>
            </w:r>
          </w:p>
        </w:tc>
        <w:tc>
          <w:tcPr>
            <w:tcW w:w="1816"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132.2</w:t>
            </w:r>
          </w:p>
        </w:tc>
        <w:tc>
          <w:tcPr>
            <w:tcW w:w="2013"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w:t>
            </w:r>
          </w:p>
        </w:tc>
        <w:tc>
          <w:tcPr>
            <w:tcW w:w="2721"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w:t>
            </w:r>
          </w:p>
        </w:tc>
      </w:tr>
      <w:tr w:rsidR="00C0100D" w:rsidRPr="00243EC2" w:rsidTr="000C6DD7">
        <w:trPr>
          <w:trHeight w:val="512"/>
          <w:jc w:val="center"/>
        </w:trPr>
        <w:tc>
          <w:tcPr>
            <w:tcW w:w="1978"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2012</w:t>
            </w:r>
          </w:p>
        </w:tc>
        <w:tc>
          <w:tcPr>
            <w:tcW w:w="1816"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77.59</w:t>
            </w:r>
          </w:p>
        </w:tc>
        <w:tc>
          <w:tcPr>
            <w:tcW w:w="2013"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Jan 18-20</w:t>
            </w:r>
          </w:p>
        </w:tc>
        <w:tc>
          <w:tcPr>
            <w:tcW w:w="2721"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Yes</w:t>
            </w:r>
          </w:p>
        </w:tc>
      </w:tr>
      <w:tr w:rsidR="00C0100D" w:rsidRPr="00243EC2" w:rsidTr="000C6DD7">
        <w:trPr>
          <w:trHeight w:val="512"/>
          <w:jc w:val="center"/>
        </w:trPr>
        <w:tc>
          <w:tcPr>
            <w:tcW w:w="1978"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2013</w:t>
            </w:r>
          </w:p>
        </w:tc>
        <w:tc>
          <w:tcPr>
            <w:tcW w:w="1816"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86.48</w:t>
            </w:r>
          </w:p>
        </w:tc>
        <w:tc>
          <w:tcPr>
            <w:tcW w:w="2013"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w:t>
            </w:r>
          </w:p>
        </w:tc>
        <w:tc>
          <w:tcPr>
            <w:tcW w:w="2721" w:type="dxa"/>
            <w:vAlign w:val="center"/>
          </w:tcPr>
          <w:p w:rsidR="00C0100D" w:rsidRPr="00243EC2" w:rsidRDefault="00C0100D" w:rsidP="000C6DD7">
            <w:pPr>
              <w:keepNext/>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w:t>
            </w:r>
          </w:p>
        </w:tc>
      </w:tr>
      <w:tr w:rsidR="00C0100D" w:rsidRPr="00243EC2" w:rsidTr="000C6DD7">
        <w:trPr>
          <w:trHeight w:val="527"/>
          <w:jc w:val="center"/>
        </w:trPr>
        <w:tc>
          <w:tcPr>
            <w:tcW w:w="1978" w:type="dxa"/>
            <w:vAlign w:val="center"/>
          </w:tcPr>
          <w:p w:rsidR="00C0100D" w:rsidRPr="00243EC2" w:rsidRDefault="00C0100D" w:rsidP="000C6DD7">
            <w:pPr>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2014</w:t>
            </w:r>
          </w:p>
        </w:tc>
        <w:tc>
          <w:tcPr>
            <w:tcW w:w="1816" w:type="dxa"/>
            <w:vAlign w:val="center"/>
          </w:tcPr>
          <w:p w:rsidR="00C0100D" w:rsidRPr="00243EC2" w:rsidRDefault="00C0100D" w:rsidP="000C6DD7">
            <w:pPr>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87.44</w:t>
            </w:r>
          </w:p>
        </w:tc>
        <w:tc>
          <w:tcPr>
            <w:tcW w:w="2013" w:type="dxa"/>
            <w:vAlign w:val="center"/>
          </w:tcPr>
          <w:p w:rsidR="00C0100D" w:rsidRPr="00243EC2" w:rsidRDefault="00C0100D" w:rsidP="000C6DD7">
            <w:pPr>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Oct 25</w:t>
            </w:r>
          </w:p>
        </w:tc>
        <w:tc>
          <w:tcPr>
            <w:tcW w:w="2721" w:type="dxa"/>
            <w:vAlign w:val="center"/>
          </w:tcPr>
          <w:p w:rsidR="00C0100D" w:rsidRPr="00243EC2" w:rsidRDefault="00C0100D" w:rsidP="000C6DD7">
            <w:pPr>
              <w:numPr>
                <w:ilvl w:val="0"/>
                <w:numId w:val="0"/>
              </w:numPr>
              <w:spacing w:before="60" w:after="60" w:line="240" w:lineRule="auto"/>
              <w:jc w:val="center"/>
              <w:rPr>
                <w:rFonts w:eastAsia="Times New Roman" w:cs="Times New Roman"/>
                <w:szCs w:val="20"/>
              </w:rPr>
            </w:pPr>
            <w:r w:rsidRPr="00243EC2">
              <w:rPr>
                <w:rFonts w:eastAsia="Times New Roman" w:cs="Times New Roman"/>
                <w:szCs w:val="20"/>
              </w:rPr>
              <w:t>PSE did not petition</w:t>
            </w:r>
          </w:p>
        </w:tc>
      </w:tr>
    </w:tbl>
    <w:p w:rsidR="00C0100D" w:rsidRDefault="00C0100D" w:rsidP="00C0100D">
      <w:pPr>
        <w:numPr>
          <w:ilvl w:val="0"/>
          <w:numId w:val="0"/>
        </w:numPr>
        <w:spacing w:before="0"/>
        <w:ind w:left="2070" w:hanging="360"/>
        <w:rPr>
          <w:rFonts w:eastAsia="Times New Roman" w:cs="Times New Roman"/>
          <w:szCs w:val="20"/>
        </w:rPr>
      </w:pPr>
    </w:p>
    <w:p w:rsidR="00842BFB" w:rsidRDefault="001F31A5" w:rsidP="000D24AD">
      <w:pPr>
        <w:spacing w:before="0"/>
        <w:ind w:left="0" w:firstLine="720"/>
        <w:rPr>
          <w:rFonts w:eastAsia="Times New Roman" w:cs="Times New Roman"/>
          <w:szCs w:val="20"/>
        </w:rPr>
      </w:pPr>
      <w:r>
        <w:rPr>
          <w:rFonts w:eastAsia="Times New Roman" w:cs="Times New Roman"/>
          <w:szCs w:val="20"/>
        </w:rPr>
        <w:t>As can be seen from this retrospective review, t</w:t>
      </w:r>
      <w:r w:rsidRPr="00130F07">
        <w:rPr>
          <w:rFonts w:eastAsia="Times New Roman" w:cs="Times New Roman"/>
          <w:szCs w:val="20"/>
        </w:rPr>
        <w:t>he days that met the T</w:t>
      </w:r>
      <w:r w:rsidRPr="000F02B9">
        <w:rPr>
          <w:rFonts w:eastAsia="Times New Roman" w:cs="Times New Roman"/>
          <w:szCs w:val="20"/>
          <w:vertAlign w:val="subscript"/>
        </w:rPr>
        <w:t>CAT</w:t>
      </w:r>
      <w:r w:rsidRPr="00130F07">
        <w:rPr>
          <w:rFonts w:eastAsia="Times New Roman" w:cs="Times New Roman"/>
          <w:szCs w:val="20"/>
        </w:rPr>
        <w:t xml:space="preserve"> threshold</w:t>
      </w:r>
      <w:r>
        <w:rPr>
          <w:rFonts w:eastAsia="Times New Roman" w:cs="Times New Roman"/>
          <w:szCs w:val="20"/>
        </w:rPr>
        <w:t>, as proposed by PSE in this case,</w:t>
      </w:r>
      <w:r w:rsidRPr="00130F07">
        <w:rPr>
          <w:rFonts w:eastAsia="Times New Roman" w:cs="Times New Roman"/>
          <w:szCs w:val="20"/>
        </w:rPr>
        <w:t xml:space="preserve"> </w:t>
      </w:r>
      <w:r>
        <w:rPr>
          <w:rFonts w:eastAsia="Times New Roman" w:cs="Times New Roman"/>
          <w:szCs w:val="20"/>
        </w:rPr>
        <w:t xml:space="preserve">are similar to the </w:t>
      </w:r>
      <w:r w:rsidRPr="00130F07">
        <w:rPr>
          <w:rFonts w:eastAsia="Times New Roman" w:cs="Times New Roman"/>
          <w:szCs w:val="20"/>
        </w:rPr>
        <w:t>catastrophic event exclusions for SQI SAIDI calculation</w:t>
      </w:r>
      <w:r>
        <w:rPr>
          <w:rFonts w:eastAsia="Times New Roman" w:cs="Times New Roman"/>
          <w:szCs w:val="20"/>
        </w:rPr>
        <w:t xml:space="preserve"> previously</w:t>
      </w:r>
      <w:r w:rsidRPr="00130F07">
        <w:rPr>
          <w:rFonts w:eastAsia="Times New Roman" w:cs="Times New Roman"/>
          <w:szCs w:val="20"/>
        </w:rPr>
        <w:t xml:space="preserve"> </w:t>
      </w:r>
      <w:r>
        <w:rPr>
          <w:rFonts w:eastAsia="Times New Roman" w:cs="Times New Roman"/>
          <w:szCs w:val="20"/>
        </w:rPr>
        <w:t xml:space="preserve">approved by the </w:t>
      </w:r>
      <w:r w:rsidRPr="00130F07">
        <w:rPr>
          <w:rFonts w:eastAsia="Times New Roman" w:cs="Times New Roman"/>
          <w:szCs w:val="20"/>
        </w:rPr>
        <w:t xml:space="preserve">Commission: 2006 annual system SAIDI </w:t>
      </w:r>
      <w:r w:rsidRPr="00130F07">
        <w:rPr>
          <w:rFonts w:eastAsia="Times New Roman" w:cs="Times New Roman"/>
          <w:szCs w:val="20"/>
        </w:rPr>
        <w:lastRenderedPageBreak/>
        <w:t>results due to the Hanukkah Eve windstorm of 2006</w:t>
      </w:r>
      <w:r>
        <w:rPr>
          <w:rFonts w:eastAsia="Times New Roman" w:cs="Times New Roman"/>
          <w:szCs w:val="20"/>
        </w:rPr>
        <w:t>,</w:t>
      </w:r>
      <w:r w:rsidRPr="00130F07">
        <w:rPr>
          <w:rFonts w:eastAsia="Times New Roman" w:cs="Times New Roman"/>
          <w:szCs w:val="20"/>
        </w:rPr>
        <w:t xml:space="preserve"> and the January 2012 outage events due to </w:t>
      </w:r>
      <w:r>
        <w:rPr>
          <w:rFonts w:eastAsia="Times New Roman" w:cs="Times New Roman"/>
          <w:szCs w:val="20"/>
        </w:rPr>
        <w:t xml:space="preserve">the </w:t>
      </w:r>
      <w:r w:rsidRPr="00130F07">
        <w:rPr>
          <w:rFonts w:eastAsia="Times New Roman" w:cs="Times New Roman"/>
          <w:szCs w:val="20"/>
        </w:rPr>
        <w:t>January 2012 Pacific Northwest snowstorm</w:t>
      </w:r>
      <w:r>
        <w:rPr>
          <w:rFonts w:eastAsia="Times New Roman" w:cs="Times New Roman"/>
          <w:szCs w:val="20"/>
        </w:rPr>
        <w:t xml:space="preserve">. </w:t>
      </w:r>
      <w:r w:rsidRPr="00130F07">
        <w:rPr>
          <w:rFonts w:eastAsia="Times New Roman" w:cs="Times New Roman"/>
          <w:szCs w:val="20"/>
        </w:rPr>
        <w:t>The 4.5 Beta methodology that establishes the T</w:t>
      </w:r>
      <w:r w:rsidRPr="000F02B9">
        <w:rPr>
          <w:rFonts w:eastAsia="Times New Roman" w:cs="Times New Roman"/>
          <w:szCs w:val="20"/>
          <w:vertAlign w:val="subscript"/>
        </w:rPr>
        <w:t>CAT</w:t>
      </w:r>
      <w:r w:rsidRPr="00130F07">
        <w:rPr>
          <w:rFonts w:eastAsia="Times New Roman" w:cs="Times New Roman"/>
          <w:szCs w:val="20"/>
        </w:rPr>
        <w:t xml:space="preserve"> value creates an objective threshold that most closely reflects a level of severity that PSE and the Commission have considered catastrophic in the past</w:t>
      </w:r>
      <w:r>
        <w:rPr>
          <w:rFonts w:eastAsia="Times New Roman" w:cs="Times New Roman"/>
          <w:szCs w:val="20"/>
        </w:rPr>
        <w:t xml:space="preserve">, and the majority of catastrophic events that would be excluded under the proposed SQI SAIDI methodology were excluded by the Commission in response to a petition filed by PSE.  </w:t>
      </w:r>
    </w:p>
    <w:p w:rsidR="00130F07" w:rsidRDefault="00130F07" w:rsidP="00EF5FC0">
      <w:pPr>
        <w:pStyle w:val="Heading1"/>
        <w:spacing w:after="240"/>
        <w:rPr>
          <w:rFonts w:eastAsia="Times New Roman"/>
        </w:rPr>
      </w:pPr>
      <w:r w:rsidRPr="00130F07">
        <w:rPr>
          <w:rFonts w:eastAsia="Times New Roman"/>
        </w:rPr>
        <w:t>PSE ANALYS</w:t>
      </w:r>
      <w:r w:rsidR="00C0100D">
        <w:rPr>
          <w:rFonts w:eastAsia="Times New Roman"/>
        </w:rPr>
        <w:t>E</w:t>
      </w:r>
      <w:r w:rsidRPr="00130F07">
        <w:rPr>
          <w:rFonts w:eastAsia="Times New Roman"/>
        </w:rPr>
        <w:t xml:space="preserve">S SUPPORTING </w:t>
      </w:r>
      <w:bookmarkEnd w:id="6"/>
      <w:r w:rsidRPr="00130F07">
        <w:rPr>
          <w:rFonts w:eastAsia="Times New Roman"/>
        </w:rPr>
        <w:t xml:space="preserve">ADJUSTMENTS TO PRE-OMS PSE IEEE </w:t>
      </w:r>
      <w:r w:rsidR="00693A88">
        <w:rPr>
          <w:rFonts w:eastAsia="Times New Roman"/>
        </w:rPr>
        <w:br/>
      </w:r>
      <w:r w:rsidRPr="00130F07">
        <w:rPr>
          <w:rFonts w:eastAsia="Times New Roman"/>
        </w:rPr>
        <w:t>SAIDI RESULTS</w:t>
      </w:r>
      <w:r w:rsidR="009F2CD6">
        <w:rPr>
          <w:rFonts w:eastAsia="Times New Roman"/>
        </w:rPr>
        <w:t xml:space="preserve"> </w:t>
      </w:r>
      <w:r w:rsidR="00EA3B3F">
        <w:rPr>
          <w:rFonts w:eastAsia="Times New Roman"/>
        </w:rPr>
        <w:t>FOR BENCHMARK CALCULATION</w:t>
      </w:r>
    </w:p>
    <w:p w:rsidR="00130F07" w:rsidRPr="00130F07" w:rsidRDefault="00BA3865" w:rsidP="00272323">
      <w:pPr>
        <w:spacing w:before="0"/>
        <w:ind w:left="0" w:firstLine="720"/>
        <w:rPr>
          <w:rFonts w:eastAsia="Times New Roman" w:cs="Times New Roman"/>
          <w:szCs w:val="20"/>
        </w:rPr>
      </w:pPr>
      <w:r>
        <w:rPr>
          <w:rFonts w:eastAsia="Times New Roman" w:cs="Times New Roman"/>
          <w:szCs w:val="20"/>
        </w:rPr>
        <w:t xml:space="preserve">As discussed </w:t>
      </w:r>
      <w:r w:rsidR="003F3360">
        <w:rPr>
          <w:rFonts w:eastAsia="Times New Roman" w:cs="Times New Roman"/>
          <w:szCs w:val="20"/>
        </w:rPr>
        <w:t xml:space="preserve">in Section III.B </w:t>
      </w:r>
      <w:r>
        <w:rPr>
          <w:rFonts w:eastAsia="Times New Roman" w:cs="Times New Roman"/>
          <w:szCs w:val="20"/>
        </w:rPr>
        <w:t xml:space="preserve">above, </w:t>
      </w:r>
      <w:r w:rsidR="00EA3B3F">
        <w:rPr>
          <w:rFonts w:eastAsia="Times New Roman" w:cs="Times New Roman"/>
          <w:szCs w:val="20"/>
        </w:rPr>
        <w:t xml:space="preserve">PSE proposes that </w:t>
      </w:r>
      <w:r w:rsidR="003F3360" w:rsidRPr="00B80F2E">
        <w:rPr>
          <w:rFonts w:eastAsia="Times New Roman" w:cs="Times New Roman"/>
          <w:szCs w:val="20"/>
        </w:rPr>
        <w:t xml:space="preserve">the </w:t>
      </w:r>
      <w:r w:rsidR="003F3360">
        <w:rPr>
          <w:rFonts w:eastAsia="Times New Roman" w:cs="Times New Roman"/>
          <w:szCs w:val="20"/>
        </w:rPr>
        <w:t>Benchmark Calculation for reporting years 2016 through 2018</w:t>
      </w:r>
      <w:r w:rsidR="00EA3B3F">
        <w:rPr>
          <w:rFonts w:eastAsia="Times New Roman" w:cs="Times New Roman"/>
          <w:szCs w:val="20"/>
        </w:rPr>
        <w:t xml:space="preserve"> will use </w:t>
      </w:r>
      <w:r w:rsidR="003F3360">
        <w:rPr>
          <w:rFonts w:eastAsia="Times New Roman" w:cs="Times New Roman"/>
          <w:szCs w:val="20"/>
        </w:rPr>
        <w:t>five years of data</w:t>
      </w:r>
      <w:r w:rsidR="00EA3B3F">
        <w:rPr>
          <w:rFonts w:eastAsia="Times New Roman" w:cs="Times New Roman"/>
          <w:szCs w:val="20"/>
        </w:rPr>
        <w:t xml:space="preserve">, but the </w:t>
      </w:r>
      <w:r w:rsidR="003F3360" w:rsidRPr="00B80F2E">
        <w:rPr>
          <w:rFonts w:eastAsia="Times New Roman" w:cs="Times New Roman"/>
          <w:szCs w:val="20"/>
        </w:rPr>
        <w:t>pre</w:t>
      </w:r>
      <w:r w:rsidR="003F3360" w:rsidRPr="00B80F2E">
        <w:rPr>
          <w:rFonts w:eastAsia="Times New Roman" w:cs="Times New Roman"/>
          <w:szCs w:val="20"/>
        </w:rPr>
        <w:noBreakHyphen/>
        <w:t xml:space="preserve">OMS IEEE SAIDI values </w:t>
      </w:r>
      <w:r w:rsidR="00EA3B3F">
        <w:rPr>
          <w:rFonts w:eastAsia="Times New Roman" w:cs="Times New Roman"/>
          <w:szCs w:val="20"/>
        </w:rPr>
        <w:t xml:space="preserve">will be adjusted </w:t>
      </w:r>
      <w:r w:rsidR="003F3360" w:rsidRPr="00B80F2E">
        <w:rPr>
          <w:rFonts w:eastAsia="Times New Roman" w:cs="Times New Roman"/>
          <w:szCs w:val="20"/>
        </w:rPr>
        <w:t>by 22</w:t>
      </w:r>
      <w:r w:rsidR="003F3360">
        <w:rPr>
          <w:rFonts w:eastAsia="Times New Roman" w:cs="Times New Roman"/>
          <w:szCs w:val="20"/>
        </w:rPr>
        <w:t xml:space="preserve"> percent</w:t>
      </w:r>
      <w:r w:rsidR="003F3360" w:rsidRPr="00B80F2E">
        <w:rPr>
          <w:rFonts w:eastAsia="Times New Roman" w:cs="Times New Roman"/>
          <w:szCs w:val="20"/>
        </w:rPr>
        <w:t xml:space="preserve"> to address the step-change in IEEE SAIDI resulting from installation of the OMS.</w:t>
      </w:r>
      <w:r w:rsidR="003F3360">
        <w:rPr>
          <w:rFonts w:eastAsia="Times New Roman" w:cs="Times New Roman"/>
          <w:szCs w:val="20"/>
        </w:rPr>
        <w:t xml:space="preserve"> </w:t>
      </w:r>
      <w:r w:rsidR="00130F07" w:rsidRPr="00130F07">
        <w:rPr>
          <w:rFonts w:eastAsia="Times New Roman" w:cs="Times New Roman"/>
          <w:szCs w:val="20"/>
        </w:rPr>
        <w:t>To determine the adjustment factor</w:t>
      </w:r>
      <w:r w:rsidR="006D7A1E">
        <w:rPr>
          <w:rFonts w:eastAsia="Times New Roman" w:cs="Times New Roman"/>
          <w:szCs w:val="20"/>
        </w:rPr>
        <w:t xml:space="preserve"> for the pre-OMS SAIDI</w:t>
      </w:r>
      <w:r w:rsidR="00130F07" w:rsidRPr="00130F07">
        <w:rPr>
          <w:rFonts w:eastAsia="Times New Roman" w:cs="Times New Roman"/>
          <w:szCs w:val="20"/>
        </w:rPr>
        <w:t>, PSE performed</w:t>
      </w:r>
      <w:r w:rsidR="0013048B">
        <w:rPr>
          <w:rFonts w:eastAsia="Times New Roman" w:cs="Times New Roman"/>
          <w:szCs w:val="20"/>
        </w:rPr>
        <w:t xml:space="preserve"> the following</w:t>
      </w:r>
      <w:r w:rsidR="00130F07" w:rsidRPr="00130F07">
        <w:rPr>
          <w:rFonts w:eastAsia="Times New Roman" w:cs="Times New Roman"/>
          <w:szCs w:val="20"/>
        </w:rPr>
        <w:t xml:space="preserve"> four separate analyses to understand the overall impact of the OMS implementation and associated business and system process revisions</w:t>
      </w:r>
      <w:r w:rsidR="006D7A1E">
        <w:rPr>
          <w:rFonts w:eastAsia="Times New Roman" w:cs="Times New Roman"/>
          <w:szCs w:val="20"/>
        </w:rPr>
        <w:t xml:space="preserve"> on SAIDI reporting</w:t>
      </w:r>
      <w:r w:rsidR="00130F07" w:rsidRPr="00130F07">
        <w:rPr>
          <w:rFonts w:eastAsia="Times New Roman" w:cs="Times New Roman"/>
          <w:szCs w:val="20"/>
        </w:rPr>
        <w:t>:</w:t>
      </w:r>
    </w:p>
    <w:p w:rsidR="00130F07" w:rsidRPr="00130F07" w:rsidRDefault="00130F07" w:rsidP="0013048B">
      <w:pPr>
        <w:numPr>
          <w:ilvl w:val="0"/>
          <w:numId w:val="5"/>
        </w:numPr>
        <w:spacing w:before="120" w:after="120" w:line="240" w:lineRule="auto"/>
        <w:ind w:left="1080"/>
        <w:rPr>
          <w:rFonts w:eastAsia="Times New Roman" w:cs="Times New Roman"/>
          <w:szCs w:val="20"/>
        </w:rPr>
      </w:pPr>
      <w:r w:rsidRPr="00130F07">
        <w:rPr>
          <w:rFonts w:eastAsia="Times New Roman" w:cs="Times New Roman"/>
          <w:szCs w:val="20"/>
        </w:rPr>
        <w:t xml:space="preserve">Researched </w:t>
      </w:r>
      <w:r w:rsidR="0033442A">
        <w:rPr>
          <w:rFonts w:eastAsia="Times New Roman" w:cs="Times New Roman"/>
          <w:szCs w:val="20"/>
        </w:rPr>
        <w:t xml:space="preserve">other </w:t>
      </w:r>
      <w:r w:rsidRPr="00130F07">
        <w:rPr>
          <w:rFonts w:eastAsia="Times New Roman" w:cs="Times New Roman"/>
          <w:szCs w:val="20"/>
        </w:rPr>
        <w:t>utilit</w:t>
      </w:r>
      <w:r w:rsidR="00C0100D">
        <w:rPr>
          <w:rFonts w:eastAsia="Times New Roman" w:cs="Times New Roman"/>
          <w:szCs w:val="20"/>
        </w:rPr>
        <w:t>ies</w:t>
      </w:r>
      <w:r w:rsidRPr="00130F07">
        <w:rPr>
          <w:rFonts w:eastAsia="Times New Roman" w:cs="Times New Roman"/>
          <w:szCs w:val="20"/>
        </w:rPr>
        <w:t>’experiences specific to OMS impacts on SAIDI reporting and benchmarking</w:t>
      </w:r>
      <w:r w:rsidR="00D81953">
        <w:rPr>
          <w:rFonts w:eastAsia="Times New Roman" w:cs="Times New Roman"/>
          <w:szCs w:val="20"/>
        </w:rPr>
        <w:t>, including Pacifi</w:t>
      </w:r>
      <w:r w:rsidR="0013048B">
        <w:rPr>
          <w:rFonts w:eastAsia="Times New Roman" w:cs="Times New Roman"/>
          <w:szCs w:val="20"/>
        </w:rPr>
        <w:t>Corp’s experience in Washington;</w:t>
      </w:r>
    </w:p>
    <w:p w:rsidR="00130F07" w:rsidRPr="00130F07" w:rsidRDefault="00130F07" w:rsidP="0013048B">
      <w:pPr>
        <w:numPr>
          <w:ilvl w:val="0"/>
          <w:numId w:val="5"/>
        </w:numPr>
        <w:spacing w:before="120" w:after="120" w:line="240" w:lineRule="auto"/>
        <w:ind w:left="1080"/>
        <w:rPr>
          <w:rFonts w:eastAsia="Times New Roman" w:cs="Times New Roman"/>
          <w:szCs w:val="20"/>
        </w:rPr>
      </w:pPr>
      <w:r w:rsidRPr="00130F07">
        <w:rPr>
          <w:rFonts w:eastAsia="Times New Roman" w:cs="Times New Roman"/>
          <w:szCs w:val="20"/>
        </w:rPr>
        <w:t xml:space="preserve">Manually examined a small population of </w:t>
      </w:r>
      <w:r w:rsidR="004C1AB3">
        <w:rPr>
          <w:rFonts w:eastAsia="Times New Roman" w:cs="Times New Roman"/>
          <w:szCs w:val="20"/>
        </w:rPr>
        <w:t xml:space="preserve">PSE </w:t>
      </w:r>
      <w:r w:rsidRPr="00130F07">
        <w:rPr>
          <w:rFonts w:eastAsia="Times New Roman" w:cs="Times New Roman"/>
          <w:szCs w:val="20"/>
        </w:rPr>
        <w:t>outages occurring at the same location pre- and post</w:t>
      </w:r>
      <w:r w:rsidR="004B56E9">
        <w:rPr>
          <w:rFonts w:eastAsia="Times New Roman" w:cs="Times New Roman"/>
          <w:szCs w:val="20"/>
        </w:rPr>
        <w:noBreakHyphen/>
      </w:r>
      <w:r w:rsidRPr="00130F07">
        <w:rPr>
          <w:rFonts w:eastAsia="Times New Roman" w:cs="Times New Roman"/>
          <w:szCs w:val="20"/>
        </w:rPr>
        <w:t>OMS to confirm the existence of differences in the customer counts between the legacy CLX processes and the new OMS</w:t>
      </w:r>
      <w:r w:rsidR="0013048B">
        <w:rPr>
          <w:rFonts w:eastAsia="Times New Roman" w:cs="Times New Roman"/>
          <w:szCs w:val="20"/>
        </w:rPr>
        <w:t>;</w:t>
      </w:r>
    </w:p>
    <w:p w:rsidR="00130F07" w:rsidRPr="00130F07" w:rsidRDefault="00130F07" w:rsidP="0013048B">
      <w:pPr>
        <w:numPr>
          <w:ilvl w:val="0"/>
          <w:numId w:val="5"/>
        </w:numPr>
        <w:spacing w:before="120" w:after="120" w:line="240" w:lineRule="auto"/>
        <w:ind w:left="1080"/>
        <w:rPr>
          <w:rFonts w:eastAsia="Times New Roman" w:cs="Times New Roman"/>
          <w:szCs w:val="20"/>
        </w:rPr>
      </w:pPr>
      <w:r w:rsidRPr="00130F07">
        <w:rPr>
          <w:rFonts w:eastAsia="Times New Roman" w:cs="Times New Roman"/>
          <w:szCs w:val="20"/>
        </w:rPr>
        <w:t>Utilized methodology provided in the IEEE St</w:t>
      </w:r>
      <w:r w:rsidR="0033442A">
        <w:rPr>
          <w:rFonts w:eastAsia="Times New Roman" w:cs="Times New Roman"/>
          <w:szCs w:val="20"/>
        </w:rPr>
        <w:t>andar</w:t>
      </w:r>
      <w:r w:rsidRPr="00130F07">
        <w:rPr>
          <w:rFonts w:eastAsia="Times New Roman" w:cs="Times New Roman"/>
          <w:szCs w:val="20"/>
        </w:rPr>
        <w:t>d 1782</w:t>
      </w:r>
      <w:r w:rsidRPr="004C1AB3">
        <w:rPr>
          <w:rFonts w:eastAsia="Times New Roman" w:cs="Times New Roman"/>
          <w:szCs w:val="20"/>
          <w:vertAlign w:val="superscript"/>
        </w:rPr>
        <w:t>TM</w:t>
      </w:r>
      <w:r w:rsidRPr="00130F07">
        <w:rPr>
          <w:rFonts w:eastAsia="Times New Roman" w:cs="Times New Roman"/>
          <w:szCs w:val="20"/>
        </w:rPr>
        <w:t>-2014</w:t>
      </w:r>
      <w:r w:rsidR="008C6D73" w:rsidRPr="00E367B3">
        <w:rPr>
          <w:rFonts w:eastAsia="Times New Roman" w:cs="Times New Roman"/>
          <w:szCs w:val="20"/>
          <w:vertAlign w:val="superscript"/>
        </w:rPr>
        <w:footnoteReference w:id="29"/>
      </w:r>
      <w:r w:rsidRPr="00130F07">
        <w:rPr>
          <w:rFonts w:eastAsia="Times New Roman" w:cs="Times New Roman"/>
          <w:szCs w:val="20"/>
        </w:rPr>
        <w:t xml:space="preserve"> to assess the change in data collection processes</w:t>
      </w:r>
      <w:r w:rsidR="0013048B">
        <w:rPr>
          <w:rFonts w:eastAsia="Times New Roman" w:cs="Times New Roman"/>
          <w:szCs w:val="20"/>
        </w:rPr>
        <w:t>, and</w:t>
      </w:r>
      <w:r w:rsidR="008C6D73" w:rsidRPr="00130F07" w:rsidDel="008C6D73">
        <w:rPr>
          <w:rFonts w:eastAsia="Times New Roman" w:cs="Times New Roman"/>
          <w:szCs w:val="20"/>
        </w:rPr>
        <w:t xml:space="preserve"> </w:t>
      </w:r>
    </w:p>
    <w:p w:rsidR="00130F07" w:rsidRDefault="00476E6F" w:rsidP="0013048B">
      <w:pPr>
        <w:numPr>
          <w:ilvl w:val="0"/>
          <w:numId w:val="5"/>
        </w:numPr>
        <w:spacing w:before="120" w:after="240" w:line="240" w:lineRule="auto"/>
        <w:ind w:left="1080"/>
        <w:rPr>
          <w:rFonts w:eastAsia="Times New Roman" w:cs="Times New Roman"/>
          <w:szCs w:val="20"/>
        </w:rPr>
      </w:pPr>
      <w:r w:rsidRPr="00130F07">
        <w:rPr>
          <w:rFonts w:eastAsia="Times New Roman" w:cs="Times New Roman"/>
          <w:szCs w:val="20"/>
        </w:rPr>
        <w:t>Utilized</w:t>
      </w:r>
      <w:r w:rsidR="00130F07" w:rsidRPr="00130F07">
        <w:rPr>
          <w:rFonts w:eastAsia="Times New Roman" w:cs="Times New Roman"/>
          <w:szCs w:val="20"/>
        </w:rPr>
        <w:t xml:space="preserve"> the 1.75 Beta method (explained below) to demonstrate the daily SAIDI experienced during blue-sky</w:t>
      </w:r>
      <w:r w:rsidR="00D1799D" w:rsidRPr="004C1AB3">
        <w:rPr>
          <w:rFonts w:eastAsia="Times New Roman" w:cs="Times New Roman"/>
          <w:szCs w:val="20"/>
          <w:vertAlign w:val="superscript"/>
        </w:rPr>
        <w:footnoteReference w:id="30"/>
      </w:r>
      <w:r w:rsidR="00130F07" w:rsidRPr="00130F07">
        <w:rPr>
          <w:rFonts w:eastAsia="Times New Roman" w:cs="Times New Roman"/>
          <w:szCs w:val="20"/>
        </w:rPr>
        <w:t xml:space="preserve"> days under the </w:t>
      </w:r>
      <w:r w:rsidR="008C7A80">
        <w:rPr>
          <w:rFonts w:eastAsia="Times New Roman" w:cs="Times New Roman"/>
          <w:szCs w:val="20"/>
        </w:rPr>
        <w:t>pre</w:t>
      </w:r>
      <w:r w:rsidR="00324BA6">
        <w:rPr>
          <w:rFonts w:eastAsia="Times New Roman" w:cs="Times New Roman"/>
          <w:szCs w:val="20"/>
        </w:rPr>
        <w:t>-</w:t>
      </w:r>
      <w:r w:rsidR="008C7A80">
        <w:rPr>
          <w:rFonts w:eastAsia="Times New Roman" w:cs="Times New Roman"/>
          <w:szCs w:val="20"/>
        </w:rPr>
        <w:t xml:space="preserve"> and post</w:t>
      </w:r>
      <w:r w:rsidR="00324BA6">
        <w:rPr>
          <w:rFonts w:eastAsia="Times New Roman" w:cs="Times New Roman"/>
          <w:szCs w:val="20"/>
        </w:rPr>
        <w:noBreakHyphen/>
      </w:r>
      <w:r w:rsidR="008C7A80">
        <w:rPr>
          <w:rFonts w:eastAsia="Times New Roman" w:cs="Times New Roman"/>
          <w:szCs w:val="20"/>
        </w:rPr>
        <w:t xml:space="preserve">OMS </w:t>
      </w:r>
      <w:r w:rsidR="00130F07" w:rsidRPr="00130F07">
        <w:rPr>
          <w:rFonts w:eastAsia="Times New Roman" w:cs="Times New Roman"/>
          <w:szCs w:val="20"/>
        </w:rPr>
        <w:t>processes</w:t>
      </w:r>
      <w:r w:rsidR="00F50CD3">
        <w:rPr>
          <w:rFonts w:eastAsia="Times New Roman" w:cs="Times New Roman"/>
          <w:szCs w:val="20"/>
        </w:rPr>
        <w:t>.</w:t>
      </w:r>
    </w:p>
    <w:p w:rsidR="00130F07" w:rsidRPr="00447C5F" w:rsidRDefault="00130F07" w:rsidP="00447C5F">
      <w:pPr>
        <w:spacing w:before="0"/>
        <w:ind w:left="0" w:firstLine="720"/>
        <w:rPr>
          <w:rFonts w:eastAsia="Times New Roman" w:cs="Times New Roman"/>
          <w:szCs w:val="20"/>
        </w:rPr>
      </w:pPr>
      <w:r w:rsidRPr="00447C5F">
        <w:rPr>
          <w:rFonts w:eastAsia="Times New Roman" w:cs="Times New Roman"/>
          <w:szCs w:val="20"/>
        </w:rPr>
        <w:lastRenderedPageBreak/>
        <w:t xml:space="preserve">PSE’s OMS does not have the capability to replay legacy outage data </w:t>
      </w:r>
      <w:r w:rsidR="00982E1F" w:rsidRPr="00447C5F">
        <w:rPr>
          <w:rFonts w:eastAsia="Times New Roman" w:cs="Times New Roman"/>
          <w:szCs w:val="20"/>
        </w:rPr>
        <w:t xml:space="preserve">nor did PSE run the OMS and CLX processes in parallel </w:t>
      </w:r>
      <w:r w:rsidRPr="00447C5F">
        <w:rPr>
          <w:rFonts w:eastAsia="Times New Roman" w:cs="Times New Roman"/>
          <w:szCs w:val="20"/>
        </w:rPr>
        <w:t>to</w:t>
      </w:r>
      <w:r w:rsidR="00982E1F" w:rsidRPr="00447C5F">
        <w:rPr>
          <w:rFonts w:eastAsia="Times New Roman" w:cs="Times New Roman"/>
          <w:szCs w:val="20"/>
        </w:rPr>
        <w:t xml:space="preserve"> allow the</w:t>
      </w:r>
      <w:r w:rsidRPr="00447C5F">
        <w:rPr>
          <w:rFonts w:eastAsia="Times New Roman" w:cs="Times New Roman"/>
          <w:szCs w:val="20"/>
        </w:rPr>
        <w:t xml:space="preserve"> precise comput</w:t>
      </w:r>
      <w:r w:rsidR="00982E1F" w:rsidRPr="00447C5F">
        <w:rPr>
          <w:rFonts w:eastAsia="Times New Roman" w:cs="Times New Roman"/>
          <w:szCs w:val="20"/>
        </w:rPr>
        <w:t>ation of</w:t>
      </w:r>
      <w:r w:rsidRPr="00447C5F">
        <w:rPr>
          <w:rFonts w:eastAsia="Times New Roman" w:cs="Times New Roman"/>
          <w:szCs w:val="20"/>
        </w:rPr>
        <w:t xml:space="preserve"> the actual differences between the CLX processes and the OMS processes.</w:t>
      </w:r>
      <w:r w:rsidR="00DB64D7">
        <w:rPr>
          <w:rFonts w:eastAsia="Times New Roman" w:cs="Times New Roman"/>
          <w:szCs w:val="20"/>
        </w:rPr>
        <w:t xml:space="preserve"> </w:t>
      </w:r>
      <w:r w:rsidRPr="00447C5F">
        <w:rPr>
          <w:rFonts w:eastAsia="Times New Roman" w:cs="Times New Roman"/>
          <w:szCs w:val="20"/>
        </w:rPr>
        <w:t xml:space="preserve"> Hence, PSE is relying upon the aforementioned analyses</w:t>
      </w:r>
      <w:r w:rsidR="004C1AB3" w:rsidRPr="00447C5F">
        <w:rPr>
          <w:rFonts w:eastAsia="Times New Roman" w:cs="Times New Roman"/>
          <w:szCs w:val="20"/>
        </w:rPr>
        <w:t xml:space="preserve"> to estimate the impact of </w:t>
      </w:r>
      <w:r w:rsidR="00EA1ED9">
        <w:rPr>
          <w:rFonts w:eastAsia="Times New Roman" w:cs="Times New Roman"/>
          <w:szCs w:val="20"/>
        </w:rPr>
        <w:t xml:space="preserve">implementation of </w:t>
      </w:r>
      <w:r w:rsidR="004C1AB3" w:rsidRPr="00447C5F">
        <w:rPr>
          <w:rFonts w:eastAsia="Times New Roman" w:cs="Times New Roman"/>
          <w:szCs w:val="20"/>
        </w:rPr>
        <w:t>OMS processes on SAIDI</w:t>
      </w:r>
      <w:r w:rsidRPr="00447C5F">
        <w:rPr>
          <w:rFonts w:eastAsia="Times New Roman" w:cs="Times New Roman"/>
          <w:szCs w:val="20"/>
        </w:rPr>
        <w:t>.</w:t>
      </w:r>
    </w:p>
    <w:p w:rsidR="00687E14" w:rsidRDefault="008662C9" w:rsidP="00687E14">
      <w:pPr>
        <w:keepNext/>
        <w:keepLines/>
        <w:numPr>
          <w:ilvl w:val="0"/>
          <w:numId w:val="0"/>
        </w:numPr>
        <w:tabs>
          <w:tab w:val="left" w:pos="720"/>
        </w:tabs>
        <w:spacing w:before="0" w:line="240" w:lineRule="auto"/>
        <w:outlineLvl w:val="1"/>
        <w:rPr>
          <w:rFonts w:ascii="Times New Roman Bold" w:eastAsia="Times New Roman" w:hAnsi="Times New Roman Bold" w:cs="Arial"/>
          <w:b/>
          <w:bCs/>
          <w:iCs/>
          <w:szCs w:val="28"/>
        </w:rPr>
      </w:pPr>
      <w:r>
        <w:rPr>
          <w:rFonts w:ascii="Times New Roman Bold" w:eastAsia="Times New Roman" w:hAnsi="Times New Roman Bold" w:cs="Arial"/>
          <w:b/>
          <w:bCs/>
          <w:iCs/>
          <w:szCs w:val="28"/>
        </w:rPr>
        <w:t>A.</w:t>
      </w:r>
      <w:r>
        <w:rPr>
          <w:rFonts w:ascii="Times New Roman Bold" w:eastAsia="Times New Roman" w:hAnsi="Times New Roman Bold" w:cs="Arial"/>
          <w:b/>
          <w:bCs/>
          <w:iCs/>
          <w:szCs w:val="28"/>
        </w:rPr>
        <w:tab/>
      </w:r>
      <w:r w:rsidR="00687E14">
        <w:rPr>
          <w:rFonts w:ascii="Times New Roman Bold" w:eastAsia="Times New Roman" w:hAnsi="Times New Roman Bold" w:cs="Arial"/>
          <w:b/>
          <w:bCs/>
          <w:iCs/>
          <w:szCs w:val="28"/>
        </w:rPr>
        <w:t>Research, Past Commission Practice and Experience of Other Utilities</w:t>
      </w:r>
    </w:p>
    <w:p w:rsidR="00687E14" w:rsidRPr="0077670B" w:rsidRDefault="00687E14" w:rsidP="006E6D6E">
      <w:pPr>
        <w:pStyle w:val="Heading3"/>
        <w:ind w:hanging="720"/>
        <w:rPr>
          <w:rFonts w:ascii="Times New Roman" w:eastAsia="Times New Roman" w:hAnsi="Times New Roman" w:cs="Times New Roman"/>
          <w:color w:val="auto"/>
        </w:rPr>
      </w:pPr>
      <w:r w:rsidRPr="0077670B">
        <w:rPr>
          <w:rFonts w:ascii="Times New Roman" w:eastAsia="Times New Roman" w:hAnsi="Times New Roman" w:cs="Times New Roman"/>
          <w:color w:val="auto"/>
        </w:rPr>
        <w:t>Studies discussing post-OMS changes to reliability metrics</w:t>
      </w:r>
    </w:p>
    <w:p w:rsidR="00FC23AA" w:rsidRDefault="00130F07" w:rsidP="00E66C13">
      <w:pPr>
        <w:spacing w:before="0"/>
        <w:ind w:left="0" w:firstLine="720"/>
        <w:rPr>
          <w:rFonts w:eastAsia="Times New Roman" w:cs="Times New Roman"/>
          <w:szCs w:val="20"/>
        </w:rPr>
      </w:pPr>
      <w:r w:rsidRPr="00130F07">
        <w:rPr>
          <w:rFonts w:eastAsia="Times New Roman" w:cs="Times New Roman"/>
          <w:szCs w:val="20"/>
        </w:rPr>
        <w:t>In order to better understand how PSE should approach setting a benchmark following the implementation of an OMS, PSE compiled evidence from independent studies and peer utilities</w:t>
      </w:r>
      <w:r w:rsidR="000D7D4F">
        <w:rPr>
          <w:rFonts w:eastAsia="Times New Roman" w:cs="Times New Roman"/>
          <w:szCs w:val="20"/>
        </w:rPr>
        <w:t>, which it presented to</w:t>
      </w:r>
      <w:r w:rsidR="00F80693">
        <w:rPr>
          <w:rFonts w:eastAsia="Times New Roman" w:cs="Times New Roman"/>
          <w:szCs w:val="20"/>
        </w:rPr>
        <w:t>,</w:t>
      </w:r>
      <w:r w:rsidR="000D7D4F">
        <w:rPr>
          <w:rFonts w:eastAsia="Times New Roman" w:cs="Times New Roman"/>
          <w:szCs w:val="20"/>
        </w:rPr>
        <w:t xml:space="preserve"> and discussed with</w:t>
      </w:r>
      <w:r w:rsidR="00F80693">
        <w:rPr>
          <w:rFonts w:eastAsia="Times New Roman" w:cs="Times New Roman"/>
          <w:szCs w:val="20"/>
        </w:rPr>
        <w:t>,</w:t>
      </w:r>
      <w:r w:rsidR="000D7D4F">
        <w:rPr>
          <w:rFonts w:eastAsia="Times New Roman" w:cs="Times New Roman"/>
          <w:szCs w:val="20"/>
        </w:rPr>
        <w:t xml:space="preserve"> </w:t>
      </w:r>
      <w:r w:rsidR="00CB407F">
        <w:rPr>
          <w:rFonts w:eastAsia="Times New Roman" w:cs="Times New Roman"/>
          <w:szCs w:val="20"/>
        </w:rPr>
        <w:t>Commission</w:t>
      </w:r>
      <w:r w:rsidRPr="00130F07">
        <w:rPr>
          <w:rFonts w:eastAsia="Times New Roman" w:cs="Times New Roman"/>
          <w:szCs w:val="20"/>
        </w:rPr>
        <w:t xml:space="preserve"> Staff and Public Council throughout the discussions in the nine meetings.  Chief among the research findings is a 2012 Lawrence Berkeley National Labs (“LBNL”) study</w:t>
      </w:r>
      <w:r w:rsidR="009D0A67" w:rsidRPr="00DB64D7">
        <w:rPr>
          <w:rFonts w:eastAsia="Times New Roman" w:cs="Times New Roman"/>
          <w:szCs w:val="20"/>
          <w:vertAlign w:val="superscript"/>
        </w:rPr>
        <w:footnoteReference w:id="31"/>
      </w:r>
      <w:r w:rsidRPr="00130F07">
        <w:rPr>
          <w:rFonts w:eastAsia="Times New Roman" w:cs="Times New Roman"/>
          <w:szCs w:val="20"/>
        </w:rPr>
        <w:t xml:space="preserve"> that concluded utilities would report “worse” SAIDI due to more accurate measurement of reliability.  This study analyzed up to ten years of reliability data from each of 155 U</w:t>
      </w:r>
      <w:r w:rsidR="00F80693">
        <w:rPr>
          <w:rFonts w:eastAsia="Times New Roman" w:cs="Times New Roman"/>
          <w:szCs w:val="20"/>
        </w:rPr>
        <w:t>.</w:t>
      </w:r>
      <w:r w:rsidRPr="00130F07">
        <w:rPr>
          <w:rFonts w:eastAsia="Times New Roman" w:cs="Times New Roman"/>
          <w:szCs w:val="20"/>
        </w:rPr>
        <w:t>S</w:t>
      </w:r>
      <w:r w:rsidR="00F80693">
        <w:rPr>
          <w:rFonts w:eastAsia="Times New Roman" w:cs="Times New Roman"/>
          <w:szCs w:val="20"/>
        </w:rPr>
        <w:t>.</w:t>
      </w:r>
      <w:r w:rsidRPr="00130F07">
        <w:rPr>
          <w:rFonts w:eastAsia="Times New Roman" w:cs="Times New Roman"/>
          <w:szCs w:val="20"/>
        </w:rPr>
        <w:t xml:space="preserve"> utilities, and created a multivariate regression model with explanatory variables that show the magnitude and statistical significance each has on reliability scores.  The study found</w:t>
      </w:r>
      <w:r w:rsidR="00FC23AA">
        <w:rPr>
          <w:rFonts w:eastAsia="Times New Roman" w:cs="Times New Roman"/>
          <w:szCs w:val="20"/>
        </w:rPr>
        <w:t>:</w:t>
      </w:r>
    </w:p>
    <w:p w:rsidR="00130F07" w:rsidRDefault="00130F07" w:rsidP="0013048B">
      <w:pPr>
        <w:numPr>
          <w:ilvl w:val="0"/>
          <w:numId w:val="0"/>
        </w:numPr>
        <w:spacing w:before="0" w:after="240" w:line="240" w:lineRule="auto"/>
        <w:ind w:left="1440" w:right="1440"/>
        <w:rPr>
          <w:rFonts w:eastAsia="Times New Roman" w:cs="Times New Roman"/>
          <w:szCs w:val="20"/>
        </w:rPr>
      </w:pPr>
      <w:r w:rsidRPr="00130F07">
        <w:rPr>
          <w:rFonts w:eastAsia="Times New Roman" w:cs="Times New Roman"/>
          <w:szCs w:val="20"/>
        </w:rPr>
        <w:t xml:space="preserve">statistically significant evidence that installation or upgrade of an OMS is correlated an increase in the reported duration of power interruptions.  This finding confirms previous studies and anecdotal evidence long been known within the utility industry that </w:t>
      </w:r>
      <w:r w:rsidRPr="00130F07">
        <w:rPr>
          <w:rFonts w:eastAsia="Times New Roman" w:cs="Times New Roman"/>
          <w:szCs w:val="20"/>
        </w:rPr>
        <w:lastRenderedPageBreak/>
        <w:t>reliance on prior (manual) measurement met</w:t>
      </w:r>
      <w:r w:rsidR="0013048B">
        <w:rPr>
          <w:rFonts w:eastAsia="Times New Roman" w:cs="Times New Roman"/>
          <w:szCs w:val="20"/>
        </w:rPr>
        <w:t>hods under-reports reliability.</w:t>
      </w:r>
      <w:r w:rsidR="009D0A67" w:rsidRPr="00FC23AA">
        <w:rPr>
          <w:rFonts w:eastAsia="Times New Roman" w:cs="Times New Roman"/>
          <w:szCs w:val="20"/>
          <w:vertAlign w:val="superscript"/>
        </w:rPr>
        <w:footnoteReference w:id="32"/>
      </w:r>
    </w:p>
    <w:p w:rsidR="001E1A1F" w:rsidRDefault="00130F07" w:rsidP="00E66C13">
      <w:pPr>
        <w:spacing w:before="0"/>
        <w:ind w:left="0" w:firstLine="720"/>
        <w:rPr>
          <w:rFonts w:eastAsia="Times New Roman" w:cs="Times New Roman"/>
          <w:szCs w:val="20"/>
        </w:rPr>
      </w:pPr>
      <w:r w:rsidRPr="00130F07">
        <w:rPr>
          <w:rFonts w:eastAsia="Times New Roman" w:cs="Times New Roman"/>
          <w:szCs w:val="20"/>
        </w:rPr>
        <w:t>Within the regression analysis of the LBNL study, the research team found that an OMS implementation results in a one-time increase in SAIDI without major events of 16</w:t>
      </w:r>
      <w:r w:rsidR="00952BEC">
        <w:rPr>
          <w:rFonts w:eastAsia="Times New Roman" w:cs="Times New Roman"/>
          <w:szCs w:val="20"/>
        </w:rPr>
        <w:t xml:space="preserve"> </w:t>
      </w:r>
      <w:r w:rsidR="00661DA5">
        <w:rPr>
          <w:rFonts w:eastAsia="Times New Roman" w:cs="Times New Roman"/>
          <w:szCs w:val="20"/>
        </w:rPr>
        <w:t>percent</w:t>
      </w:r>
      <w:r w:rsidRPr="00130F07">
        <w:rPr>
          <w:rFonts w:eastAsia="Times New Roman" w:cs="Times New Roman"/>
          <w:szCs w:val="20"/>
        </w:rPr>
        <w:t>, with a standard error of ±4.9</w:t>
      </w:r>
      <w:r w:rsidR="00D178B0">
        <w:rPr>
          <w:rFonts w:eastAsia="Times New Roman" w:cs="Times New Roman"/>
          <w:szCs w:val="20"/>
        </w:rPr>
        <w:t xml:space="preserve"> </w:t>
      </w:r>
      <w:r w:rsidR="00661DA5">
        <w:rPr>
          <w:rFonts w:eastAsia="Times New Roman" w:cs="Times New Roman"/>
          <w:szCs w:val="20"/>
        </w:rPr>
        <w:t>percent</w:t>
      </w:r>
      <w:r w:rsidRPr="00130F07">
        <w:rPr>
          <w:rFonts w:eastAsia="Times New Roman" w:cs="Times New Roman"/>
          <w:szCs w:val="20"/>
        </w:rPr>
        <w:t>.</w:t>
      </w:r>
      <w:r w:rsidR="009D0A67" w:rsidRPr="002C4E8A">
        <w:rPr>
          <w:rFonts w:eastAsia="Times New Roman" w:cs="Times New Roman"/>
          <w:szCs w:val="20"/>
          <w:vertAlign w:val="superscript"/>
        </w:rPr>
        <w:footnoteReference w:id="33"/>
      </w:r>
      <w:r w:rsidRPr="00130F07">
        <w:rPr>
          <w:rFonts w:eastAsia="Times New Roman" w:cs="Times New Roman"/>
          <w:szCs w:val="20"/>
        </w:rPr>
        <w:t xml:space="preserve">  This can be attributed to the implementation of an OMS specifically, as the study’s authors found that the “individual utility effects are uncorrelated with the other regressors in the model</w:t>
      </w:r>
      <w:r w:rsidR="000D7D4F">
        <w:rPr>
          <w:rFonts w:eastAsia="Times New Roman" w:cs="Times New Roman"/>
          <w:szCs w:val="20"/>
        </w:rPr>
        <w:t>.</w:t>
      </w:r>
      <w:r w:rsidRPr="00130F07">
        <w:rPr>
          <w:rFonts w:eastAsia="Times New Roman" w:cs="Times New Roman"/>
          <w:szCs w:val="20"/>
        </w:rPr>
        <w:t>”</w:t>
      </w:r>
      <w:r w:rsidR="00D256D9">
        <w:rPr>
          <w:rStyle w:val="FootnoteReference"/>
          <w:rFonts w:eastAsia="Times New Roman" w:cs="Times New Roman"/>
          <w:szCs w:val="20"/>
        </w:rPr>
        <w:footnoteReference w:id="34"/>
      </w:r>
      <w:r w:rsidRPr="00130F07">
        <w:rPr>
          <w:rFonts w:eastAsia="Times New Roman" w:cs="Times New Roman"/>
          <w:szCs w:val="20"/>
        </w:rPr>
        <w:t xml:space="preserve">  That is, the 16</w:t>
      </w:r>
      <w:r w:rsidR="00D178B0">
        <w:rPr>
          <w:rFonts w:eastAsia="Times New Roman" w:cs="Times New Roman"/>
          <w:szCs w:val="20"/>
        </w:rPr>
        <w:t xml:space="preserve"> </w:t>
      </w:r>
      <w:r w:rsidR="00661DA5">
        <w:rPr>
          <w:rFonts w:eastAsia="Times New Roman" w:cs="Times New Roman"/>
          <w:szCs w:val="20"/>
        </w:rPr>
        <w:t>percent</w:t>
      </w:r>
      <w:r w:rsidRPr="00130F07">
        <w:rPr>
          <w:rFonts w:eastAsia="Times New Roman" w:cs="Times New Roman"/>
          <w:szCs w:val="20"/>
        </w:rPr>
        <w:t xml:space="preserve"> increase in SAIDI is not caused by any other variable or utility-specific characteristic, regardless of whether it was explicitly stated as a variable in the regression or not.</w:t>
      </w:r>
      <w:r w:rsidR="00122DDA" w:rsidRPr="00D256D9">
        <w:rPr>
          <w:rFonts w:eastAsia="Times New Roman" w:cs="Times New Roman"/>
          <w:szCs w:val="20"/>
          <w:vertAlign w:val="superscript"/>
        </w:rPr>
        <w:footnoteReference w:id="35"/>
      </w:r>
      <w:r w:rsidRPr="00130F07">
        <w:rPr>
          <w:rFonts w:eastAsia="Times New Roman" w:cs="Times New Roman"/>
          <w:szCs w:val="20"/>
        </w:rPr>
        <w:t xml:space="preserve">  </w:t>
      </w:r>
    </w:p>
    <w:p w:rsidR="00130F07" w:rsidRPr="00692D41" w:rsidRDefault="00130F07" w:rsidP="00E66C13">
      <w:pPr>
        <w:spacing w:before="0"/>
        <w:ind w:left="0" w:firstLine="720"/>
        <w:rPr>
          <w:rFonts w:eastAsia="Times New Roman" w:cs="Times New Roman"/>
          <w:szCs w:val="20"/>
        </w:rPr>
      </w:pPr>
      <w:r w:rsidRPr="00E66C13">
        <w:rPr>
          <w:rFonts w:eastAsia="Times New Roman" w:cs="Times New Roman"/>
          <w:szCs w:val="20"/>
        </w:rPr>
        <w:t>Furthermore, the Massachusetts Electric and Gas Distribution Companies commissioned Navigant Consulting to conduct a study</w:t>
      </w:r>
      <w:r w:rsidR="00E51928" w:rsidRPr="00D256D9">
        <w:rPr>
          <w:rFonts w:eastAsia="Times New Roman" w:cs="Times New Roman"/>
          <w:szCs w:val="20"/>
          <w:vertAlign w:val="superscript"/>
        </w:rPr>
        <w:footnoteReference w:id="36"/>
      </w:r>
      <w:r w:rsidRPr="00E66C13">
        <w:rPr>
          <w:rFonts w:eastAsia="Times New Roman" w:cs="Times New Roman"/>
          <w:szCs w:val="20"/>
        </w:rPr>
        <w:t xml:space="preserve"> in response to the Massachusetts Department of Telecommunications and Energy D.T.E 99-84.  In this study, Navigant found utilities that employ more sophisticated data collection methods often experience an increase in measured reliability performance metrics as a function of collecting more accurate information. </w:t>
      </w:r>
      <w:r w:rsidR="0003289A" w:rsidRPr="00E66C13">
        <w:rPr>
          <w:rFonts w:eastAsia="Times New Roman" w:cs="Times New Roman"/>
          <w:szCs w:val="20"/>
        </w:rPr>
        <w:t xml:space="preserve"> </w:t>
      </w:r>
    </w:p>
    <w:p w:rsidR="00692D41" w:rsidRDefault="00E0350F" w:rsidP="00692D41">
      <w:pPr>
        <w:numPr>
          <w:ilvl w:val="0"/>
          <w:numId w:val="0"/>
        </w:numPr>
        <w:spacing w:before="0" w:after="240" w:line="240" w:lineRule="auto"/>
        <w:ind w:left="1440" w:right="1440"/>
        <w:rPr>
          <w:rFonts w:eastAsia="Times New Roman" w:cs="Times New Roman"/>
          <w:szCs w:val="20"/>
        </w:rPr>
      </w:pPr>
      <w:r w:rsidRPr="00E66C13">
        <w:rPr>
          <w:rFonts w:eastAsia="Times New Roman" w:cs="Times New Roman"/>
          <w:szCs w:val="20"/>
        </w:rPr>
        <w:t>Industry surveys have shown an increase between 25</w:t>
      </w:r>
      <w:r>
        <w:rPr>
          <w:rFonts w:eastAsia="Times New Roman" w:cs="Times New Roman"/>
          <w:szCs w:val="20"/>
        </w:rPr>
        <w:t xml:space="preserve"> percent</w:t>
      </w:r>
      <w:r w:rsidRPr="00E66C13">
        <w:rPr>
          <w:rFonts w:eastAsia="Times New Roman" w:cs="Times New Roman"/>
          <w:szCs w:val="20"/>
        </w:rPr>
        <w:t xml:space="preserve"> and 150</w:t>
      </w:r>
      <w:r>
        <w:rPr>
          <w:rFonts w:eastAsia="Times New Roman" w:cs="Times New Roman"/>
          <w:szCs w:val="20"/>
        </w:rPr>
        <w:t xml:space="preserve"> percent</w:t>
      </w:r>
      <w:r w:rsidRPr="00E66C13">
        <w:rPr>
          <w:rFonts w:eastAsia="Times New Roman" w:cs="Times New Roman"/>
          <w:szCs w:val="20"/>
        </w:rPr>
        <w:t xml:space="preserve"> in stated indices.  In these cases, significant improvements have been made in processes and systems that collect reliability information.  It is important to expect a step change when new systems come on-line and to adjust benchmarks accordingly</w:t>
      </w:r>
      <w:r w:rsidR="00692D41">
        <w:rPr>
          <w:rFonts w:eastAsia="Times New Roman" w:cs="Times New Roman"/>
          <w:szCs w:val="20"/>
        </w:rPr>
        <w:t>.</w:t>
      </w:r>
      <w:r w:rsidRPr="00E0350F">
        <w:rPr>
          <w:rFonts w:eastAsia="Times New Roman"/>
          <w:vertAlign w:val="superscript"/>
        </w:rPr>
        <w:t xml:space="preserve"> </w:t>
      </w:r>
      <w:r w:rsidRPr="00684DE9">
        <w:rPr>
          <w:rFonts w:eastAsia="Times New Roman"/>
          <w:vertAlign w:val="superscript"/>
        </w:rPr>
        <w:footnoteReference w:id="37"/>
      </w:r>
    </w:p>
    <w:p w:rsidR="00E0350F" w:rsidRDefault="00130F07" w:rsidP="00E66C13">
      <w:pPr>
        <w:spacing w:before="0"/>
        <w:ind w:left="0" w:firstLine="720"/>
        <w:rPr>
          <w:rFonts w:eastAsia="Times New Roman" w:cs="Times New Roman"/>
          <w:szCs w:val="20"/>
        </w:rPr>
      </w:pPr>
      <w:r w:rsidRPr="00130F07">
        <w:rPr>
          <w:rFonts w:eastAsia="Times New Roman" w:cs="Times New Roman"/>
          <w:szCs w:val="20"/>
        </w:rPr>
        <w:lastRenderedPageBreak/>
        <w:t>In terms of setting reliability benchmarks to measure reliability, the Pacific Economics Group (</w:t>
      </w:r>
      <w:r w:rsidR="002C1E42">
        <w:rPr>
          <w:rFonts w:eastAsia="Times New Roman" w:cs="Times New Roman"/>
          <w:szCs w:val="20"/>
        </w:rPr>
        <w:t>“</w:t>
      </w:r>
      <w:r w:rsidRPr="00130F07">
        <w:rPr>
          <w:rFonts w:eastAsia="Times New Roman" w:cs="Times New Roman"/>
          <w:szCs w:val="20"/>
        </w:rPr>
        <w:t>PEG</w:t>
      </w:r>
      <w:r w:rsidR="002C1E42">
        <w:rPr>
          <w:rFonts w:eastAsia="Times New Roman" w:cs="Times New Roman"/>
          <w:szCs w:val="20"/>
        </w:rPr>
        <w:t>”</w:t>
      </w:r>
      <w:r w:rsidRPr="00130F07">
        <w:rPr>
          <w:rFonts w:eastAsia="Times New Roman" w:cs="Times New Roman"/>
          <w:szCs w:val="20"/>
        </w:rPr>
        <w:t xml:space="preserve">) Research prepared a report in 2010 on best practices when measuring a utility’s service reliability.  The PEG Research team states that   </w:t>
      </w:r>
    </w:p>
    <w:p w:rsidR="00EA7607" w:rsidRDefault="00EA7607" w:rsidP="00EA7607">
      <w:pPr>
        <w:numPr>
          <w:ilvl w:val="0"/>
          <w:numId w:val="0"/>
        </w:numPr>
        <w:spacing w:before="0" w:after="240" w:line="240" w:lineRule="auto"/>
        <w:ind w:left="1440" w:right="1440"/>
        <w:rPr>
          <w:rFonts w:eastAsia="Times New Roman" w:cs="Times New Roman"/>
          <w:szCs w:val="20"/>
        </w:rPr>
      </w:pPr>
      <w:r w:rsidRPr="00130F07">
        <w:rPr>
          <w:rFonts w:eastAsia="Times New Roman" w:cs="Times New Roman"/>
          <w:szCs w:val="20"/>
        </w:rPr>
        <w:t>one important criterion is that benchmarks should be calculated on the same basis as the reliability indicators.  If the data used to measure reliability are not comparable to those used to set the benchmark, the regulatory plan will not lead to an objective comparison of the company’s measured reliability relative to the</w:t>
      </w:r>
      <w:r w:rsidRPr="00EA7607">
        <w:rPr>
          <w:rFonts w:eastAsia="Times New Roman" w:cs="Times New Roman"/>
          <w:szCs w:val="20"/>
        </w:rPr>
        <w:t xml:space="preserve"> </w:t>
      </w:r>
      <w:r w:rsidRPr="00130F07">
        <w:rPr>
          <w:rFonts w:eastAsia="Times New Roman" w:cs="Times New Roman"/>
          <w:szCs w:val="20"/>
        </w:rPr>
        <w:t xml:space="preserve">benchmark.  This is almost literally a case of </w:t>
      </w:r>
      <w:r>
        <w:rPr>
          <w:rFonts w:eastAsia="Times New Roman" w:cs="Times New Roman"/>
          <w:szCs w:val="20"/>
        </w:rPr>
        <w:t>“</w:t>
      </w:r>
      <w:r w:rsidRPr="00130F07">
        <w:rPr>
          <w:rFonts w:eastAsia="Times New Roman" w:cs="Times New Roman"/>
          <w:szCs w:val="20"/>
        </w:rPr>
        <w:t>comparing apples to oranges.</w:t>
      </w:r>
      <w:r>
        <w:rPr>
          <w:rFonts w:eastAsia="Times New Roman" w:cs="Times New Roman"/>
          <w:szCs w:val="20"/>
        </w:rPr>
        <w:t>”</w:t>
      </w:r>
      <w:r w:rsidRPr="00130F07">
        <w:rPr>
          <w:rFonts w:eastAsia="Times New Roman" w:cs="Times New Roman"/>
          <w:szCs w:val="20"/>
        </w:rPr>
        <w:t xml:space="preserve">  Discrepancies between measured and historical</w:t>
      </w:r>
      <w:r w:rsidRPr="00EA7607">
        <w:rPr>
          <w:rFonts w:eastAsia="Times New Roman" w:cs="Times New Roman"/>
          <w:szCs w:val="20"/>
        </w:rPr>
        <w:t xml:space="preserve"> </w:t>
      </w:r>
      <w:r w:rsidRPr="00130F07">
        <w:rPr>
          <w:rFonts w:eastAsia="Times New Roman" w:cs="Times New Roman"/>
          <w:szCs w:val="20"/>
        </w:rPr>
        <w:t>benchmark performance can arise if utilities change the measurement systems used to record reliability dat</w:t>
      </w:r>
      <w:r>
        <w:rPr>
          <w:rFonts w:eastAsia="Times New Roman" w:cs="Times New Roman"/>
          <w:szCs w:val="20"/>
        </w:rPr>
        <w:t>a, such as installing a new OMS.</w:t>
      </w:r>
      <w:r w:rsidRPr="00EA7607">
        <w:rPr>
          <w:rFonts w:eastAsia="Times New Roman" w:cs="Times New Roman"/>
          <w:szCs w:val="20"/>
          <w:vertAlign w:val="superscript"/>
        </w:rPr>
        <w:t xml:space="preserve"> </w:t>
      </w:r>
      <w:r w:rsidRPr="002C1E42">
        <w:rPr>
          <w:rFonts w:eastAsia="Times New Roman" w:cs="Times New Roman"/>
          <w:szCs w:val="20"/>
          <w:vertAlign w:val="superscript"/>
        </w:rPr>
        <w:footnoteReference w:id="38"/>
      </w:r>
      <w:r w:rsidRPr="00E0350F">
        <w:rPr>
          <w:rFonts w:eastAsia="Times New Roman"/>
          <w:vertAlign w:val="superscript"/>
        </w:rPr>
        <w:t xml:space="preserve"> </w:t>
      </w:r>
    </w:p>
    <w:p w:rsidR="00130F07" w:rsidRPr="00130F07" w:rsidRDefault="00130F07" w:rsidP="00E66C13">
      <w:pPr>
        <w:spacing w:before="0"/>
        <w:ind w:left="0" w:firstLine="720"/>
        <w:rPr>
          <w:rFonts w:eastAsia="Times New Roman" w:cs="Times New Roman"/>
          <w:szCs w:val="20"/>
        </w:rPr>
      </w:pPr>
      <w:r w:rsidRPr="00130F07">
        <w:rPr>
          <w:rFonts w:eastAsia="Times New Roman" w:cs="Times New Roman"/>
          <w:szCs w:val="20"/>
        </w:rPr>
        <w:t xml:space="preserve">The report continues to outline a path forward when such changeovers occur: </w:t>
      </w:r>
    </w:p>
    <w:p w:rsidR="00130F07" w:rsidRDefault="00130F07" w:rsidP="008662C9">
      <w:pPr>
        <w:numPr>
          <w:ilvl w:val="0"/>
          <w:numId w:val="0"/>
        </w:numPr>
        <w:spacing w:before="0" w:line="240" w:lineRule="auto"/>
        <w:ind w:left="1440" w:right="1440"/>
        <w:rPr>
          <w:rFonts w:eastAsia="Times New Roman" w:cs="Times New Roman"/>
          <w:szCs w:val="20"/>
        </w:rPr>
      </w:pPr>
      <w:r w:rsidRPr="00130F07">
        <w:rPr>
          <w:rFonts w:eastAsia="Times New Roman" w:cs="Times New Roman"/>
          <w:szCs w:val="20"/>
        </w:rPr>
        <w:t>In some cases, however, a lack of data available at the outset of regulatory plan may make it more difficult to set benchmarks that are viewed as reliable over the term of a multi-year plan.  This would be true if the information systems used to record reliability data had changed recently or if there was little confidence that a short data series reflected typical external business conditions for the utility.  If this is the case, benchmarks can be updated using data that becomes available during the term of the plan, but this should be done according to well-defined rules that are established at the outset of the plan</w:t>
      </w:r>
      <w:r w:rsidR="00E63438">
        <w:rPr>
          <w:rFonts w:eastAsia="Times New Roman" w:cs="Times New Roman"/>
          <w:szCs w:val="20"/>
        </w:rPr>
        <w:t xml:space="preserve">. . . . </w:t>
      </w:r>
      <w:r w:rsidRPr="00130F07">
        <w:rPr>
          <w:rFonts w:eastAsia="Times New Roman" w:cs="Times New Roman"/>
          <w:szCs w:val="20"/>
        </w:rPr>
        <w:t>Setting benchmarks according to such objective rules creates as much stability as is feasible given data constraints.</w:t>
      </w:r>
      <w:r w:rsidR="00BC6598" w:rsidRPr="00130F07">
        <w:rPr>
          <w:rFonts w:eastAsia="Times New Roman" w:cs="Times New Roman"/>
          <w:szCs w:val="20"/>
          <w:vertAlign w:val="superscript"/>
        </w:rPr>
        <w:footnoteReference w:id="39"/>
      </w:r>
    </w:p>
    <w:p w:rsidR="001E1A1F" w:rsidRPr="001E1A1F" w:rsidRDefault="001E1A1F" w:rsidP="006E6D6E">
      <w:pPr>
        <w:ind w:left="0" w:firstLine="720"/>
        <w:rPr>
          <w:rFonts w:eastAsia="Times New Roman" w:cs="Times New Roman"/>
          <w:szCs w:val="20"/>
        </w:rPr>
      </w:pPr>
      <w:r>
        <w:rPr>
          <w:rFonts w:eastAsia="Times New Roman" w:cs="Times New Roman"/>
          <w:szCs w:val="20"/>
        </w:rPr>
        <w:t>The above-cited studies are consistent with PSE’s expectation p</w:t>
      </w:r>
      <w:r w:rsidRPr="001E1A1F">
        <w:rPr>
          <w:rFonts w:eastAsia="Times New Roman" w:cs="Times New Roman"/>
          <w:szCs w:val="20"/>
        </w:rPr>
        <w:t>rior to selecting and implementing an OMS system</w:t>
      </w:r>
      <w:r>
        <w:rPr>
          <w:rFonts w:eastAsia="Times New Roman" w:cs="Times New Roman"/>
          <w:szCs w:val="20"/>
        </w:rPr>
        <w:t xml:space="preserve">.  </w:t>
      </w:r>
      <w:r w:rsidRPr="001E1A1F">
        <w:rPr>
          <w:rFonts w:eastAsia="Times New Roman" w:cs="Times New Roman"/>
          <w:szCs w:val="20"/>
        </w:rPr>
        <w:t>PSE expected reported reliability data to be affected following an OMS rollout.</w:t>
      </w:r>
      <w:r w:rsidRPr="00D256D9">
        <w:rPr>
          <w:vertAlign w:val="superscript"/>
        </w:rPr>
        <w:footnoteReference w:id="40"/>
      </w:r>
      <w:r w:rsidRPr="001E1A1F">
        <w:rPr>
          <w:rFonts w:eastAsia="Times New Roman" w:cs="Times New Roman"/>
          <w:szCs w:val="20"/>
        </w:rPr>
        <w:t xml:space="preserve">  PSE expected the OMS to have a positive impact in managing outages, and anticipated the data that OMS generated </w:t>
      </w:r>
      <w:r w:rsidR="00366C13">
        <w:rPr>
          <w:rFonts w:eastAsia="Times New Roman" w:cs="Times New Roman"/>
          <w:szCs w:val="20"/>
        </w:rPr>
        <w:t>would</w:t>
      </w:r>
      <w:r w:rsidRPr="001E1A1F">
        <w:rPr>
          <w:rFonts w:eastAsia="Times New Roman" w:cs="Times New Roman"/>
          <w:szCs w:val="20"/>
        </w:rPr>
        <w:t xml:space="preserve"> tell a more complete and accurate </w:t>
      </w:r>
      <w:r w:rsidRPr="001E1A1F">
        <w:rPr>
          <w:rFonts w:eastAsia="Times New Roman" w:cs="Times New Roman"/>
          <w:szCs w:val="20"/>
        </w:rPr>
        <w:lastRenderedPageBreak/>
        <w:t>story when compared to pre</w:t>
      </w:r>
      <w:r w:rsidRPr="001E1A1F">
        <w:rPr>
          <w:rFonts w:eastAsia="Times New Roman" w:cs="Times New Roman"/>
          <w:szCs w:val="20"/>
        </w:rPr>
        <w:noBreakHyphen/>
        <w:t>OMS data.  As stated in PSE’s 2014 Petition for Extending SQI SAIDI Temporary Mechanics, a previous “case study of a single example utility with 1994-2003 outage data prepared by IEEE members indicates that both reported pre</w:t>
      </w:r>
      <w:r w:rsidRPr="001E1A1F">
        <w:rPr>
          <w:rFonts w:eastAsia="Times New Roman" w:cs="Times New Roman"/>
          <w:szCs w:val="20"/>
        </w:rPr>
        <w:noBreakHyphen/>
        <w:t xml:space="preserve">OMS SAIDI and SAIFI results should be adjusted upward in comparison with the OMS data, </w:t>
      </w:r>
      <w:r w:rsidRPr="00366C13">
        <w:rPr>
          <w:rFonts w:eastAsia="Times New Roman" w:cs="Times New Roman"/>
          <w:i/>
          <w:szCs w:val="20"/>
        </w:rPr>
        <w:t>i.e</w:t>
      </w:r>
      <w:r w:rsidRPr="001E1A1F">
        <w:rPr>
          <w:rFonts w:eastAsia="Times New Roman" w:cs="Times New Roman"/>
          <w:szCs w:val="20"/>
        </w:rPr>
        <w:t>., the implementation of OMS would result in higher SAIDI and SAIFI statistics in general.”</w:t>
      </w:r>
      <w:r w:rsidR="00F51E0B" w:rsidRPr="00D256D9">
        <w:rPr>
          <w:rFonts w:eastAsia="Times New Roman" w:cs="Times New Roman"/>
          <w:szCs w:val="20"/>
          <w:vertAlign w:val="superscript"/>
        </w:rPr>
        <w:footnoteReference w:id="41"/>
      </w:r>
    </w:p>
    <w:p w:rsidR="006E6D6E" w:rsidRPr="0077670B" w:rsidRDefault="002313EB" w:rsidP="006E6D6E">
      <w:pPr>
        <w:pStyle w:val="Heading3"/>
        <w:ind w:hanging="720"/>
        <w:rPr>
          <w:rFonts w:ascii="Times New Roman" w:eastAsia="Times New Roman" w:hAnsi="Times New Roman" w:cs="Times New Roman"/>
          <w:color w:val="auto"/>
        </w:rPr>
      </w:pPr>
      <w:r>
        <w:rPr>
          <w:rFonts w:ascii="Times New Roman" w:eastAsia="Times New Roman" w:hAnsi="Times New Roman" w:cs="Times New Roman"/>
          <w:color w:val="auto"/>
        </w:rPr>
        <w:t>Adjustment of pre</w:t>
      </w:r>
      <w:r w:rsidRPr="0077670B">
        <w:rPr>
          <w:rFonts w:ascii="Times New Roman" w:eastAsia="Times New Roman" w:hAnsi="Times New Roman" w:cs="Times New Roman"/>
          <w:color w:val="auto"/>
        </w:rPr>
        <w:t xml:space="preserve">-OMS </w:t>
      </w:r>
      <w:r>
        <w:rPr>
          <w:rFonts w:ascii="Times New Roman" w:eastAsia="Times New Roman" w:hAnsi="Times New Roman" w:cs="Times New Roman"/>
          <w:color w:val="auto"/>
        </w:rPr>
        <w:t xml:space="preserve">data by utilities </w:t>
      </w:r>
    </w:p>
    <w:p w:rsidR="00850C05" w:rsidRDefault="002313EB" w:rsidP="00D82383">
      <w:pPr>
        <w:spacing w:before="0"/>
        <w:ind w:left="0" w:firstLine="720"/>
        <w:rPr>
          <w:rFonts w:eastAsia="Times New Roman" w:cs="Times New Roman"/>
          <w:szCs w:val="20"/>
        </w:rPr>
      </w:pPr>
      <w:r>
        <w:rPr>
          <w:rFonts w:eastAsia="Times New Roman" w:cs="Times New Roman"/>
          <w:szCs w:val="20"/>
        </w:rPr>
        <w:t>PacifiCorp implemented an OMS more than a decade ago and its experience provides helpful direction in this case.  As a condition of the merger of PacifiCorp and Scottish Power i</w:t>
      </w:r>
      <w:r w:rsidR="00A80B8D">
        <w:rPr>
          <w:rFonts w:eastAsia="Times New Roman" w:cs="Times New Roman"/>
          <w:szCs w:val="20"/>
        </w:rPr>
        <w:t>n</w:t>
      </w:r>
      <w:r w:rsidR="00EE3C83">
        <w:rPr>
          <w:rFonts w:eastAsia="Times New Roman" w:cs="Times New Roman"/>
          <w:szCs w:val="20"/>
        </w:rPr>
        <w:t xml:space="preserve"> </w:t>
      </w:r>
      <w:r>
        <w:rPr>
          <w:rFonts w:eastAsia="Times New Roman" w:cs="Times New Roman"/>
          <w:szCs w:val="20"/>
        </w:rPr>
        <w:t xml:space="preserve">Docket </w:t>
      </w:r>
      <w:r w:rsidR="00187B3A">
        <w:rPr>
          <w:rFonts w:eastAsia="Times New Roman" w:cs="Times New Roman"/>
          <w:szCs w:val="20"/>
        </w:rPr>
        <w:t xml:space="preserve">No. </w:t>
      </w:r>
      <w:r w:rsidR="00A80B8D">
        <w:rPr>
          <w:rFonts w:eastAsia="Times New Roman" w:cs="Times New Roman"/>
          <w:szCs w:val="20"/>
        </w:rPr>
        <w:t>UE-981627</w:t>
      </w:r>
      <w:r>
        <w:rPr>
          <w:rFonts w:eastAsia="Times New Roman" w:cs="Times New Roman"/>
          <w:szCs w:val="20"/>
        </w:rPr>
        <w:t>,</w:t>
      </w:r>
      <w:r w:rsidR="00A80B8D">
        <w:rPr>
          <w:rFonts w:eastAsia="Times New Roman" w:cs="Times New Roman"/>
          <w:szCs w:val="20"/>
        </w:rPr>
        <w:t xml:space="preserve"> </w:t>
      </w:r>
      <w:r w:rsidR="00850C05">
        <w:rPr>
          <w:rFonts w:eastAsia="Times New Roman" w:cs="Times New Roman"/>
          <w:szCs w:val="20"/>
        </w:rPr>
        <w:t>PacifiCorp agree</w:t>
      </w:r>
      <w:r>
        <w:rPr>
          <w:rFonts w:eastAsia="Times New Roman" w:cs="Times New Roman"/>
          <w:szCs w:val="20"/>
        </w:rPr>
        <w:t>d</w:t>
      </w:r>
      <w:r w:rsidR="00850C05">
        <w:rPr>
          <w:rFonts w:eastAsia="Times New Roman" w:cs="Times New Roman"/>
          <w:szCs w:val="20"/>
        </w:rPr>
        <w:t xml:space="preserve"> to</w:t>
      </w:r>
      <w:r w:rsidR="00A80B8D">
        <w:rPr>
          <w:rFonts w:eastAsia="Times New Roman" w:cs="Times New Roman"/>
          <w:szCs w:val="20"/>
        </w:rPr>
        <w:t xml:space="preserve"> </w:t>
      </w:r>
      <w:r w:rsidR="00850C05">
        <w:rPr>
          <w:rFonts w:eastAsia="Times New Roman" w:cs="Times New Roman"/>
          <w:szCs w:val="20"/>
        </w:rPr>
        <w:t xml:space="preserve">submit an annual report that </w:t>
      </w:r>
      <w:r w:rsidR="00E63438">
        <w:rPr>
          <w:rFonts w:eastAsia="Times New Roman" w:cs="Times New Roman"/>
          <w:szCs w:val="20"/>
        </w:rPr>
        <w:t xml:space="preserve">would, </w:t>
      </w:r>
      <w:r w:rsidR="00850C05">
        <w:rPr>
          <w:rFonts w:eastAsia="Times New Roman" w:cs="Times New Roman"/>
          <w:szCs w:val="20"/>
        </w:rPr>
        <w:t>in part</w:t>
      </w:r>
      <w:r w:rsidR="00E63438">
        <w:rPr>
          <w:rFonts w:eastAsia="Times New Roman" w:cs="Times New Roman"/>
          <w:szCs w:val="20"/>
        </w:rPr>
        <w:t>,</w:t>
      </w:r>
      <w:r w:rsidR="00850C05">
        <w:rPr>
          <w:rFonts w:eastAsia="Times New Roman" w:cs="Times New Roman"/>
          <w:szCs w:val="20"/>
        </w:rPr>
        <w:t xml:space="preserve"> “describe any technological advancements in data collection that </w:t>
      </w:r>
      <w:r>
        <w:rPr>
          <w:rFonts w:eastAsia="Times New Roman" w:cs="Times New Roman"/>
          <w:szCs w:val="20"/>
        </w:rPr>
        <w:t>would</w:t>
      </w:r>
      <w:r w:rsidR="00850C05">
        <w:rPr>
          <w:rFonts w:eastAsia="Times New Roman" w:cs="Times New Roman"/>
          <w:szCs w:val="20"/>
        </w:rPr>
        <w:t xml:space="preserve"> significantly change any performance indicator”</w:t>
      </w:r>
      <w:r w:rsidR="00A80B8D">
        <w:rPr>
          <w:rFonts w:eastAsia="Times New Roman" w:cs="Times New Roman"/>
          <w:szCs w:val="20"/>
        </w:rPr>
        <w:t xml:space="preserve"> following the merger.</w:t>
      </w:r>
      <w:r w:rsidR="00EE3C83" w:rsidRPr="004C3E42">
        <w:rPr>
          <w:vertAlign w:val="superscript"/>
        </w:rPr>
        <w:footnoteReference w:id="42"/>
      </w:r>
      <w:r w:rsidR="00850C05">
        <w:rPr>
          <w:rFonts w:eastAsia="Times New Roman" w:cs="Times New Roman"/>
          <w:szCs w:val="20"/>
        </w:rPr>
        <w:t xml:space="preserve"> </w:t>
      </w:r>
    </w:p>
    <w:p w:rsidR="00EE3C83" w:rsidRDefault="00850C05" w:rsidP="00D82383">
      <w:pPr>
        <w:spacing w:before="0"/>
        <w:ind w:left="0" w:firstLine="720"/>
        <w:rPr>
          <w:rFonts w:eastAsia="Times New Roman" w:cs="Times New Roman"/>
          <w:szCs w:val="20"/>
        </w:rPr>
      </w:pPr>
      <w:r w:rsidRPr="00EE3C83">
        <w:rPr>
          <w:rFonts w:eastAsia="Times New Roman" w:cs="Times New Roman"/>
          <w:szCs w:val="20"/>
        </w:rPr>
        <w:t xml:space="preserve">In </w:t>
      </w:r>
      <w:r w:rsidR="002313EB">
        <w:rPr>
          <w:rFonts w:eastAsia="Times New Roman" w:cs="Times New Roman"/>
          <w:szCs w:val="20"/>
        </w:rPr>
        <w:t xml:space="preserve">2004, </w:t>
      </w:r>
      <w:r w:rsidRPr="00EE3C83">
        <w:rPr>
          <w:rFonts w:eastAsia="Times New Roman" w:cs="Times New Roman"/>
          <w:szCs w:val="20"/>
        </w:rPr>
        <w:t>Pacifi</w:t>
      </w:r>
      <w:r w:rsidR="00437D9F">
        <w:rPr>
          <w:rFonts w:eastAsia="Times New Roman" w:cs="Times New Roman"/>
          <w:szCs w:val="20"/>
        </w:rPr>
        <w:t>C</w:t>
      </w:r>
      <w:r w:rsidRPr="00EE3C83">
        <w:rPr>
          <w:rFonts w:eastAsia="Times New Roman" w:cs="Times New Roman"/>
          <w:szCs w:val="20"/>
        </w:rPr>
        <w:t>orp</w:t>
      </w:r>
      <w:r w:rsidR="00972B57">
        <w:rPr>
          <w:rFonts w:eastAsia="Times New Roman" w:cs="Times New Roman"/>
          <w:szCs w:val="20"/>
        </w:rPr>
        <w:t xml:space="preserve"> </w:t>
      </w:r>
      <w:r w:rsidR="009F61E9">
        <w:rPr>
          <w:rFonts w:eastAsia="Times New Roman" w:cs="Times New Roman"/>
          <w:szCs w:val="20"/>
        </w:rPr>
        <w:t xml:space="preserve">filed </w:t>
      </w:r>
      <w:r w:rsidR="002313EB">
        <w:rPr>
          <w:rFonts w:eastAsia="Times New Roman" w:cs="Times New Roman"/>
          <w:szCs w:val="20"/>
        </w:rPr>
        <w:t xml:space="preserve">a </w:t>
      </w:r>
      <w:r w:rsidR="00EE6045">
        <w:rPr>
          <w:rFonts w:eastAsia="Times New Roman" w:cs="Times New Roman"/>
          <w:szCs w:val="20"/>
        </w:rPr>
        <w:t xml:space="preserve">Commission </w:t>
      </w:r>
      <w:r w:rsidR="00A80B8D">
        <w:rPr>
          <w:rFonts w:eastAsia="Times New Roman" w:cs="Times New Roman"/>
          <w:szCs w:val="20"/>
        </w:rPr>
        <w:t xml:space="preserve">report </w:t>
      </w:r>
      <w:r w:rsidR="00972B57">
        <w:rPr>
          <w:rFonts w:eastAsia="Times New Roman" w:cs="Times New Roman"/>
          <w:szCs w:val="20"/>
        </w:rPr>
        <w:t>on network performance</w:t>
      </w:r>
      <w:r w:rsidR="00A80B8D" w:rsidRPr="00684DE9">
        <w:rPr>
          <w:vertAlign w:val="superscript"/>
        </w:rPr>
        <w:footnoteReference w:id="43"/>
      </w:r>
      <w:r w:rsidRPr="00EE3C83">
        <w:rPr>
          <w:rFonts w:eastAsia="Times New Roman" w:cs="Times New Roman"/>
          <w:szCs w:val="20"/>
        </w:rPr>
        <w:t xml:space="preserve"> </w:t>
      </w:r>
      <w:r w:rsidR="007E40CF">
        <w:rPr>
          <w:rFonts w:eastAsia="Times New Roman" w:cs="Times New Roman"/>
          <w:szCs w:val="20"/>
        </w:rPr>
        <w:t xml:space="preserve">in Washington State </w:t>
      </w:r>
      <w:r w:rsidR="002313EB">
        <w:rPr>
          <w:rFonts w:eastAsia="Times New Roman" w:cs="Times New Roman"/>
          <w:szCs w:val="20"/>
        </w:rPr>
        <w:t xml:space="preserve">in which </w:t>
      </w:r>
      <w:r w:rsidR="00A80B8D">
        <w:rPr>
          <w:rFonts w:eastAsia="Times New Roman" w:cs="Times New Roman"/>
          <w:szCs w:val="20"/>
        </w:rPr>
        <w:t>the utility</w:t>
      </w:r>
      <w:r w:rsidRPr="00EE3C83">
        <w:rPr>
          <w:rFonts w:eastAsia="Times New Roman" w:cs="Times New Roman"/>
          <w:szCs w:val="20"/>
        </w:rPr>
        <w:t xml:space="preserve"> detail</w:t>
      </w:r>
      <w:r w:rsidR="002313EB">
        <w:rPr>
          <w:rFonts w:eastAsia="Times New Roman" w:cs="Times New Roman"/>
          <w:szCs w:val="20"/>
        </w:rPr>
        <w:t>ed</w:t>
      </w:r>
      <w:r w:rsidRPr="00EE3C83">
        <w:rPr>
          <w:rFonts w:eastAsia="Times New Roman" w:cs="Times New Roman"/>
          <w:szCs w:val="20"/>
        </w:rPr>
        <w:t xml:space="preserve"> its </w:t>
      </w:r>
      <w:r w:rsidR="00437D9F">
        <w:rPr>
          <w:rFonts w:eastAsia="Times New Roman" w:cs="Times New Roman"/>
          <w:szCs w:val="20"/>
        </w:rPr>
        <w:t xml:space="preserve">post-merger </w:t>
      </w:r>
      <w:r w:rsidRPr="00EE3C83">
        <w:rPr>
          <w:rFonts w:eastAsia="Times New Roman" w:cs="Times New Roman"/>
          <w:szCs w:val="20"/>
        </w:rPr>
        <w:t xml:space="preserve">adoption of an </w:t>
      </w:r>
      <w:r w:rsidR="00FC23AA">
        <w:rPr>
          <w:rFonts w:eastAsia="Times New Roman" w:cs="Times New Roman"/>
          <w:szCs w:val="20"/>
        </w:rPr>
        <w:t>o</w:t>
      </w:r>
      <w:r w:rsidRPr="00EE3C83">
        <w:rPr>
          <w:rFonts w:eastAsia="Times New Roman" w:cs="Times New Roman"/>
          <w:szCs w:val="20"/>
        </w:rPr>
        <w:t xml:space="preserve">utage </w:t>
      </w:r>
      <w:r w:rsidR="00FC23AA">
        <w:rPr>
          <w:rFonts w:eastAsia="Times New Roman" w:cs="Times New Roman"/>
          <w:szCs w:val="20"/>
        </w:rPr>
        <w:t>m</w:t>
      </w:r>
      <w:r w:rsidRPr="00EE3C83">
        <w:rPr>
          <w:rFonts w:eastAsia="Times New Roman" w:cs="Times New Roman"/>
          <w:szCs w:val="20"/>
        </w:rPr>
        <w:t xml:space="preserve">anagement </w:t>
      </w:r>
      <w:r w:rsidR="00FC23AA">
        <w:rPr>
          <w:rFonts w:eastAsia="Times New Roman" w:cs="Times New Roman"/>
          <w:szCs w:val="20"/>
        </w:rPr>
        <w:t>s</w:t>
      </w:r>
      <w:r w:rsidRPr="00EE3C83">
        <w:rPr>
          <w:rFonts w:eastAsia="Times New Roman" w:cs="Times New Roman"/>
          <w:szCs w:val="20"/>
        </w:rPr>
        <w:t xml:space="preserve">ystem called </w:t>
      </w:r>
      <w:r w:rsidR="00972B57">
        <w:rPr>
          <w:rFonts w:eastAsia="Times New Roman" w:cs="Times New Roman"/>
          <w:szCs w:val="20"/>
        </w:rPr>
        <w:t>Computer Aided Distribution Operations (</w:t>
      </w:r>
      <w:r w:rsidR="00FC23AA">
        <w:rPr>
          <w:rFonts w:eastAsia="Times New Roman" w:cs="Times New Roman"/>
          <w:szCs w:val="20"/>
        </w:rPr>
        <w:t>“</w:t>
      </w:r>
      <w:r w:rsidRPr="00EE3C83">
        <w:rPr>
          <w:rFonts w:eastAsia="Times New Roman" w:cs="Times New Roman"/>
          <w:szCs w:val="20"/>
        </w:rPr>
        <w:t>CADOPS</w:t>
      </w:r>
      <w:r w:rsidR="00FC23AA">
        <w:rPr>
          <w:rFonts w:eastAsia="Times New Roman" w:cs="Times New Roman"/>
          <w:szCs w:val="20"/>
        </w:rPr>
        <w:t>”</w:t>
      </w:r>
      <w:r w:rsidR="00972B57">
        <w:rPr>
          <w:rFonts w:eastAsia="Times New Roman" w:cs="Times New Roman"/>
          <w:szCs w:val="20"/>
        </w:rPr>
        <w:t>)</w:t>
      </w:r>
      <w:r w:rsidRPr="00EE3C83">
        <w:rPr>
          <w:rFonts w:eastAsia="Times New Roman" w:cs="Times New Roman"/>
          <w:szCs w:val="20"/>
        </w:rPr>
        <w:t xml:space="preserve"> and </w:t>
      </w:r>
      <w:r w:rsidR="002313EB">
        <w:rPr>
          <w:rFonts w:eastAsia="Times New Roman" w:cs="Times New Roman"/>
          <w:szCs w:val="20"/>
        </w:rPr>
        <w:t>the</w:t>
      </w:r>
      <w:r w:rsidR="002313EB" w:rsidRPr="00EE3C83">
        <w:rPr>
          <w:rFonts w:eastAsia="Times New Roman" w:cs="Times New Roman"/>
          <w:szCs w:val="20"/>
        </w:rPr>
        <w:t xml:space="preserve"> </w:t>
      </w:r>
      <w:r w:rsidRPr="00EE3C83">
        <w:rPr>
          <w:rFonts w:eastAsia="Times New Roman" w:cs="Times New Roman"/>
          <w:szCs w:val="20"/>
        </w:rPr>
        <w:t xml:space="preserve">impact </w:t>
      </w:r>
      <w:r w:rsidR="002313EB">
        <w:rPr>
          <w:rFonts w:eastAsia="Times New Roman" w:cs="Times New Roman"/>
          <w:szCs w:val="20"/>
        </w:rPr>
        <w:t xml:space="preserve">of CADOPS </w:t>
      </w:r>
      <w:r w:rsidRPr="00EE3C83">
        <w:rPr>
          <w:rFonts w:eastAsia="Times New Roman" w:cs="Times New Roman"/>
          <w:szCs w:val="20"/>
        </w:rPr>
        <w:t xml:space="preserve">on its paper-based outage reporting processes. </w:t>
      </w:r>
      <w:r w:rsidR="00437D9F">
        <w:rPr>
          <w:rFonts w:eastAsia="Times New Roman" w:cs="Times New Roman"/>
          <w:szCs w:val="20"/>
        </w:rPr>
        <w:t xml:space="preserve"> </w:t>
      </w:r>
      <w:r w:rsidRPr="00EE3C83">
        <w:rPr>
          <w:rFonts w:eastAsia="Times New Roman" w:cs="Times New Roman"/>
          <w:szCs w:val="20"/>
        </w:rPr>
        <w:t xml:space="preserve">PacifiCorp identified that </w:t>
      </w:r>
      <w:r w:rsidR="009F61E9">
        <w:rPr>
          <w:rFonts w:eastAsia="Times New Roman" w:cs="Times New Roman"/>
          <w:szCs w:val="20"/>
        </w:rPr>
        <w:t xml:space="preserve">a combination of </w:t>
      </w:r>
      <w:r w:rsidRPr="00EE3C83">
        <w:rPr>
          <w:rFonts w:eastAsia="Times New Roman" w:cs="Times New Roman"/>
          <w:szCs w:val="20"/>
        </w:rPr>
        <w:t>CADOPS</w:t>
      </w:r>
      <w:r w:rsidR="00EE3C83">
        <w:rPr>
          <w:rFonts w:eastAsia="Times New Roman" w:cs="Times New Roman"/>
          <w:szCs w:val="20"/>
        </w:rPr>
        <w:t xml:space="preserve"> and better reporting </w:t>
      </w:r>
      <w:r w:rsidR="009F61E9">
        <w:rPr>
          <w:rFonts w:eastAsia="Times New Roman" w:cs="Times New Roman"/>
          <w:szCs w:val="20"/>
        </w:rPr>
        <w:t>processes</w:t>
      </w:r>
      <w:r w:rsidRPr="00EE3C83">
        <w:rPr>
          <w:rFonts w:eastAsia="Times New Roman" w:cs="Times New Roman"/>
          <w:szCs w:val="20"/>
        </w:rPr>
        <w:t xml:space="preserve"> cause</w:t>
      </w:r>
      <w:r w:rsidR="00A80B8D">
        <w:rPr>
          <w:rFonts w:eastAsia="Times New Roman" w:cs="Times New Roman"/>
          <w:szCs w:val="20"/>
        </w:rPr>
        <w:t>d</w:t>
      </w:r>
      <w:r w:rsidR="00116A34">
        <w:rPr>
          <w:rFonts w:eastAsia="Times New Roman" w:cs="Times New Roman"/>
          <w:szCs w:val="20"/>
        </w:rPr>
        <w:t xml:space="preserve"> a large</w:t>
      </w:r>
      <w:r w:rsidR="00A80B8D">
        <w:rPr>
          <w:rFonts w:eastAsia="Times New Roman" w:cs="Times New Roman"/>
          <w:szCs w:val="20"/>
        </w:rPr>
        <w:t xml:space="preserve"> </w:t>
      </w:r>
      <w:r w:rsidRPr="00EE3C83">
        <w:rPr>
          <w:rFonts w:eastAsia="Times New Roman" w:cs="Times New Roman"/>
          <w:szCs w:val="20"/>
        </w:rPr>
        <w:t>uplift in its outage reporting</w:t>
      </w:r>
      <w:r w:rsidR="00A80B8D">
        <w:rPr>
          <w:rFonts w:eastAsia="Times New Roman" w:cs="Times New Roman"/>
          <w:szCs w:val="20"/>
        </w:rPr>
        <w:t xml:space="preserve"> with</w:t>
      </w:r>
      <w:r w:rsidR="0087514D">
        <w:rPr>
          <w:rFonts w:eastAsia="Times New Roman" w:cs="Times New Roman"/>
          <w:szCs w:val="20"/>
        </w:rPr>
        <w:t>o</w:t>
      </w:r>
      <w:r w:rsidR="00A80B8D">
        <w:rPr>
          <w:rFonts w:eastAsia="Times New Roman" w:cs="Times New Roman"/>
          <w:szCs w:val="20"/>
        </w:rPr>
        <w:t>ut a corresponding degradation in actual customer reliability.  Given the technological and business process changes</w:t>
      </w:r>
      <w:r w:rsidRPr="00EE3C83">
        <w:rPr>
          <w:rFonts w:eastAsia="Times New Roman" w:cs="Times New Roman"/>
          <w:szCs w:val="20"/>
        </w:rPr>
        <w:t xml:space="preserve">, </w:t>
      </w:r>
      <w:r w:rsidR="00A80B8D">
        <w:rPr>
          <w:rFonts w:eastAsia="Times New Roman" w:cs="Times New Roman"/>
          <w:szCs w:val="20"/>
        </w:rPr>
        <w:t>PacifiCorp</w:t>
      </w:r>
      <w:r w:rsidRPr="00EE3C83">
        <w:rPr>
          <w:rFonts w:eastAsia="Times New Roman" w:cs="Times New Roman"/>
          <w:szCs w:val="20"/>
        </w:rPr>
        <w:t xml:space="preserve"> applied a normalizing “uplift” to its 1995-1999 reliability data from which to set its merger commitment targets for reliability.</w:t>
      </w:r>
      <w:r w:rsidR="00EE3C83" w:rsidRPr="00EE3C83">
        <w:rPr>
          <w:rFonts w:eastAsia="Times New Roman" w:cs="Times New Roman"/>
          <w:szCs w:val="20"/>
        </w:rPr>
        <w:t xml:space="preserve"> </w:t>
      </w:r>
      <w:r w:rsidR="00FC23AA">
        <w:rPr>
          <w:rFonts w:eastAsia="Times New Roman" w:cs="Times New Roman"/>
          <w:szCs w:val="20"/>
        </w:rPr>
        <w:t xml:space="preserve"> Based </w:t>
      </w:r>
      <w:r w:rsidR="00FC23AA">
        <w:rPr>
          <w:rFonts w:eastAsia="Times New Roman" w:cs="Times New Roman"/>
          <w:szCs w:val="20"/>
        </w:rPr>
        <w:lastRenderedPageBreak/>
        <w:t>upon its</w:t>
      </w:r>
      <w:r w:rsidR="00EE3C83" w:rsidRPr="00EE3C83">
        <w:rPr>
          <w:rFonts w:eastAsia="Times New Roman" w:cs="Times New Roman"/>
          <w:szCs w:val="20"/>
        </w:rPr>
        <w:t xml:space="preserve"> statistical relationship calculation, PacifiCorp determined</w:t>
      </w:r>
      <w:r w:rsidR="00EE3C83">
        <w:rPr>
          <w:rFonts w:eastAsia="Times New Roman" w:cs="Times New Roman"/>
          <w:szCs w:val="20"/>
        </w:rPr>
        <w:t xml:space="preserve"> that its Washington </w:t>
      </w:r>
      <w:r w:rsidR="00366C13">
        <w:rPr>
          <w:rFonts w:eastAsia="Times New Roman" w:cs="Times New Roman"/>
          <w:szCs w:val="20"/>
        </w:rPr>
        <w:t xml:space="preserve">State </w:t>
      </w:r>
      <w:r w:rsidR="00EE3C83">
        <w:rPr>
          <w:rFonts w:eastAsia="Times New Roman" w:cs="Times New Roman"/>
          <w:szCs w:val="20"/>
        </w:rPr>
        <w:t>historical SAIDI measurements required a 67</w:t>
      </w:r>
      <w:r w:rsidR="00952BEC">
        <w:rPr>
          <w:rFonts w:eastAsia="Times New Roman" w:cs="Times New Roman"/>
          <w:szCs w:val="20"/>
        </w:rPr>
        <w:t xml:space="preserve"> </w:t>
      </w:r>
      <w:r w:rsidR="00661DA5">
        <w:rPr>
          <w:rFonts w:eastAsia="Times New Roman" w:cs="Times New Roman"/>
          <w:szCs w:val="20"/>
        </w:rPr>
        <w:t>percent</w:t>
      </w:r>
      <w:r w:rsidR="00EE3C83">
        <w:rPr>
          <w:rFonts w:eastAsia="Times New Roman" w:cs="Times New Roman"/>
          <w:szCs w:val="20"/>
        </w:rPr>
        <w:t xml:space="preserve"> uplift</w:t>
      </w:r>
      <w:r w:rsidR="006370F6">
        <w:rPr>
          <w:rFonts w:eastAsia="Times New Roman" w:cs="Times New Roman"/>
          <w:szCs w:val="20"/>
        </w:rPr>
        <w:t xml:space="preserve"> to properly reflect the difference in reporting methodology.</w:t>
      </w:r>
      <w:r w:rsidR="0087514D">
        <w:rPr>
          <w:rFonts w:eastAsia="Times New Roman" w:cs="Times New Roman"/>
          <w:szCs w:val="20"/>
        </w:rPr>
        <w:t xml:space="preserve">  </w:t>
      </w:r>
      <w:r w:rsidR="00116A34">
        <w:rPr>
          <w:rFonts w:eastAsia="Times New Roman" w:cs="Times New Roman"/>
          <w:szCs w:val="20"/>
        </w:rPr>
        <w:t>PacifiCorp then used this 67</w:t>
      </w:r>
      <w:r w:rsidR="00952BEC">
        <w:rPr>
          <w:rFonts w:eastAsia="Times New Roman" w:cs="Times New Roman"/>
          <w:szCs w:val="20"/>
        </w:rPr>
        <w:t xml:space="preserve"> </w:t>
      </w:r>
      <w:r w:rsidR="00661DA5">
        <w:rPr>
          <w:rFonts w:eastAsia="Times New Roman" w:cs="Times New Roman"/>
          <w:szCs w:val="20"/>
        </w:rPr>
        <w:t>percent</w:t>
      </w:r>
      <w:r w:rsidR="00116A34">
        <w:rPr>
          <w:rFonts w:eastAsia="Times New Roman" w:cs="Times New Roman"/>
          <w:szCs w:val="20"/>
        </w:rPr>
        <w:t xml:space="preserve"> uplift to recalculate its</w:t>
      </w:r>
      <w:r w:rsidR="006370F6">
        <w:rPr>
          <w:rFonts w:eastAsia="Times New Roman" w:cs="Times New Roman"/>
          <w:szCs w:val="20"/>
        </w:rPr>
        <w:t xml:space="preserve"> reliability performance </w:t>
      </w:r>
      <w:r w:rsidR="00116A34">
        <w:rPr>
          <w:rFonts w:eastAsia="Times New Roman" w:cs="Times New Roman"/>
          <w:szCs w:val="20"/>
        </w:rPr>
        <w:t xml:space="preserve">baseline </w:t>
      </w:r>
      <w:r w:rsidR="00EE3C83">
        <w:rPr>
          <w:rFonts w:eastAsia="Times New Roman" w:cs="Times New Roman"/>
          <w:szCs w:val="20"/>
        </w:rPr>
        <w:t>from 87 SAIDI minutes</w:t>
      </w:r>
      <w:r w:rsidR="00116A34">
        <w:rPr>
          <w:rFonts w:eastAsia="Times New Roman" w:cs="Times New Roman"/>
          <w:szCs w:val="20"/>
        </w:rPr>
        <w:t xml:space="preserve"> up</w:t>
      </w:r>
      <w:r w:rsidR="00EE3C83">
        <w:rPr>
          <w:rFonts w:eastAsia="Times New Roman" w:cs="Times New Roman"/>
          <w:szCs w:val="20"/>
        </w:rPr>
        <w:t xml:space="preserve"> to 146 minutes.</w:t>
      </w:r>
      <w:r w:rsidR="00116A34" w:rsidRPr="00684DE9">
        <w:rPr>
          <w:vertAlign w:val="superscript"/>
        </w:rPr>
        <w:footnoteReference w:id="44"/>
      </w:r>
    </w:p>
    <w:p w:rsidR="00130F07" w:rsidRPr="00E63438" w:rsidRDefault="002313EB" w:rsidP="00D82383">
      <w:pPr>
        <w:spacing w:before="0"/>
        <w:ind w:left="0" w:firstLine="720"/>
        <w:rPr>
          <w:rFonts w:eastAsia="Times New Roman" w:cs="Times New Roman"/>
          <w:szCs w:val="20"/>
        </w:rPr>
      </w:pPr>
      <w:r w:rsidRPr="00E63438">
        <w:rPr>
          <w:rFonts w:eastAsia="Times New Roman" w:cs="Times New Roman"/>
          <w:szCs w:val="20"/>
        </w:rPr>
        <w:t>Similarly, the New York Public Service Commission (“PSC”) has addressed changes to reliability metrics following the implementation of an OMS.</w:t>
      </w:r>
      <w:r w:rsidR="00E63438" w:rsidRPr="00E63438">
        <w:rPr>
          <w:rFonts w:eastAsia="Times New Roman" w:cs="Times New Roman"/>
          <w:szCs w:val="20"/>
        </w:rPr>
        <w:t xml:space="preserve">  </w:t>
      </w:r>
      <w:r w:rsidR="00116A34" w:rsidRPr="00E63438">
        <w:rPr>
          <w:rFonts w:eastAsia="Times New Roman" w:cs="Times New Roman"/>
          <w:szCs w:val="20"/>
        </w:rPr>
        <w:t xml:space="preserve">The utility </w:t>
      </w:r>
      <w:r w:rsidR="00130F07" w:rsidRPr="00E63438">
        <w:rPr>
          <w:rFonts w:eastAsia="Times New Roman" w:cs="Times New Roman"/>
          <w:szCs w:val="20"/>
        </w:rPr>
        <w:t>Central Hudson Gas &amp; Electric</w:t>
      </w:r>
      <w:r w:rsidR="00116A34" w:rsidRPr="00E63438">
        <w:rPr>
          <w:rFonts w:eastAsia="Times New Roman" w:cs="Times New Roman"/>
          <w:szCs w:val="20"/>
        </w:rPr>
        <w:t xml:space="preserve"> </w:t>
      </w:r>
      <w:r w:rsidR="00130F07" w:rsidRPr="00E63438">
        <w:rPr>
          <w:rFonts w:eastAsia="Times New Roman" w:cs="Times New Roman"/>
          <w:szCs w:val="20"/>
        </w:rPr>
        <w:t>experienc</w:t>
      </w:r>
      <w:r w:rsidR="00116A34" w:rsidRPr="00E63438">
        <w:rPr>
          <w:rFonts w:eastAsia="Times New Roman" w:cs="Times New Roman"/>
          <w:szCs w:val="20"/>
        </w:rPr>
        <w:t>ed</w:t>
      </w:r>
      <w:r w:rsidR="00130F07" w:rsidRPr="00E63438">
        <w:rPr>
          <w:rFonts w:eastAsia="Times New Roman" w:cs="Times New Roman"/>
          <w:szCs w:val="20"/>
        </w:rPr>
        <w:t xml:space="preserve"> large increases in its SAIDI and SAIFI after its OMS implementation in 2002.  The utility ran its </w:t>
      </w:r>
      <w:r w:rsidR="006370F6" w:rsidRPr="00E63438">
        <w:rPr>
          <w:rFonts w:eastAsia="Times New Roman" w:cs="Times New Roman"/>
          <w:szCs w:val="20"/>
        </w:rPr>
        <w:t>paper-based</w:t>
      </w:r>
      <w:r w:rsidR="00130F07" w:rsidRPr="00E63438">
        <w:rPr>
          <w:rFonts w:eastAsia="Times New Roman" w:cs="Times New Roman"/>
          <w:szCs w:val="20"/>
        </w:rPr>
        <w:t xml:space="preserve"> </w:t>
      </w:r>
      <w:r w:rsidR="006370F6" w:rsidRPr="00E63438">
        <w:rPr>
          <w:rFonts w:eastAsia="Times New Roman" w:cs="Times New Roman"/>
          <w:szCs w:val="20"/>
        </w:rPr>
        <w:t>Transmission and Distribution System (</w:t>
      </w:r>
      <w:r w:rsidR="0020678E" w:rsidRPr="00E63438">
        <w:rPr>
          <w:rFonts w:eastAsia="Times New Roman" w:cs="Times New Roman"/>
          <w:szCs w:val="20"/>
        </w:rPr>
        <w:t>“</w:t>
      </w:r>
      <w:r w:rsidR="00130F07" w:rsidRPr="00E63438">
        <w:rPr>
          <w:rFonts w:eastAsia="Times New Roman" w:cs="Times New Roman"/>
          <w:szCs w:val="20"/>
        </w:rPr>
        <w:t>TDS</w:t>
      </w:r>
      <w:r w:rsidR="0020678E" w:rsidRPr="00E63438">
        <w:rPr>
          <w:rFonts w:eastAsia="Times New Roman" w:cs="Times New Roman"/>
          <w:szCs w:val="20"/>
        </w:rPr>
        <w:t>”</w:t>
      </w:r>
      <w:r w:rsidR="006370F6" w:rsidRPr="00E63438">
        <w:rPr>
          <w:rFonts w:eastAsia="Times New Roman" w:cs="Times New Roman"/>
          <w:szCs w:val="20"/>
        </w:rPr>
        <w:t>)</w:t>
      </w:r>
      <w:r w:rsidR="00130F07" w:rsidRPr="00E63438">
        <w:rPr>
          <w:rFonts w:eastAsia="Times New Roman" w:cs="Times New Roman"/>
          <w:szCs w:val="20"/>
        </w:rPr>
        <w:t xml:space="preserve"> and new OMS in parallel for one year</w:t>
      </w:r>
      <w:r w:rsidR="00116A34" w:rsidRPr="00E63438">
        <w:rPr>
          <w:rFonts w:eastAsia="Times New Roman" w:cs="Times New Roman"/>
          <w:szCs w:val="20"/>
        </w:rPr>
        <w:t xml:space="preserve"> during this time, and </w:t>
      </w:r>
      <w:r w:rsidR="00130F07" w:rsidRPr="00E63438">
        <w:rPr>
          <w:rFonts w:eastAsia="Times New Roman" w:cs="Times New Roman"/>
          <w:szCs w:val="20"/>
        </w:rPr>
        <w:t>found that its OMS</w:t>
      </w:r>
      <w:r w:rsidR="00FC7E40" w:rsidRPr="00E63438">
        <w:rPr>
          <w:rFonts w:eastAsia="Times New Roman" w:cs="Times New Roman"/>
          <w:szCs w:val="20"/>
        </w:rPr>
        <w:t>-</w:t>
      </w:r>
      <w:r w:rsidR="00130F07" w:rsidRPr="00E63438">
        <w:rPr>
          <w:rFonts w:eastAsia="Times New Roman" w:cs="Times New Roman"/>
          <w:szCs w:val="20"/>
        </w:rPr>
        <w:t>reported customer counts were 29</w:t>
      </w:r>
      <w:r w:rsidR="00952BEC" w:rsidRPr="00E63438">
        <w:rPr>
          <w:rFonts w:eastAsia="Times New Roman" w:cs="Times New Roman"/>
          <w:szCs w:val="20"/>
        </w:rPr>
        <w:t xml:space="preserve"> </w:t>
      </w:r>
      <w:r w:rsidR="00661DA5" w:rsidRPr="00E63438">
        <w:rPr>
          <w:rFonts w:eastAsia="Times New Roman" w:cs="Times New Roman"/>
          <w:szCs w:val="20"/>
        </w:rPr>
        <w:t>percent</w:t>
      </w:r>
      <w:r w:rsidR="00130F07" w:rsidRPr="00E63438">
        <w:rPr>
          <w:rFonts w:eastAsia="Times New Roman" w:cs="Times New Roman"/>
          <w:szCs w:val="20"/>
        </w:rPr>
        <w:t xml:space="preserve"> higher than the legacy TDS.  The utility attribute</w:t>
      </w:r>
      <w:r w:rsidR="00116A34" w:rsidRPr="00E63438">
        <w:rPr>
          <w:rFonts w:eastAsia="Times New Roman" w:cs="Times New Roman"/>
          <w:szCs w:val="20"/>
        </w:rPr>
        <w:t>d</w:t>
      </w:r>
      <w:r w:rsidR="00130F07" w:rsidRPr="00E63438">
        <w:rPr>
          <w:rFonts w:eastAsia="Times New Roman" w:cs="Times New Roman"/>
          <w:szCs w:val="20"/>
        </w:rPr>
        <w:t xml:space="preserve"> th</w:t>
      </w:r>
      <w:r w:rsidR="00116A34" w:rsidRPr="00E63438">
        <w:rPr>
          <w:rFonts w:eastAsia="Times New Roman" w:cs="Times New Roman"/>
          <w:szCs w:val="20"/>
        </w:rPr>
        <w:t>e</w:t>
      </w:r>
      <w:r w:rsidR="00130F07" w:rsidRPr="00E63438">
        <w:rPr>
          <w:rFonts w:eastAsia="Times New Roman" w:cs="Times New Roman"/>
          <w:szCs w:val="20"/>
        </w:rPr>
        <w:t xml:space="preserve"> increase to higher customer count</w:t>
      </w:r>
      <w:r w:rsidR="006370F6" w:rsidRPr="00E63438">
        <w:rPr>
          <w:rFonts w:eastAsia="Times New Roman" w:cs="Times New Roman"/>
          <w:szCs w:val="20"/>
        </w:rPr>
        <w:t>s</w:t>
      </w:r>
      <w:r w:rsidR="00130F07" w:rsidRPr="00E63438">
        <w:rPr>
          <w:rFonts w:eastAsia="Times New Roman" w:cs="Times New Roman"/>
          <w:szCs w:val="20"/>
        </w:rPr>
        <w:t xml:space="preserve"> recorded by its OMS, caus</w:t>
      </w:r>
      <w:r w:rsidR="006370F6" w:rsidRPr="00E63438">
        <w:rPr>
          <w:rFonts w:eastAsia="Times New Roman" w:cs="Times New Roman"/>
          <w:szCs w:val="20"/>
        </w:rPr>
        <w:t>ing</w:t>
      </w:r>
      <w:r w:rsidR="00130F07" w:rsidRPr="00E63438">
        <w:rPr>
          <w:rFonts w:eastAsia="Times New Roman" w:cs="Times New Roman"/>
          <w:szCs w:val="20"/>
        </w:rPr>
        <w:t xml:space="preserve"> increases in reliability scores for the exact same reliability conditions.</w:t>
      </w:r>
      <w:r w:rsidR="006B70C3" w:rsidRPr="00237349">
        <w:rPr>
          <w:rFonts w:eastAsia="Times New Roman" w:cs="Times New Roman"/>
          <w:szCs w:val="20"/>
          <w:vertAlign w:val="superscript"/>
        </w:rPr>
        <w:footnoteReference w:id="45"/>
      </w:r>
      <w:r w:rsidR="00130F07" w:rsidRPr="00E63438">
        <w:rPr>
          <w:rFonts w:eastAsia="Times New Roman" w:cs="Times New Roman"/>
          <w:szCs w:val="20"/>
        </w:rPr>
        <w:t xml:space="preserve">  The PSC stayed Central Hudson’s reliability penalties in 2002 and 2003, but denied Central Hudson’s request to adjust its reliability scores to account for the changes uncovered through its in-parallel analysis.  The utility subsequently missed its reliability metrics in 2004 and 2005.  In 2006, the PSC and utility avoided litigation over the cause of these missed metrics through a settlement that revised its reliability metrics upward to account for the impact of OMS.</w:t>
      </w:r>
      <w:r w:rsidR="006B70C3" w:rsidRPr="00237349">
        <w:rPr>
          <w:rFonts w:eastAsia="Times New Roman" w:cs="Times New Roman"/>
          <w:szCs w:val="20"/>
          <w:vertAlign w:val="superscript"/>
        </w:rPr>
        <w:footnoteReference w:id="46"/>
      </w:r>
      <w:r w:rsidR="00130F07" w:rsidRPr="00E63438">
        <w:rPr>
          <w:rFonts w:eastAsia="Times New Roman" w:cs="Times New Roman"/>
          <w:szCs w:val="20"/>
        </w:rPr>
        <w:t xml:space="preserve"> </w:t>
      </w:r>
    </w:p>
    <w:p w:rsidR="00D568AE" w:rsidRPr="00D568AE" w:rsidRDefault="00D568AE" w:rsidP="004E2B29">
      <w:pPr>
        <w:keepNext/>
        <w:keepLines/>
        <w:numPr>
          <w:ilvl w:val="0"/>
          <w:numId w:val="0"/>
        </w:numPr>
        <w:tabs>
          <w:tab w:val="left" w:pos="720"/>
        </w:tabs>
        <w:spacing w:before="0"/>
        <w:outlineLvl w:val="1"/>
        <w:rPr>
          <w:rFonts w:ascii="Times New Roman Bold" w:eastAsia="Times New Roman" w:hAnsi="Times New Roman Bold" w:cs="Arial"/>
          <w:b/>
          <w:bCs/>
          <w:iCs/>
          <w:szCs w:val="28"/>
        </w:rPr>
      </w:pPr>
      <w:r w:rsidRPr="00D568AE">
        <w:rPr>
          <w:rFonts w:ascii="Times New Roman Bold" w:eastAsia="Times New Roman" w:hAnsi="Times New Roman Bold" w:cs="Arial"/>
          <w:b/>
          <w:bCs/>
          <w:iCs/>
          <w:szCs w:val="28"/>
        </w:rPr>
        <w:lastRenderedPageBreak/>
        <w:t>B.</w:t>
      </w:r>
      <w:r w:rsidRPr="00D568AE">
        <w:rPr>
          <w:rFonts w:ascii="Times New Roman Bold" w:eastAsia="Times New Roman" w:hAnsi="Times New Roman Bold" w:cs="Arial"/>
          <w:b/>
          <w:bCs/>
          <w:iCs/>
          <w:szCs w:val="28"/>
        </w:rPr>
        <w:tab/>
        <w:t>Pre- and Post</w:t>
      </w:r>
      <w:r>
        <w:rPr>
          <w:rFonts w:ascii="Times New Roman Bold" w:eastAsia="Times New Roman" w:hAnsi="Times New Roman Bold" w:cs="Arial"/>
          <w:b/>
          <w:bCs/>
          <w:iCs/>
          <w:szCs w:val="28"/>
        </w:rPr>
        <w:noBreakHyphen/>
      </w:r>
      <w:r w:rsidRPr="00D568AE">
        <w:rPr>
          <w:rFonts w:ascii="Times New Roman Bold" w:eastAsia="Times New Roman" w:hAnsi="Times New Roman Bold" w:cs="Arial"/>
          <w:b/>
          <w:bCs/>
          <w:iCs/>
          <w:szCs w:val="28"/>
        </w:rPr>
        <w:t>OMS Outage Customer Counts Example</w:t>
      </w:r>
    </w:p>
    <w:p w:rsidR="00130F07" w:rsidRPr="00130F07" w:rsidRDefault="00130F07" w:rsidP="00D82383">
      <w:pPr>
        <w:spacing w:before="0"/>
        <w:ind w:left="0" w:firstLine="720"/>
        <w:rPr>
          <w:rFonts w:eastAsia="Times New Roman" w:cs="Times New Roman"/>
          <w:szCs w:val="20"/>
        </w:rPr>
      </w:pPr>
      <w:r w:rsidRPr="00130F07">
        <w:rPr>
          <w:rFonts w:eastAsia="Times New Roman" w:cs="Times New Roman"/>
          <w:szCs w:val="20"/>
        </w:rPr>
        <w:t xml:space="preserve">In light of </w:t>
      </w:r>
      <w:r w:rsidR="0020678E">
        <w:rPr>
          <w:rFonts w:eastAsia="Times New Roman" w:cs="Times New Roman"/>
          <w:szCs w:val="20"/>
        </w:rPr>
        <w:t>th</w:t>
      </w:r>
      <w:r w:rsidR="00BF73BA">
        <w:rPr>
          <w:rFonts w:eastAsia="Times New Roman" w:cs="Times New Roman"/>
          <w:szCs w:val="20"/>
        </w:rPr>
        <w:t>e above</w:t>
      </w:r>
      <w:r w:rsidRPr="00130F07">
        <w:rPr>
          <w:rFonts w:eastAsia="Times New Roman" w:cs="Times New Roman"/>
          <w:szCs w:val="20"/>
        </w:rPr>
        <w:t>, PSE examine</w:t>
      </w:r>
      <w:r w:rsidR="00BF73BA">
        <w:rPr>
          <w:rFonts w:eastAsia="Times New Roman" w:cs="Times New Roman"/>
          <w:szCs w:val="20"/>
        </w:rPr>
        <w:t>d</w:t>
      </w:r>
      <w:r w:rsidRPr="00130F07">
        <w:rPr>
          <w:rFonts w:eastAsia="Times New Roman" w:cs="Times New Roman"/>
          <w:szCs w:val="20"/>
        </w:rPr>
        <w:t xml:space="preserve"> </w:t>
      </w:r>
      <w:r w:rsidR="00AC6B76">
        <w:rPr>
          <w:rFonts w:eastAsia="Times New Roman" w:cs="Times New Roman"/>
          <w:szCs w:val="20"/>
        </w:rPr>
        <w:t>its</w:t>
      </w:r>
      <w:r w:rsidRPr="00130F07">
        <w:rPr>
          <w:rFonts w:eastAsia="Times New Roman" w:cs="Times New Roman"/>
          <w:szCs w:val="20"/>
        </w:rPr>
        <w:t xml:space="preserve"> </w:t>
      </w:r>
      <w:r w:rsidR="00BF73BA">
        <w:rPr>
          <w:rFonts w:eastAsia="Times New Roman" w:cs="Times New Roman"/>
          <w:szCs w:val="20"/>
        </w:rPr>
        <w:t>pre</w:t>
      </w:r>
      <w:r w:rsidR="00E63438">
        <w:rPr>
          <w:rFonts w:eastAsia="Times New Roman" w:cs="Times New Roman"/>
          <w:szCs w:val="20"/>
        </w:rPr>
        <w:t>-</w:t>
      </w:r>
      <w:r w:rsidR="00BF73BA">
        <w:rPr>
          <w:rFonts w:eastAsia="Times New Roman" w:cs="Times New Roman"/>
          <w:szCs w:val="20"/>
        </w:rPr>
        <w:t xml:space="preserve"> and post</w:t>
      </w:r>
      <w:r w:rsidR="00BF73BA">
        <w:rPr>
          <w:rFonts w:eastAsia="Times New Roman" w:cs="Times New Roman"/>
          <w:szCs w:val="20"/>
        </w:rPr>
        <w:noBreakHyphen/>
        <w:t xml:space="preserve">OMS </w:t>
      </w:r>
      <w:r w:rsidRPr="00130F07">
        <w:rPr>
          <w:rFonts w:eastAsia="Times New Roman" w:cs="Times New Roman"/>
          <w:szCs w:val="20"/>
        </w:rPr>
        <w:t xml:space="preserve">data to see if similar findings were borne out.  </w:t>
      </w:r>
      <w:r w:rsidR="00BF73BA">
        <w:rPr>
          <w:rFonts w:eastAsia="Times New Roman" w:cs="Times New Roman"/>
          <w:szCs w:val="20"/>
        </w:rPr>
        <w:t>As discussed below, PSE identified</w:t>
      </w:r>
      <w:r w:rsidRPr="00130F07">
        <w:rPr>
          <w:rFonts w:eastAsia="Times New Roman" w:cs="Times New Roman"/>
          <w:szCs w:val="20"/>
        </w:rPr>
        <w:t xml:space="preserve"> an increase in reliability metrics </w:t>
      </w:r>
      <w:r w:rsidR="00104B34">
        <w:rPr>
          <w:rFonts w:eastAsia="Times New Roman" w:cs="Times New Roman"/>
          <w:szCs w:val="20"/>
        </w:rPr>
        <w:t>coincident with the transition to PSE’s OMS</w:t>
      </w:r>
      <w:r w:rsidR="006370F6">
        <w:rPr>
          <w:rFonts w:eastAsia="Times New Roman" w:cs="Times New Roman"/>
          <w:szCs w:val="20"/>
        </w:rPr>
        <w:t xml:space="preserve"> </w:t>
      </w:r>
      <w:r w:rsidRPr="00130F07">
        <w:rPr>
          <w:rFonts w:eastAsia="Times New Roman" w:cs="Times New Roman"/>
          <w:szCs w:val="20"/>
        </w:rPr>
        <w:t>and associated business processes.</w:t>
      </w:r>
      <w:r w:rsidR="008662C9" w:rsidRPr="008662C9">
        <w:rPr>
          <w:rFonts w:eastAsia="Times New Roman" w:cs="Times New Roman"/>
          <w:szCs w:val="20"/>
        </w:rPr>
        <w:t xml:space="preserve"> </w:t>
      </w:r>
      <w:r w:rsidR="00BF73BA">
        <w:rPr>
          <w:rFonts w:eastAsia="Times New Roman" w:cs="Times New Roman"/>
          <w:szCs w:val="20"/>
        </w:rPr>
        <w:t xml:space="preserve"> The example discussed below shows how dramatically differently an outage could be represented in CLX and OMS.</w:t>
      </w:r>
    </w:p>
    <w:p w:rsidR="00130F07" w:rsidRDefault="00130F07" w:rsidP="00AB070D">
      <w:pPr>
        <w:spacing w:before="0"/>
        <w:ind w:left="0" w:firstLine="720"/>
        <w:rPr>
          <w:rFonts w:eastAsia="Times New Roman" w:cs="Times New Roman"/>
          <w:szCs w:val="20"/>
        </w:rPr>
      </w:pPr>
      <w:r w:rsidRPr="008662C9">
        <w:rPr>
          <w:rFonts w:eastAsia="Times New Roman" w:cs="Times New Roman"/>
          <w:szCs w:val="20"/>
        </w:rPr>
        <w:t xml:space="preserve">PSE </w:t>
      </w:r>
      <w:r w:rsidR="001E7361">
        <w:rPr>
          <w:rFonts w:eastAsia="Times New Roman" w:cs="Times New Roman"/>
          <w:szCs w:val="20"/>
        </w:rPr>
        <w:t>analyzed</w:t>
      </w:r>
      <w:r w:rsidRPr="008662C9">
        <w:rPr>
          <w:rFonts w:eastAsia="Times New Roman" w:cs="Times New Roman"/>
          <w:szCs w:val="20"/>
        </w:rPr>
        <w:t xml:space="preserve"> similar outages isolated to the same segment of </w:t>
      </w:r>
      <w:r w:rsidR="009833DA">
        <w:rPr>
          <w:rFonts w:eastAsia="Times New Roman" w:cs="Times New Roman"/>
          <w:szCs w:val="20"/>
        </w:rPr>
        <w:t xml:space="preserve">a specific electric </w:t>
      </w:r>
      <w:r w:rsidRPr="008662C9">
        <w:rPr>
          <w:rFonts w:eastAsia="Times New Roman" w:cs="Times New Roman"/>
          <w:szCs w:val="20"/>
        </w:rPr>
        <w:t xml:space="preserve">circuit, </w:t>
      </w:r>
      <w:r w:rsidR="001E7361">
        <w:rPr>
          <w:rFonts w:eastAsia="Times New Roman" w:cs="Times New Roman"/>
          <w:szCs w:val="20"/>
        </w:rPr>
        <w:t>and found significantly</w:t>
      </w:r>
      <w:r w:rsidRPr="008662C9">
        <w:rPr>
          <w:rFonts w:eastAsia="Times New Roman" w:cs="Times New Roman"/>
          <w:szCs w:val="20"/>
        </w:rPr>
        <w:t xml:space="preserve"> different number</w:t>
      </w:r>
      <w:r w:rsidR="006F4B38">
        <w:rPr>
          <w:rFonts w:eastAsia="Times New Roman" w:cs="Times New Roman"/>
          <w:szCs w:val="20"/>
        </w:rPr>
        <w:t>s</w:t>
      </w:r>
      <w:r w:rsidRPr="008662C9">
        <w:rPr>
          <w:rFonts w:eastAsia="Times New Roman" w:cs="Times New Roman"/>
          <w:szCs w:val="20"/>
        </w:rPr>
        <w:t xml:space="preserve"> of </w:t>
      </w:r>
      <w:r w:rsidR="002456B2" w:rsidRPr="008662C9">
        <w:rPr>
          <w:rFonts w:eastAsia="Times New Roman" w:cs="Times New Roman"/>
          <w:szCs w:val="20"/>
        </w:rPr>
        <w:t xml:space="preserve">estimated </w:t>
      </w:r>
      <w:r w:rsidRPr="008662C9">
        <w:rPr>
          <w:rFonts w:eastAsia="Times New Roman" w:cs="Times New Roman"/>
          <w:szCs w:val="20"/>
        </w:rPr>
        <w:t xml:space="preserve">customers </w:t>
      </w:r>
      <w:r w:rsidR="001E7361">
        <w:rPr>
          <w:rFonts w:eastAsia="Times New Roman" w:cs="Times New Roman"/>
          <w:szCs w:val="20"/>
        </w:rPr>
        <w:t xml:space="preserve">identified as </w:t>
      </w:r>
      <w:r w:rsidRPr="008662C9">
        <w:rPr>
          <w:rFonts w:eastAsia="Times New Roman" w:cs="Times New Roman"/>
          <w:szCs w:val="20"/>
        </w:rPr>
        <w:t xml:space="preserve">out </w:t>
      </w:r>
      <w:r w:rsidR="001E7361">
        <w:rPr>
          <w:rFonts w:eastAsia="Times New Roman" w:cs="Times New Roman"/>
          <w:szCs w:val="20"/>
        </w:rPr>
        <w:t xml:space="preserve">of service </w:t>
      </w:r>
      <w:r w:rsidRPr="001E7361">
        <w:rPr>
          <w:rFonts w:eastAsia="Times New Roman" w:cs="Times New Roman"/>
          <w:szCs w:val="20"/>
        </w:rPr>
        <w:t xml:space="preserve">on </w:t>
      </w:r>
      <w:r w:rsidR="001E7361">
        <w:rPr>
          <w:rFonts w:eastAsia="Times New Roman" w:cs="Times New Roman"/>
          <w:szCs w:val="20"/>
        </w:rPr>
        <w:t xml:space="preserve">CLX system as compared to </w:t>
      </w:r>
      <w:r w:rsidRPr="001E7361">
        <w:rPr>
          <w:rFonts w:eastAsia="Times New Roman" w:cs="Times New Roman"/>
          <w:szCs w:val="20"/>
        </w:rPr>
        <w:t>OMS.</w:t>
      </w:r>
      <w:r w:rsidRPr="008662C9">
        <w:rPr>
          <w:rFonts w:eastAsia="Times New Roman" w:cs="Times New Roman"/>
          <w:szCs w:val="20"/>
        </w:rPr>
        <w:t xml:space="preserve">  Five customers were estimated </w:t>
      </w:r>
      <w:r w:rsidR="00D4027D">
        <w:rPr>
          <w:rFonts w:eastAsia="Times New Roman" w:cs="Times New Roman"/>
          <w:szCs w:val="20"/>
        </w:rPr>
        <w:t>to be with</w:t>
      </w:r>
      <w:r w:rsidRPr="008662C9">
        <w:rPr>
          <w:rFonts w:eastAsia="Times New Roman" w:cs="Times New Roman"/>
          <w:szCs w:val="20"/>
        </w:rPr>
        <w:t xml:space="preserve">out </w:t>
      </w:r>
      <w:r w:rsidR="00D4027D">
        <w:rPr>
          <w:rFonts w:eastAsia="Times New Roman" w:cs="Times New Roman"/>
          <w:szCs w:val="20"/>
        </w:rPr>
        <w:t xml:space="preserve">service </w:t>
      </w:r>
      <w:r w:rsidRPr="008662C9">
        <w:rPr>
          <w:rFonts w:eastAsia="Times New Roman" w:cs="Times New Roman"/>
          <w:szCs w:val="20"/>
        </w:rPr>
        <w:t>on an outage in the pre</w:t>
      </w:r>
      <w:r w:rsidR="00324BA6">
        <w:rPr>
          <w:rFonts w:eastAsia="Times New Roman" w:cs="Times New Roman"/>
          <w:szCs w:val="20"/>
        </w:rPr>
        <w:noBreakHyphen/>
      </w:r>
      <w:r w:rsidRPr="008662C9">
        <w:rPr>
          <w:rFonts w:eastAsia="Times New Roman" w:cs="Times New Roman"/>
          <w:szCs w:val="20"/>
        </w:rPr>
        <w:t>OMS system, as compared to post</w:t>
      </w:r>
      <w:r w:rsidR="00324BA6">
        <w:rPr>
          <w:rFonts w:eastAsia="Times New Roman" w:cs="Times New Roman"/>
          <w:szCs w:val="20"/>
        </w:rPr>
        <w:noBreakHyphen/>
      </w:r>
      <w:r w:rsidRPr="008662C9">
        <w:rPr>
          <w:rFonts w:eastAsia="Times New Roman" w:cs="Times New Roman"/>
          <w:szCs w:val="20"/>
        </w:rPr>
        <w:t xml:space="preserve">OMS where 158 customers were </w:t>
      </w:r>
      <w:r w:rsidR="00BF73BA">
        <w:rPr>
          <w:rFonts w:eastAsia="Times New Roman" w:cs="Times New Roman"/>
          <w:szCs w:val="20"/>
        </w:rPr>
        <w:t>with</w:t>
      </w:r>
      <w:r w:rsidRPr="008662C9">
        <w:rPr>
          <w:rFonts w:eastAsia="Times New Roman" w:cs="Times New Roman"/>
          <w:szCs w:val="20"/>
        </w:rPr>
        <w:t xml:space="preserve">out </w:t>
      </w:r>
      <w:r w:rsidR="00BF73BA">
        <w:rPr>
          <w:rFonts w:eastAsia="Times New Roman" w:cs="Times New Roman"/>
          <w:szCs w:val="20"/>
        </w:rPr>
        <w:t xml:space="preserve">service </w:t>
      </w:r>
      <w:r w:rsidRPr="008662C9">
        <w:rPr>
          <w:rFonts w:eastAsia="Times New Roman" w:cs="Times New Roman"/>
          <w:szCs w:val="20"/>
        </w:rPr>
        <w:t xml:space="preserve">on an outage where a similar set of conditions existed.  </w:t>
      </w:r>
      <w:r w:rsidR="006F4B38" w:rsidRPr="00AB070D">
        <w:rPr>
          <w:rFonts w:eastAsia="Times New Roman" w:cs="Times New Roman"/>
          <w:szCs w:val="20"/>
        </w:rPr>
        <w:t>After</w:t>
      </w:r>
      <w:r w:rsidRPr="00D82383">
        <w:rPr>
          <w:rFonts w:eastAsia="Times New Roman" w:cs="Times New Roman"/>
          <w:szCs w:val="20"/>
        </w:rPr>
        <w:t xml:space="preserve"> further reviewing this outage for the purposes of demonstrating the differences between pre</w:t>
      </w:r>
      <w:r w:rsidR="00324BA6" w:rsidRPr="00D82383">
        <w:rPr>
          <w:rFonts w:eastAsia="Times New Roman" w:cs="Times New Roman"/>
          <w:szCs w:val="20"/>
        </w:rPr>
        <w:noBreakHyphen/>
      </w:r>
      <w:r w:rsidRPr="00D82383">
        <w:rPr>
          <w:rFonts w:eastAsia="Times New Roman" w:cs="Times New Roman"/>
          <w:szCs w:val="20"/>
        </w:rPr>
        <w:t>OMS and post</w:t>
      </w:r>
      <w:r w:rsidR="00324BA6" w:rsidRPr="00D82383">
        <w:rPr>
          <w:rFonts w:eastAsia="Times New Roman" w:cs="Times New Roman"/>
          <w:szCs w:val="20"/>
        </w:rPr>
        <w:noBreakHyphen/>
      </w:r>
      <w:r w:rsidRPr="00D82383">
        <w:rPr>
          <w:rFonts w:eastAsia="Times New Roman" w:cs="Times New Roman"/>
          <w:szCs w:val="20"/>
        </w:rPr>
        <w:t>OMS, PSE found that the pre</w:t>
      </w:r>
      <w:r w:rsidR="00324BA6" w:rsidRPr="00D82383">
        <w:rPr>
          <w:rFonts w:eastAsia="Times New Roman" w:cs="Times New Roman"/>
          <w:szCs w:val="20"/>
        </w:rPr>
        <w:noBreakHyphen/>
      </w:r>
      <w:r w:rsidRPr="00D82383">
        <w:rPr>
          <w:rFonts w:eastAsia="Times New Roman" w:cs="Times New Roman"/>
          <w:szCs w:val="20"/>
        </w:rPr>
        <w:t>OMS outage</w:t>
      </w:r>
      <w:r w:rsidR="006D4054">
        <w:rPr>
          <w:rFonts w:eastAsia="Times New Roman" w:cs="Times New Roman"/>
          <w:szCs w:val="20"/>
        </w:rPr>
        <w:t xml:space="preserve"> (Table 4, outage No. E357291476)</w:t>
      </w:r>
      <w:r w:rsidRPr="00D82383">
        <w:rPr>
          <w:rFonts w:eastAsia="Times New Roman" w:cs="Times New Roman"/>
          <w:szCs w:val="20"/>
        </w:rPr>
        <w:t xml:space="preserve"> was underreported by 250 customers</w:t>
      </w:r>
      <w:r w:rsidR="00F72882">
        <w:rPr>
          <w:rFonts w:eastAsia="Times New Roman" w:cs="Times New Roman"/>
          <w:szCs w:val="20"/>
        </w:rPr>
        <w:t xml:space="preserve"> (</w:t>
      </w:r>
      <w:r w:rsidR="00E63438" w:rsidRPr="00E63438">
        <w:rPr>
          <w:rFonts w:eastAsia="Times New Roman" w:cs="Times New Roman"/>
          <w:i/>
          <w:szCs w:val="20"/>
        </w:rPr>
        <w:t>i.e.,</w:t>
      </w:r>
      <w:r w:rsidR="00E63438">
        <w:rPr>
          <w:rFonts w:eastAsia="Times New Roman" w:cs="Times New Roman"/>
          <w:szCs w:val="20"/>
        </w:rPr>
        <w:t xml:space="preserve"> </w:t>
      </w:r>
      <w:r w:rsidR="00F72882">
        <w:rPr>
          <w:rFonts w:eastAsia="Times New Roman" w:cs="Times New Roman"/>
          <w:szCs w:val="20"/>
        </w:rPr>
        <w:t xml:space="preserve">5 reported </w:t>
      </w:r>
      <w:r w:rsidR="00E63438">
        <w:rPr>
          <w:rFonts w:eastAsia="Times New Roman" w:cs="Times New Roman"/>
          <w:szCs w:val="20"/>
        </w:rPr>
        <w:t xml:space="preserve">customers with outages </w:t>
      </w:r>
      <w:r w:rsidR="006A2744">
        <w:rPr>
          <w:rFonts w:eastAsia="Times New Roman" w:cs="Times New Roman"/>
          <w:szCs w:val="20"/>
        </w:rPr>
        <w:t>pre-OMS</w:t>
      </w:r>
      <w:r w:rsidR="00F72882">
        <w:rPr>
          <w:rFonts w:eastAsia="Times New Roman" w:cs="Times New Roman"/>
          <w:szCs w:val="20"/>
        </w:rPr>
        <w:t xml:space="preserve"> vs. 255 </w:t>
      </w:r>
      <w:r w:rsidR="00E63438">
        <w:rPr>
          <w:rFonts w:eastAsia="Times New Roman" w:cs="Times New Roman"/>
          <w:szCs w:val="20"/>
        </w:rPr>
        <w:t xml:space="preserve">customers with outages that </w:t>
      </w:r>
      <w:r w:rsidR="00F72882">
        <w:rPr>
          <w:rFonts w:eastAsia="Times New Roman" w:cs="Times New Roman"/>
          <w:szCs w:val="20"/>
        </w:rPr>
        <w:t>should have been reported)</w:t>
      </w:r>
      <w:r w:rsidRPr="00D82383">
        <w:rPr>
          <w:rFonts w:eastAsia="Times New Roman" w:cs="Times New Roman"/>
          <w:szCs w:val="20"/>
        </w:rPr>
        <w:t>.</w:t>
      </w:r>
      <w:r w:rsidRPr="008662C9">
        <w:rPr>
          <w:rFonts w:eastAsia="Times New Roman" w:cs="Times New Roman"/>
          <w:szCs w:val="20"/>
        </w:rPr>
        <w:t xml:space="preserve"> </w:t>
      </w:r>
    </w:p>
    <w:p w:rsidR="00F51E0B" w:rsidRDefault="00F51E0B">
      <w:pPr>
        <w:numPr>
          <w:ilvl w:val="0"/>
          <w:numId w:val="0"/>
        </w:numPr>
        <w:spacing w:before="0" w:after="200" w:line="276" w:lineRule="auto"/>
        <w:rPr>
          <w:rFonts w:eastAsia="Times New Roman" w:cs="Times New Roman"/>
          <w:szCs w:val="20"/>
        </w:rPr>
      </w:pPr>
      <w:r>
        <w:rPr>
          <w:rFonts w:eastAsia="Times New Roman" w:cs="Times New Roman"/>
          <w:szCs w:val="20"/>
        </w:rPr>
        <w:br w:type="page"/>
      </w:r>
    </w:p>
    <w:p w:rsidR="00130F07" w:rsidRPr="002D54B2" w:rsidRDefault="00130F07" w:rsidP="00B27C1A">
      <w:pPr>
        <w:keepNext/>
        <w:numPr>
          <w:ilvl w:val="0"/>
          <w:numId w:val="0"/>
        </w:numPr>
        <w:spacing w:before="0"/>
        <w:jc w:val="center"/>
        <w:rPr>
          <w:rFonts w:eastAsia="Times New Roman" w:cs="Times New Roman"/>
          <w:b/>
          <w:szCs w:val="24"/>
        </w:rPr>
      </w:pPr>
      <w:r w:rsidRPr="002D54B2">
        <w:rPr>
          <w:rFonts w:eastAsia="Times New Roman" w:cs="Times New Roman"/>
          <w:b/>
          <w:szCs w:val="24"/>
        </w:rPr>
        <w:lastRenderedPageBreak/>
        <w:t xml:space="preserve">Table </w:t>
      </w:r>
      <w:r w:rsidRPr="002D54B2">
        <w:rPr>
          <w:rFonts w:eastAsia="Times New Roman" w:cs="Times New Roman"/>
          <w:b/>
          <w:szCs w:val="24"/>
        </w:rPr>
        <w:fldChar w:fldCharType="begin"/>
      </w:r>
      <w:r w:rsidRPr="002D54B2">
        <w:rPr>
          <w:rFonts w:eastAsia="Times New Roman" w:cs="Times New Roman"/>
          <w:b/>
          <w:szCs w:val="24"/>
        </w:rPr>
        <w:instrText xml:space="preserve"> SEQ Table \* ARABIC </w:instrText>
      </w:r>
      <w:r w:rsidRPr="002D54B2">
        <w:rPr>
          <w:rFonts w:eastAsia="Times New Roman" w:cs="Times New Roman"/>
          <w:b/>
          <w:szCs w:val="24"/>
        </w:rPr>
        <w:fldChar w:fldCharType="separate"/>
      </w:r>
      <w:r w:rsidR="001F31A5">
        <w:rPr>
          <w:rFonts w:eastAsia="Times New Roman" w:cs="Times New Roman"/>
          <w:b/>
          <w:noProof/>
          <w:szCs w:val="24"/>
        </w:rPr>
        <w:t>4</w:t>
      </w:r>
      <w:r w:rsidRPr="002D54B2">
        <w:rPr>
          <w:rFonts w:eastAsia="Times New Roman" w:cs="Times New Roman"/>
          <w:b/>
          <w:szCs w:val="24"/>
        </w:rPr>
        <w:fldChar w:fldCharType="end"/>
      </w:r>
      <w:r w:rsidRPr="002D54B2">
        <w:rPr>
          <w:rFonts w:eastAsia="Times New Roman" w:cs="Times New Roman"/>
          <w:b/>
          <w:szCs w:val="24"/>
        </w:rPr>
        <w:t>: Pre</w:t>
      </w:r>
      <w:r w:rsidR="00182AD3" w:rsidRPr="002D54B2">
        <w:rPr>
          <w:rFonts w:eastAsia="Times New Roman" w:cs="Times New Roman"/>
          <w:b/>
          <w:szCs w:val="24"/>
        </w:rPr>
        <w:noBreakHyphen/>
      </w:r>
      <w:r w:rsidRPr="002D54B2">
        <w:rPr>
          <w:rFonts w:eastAsia="Times New Roman" w:cs="Times New Roman"/>
          <w:b/>
          <w:szCs w:val="24"/>
        </w:rPr>
        <w:t>OMS and Post</w:t>
      </w:r>
      <w:r w:rsidR="00182AD3" w:rsidRPr="002D54B2">
        <w:rPr>
          <w:rFonts w:eastAsia="Times New Roman" w:cs="Times New Roman"/>
          <w:b/>
          <w:szCs w:val="24"/>
        </w:rPr>
        <w:noBreakHyphen/>
      </w:r>
      <w:r w:rsidRPr="002D54B2">
        <w:rPr>
          <w:rFonts w:eastAsia="Times New Roman" w:cs="Times New Roman"/>
          <w:b/>
          <w:szCs w:val="24"/>
        </w:rPr>
        <w:t xml:space="preserve">OMS </w:t>
      </w:r>
      <w:r w:rsidR="00271224">
        <w:rPr>
          <w:rFonts w:eastAsia="Times New Roman" w:cs="Times New Roman"/>
          <w:b/>
          <w:szCs w:val="24"/>
        </w:rPr>
        <w:t>O</w:t>
      </w:r>
      <w:r w:rsidR="00B27C1A" w:rsidRPr="002D54B2">
        <w:rPr>
          <w:rFonts w:eastAsia="Times New Roman" w:cs="Times New Roman"/>
          <w:b/>
          <w:szCs w:val="24"/>
        </w:rPr>
        <w:t>utage</w:t>
      </w:r>
      <w:r w:rsidR="00271224">
        <w:rPr>
          <w:rFonts w:eastAsia="Times New Roman" w:cs="Times New Roman"/>
          <w:b/>
          <w:szCs w:val="24"/>
        </w:rPr>
        <w:t>s</w:t>
      </w:r>
      <w:r w:rsidR="00B27C1A" w:rsidRPr="002D54B2">
        <w:rPr>
          <w:rFonts w:eastAsia="Times New Roman" w:cs="Times New Roman"/>
          <w:b/>
          <w:szCs w:val="24"/>
        </w:rPr>
        <w:t xml:space="preserve"> </w:t>
      </w:r>
      <w:r w:rsidR="00271224">
        <w:rPr>
          <w:rFonts w:eastAsia="Times New Roman" w:cs="Times New Roman"/>
          <w:b/>
          <w:szCs w:val="24"/>
        </w:rPr>
        <w:t>Customer Count C</w:t>
      </w:r>
      <w:r w:rsidRPr="002D54B2">
        <w:rPr>
          <w:rFonts w:eastAsia="Times New Roman" w:cs="Times New Roman"/>
          <w:b/>
          <w:szCs w:val="24"/>
        </w:rPr>
        <w:t>omparison</w:t>
      </w:r>
    </w:p>
    <w:tbl>
      <w:tblPr>
        <w:tblStyle w:val="TableGrid"/>
        <w:tblW w:w="0" w:type="auto"/>
        <w:tblLook w:val="04A0" w:firstRow="1" w:lastRow="0" w:firstColumn="1" w:lastColumn="0" w:noHBand="0" w:noVBand="1"/>
      </w:tblPr>
      <w:tblGrid>
        <w:gridCol w:w="1366"/>
        <w:gridCol w:w="1532"/>
        <w:gridCol w:w="1323"/>
        <w:gridCol w:w="1917"/>
        <w:gridCol w:w="3258"/>
      </w:tblGrid>
      <w:tr w:rsidR="007F22D2" w:rsidRPr="007F22D2" w:rsidTr="00A16327">
        <w:tc>
          <w:tcPr>
            <w:tcW w:w="9396" w:type="dxa"/>
            <w:gridSpan w:val="5"/>
          </w:tcPr>
          <w:p w:rsidR="007F22D2" w:rsidRPr="007F22D2" w:rsidRDefault="002E6757" w:rsidP="002E6757">
            <w:pPr>
              <w:numPr>
                <w:ilvl w:val="0"/>
                <w:numId w:val="0"/>
              </w:numPr>
              <w:spacing w:line="240" w:lineRule="auto"/>
              <w:rPr>
                <w:rFonts w:eastAsia="Times New Roman" w:cs="Times New Roman"/>
                <w:szCs w:val="20"/>
              </w:rPr>
            </w:pPr>
            <w:r>
              <w:rPr>
                <w:rFonts w:eastAsia="Times New Roman" w:cs="Times New Roman"/>
                <w:szCs w:val="20"/>
              </w:rPr>
              <w:t>Comparison of No. of Customers Out o</w:t>
            </w:r>
            <w:r w:rsidR="00A16327">
              <w:rPr>
                <w:rFonts w:eastAsia="Times New Roman" w:cs="Times New Roman"/>
                <w:szCs w:val="20"/>
              </w:rPr>
              <w:t>n</w:t>
            </w:r>
            <w:r>
              <w:rPr>
                <w:rFonts w:eastAsia="Times New Roman" w:cs="Times New Roman"/>
                <w:szCs w:val="20"/>
              </w:rPr>
              <w:t xml:space="preserve"> Pre- and Post</w:t>
            </w:r>
            <w:r>
              <w:rPr>
                <w:rFonts w:eastAsia="Times New Roman" w:cs="Times New Roman"/>
                <w:szCs w:val="20"/>
              </w:rPr>
              <w:noBreakHyphen/>
              <w:t>OMS outages that occurred on Circuit No. Birch Bay-15. Protective Device No. 2747</w:t>
            </w:r>
          </w:p>
        </w:tc>
      </w:tr>
      <w:tr w:rsidR="007F22D2" w:rsidRPr="007F22D2" w:rsidTr="00A16327">
        <w:tc>
          <w:tcPr>
            <w:tcW w:w="1366" w:type="dxa"/>
            <w:vAlign w:val="bottom"/>
          </w:tcPr>
          <w:p w:rsidR="007F22D2" w:rsidRPr="001131BC" w:rsidRDefault="007F22D2" w:rsidP="007F22D2">
            <w:pPr>
              <w:numPr>
                <w:ilvl w:val="0"/>
                <w:numId w:val="0"/>
              </w:numPr>
              <w:spacing w:line="240" w:lineRule="auto"/>
              <w:jc w:val="center"/>
              <w:rPr>
                <w:rFonts w:eastAsia="Times New Roman"/>
                <w:b/>
              </w:rPr>
            </w:pPr>
            <w:r w:rsidRPr="001131BC">
              <w:rPr>
                <w:rFonts w:eastAsia="Times New Roman"/>
                <w:b/>
              </w:rPr>
              <w:t>Outage Date</w:t>
            </w:r>
          </w:p>
        </w:tc>
        <w:tc>
          <w:tcPr>
            <w:tcW w:w="1532" w:type="dxa"/>
            <w:vAlign w:val="bottom"/>
          </w:tcPr>
          <w:p w:rsidR="007F22D2" w:rsidRPr="001131BC" w:rsidRDefault="007F22D2" w:rsidP="007F22D2">
            <w:pPr>
              <w:numPr>
                <w:ilvl w:val="0"/>
                <w:numId w:val="0"/>
              </w:numPr>
              <w:spacing w:line="240" w:lineRule="auto"/>
              <w:jc w:val="center"/>
              <w:rPr>
                <w:rFonts w:eastAsia="Times New Roman"/>
                <w:b/>
              </w:rPr>
            </w:pPr>
            <w:r w:rsidRPr="001131BC">
              <w:rPr>
                <w:rFonts w:eastAsia="Times New Roman"/>
                <w:b/>
              </w:rPr>
              <w:t>Outage Notification Number</w:t>
            </w:r>
          </w:p>
        </w:tc>
        <w:tc>
          <w:tcPr>
            <w:tcW w:w="1323" w:type="dxa"/>
            <w:vAlign w:val="bottom"/>
          </w:tcPr>
          <w:p w:rsidR="007F22D2" w:rsidRPr="001131BC" w:rsidRDefault="003F5011" w:rsidP="001A1CE4">
            <w:pPr>
              <w:numPr>
                <w:ilvl w:val="0"/>
                <w:numId w:val="0"/>
              </w:numPr>
              <w:spacing w:line="240" w:lineRule="auto"/>
              <w:jc w:val="center"/>
              <w:rPr>
                <w:rFonts w:eastAsia="Times New Roman"/>
                <w:b/>
              </w:rPr>
            </w:pPr>
            <w:r w:rsidRPr="001131BC">
              <w:rPr>
                <w:rFonts w:eastAsia="Times New Roman"/>
                <w:b/>
              </w:rPr>
              <w:t xml:space="preserve">Customers </w:t>
            </w:r>
            <w:r w:rsidRPr="00EE5EF6">
              <w:rPr>
                <w:rFonts w:eastAsia="Times New Roman"/>
                <w:b/>
              </w:rPr>
              <w:t xml:space="preserve">Out </w:t>
            </w:r>
            <w:r w:rsidR="002E6757" w:rsidRPr="00EE5EF6">
              <w:rPr>
                <w:rFonts w:eastAsia="Times New Roman" w:cs="Times New Roman"/>
                <w:b/>
                <w:szCs w:val="20"/>
              </w:rPr>
              <w:t>of Service</w:t>
            </w:r>
            <w:r w:rsidR="002E6757">
              <w:rPr>
                <w:rFonts w:eastAsia="Times New Roman" w:cs="Times New Roman"/>
                <w:szCs w:val="20"/>
              </w:rPr>
              <w:t xml:space="preserve"> </w:t>
            </w:r>
            <w:r w:rsidRPr="001131BC">
              <w:rPr>
                <w:rFonts w:eastAsia="Times New Roman"/>
                <w:b/>
              </w:rPr>
              <w:t xml:space="preserve">Reported </w:t>
            </w:r>
          </w:p>
        </w:tc>
        <w:tc>
          <w:tcPr>
            <w:tcW w:w="1917" w:type="dxa"/>
            <w:vAlign w:val="bottom"/>
          </w:tcPr>
          <w:p w:rsidR="007F22D2" w:rsidRPr="001131BC" w:rsidRDefault="003F5011" w:rsidP="002E6757">
            <w:pPr>
              <w:numPr>
                <w:ilvl w:val="0"/>
                <w:numId w:val="0"/>
              </w:numPr>
              <w:spacing w:line="240" w:lineRule="auto"/>
              <w:jc w:val="center"/>
              <w:rPr>
                <w:rFonts w:eastAsia="Times New Roman"/>
                <w:b/>
              </w:rPr>
            </w:pPr>
            <w:r w:rsidRPr="001131BC">
              <w:rPr>
                <w:rFonts w:eastAsia="Times New Roman"/>
                <w:b/>
              </w:rPr>
              <w:t>Number of Customers Out that should have been reported*</w:t>
            </w:r>
          </w:p>
        </w:tc>
        <w:tc>
          <w:tcPr>
            <w:tcW w:w="3258" w:type="dxa"/>
            <w:vAlign w:val="bottom"/>
          </w:tcPr>
          <w:p w:rsidR="007F22D2" w:rsidRPr="001131BC" w:rsidRDefault="003F5011" w:rsidP="007F22D2">
            <w:pPr>
              <w:numPr>
                <w:ilvl w:val="0"/>
                <w:numId w:val="0"/>
              </w:numPr>
              <w:spacing w:line="240" w:lineRule="auto"/>
              <w:jc w:val="center"/>
              <w:rPr>
                <w:rFonts w:eastAsia="Times New Roman"/>
                <w:b/>
              </w:rPr>
            </w:pPr>
            <w:r w:rsidRPr="001131BC">
              <w:rPr>
                <w:rFonts w:eastAsia="Times New Roman"/>
                <w:b/>
              </w:rPr>
              <w:t>Customer Count Comments</w:t>
            </w:r>
          </w:p>
        </w:tc>
      </w:tr>
      <w:tr w:rsidR="007F22D2" w:rsidRPr="007F22D2" w:rsidTr="00A16327">
        <w:tc>
          <w:tcPr>
            <w:tcW w:w="1366" w:type="dxa"/>
          </w:tcPr>
          <w:p w:rsidR="007F22D2" w:rsidRPr="007F22D2" w:rsidRDefault="003F5011" w:rsidP="007F22D2">
            <w:pPr>
              <w:numPr>
                <w:ilvl w:val="0"/>
                <w:numId w:val="0"/>
              </w:numPr>
              <w:spacing w:line="240" w:lineRule="auto"/>
              <w:jc w:val="center"/>
              <w:rPr>
                <w:rFonts w:eastAsia="Times New Roman" w:cs="Times New Roman"/>
                <w:szCs w:val="20"/>
              </w:rPr>
            </w:pPr>
            <w:r>
              <w:rPr>
                <w:rFonts w:eastAsia="Times New Roman" w:cs="Times New Roman"/>
                <w:szCs w:val="20"/>
              </w:rPr>
              <w:t>11/13/2010</w:t>
            </w:r>
          </w:p>
        </w:tc>
        <w:tc>
          <w:tcPr>
            <w:tcW w:w="1532" w:type="dxa"/>
          </w:tcPr>
          <w:p w:rsidR="007F22D2" w:rsidRPr="007F22D2" w:rsidRDefault="003F5011" w:rsidP="007F22D2">
            <w:pPr>
              <w:numPr>
                <w:ilvl w:val="0"/>
                <w:numId w:val="0"/>
              </w:numPr>
              <w:spacing w:line="240" w:lineRule="auto"/>
              <w:jc w:val="center"/>
              <w:rPr>
                <w:rFonts w:eastAsia="Times New Roman" w:cs="Times New Roman"/>
                <w:szCs w:val="20"/>
              </w:rPr>
            </w:pPr>
            <w:r>
              <w:rPr>
                <w:rFonts w:eastAsia="Times New Roman" w:cs="Times New Roman"/>
                <w:szCs w:val="20"/>
              </w:rPr>
              <w:t>E357291476</w:t>
            </w:r>
          </w:p>
        </w:tc>
        <w:tc>
          <w:tcPr>
            <w:tcW w:w="1323" w:type="dxa"/>
          </w:tcPr>
          <w:p w:rsidR="007F22D2" w:rsidRPr="007F22D2" w:rsidRDefault="003F5011" w:rsidP="007F22D2">
            <w:pPr>
              <w:numPr>
                <w:ilvl w:val="0"/>
                <w:numId w:val="0"/>
              </w:numPr>
              <w:spacing w:line="240" w:lineRule="auto"/>
              <w:jc w:val="center"/>
              <w:rPr>
                <w:rFonts w:eastAsia="Times New Roman" w:cs="Times New Roman"/>
                <w:szCs w:val="20"/>
              </w:rPr>
            </w:pPr>
            <w:r>
              <w:rPr>
                <w:rFonts w:eastAsia="Times New Roman" w:cs="Times New Roman"/>
                <w:szCs w:val="20"/>
              </w:rPr>
              <w:t>5</w:t>
            </w:r>
          </w:p>
        </w:tc>
        <w:tc>
          <w:tcPr>
            <w:tcW w:w="1917" w:type="dxa"/>
          </w:tcPr>
          <w:p w:rsidR="007F22D2" w:rsidRPr="007F22D2" w:rsidRDefault="003F5011" w:rsidP="007F22D2">
            <w:pPr>
              <w:numPr>
                <w:ilvl w:val="0"/>
                <w:numId w:val="0"/>
              </w:numPr>
              <w:spacing w:line="240" w:lineRule="auto"/>
              <w:jc w:val="center"/>
              <w:rPr>
                <w:rFonts w:eastAsia="Times New Roman" w:cs="Times New Roman"/>
                <w:szCs w:val="20"/>
              </w:rPr>
            </w:pPr>
            <w:r>
              <w:rPr>
                <w:rFonts w:eastAsia="Times New Roman" w:cs="Times New Roman"/>
                <w:szCs w:val="20"/>
              </w:rPr>
              <w:t>255</w:t>
            </w:r>
          </w:p>
        </w:tc>
        <w:tc>
          <w:tcPr>
            <w:tcW w:w="3258" w:type="dxa"/>
          </w:tcPr>
          <w:p w:rsidR="007F22D2" w:rsidRPr="007F22D2" w:rsidRDefault="002E6757" w:rsidP="002E6757">
            <w:pPr>
              <w:numPr>
                <w:ilvl w:val="0"/>
                <w:numId w:val="0"/>
              </w:numPr>
              <w:spacing w:line="240" w:lineRule="auto"/>
              <w:rPr>
                <w:rFonts w:eastAsia="Times New Roman" w:cs="Times New Roman"/>
                <w:szCs w:val="20"/>
              </w:rPr>
            </w:pPr>
            <w:r>
              <w:rPr>
                <w:rFonts w:eastAsia="Times New Roman" w:cs="Times New Roman"/>
                <w:szCs w:val="20"/>
              </w:rPr>
              <w:t xml:space="preserve">Initially, only </w:t>
            </w:r>
            <w:r w:rsidR="003F5011" w:rsidRPr="003F5011">
              <w:rPr>
                <w:rFonts w:eastAsia="Times New Roman" w:cs="Times New Roman"/>
                <w:szCs w:val="20"/>
              </w:rPr>
              <w:t>B</w:t>
            </w:r>
            <w:r>
              <w:rPr>
                <w:rFonts w:eastAsia="Times New Roman" w:cs="Times New Roman"/>
                <w:szCs w:val="20"/>
                <w:vertAlign w:val="superscript"/>
              </w:rPr>
              <w:t>-</w:t>
            </w:r>
            <w:r w:rsidR="003F5011" w:rsidRPr="003F5011">
              <w:rPr>
                <w:rFonts w:eastAsia="Times New Roman" w:cs="Times New Roman"/>
                <w:szCs w:val="20"/>
              </w:rPr>
              <w:t xml:space="preserve">phase opened. </w:t>
            </w:r>
            <w:r>
              <w:rPr>
                <w:rFonts w:eastAsia="Times New Roman" w:cs="Times New Roman"/>
                <w:szCs w:val="20"/>
              </w:rPr>
              <w:t xml:space="preserve"> </w:t>
            </w:r>
            <w:r w:rsidR="003F5011" w:rsidRPr="003F5011">
              <w:rPr>
                <w:rFonts w:eastAsia="Times New Roman" w:cs="Times New Roman"/>
                <w:szCs w:val="20"/>
              </w:rPr>
              <w:t>Crew opened the other 2 phases in order to repair damage.</w:t>
            </w:r>
          </w:p>
        </w:tc>
      </w:tr>
      <w:tr w:rsidR="007F22D2" w:rsidRPr="007F22D2" w:rsidTr="00A16327">
        <w:tc>
          <w:tcPr>
            <w:tcW w:w="1366" w:type="dxa"/>
          </w:tcPr>
          <w:p w:rsidR="007F22D2" w:rsidRPr="007F22D2" w:rsidRDefault="003F5011" w:rsidP="007F22D2">
            <w:pPr>
              <w:numPr>
                <w:ilvl w:val="0"/>
                <w:numId w:val="0"/>
              </w:numPr>
              <w:spacing w:line="240" w:lineRule="auto"/>
              <w:jc w:val="center"/>
              <w:rPr>
                <w:rFonts w:eastAsia="Times New Roman" w:cs="Times New Roman"/>
                <w:szCs w:val="20"/>
              </w:rPr>
            </w:pPr>
            <w:r>
              <w:rPr>
                <w:rFonts w:eastAsia="Times New Roman" w:cs="Times New Roman"/>
                <w:szCs w:val="20"/>
              </w:rPr>
              <w:t>4/2/2015</w:t>
            </w:r>
          </w:p>
        </w:tc>
        <w:tc>
          <w:tcPr>
            <w:tcW w:w="1532" w:type="dxa"/>
          </w:tcPr>
          <w:p w:rsidR="007F22D2" w:rsidRPr="007F22D2" w:rsidRDefault="003F5011" w:rsidP="007F22D2">
            <w:pPr>
              <w:numPr>
                <w:ilvl w:val="0"/>
                <w:numId w:val="0"/>
              </w:numPr>
              <w:spacing w:line="240" w:lineRule="auto"/>
              <w:jc w:val="center"/>
              <w:rPr>
                <w:rFonts w:eastAsia="Times New Roman" w:cs="Times New Roman"/>
                <w:szCs w:val="20"/>
              </w:rPr>
            </w:pPr>
            <w:r>
              <w:rPr>
                <w:rFonts w:eastAsia="Times New Roman" w:cs="Times New Roman"/>
                <w:szCs w:val="20"/>
              </w:rPr>
              <w:t>P00178360-1</w:t>
            </w:r>
          </w:p>
        </w:tc>
        <w:tc>
          <w:tcPr>
            <w:tcW w:w="1323" w:type="dxa"/>
          </w:tcPr>
          <w:p w:rsidR="007F22D2" w:rsidRPr="007F22D2" w:rsidRDefault="003F5011" w:rsidP="007F22D2">
            <w:pPr>
              <w:numPr>
                <w:ilvl w:val="0"/>
                <w:numId w:val="0"/>
              </w:numPr>
              <w:spacing w:line="240" w:lineRule="auto"/>
              <w:jc w:val="center"/>
              <w:rPr>
                <w:rFonts w:eastAsia="Times New Roman" w:cs="Times New Roman"/>
                <w:szCs w:val="20"/>
              </w:rPr>
            </w:pPr>
            <w:r>
              <w:rPr>
                <w:rFonts w:eastAsia="Times New Roman" w:cs="Times New Roman"/>
                <w:szCs w:val="20"/>
              </w:rPr>
              <w:t>158</w:t>
            </w:r>
          </w:p>
        </w:tc>
        <w:tc>
          <w:tcPr>
            <w:tcW w:w="1917" w:type="dxa"/>
          </w:tcPr>
          <w:p w:rsidR="007F22D2" w:rsidRPr="007F22D2" w:rsidRDefault="003F5011" w:rsidP="007F22D2">
            <w:pPr>
              <w:numPr>
                <w:ilvl w:val="0"/>
                <w:numId w:val="0"/>
              </w:numPr>
              <w:spacing w:line="240" w:lineRule="auto"/>
              <w:jc w:val="center"/>
              <w:rPr>
                <w:rFonts w:eastAsia="Times New Roman" w:cs="Times New Roman"/>
                <w:szCs w:val="20"/>
              </w:rPr>
            </w:pPr>
            <w:r>
              <w:rPr>
                <w:rFonts w:eastAsia="Times New Roman" w:cs="Times New Roman"/>
                <w:szCs w:val="20"/>
              </w:rPr>
              <w:t>158</w:t>
            </w:r>
          </w:p>
        </w:tc>
        <w:tc>
          <w:tcPr>
            <w:tcW w:w="3258" w:type="dxa"/>
          </w:tcPr>
          <w:p w:rsidR="007F22D2" w:rsidRPr="007F22D2" w:rsidRDefault="003F5011" w:rsidP="002E6757">
            <w:pPr>
              <w:numPr>
                <w:ilvl w:val="0"/>
                <w:numId w:val="0"/>
              </w:numPr>
              <w:spacing w:line="240" w:lineRule="auto"/>
              <w:rPr>
                <w:rFonts w:eastAsia="Times New Roman" w:cs="Times New Roman"/>
                <w:szCs w:val="20"/>
              </w:rPr>
            </w:pPr>
            <w:r w:rsidRPr="003F5011">
              <w:rPr>
                <w:rFonts w:eastAsia="Times New Roman" w:cs="Times New Roman"/>
                <w:szCs w:val="20"/>
              </w:rPr>
              <w:t>B-phase was the only phase that opened.</w:t>
            </w:r>
          </w:p>
        </w:tc>
      </w:tr>
      <w:tr w:rsidR="003F5011" w:rsidRPr="007F22D2" w:rsidTr="00A16327">
        <w:tc>
          <w:tcPr>
            <w:tcW w:w="9396" w:type="dxa"/>
            <w:gridSpan w:val="5"/>
          </w:tcPr>
          <w:p w:rsidR="003F5011" w:rsidRPr="007F22D2" w:rsidRDefault="003F5011" w:rsidP="003F5011">
            <w:pPr>
              <w:numPr>
                <w:ilvl w:val="0"/>
                <w:numId w:val="0"/>
              </w:numPr>
              <w:spacing w:line="240" w:lineRule="auto"/>
              <w:rPr>
                <w:rFonts w:eastAsia="Times New Roman" w:cs="Times New Roman"/>
                <w:szCs w:val="20"/>
              </w:rPr>
            </w:pPr>
            <w:r w:rsidRPr="003F5011">
              <w:rPr>
                <w:rFonts w:eastAsia="Times New Roman" w:cs="Times New Roman"/>
                <w:szCs w:val="20"/>
              </w:rPr>
              <w:t xml:space="preserve">* </w:t>
            </w:r>
            <w:r w:rsidR="00CD5ED2">
              <w:rPr>
                <w:rFonts w:eastAsia="Times New Roman" w:cs="Times New Roman"/>
                <w:szCs w:val="20"/>
              </w:rPr>
              <w:t>Customer count</w:t>
            </w:r>
            <w:r w:rsidRPr="003F5011">
              <w:rPr>
                <w:rFonts w:eastAsia="Times New Roman" w:cs="Times New Roman"/>
                <w:szCs w:val="20"/>
              </w:rPr>
              <w:t xml:space="preserve">s </w:t>
            </w:r>
            <w:r w:rsidR="006A2744">
              <w:rPr>
                <w:rFonts w:eastAsia="Times New Roman" w:cs="Times New Roman"/>
                <w:szCs w:val="20"/>
              </w:rPr>
              <w:t>from</w:t>
            </w:r>
            <w:r w:rsidRPr="003F5011">
              <w:rPr>
                <w:rFonts w:eastAsia="Times New Roman" w:cs="Times New Roman"/>
                <w:szCs w:val="20"/>
              </w:rPr>
              <w:t xml:space="preserve"> 2015. PSE does not have historical </w:t>
            </w:r>
            <w:r w:rsidR="00CD5ED2">
              <w:rPr>
                <w:rFonts w:eastAsia="Times New Roman" w:cs="Times New Roman"/>
                <w:szCs w:val="20"/>
              </w:rPr>
              <w:t>customer</w:t>
            </w:r>
            <w:r w:rsidRPr="003F5011">
              <w:rPr>
                <w:rFonts w:eastAsia="Times New Roman" w:cs="Times New Roman"/>
                <w:szCs w:val="20"/>
              </w:rPr>
              <w:t xml:space="preserve"> counts available</w:t>
            </w:r>
            <w:r w:rsidR="006A2744">
              <w:rPr>
                <w:rFonts w:eastAsia="Times New Roman" w:cs="Times New Roman"/>
                <w:szCs w:val="20"/>
              </w:rPr>
              <w:t>.</w:t>
            </w:r>
          </w:p>
        </w:tc>
      </w:tr>
    </w:tbl>
    <w:p w:rsidR="00130F07" w:rsidRPr="00D82383" w:rsidRDefault="00130F07" w:rsidP="006E6D6E">
      <w:pPr>
        <w:ind w:left="0" w:firstLine="720"/>
        <w:rPr>
          <w:rFonts w:eastAsia="Times New Roman" w:cs="Times New Roman"/>
          <w:szCs w:val="20"/>
        </w:rPr>
      </w:pPr>
      <w:r w:rsidRPr="00D82383">
        <w:rPr>
          <w:rFonts w:eastAsia="Times New Roman" w:cs="Times New Roman"/>
          <w:szCs w:val="20"/>
        </w:rPr>
        <w:t>This granularity, while useful, was a very time-intensive</w:t>
      </w:r>
      <w:r w:rsidR="002113ED">
        <w:rPr>
          <w:rFonts w:eastAsia="Times New Roman" w:cs="Times New Roman"/>
          <w:szCs w:val="20"/>
        </w:rPr>
        <w:t>,</w:t>
      </w:r>
      <w:r w:rsidRPr="00D82383">
        <w:rPr>
          <w:rFonts w:eastAsia="Times New Roman" w:cs="Times New Roman"/>
          <w:szCs w:val="20"/>
        </w:rPr>
        <w:t xml:space="preserve"> manual process for PSE to conduct for a single outage,</w:t>
      </w:r>
      <w:r w:rsidRPr="00D82383" w:rsidDel="00D4027D">
        <w:rPr>
          <w:rFonts w:eastAsia="Times New Roman" w:cs="Times New Roman"/>
          <w:szCs w:val="20"/>
        </w:rPr>
        <w:t xml:space="preserve"> and</w:t>
      </w:r>
      <w:r w:rsidRPr="00D82383">
        <w:rPr>
          <w:rFonts w:eastAsia="Times New Roman" w:cs="Times New Roman"/>
          <w:szCs w:val="20"/>
        </w:rPr>
        <w:t xml:space="preserve"> therefore it is not practicable to expand the effort to review pre</w:t>
      </w:r>
      <w:r w:rsidR="00182AD3" w:rsidRPr="00D82383">
        <w:rPr>
          <w:rFonts w:eastAsia="Times New Roman" w:cs="Times New Roman"/>
          <w:szCs w:val="20"/>
        </w:rPr>
        <w:noBreakHyphen/>
      </w:r>
      <w:r w:rsidRPr="00D82383">
        <w:rPr>
          <w:rFonts w:eastAsia="Times New Roman" w:cs="Times New Roman"/>
          <w:szCs w:val="20"/>
        </w:rPr>
        <w:t xml:space="preserve">OMS outages and determine the step change with the OMS implementation.  </w:t>
      </w:r>
      <w:r w:rsidR="00D4027D" w:rsidRPr="00D82383">
        <w:rPr>
          <w:rFonts w:eastAsia="Times New Roman" w:cs="Times New Roman"/>
          <w:szCs w:val="20"/>
        </w:rPr>
        <w:t>A broad c</w:t>
      </w:r>
      <w:r w:rsidRPr="00D82383">
        <w:rPr>
          <w:rFonts w:eastAsia="Times New Roman" w:cs="Times New Roman"/>
          <w:szCs w:val="20"/>
        </w:rPr>
        <w:t xml:space="preserve">alculation of the step change in this manner is </w:t>
      </w:r>
      <w:r w:rsidR="00D4027D" w:rsidRPr="00D82383">
        <w:rPr>
          <w:rFonts w:eastAsia="Times New Roman" w:cs="Times New Roman"/>
          <w:szCs w:val="20"/>
        </w:rPr>
        <w:t xml:space="preserve">not </w:t>
      </w:r>
      <w:r w:rsidRPr="00D82383">
        <w:rPr>
          <w:rFonts w:eastAsia="Times New Roman" w:cs="Times New Roman"/>
          <w:szCs w:val="20"/>
        </w:rPr>
        <w:t xml:space="preserve">feasible, as </w:t>
      </w:r>
      <w:r w:rsidR="0096699B">
        <w:rPr>
          <w:rFonts w:eastAsia="Times New Roman" w:cs="Times New Roman"/>
          <w:szCs w:val="20"/>
        </w:rPr>
        <w:t xml:space="preserve">some </w:t>
      </w:r>
      <w:r w:rsidRPr="00D82383">
        <w:rPr>
          <w:rFonts w:eastAsia="Times New Roman" w:cs="Times New Roman"/>
          <w:szCs w:val="20"/>
        </w:rPr>
        <w:t xml:space="preserve">data elements </w:t>
      </w:r>
      <w:r w:rsidR="002113ED">
        <w:rPr>
          <w:rFonts w:eastAsia="Times New Roman" w:cs="Times New Roman"/>
          <w:szCs w:val="20"/>
        </w:rPr>
        <w:t>required for</w:t>
      </w:r>
      <w:r w:rsidR="00264EAA">
        <w:rPr>
          <w:rFonts w:eastAsia="Times New Roman" w:cs="Times New Roman"/>
          <w:szCs w:val="20"/>
        </w:rPr>
        <w:t xml:space="preserve"> the analysis </w:t>
      </w:r>
      <w:r w:rsidR="00693C5A">
        <w:rPr>
          <w:rFonts w:eastAsia="Times New Roman" w:cs="Times New Roman"/>
          <w:szCs w:val="20"/>
        </w:rPr>
        <w:t>are</w:t>
      </w:r>
      <w:r w:rsidR="00264EAA">
        <w:rPr>
          <w:rFonts w:eastAsia="Times New Roman" w:cs="Times New Roman"/>
          <w:szCs w:val="20"/>
        </w:rPr>
        <w:t xml:space="preserve"> not readily available.</w:t>
      </w:r>
      <w:r w:rsidR="0096699B">
        <w:rPr>
          <w:rFonts w:eastAsia="Times New Roman" w:cs="Times New Roman"/>
          <w:szCs w:val="20"/>
        </w:rPr>
        <w:t xml:space="preserve"> </w:t>
      </w:r>
      <w:r w:rsidR="00264EAA">
        <w:rPr>
          <w:rFonts w:eastAsia="Times New Roman" w:cs="Times New Roman"/>
          <w:szCs w:val="20"/>
        </w:rPr>
        <w:t xml:space="preserve"> </w:t>
      </w:r>
      <w:r w:rsidR="00FA5297">
        <w:rPr>
          <w:rFonts w:eastAsia="Times New Roman" w:cs="Times New Roman"/>
          <w:szCs w:val="20"/>
        </w:rPr>
        <w:t>Information</w:t>
      </w:r>
      <w:r w:rsidR="00693C5A">
        <w:rPr>
          <w:rFonts w:eastAsia="Times New Roman" w:cs="Times New Roman"/>
          <w:szCs w:val="20"/>
        </w:rPr>
        <w:t>,</w:t>
      </w:r>
      <w:r w:rsidR="00FA5297">
        <w:rPr>
          <w:rFonts w:eastAsia="Times New Roman" w:cs="Times New Roman"/>
          <w:szCs w:val="20"/>
        </w:rPr>
        <w:t xml:space="preserve"> such as </w:t>
      </w:r>
      <w:r w:rsidR="00693C5A">
        <w:rPr>
          <w:rFonts w:eastAsia="Times New Roman" w:cs="Times New Roman"/>
          <w:szCs w:val="20"/>
        </w:rPr>
        <w:t xml:space="preserve">the </w:t>
      </w:r>
      <w:r w:rsidR="00FA5297">
        <w:rPr>
          <w:rFonts w:eastAsia="Times New Roman" w:cs="Times New Roman"/>
          <w:szCs w:val="20"/>
        </w:rPr>
        <w:t>p</w:t>
      </w:r>
      <w:r w:rsidR="00264EAA">
        <w:rPr>
          <w:rFonts w:eastAsia="Times New Roman" w:cs="Times New Roman"/>
          <w:szCs w:val="20"/>
        </w:rPr>
        <w:t>rotective device number</w:t>
      </w:r>
      <w:r w:rsidR="00693C5A">
        <w:rPr>
          <w:rFonts w:eastAsia="Times New Roman" w:cs="Times New Roman"/>
          <w:szCs w:val="20"/>
        </w:rPr>
        <w:t>,</w:t>
      </w:r>
      <w:r w:rsidR="00264EAA">
        <w:rPr>
          <w:rFonts w:eastAsia="Times New Roman" w:cs="Times New Roman"/>
          <w:szCs w:val="20"/>
        </w:rPr>
        <w:t xml:space="preserve"> </w:t>
      </w:r>
      <w:r w:rsidR="00693C5A">
        <w:rPr>
          <w:rFonts w:eastAsia="Times New Roman" w:cs="Times New Roman"/>
          <w:szCs w:val="20"/>
        </w:rPr>
        <w:t>was</w:t>
      </w:r>
      <w:r w:rsidRPr="00D82383">
        <w:rPr>
          <w:rFonts w:eastAsia="Times New Roman" w:cs="Times New Roman"/>
          <w:szCs w:val="20"/>
        </w:rPr>
        <w:t xml:space="preserve"> not consistently noted </w:t>
      </w:r>
      <w:r w:rsidR="00264EAA" w:rsidRPr="00D82383">
        <w:rPr>
          <w:rFonts w:eastAsia="Times New Roman" w:cs="Times New Roman"/>
          <w:szCs w:val="20"/>
        </w:rPr>
        <w:t xml:space="preserve">on the </w:t>
      </w:r>
      <w:r w:rsidR="00264EAA">
        <w:rPr>
          <w:rFonts w:eastAsia="Times New Roman" w:cs="Times New Roman"/>
          <w:szCs w:val="20"/>
        </w:rPr>
        <w:t xml:space="preserve">pre-OMS </w:t>
      </w:r>
      <w:r w:rsidR="00264EAA" w:rsidRPr="00D82383">
        <w:rPr>
          <w:rFonts w:eastAsia="Times New Roman" w:cs="Times New Roman"/>
          <w:szCs w:val="20"/>
        </w:rPr>
        <w:t>outage notification</w:t>
      </w:r>
      <w:r w:rsidR="00264EAA">
        <w:rPr>
          <w:rFonts w:eastAsia="Times New Roman" w:cs="Times New Roman"/>
          <w:szCs w:val="20"/>
        </w:rPr>
        <w:t>s</w:t>
      </w:r>
      <w:r w:rsidRPr="00D82383">
        <w:rPr>
          <w:rFonts w:eastAsia="Times New Roman" w:cs="Times New Roman"/>
          <w:szCs w:val="20"/>
        </w:rPr>
        <w:t>.  In addition, PSE does not have historical circuit maps consistently available to verify the circuit configuration at the time of the outage</w:t>
      </w:r>
      <w:r w:rsidR="001131BC">
        <w:rPr>
          <w:rFonts w:eastAsia="Times New Roman" w:cs="Times New Roman"/>
          <w:szCs w:val="20"/>
        </w:rPr>
        <w:t>,</w:t>
      </w:r>
      <w:r w:rsidRPr="00D82383">
        <w:rPr>
          <w:rFonts w:eastAsia="Times New Roman" w:cs="Times New Roman"/>
          <w:szCs w:val="20"/>
        </w:rPr>
        <w:t xml:space="preserve"> nor is the history of the number of customers on the circuit consistently available under the pre</w:t>
      </w:r>
      <w:r w:rsidR="00182AD3" w:rsidRPr="00D82383">
        <w:rPr>
          <w:rFonts w:eastAsia="Times New Roman" w:cs="Times New Roman"/>
          <w:szCs w:val="20"/>
        </w:rPr>
        <w:noBreakHyphen/>
      </w:r>
      <w:r w:rsidRPr="00D82383">
        <w:rPr>
          <w:rFonts w:eastAsia="Times New Roman" w:cs="Times New Roman"/>
          <w:szCs w:val="20"/>
        </w:rPr>
        <w:t xml:space="preserve">OMS system. </w:t>
      </w:r>
    </w:p>
    <w:p w:rsidR="00D4027D" w:rsidRDefault="008662C9" w:rsidP="002D54B2">
      <w:pPr>
        <w:keepNext/>
        <w:keepLines/>
        <w:numPr>
          <w:ilvl w:val="0"/>
          <w:numId w:val="0"/>
        </w:numPr>
        <w:tabs>
          <w:tab w:val="left" w:pos="720"/>
        </w:tabs>
        <w:spacing w:before="0" w:after="240" w:line="240" w:lineRule="auto"/>
        <w:outlineLvl w:val="1"/>
        <w:rPr>
          <w:rFonts w:ascii="Times New Roman Bold" w:eastAsia="Times New Roman" w:hAnsi="Times New Roman Bold" w:cs="Arial"/>
          <w:b/>
          <w:bCs/>
          <w:iCs/>
          <w:szCs w:val="28"/>
        </w:rPr>
      </w:pPr>
      <w:r>
        <w:rPr>
          <w:rFonts w:ascii="Times New Roman Bold" w:eastAsia="Times New Roman" w:hAnsi="Times New Roman Bold" w:cs="Arial"/>
          <w:b/>
          <w:bCs/>
          <w:iCs/>
          <w:szCs w:val="28"/>
        </w:rPr>
        <w:t>C</w:t>
      </w:r>
      <w:r w:rsidR="00130F07" w:rsidRPr="00130F07">
        <w:rPr>
          <w:rFonts w:ascii="Times New Roman Bold" w:eastAsia="Times New Roman" w:hAnsi="Times New Roman Bold" w:cs="Arial"/>
          <w:b/>
          <w:bCs/>
          <w:iCs/>
          <w:szCs w:val="28"/>
        </w:rPr>
        <w:t>.</w:t>
      </w:r>
      <w:r w:rsidR="00130F07" w:rsidRPr="00130F07">
        <w:rPr>
          <w:rFonts w:ascii="Times New Roman Bold" w:eastAsia="Times New Roman" w:hAnsi="Times New Roman Bold" w:cs="Arial"/>
          <w:b/>
          <w:bCs/>
          <w:iCs/>
          <w:szCs w:val="28"/>
        </w:rPr>
        <w:tab/>
      </w:r>
      <w:r w:rsidR="00D4027D">
        <w:rPr>
          <w:rFonts w:ascii="Times New Roman Bold" w:eastAsia="Times New Roman" w:hAnsi="Times New Roman Bold" w:cs="Arial"/>
          <w:b/>
          <w:bCs/>
          <w:iCs/>
          <w:szCs w:val="28"/>
        </w:rPr>
        <w:t>Analysis of PSE’s Pre- and Post</w:t>
      </w:r>
      <w:r w:rsidR="00D4027D">
        <w:rPr>
          <w:rFonts w:ascii="Times New Roman Bold" w:eastAsia="Times New Roman" w:hAnsi="Times New Roman Bold" w:cs="Arial"/>
          <w:b/>
          <w:bCs/>
          <w:iCs/>
          <w:szCs w:val="28"/>
        </w:rPr>
        <w:noBreakHyphen/>
        <w:t>OMS SAIDI Results</w:t>
      </w:r>
    </w:p>
    <w:p w:rsidR="00130F07" w:rsidRDefault="00130F07" w:rsidP="00D82383">
      <w:pPr>
        <w:spacing w:before="0"/>
        <w:ind w:left="0" w:firstLine="720"/>
        <w:rPr>
          <w:rFonts w:eastAsia="Times New Roman" w:cs="Times New Roman"/>
          <w:szCs w:val="20"/>
        </w:rPr>
      </w:pPr>
      <w:r w:rsidRPr="00130F07">
        <w:rPr>
          <w:rFonts w:eastAsia="Times New Roman" w:cs="Times New Roman"/>
          <w:szCs w:val="20"/>
        </w:rPr>
        <w:t>PSE used two methods to analyze the differences between the pre</w:t>
      </w:r>
      <w:r w:rsidR="00182AD3">
        <w:rPr>
          <w:rFonts w:eastAsia="Times New Roman" w:cs="Times New Roman"/>
          <w:szCs w:val="20"/>
        </w:rPr>
        <w:noBreakHyphen/>
      </w:r>
      <w:r w:rsidRPr="00130F07">
        <w:rPr>
          <w:rFonts w:eastAsia="Times New Roman" w:cs="Times New Roman"/>
          <w:szCs w:val="20"/>
        </w:rPr>
        <w:t>OMS results and the post</w:t>
      </w:r>
      <w:r w:rsidR="00182AD3">
        <w:rPr>
          <w:rFonts w:eastAsia="Times New Roman" w:cs="Times New Roman"/>
          <w:szCs w:val="20"/>
        </w:rPr>
        <w:noBreakHyphen/>
      </w:r>
      <w:r w:rsidRPr="00130F07">
        <w:rPr>
          <w:rFonts w:eastAsia="Times New Roman" w:cs="Times New Roman"/>
          <w:szCs w:val="20"/>
        </w:rPr>
        <w:t xml:space="preserve">OMS results, both consistent with IEEE methodology.  The results of these methods fell within the range of increase seen elsewhere due to OMS implementation. The first method is </w:t>
      </w:r>
      <w:r w:rsidRPr="00130F07">
        <w:rPr>
          <w:rFonts w:eastAsia="Times New Roman" w:cs="Times New Roman"/>
          <w:szCs w:val="20"/>
        </w:rPr>
        <w:lastRenderedPageBreak/>
        <w:t>based on IEEE’s Standard 1782 concerning interruption events.</w:t>
      </w:r>
      <w:r w:rsidR="00ED755C">
        <w:rPr>
          <w:rFonts w:eastAsia="Times New Roman" w:cs="Times New Roman"/>
          <w:szCs w:val="20"/>
        </w:rPr>
        <w:t xml:space="preserve">  The second methodology, the 1.75 Beta Method, is a methodology focus</w:t>
      </w:r>
      <w:r w:rsidR="001F536A">
        <w:rPr>
          <w:rFonts w:eastAsia="Times New Roman" w:cs="Times New Roman"/>
          <w:szCs w:val="20"/>
        </w:rPr>
        <w:t>ing</w:t>
      </w:r>
      <w:r w:rsidR="00ED755C">
        <w:rPr>
          <w:rFonts w:eastAsia="Times New Roman" w:cs="Times New Roman"/>
          <w:szCs w:val="20"/>
        </w:rPr>
        <w:t xml:space="preserve"> on blue</w:t>
      </w:r>
      <w:r w:rsidR="00ED755C">
        <w:rPr>
          <w:rFonts w:eastAsia="Times New Roman" w:cs="Times New Roman"/>
          <w:szCs w:val="20"/>
        </w:rPr>
        <w:noBreakHyphen/>
        <w:t>sky type of events that has been discussed by IEEE members through the Distribution Reliability Working Group.</w:t>
      </w:r>
    </w:p>
    <w:p w:rsidR="00D4027D" w:rsidRPr="00ED755C" w:rsidRDefault="00D4027D" w:rsidP="006E6D6E">
      <w:pPr>
        <w:pStyle w:val="Heading3"/>
        <w:numPr>
          <w:ilvl w:val="2"/>
          <w:numId w:val="18"/>
        </w:numPr>
        <w:ind w:hanging="720"/>
        <w:rPr>
          <w:rFonts w:ascii="Times New Roman" w:eastAsia="Times New Roman" w:hAnsi="Times New Roman" w:cs="Times New Roman"/>
          <w:color w:val="auto"/>
        </w:rPr>
      </w:pPr>
      <w:r w:rsidRPr="00ED755C">
        <w:rPr>
          <w:rFonts w:ascii="Times New Roman" w:eastAsia="Times New Roman" w:hAnsi="Times New Roman" w:cs="Times New Roman"/>
          <w:color w:val="auto"/>
        </w:rPr>
        <w:t>IEEE Standard 1782</w:t>
      </w:r>
    </w:p>
    <w:p w:rsidR="00130F07" w:rsidRPr="00130F07" w:rsidRDefault="00130F07" w:rsidP="00D82383">
      <w:pPr>
        <w:spacing w:before="0"/>
        <w:ind w:left="0" w:firstLine="720"/>
        <w:rPr>
          <w:rFonts w:eastAsia="Times New Roman" w:cs="Times New Roman"/>
          <w:szCs w:val="20"/>
        </w:rPr>
      </w:pPr>
      <w:r w:rsidRPr="00130F07">
        <w:rPr>
          <w:rFonts w:eastAsia="Times New Roman" w:cs="Times New Roman"/>
          <w:szCs w:val="20"/>
        </w:rPr>
        <w:t>IEEE Standard 1782 is titled “IEEE Guide for Collecting, Categorizing, and Utilizing Information Related to Electric Power Distribution Interruption Events”</w:t>
      </w:r>
      <w:r w:rsidR="00054A5A">
        <w:rPr>
          <w:rFonts w:eastAsia="Times New Roman" w:cs="Times New Roman"/>
          <w:szCs w:val="20"/>
        </w:rPr>
        <w:t xml:space="preserve"> (“IEEE Std 1782”).</w:t>
      </w:r>
      <w:r w:rsidRPr="00130F07">
        <w:rPr>
          <w:rFonts w:eastAsia="Times New Roman" w:cs="Times New Roman"/>
          <w:szCs w:val="20"/>
        </w:rPr>
        <w:t xml:space="preserve">  First published in 2014, it gives specific guidelines on data collection methodology.  Section 4.4.1.2, page 14, outlines a method of using a cumulative moving (trailing) average of the utility’s annual SAIDI to determine whether any change exists within the reliability performance, or if it can be attributed to a change in how the reliability is measured. </w:t>
      </w:r>
    </w:p>
    <w:p w:rsidR="00130F07" w:rsidRPr="00130F07" w:rsidRDefault="00130F07" w:rsidP="00D82383">
      <w:pPr>
        <w:spacing w:before="0"/>
        <w:ind w:left="0" w:firstLine="720"/>
        <w:rPr>
          <w:rFonts w:eastAsia="Times New Roman" w:cs="Times New Roman"/>
          <w:szCs w:val="20"/>
        </w:rPr>
      </w:pPr>
      <w:r w:rsidRPr="00130F07">
        <w:rPr>
          <w:rFonts w:eastAsia="Times New Roman" w:cs="Times New Roman"/>
          <w:szCs w:val="20"/>
        </w:rPr>
        <w:t xml:space="preserve">These cumulative moving averages are calculated for each year of reported SAIDI, with a running average beginning each year.  This accumulation of averages helps to smooth outlier years and show a trend over time of an overall average.  If a significant change has occurred in how SAIDI is measured, a step change in the outages will appear, with two distinct sets of running averages appearing.  With this information, a utility can calculate the average post-change performance by taking the average of cumulative averages pre-changeover and comparing it to the post-change values. </w:t>
      </w:r>
    </w:p>
    <w:p w:rsidR="00130F07" w:rsidRDefault="00130F07" w:rsidP="00D82383">
      <w:pPr>
        <w:spacing w:before="0"/>
        <w:ind w:left="0" w:firstLine="720"/>
        <w:rPr>
          <w:rFonts w:eastAsia="Times New Roman" w:cs="Times New Roman"/>
          <w:szCs w:val="20"/>
        </w:rPr>
      </w:pPr>
      <w:r w:rsidRPr="00130F07">
        <w:rPr>
          <w:rFonts w:eastAsia="Times New Roman" w:cs="Times New Roman"/>
          <w:szCs w:val="20"/>
        </w:rPr>
        <w:t xml:space="preserve">PSE elected to calculate </w:t>
      </w:r>
      <w:r w:rsidR="00FC0A06">
        <w:rPr>
          <w:rFonts w:eastAsia="Times New Roman" w:cs="Times New Roman"/>
          <w:szCs w:val="20"/>
        </w:rPr>
        <w:t xml:space="preserve">the </w:t>
      </w:r>
      <w:r w:rsidR="00A26504">
        <w:rPr>
          <w:rFonts w:eastAsia="Times New Roman" w:cs="Times New Roman"/>
          <w:szCs w:val="20"/>
        </w:rPr>
        <w:t>trailing</w:t>
      </w:r>
      <w:r w:rsidR="00FC0A06">
        <w:rPr>
          <w:rFonts w:eastAsia="Times New Roman" w:cs="Times New Roman"/>
          <w:szCs w:val="20"/>
        </w:rPr>
        <w:t xml:space="preserve"> average</w:t>
      </w:r>
      <w:r w:rsidR="00A26504">
        <w:rPr>
          <w:rFonts w:eastAsia="Times New Roman" w:cs="Times New Roman"/>
          <w:szCs w:val="20"/>
        </w:rPr>
        <w:t>s</w:t>
      </w:r>
      <w:r w:rsidR="00FC0A06">
        <w:rPr>
          <w:rFonts w:eastAsia="Times New Roman" w:cs="Times New Roman"/>
          <w:szCs w:val="20"/>
        </w:rPr>
        <w:t xml:space="preserve"> </w:t>
      </w:r>
      <w:r w:rsidRPr="00130F07">
        <w:rPr>
          <w:rFonts w:eastAsia="Times New Roman" w:cs="Times New Roman"/>
          <w:szCs w:val="20"/>
        </w:rPr>
        <w:t xml:space="preserve">from 2007 onward </w:t>
      </w:r>
      <w:r w:rsidR="00FC0A06">
        <w:rPr>
          <w:rFonts w:eastAsia="Times New Roman" w:cs="Times New Roman"/>
          <w:szCs w:val="20"/>
        </w:rPr>
        <w:t xml:space="preserve">to </w:t>
      </w:r>
      <w:r w:rsidR="0043076A">
        <w:rPr>
          <w:rFonts w:eastAsia="Times New Roman" w:cs="Times New Roman"/>
          <w:szCs w:val="20"/>
        </w:rPr>
        <w:t>eliminate</w:t>
      </w:r>
      <w:r w:rsidR="00FC0A06">
        <w:rPr>
          <w:rFonts w:eastAsia="Times New Roman" w:cs="Times New Roman"/>
          <w:szCs w:val="20"/>
        </w:rPr>
        <w:t xml:space="preserve"> the effect </w:t>
      </w:r>
      <w:r w:rsidR="0043076A">
        <w:rPr>
          <w:rFonts w:eastAsia="Times New Roman" w:cs="Times New Roman"/>
          <w:szCs w:val="20"/>
        </w:rPr>
        <w:t xml:space="preserve">in the </w:t>
      </w:r>
      <w:r w:rsidR="0043076A" w:rsidRPr="00130F07">
        <w:rPr>
          <w:rFonts w:eastAsia="Times New Roman" w:cs="Times New Roman"/>
          <w:szCs w:val="20"/>
        </w:rPr>
        <w:t xml:space="preserve">analysis </w:t>
      </w:r>
      <w:r w:rsidR="00FC0A06">
        <w:rPr>
          <w:rFonts w:eastAsia="Times New Roman" w:cs="Times New Roman"/>
          <w:szCs w:val="20"/>
        </w:rPr>
        <w:t xml:space="preserve">of </w:t>
      </w:r>
      <w:r w:rsidR="0043076A">
        <w:rPr>
          <w:rFonts w:eastAsia="Times New Roman" w:cs="Times New Roman"/>
          <w:szCs w:val="20"/>
        </w:rPr>
        <w:t xml:space="preserve">the </w:t>
      </w:r>
      <w:r w:rsidR="008A406B">
        <w:rPr>
          <w:rFonts w:eastAsia="Times New Roman" w:cs="Times New Roman"/>
          <w:szCs w:val="20"/>
        </w:rPr>
        <w:t xml:space="preserve">severe </w:t>
      </w:r>
      <w:r w:rsidR="00FC0A06">
        <w:rPr>
          <w:rFonts w:eastAsia="Times New Roman" w:cs="Times New Roman"/>
          <w:szCs w:val="20"/>
        </w:rPr>
        <w:t xml:space="preserve">2006 </w:t>
      </w:r>
      <w:r w:rsidR="0043076A" w:rsidRPr="00130F07">
        <w:rPr>
          <w:rFonts w:eastAsia="Times New Roman" w:cs="Times New Roman"/>
          <w:szCs w:val="20"/>
        </w:rPr>
        <w:t xml:space="preserve">Hanukkah Eve </w:t>
      </w:r>
      <w:r w:rsidR="0043076A">
        <w:rPr>
          <w:rFonts w:eastAsia="Times New Roman" w:cs="Times New Roman"/>
          <w:szCs w:val="20"/>
        </w:rPr>
        <w:t>w</w:t>
      </w:r>
      <w:r w:rsidR="0043076A" w:rsidRPr="00130F07">
        <w:rPr>
          <w:rFonts w:eastAsia="Times New Roman" w:cs="Times New Roman"/>
          <w:szCs w:val="20"/>
        </w:rPr>
        <w:t>indstorm</w:t>
      </w:r>
      <w:r w:rsidR="0043076A">
        <w:rPr>
          <w:rFonts w:eastAsia="Times New Roman" w:cs="Times New Roman"/>
          <w:szCs w:val="20"/>
        </w:rPr>
        <w:t>.</w:t>
      </w:r>
      <w:r w:rsidRPr="00130F07">
        <w:rPr>
          <w:rFonts w:eastAsia="Times New Roman" w:cs="Times New Roman"/>
          <w:szCs w:val="20"/>
        </w:rPr>
        <w:t xml:space="preserve">  Starting with the first full year of post-OMS data</w:t>
      </w:r>
      <w:r w:rsidR="00A26504">
        <w:rPr>
          <w:rFonts w:eastAsia="Times New Roman" w:cs="Times New Roman"/>
          <w:szCs w:val="20"/>
        </w:rPr>
        <w:t xml:space="preserve"> for 2014</w:t>
      </w:r>
      <w:r w:rsidRPr="00130F07">
        <w:rPr>
          <w:rFonts w:eastAsia="Times New Roman" w:cs="Times New Roman"/>
          <w:szCs w:val="20"/>
        </w:rPr>
        <w:t>, PSE calculated a pre-OMS average of 136 SAIDI minutes and a 13</w:t>
      </w:r>
      <w:r w:rsidR="00952BEC">
        <w:rPr>
          <w:rFonts w:eastAsia="Times New Roman" w:cs="Times New Roman"/>
          <w:szCs w:val="20"/>
        </w:rPr>
        <w:t xml:space="preserve"> </w:t>
      </w:r>
      <w:r w:rsidR="00661DA5">
        <w:rPr>
          <w:rFonts w:eastAsia="Times New Roman" w:cs="Times New Roman"/>
          <w:szCs w:val="20"/>
        </w:rPr>
        <w:t>percent</w:t>
      </w:r>
      <w:r w:rsidRPr="00130F07">
        <w:rPr>
          <w:rFonts w:eastAsia="Times New Roman" w:cs="Times New Roman"/>
          <w:szCs w:val="20"/>
        </w:rPr>
        <w:t xml:space="preserve"> increase in post-</w:t>
      </w:r>
      <w:r w:rsidR="00104B34">
        <w:rPr>
          <w:rFonts w:eastAsia="Times New Roman" w:cs="Times New Roman"/>
          <w:szCs w:val="20"/>
        </w:rPr>
        <w:t>OMS IEEE SAIDI with this method.</w:t>
      </w:r>
      <w:r w:rsidR="00A26504">
        <w:rPr>
          <w:rFonts w:eastAsia="Times New Roman" w:cs="Times New Roman"/>
          <w:szCs w:val="20"/>
        </w:rPr>
        <w:t xml:space="preserve"> </w:t>
      </w:r>
      <w:r w:rsidR="00104B34">
        <w:rPr>
          <w:rFonts w:eastAsia="Times New Roman" w:cs="Times New Roman"/>
          <w:szCs w:val="20"/>
        </w:rPr>
        <w:t xml:space="preserve"> </w:t>
      </w:r>
      <w:r w:rsidRPr="00130F07">
        <w:rPr>
          <w:rFonts w:eastAsia="Times New Roman" w:cs="Times New Roman"/>
          <w:szCs w:val="20"/>
        </w:rPr>
        <w:t xml:space="preserve">While the pre-OMS IEEE SAIDI values are converging in the 130-140 range, the post-OMS values are anticipated to have </w:t>
      </w:r>
      <w:r w:rsidRPr="00130F07">
        <w:rPr>
          <w:rFonts w:eastAsia="Times New Roman" w:cs="Times New Roman"/>
          <w:szCs w:val="20"/>
        </w:rPr>
        <w:lastRenderedPageBreak/>
        <w:t>an average within the 150-160 range based on the data populating this model, with an expected degree of variability comparable to pre-OMS reporting.</w:t>
      </w:r>
      <w:r w:rsidR="0043076A" w:rsidRPr="0043076A">
        <w:rPr>
          <w:rFonts w:eastAsia="Times New Roman" w:cs="Times New Roman"/>
          <w:szCs w:val="20"/>
        </w:rPr>
        <w:t xml:space="preserve"> </w:t>
      </w:r>
    </w:p>
    <w:p w:rsidR="00130F07" w:rsidRPr="00130F07" w:rsidRDefault="00ED755C" w:rsidP="00392A2B">
      <w:pPr>
        <w:numPr>
          <w:ilvl w:val="0"/>
          <w:numId w:val="0"/>
        </w:numPr>
        <w:spacing w:before="0"/>
        <w:ind w:firstLine="720"/>
        <w:jc w:val="center"/>
        <w:rPr>
          <w:rFonts w:eastAsia="Times New Roman" w:cs="Times New Roman"/>
          <w:szCs w:val="20"/>
        </w:rPr>
      </w:pPr>
      <w:r w:rsidRPr="00ED755C">
        <w:rPr>
          <w:rFonts w:eastAsia="Times New Roman" w:cs="Times New Roman"/>
          <w:b/>
          <w:szCs w:val="20"/>
        </w:rPr>
        <w:t>Figure 1:</w:t>
      </w:r>
      <w:r w:rsidR="002D54B2">
        <w:rPr>
          <w:rFonts w:eastAsia="Times New Roman" w:cs="Times New Roman"/>
          <w:b/>
          <w:szCs w:val="20"/>
        </w:rPr>
        <w:t xml:space="preserve"> </w:t>
      </w:r>
      <w:r w:rsidRPr="00ED755C">
        <w:rPr>
          <w:rFonts w:eastAsia="Times New Roman" w:cs="Times New Roman"/>
          <w:b/>
          <w:szCs w:val="20"/>
        </w:rPr>
        <w:t xml:space="preserve"> PSE's IEEE </w:t>
      </w:r>
      <w:r w:rsidR="00054A5A">
        <w:rPr>
          <w:rFonts w:eastAsia="Times New Roman" w:cs="Times New Roman"/>
          <w:b/>
          <w:szCs w:val="20"/>
        </w:rPr>
        <w:t xml:space="preserve">Std </w:t>
      </w:r>
      <w:r w:rsidRPr="00ED755C">
        <w:rPr>
          <w:rFonts w:eastAsia="Times New Roman" w:cs="Times New Roman"/>
          <w:b/>
          <w:szCs w:val="20"/>
        </w:rPr>
        <w:t>1782 Cumulative Moving Averages Method Results</w:t>
      </w:r>
      <w:r w:rsidR="00130F07" w:rsidRPr="00130F07">
        <w:rPr>
          <w:rFonts w:eastAsia="Times New Roman" w:cs="Times New Roman"/>
          <w:noProof/>
          <w:szCs w:val="20"/>
        </w:rPr>
        <w:drawing>
          <wp:inline distT="0" distB="0" distL="0" distR="0" wp14:anchorId="0EA83956" wp14:editId="66AC57A1">
            <wp:extent cx="5943600" cy="3814549"/>
            <wp:effectExtent l="0" t="0" r="19050"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755C" w:rsidRDefault="00ED755C" w:rsidP="006E6D6E">
      <w:pPr>
        <w:pStyle w:val="Heading3"/>
        <w:numPr>
          <w:ilvl w:val="2"/>
          <w:numId w:val="18"/>
        </w:numPr>
        <w:ind w:hanging="720"/>
        <w:rPr>
          <w:rFonts w:ascii="Times New Roman" w:eastAsia="Times New Roman" w:hAnsi="Times New Roman" w:cs="Times New Roman"/>
          <w:color w:val="auto"/>
        </w:rPr>
      </w:pPr>
      <w:r w:rsidRPr="004E2B29">
        <w:rPr>
          <w:rFonts w:ascii="Times New Roman" w:eastAsia="Times New Roman" w:hAnsi="Times New Roman" w:cs="Times New Roman"/>
          <w:color w:val="auto"/>
        </w:rPr>
        <w:t>1.75 Beta Method</w:t>
      </w:r>
    </w:p>
    <w:p w:rsidR="00130F07" w:rsidRPr="00130F07" w:rsidRDefault="00130F07" w:rsidP="00ED2B40">
      <w:pPr>
        <w:spacing w:before="0"/>
        <w:ind w:left="0" w:firstLine="720"/>
        <w:rPr>
          <w:rFonts w:eastAsia="Times New Roman" w:cs="Times New Roman"/>
          <w:szCs w:val="20"/>
        </w:rPr>
      </w:pPr>
      <w:r w:rsidRPr="00130F07">
        <w:rPr>
          <w:rFonts w:eastAsia="Times New Roman" w:cs="Times New Roman"/>
          <w:szCs w:val="20"/>
        </w:rPr>
        <w:t>The second</w:t>
      </w:r>
      <w:r w:rsidRPr="00130F07" w:rsidDel="001C3E9D">
        <w:rPr>
          <w:rFonts w:eastAsia="Times New Roman" w:cs="Times New Roman"/>
          <w:szCs w:val="20"/>
        </w:rPr>
        <w:t xml:space="preserve"> </w:t>
      </w:r>
      <w:r w:rsidRPr="00130F07">
        <w:rPr>
          <w:rFonts w:eastAsia="Times New Roman" w:cs="Times New Roman"/>
          <w:szCs w:val="20"/>
        </w:rPr>
        <w:t xml:space="preserve">analytical approach PSE used to examine PSE’s post-OMS </w:t>
      </w:r>
      <w:r w:rsidR="00A26504">
        <w:rPr>
          <w:rFonts w:eastAsia="Times New Roman" w:cs="Times New Roman"/>
          <w:szCs w:val="20"/>
        </w:rPr>
        <w:t>SAIDI results</w:t>
      </w:r>
      <w:r w:rsidRPr="00130F07">
        <w:rPr>
          <w:rFonts w:eastAsia="Times New Roman" w:cs="Times New Roman"/>
          <w:szCs w:val="20"/>
        </w:rPr>
        <w:t xml:space="preserve"> involved a granular examination of pre- and post-OMS daily SAIDI.  This method, referred to as the “1.75 β” (Beta) Method, has been discussed by IEEE members through the IEEE Distribution Reliability Working Group.</w:t>
      </w:r>
      <w:r w:rsidR="00DE2662" w:rsidRPr="00F44D97">
        <w:rPr>
          <w:rFonts w:eastAsia="Times New Roman"/>
          <w:vertAlign w:val="superscript"/>
        </w:rPr>
        <w:footnoteReference w:id="47"/>
      </w:r>
      <w:r w:rsidRPr="00130F07">
        <w:rPr>
          <w:rFonts w:eastAsia="Times New Roman" w:cs="Times New Roman"/>
          <w:szCs w:val="20"/>
        </w:rPr>
        <w:t xml:space="preserve">  It focuses on </w:t>
      </w:r>
      <w:r w:rsidR="00C57B33">
        <w:rPr>
          <w:rFonts w:eastAsia="Times New Roman" w:cs="Times New Roman"/>
          <w:szCs w:val="20"/>
        </w:rPr>
        <w:t>blue</w:t>
      </w:r>
      <w:r w:rsidR="00C57B33">
        <w:rPr>
          <w:rFonts w:eastAsia="Times New Roman" w:cs="Times New Roman"/>
          <w:szCs w:val="20"/>
        </w:rPr>
        <w:noBreakHyphen/>
        <w:t xml:space="preserve">sky </w:t>
      </w:r>
      <w:r w:rsidRPr="00130F07">
        <w:rPr>
          <w:rFonts w:eastAsia="Times New Roman" w:cs="Times New Roman"/>
          <w:szCs w:val="20"/>
        </w:rPr>
        <w:t xml:space="preserve">days with SAIDI values lower than 1.75 standard deviations of daily SAIDI data which, assuming a normal distribution </w:t>
      </w:r>
      <w:r w:rsidRPr="00130F07">
        <w:rPr>
          <w:rFonts w:eastAsia="Times New Roman" w:cs="Times New Roman"/>
          <w:szCs w:val="20"/>
        </w:rPr>
        <w:lastRenderedPageBreak/>
        <w:t>of values, accounts for 96</w:t>
      </w:r>
      <w:r w:rsidR="00D178B0">
        <w:rPr>
          <w:rFonts w:eastAsia="Times New Roman" w:cs="Times New Roman"/>
          <w:szCs w:val="20"/>
        </w:rPr>
        <w:t xml:space="preserve"> </w:t>
      </w:r>
      <w:r w:rsidR="00661DA5">
        <w:rPr>
          <w:rFonts w:eastAsia="Times New Roman" w:cs="Times New Roman"/>
          <w:szCs w:val="20"/>
        </w:rPr>
        <w:t>percent</w:t>
      </w:r>
      <w:r w:rsidRPr="00130F07">
        <w:rPr>
          <w:rFonts w:eastAsia="Times New Roman" w:cs="Times New Roman"/>
          <w:szCs w:val="20"/>
        </w:rPr>
        <w:t xml:space="preserve"> of days included in the IEEE SAIDI values.  This helps to isolate and eliminate variability introduced by major storms excluded by the </w:t>
      </w:r>
      <w:r w:rsidR="00C57B33">
        <w:rPr>
          <w:rFonts w:eastAsia="Times New Roman" w:cs="Times New Roman"/>
          <w:szCs w:val="20"/>
        </w:rPr>
        <w:t>m</w:t>
      </w:r>
      <w:r w:rsidRPr="00130F07">
        <w:rPr>
          <w:rFonts w:eastAsia="Times New Roman" w:cs="Times New Roman"/>
          <w:szCs w:val="20"/>
        </w:rPr>
        <w:t xml:space="preserve">ajor </w:t>
      </w:r>
      <w:r w:rsidR="00C57B33">
        <w:rPr>
          <w:rFonts w:eastAsia="Times New Roman" w:cs="Times New Roman"/>
          <w:szCs w:val="20"/>
        </w:rPr>
        <w:t>e</w:t>
      </w:r>
      <w:r w:rsidRPr="00130F07">
        <w:rPr>
          <w:rFonts w:eastAsia="Times New Roman" w:cs="Times New Roman"/>
          <w:szCs w:val="20"/>
        </w:rPr>
        <w:t xml:space="preserve">vent </w:t>
      </w:r>
      <w:r w:rsidR="00C57B33">
        <w:rPr>
          <w:rFonts w:eastAsia="Times New Roman" w:cs="Times New Roman"/>
          <w:szCs w:val="20"/>
        </w:rPr>
        <w:t>d</w:t>
      </w:r>
      <w:r w:rsidRPr="00130F07">
        <w:rPr>
          <w:rFonts w:eastAsia="Times New Roman" w:cs="Times New Roman"/>
          <w:szCs w:val="20"/>
        </w:rPr>
        <w:t>ay cutoff (</w:t>
      </w:r>
      <w:r w:rsidR="00C33A94" w:rsidRPr="00130F07">
        <w:rPr>
          <w:rFonts w:eastAsia="Times New Roman" w:cs="Times New Roman"/>
          <w:szCs w:val="20"/>
        </w:rPr>
        <w:t>T</w:t>
      </w:r>
      <w:r w:rsidR="00C33A94" w:rsidRPr="00F44D97">
        <w:rPr>
          <w:rFonts w:eastAsia="Times New Roman"/>
          <w:vertAlign w:val="subscript"/>
        </w:rPr>
        <w:t>MED</w:t>
      </w:r>
      <w:r w:rsidRPr="00130F07">
        <w:rPr>
          <w:rFonts w:eastAsia="Times New Roman" w:cs="Times New Roman"/>
          <w:szCs w:val="20"/>
        </w:rPr>
        <w:t xml:space="preserve">) as well as outage events that are significant but below the </w:t>
      </w:r>
      <w:r w:rsidR="00C57B33">
        <w:rPr>
          <w:rFonts w:eastAsia="Times New Roman" w:cs="Times New Roman"/>
          <w:szCs w:val="20"/>
        </w:rPr>
        <w:t>m</w:t>
      </w:r>
      <w:r w:rsidRPr="00130F07">
        <w:rPr>
          <w:rFonts w:eastAsia="Times New Roman" w:cs="Times New Roman"/>
          <w:szCs w:val="20"/>
        </w:rPr>
        <w:t xml:space="preserve">ajor </w:t>
      </w:r>
      <w:r w:rsidR="00C57B33">
        <w:rPr>
          <w:rFonts w:eastAsia="Times New Roman" w:cs="Times New Roman"/>
          <w:szCs w:val="20"/>
        </w:rPr>
        <w:t>e</w:t>
      </w:r>
      <w:r w:rsidRPr="00130F07">
        <w:rPr>
          <w:rFonts w:eastAsia="Times New Roman" w:cs="Times New Roman"/>
          <w:szCs w:val="20"/>
        </w:rPr>
        <w:t xml:space="preserve">vent </w:t>
      </w:r>
      <w:r w:rsidR="00C57B33">
        <w:rPr>
          <w:rFonts w:eastAsia="Times New Roman" w:cs="Times New Roman"/>
          <w:szCs w:val="20"/>
        </w:rPr>
        <w:t>d</w:t>
      </w:r>
      <w:r w:rsidRPr="00130F07">
        <w:rPr>
          <w:rFonts w:eastAsia="Times New Roman" w:cs="Times New Roman"/>
          <w:szCs w:val="20"/>
        </w:rPr>
        <w:t xml:space="preserve">ay cutoff of 2.5 </w:t>
      </w:r>
      <w:r w:rsidR="00104B34">
        <w:rPr>
          <w:rFonts w:eastAsia="Times New Roman" w:cs="Times New Roman"/>
          <w:szCs w:val="20"/>
        </w:rPr>
        <w:t>Beta</w:t>
      </w:r>
      <w:r w:rsidRPr="00130F07">
        <w:rPr>
          <w:rFonts w:eastAsia="Times New Roman" w:cs="Times New Roman"/>
          <w:szCs w:val="20"/>
        </w:rPr>
        <w:t xml:space="preserve"> (1.75 standard deviations equal 95.99</w:t>
      </w:r>
      <w:r w:rsidR="00D178B0">
        <w:rPr>
          <w:rFonts w:eastAsia="Times New Roman" w:cs="Times New Roman"/>
          <w:szCs w:val="20"/>
        </w:rPr>
        <w:t xml:space="preserve"> </w:t>
      </w:r>
      <w:r w:rsidR="00661DA5">
        <w:rPr>
          <w:rFonts w:eastAsia="Times New Roman" w:cs="Times New Roman"/>
          <w:szCs w:val="20"/>
        </w:rPr>
        <w:t>percent</w:t>
      </w:r>
      <w:r w:rsidRPr="00130F07">
        <w:rPr>
          <w:rFonts w:eastAsia="Times New Roman" w:cs="Times New Roman"/>
          <w:szCs w:val="20"/>
        </w:rPr>
        <w:t xml:space="preserve"> of a normal distribution, 2.5 standard </w:t>
      </w:r>
      <w:r w:rsidR="00C57B33" w:rsidRPr="00130F07">
        <w:rPr>
          <w:rFonts w:eastAsia="Times New Roman" w:cs="Times New Roman"/>
          <w:szCs w:val="20"/>
        </w:rPr>
        <w:t>deviations are</w:t>
      </w:r>
      <w:r w:rsidRPr="00130F07">
        <w:rPr>
          <w:rFonts w:eastAsia="Times New Roman" w:cs="Times New Roman"/>
          <w:szCs w:val="20"/>
        </w:rPr>
        <w:t xml:space="preserve"> 99.38</w:t>
      </w:r>
      <w:r w:rsidR="00D178B0">
        <w:rPr>
          <w:rFonts w:eastAsia="Times New Roman" w:cs="Times New Roman"/>
          <w:szCs w:val="20"/>
        </w:rPr>
        <w:t xml:space="preserve"> </w:t>
      </w:r>
      <w:r w:rsidR="00661DA5">
        <w:rPr>
          <w:rFonts w:eastAsia="Times New Roman" w:cs="Times New Roman"/>
          <w:szCs w:val="20"/>
        </w:rPr>
        <w:t>percent</w:t>
      </w:r>
      <w:r w:rsidRPr="00130F07">
        <w:rPr>
          <w:rFonts w:eastAsia="Times New Roman" w:cs="Times New Roman"/>
          <w:szCs w:val="20"/>
        </w:rPr>
        <w:t>).</w:t>
      </w:r>
    </w:p>
    <w:p w:rsidR="00130F07" w:rsidRPr="00130F07" w:rsidRDefault="00ED755C" w:rsidP="00ED2B40">
      <w:pPr>
        <w:spacing w:before="0"/>
        <w:ind w:left="0" w:firstLine="720"/>
        <w:rPr>
          <w:rFonts w:eastAsia="Times New Roman" w:cs="Times New Roman"/>
          <w:szCs w:val="20"/>
        </w:rPr>
      </w:pPr>
      <w:r>
        <w:rPr>
          <w:rFonts w:eastAsia="Times New Roman" w:cs="Times New Roman"/>
          <w:szCs w:val="20"/>
        </w:rPr>
        <w:t xml:space="preserve">In undertaking the 1.75 Beta Method, </w:t>
      </w:r>
      <w:r w:rsidR="00130F07" w:rsidRPr="00130F07">
        <w:rPr>
          <w:rFonts w:eastAsia="Times New Roman" w:cs="Times New Roman"/>
          <w:szCs w:val="20"/>
        </w:rPr>
        <w:t xml:space="preserve">PSE excluded 2013 </w:t>
      </w:r>
      <w:r>
        <w:rPr>
          <w:rFonts w:eastAsia="Times New Roman" w:cs="Times New Roman"/>
          <w:szCs w:val="20"/>
        </w:rPr>
        <w:t xml:space="preserve">data </w:t>
      </w:r>
      <w:r w:rsidR="00130F07" w:rsidRPr="00130F07">
        <w:rPr>
          <w:rFonts w:eastAsia="Times New Roman" w:cs="Times New Roman"/>
          <w:szCs w:val="20"/>
        </w:rPr>
        <w:t>from this analysis for three major reasons, all caused by the PSE’s changeover from CLX to OMS in April 2013.  First, the timing of this changeover resulted in 25</w:t>
      </w:r>
      <w:r w:rsidR="00D178B0">
        <w:rPr>
          <w:rFonts w:eastAsia="Times New Roman" w:cs="Times New Roman"/>
          <w:szCs w:val="20"/>
        </w:rPr>
        <w:t xml:space="preserve"> </w:t>
      </w:r>
      <w:r w:rsidR="00661DA5">
        <w:rPr>
          <w:rFonts w:eastAsia="Times New Roman" w:cs="Times New Roman"/>
          <w:szCs w:val="20"/>
        </w:rPr>
        <w:t>percent</w:t>
      </w:r>
      <w:r w:rsidR="00130F07" w:rsidRPr="00130F07">
        <w:rPr>
          <w:rFonts w:eastAsia="Times New Roman" w:cs="Times New Roman"/>
          <w:szCs w:val="20"/>
        </w:rPr>
        <w:t xml:space="preserve"> of 2013 to be recorded as pre-OMS data.  Second, differences in daily SAIDI related to seasonality complicate</w:t>
      </w:r>
      <w:r w:rsidR="00AB43ED">
        <w:rPr>
          <w:rFonts w:eastAsia="Times New Roman" w:cs="Times New Roman"/>
          <w:szCs w:val="20"/>
        </w:rPr>
        <w:t>d</w:t>
      </w:r>
      <w:r w:rsidR="00130F07" w:rsidRPr="00130F07">
        <w:rPr>
          <w:rFonts w:eastAsia="Times New Roman" w:cs="Times New Roman"/>
          <w:szCs w:val="20"/>
        </w:rPr>
        <w:t xml:space="preserve"> parsing out this year of data to fit the daily ranking approach used in this analysis</w:t>
      </w:r>
      <w:r>
        <w:rPr>
          <w:rFonts w:eastAsia="Times New Roman" w:cs="Times New Roman"/>
          <w:szCs w:val="20"/>
        </w:rPr>
        <w:t>.  F</w:t>
      </w:r>
      <w:r w:rsidR="00130F07" w:rsidRPr="00130F07">
        <w:rPr>
          <w:rFonts w:eastAsia="Times New Roman" w:cs="Times New Roman"/>
          <w:szCs w:val="20"/>
        </w:rPr>
        <w:t xml:space="preserve">inally, PSE continued to implement major business process changes throughout 2013 related to outage recording through the OMS stabilization process.  This continuous improvement further inhibits designating a bright-line changeover </w:t>
      </w:r>
      <w:r w:rsidR="00486F7E">
        <w:rPr>
          <w:rFonts w:eastAsia="Times New Roman" w:cs="Times New Roman"/>
          <w:szCs w:val="20"/>
        </w:rPr>
        <w:t xml:space="preserve">of 2013 </w:t>
      </w:r>
      <w:r w:rsidR="00130F07" w:rsidRPr="00130F07">
        <w:rPr>
          <w:rFonts w:eastAsia="Times New Roman" w:cs="Times New Roman"/>
          <w:szCs w:val="20"/>
        </w:rPr>
        <w:t>date from CLX to complete OMS processes for this analysis.</w:t>
      </w:r>
    </w:p>
    <w:p w:rsidR="00130F07" w:rsidRPr="00130F07" w:rsidRDefault="00130F07" w:rsidP="00ED2B40">
      <w:pPr>
        <w:spacing w:before="0"/>
        <w:ind w:left="0" w:firstLine="720"/>
        <w:rPr>
          <w:rFonts w:eastAsia="Times New Roman" w:cs="Times New Roman"/>
          <w:szCs w:val="20"/>
        </w:rPr>
      </w:pPr>
      <w:r w:rsidRPr="00130F07">
        <w:rPr>
          <w:rFonts w:eastAsia="Times New Roman" w:cs="Times New Roman"/>
          <w:szCs w:val="20"/>
        </w:rPr>
        <w:t xml:space="preserve">For the 1.75 Beta Method, PSE ran two time series.  </w:t>
      </w:r>
      <w:r w:rsidR="005760B7">
        <w:rPr>
          <w:rFonts w:eastAsia="Times New Roman" w:cs="Times New Roman"/>
          <w:szCs w:val="20"/>
        </w:rPr>
        <w:t>First, i</w:t>
      </w:r>
      <w:r w:rsidRPr="00130F07">
        <w:rPr>
          <w:rFonts w:eastAsia="Times New Roman" w:cs="Times New Roman"/>
          <w:szCs w:val="20"/>
        </w:rPr>
        <w:t>t examined historical daily SAIDI data from 2007-2014</w:t>
      </w:r>
      <w:r w:rsidR="005760B7">
        <w:rPr>
          <w:rFonts w:eastAsia="Times New Roman" w:cs="Times New Roman"/>
          <w:szCs w:val="20"/>
        </w:rPr>
        <w:t>.  Second, it examined historical daily SAIDI data</w:t>
      </w:r>
      <w:r w:rsidR="005760B7" w:rsidRPr="00130F07" w:rsidDel="005760B7">
        <w:rPr>
          <w:rFonts w:eastAsia="Times New Roman" w:cs="Times New Roman"/>
          <w:szCs w:val="20"/>
        </w:rPr>
        <w:t xml:space="preserve"> </w:t>
      </w:r>
      <w:r w:rsidR="005760B7">
        <w:rPr>
          <w:rFonts w:eastAsia="Times New Roman" w:cs="Times New Roman"/>
          <w:szCs w:val="20"/>
        </w:rPr>
        <w:t xml:space="preserve">from </w:t>
      </w:r>
      <w:r w:rsidRPr="00130F07">
        <w:rPr>
          <w:rFonts w:eastAsia="Times New Roman" w:cs="Times New Roman"/>
          <w:szCs w:val="20"/>
        </w:rPr>
        <w:t xml:space="preserve">January-September </w:t>
      </w:r>
      <w:r w:rsidR="005760B7">
        <w:rPr>
          <w:rFonts w:eastAsia="Times New Roman" w:cs="Times New Roman"/>
          <w:szCs w:val="20"/>
        </w:rPr>
        <w:t>for</w:t>
      </w:r>
      <w:r w:rsidRPr="00130F07">
        <w:rPr>
          <w:rFonts w:eastAsia="Times New Roman" w:cs="Times New Roman"/>
          <w:szCs w:val="20"/>
        </w:rPr>
        <w:t xml:space="preserve"> each of the years 2007-2015.</w:t>
      </w:r>
      <w:r w:rsidR="00DE2662" w:rsidRPr="00F44D97">
        <w:rPr>
          <w:rFonts w:eastAsia="Times New Roman"/>
          <w:vertAlign w:val="superscript"/>
        </w:rPr>
        <w:footnoteReference w:id="48"/>
      </w:r>
      <w:r w:rsidRPr="00130F07">
        <w:rPr>
          <w:rFonts w:eastAsia="Times New Roman" w:cs="Times New Roman"/>
          <w:szCs w:val="20"/>
        </w:rPr>
        <w:t xml:space="preserve">  The former gave the full year picture, while the latter maximized the number of post-OMS data points by bringing in the year-to-date 2015 performance. </w:t>
      </w:r>
    </w:p>
    <w:p w:rsidR="00130F07" w:rsidRDefault="00130F07" w:rsidP="00ED2B40">
      <w:pPr>
        <w:spacing w:before="0"/>
        <w:ind w:left="0" w:firstLine="720"/>
        <w:rPr>
          <w:rFonts w:eastAsia="Times New Roman" w:cs="Times New Roman"/>
          <w:szCs w:val="20"/>
        </w:rPr>
      </w:pPr>
      <w:r w:rsidRPr="00130F07">
        <w:rPr>
          <w:rFonts w:eastAsia="Times New Roman" w:cs="Times New Roman"/>
          <w:szCs w:val="20"/>
        </w:rPr>
        <w:t xml:space="preserve">In each run of this analysis, PSE found the average and standard deviation of the set, and then arranged the days from each year from highest to lowest SAIDI value.  By doing so, </w:t>
      </w:r>
      <w:r w:rsidRPr="00130F07">
        <w:rPr>
          <w:rFonts w:eastAsia="Times New Roman" w:cs="Times New Roman"/>
          <w:szCs w:val="20"/>
        </w:rPr>
        <w:lastRenderedPageBreak/>
        <w:t>PSE</w:t>
      </w:r>
      <w:r w:rsidRPr="00130F07" w:rsidDel="001115CC">
        <w:rPr>
          <w:rFonts w:eastAsia="Times New Roman" w:cs="Times New Roman"/>
          <w:szCs w:val="20"/>
        </w:rPr>
        <w:t xml:space="preserve"> </w:t>
      </w:r>
      <w:r w:rsidRPr="00130F07">
        <w:rPr>
          <w:rFonts w:eastAsia="Times New Roman" w:cs="Times New Roman"/>
          <w:szCs w:val="20"/>
        </w:rPr>
        <w:t>could compare the pre- and post</w:t>
      </w:r>
      <w:r w:rsidR="00486F7E">
        <w:rPr>
          <w:rFonts w:eastAsia="Times New Roman" w:cs="Times New Roman"/>
          <w:szCs w:val="20"/>
        </w:rPr>
        <w:noBreakHyphen/>
      </w:r>
      <w:r w:rsidRPr="00130F07">
        <w:rPr>
          <w:rFonts w:eastAsia="Times New Roman" w:cs="Times New Roman"/>
          <w:szCs w:val="20"/>
        </w:rPr>
        <w:t>OMS years for evidence of a shift</w:t>
      </w:r>
      <w:r w:rsidR="00486F7E">
        <w:rPr>
          <w:rFonts w:eastAsia="Times New Roman" w:cs="Times New Roman"/>
          <w:szCs w:val="20"/>
        </w:rPr>
        <w:noBreakHyphen/>
      </w:r>
      <w:r w:rsidRPr="00130F07">
        <w:rPr>
          <w:rFonts w:eastAsia="Times New Roman" w:cs="Times New Roman"/>
          <w:szCs w:val="20"/>
        </w:rPr>
        <w:t>change in reporting after</w:t>
      </w:r>
      <w:r w:rsidR="00104B34">
        <w:rPr>
          <w:rFonts w:eastAsia="Times New Roman" w:cs="Times New Roman"/>
          <w:szCs w:val="20"/>
        </w:rPr>
        <w:t xml:space="preserve"> the changeover from CLX to OMS. </w:t>
      </w:r>
      <w:r w:rsidRPr="00130F07">
        <w:rPr>
          <w:rFonts w:eastAsia="Times New Roman" w:cs="Times New Roman"/>
          <w:szCs w:val="20"/>
        </w:rPr>
        <w:t>In the full-year analysis, PSE found that the 2014 average SAIDI under 1.75 standard deviations was 30</w:t>
      </w:r>
      <w:r w:rsidR="00952BEC">
        <w:rPr>
          <w:rFonts w:eastAsia="Times New Roman" w:cs="Times New Roman"/>
          <w:szCs w:val="20"/>
        </w:rPr>
        <w:t xml:space="preserve"> </w:t>
      </w:r>
      <w:r w:rsidR="00661DA5">
        <w:rPr>
          <w:rFonts w:eastAsia="Times New Roman" w:cs="Times New Roman"/>
          <w:szCs w:val="20"/>
        </w:rPr>
        <w:t>percent</w:t>
      </w:r>
      <w:r w:rsidRPr="00130F07">
        <w:rPr>
          <w:rFonts w:eastAsia="Times New Roman" w:cs="Times New Roman"/>
          <w:szCs w:val="20"/>
        </w:rPr>
        <w:t xml:space="preserve"> higher than the 2007-2012 average.  In the January-September analysis, PSE found that 2014-2015 was 22</w:t>
      </w:r>
      <w:r w:rsidR="00D178B0">
        <w:rPr>
          <w:rFonts w:eastAsia="Times New Roman" w:cs="Times New Roman"/>
          <w:szCs w:val="20"/>
        </w:rPr>
        <w:t xml:space="preserve"> </w:t>
      </w:r>
      <w:r w:rsidR="00661DA5">
        <w:rPr>
          <w:rFonts w:eastAsia="Times New Roman" w:cs="Times New Roman"/>
          <w:szCs w:val="20"/>
        </w:rPr>
        <w:t>percent</w:t>
      </w:r>
      <w:r w:rsidRPr="00130F07">
        <w:rPr>
          <w:rFonts w:eastAsia="Times New Roman" w:cs="Times New Roman"/>
          <w:szCs w:val="20"/>
        </w:rPr>
        <w:t xml:space="preserve"> higher than the 2010-2012 average.</w:t>
      </w:r>
      <w:r w:rsidR="00DE2662" w:rsidRPr="00130F07">
        <w:rPr>
          <w:rFonts w:eastAsia="Times New Roman" w:cs="Times New Roman"/>
          <w:szCs w:val="20"/>
        </w:rPr>
        <w:t xml:space="preserve"> </w:t>
      </w:r>
    </w:p>
    <w:p w:rsidR="00ED2B40" w:rsidRDefault="00ED2B40" w:rsidP="00ED2B40">
      <w:pPr>
        <w:spacing w:before="0"/>
        <w:ind w:left="0" w:firstLine="720"/>
        <w:rPr>
          <w:rFonts w:eastAsia="Times New Roman" w:cs="Times New Roman"/>
          <w:szCs w:val="20"/>
        </w:rPr>
      </w:pPr>
      <w:r>
        <w:rPr>
          <w:rFonts w:eastAsia="Times New Roman" w:cs="Times New Roman"/>
          <w:szCs w:val="20"/>
        </w:rPr>
        <w:t xml:space="preserve">Figure 2, below, shows the results of PSE’s analysis using the 1.75 Beta Method.  The top line, representing the year 2014, is an average of 30 percent higher on days under 2.16 daily SAIDI minutes (1.75 Beta) than in pre-OMS years.  </w:t>
      </w:r>
    </w:p>
    <w:p w:rsidR="00130F07" w:rsidRPr="00130F07" w:rsidRDefault="00ED2B40" w:rsidP="00210620">
      <w:pPr>
        <w:numPr>
          <w:ilvl w:val="0"/>
          <w:numId w:val="0"/>
        </w:numPr>
        <w:spacing w:before="0" w:after="120" w:line="240" w:lineRule="auto"/>
        <w:jc w:val="center"/>
        <w:rPr>
          <w:rFonts w:eastAsia="Times New Roman" w:cs="Times New Roman"/>
          <w:szCs w:val="20"/>
        </w:rPr>
      </w:pPr>
      <w:r w:rsidRPr="00210620">
        <w:rPr>
          <w:rFonts w:eastAsia="Times New Roman" w:cs="Times New Roman"/>
          <w:b/>
          <w:szCs w:val="20"/>
        </w:rPr>
        <w:t xml:space="preserve">Figure 2:  PSE’s 1.75 Beta </w:t>
      </w:r>
      <w:r w:rsidR="00210620" w:rsidRPr="00210620">
        <w:rPr>
          <w:rFonts w:eastAsia="Times New Roman" w:cs="Times New Roman"/>
          <w:b/>
          <w:szCs w:val="20"/>
        </w:rPr>
        <w:t>Method</w:t>
      </w:r>
      <w:r w:rsidR="00210620">
        <w:rPr>
          <w:rFonts w:eastAsia="Times New Roman" w:cs="Times New Roman"/>
          <w:b/>
          <w:szCs w:val="20"/>
        </w:rPr>
        <w:t xml:space="preserve"> Blue-sky Daily SAIDI </w:t>
      </w:r>
      <w:r w:rsidRPr="00210620">
        <w:rPr>
          <w:rFonts w:eastAsia="Times New Roman" w:cs="Times New Roman"/>
          <w:b/>
          <w:szCs w:val="20"/>
        </w:rPr>
        <w:t>Analysis</w:t>
      </w:r>
      <w:r w:rsidR="00210620">
        <w:rPr>
          <w:rFonts w:ascii="Times New Roman Bold" w:eastAsia="Times New Roman" w:hAnsi="Times New Roman Bold" w:cs="Times New Roman"/>
          <w:b/>
          <w:szCs w:val="24"/>
        </w:rPr>
        <w:t> </w:t>
      </w:r>
      <w:r w:rsidR="00210620" w:rsidRPr="00210620">
        <w:rPr>
          <w:rFonts w:ascii="Times New Roman Bold" w:eastAsia="Times New Roman" w:hAnsi="Times New Roman Bold" w:cs="Times New Roman"/>
          <w:b/>
          <w:szCs w:val="24"/>
        </w:rPr>
        <w:t xml:space="preserve">Results </w:t>
      </w:r>
      <w:r w:rsidR="00130F07" w:rsidRPr="00130F07">
        <w:rPr>
          <w:rFonts w:eastAsia="Times New Roman" w:cs="Times New Roman"/>
          <w:noProof/>
          <w:szCs w:val="20"/>
        </w:rPr>
        <w:drawing>
          <wp:inline distT="0" distB="0" distL="0" distR="0" wp14:anchorId="7CAAAEF3" wp14:editId="3B069CF5">
            <wp:extent cx="5943600" cy="4019909"/>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0F07" w:rsidRPr="00130F07" w:rsidRDefault="00C43626" w:rsidP="001D2B46">
      <w:pPr>
        <w:spacing w:before="0"/>
        <w:ind w:left="0" w:firstLine="720"/>
        <w:rPr>
          <w:rFonts w:eastAsia="Times New Roman" w:cs="Times New Roman"/>
          <w:szCs w:val="20"/>
        </w:rPr>
      </w:pPr>
      <w:r>
        <w:rPr>
          <w:rFonts w:eastAsia="Times New Roman" w:cs="Times New Roman"/>
          <w:szCs w:val="20"/>
        </w:rPr>
        <w:t>As</w:t>
      </w:r>
      <w:r w:rsidR="00130F07" w:rsidRPr="00130F07">
        <w:rPr>
          <w:rFonts w:eastAsia="Times New Roman" w:cs="Times New Roman"/>
          <w:szCs w:val="20"/>
        </w:rPr>
        <w:t xml:space="preserve"> the literature research suggested, PSE has experienced a step-change in its </w:t>
      </w:r>
      <w:r>
        <w:rPr>
          <w:rFonts w:eastAsia="Times New Roman" w:cs="Times New Roman"/>
          <w:szCs w:val="20"/>
        </w:rPr>
        <w:t xml:space="preserve">reported </w:t>
      </w:r>
      <w:r w:rsidR="00130F07" w:rsidRPr="00130F07">
        <w:rPr>
          <w:rFonts w:eastAsia="Times New Roman" w:cs="Times New Roman"/>
          <w:szCs w:val="20"/>
        </w:rPr>
        <w:t xml:space="preserve">SAIDI </w:t>
      </w:r>
      <w:r w:rsidR="00FF0F76">
        <w:rPr>
          <w:rFonts w:eastAsia="Times New Roman" w:cs="Times New Roman"/>
          <w:szCs w:val="20"/>
        </w:rPr>
        <w:t>minutes</w:t>
      </w:r>
      <w:r w:rsidR="00130F07" w:rsidRPr="00130F07">
        <w:rPr>
          <w:rFonts w:eastAsia="Times New Roman" w:cs="Times New Roman"/>
          <w:szCs w:val="20"/>
        </w:rPr>
        <w:t xml:space="preserve"> following its installation of the OMS system and </w:t>
      </w:r>
      <w:r w:rsidR="00A4090E">
        <w:rPr>
          <w:rFonts w:eastAsia="Times New Roman" w:cs="Times New Roman"/>
          <w:szCs w:val="20"/>
        </w:rPr>
        <w:t>the</w:t>
      </w:r>
      <w:r w:rsidR="00FF0F76">
        <w:rPr>
          <w:rFonts w:eastAsia="Times New Roman" w:cs="Times New Roman"/>
          <w:szCs w:val="20"/>
        </w:rPr>
        <w:t xml:space="preserve"> </w:t>
      </w:r>
      <w:r w:rsidR="00130F07" w:rsidRPr="00130F07">
        <w:rPr>
          <w:rFonts w:eastAsia="Times New Roman" w:cs="Times New Roman"/>
          <w:szCs w:val="20"/>
        </w:rPr>
        <w:t>change of business processes</w:t>
      </w:r>
      <w:r w:rsidR="00FF0F76">
        <w:rPr>
          <w:rFonts w:eastAsia="Times New Roman" w:cs="Times New Roman"/>
          <w:szCs w:val="20"/>
        </w:rPr>
        <w:t xml:space="preserve"> that accompanied the OMS installation</w:t>
      </w:r>
      <w:r w:rsidR="00130F07" w:rsidRPr="00130F07">
        <w:rPr>
          <w:rFonts w:eastAsia="Times New Roman" w:cs="Times New Roman"/>
          <w:szCs w:val="20"/>
        </w:rPr>
        <w:t xml:space="preserve">.  The magnitude of this step-change is </w:t>
      </w:r>
      <w:r w:rsidR="00130F07" w:rsidRPr="00130F07">
        <w:rPr>
          <w:rFonts w:eastAsia="Times New Roman" w:cs="Times New Roman"/>
          <w:szCs w:val="20"/>
        </w:rPr>
        <w:lastRenderedPageBreak/>
        <w:t>consistent with national-level studies, consultant studies, and individual utility experiences over the past decade.  PSE’s analysis points to an average post-OMS average increase of 22</w:t>
      </w:r>
      <w:r w:rsidR="00D178B0">
        <w:rPr>
          <w:rFonts w:eastAsia="Times New Roman" w:cs="Times New Roman"/>
          <w:szCs w:val="20"/>
        </w:rPr>
        <w:t xml:space="preserve"> </w:t>
      </w:r>
      <w:r w:rsidR="00661DA5">
        <w:rPr>
          <w:rFonts w:eastAsia="Times New Roman" w:cs="Times New Roman"/>
          <w:szCs w:val="20"/>
        </w:rPr>
        <w:t>percent</w:t>
      </w:r>
      <w:r w:rsidR="00130F07" w:rsidRPr="00130F07">
        <w:rPr>
          <w:rFonts w:eastAsia="Times New Roman" w:cs="Times New Roman"/>
          <w:szCs w:val="20"/>
        </w:rPr>
        <w:t xml:space="preserve"> in its SAIDI reporting over its legacy CLX system and recommends that this factor be used to adjust pre-OMS data upward to make it comparable to the data obtained from OMS.  PSE believes that its analysis demonstrates the inadequacy of prior SAIDI benchmarks to assess PSE’s reliability </w:t>
      </w:r>
      <w:r w:rsidR="00486F7E">
        <w:rPr>
          <w:rFonts w:eastAsia="Times New Roman" w:cs="Times New Roman"/>
          <w:szCs w:val="20"/>
        </w:rPr>
        <w:t xml:space="preserve">performance </w:t>
      </w:r>
      <w:r w:rsidR="00130F07" w:rsidRPr="00130F07">
        <w:rPr>
          <w:rFonts w:eastAsia="Times New Roman" w:cs="Times New Roman"/>
          <w:szCs w:val="20"/>
        </w:rPr>
        <w:t>today, as these prior benchmarks relied upon a very different outage recording environment</w:t>
      </w:r>
      <w:r w:rsidR="00486F7E">
        <w:rPr>
          <w:rFonts w:eastAsia="Times New Roman" w:cs="Times New Roman"/>
          <w:szCs w:val="20"/>
        </w:rPr>
        <w:t xml:space="preserve"> and were not determined based upon IEEE Std 1366</w:t>
      </w:r>
      <w:r w:rsidR="00130F07" w:rsidRPr="00130F07">
        <w:rPr>
          <w:rFonts w:eastAsia="Times New Roman" w:cs="Times New Roman"/>
          <w:szCs w:val="20"/>
        </w:rPr>
        <w:t>.</w:t>
      </w:r>
    </w:p>
    <w:p w:rsidR="00130F07" w:rsidRPr="00322906" w:rsidRDefault="00130F07" w:rsidP="00322906">
      <w:pPr>
        <w:pStyle w:val="ListParagraph"/>
        <w:keepNext/>
        <w:keepLines/>
        <w:numPr>
          <w:ilvl w:val="0"/>
          <w:numId w:val="11"/>
        </w:numPr>
        <w:spacing w:before="0" w:line="240" w:lineRule="auto"/>
        <w:jc w:val="center"/>
        <w:outlineLvl w:val="0"/>
        <w:rPr>
          <w:rFonts w:ascii="Times New Roman Bold" w:eastAsia="Times New Roman" w:hAnsi="Times New Roman Bold" w:cs="Arial"/>
          <w:b/>
          <w:bCs/>
          <w:szCs w:val="32"/>
        </w:rPr>
      </w:pPr>
      <w:r w:rsidRPr="00322906">
        <w:rPr>
          <w:rFonts w:ascii="Times New Roman Bold" w:eastAsia="Times New Roman" w:hAnsi="Times New Roman Bold" w:cs="Arial"/>
          <w:b/>
          <w:bCs/>
          <w:szCs w:val="32"/>
        </w:rPr>
        <w:t>SUMMARY OF PROPOSAL</w:t>
      </w:r>
      <w:r w:rsidR="0020678E">
        <w:rPr>
          <w:rFonts w:ascii="Times New Roman Bold" w:eastAsia="Times New Roman" w:hAnsi="Times New Roman Bold" w:cs="Arial"/>
          <w:b/>
          <w:bCs/>
          <w:szCs w:val="32"/>
        </w:rPr>
        <w:t xml:space="preserve"> ELEMENTS</w:t>
      </w:r>
    </w:p>
    <w:p w:rsidR="00130F07" w:rsidRPr="00130F07" w:rsidRDefault="00130F07" w:rsidP="00F44D97">
      <w:pPr>
        <w:keepNext/>
        <w:keepLines/>
        <w:numPr>
          <w:ilvl w:val="0"/>
          <w:numId w:val="0"/>
        </w:numPr>
        <w:tabs>
          <w:tab w:val="left" w:pos="720"/>
        </w:tabs>
        <w:outlineLvl w:val="1"/>
        <w:rPr>
          <w:rFonts w:ascii="Times New Roman Bold" w:eastAsia="Times New Roman" w:hAnsi="Times New Roman Bold" w:cs="Arial"/>
          <w:b/>
          <w:bCs/>
          <w:iCs/>
          <w:szCs w:val="28"/>
        </w:rPr>
      </w:pPr>
      <w:r w:rsidRPr="00130F07">
        <w:rPr>
          <w:rFonts w:ascii="Times New Roman Bold" w:eastAsia="Times New Roman" w:hAnsi="Times New Roman Bold" w:cs="Arial"/>
          <w:b/>
          <w:bCs/>
          <w:iCs/>
          <w:szCs w:val="28"/>
        </w:rPr>
        <w:t>A.</w:t>
      </w:r>
      <w:r w:rsidRPr="00130F07">
        <w:rPr>
          <w:rFonts w:ascii="Times New Roman Bold" w:eastAsia="Times New Roman" w:hAnsi="Times New Roman Bold" w:cs="Arial"/>
          <w:b/>
          <w:bCs/>
          <w:iCs/>
          <w:szCs w:val="28"/>
        </w:rPr>
        <w:tab/>
        <w:t xml:space="preserve">Adoption of IEEE Std 1366 for </w:t>
      </w:r>
      <w:r w:rsidR="00056A01">
        <w:rPr>
          <w:rFonts w:ascii="Times New Roman Bold" w:eastAsia="Times New Roman" w:hAnsi="Times New Roman Bold" w:cs="Arial"/>
          <w:b/>
          <w:bCs/>
          <w:iCs/>
          <w:szCs w:val="28"/>
        </w:rPr>
        <w:t xml:space="preserve">SAIDI Calculation </w:t>
      </w:r>
    </w:p>
    <w:p w:rsidR="00130F07" w:rsidRPr="001D2B46" w:rsidRDefault="00130F07" w:rsidP="001D2B46">
      <w:pPr>
        <w:spacing w:before="0"/>
        <w:ind w:left="0" w:firstLine="720"/>
        <w:rPr>
          <w:rFonts w:eastAsia="Times New Roman" w:cs="Times New Roman"/>
          <w:szCs w:val="20"/>
        </w:rPr>
      </w:pPr>
      <w:r w:rsidRPr="001D2B46">
        <w:rPr>
          <w:rFonts w:eastAsia="Times New Roman" w:cs="Times New Roman"/>
          <w:szCs w:val="20"/>
        </w:rPr>
        <w:t xml:space="preserve">PSE </w:t>
      </w:r>
      <w:r w:rsidR="00E12265">
        <w:rPr>
          <w:rFonts w:eastAsia="Times New Roman" w:cs="Times New Roman"/>
          <w:szCs w:val="20"/>
        </w:rPr>
        <w:t>proposes to</w:t>
      </w:r>
      <w:r w:rsidRPr="001D2B46">
        <w:rPr>
          <w:rFonts w:eastAsia="Times New Roman" w:cs="Times New Roman"/>
          <w:szCs w:val="20"/>
        </w:rPr>
        <w:t xml:space="preserve"> adopt IEEE Std 1366 </w:t>
      </w:r>
      <w:r w:rsidR="00644EFC" w:rsidRPr="001D2B46">
        <w:rPr>
          <w:rFonts w:eastAsia="Times New Roman" w:cs="Times New Roman"/>
          <w:szCs w:val="20"/>
        </w:rPr>
        <w:t>for computing IEEE SAIDI</w:t>
      </w:r>
      <w:r w:rsidR="00E12265">
        <w:rPr>
          <w:rFonts w:eastAsia="Times New Roman" w:cs="Times New Roman"/>
          <w:szCs w:val="20"/>
        </w:rPr>
        <w:t>,</w:t>
      </w:r>
      <w:r w:rsidR="00644EFC" w:rsidRPr="001D2B46">
        <w:rPr>
          <w:rFonts w:eastAsia="Times New Roman" w:cs="Times New Roman"/>
          <w:szCs w:val="20"/>
        </w:rPr>
        <w:t xml:space="preserve"> </w:t>
      </w:r>
      <w:r w:rsidRPr="001D2B46">
        <w:rPr>
          <w:rFonts w:eastAsia="Times New Roman" w:cs="Times New Roman"/>
          <w:szCs w:val="20"/>
        </w:rPr>
        <w:t>which includes defining a sustained outage as an outage greater than five minutes of interruption, and adopting the IEEE T</w:t>
      </w:r>
      <w:r w:rsidRPr="00486F7E">
        <w:rPr>
          <w:rFonts w:eastAsia="Times New Roman" w:cs="Times New Roman"/>
          <w:szCs w:val="20"/>
          <w:vertAlign w:val="subscript"/>
        </w:rPr>
        <w:t>MED</w:t>
      </w:r>
      <w:r w:rsidRPr="001D2B46">
        <w:rPr>
          <w:rFonts w:eastAsia="Times New Roman" w:cs="Times New Roman"/>
          <w:szCs w:val="20"/>
        </w:rPr>
        <w:t xml:space="preserve"> approach to determine Major-Event exclusions.</w:t>
      </w:r>
    </w:p>
    <w:p w:rsidR="00130F07" w:rsidRPr="00130F07" w:rsidRDefault="00130F07" w:rsidP="00F44D97">
      <w:pPr>
        <w:keepNext/>
        <w:keepLines/>
        <w:numPr>
          <w:ilvl w:val="0"/>
          <w:numId w:val="0"/>
        </w:numPr>
        <w:tabs>
          <w:tab w:val="left" w:pos="720"/>
        </w:tabs>
        <w:spacing w:before="0"/>
        <w:outlineLvl w:val="1"/>
        <w:rPr>
          <w:rFonts w:ascii="Times New Roman Bold" w:eastAsia="Times New Roman" w:hAnsi="Times New Roman Bold" w:cs="Arial"/>
          <w:b/>
          <w:bCs/>
          <w:iCs/>
          <w:szCs w:val="28"/>
        </w:rPr>
      </w:pPr>
      <w:r w:rsidRPr="00130F07">
        <w:rPr>
          <w:rFonts w:ascii="Times New Roman Bold" w:eastAsia="Times New Roman" w:hAnsi="Times New Roman Bold" w:cs="Arial"/>
          <w:b/>
          <w:bCs/>
          <w:iCs/>
          <w:szCs w:val="28"/>
        </w:rPr>
        <w:t>B.</w:t>
      </w:r>
      <w:r w:rsidRPr="00130F07">
        <w:rPr>
          <w:rFonts w:ascii="Times New Roman Bold" w:eastAsia="Times New Roman" w:hAnsi="Times New Roman Bold" w:cs="Arial"/>
          <w:b/>
          <w:bCs/>
          <w:iCs/>
          <w:szCs w:val="28"/>
        </w:rPr>
        <w:tab/>
        <w:t>Addressing Catastrophic Events</w:t>
      </w:r>
    </w:p>
    <w:p w:rsidR="00130F07" w:rsidRPr="00130F07" w:rsidRDefault="00130F07" w:rsidP="001D2B46">
      <w:pPr>
        <w:spacing w:before="0"/>
        <w:ind w:left="0" w:firstLine="720"/>
        <w:rPr>
          <w:rFonts w:eastAsia="Times New Roman" w:cs="Times New Roman"/>
          <w:szCs w:val="20"/>
        </w:rPr>
      </w:pPr>
      <w:r w:rsidRPr="00130F07">
        <w:rPr>
          <w:rFonts w:eastAsia="Times New Roman" w:cs="Times New Roman"/>
          <w:szCs w:val="20"/>
        </w:rPr>
        <w:t xml:space="preserve">PSE proposes establishing an objective alternative to the petition process for excluding extraordinary events from </w:t>
      </w:r>
      <w:r w:rsidR="00056A01">
        <w:rPr>
          <w:rFonts w:eastAsia="Times New Roman" w:cs="Times New Roman"/>
          <w:szCs w:val="20"/>
        </w:rPr>
        <w:t>the</w:t>
      </w:r>
      <w:r w:rsidRPr="00130F07">
        <w:rPr>
          <w:rFonts w:eastAsia="Times New Roman" w:cs="Times New Roman"/>
          <w:szCs w:val="20"/>
        </w:rPr>
        <w:t xml:space="preserve"> T</w:t>
      </w:r>
      <w:r w:rsidRPr="00486F7E">
        <w:rPr>
          <w:rFonts w:eastAsia="Times New Roman" w:cs="Times New Roman"/>
          <w:szCs w:val="20"/>
          <w:vertAlign w:val="subscript"/>
        </w:rPr>
        <w:t>MED</w:t>
      </w:r>
      <w:r w:rsidRPr="00130F07">
        <w:rPr>
          <w:rFonts w:eastAsia="Times New Roman" w:cs="Times New Roman"/>
          <w:szCs w:val="20"/>
        </w:rPr>
        <w:t xml:space="preserve"> calculation.  PSE proposes to set the threshold for catastrophic events at 4.5 </w:t>
      </w:r>
      <w:r w:rsidR="00C0100D">
        <w:rPr>
          <w:rFonts w:eastAsia="Times New Roman" w:cs="Times New Roman"/>
          <w:szCs w:val="20"/>
        </w:rPr>
        <w:t>s</w:t>
      </w:r>
      <w:r w:rsidRPr="00130F07">
        <w:rPr>
          <w:rFonts w:eastAsia="Times New Roman" w:cs="Times New Roman"/>
          <w:szCs w:val="20"/>
        </w:rPr>
        <w:t xml:space="preserve">tandard </w:t>
      </w:r>
      <w:r w:rsidR="00C0100D">
        <w:rPr>
          <w:rFonts w:eastAsia="Times New Roman" w:cs="Times New Roman"/>
          <w:szCs w:val="20"/>
        </w:rPr>
        <w:t>d</w:t>
      </w:r>
      <w:r w:rsidRPr="00130F07">
        <w:rPr>
          <w:rFonts w:eastAsia="Times New Roman" w:cs="Times New Roman"/>
          <w:szCs w:val="20"/>
        </w:rPr>
        <w:t>eviations above the daily system SAIDI</w:t>
      </w:r>
      <w:r w:rsidR="00644EFC">
        <w:rPr>
          <w:rFonts w:eastAsia="Times New Roman" w:cs="Times New Roman"/>
          <w:szCs w:val="20"/>
        </w:rPr>
        <w:t>. This is</w:t>
      </w:r>
      <w:r w:rsidRPr="00130F07">
        <w:rPr>
          <w:rFonts w:eastAsia="Times New Roman" w:cs="Times New Roman"/>
          <w:szCs w:val="20"/>
        </w:rPr>
        <w:t xml:space="preserve"> based on </w:t>
      </w:r>
      <w:r w:rsidR="00E56731">
        <w:rPr>
          <w:rFonts w:eastAsia="Times New Roman" w:cs="Times New Roman"/>
          <w:szCs w:val="20"/>
        </w:rPr>
        <w:t xml:space="preserve">(i) </w:t>
      </w:r>
      <w:r w:rsidRPr="00130F07">
        <w:rPr>
          <w:rFonts w:eastAsia="Times New Roman" w:cs="Times New Roman"/>
          <w:szCs w:val="20"/>
        </w:rPr>
        <w:t>the direction of the IEEE Distribution Reliability Working Group</w:t>
      </w:r>
      <w:r w:rsidR="00E56731">
        <w:rPr>
          <w:rFonts w:eastAsia="Times New Roman" w:cs="Times New Roman"/>
          <w:szCs w:val="20"/>
        </w:rPr>
        <w:t>;</w:t>
      </w:r>
      <w:r w:rsidRPr="00130F07">
        <w:rPr>
          <w:rFonts w:eastAsia="Times New Roman" w:cs="Times New Roman"/>
          <w:szCs w:val="20"/>
        </w:rPr>
        <w:t xml:space="preserve"> and </w:t>
      </w:r>
      <w:r w:rsidR="00E56731">
        <w:rPr>
          <w:rFonts w:eastAsia="Times New Roman" w:cs="Times New Roman"/>
          <w:szCs w:val="20"/>
        </w:rPr>
        <w:t xml:space="preserve">(ii) </w:t>
      </w:r>
      <w:r w:rsidR="00644EFC">
        <w:rPr>
          <w:rFonts w:eastAsia="Times New Roman" w:cs="Times New Roman"/>
          <w:szCs w:val="20"/>
        </w:rPr>
        <w:t>PSE’s</w:t>
      </w:r>
      <w:r w:rsidRPr="00130F07">
        <w:rPr>
          <w:rFonts w:eastAsia="Times New Roman" w:cs="Times New Roman"/>
          <w:szCs w:val="20"/>
        </w:rPr>
        <w:t xml:space="preserve"> </w:t>
      </w:r>
      <w:r w:rsidR="00FF0F76">
        <w:rPr>
          <w:rFonts w:eastAsia="Times New Roman" w:cs="Times New Roman"/>
          <w:szCs w:val="20"/>
        </w:rPr>
        <w:t xml:space="preserve">retrospective </w:t>
      </w:r>
      <w:r w:rsidRPr="00130F07">
        <w:rPr>
          <w:rFonts w:eastAsia="Times New Roman" w:cs="Times New Roman"/>
          <w:szCs w:val="20"/>
        </w:rPr>
        <w:t>analysis</w:t>
      </w:r>
      <w:r w:rsidR="0055255A">
        <w:rPr>
          <w:rFonts w:eastAsia="Times New Roman" w:cs="Times New Roman"/>
          <w:szCs w:val="20"/>
        </w:rPr>
        <w:t>,</w:t>
      </w:r>
      <w:r w:rsidRPr="00130F07">
        <w:rPr>
          <w:rFonts w:eastAsia="Times New Roman" w:cs="Times New Roman"/>
          <w:szCs w:val="20"/>
        </w:rPr>
        <w:t xml:space="preserve"> </w:t>
      </w:r>
      <w:r w:rsidR="00FF0F76">
        <w:rPr>
          <w:rFonts w:eastAsia="Times New Roman" w:cs="Times New Roman"/>
          <w:szCs w:val="20"/>
        </w:rPr>
        <w:t xml:space="preserve">which demonstrates </w:t>
      </w:r>
      <w:r w:rsidR="00644EFC">
        <w:rPr>
          <w:rFonts w:eastAsia="Times New Roman" w:cs="Times New Roman"/>
          <w:szCs w:val="20"/>
        </w:rPr>
        <w:t xml:space="preserve">that the </w:t>
      </w:r>
      <w:r w:rsidR="00E56731">
        <w:rPr>
          <w:rFonts w:eastAsia="Times New Roman" w:cs="Times New Roman"/>
          <w:szCs w:val="20"/>
        </w:rPr>
        <w:t xml:space="preserve">results of the </w:t>
      </w:r>
      <w:r w:rsidR="00FF0F76">
        <w:rPr>
          <w:rFonts w:eastAsia="Times New Roman" w:cs="Times New Roman"/>
          <w:szCs w:val="20"/>
        </w:rPr>
        <w:t xml:space="preserve">proposed </w:t>
      </w:r>
      <w:r w:rsidR="00644EFC">
        <w:rPr>
          <w:rFonts w:eastAsia="Times New Roman" w:cs="Times New Roman"/>
          <w:szCs w:val="20"/>
        </w:rPr>
        <w:t>4.5 Beta</w:t>
      </w:r>
      <w:r w:rsidRPr="00130F07">
        <w:rPr>
          <w:rFonts w:eastAsia="Times New Roman" w:cs="Times New Roman"/>
          <w:szCs w:val="20"/>
        </w:rPr>
        <w:t xml:space="preserve"> threshold</w:t>
      </w:r>
      <w:r w:rsidR="00486F7E">
        <w:rPr>
          <w:rFonts w:eastAsia="Times New Roman" w:cs="Times New Roman"/>
          <w:szCs w:val="20"/>
        </w:rPr>
        <w:t>, T</w:t>
      </w:r>
      <w:r w:rsidR="00486F7E" w:rsidRPr="00486F7E">
        <w:rPr>
          <w:rFonts w:eastAsia="Times New Roman" w:cs="Times New Roman"/>
          <w:szCs w:val="20"/>
          <w:vertAlign w:val="subscript"/>
        </w:rPr>
        <w:t>CAT</w:t>
      </w:r>
      <w:r w:rsidR="00FF0F76">
        <w:rPr>
          <w:rFonts w:eastAsia="Times New Roman" w:cs="Times New Roman"/>
          <w:szCs w:val="20"/>
          <w:vertAlign w:val="subscript"/>
        </w:rPr>
        <w:t xml:space="preserve"> </w:t>
      </w:r>
      <w:r w:rsidRPr="00130F07">
        <w:rPr>
          <w:rFonts w:eastAsia="Times New Roman" w:cs="Times New Roman"/>
          <w:szCs w:val="20"/>
        </w:rPr>
        <w:t xml:space="preserve"> </w:t>
      </w:r>
      <w:r w:rsidR="00E56731">
        <w:rPr>
          <w:rFonts w:eastAsia="Times New Roman" w:cs="Times New Roman"/>
          <w:szCs w:val="20"/>
        </w:rPr>
        <w:t xml:space="preserve">applied to the time period 2006-2014 </w:t>
      </w:r>
      <w:r w:rsidR="00FF0F76">
        <w:rPr>
          <w:rFonts w:eastAsia="Times New Roman" w:cs="Times New Roman"/>
          <w:szCs w:val="20"/>
        </w:rPr>
        <w:t xml:space="preserve">closely </w:t>
      </w:r>
      <w:r w:rsidRPr="00130F07">
        <w:rPr>
          <w:rFonts w:eastAsia="Times New Roman" w:cs="Times New Roman"/>
          <w:szCs w:val="20"/>
        </w:rPr>
        <w:t xml:space="preserve">matches the events </w:t>
      </w:r>
      <w:r w:rsidR="00E56731">
        <w:rPr>
          <w:rFonts w:eastAsia="Times New Roman" w:cs="Times New Roman"/>
          <w:szCs w:val="20"/>
        </w:rPr>
        <w:t>approved for exclusion by the</w:t>
      </w:r>
      <w:r w:rsidR="00486F7E">
        <w:rPr>
          <w:rFonts w:eastAsia="Times New Roman" w:cs="Times New Roman"/>
          <w:szCs w:val="20"/>
        </w:rPr>
        <w:t xml:space="preserve"> Commission in the SQI SAIDI performance evaluation</w:t>
      </w:r>
      <w:r w:rsidRPr="00130F07">
        <w:rPr>
          <w:rFonts w:eastAsia="Times New Roman" w:cs="Times New Roman"/>
          <w:szCs w:val="20"/>
        </w:rPr>
        <w:t>.</w:t>
      </w:r>
    </w:p>
    <w:p w:rsidR="00423DF2" w:rsidRPr="00423DF2" w:rsidRDefault="00F37802" w:rsidP="006E6D6E">
      <w:pPr>
        <w:keepNext/>
        <w:keepLines/>
        <w:numPr>
          <w:ilvl w:val="0"/>
          <w:numId w:val="0"/>
        </w:numPr>
        <w:tabs>
          <w:tab w:val="left" w:pos="720"/>
        </w:tabs>
        <w:spacing w:before="0" w:after="240" w:line="240" w:lineRule="auto"/>
        <w:ind w:left="720" w:hanging="720"/>
        <w:outlineLvl w:val="1"/>
        <w:rPr>
          <w:rFonts w:ascii="Times New Roman Bold" w:eastAsia="Times New Roman" w:hAnsi="Times New Roman Bold" w:cs="Arial"/>
          <w:b/>
          <w:bCs/>
          <w:iCs/>
          <w:szCs w:val="28"/>
        </w:rPr>
      </w:pPr>
      <w:r>
        <w:rPr>
          <w:rFonts w:ascii="Times New Roman Bold" w:eastAsia="Times New Roman" w:hAnsi="Times New Roman Bold" w:cs="Arial"/>
          <w:b/>
          <w:bCs/>
          <w:iCs/>
          <w:szCs w:val="28"/>
        </w:rPr>
        <w:t>C.</w:t>
      </w:r>
      <w:r w:rsidR="00423DF2">
        <w:rPr>
          <w:rFonts w:ascii="Times New Roman Bold" w:eastAsia="Times New Roman" w:hAnsi="Times New Roman Bold" w:cs="Arial"/>
          <w:b/>
          <w:bCs/>
          <w:iCs/>
          <w:szCs w:val="28"/>
        </w:rPr>
        <w:tab/>
      </w:r>
      <w:r w:rsidR="00423DF2" w:rsidRPr="00423DF2">
        <w:rPr>
          <w:rFonts w:ascii="Times New Roman Bold" w:eastAsia="Times New Roman" w:hAnsi="Times New Roman Bold" w:cs="Arial"/>
          <w:b/>
          <w:bCs/>
          <w:iCs/>
          <w:szCs w:val="28"/>
        </w:rPr>
        <w:t xml:space="preserve">Adjusting </w:t>
      </w:r>
      <w:r w:rsidR="00423DF2">
        <w:rPr>
          <w:rFonts w:ascii="Times New Roman Bold" w:eastAsia="Times New Roman" w:hAnsi="Times New Roman Bold" w:cs="Arial"/>
          <w:b/>
          <w:bCs/>
          <w:iCs/>
          <w:szCs w:val="28"/>
        </w:rPr>
        <w:t>P</w:t>
      </w:r>
      <w:r w:rsidR="00423DF2" w:rsidRPr="00423DF2">
        <w:rPr>
          <w:rFonts w:ascii="Times New Roman Bold" w:eastAsia="Times New Roman" w:hAnsi="Times New Roman Bold" w:cs="Arial"/>
          <w:b/>
          <w:bCs/>
          <w:iCs/>
          <w:szCs w:val="28"/>
        </w:rPr>
        <w:t xml:space="preserve">re-OMS IEEE SAIDI </w:t>
      </w:r>
      <w:r w:rsidR="009F6115">
        <w:rPr>
          <w:rFonts w:ascii="Times New Roman Bold" w:eastAsia="Times New Roman" w:hAnsi="Times New Roman Bold" w:cs="Arial"/>
          <w:b/>
          <w:bCs/>
          <w:iCs/>
          <w:szCs w:val="28"/>
        </w:rPr>
        <w:t>R</w:t>
      </w:r>
      <w:r w:rsidR="0020678E">
        <w:rPr>
          <w:rFonts w:ascii="Times New Roman Bold" w:eastAsia="Times New Roman" w:hAnsi="Times New Roman Bold" w:cs="Arial"/>
          <w:b/>
          <w:bCs/>
          <w:iCs/>
          <w:szCs w:val="28"/>
        </w:rPr>
        <w:t>esults</w:t>
      </w:r>
      <w:r w:rsidR="00DE5BE3">
        <w:rPr>
          <w:rFonts w:ascii="Times New Roman Bold" w:eastAsia="Times New Roman" w:hAnsi="Times New Roman Bold" w:cs="Arial"/>
          <w:b/>
          <w:bCs/>
          <w:iCs/>
          <w:szCs w:val="28"/>
        </w:rPr>
        <w:t xml:space="preserve"> for use in the </w:t>
      </w:r>
      <w:r w:rsidR="0020678E">
        <w:rPr>
          <w:rFonts w:ascii="Times New Roman Bold" w:eastAsia="Times New Roman" w:hAnsi="Times New Roman Bold" w:cs="Arial"/>
          <w:b/>
          <w:bCs/>
          <w:iCs/>
          <w:szCs w:val="28"/>
        </w:rPr>
        <w:t xml:space="preserve">SQI SAIDI </w:t>
      </w:r>
      <w:r w:rsidR="00DE5BE3">
        <w:rPr>
          <w:rFonts w:ascii="Times New Roman Bold" w:eastAsia="Times New Roman" w:hAnsi="Times New Roman Bold" w:cs="Arial"/>
          <w:b/>
          <w:bCs/>
          <w:iCs/>
          <w:szCs w:val="28"/>
        </w:rPr>
        <w:t xml:space="preserve">Benchmark </w:t>
      </w:r>
      <w:r w:rsidR="001443DC">
        <w:rPr>
          <w:rFonts w:ascii="Times New Roman Bold" w:eastAsia="Times New Roman" w:hAnsi="Times New Roman Bold" w:cs="Arial"/>
          <w:b/>
          <w:bCs/>
          <w:iCs/>
          <w:szCs w:val="28"/>
        </w:rPr>
        <w:t>Calculation</w:t>
      </w:r>
    </w:p>
    <w:p w:rsidR="00423DF2" w:rsidRPr="00423DF2" w:rsidRDefault="009F6115" w:rsidP="001D2B46">
      <w:pPr>
        <w:spacing w:before="0"/>
        <w:ind w:left="0" w:firstLine="720"/>
        <w:rPr>
          <w:rFonts w:eastAsia="Times New Roman" w:cs="Times New Roman"/>
          <w:szCs w:val="20"/>
        </w:rPr>
      </w:pPr>
      <w:r>
        <w:rPr>
          <w:rFonts w:eastAsia="Times New Roman" w:cs="Times New Roman"/>
          <w:szCs w:val="20"/>
        </w:rPr>
        <w:t>T</w:t>
      </w:r>
      <w:r w:rsidR="00423DF2" w:rsidRPr="00423DF2">
        <w:rPr>
          <w:rFonts w:eastAsia="Times New Roman" w:cs="Times New Roman"/>
          <w:szCs w:val="20"/>
        </w:rPr>
        <w:t xml:space="preserve">he changeover to an OMS tied to a GIS results in the adoption of a different and more accurate method of </w:t>
      </w:r>
      <w:r w:rsidR="00CE02A6">
        <w:rPr>
          <w:rFonts w:eastAsia="Times New Roman" w:cs="Times New Roman"/>
          <w:szCs w:val="20"/>
        </w:rPr>
        <w:t>identifying and</w:t>
      </w:r>
      <w:r w:rsidR="00423DF2" w:rsidRPr="00423DF2">
        <w:rPr>
          <w:rFonts w:eastAsia="Times New Roman" w:cs="Times New Roman"/>
          <w:szCs w:val="20"/>
        </w:rPr>
        <w:t xml:space="preserve"> measur</w:t>
      </w:r>
      <w:r w:rsidR="00CE02A6">
        <w:rPr>
          <w:rFonts w:eastAsia="Times New Roman" w:cs="Times New Roman"/>
          <w:szCs w:val="20"/>
        </w:rPr>
        <w:t>ing</w:t>
      </w:r>
      <w:r w:rsidR="00423DF2" w:rsidRPr="00423DF2">
        <w:rPr>
          <w:rFonts w:eastAsia="Times New Roman" w:cs="Times New Roman"/>
          <w:szCs w:val="20"/>
        </w:rPr>
        <w:t xml:space="preserve"> outages</w:t>
      </w:r>
      <w:r w:rsidR="001131BC">
        <w:rPr>
          <w:rFonts w:eastAsia="Times New Roman" w:cs="Times New Roman"/>
          <w:szCs w:val="20"/>
        </w:rPr>
        <w:t>, and</w:t>
      </w:r>
      <w:r w:rsidR="001131BC" w:rsidRPr="00423DF2">
        <w:rPr>
          <w:rFonts w:eastAsia="Times New Roman" w:cs="Times New Roman"/>
          <w:szCs w:val="20"/>
        </w:rPr>
        <w:t xml:space="preserve"> </w:t>
      </w:r>
      <w:r w:rsidR="00F73CA6">
        <w:rPr>
          <w:rFonts w:eastAsia="Times New Roman" w:cs="Times New Roman"/>
          <w:szCs w:val="20"/>
        </w:rPr>
        <w:t xml:space="preserve">allows the utilities to shift </w:t>
      </w:r>
      <w:r w:rsidR="00423DF2" w:rsidRPr="00423DF2">
        <w:rPr>
          <w:rFonts w:eastAsia="Times New Roman" w:cs="Times New Roman"/>
          <w:szCs w:val="20"/>
        </w:rPr>
        <w:t xml:space="preserve">to an </w:t>
      </w:r>
      <w:r w:rsidR="00423DF2" w:rsidRPr="00423DF2">
        <w:rPr>
          <w:rFonts w:eastAsia="Times New Roman" w:cs="Times New Roman"/>
          <w:szCs w:val="20"/>
        </w:rPr>
        <w:lastRenderedPageBreak/>
        <w:t>automated tool that models the most current electrical connectivity down to the customer level. Once fully implemented and stabilized, an OMS can capture more complete and consisten</w:t>
      </w:r>
      <w:r w:rsidR="00DE5BE3">
        <w:rPr>
          <w:rFonts w:eastAsia="Times New Roman" w:cs="Times New Roman"/>
          <w:szCs w:val="20"/>
        </w:rPr>
        <w:t>t data.  Without an adjustment of the</w:t>
      </w:r>
      <w:r w:rsidR="00423DF2" w:rsidRPr="00423DF2">
        <w:rPr>
          <w:rFonts w:eastAsia="Times New Roman" w:cs="Times New Roman"/>
          <w:szCs w:val="20"/>
        </w:rPr>
        <w:t xml:space="preserve"> pre-OMS </w:t>
      </w:r>
      <w:r w:rsidR="00DE5BE3">
        <w:rPr>
          <w:rFonts w:eastAsia="Times New Roman" w:cs="Times New Roman"/>
          <w:szCs w:val="20"/>
        </w:rPr>
        <w:t xml:space="preserve">IEEE </w:t>
      </w:r>
      <w:r w:rsidR="00423DF2" w:rsidRPr="00423DF2">
        <w:rPr>
          <w:rFonts w:eastAsia="Times New Roman" w:cs="Times New Roman"/>
          <w:szCs w:val="20"/>
        </w:rPr>
        <w:t xml:space="preserve">SAIDI </w:t>
      </w:r>
      <w:r>
        <w:rPr>
          <w:rFonts w:eastAsia="Times New Roman" w:cs="Times New Roman"/>
          <w:szCs w:val="20"/>
        </w:rPr>
        <w:t>results</w:t>
      </w:r>
      <w:r w:rsidR="00423DF2" w:rsidRPr="00423DF2">
        <w:rPr>
          <w:rFonts w:eastAsia="Times New Roman" w:cs="Times New Roman"/>
          <w:szCs w:val="20"/>
        </w:rPr>
        <w:t xml:space="preserve">, the legacy </w:t>
      </w:r>
      <w:r w:rsidR="00DE5BE3">
        <w:rPr>
          <w:rFonts w:eastAsia="Times New Roman" w:cs="Times New Roman"/>
          <w:szCs w:val="20"/>
        </w:rPr>
        <w:t xml:space="preserve">IEEE SAIDI </w:t>
      </w:r>
      <w:r w:rsidR="00423DF2" w:rsidRPr="00423DF2">
        <w:rPr>
          <w:rFonts w:eastAsia="Times New Roman" w:cs="Times New Roman"/>
          <w:szCs w:val="20"/>
        </w:rPr>
        <w:t xml:space="preserve">values derived from different processes in </w:t>
      </w:r>
      <w:r w:rsidR="00DE5BE3">
        <w:rPr>
          <w:rFonts w:eastAsia="Times New Roman" w:cs="Times New Roman"/>
          <w:szCs w:val="20"/>
        </w:rPr>
        <w:t>the</w:t>
      </w:r>
      <w:r w:rsidR="00423DF2" w:rsidRPr="00423DF2">
        <w:rPr>
          <w:rFonts w:eastAsia="Times New Roman" w:cs="Times New Roman"/>
          <w:szCs w:val="20"/>
        </w:rPr>
        <w:t xml:space="preserve"> </w:t>
      </w:r>
      <w:r w:rsidR="00DE5BE3">
        <w:rPr>
          <w:rFonts w:eastAsia="Times New Roman" w:cs="Times New Roman"/>
          <w:szCs w:val="20"/>
        </w:rPr>
        <w:t>B</w:t>
      </w:r>
      <w:r w:rsidR="00423DF2" w:rsidRPr="00423DF2">
        <w:rPr>
          <w:rFonts w:eastAsia="Times New Roman" w:cs="Times New Roman"/>
          <w:szCs w:val="20"/>
        </w:rPr>
        <w:t xml:space="preserve">enchmark </w:t>
      </w:r>
      <w:r w:rsidR="00DE5BE3">
        <w:rPr>
          <w:rFonts w:eastAsia="Times New Roman" w:cs="Times New Roman"/>
          <w:szCs w:val="20"/>
        </w:rPr>
        <w:t>C</w:t>
      </w:r>
      <w:r w:rsidR="00423DF2" w:rsidRPr="00423DF2">
        <w:rPr>
          <w:rFonts w:eastAsia="Times New Roman" w:cs="Times New Roman"/>
          <w:szCs w:val="20"/>
        </w:rPr>
        <w:t>alculation could prevent the benchmark from being an objective standard for post-OMS performance.</w:t>
      </w:r>
      <w:r w:rsidR="001443DC">
        <w:rPr>
          <w:rFonts w:eastAsia="Times New Roman" w:cs="Times New Roman"/>
          <w:szCs w:val="20"/>
        </w:rPr>
        <w:t xml:space="preserve">  For the purposes of the Benchmark Calculation, PSE proposes adjusting pre-OMS IEEE SAIDI by a fixed adjustment factor.</w:t>
      </w:r>
    </w:p>
    <w:p w:rsidR="00423DF2" w:rsidRPr="00130F07" w:rsidRDefault="001131BC" w:rsidP="00F44D97">
      <w:pPr>
        <w:keepNext/>
        <w:keepLines/>
        <w:numPr>
          <w:ilvl w:val="0"/>
          <w:numId w:val="0"/>
        </w:numPr>
        <w:tabs>
          <w:tab w:val="left" w:pos="720"/>
        </w:tabs>
        <w:spacing w:before="0"/>
        <w:outlineLvl w:val="1"/>
        <w:rPr>
          <w:rFonts w:ascii="Times New Roman Bold" w:eastAsia="Times New Roman" w:hAnsi="Times New Roman Bold" w:cs="Arial"/>
          <w:b/>
          <w:bCs/>
          <w:iCs/>
          <w:szCs w:val="28"/>
        </w:rPr>
      </w:pPr>
      <w:r>
        <w:rPr>
          <w:rFonts w:ascii="Times New Roman Bold" w:eastAsia="Times New Roman" w:hAnsi="Times New Roman Bold" w:cs="Arial"/>
          <w:b/>
          <w:bCs/>
          <w:iCs/>
          <w:szCs w:val="28"/>
        </w:rPr>
        <w:t>D</w:t>
      </w:r>
      <w:r w:rsidR="00423DF2" w:rsidRPr="00130F07">
        <w:rPr>
          <w:rFonts w:ascii="Times New Roman Bold" w:eastAsia="Times New Roman" w:hAnsi="Times New Roman Bold" w:cs="Arial"/>
          <w:b/>
          <w:bCs/>
          <w:iCs/>
          <w:szCs w:val="28"/>
        </w:rPr>
        <w:t>.</w:t>
      </w:r>
      <w:r w:rsidR="00423DF2" w:rsidRPr="00130F07">
        <w:rPr>
          <w:rFonts w:ascii="Times New Roman Bold" w:eastAsia="Times New Roman" w:hAnsi="Times New Roman Bold" w:cs="Arial"/>
          <w:b/>
          <w:bCs/>
          <w:iCs/>
          <w:szCs w:val="28"/>
        </w:rPr>
        <w:tab/>
        <w:t>Pre-OMS Data Adjustment Factor Set at 22</w:t>
      </w:r>
      <w:r w:rsidR="00D178B0">
        <w:rPr>
          <w:rFonts w:ascii="Times New Roman Bold" w:eastAsia="Times New Roman" w:hAnsi="Times New Roman Bold" w:cs="Arial"/>
          <w:b/>
          <w:bCs/>
          <w:iCs/>
          <w:szCs w:val="28"/>
        </w:rPr>
        <w:t xml:space="preserve"> </w:t>
      </w:r>
      <w:r w:rsidR="00B80BAF">
        <w:rPr>
          <w:rFonts w:ascii="Times New Roman Bold" w:eastAsia="Times New Roman" w:hAnsi="Times New Roman Bold" w:cs="Arial"/>
          <w:b/>
          <w:bCs/>
          <w:iCs/>
          <w:szCs w:val="28"/>
        </w:rPr>
        <w:t>P</w:t>
      </w:r>
      <w:r w:rsidR="00661DA5">
        <w:rPr>
          <w:rFonts w:ascii="Times New Roman Bold" w:eastAsia="Times New Roman" w:hAnsi="Times New Roman Bold" w:cs="Arial"/>
          <w:b/>
          <w:bCs/>
          <w:iCs/>
          <w:szCs w:val="28"/>
        </w:rPr>
        <w:t>ercent</w:t>
      </w:r>
      <w:r w:rsidR="004D4203">
        <w:rPr>
          <w:rFonts w:ascii="Times New Roman Bold" w:eastAsia="Times New Roman" w:hAnsi="Times New Roman Bold" w:cs="Arial"/>
          <w:b/>
          <w:bCs/>
          <w:iCs/>
          <w:szCs w:val="28"/>
        </w:rPr>
        <w:t xml:space="preserve"> in the Benchmark Calculation</w:t>
      </w:r>
    </w:p>
    <w:p w:rsidR="00423DF2" w:rsidRPr="001D2B46" w:rsidRDefault="009F6115" w:rsidP="001D2B46">
      <w:pPr>
        <w:spacing w:before="0"/>
        <w:ind w:left="0" w:firstLine="720"/>
        <w:rPr>
          <w:rFonts w:eastAsia="Times New Roman" w:cs="Times New Roman"/>
          <w:szCs w:val="20"/>
        </w:rPr>
      </w:pPr>
      <w:r w:rsidRPr="001D2B46">
        <w:rPr>
          <w:rFonts w:eastAsia="Times New Roman" w:cs="Times New Roman"/>
          <w:szCs w:val="20"/>
        </w:rPr>
        <w:t>PSE proposes a p</w:t>
      </w:r>
      <w:r w:rsidRPr="009F6115">
        <w:rPr>
          <w:rFonts w:eastAsia="Times New Roman" w:cs="Times New Roman"/>
          <w:szCs w:val="20"/>
        </w:rPr>
        <w:t>re</w:t>
      </w:r>
      <w:r w:rsidR="004B56E9">
        <w:rPr>
          <w:rFonts w:eastAsia="Times New Roman" w:cs="Times New Roman"/>
          <w:szCs w:val="20"/>
        </w:rPr>
        <w:noBreakHyphen/>
      </w:r>
      <w:r w:rsidRPr="009F6115">
        <w:rPr>
          <w:rFonts w:eastAsia="Times New Roman" w:cs="Times New Roman"/>
          <w:szCs w:val="20"/>
        </w:rPr>
        <w:t xml:space="preserve">OMS </w:t>
      </w:r>
      <w:r>
        <w:rPr>
          <w:rFonts w:eastAsia="Times New Roman" w:cs="Times New Roman"/>
          <w:szCs w:val="20"/>
        </w:rPr>
        <w:t>d</w:t>
      </w:r>
      <w:r w:rsidRPr="009F6115">
        <w:rPr>
          <w:rFonts w:eastAsia="Times New Roman" w:cs="Times New Roman"/>
          <w:szCs w:val="20"/>
        </w:rPr>
        <w:t xml:space="preserve">ata </w:t>
      </w:r>
      <w:r>
        <w:rPr>
          <w:rFonts w:eastAsia="Times New Roman" w:cs="Times New Roman"/>
          <w:szCs w:val="20"/>
        </w:rPr>
        <w:t>a</w:t>
      </w:r>
      <w:r w:rsidRPr="009F6115">
        <w:rPr>
          <w:rFonts w:eastAsia="Times New Roman" w:cs="Times New Roman"/>
          <w:szCs w:val="20"/>
        </w:rPr>
        <w:t xml:space="preserve">djustment </w:t>
      </w:r>
      <w:r>
        <w:rPr>
          <w:rFonts w:eastAsia="Times New Roman" w:cs="Times New Roman"/>
          <w:szCs w:val="20"/>
        </w:rPr>
        <w:t>f</w:t>
      </w:r>
      <w:r w:rsidRPr="009F6115">
        <w:rPr>
          <w:rFonts w:eastAsia="Times New Roman" w:cs="Times New Roman"/>
          <w:szCs w:val="20"/>
        </w:rPr>
        <w:t xml:space="preserve">actor </w:t>
      </w:r>
      <w:r>
        <w:rPr>
          <w:rFonts w:eastAsia="Times New Roman" w:cs="Times New Roman"/>
          <w:szCs w:val="20"/>
        </w:rPr>
        <w:t xml:space="preserve">of </w:t>
      </w:r>
      <w:r w:rsidRPr="009F6115">
        <w:rPr>
          <w:rFonts w:eastAsia="Times New Roman" w:cs="Times New Roman"/>
          <w:szCs w:val="20"/>
        </w:rPr>
        <w:t>22</w:t>
      </w:r>
      <w:r w:rsidR="00CF2B78">
        <w:rPr>
          <w:rFonts w:eastAsia="Times New Roman" w:cs="Times New Roman"/>
          <w:szCs w:val="20"/>
        </w:rPr>
        <w:t xml:space="preserve"> </w:t>
      </w:r>
      <w:r w:rsidR="00661DA5">
        <w:rPr>
          <w:rFonts w:eastAsia="Times New Roman" w:cs="Times New Roman"/>
          <w:szCs w:val="20"/>
        </w:rPr>
        <w:t>percent</w:t>
      </w:r>
      <w:r w:rsidR="00A81749">
        <w:rPr>
          <w:rFonts w:eastAsia="Times New Roman" w:cs="Times New Roman"/>
          <w:szCs w:val="20"/>
        </w:rPr>
        <w:t xml:space="preserve"> based upon PSE’s</w:t>
      </w:r>
      <w:r w:rsidR="00423DF2" w:rsidRPr="001D2B46">
        <w:rPr>
          <w:rFonts w:eastAsia="Times New Roman" w:cs="Times New Roman"/>
          <w:szCs w:val="20"/>
        </w:rPr>
        <w:t xml:space="preserve"> IEEE 1782 analysis </w:t>
      </w:r>
      <w:r w:rsidR="00A81749" w:rsidRPr="001D2B46">
        <w:rPr>
          <w:rFonts w:eastAsia="Times New Roman" w:cs="Times New Roman"/>
          <w:szCs w:val="20"/>
        </w:rPr>
        <w:t xml:space="preserve">of </w:t>
      </w:r>
      <w:r w:rsidR="00423DF2" w:rsidRPr="001D2B46">
        <w:rPr>
          <w:rFonts w:eastAsia="Times New Roman" w:cs="Times New Roman"/>
          <w:szCs w:val="20"/>
        </w:rPr>
        <w:t>13</w:t>
      </w:r>
      <w:r w:rsidR="00CF2B78">
        <w:rPr>
          <w:rFonts w:eastAsia="Times New Roman" w:cs="Times New Roman"/>
          <w:szCs w:val="20"/>
        </w:rPr>
        <w:t xml:space="preserve"> </w:t>
      </w:r>
      <w:r w:rsidR="00661DA5">
        <w:rPr>
          <w:rFonts w:eastAsia="Times New Roman" w:cs="Times New Roman"/>
          <w:szCs w:val="20"/>
        </w:rPr>
        <w:t>percent</w:t>
      </w:r>
      <w:r w:rsidR="00423DF2" w:rsidRPr="001D2B46">
        <w:rPr>
          <w:rFonts w:eastAsia="Times New Roman" w:cs="Times New Roman"/>
          <w:szCs w:val="20"/>
        </w:rPr>
        <w:t xml:space="preserve"> </w:t>
      </w:r>
      <w:r w:rsidR="00A81749" w:rsidRPr="001D2B46">
        <w:rPr>
          <w:rFonts w:eastAsia="Times New Roman" w:cs="Times New Roman"/>
          <w:szCs w:val="20"/>
        </w:rPr>
        <w:t xml:space="preserve">and PSE’s </w:t>
      </w:r>
      <w:r w:rsidR="00423DF2" w:rsidRPr="001D2B46">
        <w:rPr>
          <w:rFonts w:eastAsia="Times New Roman" w:cs="Times New Roman"/>
          <w:szCs w:val="20"/>
        </w:rPr>
        <w:t xml:space="preserve">1.75 Beta </w:t>
      </w:r>
      <w:r w:rsidR="00A81749" w:rsidRPr="001D2B46">
        <w:rPr>
          <w:rFonts w:eastAsia="Times New Roman" w:cs="Times New Roman"/>
          <w:szCs w:val="20"/>
        </w:rPr>
        <w:t xml:space="preserve">method of </w:t>
      </w:r>
      <w:r w:rsidR="00423DF2" w:rsidRPr="001D2B46">
        <w:rPr>
          <w:rFonts w:eastAsia="Times New Roman" w:cs="Times New Roman"/>
          <w:szCs w:val="20"/>
        </w:rPr>
        <w:t>30.5</w:t>
      </w:r>
      <w:r w:rsidR="00CF2B78">
        <w:rPr>
          <w:rFonts w:eastAsia="Times New Roman" w:cs="Times New Roman"/>
          <w:szCs w:val="20"/>
        </w:rPr>
        <w:t xml:space="preserve"> </w:t>
      </w:r>
      <w:r w:rsidR="00661DA5">
        <w:rPr>
          <w:rFonts w:eastAsia="Times New Roman" w:cs="Times New Roman"/>
          <w:szCs w:val="20"/>
        </w:rPr>
        <w:t>percent</w:t>
      </w:r>
      <w:r w:rsidR="00423DF2" w:rsidRPr="001D2B46">
        <w:rPr>
          <w:rFonts w:eastAsia="Times New Roman" w:cs="Times New Roman"/>
          <w:szCs w:val="20"/>
        </w:rPr>
        <w:t xml:space="preserve"> adjustment adjustment</w:t>
      </w:r>
      <w:r w:rsidR="00A81749" w:rsidRPr="001D2B46">
        <w:rPr>
          <w:rFonts w:eastAsia="Times New Roman" w:cs="Times New Roman"/>
          <w:szCs w:val="20"/>
        </w:rPr>
        <w:t>s</w:t>
      </w:r>
      <w:r w:rsidR="00423DF2" w:rsidRPr="001D2B46">
        <w:rPr>
          <w:rFonts w:eastAsia="Times New Roman" w:cs="Times New Roman"/>
          <w:szCs w:val="20"/>
        </w:rPr>
        <w:t xml:space="preserve"> </w:t>
      </w:r>
      <w:r w:rsidR="00644EFC" w:rsidRPr="001D2B46">
        <w:rPr>
          <w:rFonts w:eastAsia="Times New Roman" w:cs="Times New Roman"/>
          <w:szCs w:val="20"/>
        </w:rPr>
        <w:t>to pre</w:t>
      </w:r>
      <w:r w:rsidR="004B56E9" w:rsidRPr="001D2B46">
        <w:rPr>
          <w:rFonts w:eastAsia="Times New Roman"/>
        </w:rPr>
        <w:noBreakHyphen/>
      </w:r>
      <w:r w:rsidR="00644EFC" w:rsidRPr="001D2B46">
        <w:rPr>
          <w:rFonts w:eastAsia="Times New Roman" w:cs="Times New Roman"/>
          <w:szCs w:val="20"/>
        </w:rPr>
        <w:t>OMS IEEE SAIDI</w:t>
      </w:r>
      <w:r w:rsidR="00A81749" w:rsidRPr="001D2B46">
        <w:rPr>
          <w:rFonts w:eastAsia="Times New Roman" w:cs="Times New Roman"/>
          <w:szCs w:val="20"/>
        </w:rPr>
        <w:t>.</w:t>
      </w:r>
      <w:r w:rsidR="00423DF2" w:rsidRPr="001D2B46">
        <w:rPr>
          <w:rFonts w:eastAsia="Times New Roman" w:cs="Times New Roman"/>
          <w:szCs w:val="20"/>
        </w:rPr>
        <w:t xml:space="preserve">  </w:t>
      </w:r>
      <w:r w:rsidR="00056A01" w:rsidRPr="001D2B46">
        <w:rPr>
          <w:rFonts w:eastAsia="Times New Roman" w:cs="Times New Roman"/>
          <w:szCs w:val="20"/>
        </w:rPr>
        <w:t xml:space="preserve">PSE’s external research </w:t>
      </w:r>
      <w:r w:rsidR="00A81749" w:rsidRPr="001D2B46">
        <w:rPr>
          <w:rFonts w:eastAsia="Times New Roman" w:cs="Times New Roman"/>
          <w:szCs w:val="20"/>
        </w:rPr>
        <w:t xml:space="preserve">showed </w:t>
      </w:r>
      <w:r w:rsidR="00056A01" w:rsidRPr="001D2B46">
        <w:rPr>
          <w:rFonts w:eastAsia="Times New Roman" w:cs="Times New Roman"/>
          <w:szCs w:val="20"/>
        </w:rPr>
        <w:t>adjustment factors for pre</w:t>
      </w:r>
      <w:r w:rsidR="004B56E9" w:rsidRPr="001D2B46">
        <w:rPr>
          <w:rFonts w:eastAsia="Times New Roman" w:cs="Times New Roman"/>
          <w:szCs w:val="20"/>
        </w:rPr>
        <w:noBreakHyphen/>
      </w:r>
      <w:r w:rsidR="00056A01" w:rsidRPr="001D2B46">
        <w:rPr>
          <w:rFonts w:eastAsia="Times New Roman" w:cs="Times New Roman"/>
          <w:szCs w:val="20"/>
        </w:rPr>
        <w:t xml:space="preserve">OMS </w:t>
      </w:r>
      <w:r w:rsidR="00644EFC" w:rsidRPr="001D2B46">
        <w:rPr>
          <w:rFonts w:eastAsia="Times New Roman" w:cs="Times New Roman"/>
          <w:szCs w:val="20"/>
        </w:rPr>
        <w:t xml:space="preserve">SAIDI </w:t>
      </w:r>
      <w:r w:rsidR="00056A01" w:rsidRPr="001D2B46">
        <w:rPr>
          <w:rFonts w:eastAsia="Times New Roman" w:cs="Times New Roman"/>
          <w:szCs w:val="20"/>
        </w:rPr>
        <w:t>data ranging from +16</w:t>
      </w:r>
      <w:r w:rsidR="00CF2B78">
        <w:rPr>
          <w:rFonts w:eastAsia="Times New Roman" w:cs="Times New Roman"/>
          <w:szCs w:val="20"/>
        </w:rPr>
        <w:t xml:space="preserve"> </w:t>
      </w:r>
      <w:r w:rsidR="00661DA5">
        <w:rPr>
          <w:rFonts w:eastAsia="Times New Roman" w:cs="Times New Roman"/>
          <w:szCs w:val="20"/>
        </w:rPr>
        <w:t>percent</w:t>
      </w:r>
      <w:r w:rsidR="00056A01" w:rsidRPr="001D2B46">
        <w:rPr>
          <w:rFonts w:eastAsia="Times New Roman" w:cs="Times New Roman"/>
          <w:szCs w:val="20"/>
        </w:rPr>
        <w:t xml:space="preserve"> to as much as +150</w:t>
      </w:r>
      <w:r w:rsidR="00CF2B78">
        <w:rPr>
          <w:rFonts w:eastAsia="Times New Roman" w:cs="Times New Roman"/>
          <w:szCs w:val="20"/>
        </w:rPr>
        <w:t xml:space="preserve"> </w:t>
      </w:r>
      <w:r w:rsidR="00661DA5">
        <w:rPr>
          <w:rFonts w:eastAsia="Times New Roman" w:cs="Times New Roman"/>
          <w:szCs w:val="20"/>
        </w:rPr>
        <w:t>percent</w:t>
      </w:r>
      <w:r w:rsidR="00056A01" w:rsidRPr="001D2B46">
        <w:rPr>
          <w:rFonts w:eastAsia="Times New Roman" w:cs="Times New Roman"/>
          <w:szCs w:val="20"/>
        </w:rPr>
        <w:t>.</w:t>
      </w:r>
      <w:r w:rsidR="00056A01" w:rsidRPr="004F6DA2">
        <w:rPr>
          <w:rFonts w:eastAsia="Times New Roman" w:cs="Times New Roman"/>
          <w:szCs w:val="20"/>
          <w:vertAlign w:val="superscript"/>
        </w:rPr>
        <w:footnoteReference w:id="49"/>
      </w:r>
      <w:r w:rsidR="00056A01" w:rsidRPr="001D2B46">
        <w:rPr>
          <w:rFonts w:eastAsia="Times New Roman" w:cs="Times New Roman"/>
          <w:szCs w:val="20"/>
        </w:rPr>
        <w:t xml:space="preserve"> </w:t>
      </w:r>
      <w:r w:rsidR="00A81749" w:rsidRPr="001D2B46">
        <w:rPr>
          <w:rFonts w:eastAsia="Times New Roman" w:cs="Times New Roman"/>
          <w:szCs w:val="20"/>
        </w:rPr>
        <w:t xml:space="preserve"> </w:t>
      </w:r>
      <w:r w:rsidR="00A652D1">
        <w:rPr>
          <w:rFonts w:eastAsia="Times New Roman" w:cs="Times New Roman"/>
          <w:szCs w:val="20"/>
        </w:rPr>
        <w:t>PSE’s proposed</w:t>
      </w:r>
      <w:r w:rsidR="00A652D1" w:rsidRPr="001D2B46">
        <w:rPr>
          <w:rFonts w:eastAsia="Times New Roman" w:cs="Times New Roman"/>
          <w:szCs w:val="20"/>
        </w:rPr>
        <w:t xml:space="preserve"> </w:t>
      </w:r>
      <w:r w:rsidR="00A81749" w:rsidRPr="001D2B46">
        <w:rPr>
          <w:rFonts w:eastAsia="Times New Roman" w:cs="Times New Roman"/>
          <w:szCs w:val="20"/>
        </w:rPr>
        <w:t>22</w:t>
      </w:r>
      <w:r w:rsidR="00CF2B78">
        <w:rPr>
          <w:rFonts w:eastAsia="Times New Roman" w:cs="Times New Roman"/>
          <w:szCs w:val="20"/>
        </w:rPr>
        <w:t xml:space="preserve"> </w:t>
      </w:r>
      <w:r w:rsidR="00661DA5">
        <w:rPr>
          <w:rFonts w:eastAsia="Times New Roman" w:cs="Times New Roman"/>
          <w:szCs w:val="20"/>
        </w:rPr>
        <w:t>percent</w:t>
      </w:r>
      <w:r w:rsidR="00A81749" w:rsidRPr="001D2B46">
        <w:rPr>
          <w:rFonts w:eastAsia="Times New Roman" w:cs="Times New Roman"/>
          <w:szCs w:val="20"/>
        </w:rPr>
        <w:t xml:space="preserve"> </w:t>
      </w:r>
      <w:r w:rsidR="00423DF2" w:rsidRPr="001D2B46">
        <w:rPr>
          <w:rFonts w:eastAsia="Times New Roman" w:cs="Times New Roman"/>
          <w:szCs w:val="20"/>
        </w:rPr>
        <w:t xml:space="preserve">adjustment factor </w:t>
      </w:r>
      <w:r w:rsidR="0055255A">
        <w:rPr>
          <w:rFonts w:eastAsia="Times New Roman" w:cs="Times New Roman"/>
          <w:szCs w:val="20"/>
        </w:rPr>
        <w:t xml:space="preserve">is reasonable and </w:t>
      </w:r>
      <w:r w:rsidR="00423DF2" w:rsidRPr="001D2B46">
        <w:rPr>
          <w:rFonts w:eastAsia="Times New Roman" w:cs="Times New Roman"/>
          <w:szCs w:val="20"/>
        </w:rPr>
        <w:t>falls within the range</w:t>
      </w:r>
      <w:r w:rsidR="00A81749" w:rsidRPr="001D2B46">
        <w:rPr>
          <w:rFonts w:eastAsia="Times New Roman" w:cs="Times New Roman"/>
          <w:szCs w:val="20"/>
        </w:rPr>
        <w:t xml:space="preserve"> used by other utili</w:t>
      </w:r>
      <w:r w:rsidR="00082A91" w:rsidRPr="001D2B46">
        <w:rPr>
          <w:rFonts w:eastAsia="Times New Roman" w:cs="Times New Roman"/>
          <w:szCs w:val="20"/>
        </w:rPr>
        <w:t>ti</w:t>
      </w:r>
      <w:r w:rsidR="00A81749" w:rsidRPr="001D2B46">
        <w:rPr>
          <w:rFonts w:eastAsia="Times New Roman" w:cs="Times New Roman"/>
          <w:szCs w:val="20"/>
        </w:rPr>
        <w:t>es</w:t>
      </w:r>
      <w:r w:rsidR="00423DF2" w:rsidRPr="001D2B46">
        <w:rPr>
          <w:rFonts w:eastAsia="Times New Roman" w:cs="Times New Roman"/>
          <w:szCs w:val="20"/>
        </w:rPr>
        <w:t>.</w:t>
      </w:r>
    </w:p>
    <w:p w:rsidR="00130F07" w:rsidRDefault="001131BC" w:rsidP="006E6D6E">
      <w:pPr>
        <w:keepNext/>
        <w:numPr>
          <w:ilvl w:val="0"/>
          <w:numId w:val="0"/>
        </w:numPr>
        <w:spacing w:before="0" w:line="240" w:lineRule="auto"/>
        <w:ind w:left="720" w:hanging="720"/>
        <w:rPr>
          <w:rFonts w:eastAsia="Times New Roman" w:cs="Times New Roman"/>
          <w:b/>
          <w:szCs w:val="20"/>
        </w:rPr>
      </w:pPr>
      <w:r>
        <w:rPr>
          <w:rFonts w:ascii="Times New Roman Bold" w:eastAsia="Times New Roman" w:hAnsi="Times New Roman Bold" w:cs="Arial"/>
          <w:b/>
          <w:bCs/>
          <w:iCs/>
          <w:szCs w:val="28"/>
        </w:rPr>
        <w:t>E</w:t>
      </w:r>
      <w:r w:rsidR="00130F07" w:rsidRPr="004F6DA2">
        <w:rPr>
          <w:rFonts w:ascii="Times New Roman Bold" w:eastAsia="Times New Roman" w:hAnsi="Times New Roman Bold" w:cs="Arial"/>
          <w:b/>
          <w:bCs/>
          <w:iCs/>
          <w:szCs w:val="28"/>
        </w:rPr>
        <w:t>.</w:t>
      </w:r>
      <w:r w:rsidR="00130F07" w:rsidRPr="004F6DA2">
        <w:rPr>
          <w:rFonts w:ascii="Times New Roman Bold" w:eastAsia="Times New Roman" w:hAnsi="Times New Roman Bold" w:cs="Arial"/>
          <w:b/>
          <w:bCs/>
          <w:iCs/>
          <w:szCs w:val="28"/>
        </w:rPr>
        <w:tab/>
      </w:r>
      <w:r w:rsidR="009F6115" w:rsidRPr="004F6DA2">
        <w:rPr>
          <w:rFonts w:ascii="Times New Roman Bold" w:eastAsia="Times New Roman" w:hAnsi="Times New Roman Bold" w:cs="Arial"/>
          <w:b/>
          <w:bCs/>
          <w:iCs/>
          <w:szCs w:val="28"/>
        </w:rPr>
        <w:t>2016</w:t>
      </w:r>
      <w:r w:rsidR="004B56E9" w:rsidRPr="004F6DA2">
        <w:rPr>
          <w:rFonts w:ascii="Times New Roman Bold" w:eastAsia="Times New Roman" w:hAnsi="Times New Roman Bold" w:cs="Arial"/>
          <w:b/>
          <w:bCs/>
          <w:iCs/>
          <w:szCs w:val="28"/>
        </w:rPr>
        <w:noBreakHyphen/>
      </w:r>
      <w:r w:rsidR="009F6115" w:rsidRPr="004F6DA2">
        <w:rPr>
          <w:rFonts w:ascii="Times New Roman Bold" w:eastAsia="Times New Roman" w:hAnsi="Times New Roman Bold" w:cs="Arial"/>
          <w:b/>
          <w:bCs/>
          <w:iCs/>
          <w:szCs w:val="28"/>
        </w:rPr>
        <w:t xml:space="preserve">2019 </w:t>
      </w:r>
      <w:r w:rsidR="00130F07" w:rsidRPr="004F6DA2">
        <w:rPr>
          <w:rFonts w:ascii="Times New Roman Bold" w:eastAsia="Times New Roman" w:hAnsi="Times New Roman Bold" w:cs="Arial"/>
          <w:b/>
          <w:bCs/>
          <w:iCs/>
          <w:szCs w:val="28"/>
        </w:rPr>
        <w:t>Benchmark</w:t>
      </w:r>
      <w:r w:rsidR="008576C8" w:rsidRPr="004F6DA2">
        <w:rPr>
          <w:rFonts w:ascii="Times New Roman Bold" w:eastAsia="Times New Roman" w:hAnsi="Times New Roman Bold" w:cs="Arial"/>
          <w:b/>
          <w:bCs/>
          <w:iCs/>
          <w:szCs w:val="28"/>
        </w:rPr>
        <w:t xml:space="preserve"> Calculation</w:t>
      </w:r>
      <w:r w:rsidR="00130F07" w:rsidRPr="004F6DA2">
        <w:rPr>
          <w:rFonts w:ascii="Times New Roman Bold" w:eastAsia="Times New Roman" w:hAnsi="Times New Roman Bold" w:cs="Arial"/>
          <w:b/>
          <w:bCs/>
          <w:iCs/>
          <w:szCs w:val="28"/>
        </w:rPr>
        <w:t xml:space="preserve"> </w:t>
      </w:r>
      <w:r w:rsidR="00725EC6" w:rsidRPr="004F6DA2">
        <w:rPr>
          <w:rFonts w:ascii="Times New Roman Bold" w:eastAsia="Times New Roman" w:hAnsi="Times New Roman Bold" w:cs="Arial"/>
          <w:b/>
          <w:bCs/>
          <w:iCs/>
          <w:szCs w:val="28"/>
        </w:rPr>
        <w:t>D</w:t>
      </w:r>
      <w:r w:rsidR="00130F07" w:rsidRPr="004F6DA2">
        <w:rPr>
          <w:rFonts w:ascii="Times New Roman Bold" w:eastAsia="Times New Roman" w:hAnsi="Times New Roman Bold" w:cs="Arial"/>
          <w:b/>
          <w:bCs/>
          <w:iCs/>
          <w:szCs w:val="28"/>
        </w:rPr>
        <w:t xml:space="preserve">erived from an </w:t>
      </w:r>
      <w:r w:rsidR="00725EC6" w:rsidRPr="004F6DA2">
        <w:rPr>
          <w:rFonts w:ascii="Times New Roman Bold" w:eastAsia="Times New Roman" w:hAnsi="Times New Roman Bold" w:cs="Arial"/>
          <w:b/>
          <w:bCs/>
          <w:iCs/>
          <w:szCs w:val="28"/>
        </w:rPr>
        <w:t>A</w:t>
      </w:r>
      <w:r w:rsidR="00130F07" w:rsidRPr="004F6DA2">
        <w:rPr>
          <w:rFonts w:ascii="Times New Roman Bold" w:eastAsia="Times New Roman" w:hAnsi="Times New Roman Bold" w:cs="Arial"/>
          <w:b/>
          <w:bCs/>
          <w:iCs/>
          <w:szCs w:val="28"/>
        </w:rPr>
        <w:t xml:space="preserve">verage of </w:t>
      </w:r>
      <w:r w:rsidR="00A652D1">
        <w:rPr>
          <w:rFonts w:ascii="Times New Roman Bold" w:eastAsia="Times New Roman" w:hAnsi="Times New Roman Bold" w:cs="Arial"/>
          <w:b/>
          <w:bCs/>
          <w:iCs/>
          <w:szCs w:val="28"/>
        </w:rPr>
        <w:t>Five</w:t>
      </w:r>
      <w:r w:rsidR="00A652D1" w:rsidRPr="004F6DA2">
        <w:rPr>
          <w:rFonts w:ascii="Times New Roman Bold" w:eastAsia="Times New Roman" w:hAnsi="Times New Roman Bold" w:cs="Arial"/>
          <w:b/>
          <w:bCs/>
          <w:iCs/>
          <w:szCs w:val="28"/>
        </w:rPr>
        <w:t xml:space="preserve"> </w:t>
      </w:r>
      <w:r w:rsidR="00130F07" w:rsidRPr="004F6DA2">
        <w:rPr>
          <w:rFonts w:ascii="Times New Roman Bold" w:eastAsia="Times New Roman" w:hAnsi="Times New Roman Bold" w:cs="Arial"/>
          <w:b/>
          <w:bCs/>
          <w:iCs/>
          <w:szCs w:val="28"/>
        </w:rPr>
        <w:t>years</w:t>
      </w:r>
      <w:r w:rsidR="00725EC6" w:rsidRPr="004F6DA2">
        <w:rPr>
          <w:rFonts w:eastAsia="Times New Roman" w:cs="Times New Roman"/>
          <w:b/>
          <w:szCs w:val="20"/>
        </w:rPr>
        <w:t xml:space="preserve"> Annual SAIDI Performance</w:t>
      </w:r>
    </w:p>
    <w:p w:rsidR="00130F07" w:rsidRPr="00130F07" w:rsidRDefault="00130F07" w:rsidP="006E6D6E">
      <w:pPr>
        <w:ind w:left="0" w:firstLine="720"/>
        <w:rPr>
          <w:rFonts w:eastAsia="Times New Roman" w:cs="Times New Roman"/>
          <w:szCs w:val="20"/>
        </w:rPr>
      </w:pPr>
      <w:r w:rsidRPr="00130F07">
        <w:rPr>
          <w:rFonts w:eastAsia="Times New Roman" w:cs="Times New Roman"/>
          <w:szCs w:val="20"/>
        </w:rPr>
        <w:t xml:space="preserve">PSE proposes </w:t>
      </w:r>
      <w:r w:rsidR="008576C8">
        <w:rPr>
          <w:rFonts w:eastAsia="Times New Roman" w:cs="Times New Roman"/>
          <w:szCs w:val="20"/>
        </w:rPr>
        <w:t xml:space="preserve">basing the Benchmark </w:t>
      </w:r>
      <w:r w:rsidR="00442A00">
        <w:rPr>
          <w:rFonts w:eastAsia="Times New Roman" w:cs="Times New Roman"/>
          <w:szCs w:val="20"/>
        </w:rPr>
        <w:t>Calculation</w:t>
      </w:r>
      <w:r w:rsidRPr="00130F07">
        <w:rPr>
          <w:rFonts w:eastAsia="Times New Roman" w:cs="Times New Roman"/>
          <w:szCs w:val="20"/>
        </w:rPr>
        <w:t xml:space="preserve"> on five years of </w:t>
      </w:r>
      <w:r w:rsidR="008576C8">
        <w:rPr>
          <w:rFonts w:eastAsia="Times New Roman" w:cs="Times New Roman"/>
          <w:szCs w:val="20"/>
        </w:rPr>
        <w:t xml:space="preserve">adjusted </w:t>
      </w:r>
      <w:r w:rsidR="00FC43ED">
        <w:rPr>
          <w:rFonts w:eastAsia="Times New Roman" w:cs="Times New Roman"/>
          <w:szCs w:val="20"/>
        </w:rPr>
        <w:t>pre</w:t>
      </w:r>
      <w:r w:rsidR="004B56E9">
        <w:rPr>
          <w:rFonts w:eastAsia="Times New Roman" w:cs="Times New Roman"/>
          <w:szCs w:val="20"/>
        </w:rPr>
        <w:noBreakHyphen/>
      </w:r>
      <w:r w:rsidR="00FC43ED">
        <w:rPr>
          <w:rFonts w:eastAsia="Times New Roman" w:cs="Times New Roman"/>
          <w:szCs w:val="20"/>
        </w:rPr>
        <w:t xml:space="preserve">OMS </w:t>
      </w:r>
      <w:r w:rsidR="00644EFC">
        <w:rPr>
          <w:rFonts w:eastAsia="Times New Roman" w:cs="Times New Roman"/>
          <w:szCs w:val="20"/>
        </w:rPr>
        <w:t xml:space="preserve">IEEE SAIDI </w:t>
      </w:r>
      <w:r w:rsidR="00FC43ED">
        <w:rPr>
          <w:rFonts w:eastAsia="Times New Roman" w:cs="Times New Roman"/>
          <w:szCs w:val="20"/>
        </w:rPr>
        <w:t>and post</w:t>
      </w:r>
      <w:r w:rsidR="004B56E9">
        <w:rPr>
          <w:rFonts w:eastAsia="Times New Roman" w:cs="Times New Roman"/>
          <w:szCs w:val="20"/>
        </w:rPr>
        <w:noBreakHyphen/>
      </w:r>
      <w:r w:rsidR="00FC43ED">
        <w:rPr>
          <w:rFonts w:eastAsia="Times New Roman" w:cs="Times New Roman"/>
          <w:szCs w:val="20"/>
        </w:rPr>
        <w:t xml:space="preserve">OMS </w:t>
      </w:r>
      <w:r w:rsidR="00644EFC">
        <w:rPr>
          <w:rFonts w:eastAsia="Times New Roman" w:cs="Times New Roman"/>
          <w:szCs w:val="20"/>
        </w:rPr>
        <w:t xml:space="preserve">IEEE SAIDI </w:t>
      </w:r>
      <w:r w:rsidRPr="00130F07">
        <w:rPr>
          <w:rFonts w:eastAsia="Times New Roman" w:cs="Times New Roman"/>
          <w:szCs w:val="20"/>
        </w:rPr>
        <w:t xml:space="preserve">data because with this time interval, the data begins to sufficiently reflect the variability inherent in measuring reliability. While a greater number of </w:t>
      </w:r>
      <w:r w:rsidR="001131BC">
        <w:rPr>
          <w:rFonts w:eastAsia="Times New Roman" w:cs="Times New Roman"/>
          <w:szCs w:val="20"/>
        </w:rPr>
        <w:t xml:space="preserve">historical </w:t>
      </w:r>
      <w:r w:rsidRPr="00130F07">
        <w:rPr>
          <w:rFonts w:eastAsia="Times New Roman" w:cs="Times New Roman"/>
          <w:szCs w:val="20"/>
        </w:rPr>
        <w:t xml:space="preserve">years </w:t>
      </w:r>
      <w:r w:rsidR="00F60924">
        <w:rPr>
          <w:rFonts w:eastAsia="Times New Roman" w:cs="Times New Roman"/>
          <w:szCs w:val="20"/>
        </w:rPr>
        <w:t xml:space="preserve">of outage data </w:t>
      </w:r>
      <w:r w:rsidRPr="00130F07">
        <w:rPr>
          <w:rFonts w:eastAsia="Times New Roman" w:cs="Times New Roman"/>
          <w:szCs w:val="20"/>
        </w:rPr>
        <w:t xml:space="preserve">would certainly give a better understanding of this variability, it would also incorporate </w:t>
      </w:r>
      <w:r w:rsidR="00644EFC">
        <w:rPr>
          <w:rFonts w:eastAsia="Times New Roman" w:cs="Times New Roman"/>
          <w:szCs w:val="20"/>
        </w:rPr>
        <w:t xml:space="preserve">more </w:t>
      </w:r>
      <w:r w:rsidRPr="00130F07">
        <w:rPr>
          <w:rFonts w:eastAsia="Times New Roman" w:cs="Times New Roman"/>
          <w:szCs w:val="20"/>
        </w:rPr>
        <w:t>years where reliability reporting followed different business processes.</w:t>
      </w:r>
    </w:p>
    <w:p w:rsidR="00130F07" w:rsidRPr="00130F07" w:rsidRDefault="001131BC" w:rsidP="00F44D97">
      <w:pPr>
        <w:keepNext/>
        <w:keepLines/>
        <w:numPr>
          <w:ilvl w:val="0"/>
          <w:numId w:val="0"/>
        </w:numPr>
        <w:tabs>
          <w:tab w:val="left" w:pos="720"/>
        </w:tabs>
        <w:spacing w:before="0"/>
        <w:outlineLvl w:val="1"/>
        <w:rPr>
          <w:rFonts w:ascii="Times New Roman Bold" w:eastAsia="Times New Roman" w:hAnsi="Times New Roman Bold" w:cs="Arial"/>
          <w:b/>
          <w:bCs/>
          <w:iCs/>
          <w:szCs w:val="28"/>
        </w:rPr>
      </w:pPr>
      <w:r>
        <w:rPr>
          <w:rFonts w:ascii="Times New Roman Bold" w:eastAsia="Times New Roman" w:hAnsi="Times New Roman Bold" w:cs="Arial"/>
          <w:b/>
          <w:bCs/>
          <w:iCs/>
          <w:szCs w:val="28"/>
        </w:rPr>
        <w:lastRenderedPageBreak/>
        <w:t>F</w:t>
      </w:r>
      <w:r w:rsidR="00130F07" w:rsidRPr="00130F07">
        <w:rPr>
          <w:rFonts w:ascii="Times New Roman Bold" w:eastAsia="Times New Roman" w:hAnsi="Times New Roman Bold" w:cs="Arial"/>
          <w:b/>
          <w:bCs/>
          <w:iCs/>
          <w:szCs w:val="28"/>
        </w:rPr>
        <w:t>.</w:t>
      </w:r>
      <w:r w:rsidR="00130F07" w:rsidRPr="00130F07">
        <w:rPr>
          <w:rFonts w:ascii="Times New Roman Bold" w:eastAsia="Times New Roman" w:hAnsi="Times New Roman Bold" w:cs="Arial"/>
          <w:b/>
          <w:bCs/>
          <w:iCs/>
          <w:szCs w:val="28"/>
        </w:rPr>
        <w:tab/>
      </w:r>
      <w:r w:rsidR="001443DC">
        <w:rPr>
          <w:rFonts w:ascii="Times New Roman Bold" w:eastAsia="Times New Roman" w:hAnsi="Times New Roman Bold" w:cs="Arial"/>
          <w:b/>
          <w:bCs/>
          <w:iCs/>
          <w:szCs w:val="28"/>
        </w:rPr>
        <w:t xml:space="preserve">Benchmark Calculation Incorporates </w:t>
      </w:r>
      <w:r w:rsidR="00130F07" w:rsidRPr="00130F07">
        <w:rPr>
          <w:rFonts w:ascii="Times New Roman Bold" w:eastAsia="Times New Roman" w:hAnsi="Times New Roman Bold" w:cs="Arial"/>
          <w:b/>
          <w:bCs/>
          <w:iCs/>
          <w:szCs w:val="28"/>
        </w:rPr>
        <w:t>One Standard Deviation</w:t>
      </w:r>
      <w:r w:rsidR="001443DC">
        <w:rPr>
          <w:rFonts w:ascii="Times New Roman Bold" w:eastAsia="Times New Roman" w:hAnsi="Times New Roman Bold" w:cs="Arial"/>
          <w:b/>
          <w:bCs/>
          <w:iCs/>
          <w:szCs w:val="28"/>
        </w:rPr>
        <w:t xml:space="preserve"> of Variation</w:t>
      </w:r>
    </w:p>
    <w:p w:rsidR="00130F07" w:rsidRPr="00130F07" w:rsidRDefault="00130F07" w:rsidP="001D2B46">
      <w:pPr>
        <w:spacing w:before="0"/>
        <w:ind w:left="0" w:firstLine="720"/>
        <w:rPr>
          <w:rFonts w:eastAsia="Times New Roman" w:cs="Times New Roman"/>
          <w:szCs w:val="20"/>
        </w:rPr>
      </w:pPr>
      <w:r w:rsidRPr="00130F07">
        <w:rPr>
          <w:rFonts w:eastAsia="Times New Roman" w:cs="Times New Roman"/>
          <w:szCs w:val="20"/>
        </w:rPr>
        <w:t xml:space="preserve">Outages caused by weather or other events outside the control of a utility can vary widely from year to year. </w:t>
      </w:r>
      <w:r w:rsidR="00255F71">
        <w:rPr>
          <w:rFonts w:eastAsia="Times New Roman" w:cs="Times New Roman"/>
          <w:szCs w:val="20"/>
        </w:rPr>
        <w:t xml:space="preserve"> </w:t>
      </w:r>
      <w:r w:rsidRPr="00130F07">
        <w:rPr>
          <w:rFonts w:eastAsia="Times New Roman" w:cs="Times New Roman"/>
          <w:szCs w:val="20"/>
        </w:rPr>
        <w:t xml:space="preserve">PSE proposes to continue the </w:t>
      </w:r>
      <w:r w:rsidR="00725EC6">
        <w:rPr>
          <w:rFonts w:eastAsia="Times New Roman" w:cs="Times New Roman"/>
          <w:szCs w:val="20"/>
        </w:rPr>
        <w:t>SQI SAIDI benchmark</w:t>
      </w:r>
      <w:r w:rsidRPr="00130F07">
        <w:rPr>
          <w:rFonts w:eastAsia="Times New Roman" w:cs="Times New Roman"/>
          <w:szCs w:val="20"/>
        </w:rPr>
        <w:t xml:space="preserve"> methodology</w:t>
      </w:r>
      <w:r w:rsidR="00943777">
        <w:rPr>
          <w:rFonts w:eastAsia="Times New Roman" w:cs="Times New Roman"/>
          <w:szCs w:val="20"/>
        </w:rPr>
        <w:t xml:space="preserve"> for the Benchmark Calculation</w:t>
      </w:r>
      <w:r w:rsidRPr="00130F07">
        <w:rPr>
          <w:rFonts w:eastAsia="Times New Roman" w:cs="Times New Roman"/>
          <w:szCs w:val="20"/>
        </w:rPr>
        <w:t xml:space="preserve"> of applying one standard deviation to a five</w:t>
      </w:r>
      <w:r w:rsidR="004B56E9" w:rsidRPr="001D2B46">
        <w:rPr>
          <w:rFonts w:eastAsia="Times New Roman" w:cs="Times New Roman"/>
          <w:szCs w:val="20"/>
        </w:rPr>
        <w:noBreakHyphen/>
      </w:r>
      <w:r w:rsidRPr="00130F07">
        <w:rPr>
          <w:rFonts w:eastAsia="Times New Roman" w:cs="Times New Roman"/>
          <w:szCs w:val="20"/>
        </w:rPr>
        <w:t xml:space="preserve">year average of its </w:t>
      </w:r>
      <w:r w:rsidR="00725EC6">
        <w:rPr>
          <w:rFonts w:eastAsia="Times New Roman" w:cs="Times New Roman"/>
          <w:szCs w:val="20"/>
        </w:rPr>
        <w:t>annual</w:t>
      </w:r>
      <w:r w:rsidRPr="00130F07">
        <w:rPr>
          <w:rFonts w:eastAsia="Times New Roman" w:cs="Times New Roman"/>
          <w:szCs w:val="20"/>
        </w:rPr>
        <w:t xml:space="preserve"> SAIDI</w:t>
      </w:r>
      <w:r w:rsidR="00725EC6">
        <w:rPr>
          <w:rFonts w:eastAsia="Times New Roman" w:cs="Times New Roman"/>
          <w:szCs w:val="20"/>
        </w:rPr>
        <w:t xml:space="preserve"> results</w:t>
      </w:r>
      <w:r w:rsidRPr="00130F07">
        <w:rPr>
          <w:rFonts w:eastAsia="Times New Roman" w:cs="Times New Roman"/>
          <w:szCs w:val="20"/>
        </w:rPr>
        <w:t xml:space="preserve">.  This addition of one standard deviation acknowledges that SAIDI is a measurement that will inherently vary. </w:t>
      </w:r>
    </w:p>
    <w:p w:rsidR="00130F07" w:rsidRPr="00130F07" w:rsidRDefault="001131BC" w:rsidP="00F44D97">
      <w:pPr>
        <w:keepNext/>
        <w:keepLines/>
        <w:numPr>
          <w:ilvl w:val="0"/>
          <w:numId w:val="0"/>
        </w:numPr>
        <w:tabs>
          <w:tab w:val="left" w:pos="720"/>
        </w:tabs>
        <w:spacing w:before="0"/>
        <w:outlineLvl w:val="1"/>
        <w:rPr>
          <w:rFonts w:eastAsia="Times New Roman" w:cs="Arial"/>
          <w:b/>
          <w:bCs/>
          <w:iCs/>
          <w:szCs w:val="28"/>
        </w:rPr>
      </w:pPr>
      <w:r>
        <w:rPr>
          <w:rFonts w:eastAsia="Times New Roman" w:cs="Arial"/>
          <w:b/>
          <w:bCs/>
          <w:iCs/>
          <w:szCs w:val="28"/>
        </w:rPr>
        <w:t>G</w:t>
      </w:r>
      <w:r w:rsidR="00130F07" w:rsidRPr="00130F07">
        <w:rPr>
          <w:rFonts w:eastAsia="Times New Roman" w:cs="Arial"/>
          <w:b/>
          <w:bCs/>
          <w:iCs/>
          <w:szCs w:val="28"/>
        </w:rPr>
        <w:t>.</w:t>
      </w:r>
      <w:r w:rsidR="00130F07" w:rsidRPr="00130F07">
        <w:rPr>
          <w:rFonts w:eastAsia="Times New Roman" w:cs="Arial"/>
          <w:b/>
          <w:bCs/>
          <w:iCs/>
          <w:szCs w:val="28"/>
        </w:rPr>
        <w:tab/>
        <w:t xml:space="preserve">The </w:t>
      </w:r>
      <w:r w:rsidR="00130F07" w:rsidRPr="00130F07">
        <w:rPr>
          <w:rFonts w:ascii="Times New Roman Bold" w:eastAsia="Times New Roman" w:hAnsi="Times New Roman Bold" w:cs="Arial"/>
          <w:b/>
          <w:bCs/>
          <w:iCs/>
          <w:szCs w:val="28"/>
        </w:rPr>
        <w:t>Benchmark</w:t>
      </w:r>
      <w:r w:rsidR="00423DF2">
        <w:rPr>
          <w:rFonts w:ascii="Times New Roman Bold" w:eastAsia="Times New Roman" w:hAnsi="Times New Roman Bold" w:cs="Arial"/>
          <w:b/>
          <w:bCs/>
          <w:iCs/>
          <w:szCs w:val="28"/>
        </w:rPr>
        <w:t xml:space="preserve"> Calculation</w:t>
      </w:r>
      <w:r w:rsidR="00130F07" w:rsidRPr="00130F07">
        <w:rPr>
          <w:rFonts w:ascii="Times New Roman Bold" w:eastAsia="Times New Roman" w:hAnsi="Times New Roman Bold" w:cs="Arial"/>
          <w:b/>
          <w:bCs/>
          <w:iCs/>
          <w:szCs w:val="28"/>
        </w:rPr>
        <w:t xml:space="preserve"> Will Adjust Annually Through </w:t>
      </w:r>
      <w:r w:rsidR="00130F07" w:rsidRPr="00130F07">
        <w:rPr>
          <w:rFonts w:eastAsia="Times New Roman" w:cs="Arial"/>
          <w:b/>
          <w:bCs/>
          <w:iCs/>
          <w:szCs w:val="28"/>
        </w:rPr>
        <w:t>2019</w:t>
      </w:r>
    </w:p>
    <w:p w:rsidR="00130F07" w:rsidRPr="00130F07" w:rsidRDefault="00130F07" w:rsidP="001D2B46">
      <w:pPr>
        <w:spacing w:before="0"/>
        <w:ind w:left="0" w:firstLine="720"/>
        <w:rPr>
          <w:rFonts w:eastAsia="Times New Roman" w:cs="Times New Roman"/>
          <w:szCs w:val="20"/>
        </w:rPr>
      </w:pPr>
      <w:r w:rsidRPr="00130F07">
        <w:rPr>
          <w:rFonts w:eastAsia="Times New Roman" w:cs="Times New Roman"/>
          <w:szCs w:val="20"/>
        </w:rPr>
        <w:t xml:space="preserve">PSE’s proposed </w:t>
      </w:r>
      <w:r w:rsidR="00DF2BD9">
        <w:rPr>
          <w:rFonts w:eastAsia="Times New Roman" w:cs="Times New Roman"/>
          <w:szCs w:val="20"/>
        </w:rPr>
        <w:t xml:space="preserve">Benchmark Calculation </w:t>
      </w:r>
      <w:r w:rsidRPr="00130F07">
        <w:rPr>
          <w:rFonts w:eastAsia="Times New Roman" w:cs="Times New Roman"/>
          <w:szCs w:val="20"/>
        </w:rPr>
        <w:t xml:space="preserve">methodology </w:t>
      </w:r>
      <w:r w:rsidR="00DF2BD9">
        <w:rPr>
          <w:rFonts w:eastAsia="Times New Roman" w:cs="Times New Roman"/>
          <w:szCs w:val="20"/>
        </w:rPr>
        <w:t>uses</w:t>
      </w:r>
      <w:r w:rsidRPr="00130F07">
        <w:rPr>
          <w:rFonts w:eastAsia="Times New Roman" w:cs="Times New Roman"/>
          <w:szCs w:val="20"/>
        </w:rPr>
        <w:t xml:space="preserve"> five years of historic </w:t>
      </w:r>
      <w:r w:rsidR="00DF2BD9">
        <w:rPr>
          <w:rFonts w:eastAsia="Times New Roman" w:cs="Times New Roman"/>
          <w:szCs w:val="20"/>
        </w:rPr>
        <w:t xml:space="preserve">IEEE </w:t>
      </w:r>
      <w:r w:rsidRPr="00130F07">
        <w:rPr>
          <w:rFonts w:eastAsia="Times New Roman" w:cs="Times New Roman"/>
          <w:szCs w:val="20"/>
        </w:rPr>
        <w:t xml:space="preserve">SAIDI data.  PSE does not yet have five full years of </w:t>
      </w:r>
      <w:r w:rsidR="00DF2BD9">
        <w:rPr>
          <w:rFonts w:eastAsia="Times New Roman" w:cs="Times New Roman"/>
          <w:szCs w:val="20"/>
        </w:rPr>
        <w:t xml:space="preserve">IEEE SAIDI </w:t>
      </w:r>
      <w:r w:rsidRPr="00130F07">
        <w:rPr>
          <w:rFonts w:eastAsia="Times New Roman" w:cs="Times New Roman"/>
          <w:szCs w:val="20"/>
        </w:rPr>
        <w:t xml:space="preserve">data from its OMS, and so the proposed </w:t>
      </w:r>
      <w:r w:rsidR="00255F71" w:rsidRPr="001D2B46">
        <w:rPr>
          <w:rFonts w:eastAsia="Times New Roman" w:cs="Times New Roman"/>
          <w:szCs w:val="20"/>
        </w:rPr>
        <w:t xml:space="preserve">Benchmark Calculation </w:t>
      </w:r>
      <w:r w:rsidRPr="00130F07">
        <w:rPr>
          <w:rFonts w:eastAsia="Times New Roman" w:cs="Times New Roman"/>
          <w:szCs w:val="20"/>
        </w:rPr>
        <w:t xml:space="preserve">incorporates future years of reliability data as they become available, until it has five years of </w:t>
      </w:r>
      <w:r w:rsidR="00DF2BD9">
        <w:rPr>
          <w:rFonts w:eastAsia="Times New Roman" w:cs="Times New Roman"/>
          <w:szCs w:val="20"/>
        </w:rPr>
        <w:t xml:space="preserve">IEEE SAIDI data from </w:t>
      </w:r>
      <w:r w:rsidRPr="00130F07">
        <w:rPr>
          <w:rFonts w:eastAsia="Times New Roman" w:cs="Times New Roman"/>
          <w:szCs w:val="20"/>
        </w:rPr>
        <w:t>OMS. At that time</w:t>
      </w:r>
      <w:r w:rsidR="00B0773D">
        <w:rPr>
          <w:rFonts w:eastAsia="Times New Roman" w:cs="Times New Roman"/>
          <w:szCs w:val="20"/>
        </w:rPr>
        <w:t xml:space="preserve"> (2019)</w:t>
      </w:r>
      <w:r w:rsidRPr="00130F07">
        <w:rPr>
          <w:rFonts w:eastAsia="Times New Roman" w:cs="Times New Roman"/>
          <w:szCs w:val="20"/>
        </w:rPr>
        <w:t xml:space="preserve">, PSE proposes making the </w:t>
      </w:r>
      <w:r w:rsidR="00B0773D">
        <w:rPr>
          <w:rFonts w:eastAsia="Times New Roman" w:cs="Times New Roman"/>
          <w:szCs w:val="20"/>
        </w:rPr>
        <w:t>B</w:t>
      </w:r>
      <w:r w:rsidRPr="00130F07">
        <w:rPr>
          <w:rFonts w:eastAsia="Times New Roman" w:cs="Times New Roman"/>
          <w:szCs w:val="20"/>
        </w:rPr>
        <w:t xml:space="preserve">enchmark </w:t>
      </w:r>
      <w:r w:rsidR="00B0773D">
        <w:rPr>
          <w:rFonts w:eastAsia="Times New Roman" w:cs="Times New Roman"/>
          <w:szCs w:val="20"/>
        </w:rPr>
        <w:t xml:space="preserve">Calculation </w:t>
      </w:r>
      <w:r w:rsidRPr="00130F07">
        <w:rPr>
          <w:rFonts w:eastAsia="Times New Roman" w:cs="Times New Roman"/>
          <w:szCs w:val="20"/>
        </w:rPr>
        <w:t>static.</w:t>
      </w:r>
    </w:p>
    <w:p w:rsidR="00130F07" w:rsidRPr="00130F07" w:rsidRDefault="001131BC" w:rsidP="00F44D97">
      <w:pPr>
        <w:keepNext/>
        <w:keepLines/>
        <w:numPr>
          <w:ilvl w:val="0"/>
          <w:numId w:val="0"/>
        </w:numPr>
        <w:tabs>
          <w:tab w:val="left" w:pos="720"/>
        </w:tabs>
        <w:spacing w:before="0"/>
        <w:outlineLvl w:val="1"/>
        <w:rPr>
          <w:rFonts w:ascii="Times New Roman Bold" w:eastAsia="Times New Roman" w:hAnsi="Times New Roman Bold" w:cs="Arial"/>
          <w:b/>
          <w:bCs/>
          <w:iCs/>
          <w:szCs w:val="28"/>
        </w:rPr>
      </w:pPr>
      <w:r>
        <w:rPr>
          <w:rFonts w:ascii="Times New Roman Bold" w:eastAsia="Times New Roman" w:hAnsi="Times New Roman Bold" w:cs="Arial"/>
          <w:b/>
          <w:bCs/>
          <w:iCs/>
          <w:szCs w:val="28"/>
        </w:rPr>
        <w:t>H</w:t>
      </w:r>
      <w:r w:rsidR="00130F07" w:rsidRPr="00130F07">
        <w:rPr>
          <w:rFonts w:ascii="Times New Roman Bold" w:eastAsia="Times New Roman" w:hAnsi="Times New Roman Bold" w:cs="Arial"/>
          <w:b/>
          <w:bCs/>
          <w:iCs/>
          <w:szCs w:val="28"/>
        </w:rPr>
        <w:t>.</w:t>
      </w:r>
      <w:r w:rsidR="00130F07" w:rsidRPr="00130F07">
        <w:rPr>
          <w:rFonts w:ascii="Times New Roman Bold" w:eastAsia="Times New Roman" w:hAnsi="Times New Roman Bold" w:cs="Arial"/>
          <w:b/>
          <w:bCs/>
          <w:iCs/>
          <w:szCs w:val="28"/>
        </w:rPr>
        <w:tab/>
        <w:t>Exclud</w:t>
      </w:r>
      <w:r w:rsidR="00255F71">
        <w:rPr>
          <w:rFonts w:ascii="Times New Roman Bold" w:eastAsia="Times New Roman" w:hAnsi="Times New Roman Bold" w:cs="Arial"/>
          <w:b/>
          <w:bCs/>
          <w:iCs/>
          <w:szCs w:val="28"/>
        </w:rPr>
        <w:t>ing</w:t>
      </w:r>
      <w:r w:rsidR="00130F07" w:rsidRPr="00130F07">
        <w:rPr>
          <w:rFonts w:ascii="Times New Roman Bold" w:eastAsia="Times New Roman" w:hAnsi="Times New Roman Bold" w:cs="Arial"/>
          <w:b/>
          <w:bCs/>
          <w:iCs/>
          <w:szCs w:val="28"/>
        </w:rPr>
        <w:t xml:space="preserve"> 2013 Data </w:t>
      </w:r>
      <w:r w:rsidR="001443DC">
        <w:rPr>
          <w:rFonts w:ascii="Times New Roman Bold" w:eastAsia="Times New Roman" w:hAnsi="Times New Roman Bold" w:cs="Arial"/>
          <w:b/>
          <w:bCs/>
          <w:iCs/>
          <w:szCs w:val="28"/>
        </w:rPr>
        <w:t>f</w:t>
      </w:r>
      <w:r w:rsidR="00130F07" w:rsidRPr="00130F07">
        <w:rPr>
          <w:rFonts w:ascii="Times New Roman Bold" w:eastAsia="Times New Roman" w:hAnsi="Times New Roman Bold" w:cs="Arial"/>
          <w:b/>
          <w:bCs/>
          <w:iCs/>
          <w:szCs w:val="28"/>
        </w:rPr>
        <w:t>rom the Benchmark Calculation</w:t>
      </w:r>
    </w:p>
    <w:p w:rsidR="00130F07" w:rsidRPr="00130F07" w:rsidRDefault="00130F07" w:rsidP="001D2B46">
      <w:pPr>
        <w:spacing w:before="0"/>
        <w:ind w:left="0" w:firstLine="720"/>
        <w:rPr>
          <w:rFonts w:eastAsia="Times New Roman" w:cs="Times New Roman"/>
          <w:szCs w:val="20"/>
        </w:rPr>
      </w:pPr>
      <w:r w:rsidRPr="00130F07">
        <w:rPr>
          <w:rFonts w:eastAsia="Times New Roman" w:cs="Times New Roman"/>
          <w:szCs w:val="20"/>
        </w:rPr>
        <w:t xml:space="preserve">PSE proposes to exclude 2013 data in the </w:t>
      </w:r>
      <w:r w:rsidR="00B0773D">
        <w:rPr>
          <w:rFonts w:eastAsia="Times New Roman" w:cs="Times New Roman"/>
          <w:szCs w:val="20"/>
        </w:rPr>
        <w:t>B</w:t>
      </w:r>
      <w:r w:rsidRPr="00130F07">
        <w:rPr>
          <w:rFonts w:eastAsia="Times New Roman" w:cs="Times New Roman"/>
          <w:szCs w:val="20"/>
        </w:rPr>
        <w:t xml:space="preserve">enchmark </w:t>
      </w:r>
      <w:r w:rsidR="00B0773D">
        <w:rPr>
          <w:rFonts w:eastAsia="Times New Roman" w:cs="Times New Roman"/>
          <w:szCs w:val="20"/>
        </w:rPr>
        <w:t>C</w:t>
      </w:r>
      <w:r w:rsidRPr="00130F07">
        <w:rPr>
          <w:rFonts w:eastAsia="Times New Roman" w:cs="Times New Roman"/>
          <w:szCs w:val="20"/>
        </w:rPr>
        <w:t>alculation because PSE used both CLX processes and the new OMS</w:t>
      </w:r>
      <w:r w:rsidR="00D90887">
        <w:rPr>
          <w:rFonts w:eastAsia="Times New Roman" w:cs="Times New Roman"/>
          <w:szCs w:val="20"/>
        </w:rPr>
        <w:t xml:space="preserve"> processes</w:t>
      </w:r>
      <w:r w:rsidRPr="00130F07">
        <w:rPr>
          <w:rFonts w:eastAsia="Times New Roman" w:cs="Times New Roman"/>
          <w:szCs w:val="20"/>
        </w:rPr>
        <w:t xml:space="preserve"> in 2013.  PSE used CLX from Jan 1, 2013</w:t>
      </w:r>
      <w:r w:rsidR="00A652D1">
        <w:rPr>
          <w:rFonts w:eastAsia="Times New Roman" w:cs="Times New Roman"/>
          <w:szCs w:val="20"/>
        </w:rPr>
        <w:t xml:space="preserve"> through </w:t>
      </w:r>
      <w:r w:rsidRPr="00130F07">
        <w:rPr>
          <w:rFonts w:eastAsia="Times New Roman" w:cs="Times New Roman"/>
          <w:szCs w:val="20"/>
        </w:rPr>
        <w:t>March</w:t>
      </w:r>
      <w:r w:rsidR="008662C9">
        <w:rPr>
          <w:rFonts w:eastAsia="Times New Roman" w:cs="Times New Roman"/>
          <w:szCs w:val="20"/>
        </w:rPr>
        <w:t> </w:t>
      </w:r>
      <w:r w:rsidRPr="00130F07">
        <w:rPr>
          <w:rFonts w:eastAsia="Times New Roman" w:cs="Times New Roman"/>
          <w:szCs w:val="20"/>
        </w:rPr>
        <w:t xml:space="preserve">31, 2013 and then changed over to OMS starting on April 1, 2013.  Throughout 2013, PSE continued to make significant business process and system updates related to OMS that affected the reliability data. </w:t>
      </w:r>
    </w:p>
    <w:p w:rsidR="00130F07" w:rsidRDefault="001131BC" w:rsidP="006E6D6E">
      <w:pPr>
        <w:keepNext/>
        <w:keepLines/>
        <w:numPr>
          <w:ilvl w:val="0"/>
          <w:numId w:val="0"/>
        </w:numPr>
        <w:spacing w:before="0" w:line="240" w:lineRule="auto"/>
        <w:ind w:left="720" w:hanging="720"/>
        <w:outlineLvl w:val="1"/>
        <w:rPr>
          <w:rFonts w:ascii="Times New Roman Bold" w:eastAsia="Times New Roman" w:hAnsi="Times New Roman Bold" w:cs="Arial"/>
          <w:b/>
          <w:bCs/>
          <w:iCs/>
          <w:szCs w:val="28"/>
        </w:rPr>
      </w:pPr>
      <w:r>
        <w:rPr>
          <w:rFonts w:ascii="Times New Roman Bold" w:eastAsia="Times New Roman" w:hAnsi="Times New Roman Bold" w:cs="Arial"/>
          <w:b/>
          <w:bCs/>
          <w:iCs/>
          <w:szCs w:val="28"/>
        </w:rPr>
        <w:t>I</w:t>
      </w:r>
      <w:r w:rsidR="008662C9">
        <w:rPr>
          <w:rFonts w:ascii="Times New Roman Bold" w:eastAsia="Times New Roman" w:hAnsi="Times New Roman Bold" w:cs="Arial"/>
          <w:b/>
          <w:bCs/>
          <w:iCs/>
          <w:szCs w:val="28"/>
        </w:rPr>
        <w:t>.</w:t>
      </w:r>
      <w:r w:rsidR="008662C9">
        <w:rPr>
          <w:rFonts w:ascii="Times New Roman Bold" w:eastAsia="Times New Roman" w:hAnsi="Times New Roman Bold" w:cs="Arial"/>
          <w:b/>
          <w:bCs/>
          <w:iCs/>
          <w:szCs w:val="28"/>
        </w:rPr>
        <w:tab/>
      </w:r>
      <w:r w:rsidR="00775FB9">
        <w:rPr>
          <w:rFonts w:ascii="Times New Roman Bold" w:eastAsia="Times New Roman" w:hAnsi="Times New Roman Bold" w:cs="Arial"/>
          <w:b/>
          <w:bCs/>
          <w:iCs/>
          <w:szCs w:val="28"/>
        </w:rPr>
        <w:t>Posting of the Annual Benchmarks for 2016</w:t>
      </w:r>
      <w:r w:rsidR="004B56E9">
        <w:rPr>
          <w:rFonts w:ascii="Times New Roman Bold" w:eastAsia="Times New Roman" w:hAnsi="Times New Roman Bold" w:cs="Arial"/>
          <w:b/>
          <w:bCs/>
          <w:iCs/>
          <w:szCs w:val="28"/>
        </w:rPr>
        <w:noBreakHyphen/>
      </w:r>
      <w:r w:rsidR="00775FB9">
        <w:rPr>
          <w:rFonts w:ascii="Times New Roman Bold" w:eastAsia="Times New Roman" w:hAnsi="Times New Roman Bold" w:cs="Arial"/>
          <w:b/>
          <w:bCs/>
          <w:iCs/>
          <w:szCs w:val="28"/>
        </w:rPr>
        <w:t xml:space="preserve">2018 and the </w:t>
      </w:r>
      <w:r w:rsidR="00F73CA6">
        <w:rPr>
          <w:rFonts w:ascii="Times New Roman Bold" w:eastAsia="Times New Roman" w:hAnsi="Times New Roman Bold" w:cs="Arial"/>
          <w:b/>
          <w:bCs/>
          <w:iCs/>
          <w:szCs w:val="28"/>
        </w:rPr>
        <w:t>Permanent</w:t>
      </w:r>
      <w:r w:rsidR="00775FB9">
        <w:rPr>
          <w:rFonts w:ascii="Times New Roman Bold" w:eastAsia="Times New Roman" w:hAnsi="Times New Roman Bold" w:cs="Arial"/>
          <w:b/>
          <w:bCs/>
          <w:iCs/>
          <w:szCs w:val="28"/>
        </w:rPr>
        <w:t xml:space="preserve"> Benchmark for 2019 and </w:t>
      </w:r>
      <w:r w:rsidR="00C97802">
        <w:rPr>
          <w:rFonts w:ascii="Times New Roman Bold" w:eastAsia="Times New Roman" w:hAnsi="Times New Roman Bold" w:cs="Arial"/>
          <w:b/>
          <w:bCs/>
          <w:iCs/>
          <w:szCs w:val="28"/>
        </w:rPr>
        <w:t>Beyond</w:t>
      </w:r>
    </w:p>
    <w:p w:rsidR="00B0773D" w:rsidRDefault="00130F07" w:rsidP="006E6D6E">
      <w:pPr>
        <w:ind w:left="0" w:firstLine="720"/>
        <w:rPr>
          <w:rFonts w:eastAsia="Times New Roman" w:cs="Times New Roman"/>
          <w:szCs w:val="20"/>
        </w:rPr>
      </w:pPr>
      <w:r w:rsidRPr="00130F07">
        <w:rPr>
          <w:rFonts w:eastAsia="Times New Roman" w:cs="Times New Roman"/>
          <w:szCs w:val="20"/>
        </w:rPr>
        <w:t xml:space="preserve">Because </w:t>
      </w:r>
      <w:r w:rsidR="00775FB9">
        <w:rPr>
          <w:rFonts w:eastAsia="Times New Roman" w:cs="Times New Roman"/>
          <w:szCs w:val="20"/>
        </w:rPr>
        <w:t xml:space="preserve">the SQI SAIDI </w:t>
      </w:r>
      <w:r w:rsidR="0033442A">
        <w:rPr>
          <w:rFonts w:eastAsia="Times New Roman" w:cs="Times New Roman"/>
          <w:szCs w:val="20"/>
        </w:rPr>
        <w:t>B</w:t>
      </w:r>
      <w:r w:rsidRPr="00130F07">
        <w:rPr>
          <w:rFonts w:eastAsia="Times New Roman" w:cs="Times New Roman"/>
          <w:szCs w:val="20"/>
        </w:rPr>
        <w:t xml:space="preserve">enchmark </w:t>
      </w:r>
      <w:r w:rsidR="0033442A">
        <w:rPr>
          <w:rFonts w:eastAsia="Times New Roman" w:cs="Times New Roman"/>
          <w:szCs w:val="20"/>
        </w:rPr>
        <w:t>C</w:t>
      </w:r>
      <w:r w:rsidR="00775FB9">
        <w:rPr>
          <w:rFonts w:eastAsia="Times New Roman" w:cs="Times New Roman"/>
          <w:szCs w:val="20"/>
        </w:rPr>
        <w:t xml:space="preserve">alculation </w:t>
      </w:r>
      <w:r w:rsidRPr="00130F07">
        <w:rPr>
          <w:rFonts w:eastAsia="Times New Roman" w:cs="Times New Roman"/>
          <w:szCs w:val="20"/>
        </w:rPr>
        <w:t>incorporates future years of post</w:t>
      </w:r>
      <w:r w:rsidR="004B56E9">
        <w:rPr>
          <w:rFonts w:eastAsia="Times New Roman" w:cs="Times New Roman"/>
          <w:szCs w:val="20"/>
        </w:rPr>
        <w:noBreakHyphen/>
      </w:r>
      <w:r w:rsidRPr="00130F07">
        <w:rPr>
          <w:rFonts w:eastAsia="Times New Roman" w:cs="Times New Roman"/>
          <w:szCs w:val="20"/>
        </w:rPr>
        <w:t xml:space="preserve">OMS data, PSE proposes to report its </w:t>
      </w:r>
      <w:r w:rsidR="00000B66">
        <w:rPr>
          <w:rFonts w:eastAsia="Times New Roman" w:cs="Times New Roman"/>
          <w:szCs w:val="20"/>
        </w:rPr>
        <w:t xml:space="preserve">SQI No. 3: </w:t>
      </w:r>
      <w:r w:rsidRPr="00130F07">
        <w:rPr>
          <w:rFonts w:eastAsia="Times New Roman" w:cs="Times New Roman"/>
          <w:szCs w:val="20"/>
        </w:rPr>
        <w:t xml:space="preserve">SAIDI benchmark for </w:t>
      </w:r>
      <w:r w:rsidR="00775FB9">
        <w:rPr>
          <w:rFonts w:eastAsia="Times New Roman" w:cs="Times New Roman"/>
          <w:szCs w:val="20"/>
        </w:rPr>
        <w:t xml:space="preserve">the subsequent </w:t>
      </w:r>
      <w:r w:rsidRPr="00130F07">
        <w:rPr>
          <w:rFonts w:eastAsia="Times New Roman" w:cs="Times New Roman"/>
          <w:szCs w:val="20"/>
        </w:rPr>
        <w:t>year in its annual SQI and Electric Service Reliability Report, filed annually in March</w:t>
      </w:r>
      <w:r w:rsidR="00775FB9">
        <w:rPr>
          <w:rFonts w:eastAsia="Times New Roman" w:cs="Times New Roman"/>
          <w:szCs w:val="20"/>
        </w:rPr>
        <w:t xml:space="preserve"> for the prior </w:t>
      </w:r>
      <w:r w:rsidR="00775FB9">
        <w:rPr>
          <w:rFonts w:eastAsia="Times New Roman" w:cs="Times New Roman"/>
          <w:szCs w:val="20"/>
        </w:rPr>
        <w:lastRenderedPageBreak/>
        <w:t>year performance results.  For example, in its 2015 annual report, PSE will post the SQI No. 3: SAIDI benchmark for 2016</w:t>
      </w:r>
      <w:r w:rsidR="00255F71">
        <w:rPr>
          <w:rFonts w:eastAsia="Times New Roman" w:cs="Times New Roman"/>
          <w:szCs w:val="20"/>
        </w:rPr>
        <w:t xml:space="preserve"> and associated calculation</w:t>
      </w:r>
      <w:r w:rsidRPr="00130F07">
        <w:rPr>
          <w:rFonts w:eastAsia="Times New Roman" w:cs="Times New Roman"/>
          <w:szCs w:val="20"/>
        </w:rPr>
        <w:t>.</w:t>
      </w:r>
    </w:p>
    <w:p w:rsidR="0020678E" w:rsidRDefault="0020678E" w:rsidP="00F37802">
      <w:pPr>
        <w:pStyle w:val="ListParagraph"/>
        <w:keepNext/>
        <w:keepLines/>
        <w:numPr>
          <w:ilvl w:val="0"/>
          <w:numId w:val="11"/>
        </w:numPr>
        <w:spacing w:before="0" w:after="240" w:line="240" w:lineRule="auto"/>
        <w:ind w:left="0" w:firstLine="0"/>
        <w:jc w:val="center"/>
        <w:outlineLvl w:val="0"/>
        <w:rPr>
          <w:rFonts w:ascii="Times New Roman Bold" w:eastAsia="Times New Roman" w:hAnsi="Times New Roman Bold" w:cs="Arial"/>
          <w:b/>
          <w:bCs/>
          <w:szCs w:val="32"/>
        </w:rPr>
      </w:pPr>
      <w:r w:rsidRPr="00000B66">
        <w:rPr>
          <w:rFonts w:ascii="Times New Roman Bold" w:eastAsia="Times New Roman" w:hAnsi="Times New Roman Bold" w:cs="Arial"/>
          <w:b/>
          <w:bCs/>
          <w:szCs w:val="32"/>
        </w:rPr>
        <w:t>REQUEST FOR</w:t>
      </w:r>
      <w:r w:rsidR="00000B66">
        <w:rPr>
          <w:rFonts w:ascii="Times New Roman Bold" w:eastAsia="Times New Roman" w:hAnsi="Times New Roman Bold" w:cs="Arial"/>
          <w:b/>
          <w:bCs/>
          <w:szCs w:val="32"/>
        </w:rPr>
        <w:t xml:space="preserve"> </w:t>
      </w:r>
      <w:r w:rsidRPr="00000B66">
        <w:rPr>
          <w:rFonts w:ascii="Times New Roman Bold" w:eastAsia="Times New Roman" w:hAnsi="Times New Roman Bold" w:cs="Arial"/>
          <w:b/>
          <w:bCs/>
          <w:szCs w:val="32"/>
        </w:rPr>
        <w:t xml:space="preserve"> </w:t>
      </w:r>
      <w:r w:rsidR="00000B66">
        <w:rPr>
          <w:rFonts w:ascii="Times New Roman Bold" w:eastAsia="Times New Roman" w:hAnsi="Times New Roman Bold" w:cs="Arial"/>
          <w:b/>
          <w:bCs/>
          <w:szCs w:val="32"/>
        </w:rPr>
        <w:t xml:space="preserve">COMMISSION APPROVAL </w:t>
      </w:r>
      <w:r w:rsidRPr="00000B66">
        <w:rPr>
          <w:rFonts w:ascii="Times New Roman Bold" w:eastAsia="Times New Roman" w:hAnsi="Times New Roman Bold" w:cs="Arial"/>
          <w:b/>
          <w:bCs/>
          <w:szCs w:val="32"/>
        </w:rPr>
        <w:t xml:space="preserve">OF </w:t>
      </w:r>
      <w:r w:rsidR="00000B66">
        <w:rPr>
          <w:rFonts w:ascii="Times New Roman Bold" w:eastAsia="Times New Roman" w:hAnsi="Times New Roman Bold" w:cs="Arial"/>
          <w:b/>
          <w:bCs/>
          <w:szCs w:val="32"/>
        </w:rPr>
        <w:t>PROPOSED</w:t>
      </w:r>
      <w:r w:rsidRPr="00000B66">
        <w:rPr>
          <w:rFonts w:ascii="Times New Roman Bold" w:eastAsia="Times New Roman" w:hAnsi="Times New Roman Bold" w:cs="Arial"/>
          <w:b/>
          <w:bCs/>
          <w:szCs w:val="32"/>
        </w:rPr>
        <w:t xml:space="preserve"> SQI SAIDI MECHANICS</w:t>
      </w:r>
    </w:p>
    <w:p w:rsidR="0020678E" w:rsidRPr="001D2B46" w:rsidRDefault="0020678E" w:rsidP="001D2B46">
      <w:pPr>
        <w:spacing w:before="0"/>
        <w:ind w:left="0" w:firstLine="720"/>
        <w:rPr>
          <w:rFonts w:eastAsia="Times New Roman" w:cs="Times New Roman"/>
          <w:szCs w:val="20"/>
        </w:rPr>
      </w:pPr>
      <w:r w:rsidRPr="00000B66">
        <w:rPr>
          <w:rFonts w:eastAsia="Times New Roman" w:cs="Times New Roman"/>
          <w:szCs w:val="20"/>
        </w:rPr>
        <w:t xml:space="preserve">For the reasons set forth above, PSE respectfully </w:t>
      </w:r>
      <w:r w:rsidR="00000B66" w:rsidRPr="00000B66">
        <w:rPr>
          <w:rFonts w:eastAsia="Times New Roman" w:cs="Times New Roman"/>
          <w:szCs w:val="20"/>
        </w:rPr>
        <w:t xml:space="preserve">requests that the Commission issue an order approving the above proposed SQI SAIDI mechanics as </w:t>
      </w:r>
      <w:r w:rsidR="00725EC6">
        <w:rPr>
          <w:rFonts w:eastAsia="Times New Roman" w:cs="Times New Roman"/>
          <w:szCs w:val="20"/>
        </w:rPr>
        <w:t xml:space="preserve">outlined </w:t>
      </w:r>
      <w:r w:rsidR="00000B66" w:rsidRPr="00000B66">
        <w:rPr>
          <w:rFonts w:eastAsia="Times New Roman" w:cs="Times New Roman"/>
          <w:szCs w:val="20"/>
        </w:rPr>
        <w:t>in Section VI as the perm</w:t>
      </w:r>
      <w:r w:rsidR="00DA4F31">
        <w:rPr>
          <w:rFonts w:eastAsia="Times New Roman" w:cs="Times New Roman"/>
          <w:szCs w:val="20"/>
        </w:rPr>
        <w:t>ane</w:t>
      </w:r>
      <w:r w:rsidR="00000B66" w:rsidRPr="00000B66">
        <w:rPr>
          <w:rFonts w:eastAsia="Times New Roman" w:cs="Times New Roman"/>
          <w:szCs w:val="20"/>
        </w:rPr>
        <w:t xml:space="preserve">nt mechanics for SQI No. 3: SAIDI for the SQI reporting years 2016 and </w:t>
      </w:r>
      <w:r w:rsidR="00AB43ED">
        <w:rPr>
          <w:rFonts w:eastAsia="Times New Roman" w:cs="Times New Roman"/>
          <w:szCs w:val="20"/>
        </w:rPr>
        <w:t>subsequent years</w:t>
      </w:r>
      <w:r w:rsidR="00000B66" w:rsidRPr="00000B66">
        <w:rPr>
          <w:rFonts w:eastAsia="Times New Roman" w:cs="Times New Roman"/>
          <w:szCs w:val="20"/>
        </w:rPr>
        <w:t>.</w:t>
      </w:r>
    </w:p>
    <w:p w:rsidR="0020678E" w:rsidRPr="00C26525" w:rsidRDefault="0020678E" w:rsidP="00AB43ED">
      <w:pPr>
        <w:pStyle w:val="BodyTextIndent"/>
        <w:numPr>
          <w:ilvl w:val="0"/>
          <w:numId w:val="0"/>
        </w:numPr>
        <w:rPr>
          <w:szCs w:val="24"/>
        </w:rPr>
      </w:pPr>
      <w:r w:rsidRPr="00C26525">
        <w:rPr>
          <w:szCs w:val="24"/>
        </w:rPr>
        <w:t xml:space="preserve">DATED:  </w:t>
      </w:r>
      <w:r>
        <w:rPr>
          <w:szCs w:val="24"/>
        </w:rPr>
        <w:t xml:space="preserve">November </w:t>
      </w:r>
      <w:r w:rsidR="004135EC">
        <w:rPr>
          <w:szCs w:val="24"/>
        </w:rPr>
        <w:t>30</w:t>
      </w:r>
      <w:r w:rsidRPr="00C26525">
        <w:rPr>
          <w:szCs w:val="24"/>
        </w:rPr>
        <w:t>, 201</w:t>
      </w:r>
      <w:r w:rsidR="004135EC">
        <w:rPr>
          <w:szCs w:val="24"/>
        </w:rPr>
        <w:t>5</w:t>
      </w:r>
    </w:p>
    <w:p w:rsidR="0020678E" w:rsidRPr="00C26525" w:rsidRDefault="0020678E" w:rsidP="0020678E">
      <w:pPr>
        <w:pStyle w:val="righthalf"/>
        <w:spacing w:before="240"/>
        <w:rPr>
          <w:szCs w:val="24"/>
        </w:rPr>
      </w:pPr>
      <w:r w:rsidRPr="00C26525">
        <w:rPr>
          <w:szCs w:val="24"/>
        </w:rPr>
        <w:t>PUGET SOUND ENERGY, INC.</w:t>
      </w:r>
    </w:p>
    <w:p w:rsidR="0020678E" w:rsidRDefault="0020678E" w:rsidP="0020678E">
      <w:pPr>
        <w:pStyle w:val="righthalf"/>
        <w:spacing w:before="0"/>
        <w:ind w:left="3960"/>
        <w:rPr>
          <w:b/>
          <w:szCs w:val="24"/>
        </w:rPr>
      </w:pPr>
      <w:r w:rsidRPr="00C26525">
        <w:rPr>
          <w:b/>
          <w:szCs w:val="24"/>
        </w:rPr>
        <w:br/>
      </w:r>
    </w:p>
    <w:p w:rsidR="0020678E" w:rsidRPr="00C26525" w:rsidRDefault="0020678E" w:rsidP="0020678E">
      <w:pPr>
        <w:pStyle w:val="righthalf"/>
        <w:spacing w:before="0"/>
        <w:ind w:left="3960"/>
        <w:rPr>
          <w:szCs w:val="24"/>
          <w:u w:val="single"/>
        </w:rPr>
      </w:pPr>
      <w:r w:rsidRPr="00C26525">
        <w:rPr>
          <w:szCs w:val="24"/>
        </w:rPr>
        <w:br/>
        <w:t xml:space="preserve">By </w:t>
      </w:r>
      <w:r w:rsidRPr="00C26525">
        <w:rPr>
          <w:szCs w:val="24"/>
          <w:u w:val="single"/>
        </w:rPr>
        <w:tab/>
      </w:r>
      <w:r w:rsidRPr="00C26525">
        <w:rPr>
          <w:szCs w:val="24"/>
          <w:u w:val="single"/>
        </w:rPr>
        <w:tab/>
      </w:r>
    </w:p>
    <w:p w:rsidR="0020678E" w:rsidRPr="00A77762" w:rsidRDefault="0020678E" w:rsidP="0020678E">
      <w:pPr>
        <w:pStyle w:val="righthalf"/>
        <w:tabs>
          <w:tab w:val="clear" w:pos="4860"/>
        </w:tabs>
        <w:rPr>
          <w:szCs w:val="24"/>
        </w:rPr>
      </w:pPr>
      <w:r w:rsidRPr="00A77762">
        <w:rPr>
          <w:szCs w:val="24"/>
        </w:rPr>
        <w:t>Ken Johnson</w:t>
      </w:r>
    </w:p>
    <w:p w:rsidR="0020678E" w:rsidRPr="00A9240C" w:rsidRDefault="0020678E" w:rsidP="0020678E">
      <w:pPr>
        <w:pStyle w:val="righthalf"/>
        <w:tabs>
          <w:tab w:val="clear" w:pos="4860"/>
        </w:tabs>
        <w:spacing w:before="0"/>
        <w:rPr>
          <w:sz w:val="25"/>
          <w:szCs w:val="25"/>
        </w:rPr>
      </w:pPr>
      <w:r w:rsidRPr="00A77762">
        <w:rPr>
          <w:szCs w:val="24"/>
        </w:rPr>
        <w:t>Director - State Regulatory Affairs</w:t>
      </w:r>
    </w:p>
    <w:p w:rsidR="00130F07" w:rsidRPr="00130F07" w:rsidRDefault="00130F07" w:rsidP="0020678E">
      <w:pPr>
        <w:numPr>
          <w:ilvl w:val="0"/>
          <w:numId w:val="0"/>
        </w:numPr>
        <w:ind w:left="720"/>
        <w:rPr>
          <w:rFonts w:eastAsia="Times New Roman" w:cs="Times New Roman"/>
          <w:szCs w:val="20"/>
        </w:rPr>
      </w:pPr>
    </w:p>
    <w:sectPr w:rsidR="00130F07" w:rsidRPr="00130F0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D5" w:rsidRDefault="006926D5" w:rsidP="0001122B">
      <w:pPr>
        <w:spacing w:line="240" w:lineRule="auto"/>
      </w:pPr>
      <w:r>
        <w:separator/>
      </w:r>
    </w:p>
  </w:endnote>
  <w:endnote w:type="continuationSeparator" w:id="0">
    <w:p w:rsidR="006926D5" w:rsidRDefault="006926D5" w:rsidP="0001122B">
      <w:pPr>
        <w:spacing w:line="240" w:lineRule="auto"/>
      </w:pPr>
      <w:r>
        <w:continuationSeparator/>
      </w:r>
    </w:p>
  </w:endnote>
  <w:endnote w:type="continuationNotice" w:id="1">
    <w:p w:rsidR="006926D5" w:rsidRDefault="006926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972693"/>
      <w:docPartObj>
        <w:docPartGallery w:val="Page Numbers (Bottom of Page)"/>
        <w:docPartUnique/>
      </w:docPartObj>
    </w:sdtPr>
    <w:sdtEndPr>
      <w:rPr>
        <w:noProof/>
      </w:rPr>
    </w:sdtEndPr>
    <w:sdtContent>
      <w:p w:rsidR="0004123C" w:rsidRDefault="0004123C" w:rsidP="00F43E7D">
        <w:pPr>
          <w:pStyle w:val="Footer"/>
          <w:numPr>
            <w:ilvl w:val="0"/>
            <w:numId w:val="0"/>
          </w:numPr>
          <w:ind w:left="360"/>
          <w:jc w:val="center"/>
          <w:rPr>
            <w:noProof/>
          </w:rPr>
        </w:pPr>
        <w:r>
          <w:t>-</w:t>
        </w:r>
        <w:r>
          <w:fldChar w:fldCharType="begin"/>
        </w:r>
        <w:r>
          <w:instrText xml:space="preserve"> PAGE   \* MERGEFORMAT </w:instrText>
        </w:r>
        <w:r>
          <w:fldChar w:fldCharType="separate"/>
        </w:r>
        <w:r w:rsidR="003F53E3">
          <w:rPr>
            <w:noProof/>
          </w:rPr>
          <w:t>1</w:t>
        </w:r>
        <w:r>
          <w:rPr>
            <w:noProof/>
          </w:rPr>
          <w:fldChar w:fldCharType="end"/>
        </w:r>
        <w:r>
          <w:rPr>
            <w:noProof/>
          </w:rPr>
          <w:t>-</w:t>
        </w:r>
      </w:p>
    </w:sdtContent>
  </w:sdt>
  <w:p w:rsidR="00602467" w:rsidRDefault="00602467" w:rsidP="00602467">
    <w:pPr>
      <w:pStyle w:val="Footer"/>
      <w:numPr>
        <w:ilvl w:val="0"/>
        <w:numId w:val="0"/>
      </w:numPr>
      <w:spacing w:line="200" w:lineRule="exact"/>
    </w:pPr>
    <w:r w:rsidRPr="00602467">
      <w:rPr>
        <w:rStyle w:val="zzmpTrailerItem"/>
      </w:rPr>
      <w:t>07771-0100/128694158.2</w:t>
    </w:r>
    <w:r w:rsidRPr="0060246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D5" w:rsidRDefault="006926D5" w:rsidP="00E661C8">
      <w:pPr>
        <w:pStyle w:val="footnoteseparator"/>
        <w:spacing w:before="120"/>
      </w:pPr>
      <w:r>
        <w:separator/>
      </w:r>
    </w:p>
  </w:footnote>
  <w:footnote w:type="continuationSeparator" w:id="0">
    <w:p w:rsidR="006926D5" w:rsidRDefault="006926D5" w:rsidP="00E661C8">
      <w:pPr>
        <w:numPr>
          <w:ilvl w:val="0"/>
          <w:numId w:val="0"/>
        </w:numPr>
        <w:spacing w:line="240" w:lineRule="auto"/>
        <w:ind w:left="1440"/>
      </w:pPr>
      <w:r>
        <w:continuationSeparator/>
      </w:r>
    </w:p>
  </w:footnote>
  <w:footnote w:type="continuationNotice" w:id="1">
    <w:p w:rsidR="006926D5" w:rsidRDefault="006926D5" w:rsidP="00E661C8">
      <w:pPr>
        <w:numPr>
          <w:ilvl w:val="0"/>
          <w:numId w:val="0"/>
        </w:numPr>
        <w:spacing w:line="240" w:lineRule="auto"/>
        <w:ind w:left="1440"/>
      </w:pPr>
    </w:p>
  </w:footnote>
  <w:footnote w:id="2">
    <w:p w:rsidR="0004123C" w:rsidRPr="001608D8" w:rsidRDefault="0004123C" w:rsidP="00EF5FC0">
      <w:pPr>
        <w:pStyle w:val="FootnoteText"/>
        <w:spacing w:before="0"/>
        <w:rPr>
          <w:rStyle w:val="FootnoteReference"/>
          <w:vertAlign w:val="baseline"/>
        </w:rPr>
      </w:pPr>
      <w:r>
        <w:rPr>
          <w:rStyle w:val="FootnoteReference"/>
        </w:rPr>
        <w:footnoteRef/>
      </w:r>
      <w:r w:rsidRPr="001608D8">
        <w:rPr>
          <w:rStyle w:val="FootnoteReference"/>
        </w:rPr>
        <w:t xml:space="preserve"> </w:t>
      </w:r>
      <w:r>
        <w:rPr>
          <w:rStyle w:val="FootnoteReference"/>
          <w:sz w:val="20"/>
          <w:szCs w:val="20"/>
          <w:vertAlign w:val="baseline"/>
        </w:rPr>
        <w:t>S</w:t>
      </w:r>
      <w:r>
        <w:rPr>
          <w:sz w:val="20"/>
          <w:szCs w:val="20"/>
        </w:rPr>
        <w:t>AIDI</w:t>
      </w:r>
      <w:r w:rsidRPr="00B76F0F">
        <w:rPr>
          <w:rStyle w:val="FootnoteReference"/>
          <w:sz w:val="20"/>
          <w:szCs w:val="20"/>
          <w:vertAlign w:val="baseline"/>
        </w:rPr>
        <w:t xml:space="preserve"> measures the average outage duration for each customer served.  SAIDI is </w:t>
      </w:r>
      <w:r>
        <w:rPr>
          <w:sz w:val="20"/>
          <w:szCs w:val="20"/>
        </w:rPr>
        <w:t xml:space="preserve">the </w:t>
      </w:r>
      <w:r w:rsidRPr="00B76F0F">
        <w:rPr>
          <w:rStyle w:val="FootnoteReference"/>
          <w:sz w:val="20"/>
          <w:szCs w:val="20"/>
          <w:vertAlign w:val="baseline"/>
        </w:rPr>
        <w:t xml:space="preserve">reliability index commonly used by electric utilities.  It is calculated as the </w:t>
      </w:r>
      <w:r w:rsidRPr="00B76F0F">
        <w:rPr>
          <w:sz w:val="20"/>
          <w:szCs w:val="20"/>
        </w:rPr>
        <w:t>total customer minute interruptions (outage duration [in minutes] multiplied by number of customer</w:t>
      </w:r>
      <w:r>
        <w:rPr>
          <w:sz w:val="20"/>
          <w:szCs w:val="20"/>
        </w:rPr>
        <w:t>s</w:t>
      </w:r>
      <w:r w:rsidRPr="00B76F0F">
        <w:rPr>
          <w:sz w:val="20"/>
          <w:szCs w:val="20"/>
        </w:rPr>
        <w:t xml:space="preserve"> impacted by the outage) </w:t>
      </w:r>
      <w:r w:rsidRPr="00B76F0F">
        <w:rPr>
          <w:rStyle w:val="FootnoteReference"/>
          <w:sz w:val="20"/>
          <w:szCs w:val="20"/>
          <w:vertAlign w:val="baseline"/>
        </w:rPr>
        <w:t>divided by the</w:t>
      </w:r>
      <w:r w:rsidRPr="00B76F0F">
        <w:rPr>
          <w:sz w:val="20"/>
          <w:szCs w:val="20"/>
        </w:rPr>
        <w:t xml:space="preserve"> average number of electric customers served</w:t>
      </w:r>
      <w:r w:rsidRPr="00B76F0F">
        <w:rPr>
          <w:rStyle w:val="FootnoteReference"/>
          <w:sz w:val="20"/>
          <w:szCs w:val="20"/>
          <w:vertAlign w:val="baseline"/>
        </w:rPr>
        <w:t xml:space="preserve"> typically over the course of a </w:t>
      </w:r>
      <w:r w:rsidRPr="00B76F0F">
        <w:rPr>
          <w:sz w:val="20"/>
          <w:szCs w:val="20"/>
        </w:rPr>
        <w:t xml:space="preserve">calendar </w:t>
      </w:r>
      <w:r w:rsidRPr="00B76F0F">
        <w:rPr>
          <w:rStyle w:val="FootnoteReference"/>
          <w:sz w:val="20"/>
          <w:szCs w:val="20"/>
          <w:vertAlign w:val="baseline"/>
        </w:rPr>
        <w:t>year.</w:t>
      </w:r>
      <w:r w:rsidRPr="00FA6FCD">
        <w:t xml:space="preserve"> </w:t>
      </w:r>
    </w:p>
  </w:footnote>
  <w:footnote w:id="3">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Docket</w:t>
      </w:r>
      <w:r>
        <w:rPr>
          <w:sz w:val="20"/>
          <w:szCs w:val="20"/>
        </w:rPr>
        <w:t xml:space="preserve"> Nos</w:t>
      </w:r>
      <w:r w:rsidRPr="00BB218F">
        <w:rPr>
          <w:sz w:val="20"/>
          <w:szCs w:val="20"/>
        </w:rPr>
        <w:t xml:space="preserve"> UE-951270 and UE-960195.</w:t>
      </w:r>
    </w:p>
  </w:footnote>
  <w:footnote w:id="4">
    <w:p w:rsidR="0004123C" w:rsidRPr="00BB218F" w:rsidRDefault="0004123C" w:rsidP="00EF5FC0">
      <w:pPr>
        <w:pStyle w:val="FootnoteText"/>
        <w:spacing w:before="0"/>
        <w:rPr>
          <w:sz w:val="20"/>
          <w:szCs w:val="20"/>
        </w:rPr>
      </w:pPr>
      <w:r w:rsidRPr="00BB218F">
        <w:rPr>
          <w:rStyle w:val="FootnoteReference"/>
          <w:sz w:val="20"/>
          <w:szCs w:val="20"/>
        </w:rPr>
        <w:footnoteRef/>
      </w:r>
      <w:r>
        <w:rPr>
          <w:sz w:val="20"/>
          <w:szCs w:val="20"/>
        </w:rPr>
        <w:t xml:space="preserve"> Docket Nos. </w:t>
      </w:r>
      <w:r w:rsidRPr="00BB218F">
        <w:rPr>
          <w:sz w:val="20"/>
          <w:szCs w:val="20"/>
        </w:rPr>
        <w:t xml:space="preserve">UE-951270 </w:t>
      </w:r>
      <w:r>
        <w:rPr>
          <w:sz w:val="20"/>
          <w:szCs w:val="20"/>
        </w:rPr>
        <w:t>and</w:t>
      </w:r>
      <w:r w:rsidRPr="00BB218F">
        <w:rPr>
          <w:sz w:val="20"/>
          <w:szCs w:val="20"/>
        </w:rPr>
        <w:t xml:space="preserve"> UG-960195, </w:t>
      </w:r>
      <w:bookmarkStart w:id="2" w:name="OLE_LINK4"/>
      <w:bookmarkStart w:id="3" w:name="OLE_LINK3"/>
      <w:r w:rsidRPr="00BB218F">
        <w:rPr>
          <w:sz w:val="20"/>
          <w:szCs w:val="20"/>
        </w:rPr>
        <w:t xml:space="preserve">Fourteenth Supplemental Order </w:t>
      </w:r>
      <w:bookmarkEnd w:id="2"/>
      <w:bookmarkEnd w:id="3"/>
      <w:r>
        <w:rPr>
          <w:sz w:val="20"/>
          <w:szCs w:val="20"/>
        </w:rPr>
        <w:t>Accepting Stipulation (Feb.</w:t>
      </w:r>
      <w:r w:rsidRPr="00BB218F">
        <w:rPr>
          <w:sz w:val="20"/>
          <w:szCs w:val="20"/>
        </w:rPr>
        <w:t xml:space="preserve"> 5, 1997) (Stipulation at 11:1</w:t>
      </w:r>
      <w:r w:rsidR="00140A79">
        <w:rPr>
          <w:sz w:val="20"/>
          <w:szCs w:val="20"/>
        </w:rPr>
        <w:t>1</w:t>
      </w:r>
      <w:r w:rsidRPr="00BB218F">
        <w:rPr>
          <w:sz w:val="20"/>
          <w:szCs w:val="20"/>
        </w:rPr>
        <w:t xml:space="preserve">-15). </w:t>
      </w:r>
    </w:p>
  </w:footnote>
  <w:footnote w:id="5">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w:t>
      </w:r>
      <w:r w:rsidRPr="00BB218F">
        <w:rPr>
          <w:i/>
          <w:sz w:val="20"/>
          <w:szCs w:val="20"/>
        </w:rPr>
        <w:t>Id.</w:t>
      </w:r>
      <w:r w:rsidR="00140A79">
        <w:rPr>
          <w:i/>
          <w:sz w:val="20"/>
          <w:szCs w:val="20"/>
        </w:rPr>
        <w:t xml:space="preserve">, </w:t>
      </w:r>
      <w:r w:rsidR="00140A79" w:rsidRPr="00BB218F">
        <w:rPr>
          <w:sz w:val="20"/>
          <w:szCs w:val="20"/>
        </w:rPr>
        <w:t xml:space="preserve">Fourteenth Supplemental Order </w:t>
      </w:r>
      <w:r w:rsidR="00140A79">
        <w:rPr>
          <w:sz w:val="20"/>
          <w:szCs w:val="20"/>
        </w:rPr>
        <w:t xml:space="preserve">at 32.  </w:t>
      </w:r>
    </w:p>
  </w:footnote>
  <w:footnote w:id="6">
    <w:p w:rsidR="0004123C" w:rsidRPr="00BB218F" w:rsidRDefault="0004123C" w:rsidP="00EF5FC0">
      <w:pPr>
        <w:pStyle w:val="FootnoteText"/>
        <w:spacing w:before="0"/>
        <w:rPr>
          <w:rStyle w:val="FootnoteReference"/>
          <w:sz w:val="20"/>
          <w:szCs w:val="20"/>
          <w:vertAlign w:val="baseline"/>
        </w:rPr>
      </w:pPr>
      <w:r w:rsidRPr="00BB218F">
        <w:rPr>
          <w:rStyle w:val="FootnoteReference"/>
          <w:sz w:val="20"/>
          <w:szCs w:val="20"/>
        </w:rPr>
        <w:footnoteRef/>
      </w:r>
      <w:r w:rsidRPr="00BB218F">
        <w:rPr>
          <w:rStyle w:val="FootnoteReference"/>
          <w:sz w:val="20"/>
          <w:szCs w:val="20"/>
          <w:vertAlign w:val="baseline"/>
        </w:rPr>
        <w:t xml:space="preserve"> Major Events are days when more than </w:t>
      </w:r>
      <w:r>
        <w:rPr>
          <w:sz w:val="20"/>
          <w:szCs w:val="20"/>
        </w:rPr>
        <w:t xml:space="preserve">five </w:t>
      </w:r>
      <w:r>
        <w:rPr>
          <w:rStyle w:val="FootnoteReference"/>
          <w:sz w:val="20"/>
          <w:szCs w:val="20"/>
          <w:vertAlign w:val="baseline"/>
        </w:rPr>
        <w:t>percent</w:t>
      </w:r>
      <w:r w:rsidRPr="00BB218F">
        <w:rPr>
          <w:rStyle w:val="FootnoteReference"/>
          <w:sz w:val="20"/>
          <w:szCs w:val="20"/>
          <w:vertAlign w:val="baseline"/>
        </w:rPr>
        <w:t xml:space="preserve"> of PSE’s customers are out and </w:t>
      </w:r>
      <w:r>
        <w:rPr>
          <w:sz w:val="20"/>
          <w:szCs w:val="20"/>
        </w:rPr>
        <w:t xml:space="preserve">involve </w:t>
      </w:r>
      <w:r w:rsidRPr="00BB218F">
        <w:rPr>
          <w:rStyle w:val="FootnoteReference"/>
          <w:sz w:val="20"/>
          <w:szCs w:val="20"/>
          <w:vertAlign w:val="baseline"/>
        </w:rPr>
        <w:t>associated carry</w:t>
      </w:r>
      <w:r w:rsidRPr="00BB218F">
        <w:rPr>
          <w:rStyle w:val="FootnoteReference"/>
          <w:sz w:val="20"/>
          <w:szCs w:val="20"/>
          <w:vertAlign w:val="baseline"/>
        </w:rPr>
        <w:noBreakHyphen/>
        <w:t>forward days, which end when those customers have their service restored.</w:t>
      </w:r>
      <w:r w:rsidRPr="00BB218F">
        <w:rPr>
          <w:sz w:val="20"/>
          <w:szCs w:val="20"/>
        </w:rPr>
        <w:t xml:space="preserve"> </w:t>
      </w:r>
    </w:p>
  </w:footnote>
  <w:footnote w:id="7">
    <w:p w:rsidR="0004123C" w:rsidRPr="00BB218F" w:rsidRDefault="0004123C" w:rsidP="00EF5FC0">
      <w:pPr>
        <w:pStyle w:val="FooterDocumentTitle"/>
      </w:pPr>
      <w:r w:rsidRPr="00BB218F">
        <w:rPr>
          <w:rStyle w:val="FootnoteReference"/>
          <w:sz w:val="20"/>
        </w:rPr>
        <w:footnoteRef/>
      </w:r>
      <w:r w:rsidRPr="00BB218F">
        <w:t xml:space="preserve"> </w:t>
      </w:r>
      <w:r w:rsidRPr="00A23025">
        <w:rPr>
          <w:i/>
          <w:sz w:val="20"/>
        </w:rPr>
        <w:t>WUTC v. PSE</w:t>
      </w:r>
      <w:r w:rsidRPr="00C76E0A">
        <w:rPr>
          <w:sz w:val="20"/>
        </w:rPr>
        <w:t>, Docket</w:t>
      </w:r>
      <w:r>
        <w:rPr>
          <w:sz w:val="20"/>
        </w:rPr>
        <w:t xml:space="preserve"> Nos</w:t>
      </w:r>
      <w:r w:rsidRPr="00DC252E">
        <w:rPr>
          <w:sz w:val="20"/>
        </w:rPr>
        <w:t xml:space="preserve"> UE-011570 </w:t>
      </w:r>
      <w:r>
        <w:rPr>
          <w:sz w:val="20"/>
        </w:rPr>
        <w:t>and</w:t>
      </w:r>
      <w:r w:rsidRPr="00DC252E">
        <w:rPr>
          <w:sz w:val="20"/>
        </w:rPr>
        <w:t xml:space="preserve"> UG-011571 (consolidated), Twelfth Supplemental Order, Appendix A: Settlement Stipulation, Exhibit J.</w:t>
      </w:r>
      <w:r w:rsidRPr="00BB218F">
        <w:t xml:space="preserve"> </w:t>
      </w:r>
    </w:p>
  </w:footnote>
  <w:footnote w:id="8">
    <w:p w:rsidR="00140A79" w:rsidRPr="00BB218F" w:rsidRDefault="00140A79" w:rsidP="00140A79">
      <w:pPr>
        <w:pStyle w:val="FootnoteText"/>
        <w:spacing w:before="0"/>
        <w:rPr>
          <w:sz w:val="20"/>
          <w:szCs w:val="20"/>
        </w:rPr>
      </w:pPr>
      <w:r w:rsidRPr="00BB218F">
        <w:rPr>
          <w:rStyle w:val="FootnoteReference"/>
          <w:sz w:val="20"/>
          <w:szCs w:val="20"/>
        </w:rPr>
        <w:footnoteRef/>
      </w:r>
      <w:r>
        <w:rPr>
          <w:i/>
          <w:sz w:val="20"/>
          <w:szCs w:val="20"/>
        </w:rPr>
        <w:t>In re Joint Application of Puget Holdings LLC and Puget Sound Energy, Inc., For an Order Authorizing Proposed Transaction</w:t>
      </w:r>
      <w:r>
        <w:rPr>
          <w:sz w:val="20"/>
          <w:szCs w:val="20"/>
        </w:rPr>
        <w:t>, Docket U-072375, Order 08 Approving and Adopting Settlement Stipulation; Authorizing Transaction Subject to Conditions, Appendix A to Attachment A at 1</w:t>
      </w:r>
      <w:r w:rsidRPr="00431B3C">
        <w:rPr>
          <w:sz w:val="20"/>
          <w:szCs w:val="20"/>
        </w:rPr>
        <w:t>.</w:t>
      </w:r>
    </w:p>
  </w:footnote>
  <w:footnote w:id="9">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Docket Nos. UE-072300 and UG-072301 (consolidated)</w:t>
      </w:r>
      <w:r>
        <w:rPr>
          <w:sz w:val="20"/>
          <w:szCs w:val="20"/>
        </w:rPr>
        <w:t>.</w:t>
      </w:r>
    </w:p>
  </w:footnote>
  <w:footnote w:id="10">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w:t>
      </w:r>
      <w:r w:rsidRPr="00BB218F">
        <w:rPr>
          <w:i/>
          <w:sz w:val="20"/>
          <w:szCs w:val="20"/>
        </w:rPr>
        <w:t xml:space="preserve">See </w:t>
      </w:r>
      <w:r>
        <w:rPr>
          <w:i/>
          <w:sz w:val="20"/>
          <w:szCs w:val="20"/>
        </w:rPr>
        <w:t xml:space="preserve">WUTC v. </w:t>
      </w:r>
      <w:r w:rsidRPr="00E66476">
        <w:rPr>
          <w:i/>
          <w:sz w:val="20"/>
          <w:szCs w:val="20"/>
        </w:rPr>
        <w:t>PSE,</w:t>
      </w:r>
      <w:r>
        <w:rPr>
          <w:sz w:val="20"/>
          <w:szCs w:val="20"/>
        </w:rPr>
        <w:t xml:space="preserve"> Dockets UE-072300 &amp; UG-072301, </w:t>
      </w:r>
      <w:r w:rsidRPr="00E66476">
        <w:rPr>
          <w:sz w:val="20"/>
          <w:szCs w:val="20"/>
        </w:rPr>
        <w:t>Appendix</w:t>
      </w:r>
      <w:r w:rsidRPr="00BB218F">
        <w:rPr>
          <w:sz w:val="20"/>
          <w:szCs w:val="20"/>
        </w:rPr>
        <w:t xml:space="preserve"> D to Order 12: Partial Settlement Stipulation Re: Service Quality, Meter and Billing Performance, and Low-Income Bill Assistance (“Partial Settlement”)</w:t>
      </w:r>
      <w:r>
        <w:rPr>
          <w:sz w:val="20"/>
          <w:szCs w:val="20"/>
        </w:rPr>
        <w:t>.</w:t>
      </w:r>
    </w:p>
  </w:footnote>
  <w:footnote w:id="11">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Docket Nos. UE-072300 and UG-072301 (consolidated), Petition for Approval of Modifications to Servi</w:t>
      </w:r>
      <w:r>
        <w:rPr>
          <w:sz w:val="20"/>
          <w:szCs w:val="20"/>
        </w:rPr>
        <w:t>ce Quality Index Program (Oct.</w:t>
      </w:r>
      <w:r w:rsidRPr="00BB218F">
        <w:rPr>
          <w:sz w:val="20"/>
          <w:szCs w:val="20"/>
        </w:rPr>
        <w:t xml:space="preserve"> 21, 2010)</w:t>
      </w:r>
      <w:r>
        <w:rPr>
          <w:sz w:val="20"/>
          <w:szCs w:val="20"/>
        </w:rPr>
        <w:t>.</w:t>
      </w:r>
    </w:p>
  </w:footnote>
  <w:footnote w:id="12">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w:t>
      </w:r>
      <w:r>
        <w:rPr>
          <w:i/>
          <w:sz w:val="20"/>
          <w:szCs w:val="20"/>
        </w:rPr>
        <w:t>Id.</w:t>
      </w:r>
      <w:r w:rsidRPr="00BB218F">
        <w:rPr>
          <w:i/>
          <w:sz w:val="20"/>
          <w:szCs w:val="20"/>
        </w:rPr>
        <w:t xml:space="preserve"> </w:t>
      </w:r>
      <w:r w:rsidRPr="00BB218F">
        <w:rPr>
          <w:sz w:val="20"/>
          <w:szCs w:val="20"/>
        </w:rPr>
        <w:t xml:space="preserve">at ¶ 18. </w:t>
      </w:r>
    </w:p>
  </w:footnote>
  <w:footnote w:id="13">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w:t>
      </w:r>
      <w:r>
        <w:rPr>
          <w:i/>
          <w:sz w:val="20"/>
          <w:szCs w:val="20"/>
        </w:rPr>
        <w:t>Id.</w:t>
      </w:r>
      <w:r>
        <w:rPr>
          <w:sz w:val="20"/>
          <w:szCs w:val="20"/>
        </w:rPr>
        <w:t>,</w:t>
      </w:r>
      <w:r w:rsidRPr="00BB218F">
        <w:rPr>
          <w:sz w:val="20"/>
          <w:szCs w:val="20"/>
        </w:rPr>
        <w:t xml:space="preserve"> Order 17, Granting PSE’s Petition for Approval of Modifications to Its Service </w:t>
      </w:r>
      <w:r>
        <w:rPr>
          <w:sz w:val="20"/>
          <w:szCs w:val="20"/>
        </w:rPr>
        <w:t>Quality Index Program, (Nov.</w:t>
      </w:r>
      <w:r w:rsidRPr="00BB218F">
        <w:rPr>
          <w:sz w:val="20"/>
          <w:szCs w:val="20"/>
        </w:rPr>
        <w:t xml:space="preserve"> 29, 2010)</w:t>
      </w:r>
      <w:r>
        <w:rPr>
          <w:sz w:val="20"/>
          <w:szCs w:val="20"/>
        </w:rPr>
        <w:t>.</w:t>
      </w:r>
      <w:r w:rsidRPr="00BB218F">
        <w:rPr>
          <w:sz w:val="20"/>
          <w:szCs w:val="20"/>
        </w:rPr>
        <w:t xml:space="preserve"> </w:t>
      </w:r>
    </w:p>
  </w:footnote>
  <w:footnote w:id="14">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w:t>
      </w:r>
      <w:r>
        <w:rPr>
          <w:sz w:val="20"/>
          <w:szCs w:val="20"/>
        </w:rPr>
        <w:t>T</w:t>
      </w:r>
      <w:r w:rsidRPr="00BB218F">
        <w:rPr>
          <w:sz w:val="20"/>
          <w:szCs w:val="20"/>
        </w:rPr>
        <w:t>he actual annual results used in the SQI No. 3 evaluation exclu</w:t>
      </w:r>
      <w:r>
        <w:rPr>
          <w:sz w:val="20"/>
          <w:szCs w:val="20"/>
        </w:rPr>
        <w:t>de 2006 annual results</w:t>
      </w:r>
      <w:r w:rsidRPr="00BB218F">
        <w:rPr>
          <w:sz w:val="20"/>
          <w:szCs w:val="20"/>
        </w:rPr>
        <w:t xml:space="preserve"> </w:t>
      </w:r>
      <w:r>
        <w:rPr>
          <w:sz w:val="20"/>
          <w:szCs w:val="20"/>
        </w:rPr>
        <w:t xml:space="preserve">due the catastrophic impact of the 2006 </w:t>
      </w:r>
      <w:r w:rsidRPr="006F661D">
        <w:rPr>
          <w:sz w:val="20"/>
          <w:szCs w:val="20"/>
        </w:rPr>
        <w:t>the Hanukkah Eve windstorm</w:t>
      </w:r>
      <w:r>
        <w:rPr>
          <w:sz w:val="20"/>
          <w:szCs w:val="20"/>
        </w:rPr>
        <w:t xml:space="preserve">. </w:t>
      </w:r>
      <w:r w:rsidRPr="006F661D">
        <w:rPr>
          <w:sz w:val="20"/>
          <w:szCs w:val="20"/>
        </w:rPr>
        <w:t xml:space="preserve"> </w:t>
      </w:r>
      <w:r>
        <w:rPr>
          <w:sz w:val="20"/>
          <w:szCs w:val="20"/>
        </w:rPr>
        <w:t xml:space="preserve">The exclusion was petitioned by PSE and </w:t>
      </w:r>
      <w:r w:rsidRPr="00BB218F">
        <w:rPr>
          <w:sz w:val="20"/>
          <w:szCs w:val="20"/>
        </w:rPr>
        <w:t>approved by the Commission</w:t>
      </w:r>
      <w:r>
        <w:rPr>
          <w:sz w:val="20"/>
          <w:szCs w:val="20"/>
        </w:rPr>
        <w:t xml:space="preserve"> in Order 17</w:t>
      </w:r>
      <w:r w:rsidRPr="00BB218F">
        <w:rPr>
          <w:sz w:val="20"/>
          <w:szCs w:val="20"/>
        </w:rPr>
        <w:t xml:space="preserve">. </w:t>
      </w:r>
    </w:p>
  </w:footnote>
  <w:footnote w:id="15">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w:t>
      </w:r>
      <w:r>
        <w:rPr>
          <w:sz w:val="20"/>
          <w:szCs w:val="20"/>
        </w:rPr>
        <w:t>Dockets UE-072300 and UG-072301</w:t>
      </w:r>
      <w:r w:rsidRPr="00BB218F">
        <w:rPr>
          <w:i/>
          <w:sz w:val="20"/>
          <w:szCs w:val="20"/>
        </w:rPr>
        <w:t>,</w:t>
      </w:r>
      <w:r w:rsidRPr="00BB218F">
        <w:rPr>
          <w:sz w:val="20"/>
          <w:szCs w:val="20"/>
        </w:rPr>
        <w:t xml:space="preserve"> Petition for Approval of Extending SQI SAIDI Temporary Mechanics (July 13, 2012)</w:t>
      </w:r>
      <w:r>
        <w:rPr>
          <w:sz w:val="20"/>
          <w:szCs w:val="20"/>
        </w:rPr>
        <w:t>.</w:t>
      </w:r>
      <w:r w:rsidRPr="00BB218F">
        <w:rPr>
          <w:sz w:val="20"/>
          <w:szCs w:val="20"/>
        </w:rPr>
        <w:t xml:space="preserve"> </w:t>
      </w:r>
    </w:p>
  </w:footnote>
  <w:footnote w:id="16">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w:t>
      </w:r>
      <w:r>
        <w:rPr>
          <w:i/>
          <w:sz w:val="20"/>
          <w:szCs w:val="20"/>
        </w:rPr>
        <w:t>Id.,</w:t>
      </w:r>
      <w:r w:rsidRPr="00BB218F">
        <w:rPr>
          <w:sz w:val="20"/>
          <w:szCs w:val="20"/>
        </w:rPr>
        <w:t xml:space="preserve"> Answer of Commission Staff in Support of Petition for Extending SQI SAIDI Temporary Mechanics (July 19, 2012)</w:t>
      </w:r>
      <w:r>
        <w:rPr>
          <w:sz w:val="20"/>
          <w:szCs w:val="20"/>
        </w:rPr>
        <w:t>.</w:t>
      </w:r>
      <w:r w:rsidRPr="00BB218F">
        <w:rPr>
          <w:sz w:val="20"/>
          <w:szCs w:val="20"/>
        </w:rPr>
        <w:t xml:space="preserve">  </w:t>
      </w:r>
    </w:p>
  </w:footnote>
  <w:footnote w:id="17">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w:t>
      </w:r>
      <w:r w:rsidRPr="00BB218F">
        <w:rPr>
          <w:i/>
          <w:sz w:val="20"/>
          <w:szCs w:val="20"/>
        </w:rPr>
        <w:t>Id.,</w:t>
      </w:r>
      <w:r w:rsidRPr="00BB218F">
        <w:rPr>
          <w:sz w:val="20"/>
          <w:szCs w:val="20"/>
        </w:rPr>
        <w:t xml:space="preserve"> Petition Seeking a One-time Extension of the Current Mechanics Associated with SQI No. 3: SAIDI Temporary Mechanics Through 2015 (Nov</w:t>
      </w:r>
      <w:r>
        <w:rPr>
          <w:sz w:val="20"/>
          <w:szCs w:val="20"/>
        </w:rPr>
        <w:t>.</w:t>
      </w:r>
      <w:r w:rsidRPr="00BB218F">
        <w:rPr>
          <w:sz w:val="20"/>
          <w:szCs w:val="20"/>
        </w:rPr>
        <w:t xml:space="preserve"> 26, 2014). </w:t>
      </w:r>
    </w:p>
  </w:footnote>
  <w:footnote w:id="18">
    <w:p w:rsidR="0004123C" w:rsidRPr="00F73A09" w:rsidRDefault="0004123C" w:rsidP="006E6D6E">
      <w:pPr>
        <w:pStyle w:val="FootnoteText"/>
        <w:spacing w:before="0"/>
        <w:rPr>
          <w:sz w:val="20"/>
          <w:szCs w:val="20"/>
        </w:rPr>
      </w:pPr>
      <w:r w:rsidRPr="00F73A09">
        <w:rPr>
          <w:rStyle w:val="FootnoteReference"/>
          <w:sz w:val="20"/>
          <w:szCs w:val="20"/>
        </w:rPr>
        <w:footnoteRef/>
      </w:r>
      <w:r w:rsidRPr="00F73A09">
        <w:rPr>
          <w:sz w:val="20"/>
          <w:szCs w:val="20"/>
        </w:rPr>
        <w:t xml:space="preserve"> </w:t>
      </w:r>
      <w:r w:rsidRPr="00F73A09">
        <w:rPr>
          <w:i/>
          <w:sz w:val="20"/>
          <w:szCs w:val="20"/>
        </w:rPr>
        <w:t xml:space="preserve">Id. </w:t>
      </w:r>
      <w:r w:rsidRPr="00F73A09">
        <w:rPr>
          <w:sz w:val="20"/>
          <w:szCs w:val="20"/>
        </w:rPr>
        <w:t xml:space="preserve">at </w:t>
      </w:r>
      <w:r>
        <w:rPr>
          <w:sz w:val="20"/>
          <w:szCs w:val="20"/>
        </w:rPr>
        <w:t>¶ 9</w:t>
      </w:r>
      <w:r w:rsidRPr="00F73A09">
        <w:rPr>
          <w:sz w:val="20"/>
          <w:szCs w:val="20"/>
        </w:rPr>
        <w:t xml:space="preserve">.  </w:t>
      </w:r>
    </w:p>
  </w:footnote>
  <w:footnote w:id="19">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w:t>
      </w:r>
      <w:r w:rsidRPr="00BB218F">
        <w:rPr>
          <w:i/>
          <w:sz w:val="20"/>
          <w:szCs w:val="20"/>
        </w:rPr>
        <w:t>Id.,</w:t>
      </w:r>
      <w:r w:rsidRPr="00BB218F">
        <w:rPr>
          <w:sz w:val="20"/>
          <w:szCs w:val="20"/>
        </w:rPr>
        <w:t xml:space="preserve"> Answer in Support of Petition for Extending SQI </w:t>
      </w:r>
      <w:r>
        <w:rPr>
          <w:sz w:val="20"/>
          <w:szCs w:val="20"/>
        </w:rPr>
        <w:t xml:space="preserve">SAIDI Temporary Mechanics </w:t>
      </w:r>
      <w:r w:rsidR="00001E43">
        <w:rPr>
          <w:sz w:val="20"/>
          <w:szCs w:val="20"/>
        </w:rPr>
        <w:t xml:space="preserve">at ¶7 </w:t>
      </w:r>
      <w:r>
        <w:rPr>
          <w:sz w:val="20"/>
          <w:szCs w:val="20"/>
        </w:rPr>
        <w:t>(Dec.</w:t>
      </w:r>
      <w:r w:rsidRPr="00BB218F">
        <w:rPr>
          <w:sz w:val="20"/>
          <w:szCs w:val="20"/>
        </w:rPr>
        <w:t xml:space="preserve"> 9, 2014). </w:t>
      </w:r>
    </w:p>
  </w:footnote>
  <w:footnote w:id="20">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See </w:t>
      </w:r>
      <w:r>
        <w:rPr>
          <w:sz w:val="20"/>
          <w:szCs w:val="20"/>
        </w:rPr>
        <w:t>note</w:t>
      </w:r>
      <w:r w:rsidRPr="00BB218F">
        <w:rPr>
          <w:sz w:val="20"/>
          <w:szCs w:val="20"/>
        </w:rPr>
        <w:t xml:space="preserve"> </w:t>
      </w:r>
      <w:r>
        <w:rPr>
          <w:sz w:val="20"/>
          <w:szCs w:val="20"/>
        </w:rPr>
        <w:t>5</w:t>
      </w:r>
      <w:r w:rsidRPr="00BB218F">
        <w:rPr>
          <w:sz w:val="20"/>
          <w:szCs w:val="20"/>
        </w:rPr>
        <w:t>.</w:t>
      </w:r>
    </w:p>
  </w:footnote>
  <w:footnote w:id="21">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Resultants will be rounded to the nearest whole number.</w:t>
      </w:r>
    </w:p>
  </w:footnote>
  <w:footnote w:id="22">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The most current version of the standard is IEEE Std 1366™-2012.  PSE intends to adopt </w:t>
      </w:r>
      <w:r>
        <w:rPr>
          <w:sz w:val="20"/>
          <w:szCs w:val="20"/>
        </w:rPr>
        <w:t>all</w:t>
      </w:r>
      <w:r w:rsidRPr="00BB218F">
        <w:rPr>
          <w:sz w:val="20"/>
          <w:szCs w:val="20"/>
        </w:rPr>
        <w:t xml:space="preserve"> elements of the standard including any future updates</w:t>
      </w:r>
      <w:r>
        <w:rPr>
          <w:sz w:val="20"/>
          <w:szCs w:val="20"/>
        </w:rPr>
        <w:t>.  If future updates</w:t>
      </w:r>
      <w:r w:rsidRPr="00BB218F">
        <w:rPr>
          <w:sz w:val="20"/>
          <w:szCs w:val="20"/>
        </w:rPr>
        <w:t xml:space="preserve"> conflict with PSE’s </w:t>
      </w:r>
      <w:r>
        <w:rPr>
          <w:sz w:val="20"/>
          <w:szCs w:val="20"/>
        </w:rPr>
        <w:t>then-</w:t>
      </w:r>
      <w:r w:rsidRPr="00BB218F">
        <w:rPr>
          <w:sz w:val="20"/>
          <w:szCs w:val="20"/>
        </w:rPr>
        <w:t>existing reliability measurements</w:t>
      </w:r>
      <w:r>
        <w:rPr>
          <w:sz w:val="20"/>
          <w:szCs w:val="20"/>
        </w:rPr>
        <w:t>, any such conflicts</w:t>
      </w:r>
      <w:r w:rsidRPr="00BB218F">
        <w:rPr>
          <w:sz w:val="20"/>
          <w:szCs w:val="20"/>
        </w:rPr>
        <w:t xml:space="preserve"> would be </w:t>
      </w:r>
      <w:r>
        <w:rPr>
          <w:sz w:val="20"/>
          <w:szCs w:val="20"/>
        </w:rPr>
        <w:t xml:space="preserve">addressed </w:t>
      </w:r>
      <w:r w:rsidRPr="00BB218F">
        <w:rPr>
          <w:sz w:val="20"/>
          <w:szCs w:val="20"/>
        </w:rPr>
        <w:t xml:space="preserve">in the future SQ Program reporting. </w:t>
      </w:r>
    </w:p>
  </w:footnote>
  <w:footnote w:id="23">
    <w:p w:rsidR="0004123C" w:rsidRDefault="0004123C" w:rsidP="00EF5FC0">
      <w:pPr>
        <w:pStyle w:val="FootnoteText"/>
        <w:spacing w:before="0"/>
      </w:pPr>
      <w:r>
        <w:rPr>
          <w:rStyle w:val="FootnoteReference"/>
        </w:rPr>
        <w:footnoteRef/>
      </w:r>
      <w:r>
        <w:t xml:space="preserve"> </w:t>
      </w:r>
      <w:r w:rsidRPr="00AC6B76">
        <w:rPr>
          <w:sz w:val="20"/>
          <w:szCs w:val="20"/>
        </w:rPr>
        <w:t>McDaniel, J. “Uses of IEEE 1366 and Catastrophic Days.” IEEE presentation, April 2012</w:t>
      </w:r>
      <w:r>
        <w:rPr>
          <w:sz w:val="20"/>
          <w:szCs w:val="20"/>
        </w:rPr>
        <w:t>, attached hereto as Attachment A.</w:t>
      </w:r>
    </w:p>
  </w:footnote>
  <w:footnote w:id="24">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http://standards.ieee.org/about/ieeesa.html</w:t>
      </w:r>
      <w:r>
        <w:rPr>
          <w:sz w:val="20"/>
          <w:szCs w:val="20"/>
        </w:rPr>
        <w:t>.</w:t>
      </w:r>
    </w:p>
  </w:footnote>
  <w:footnote w:id="25">
    <w:p w:rsidR="0004123C" w:rsidRPr="00BB218F" w:rsidRDefault="0004123C" w:rsidP="00EF5FC0">
      <w:pPr>
        <w:pStyle w:val="FootnoteText"/>
        <w:spacing w:before="0"/>
        <w:rPr>
          <w:sz w:val="20"/>
          <w:szCs w:val="20"/>
        </w:rPr>
      </w:pPr>
      <w:r w:rsidRPr="00BB218F">
        <w:rPr>
          <w:rStyle w:val="FootnoteReference"/>
          <w:sz w:val="20"/>
          <w:szCs w:val="20"/>
        </w:rPr>
        <w:footnoteRef/>
      </w:r>
      <w:r w:rsidRPr="00BB218F">
        <w:rPr>
          <w:sz w:val="20"/>
          <w:szCs w:val="20"/>
        </w:rPr>
        <w:t xml:space="preserve"> IEEE 1366</w:t>
      </w:r>
      <w:r w:rsidRPr="00BB218F">
        <w:rPr>
          <w:rFonts w:cs="Times New Roman"/>
          <w:sz w:val="20"/>
          <w:szCs w:val="20"/>
          <w:vertAlign w:val="superscript"/>
        </w:rPr>
        <w:t>TM</w:t>
      </w:r>
      <w:r>
        <w:rPr>
          <w:sz w:val="20"/>
          <w:szCs w:val="20"/>
        </w:rPr>
        <w:t>-2012</w:t>
      </w:r>
      <w:r w:rsidRPr="00BB218F">
        <w:rPr>
          <w:sz w:val="20"/>
          <w:szCs w:val="20"/>
        </w:rPr>
        <w:t xml:space="preserve"> </w:t>
      </w:r>
      <w:r>
        <w:rPr>
          <w:sz w:val="20"/>
          <w:szCs w:val="20"/>
        </w:rPr>
        <w:t>at</w:t>
      </w:r>
      <w:r w:rsidRPr="00BB218F">
        <w:rPr>
          <w:sz w:val="20"/>
          <w:szCs w:val="20"/>
        </w:rPr>
        <w:t xml:space="preserve"> 6 and 10. </w:t>
      </w:r>
      <w:r w:rsidR="00866AA0">
        <w:rPr>
          <w:sz w:val="20"/>
          <w:szCs w:val="20"/>
        </w:rPr>
        <w:t xml:space="preserve">  IEEE Standards are proprietary, commercial documents, which PSE does not have permission to copy or distribute.  PSE will make the standards available for review at its offices, as needed.  </w:t>
      </w:r>
    </w:p>
  </w:footnote>
  <w:footnote w:id="26">
    <w:p w:rsidR="0004123C" w:rsidRPr="00AC6B76" w:rsidRDefault="0004123C" w:rsidP="00EF5FC0">
      <w:pPr>
        <w:pStyle w:val="FootnoteText"/>
        <w:spacing w:before="0"/>
        <w:rPr>
          <w:sz w:val="20"/>
          <w:szCs w:val="20"/>
        </w:rPr>
      </w:pPr>
      <w:r w:rsidRPr="00AC6B76">
        <w:rPr>
          <w:rStyle w:val="FootnoteReference"/>
          <w:sz w:val="20"/>
          <w:szCs w:val="20"/>
        </w:rPr>
        <w:footnoteRef/>
      </w:r>
      <w:r w:rsidRPr="00AC6B76">
        <w:rPr>
          <w:sz w:val="20"/>
          <w:szCs w:val="20"/>
        </w:rPr>
        <w:t xml:space="preserve"> IEEE 1366</w:t>
      </w:r>
      <w:r w:rsidRPr="00AC6B76">
        <w:rPr>
          <w:rFonts w:cs="Times New Roman"/>
          <w:sz w:val="20"/>
          <w:szCs w:val="20"/>
          <w:vertAlign w:val="superscript"/>
        </w:rPr>
        <w:t>TM</w:t>
      </w:r>
      <w:r>
        <w:rPr>
          <w:sz w:val="20"/>
          <w:szCs w:val="20"/>
        </w:rPr>
        <w:t xml:space="preserve">-2012, Section 5.3. at </w:t>
      </w:r>
      <w:r w:rsidRPr="00AC6B76">
        <w:rPr>
          <w:sz w:val="20"/>
          <w:szCs w:val="20"/>
        </w:rPr>
        <w:t>19.</w:t>
      </w:r>
    </w:p>
  </w:footnote>
  <w:footnote w:id="27">
    <w:p w:rsidR="0004123C" w:rsidRPr="00AC6B76" w:rsidRDefault="0004123C" w:rsidP="00EF5FC0">
      <w:pPr>
        <w:pStyle w:val="FootnoteText"/>
        <w:spacing w:before="0"/>
        <w:rPr>
          <w:sz w:val="20"/>
          <w:szCs w:val="20"/>
        </w:rPr>
      </w:pPr>
      <w:r w:rsidRPr="00AC6B76">
        <w:rPr>
          <w:rStyle w:val="FootnoteReference"/>
          <w:sz w:val="20"/>
          <w:szCs w:val="20"/>
        </w:rPr>
        <w:footnoteRef/>
      </w:r>
      <w:r w:rsidRPr="00AC6B76">
        <w:rPr>
          <w:sz w:val="20"/>
          <w:szCs w:val="20"/>
        </w:rPr>
        <w:t xml:space="preserve"> McDaniel, J. “Uses of IEEE 1366 and Catastrophic Days.” IEEE presentation </w:t>
      </w:r>
      <w:r>
        <w:rPr>
          <w:sz w:val="20"/>
          <w:szCs w:val="20"/>
        </w:rPr>
        <w:t>(</w:t>
      </w:r>
      <w:r w:rsidRPr="00AC6B76">
        <w:rPr>
          <w:sz w:val="20"/>
          <w:szCs w:val="20"/>
        </w:rPr>
        <w:t>April 2012</w:t>
      </w:r>
      <w:r>
        <w:rPr>
          <w:sz w:val="20"/>
          <w:szCs w:val="20"/>
        </w:rPr>
        <w:t>), attached hereto as Attachment A.</w:t>
      </w:r>
      <w:r w:rsidRPr="00AC6B76">
        <w:rPr>
          <w:sz w:val="20"/>
          <w:szCs w:val="20"/>
        </w:rPr>
        <w:t xml:space="preserve"> </w:t>
      </w:r>
    </w:p>
  </w:footnote>
  <w:footnote w:id="28">
    <w:p w:rsidR="00C0100D" w:rsidRPr="00AC6B76" w:rsidRDefault="00C0100D" w:rsidP="00C0100D">
      <w:pPr>
        <w:pStyle w:val="FootnoteText"/>
        <w:spacing w:before="0"/>
        <w:rPr>
          <w:sz w:val="20"/>
          <w:szCs w:val="20"/>
        </w:rPr>
      </w:pPr>
      <w:r w:rsidRPr="00AC6B76">
        <w:rPr>
          <w:rStyle w:val="FootnoteReference"/>
          <w:sz w:val="20"/>
          <w:szCs w:val="20"/>
        </w:rPr>
        <w:footnoteRef/>
      </w:r>
      <w:r w:rsidRPr="00AC6B76">
        <w:rPr>
          <w:sz w:val="20"/>
          <w:szCs w:val="20"/>
        </w:rPr>
        <w:t xml:space="preserve"> Catastrophic event days that PSE did not petition for mitigation include November 22, 2010 (126 minutes) and October 25, 2014 (93 minutes).</w:t>
      </w:r>
      <w:r>
        <w:rPr>
          <w:sz w:val="20"/>
          <w:szCs w:val="20"/>
        </w:rPr>
        <w:t xml:space="preserve">  These events were SQI Major Events.</w:t>
      </w:r>
      <w:r w:rsidRPr="00AC6B76">
        <w:rPr>
          <w:sz w:val="20"/>
          <w:szCs w:val="20"/>
        </w:rPr>
        <w:t xml:space="preserve"> </w:t>
      </w:r>
    </w:p>
  </w:footnote>
  <w:footnote w:id="29">
    <w:p w:rsidR="0004123C" w:rsidRPr="00AC6B76" w:rsidRDefault="0004123C" w:rsidP="00EF5FC0">
      <w:pPr>
        <w:pStyle w:val="FootnoteText"/>
        <w:spacing w:before="0"/>
        <w:rPr>
          <w:sz w:val="20"/>
          <w:szCs w:val="20"/>
        </w:rPr>
      </w:pPr>
      <w:r w:rsidRPr="00AC6B76">
        <w:rPr>
          <w:rStyle w:val="FootnoteReference"/>
          <w:sz w:val="20"/>
          <w:szCs w:val="20"/>
        </w:rPr>
        <w:footnoteRef/>
      </w:r>
      <w:r w:rsidRPr="00AC6B76">
        <w:rPr>
          <w:sz w:val="20"/>
          <w:szCs w:val="20"/>
        </w:rPr>
        <w:t xml:space="preserve"> IEEE 1782-2014. “IEEE Guide for Collecting, Categorizing, and Utilizing Information Related to Electric Power Distribution Interruption Events”</w:t>
      </w:r>
      <w:r>
        <w:rPr>
          <w:sz w:val="20"/>
          <w:szCs w:val="20"/>
        </w:rPr>
        <w:t>(</w:t>
      </w:r>
      <w:r w:rsidRPr="00AC6B76">
        <w:rPr>
          <w:sz w:val="20"/>
          <w:szCs w:val="20"/>
        </w:rPr>
        <w:t xml:space="preserve"> March 27</w:t>
      </w:r>
      <w:r>
        <w:rPr>
          <w:sz w:val="20"/>
          <w:szCs w:val="20"/>
        </w:rPr>
        <w:t>,</w:t>
      </w:r>
      <w:r w:rsidRPr="00AC6B76">
        <w:rPr>
          <w:sz w:val="20"/>
          <w:szCs w:val="20"/>
        </w:rPr>
        <w:t xml:space="preserve"> 2014</w:t>
      </w:r>
      <w:r>
        <w:rPr>
          <w:sz w:val="20"/>
          <w:szCs w:val="20"/>
        </w:rPr>
        <w:t>)</w:t>
      </w:r>
      <w:r w:rsidRPr="00AC6B76">
        <w:rPr>
          <w:sz w:val="20"/>
          <w:szCs w:val="20"/>
        </w:rPr>
        <w:t>.</w:t>
      </w:r>
    </w:p>
  </w:footnote>
  <w:footnote w:id="30">
    <w:p w:rsidR="0004123C" w:rsidRPr="00DD0100" w:rsidRDefault="0004123C" w:rsidP="00EF5FC0">
      <w:pPr>
        <w:pStyle w:val="FootnoteText"/>
        <w:spacing w:before="0"/>
        <w:rPr>
          <w:sz w:val="20"/>
          <w:szCs w:val="20"/>
        </w:rPr>
      </w:pPr>
      <w:r w:rsidRPr="00AC6B76">
        <w:rPr>
          <w:rStyle w:val="FootnoteReference"/>
          <w:sz w:val="20"/>
          <w:szCs w:val="20"/>
        </w:rPr>
        <w:footnoteRef/>
      </w:r>
      <w:r w:rsidRPr="00AC6B76">
        <w:rPr>
          <w:sz w:val="20"/>
          <w:szCs w:val="20"/>
        </w:rPr>
        <w:t xml:space="preserve"> Blue-sky day: </w:t>
      </w:r>
      <w:r>
        <w:rPr>
          <w:sz w:val="20"/>
          <w:szCs w:val="20"/>
        </w:rPr>
        <w:t xml:space="preserve"> </w:t>
      </w:r>
      <w:r w:rsidRPr="00AC6B76">
        <w:rPr>
          <w:sz w:val="20"/>
          <w:szCs w:val="20"/>
        </w:rPr>
        <w:t>A regula</w:t>
      </w:r>
      <w:r w:rsidRPr="00DD0100">
        <w:rPr>
          <w:sz w:val="20"/>
          <w:szCs w:val="20"/>
        </w:rPr>
        <w:t xml:space="preserve">r-day state, before an event happens, during which utilities typically operate. http://www.naruc.org/Grants/Documents/Resilience%20in%20Regulated%20Utilities%20ONLINE%2011_12.pdf and </w:t>
      </w:r>
      <w:r>
        <w:rPr>
          <w:sz w:val="20"/>
          <w:szCs w:val="20"/>
        </w:rPr>
        <w:t xml:space="preserve"> </w:t>
      </w:r>
      <w:r w:rsidRPr="00DD0100">
        <w:rPr>
          <w:sz w:val="20"/>
          <w:szCs w:val="20"/>
        </w:rPr>
        <w:t>http://www.naruc.org/grants/Documents/Resilience_for_Black_Sky_Days_Stockton_Sonecon_FINAL_ONLINE_Feb5.pdf.</w:t>
      </w:r>
    </w:p>
  </w:footnote>
  <w:footnote w:id="31">
    <w:p w:rsidR="0004123C" w:rsidRPr="00AC6B76" w:rsidRDefault="0004123C" w:rsidP="00EF5FC0">
      <w:pPr>
        <w:pStyle w:val="FootnoteText"/>
        <w:spacing w:before="0"/>
        <w:rPr>
          <w:sz w:val="20"/>
          <w:szCs w:val="20"/>
        </w:rPr>
      </w:pPr>
      <w:r w:rsidRPr="00AC6B76">
        <w:rPr>
          <w:rStyle w:val="FootnoteReference"/>
          <w:sz w:val="20"/>
          <w:szCs w:val="20"/>
        </w:rPr>
        <w:footnoteRef/>
      </w:r>
      <w:r w:rsidRPr="00AC6B76">
        <w:rPr>
          <w:sz w:val="20"/>
          <w:szCs w:val="20"/>
        </w:rPr>
        <w:t xml:space="preserve"> Eto, Joseph et al</w:t>
      </w:r>
      <w:r w:rsidRPr="0004123C">
        <w:rPr>
          <w:i/>
          <w:sz w:val="20"/>
          <w:szCs w:val="20"/>
        </w:rPr>
        <w:t>., An Examination of Temporal Trends in Electricity Reliability Based on Reports from U.S. Electric Utilities</w:t>
      </w:r>
      <w:r>
        <w:rPr>
          <w:sz w:val="20"/>
          <w:szCs w:val="20"/>
        </w:rPr>
        <w:t xml:space="preserve">, </w:t>
      </w:r>
      <w:r w:rsidRPr="00AC6B76">
        <w:rPr>
          <w:sz w:val="20"/>
          <w:szCs w:val="20"/>
        </w:rPr>
        <w:t xml:space="preserve"> </w:t>
      </w:r>
      <w:r>
        <w:rPr>
          <w:sz w:val="20"/>
          <w:szCs w:val="20"/>
        </w:rPr>
        <w:t>(Jan.</w:t>
      </w:r>
      <w:r w:rsidRPr="00AC6B76">
        <w:rPr>
          <w:sz w:val="20"/>
          <w:szCs w:val="20"/>
        </w:rPr>
        <w:t xml:space="preserve"> 2012</w:t>
      </w:r>
      <w:r>
        <w:rPr>
          <w:sz w:val="20"/>
          <w:szCs w:val="20"/>
        </w:rPr>
        <w:t>), attached hereto as Attachment B.</w:t>
      </w:r>
    </w:p>
  </w:footnote>
  <w:footnote w:id="32">
    <w:p w:rsidR="0004123C" w:rsidRPr="00AC6B76" w:rsidRDefault="0004123C" w:rsidP="00EF5FC0">
      <w:pPr>
        <w:pStyle w:val="FootnoteText"/>
        <w:spacing w:before="0"/>
        <w:rPr>
          <w:i/>
          <w:sz w:val="20"/>
          <w:szCs w:val="20"/>
        </w:rPr>
      </w:pPr>
      <w:r w:rsidRPr="00AC6B76">
        <w:rPr>
          <w:rStyle w:val="FootnoteReference"/>
          <w:sz w:val="20"/>
          <w:szCs w:val="20"/>
        </w:rPr>
        <w:footnoteRef/>
      </w:r>
      <w:r w:rsidRPr="00AC6B76">
        <w:rPr>
          <w:sz w:val="20"/>
          <w:szCs w:val="20"/>
        </w:rPr>
        <w:t xml:space="preserve"> </w:t>
      </w:r>
      <w:r w:rsidR="004E46B7">
        <w:rPr>
          <w:sz w:val="20"/>
          <w:szCs w:val="20"/>
        </w:rPr>
        <w:t>Attachment B</w:t>
      </w:r>
      <w:r w:rsidRPr="00AC6B76">
        <w:rPr>
          <w:i/>
          <w:sz w:val="20"/>
          <w:szCs w:val="20"/>
        </w:rPr>
        <w:t xml:space="preserve"> </w:t>
      </w:r>
      <w:r>
        <w:rPr>
          <w:sz w:val="20"/>
          <w:szCs w:val="20"/>
        </w:rPr>
        <w:t>at</w:t>
      </w:r>
      <w:r w:rsidR="004E46B7">
        <w:rPr>
          <w:sz w:val="20"/>
          <w:szCs w:val="20"/>
        </w:rPr>
        <w:t xml:space="preserve"> 16</w:t>
      </w:r>
      <w:r>
        <w:rPr>
          <w:sz w:val="20"/>
          <w:szCs w:val="20"/>
        </w:rPr>
        <w:t>.</w:t>
      </w:r>
    </w:p>
  </w:footnote>
  <w:footnote w:id="33">
    <w:p w:rsidR="0004123C" w:rsidRPr="00850C8B" w:rsidRDefault="0004123C" w:rsidP="00EF5FC0">
      <w:pPr>
        <w:pStyle w:val="FootnoteText"/>
        <w:spacing w:before="0"/>
        <w:rPr>
          <w:i/>
        </w:rPr>
      </w:pPr>
      <w:r w:rsidRPr="00AC6B76">
        <w:rPr>
          <w:rStyle w:val="FootnoteReference"/>
          <w:i/>
          <w:sz w:val="20"/>
          <w:szCs w:val="20"/>
        </w:rPr>
        <w:footnoteRef/>
      </w:r>
      <w:r w:rsidRPr="00AC6B76">
        <w:rPr>
          <w:i/>
          <w:sz w:val="20"/>
          <w:szCs w:val="20"/>
        </w:rPr>
        <w:t xml:space="preserve"> </w:t>
      </w:r>
      <w:r w:rsidR="004E46B7" w:rsidRPr="004E46B7">
        <w:rPr>
          <w:sz w:val="20"/>
          <w:szCs w:val="20"/>
        </w:rPr>
        <w:t>Attachment B at 50</w:t>
      </w:r>
      <w:r w:rsidRPr="004E46B7">
        <w:rPr>
          <w:sz w:val="20"/>
          <w:szCs w:val="20"/>
        </w:rPr>
        <w:t>.</w:t>
      </w:r>
    </w:p>
  </w:footnote>
  <w:footnote w:id="34">
    <w:p w:rsidR="0004123C" w:rsidRDefault="0004123C" w:rsidP="00EF5FC0">
      <w:pPr>
        <w:pStyle w:val="FootnoteText"/>
        <w:spacing w:before="0"/>
      </w:pPr>
      <w:r>
        <w:rPr>
          <w:rStyle w:val="FootnoteReference"/>
        </w:rPr>
        <w:footnoteRef/>
      </w:r>
      <w:r w:rsidR="004E46B7" w:rsidRPr="004E46B7">
        <w:rPr>
          <w:sz w:val="20"/>
          <w:szCs w:val="20"/>
        </w:rPr>
        <w:t>A</w:t>
      </w:r>
      <w:r w:rsidR="004E46B7">
        <w:rPr>
          <w:sz w:val="20"/>
          <w:szCs w:val="20"/>
        </w:rPr>
        <w:t>ttachment B at 45</w:t>
      </w:r>
      <w:r>
        <w:rPr>
          <w:sz w:val="20"/>
          <w:szCs w:val="20"/>
        </w:rPr>
        <w:t>.</w:t>
      </w:r>
    </w:p>
  </w:footnote>
  <w:footnote w:id="35">
    <w:p w:rsidR="0004123C" w:rsidRPr="00AC6B76" w:rsidRDefault="0004123C" w:rsidP="00EF5FC0">
      <w:pPr>
        <w:pStyle w:val="FootnoteText"/>
        <w:spacing w:before="0"/>
        <w:rPr>
          <w:sz w:val="20"/>
          <w:szCs w:val="20"/>
        </w:rPr>
      </w:pPr>
      <w:r w:rsidRPr="00AC6B76">
        <w:rPr>
          <w:rStyle w:val="FootnoteReference"/>
          <w:sz w:val="20"/>
          <w:szCs w:val="20"/>
        </w:rPr>
        <w:footnoteRef/>
      </w:r>
      <w:r w:rsidRPr="00AC6B76">
        <w:rPr>
          <w:sz w:val="20"/>
          <w:szCs w:val="20"/>
        </w:rPr>
        <w:t xml:space="preserve"> </w:t>
      </w:r>
      <w:r w:rsidRPr="00AC6B76">
        <w:rPr>
          <w:i/>
          <w:sz w:val="20"/>
          <w:szCs w:val="20"/>
        </w:rPr>
        <w:t>Id</w:t>
      </w:r>
      <w:r>
        <w:rPr>
          <w:sz w:val="20"/>
          <w:szCs w:val="20"/>
        </w:rPr>
        <w:t xml:space="preserve">. </w:t>
      </w:r>
    </w:p>
  </w:footnote>
  <w:footnote w:id="36">
    <w:p w:rsidR="0004123C" w:rsidRPr="00AC6B76" w:rsidRDefault="0004123C" w:rsidP="00EF5FC0">
      <w:pPr>
        <w:pStyle w:val="FootnoteText"/>
        <w:spacing w:before="0"/>
        <w:rPr>
          <w:sz w:val="20"/>
          <w:szCs w:val="20"/>
        </w:rPr>
      </w:pPr>
      <w:r w:rsidRPr="00AC6B76">
        <w:rPr>
          <w:rStyle w:val="FootnoteReference"/>
          <w:sz w:val="20"/>
          <w:szCs w:val="20"/>
        </w:rPr>
        <w:footnoteRef/>
      </w:r>
      <w:r w:rsidRPr="00AC6B76">
        <w:rPr>
          <w:sz w:val="20"/>
          <w:szCs w:val="20"/>
        </w:rPr>
        <w:t xml:space="preserve"> </w:t>
      </w:r>
      <w:r w:rsidRPr="00E0350F">
        <w:rPr>
          <w:i/>
          <w:sz w:val="20"/>
          <w:szCs w:val="20"/>
        </w:rPr>
        <w:t>Summary of Findings Related to Service-Quality Benchmarking Efforts</w:t>
      </w:r>
      <w:r>
        <w:rPr>
          <w:sz w:val="20"/>
          <w:szCs w:val="20"/>
        </w:rPr>
        <w:t xml:space="preserve">, </w:t>
      </w:r>
      <w:r w:rsidRPr="00AC6B76">
        <w:rPr>
          <w:sz w:val="20"/>
          <w:szCs w:val="20"/>
        </w:rPr>
        <w:t xml:space="preserve"> Navigant Consulting, </w:t>
      </w:r>
      <w:r>
        <w:rPr>
          <w:sz w:val="20"/>
          <w:szCs w:val="20"/>
        </w:rPr>
        <w:t>(</w:t>
      </w:r>
      <w:r w:rsidRPr="00AC6B76">
        <w:rPr>
          <w:sz w:val="20"/>
          <w:szCs w:val="20"/>
        </w:rPr>
        <w:t>Dec</w:t>
      </w:r>
      <w:r>
        <w:rPr>
          <w:sz w:val="20"/>
          <w:szCs w:val="20"/>
        </w:rPr>
        <w:t>.</w:t>
      </w:r>
      <w:r w:rsidRPr="00AC6B76">
        <w:rPr>
          <w:sz w:val="20"/>
          <w:szCs w:val="20"/>
        </w:rPr>
        <w:t xml:space="preserve"> 19, 2002</w:t>
      </w:r>
      <w:r>
        <w:rPr>
          <w:sz w:val="20"/>
          <w:szCs w:val="20"/>
        </w:rPr>
        <w:t xml:space="preserve">), attached hereto as Attachment </w:t>
      </w:r>
      <w:r w:rsidR="00001E43">
        <w:rPr>
          <w:sz w:val="20"/>
          <w:szCs w:val="20"/>
        </w:rPr>
        <w:t>C</w:t>
      </w:r>
      <w:r w:rsidRPr="00AC6B76">
        <w:rPr>
          <w:sz w:val="20"/>
          <w:szCs w:val="20"/>
        </w:rPr>
        <w:t>.</w:t>
      </w:r>
    </w:p>
  </w:footnote>
  <w:footnote w:id="37">
    <w:p w:rsidR="0004123C" w:rsidRPr="00AC6B76" w:rsidRDefault="0004123C" w:rsidP="00E0350F">
      <w:pPr>
        <w:pStyle w:val="FootnoteText"/>
        <w:spacing w:before="0"/>
        <w:rPr>
          <w:sz w:val="20"/>
          <w:szCs w:val="20"/>
        </w:rPr>
      </w:pPr>
      <w:r w:rsidRPr="00AC6B76">
        <w:rPr>
          <w:rStyle w:val="FootnoteReference"/>
          <w:sz w:val="20"/>
          <w:szCs w:val="20"/>
        </w:rPr>
        <w:footnoteRef/>
      </w:r>
      <w:r w:rsidRPr="00AC6B76">
        <w:rPr>
          <w:sz w:val="20"/>
          <w:szCs w:val="20"/>
        </w:rPr>
        <w:t xml:space="preserve"> </w:t>
      </w:r>
      <w:r w:rsidR="004E46B7">
        <w:rPr>
          <w:sz w:val="20"/>
          <w:szCs w:val="20"/>
        </w:rPr>
        <w:t>Attachment C</w:t>
      </w:r>
      <w:r w:rsidRPr="00AC6B76">
        <w:rPr>
          <w:sz w:val="20"/>
          <w:szCs w:val="20"/>
        </w:rPr>
        <w:t xml:space="preserve"> </w:t>
      </w:r>
      <w:r>
        <w:rPr>
          <w:sz w:val="20"/>
          <w:szCs w:val="20"/>
        </w:rPr>
        <w:t xml:space="preserve">at </w:t>
      </w:r>
      <w:r w:rsidR="004E46B7">
        <w:rPr>
          <w:sz w:val="20"/>
          <w:szCs w:val="20"/>
        </w:rPr>
        <w:t>30</w:t>
      </w:r>
      <w:r w:rsidRPr="00AC6B76">
        <w:rPr>
          <w:sz w:val="20"/>
          <w:szCs w:val="20"/>
        </w:rPr>
        <w:t>.</w:t>
      </w:r>
    </w:p>
  </w:footnote>
  <w:footnote w:id="38">
    <w:p w:rsidR="0004123C" w:rsidRPr="00AC6B76" w:rsidRDefault="0004123C" w:rsidP="00EA7607">
      <w:pPr>
        <w:pStyle w:val="FootnoteText"/>
        <w:spacing w:before="0"/>
        <w:rPr>
          <w:sz w:val="20"/>
          <w:szCs w:val="20"/>
        </w:rPr>
      </w:pPr>
      <w:r w:rsidRPr="00AC6B76">
        <w:rPr>
          <w:rStyle w:val="FootnoteReference"/>
          <w:sz w:val="20"/>
          <w:szCs w:val="20"/>
        </w:rPr>
        <w:footnoteRef/>
      </w:r>
      <w:r w:rsidRPr="00AC6B76">
        <w:rPr>
          <w:sz w:val="20"/>
          <w:szCs w:val="20"/>
        </w:rPr>
        <w:t xml:space="preserve"> L. Kaufman, L. Getachew, M.</w:t>
      </w:r>
      <w:r>
        <w:rPr>
          <w:sz w:val="20"/>
          <w:szCs w:val="20"/>
        </w:rPr>
        <w:t xml:space="preserve"> Makos, and J. Rich. 2010, </w:t>
      </w:r>
      <w:r w:rsidRPr="001F31A5">
        <w:rPr>
          <w:i/>
          <w:sz w:val="20"/>
          <w:szCs w:val="20"/>
        </w:rPr>
        <w:t>System Reliability Regulation: A Jurisdictional Survey</w:t>
      </w:r>
      <w:r>
        <w:rPr>
          <w:sz w:val="20"/>
          <w:szCs w:val="20"/>
        </w:rPr>
        <w:t xml:space="preserve"> at</w:t>
      </w:r>
      <w:r w:rsidRPr="00AC6B76">
        <w:rPr>
          <w:sz w:val="20"/>
          <w:szCs w:val="20"/>
        </w:rPr>
        <w:t xml:space="preserve"> 3</w:t>
      </w:r>
      <w:r w:rsidR="00B66D72">
        <w:rPr>
          <w:sz w:val="20"/>
          <w:szCs w:val="20"/>
        </w:rPr>
        <w:t>8</w:t>
      </w:r>
      <w:r>
        <w:rPr>
          <w:sz w:val="20"/>
          <w:szCs w:val="20"/>
        </w:rPr>
        <w:t>, attached hereto as Attachment D</w:t>
      </w:r>
      <w:r w:rsidRPr="00AC6B76">
        <w:rPr>
          <w:sz w:val="20"/>
          <w:szCs w:val="20"/>
        </w:rPr>
        <w:t>.</w:t>
      </w:r>
    </w:p>
  </w:footnote>
  <w:footnote w:id="39">
    <w:p w:rsidR="0004123C" w:rsidRPr="00AC6B76" w:rsidRDefault="0004123C" w:rsidP="00EF5FC0">
      <w:pPr>
        <w:pStyle w:val="FootnoteText"/>
        <w:spacing w:before="0"/>
        <w:rPr>
          <w:sz w:val="20"/>
          <w:szCs w:val="20"/>
        </w:rPr>
      </w:pPr>
      <w:r w:rsidRPr="00AC6B76">
        <w:rPr>
          <w:rStyle w:val="FootnoteReference"/>
          <w:sz w:val="20"/>
          <w:szCs w:val="20"/>
        </w:rPr>
        <w:footnoteRef/>
      </w:r>
      <w:r w:rsidRPr="00AC6B76">
        <w:rPr>
          <w:sz w:val="20"/>
          <w:szCs w:val="20"/>
        </w:rPr>
        <w:t xml:space="preserve"> </w:t>
      </w:r>
      <w:r w:rsidR="004E46B7" w:rsidRPr="004E46B7">
        <w:rPr>
          <w:sz w:val="20"/>
          <w:szCs w:val="20"/>
        </w:rPr>
        <w:t>A</w:t>
      </w:r>
      <w:r w:rsidR="004E46B7">
        <w:rPr>
          <w:sz w:val="20"/>
          <w:szCs w:val="20"/>
        </w:rPr>
        <w:t xml:space="preserve">ttachment D </w:t>
      </w:r>
      <w:r>
        <w:rPr>
          <w:sz w:val="20"/>
          <w:szCs w:val="20"/>
        </w:rPr>
        <w:t xml:space="preserve">at </w:t>
      </w:r>
      <w:r w:rsidRPr="00AC6B76">
        <w:rPr>
          <w:sz w:val="20"/>
          <w:szCs w:val="20"/>
        </w:rPr>
        <w:t>3</w:t>
      </w:r>
      <w:r w:rsidR="004E46B7">
        <w:rPr>
          <w:sz w:val="20"/>
          <w:szCs w:val="20"/>
        </w:rPr>
        <w:t>9</w:t>
      </w:r>
      <w:r w:rsidRPr="00AC6B76">
        <w:rPr>
          <w:sz w:val="20"/>
          <w:szCs w:val="20"/>
        </w:rPr>
        <w:t>.</w:t>
      </w:r>
    </w:p>
  </w:footnote>
  <w:footnote w:id="40">
    <w:p w:rsidR="0004123C" w:rsidRPr="000960C9" w:rsidRDefault="0004123C" w:rsidP="001E1A1F">
      <w:pPr>
        <w:pStyle w:val="FootnoteText"/>
        <w:spacing w:before="0"/>
        <w:rPr>
          <w:sz w:val="20"/>
          <w:szCs w:val="20"/>
        </w:rPr>
      </w:pPr>
      <w:r w:rsidRPr="000960C9">
        <w:rPr>
          <w:rStyle w:val="FootnoteReference"/>
          <w:sz w:val="20"/>
          <w:szCs w:val="20"/>
        </w:rPr>
        <w:footnoteRef/>
      </w:r>
      <w:r>
        <w:rPr>
          <w:sz w:val="20"/>
          <w:szCs w:val="20"/>
        </w:rPr>
        <w:t xml:space="preserve"> 2014 PSE Petition at ¶ 8.</w:t>
      </w:r>
    </w:p>
  </w:footnote>
  <w:footnote w:id="41">
    <w:p w:rsidR="00F51E0B" w:rsidRPr="00AC6B76" w:rsidRDefault="00F51E0B" w:rsidP="00F51E0B">
      <w:pPr>
        <w:pStyle w:val="FootnoteText"/>
        <w:spacing w:before="0"/>
        <w:rPr>
          <w:sz w:val="20"/>
          <w:szCs w:val="20"/>
        </w:rPr>
      </w:pPr>
      <w:r w:rsidRPr="00AC6B76">
        <w:rPr>
          <w:rStyle w:val="FootnoteReference"/>
          <w:sz w:val="20"/>
          <w:szCs w:val="20"/>
        </w:rPr>
        <w:footnoteRef/>
      </w:r>
      <w:r w:rsidRPr="00AC6B76">
        <w:rPr>
          <w:sz w:val="20"/>
          <w:szCs w:val="20"/>
        </w:rPr>
        <w:t xml:space="preserve"> </w:t>
      </w:r>
      <w:r>
        <w:rPr>
          <w:i/>
          <w:sz w:val="20"/>
          <w:szCs w:val="20"/>
        </w:rPr>
        <w:t xml:space="preserve">Id. </w:t>
      </w:r>
      <w:r w:rsidRPr="00F51E0B">
        <w:rPr>
          <w:sz w:val="20"/>
          <w:szCs w:val="20"/>
        </w:rPr>
        <w:t>at ¶ 9</w:t>
      </w:r>
      <w:r>
        <w:rPr>
          <w:sz w:val="20"/>
          <w:szCs w:val="20"/>
        </w:rPr>
        <w:t>, citing</w:t>
      </w:r>
      <w:r>
        <w:rPr>
          <w:i/>
          <w:sz w:val="20"/>
          <w:szCs w:val="20"/>
        </w:rPr>
        <w:t xml:space="preserve"> </w:t>
      </w:r>
      <w:r w:rsidRPr="00AC6B76">
        <w:rPr>
          <w:sz w:val="20"/>
          <w:szCs w:val="20"/>
        </w:rPr>
        <w:t xml:space="preserve">M. McGranaghan, A. </w:t>
      </w:r>
      <w:r>
        <w:rPr>
          <w:sz w:val="20"/>
          <w:szCs w:val="20"/>
        </w:rPr>
        <w:t>Maitra, C. Perry, and A.Gaikwad,</w:t>
      </w:r>
      <w:r w:rsidRPr="00AC6B76">
        <w:rPr>
          <w:sz w:val="20"/>
          <w:szCs w:val="20"/>
        </w:rPr>
        <w:t xml:space="preserve"> </w:t>
      </w:r>
      <w:r w:rsidRPr="00E0350F">
        <w:rPr>
          <w:i/>
          <w:sz w:val="20"/>
          <w:szCs w:val="20"/>
        </w:rPr>
        <w:t>Effect of Outage Management System Implementation on Reliability Indices</w:t>
      </w:r>
      <w:r>
        <w:rPr>
          <w:sz w:val="20"/>
          <w:szCs w:val="20"/>
        </w:rPr>
        <w:t>, (2006),</w:t>
      </w:r>
      <w:r w:rsidR="00001E43">
        <w:rPr>
          <w:sz w:val="20"/>
          <w:szCs w:val="20"/>
        </w:rPr>
        <w:t xml:space="preserve"> attached hereto as Attachment E</w:t>
      </w:r>
      <w:r>
        <w:rPr>
          <w:sz w:val="20"/>
          <w:szCs w:val="20"/>
        </w:rPr>
        <w:t>.</w:t>
      </w:r>
    </w:p>
  </w:footnote>
  <w:footnote w:id="42">
    <w:p w:rsidR="0004123C" w:rsidRDefault="0004123C" w:rsidP="00EF5FC0">
      <w:pPr>
        <w:pStyle w:val="FootnoteText"/>
        <w:spacing w:before="0"/>
      </w:pPr>
      <w:r w:rsidRPr="007343ED">
        <w:rPr>
          <w:rStyle w:val="FootnoteReference"/>
          <w:sz w:val="20"/>
        </w:rPr>
        <w:footnoteRef/>
      </w:r>
      <w:r w:rsidRPr="007343ED">
        <w:rPr>
          <w:sz w:val="20"/>
        </w:rPr>
        <w:t xml:space="preserve"> Docket No</w:t>
      </w:r>
      <w:r>
        <w:rPr>
          <w:sz w:val="20"/>
        </w:rPr>
        <w:t>.</w:t>
      </w:r>
      <w:r w:rsidRPr="007343ED">
        <w:rPr>
          <w:sz w:val="20"/>
        </w:rPr>
        <w:t xml:space="preserve"> UE-981627, Fifth Supplemental Order Accepting Stipulations, Approving Transaction, and Granting Securities Issuance Exemption</w:t>
      </w:r>
      <w:r>
        <w:rPr>
          <w:sz w:val="20"/>
        </w:rPr>
        <w:t xml:space="preserve">, Appendix A </w:t>
      </w:r>
      <w:r w:rsidRPr="007343ED">
        <w:rPr>
          <w:sz w:val="20"/>
        </w:rPr>
        <w:t>(Oct</w:t>
      </w:r>
      <w:r>
        <w:rPr>
          <w:sz w:val="20"/>
        </w:rPr>
        <w:t>.</w:t>
      </w:r>
      <w:r w:rsidRPr="007343ED">
        <w:rPr>
          <w:sz w:val="20"/>
        </w:rPr>
        <w:t xml:space="preserve"> 14, 1999)</w:t>
      </w:r>
      <w:r w:rsidR="00B66D72">
        <w:rPr>
          <w:sz w:val="20"/>
        </w:rPr>
        <w:t xml:space="preserve"> </w:t>
      </w:r>
      <w:r w:rsidR="00001E43">
        <w:rPr>
          <w:sz w:val="20"/>
        </w:rPr>
        <w:t xml:space="preserve">attached hereto as Attachment </w:t>
      </w:r>
      <w:r w:rsidR="00B66D72">
        <w:rPr>
          <w:sz w:val="20"/>
        </w:rPr>
        <w:t>F, at 5</w:t>
      </w:r>
      <w:r>
        <w:rPr>
          <w:sz w:val="20"/>
        </w:rPr>
        <w:t>.</w:t>
      </w:r>
    </w:p>
  </w:footnote>
  <w:footnote w:id="43">
    <w:p w:rsidR="0004123C" w:rsidRDefault="0004123C" w:rsidP="00EF5FC0">
      <w:pPr>
        <w:pStyle w:val="FootnoteText"/>
        <w:spacing w:before="0"/>
      </w:pPr>
      <w:r w:rsidRPr="00A80B8D">
        <w:rPr>
          <w:rStyle w:val="FootnoteReference"/>
          <w:sz w:val="20"/>
        </w:rPr>
        <w:footnoteRef/>
      </w:r>
      <w:r w:rsidRPr="00A80B8D">
        <w:rPr>
          <w:sz w:val="20"/>
        </w:rPr>
        <w:t xml:space="preserve"> </w:t>
      </w:r>
      <w:r>
        <w:rPr>
          <w:sz w:val="20"/>
        </w:rPr>
        <w:t>“</w:t>
      </w:r>
      <w:r w:rsidRPr="00A80B8D">
        <w:rPr>
          <w:sz w:val="20"/>
        </w:rPr>
        <w:t>PacifiCorp Network Performance And Outage Reporting</w:t>
      </w:r>
      <w:r>
        <w:rPr>
          <w:sz w:val="20"/>
        </w:rPr>
        <w:t>”</w:t>
      </w:r>
      <w:r w:rsidRPr="00A80B8D">
        <w:rPr>
          <w:sz w:val="20"/>
        </w:rPr>
        <w:t xml:space="preserve"> (Apr. 1, 2003 – Mar. 31, 2004)</w:t>
      </w:r>
      <w:r>
        <w:rPr>
          <w:sz w:val="20"/>
        </w:rPr>
        <w:t xml:space="preserve">, </w:t>
      </w:r>
      <w:r>
        <w:rPr>
          <w:sz w:val="20"/>
          <w:szCs w:val="20"/>
        </w:rPr>
        <w:t>attached hereto</w:t>
      </w:r>
      <w:r w:rsidR="00001E43">
        <w:rPr>
          <w:sz w:val="20"/>
        </w:rPr>
        <w:t xml:space="preserve"> as Attachment G</w:t>
      </w:r>
      <w:r>
        <w:rPr>
          <w:sz w:val="20"/>
        </w:rPr>
        <w:t xml:space="preserve">. </w:t>
      </w:r>
    </w:p>
  </w:footnote>
  <w:footnote w:id="44">
    <w:p w:rsidR="0004123C" w:rsidRPr="00B66D72" w:rsidRDefault="0004123C" w:rsidP="00EF5FC0">
      <w:pPr>
        <w:pStyle w:val="FootnoteText"/>
        <w:spacing w:before="0"/>
      </w:pPr>
      <w:r w:rsidRPr="00116A34">
        <w:rPr>
          <w:rStyle w:val="FootnoteReference"/>
          <w:sz w:val="20"/>
        </w:rPr>
        <w:footnoteRef/>
      </w:r>
      <w:r w:rsidRPr="00116A34">
        <w:rPr>
          <w:sz w:val="20"/>
        </w:rPr>
        <w:t xml:space="preserve"> </w:t>
      </w:r>
      <w:r w:rsidR="00B66D72">
        <w:rPr>
          <w:sz w:val="20"/>
        </w:rPr>
        <w:t xml:space="preserve">Attachment G at 18.  </w:t>
      </w:r>
      <w:r w:rsidRPr="00116A34">
        <w:rPr>
          <w:sz w:val="20"/>
        </w:rPr>
        <w:t xml:space="preserve">The report also details PacifiCorp’s adoption of IEEE </w:t>
      </w:r>
      <w:r>
        <w:rPr>
          <w:sz w:val="20"/>
        </w:rPr>
        <w:t xml:space="preserve">Standard </w:t>
      </w:r>
      <w:r w:rsidRPr="00116A34">
        <w:rPr>
          <w:sz w:val="20"/>
        </w:rPr>
        <w:t>1366, including momentary outage length and excluding major event days from SAIDI calculations</w:t>
      </w:r>
      <w:r w:rsidR="00B66D72">
        <w:rPr>
          <w:sz w:val="20"/>
        </w:rPr>
        <w:t xml:space="preserve">.  </w:t>
      </w:r>
      <w:r w:rsidR="00B66D72">
        <w:rPr>
          <w:i/>
          <w:sz w:val="20"/>
        </w:rPr>
        <w:t>Id.</w:t>
      </w:r>
      <w:r w:rsidR="00B66D72">
        <w:rPr>
          <w:sz w:val="20"/>
        </w:rPr>
        <w:t xml:space="preserve"> at 8.</w:t>
      </w:r>
    </w:p>
  </w:footnote>
  <w:footnote w:id="45">
    <w:p w:rsidR="0004123C" w:rsidRPr="00AC6B76" w:rsidRDefault="0004123C" w:rsidP="00EF5FC0">
      <w:pPr>
        <w:pStyle w:val="FootnoteText"/>
        <w:spacing w:before="0"/>
        <w:rPr>
          <w:sz w:val="20"/>
          <w:szCs w:val="20"/>
        </w:rPr>
      </w:pPr>
      <w:r w:rsidRPr="00AC6B76">
        <w:rPr>
          <w:rStyle w:val="FootnoteReference"/>
          <w:sz w:val="20"/>
          <w:szCs w:val="20"/>
        </w:rPr>
        <w:footnoteRef/>
      </w:r>
      <w:r w:rsidRPr="00AC6B76">
        <w:rPr>
          <w:sz w:val="20"/>
          <w:szCs w:val="20"/>
        </w:rPr>
        <w:t xml:space="preserve"> State of New York Public Service Commission, Case 00-E-1273</w:t>
      </w:r>
      <w:r>
        <w:rPr>
          <w:sz w:val="20"/>
          <w:szCs w:val="20"/>
        </w:rPr>
        <w:t>,</w:t>
      </w:r>
      <w:r w:rsidRPr="00AC6B76">
        <w:rPr>
          <w:sz w:val="20"/>
          <w:szCs w:val="20"/>
        </w:rPr>
        <w:t xml:space="preserve"> Proceeding on Motion of the Commission as to the Rates, Charges, Rules and Regulations of Central Hudson Gas and Electric Corporation for Electric Service </w:t>
      </w:r>
      <w:r>
        <w:rPr>
          <w:sz w:val="20"/>
          <w:szCs w:val="20"/>
        </w:rPr>
        <w:t>at 4, (</w:t>
      </w:r>
      <w:r w:rsidRPr="00AC6B76">
        <w:rPr>
          <w:sz w:val="20"/>
          <w:szCs w:val="20"/>
        </w:rPr>
        <w:t>Sept</w:t>
      </w:r>
      <w:r>
        <w:rPr>
          <w:sz w:val="20"/>
          <w:szCs w:val="20"/>
        </w:rPr>
        <w:t>.</w:t>
      </w:r>
      <w:r w:rsidRPr="00AC6B76">
        <w:rPr>
          <w:sz w:val="20"/>
          <w:szCs w:val="20"/>
        </w:rPr>
        <w:t xml:space="preserve"> 29, 2003</w:t>
      </w:r>
      <w:r>
        <w:rPr>
          <w:sz w:val="20"/>
          <w:szCs w:val="20"/>
        </w:rPr>
        <w:t>),</w:t>
      </w:r>
      <w:r w:rsidR="00001E43">
        <w:rPr>
          <w:sz w:val="20"/>
          <w:szCs w:val="20"/>
        </w:rPr>
        <w:t xml:space="preserve"> attached hereto as Attachment H</w:t>
      </w:r>
      <w:r w:rsidRPr="00AC6B76">
        <w:rPr>
          <w:sz w:val="20"/>
          <w:szCs w:val="20"/>
        </w:rPr>
        <w:t>.</w:t>
      </w:r>
    </w:p>
  </w:footnote>
  <w:footnote w:id="46">
    <w:p w:rsidR="0004123C" w:rsidRPr="00AC6B76" w:rsidRDefault="0004123C" w:rsidP="00EF5FC0">
      <w:pPr>
        <w:pStyle w:val="FootnoteText"/>
        <w:spacing w:before="0"/>
        <w:rPr>
          <w:sz w:val="20"/>
          <w:szCs w:val="20"/>
        </w:rPr>
      </w:pPr>
      <w:r w:rsidRPr="00AC6B76">
        <w:rPr>
          <w:rStyle w:val="FootnoteReference"/>
          <w:sz w:val="20"/>
          <w:szCs w:val="20"/>
        </w:rPr>
        <w:footnoteRef/>
      </w:r>
      <w:r w:rsidRPr="00AC6B76">
        <w:rPr>
          <w:sz w:val="20"/>
          <w:szCs w:val="20"/>
        </w:rPr>
        <w:t xml:space="preserve"> State of New York Public Service Commission, Case</w:t>
      </w:r>
      <w:r>
        <w:rPr>
          <w:sz w:val="20"/>
          <w:szCs w:val="20"/>
        </w:rPr>
        <w:t>s</w:t>
      </w:r>
      <w:r w:rsidRPr="00AC6B76">
        <w:rPr>
          <w:sz w:val="20"/>
          <w:szCs w:val="20"/>
        </w:rPr>
        <w:t xml:space="preserve"> 05-E-0934</w:t>
      </w:r>
      <w:r>
        <w:rPr>
          <w:sz w:val="20"/>
          <w:szCs w:val="20"/>
        </w:rPr>
        <w:t xml:space="preserve"> &amp; 05-G-0935, Staff Statement in Support of Restated Joint Proposal</w:t>
      </w:r>
      <w:r w:rsidRPr="00AC6B76">
        <w:rPr>
          <w:sz w:val="20"/>
          <w:szCs w:val="20"/>
        </w:rPr>
        <w:t xml:space="preserve"> </w:t>
      </w:r>
      <w:r>
        <w:rPr>
          <w:sz w:val="20"/>
          <w:szCs w:val="20"/>
        </w:rPr>
        <w:t>at</w:t>
      </w:r>
      <w:r w:rsidRPr="00AC6B76">
        <w:rPr>
          <w:sz w:val="20"/>
          <w:szCs w:val="20"/>
        </w:rPr>
        <w:t xml:space="preserve"> 39</w:t>
      </w:r>
      <w:r>
        <w:rPr>
          <w:sz w:val="20"/>
          <w:szCs w:val="20"/>
        </w:rPr>
        <w:t>, (May 1, 2006)</w:t>
      </w:r>
      <w:r w:rsidR="00001E43">
        <w:rPr>
          <w:sz w:val="20"/>
          <w:szCs w:val="20"/>
        </w:rPr>
        <w:t xml:space="preserve"> attached hereto as Attachment I</w:t>
      </w:r>
      <w:r w:rsidRPr="00AC6B76">
        <w:rPr>
          <w:sz w:val="20"/>
          <w:szCs w:val="20"/>
        </w:rPr>
        <w:t>.</w:t>
      </w:r>
    </w:p>
  </w:footnote>
  <w:footnote w:id="47">
    <w:p w:rsidR="0004123C" w:rsidRDefault="0004123C" w:rsidP="00EF5FC0">
      <w:pPr>
        <w:pStyle w:val="FootnoteText"/>
        <w:spacing w:before="0"/>
      </w:pPr>
      <w:r>
        <w:rPr>
          <w:rStyle w:val="FootnoteReference"/>
        </w:rPr>
        <w:footnoteRef/>
      </w:r>
      <w:r>
        <w:t xml:space="preserve"> </w:t>
      </w:r>
      <w:r w:rsidRPr="00AC6B76">
        <w:rPr>
          <w:sz w:val="20"/>
          <w:szCs w:val="20"/>
        </w:rPr>
        <w:t>Discussions occurring at the IEEE Joint Technical Committee Meeting of the Distribution Reliability Working Group, January 1</w:t>
      </w:r>
      <w:r>
        <w:rPr>
          <w:sz w:val="20"/>
          <w:szCs w:val="20"/>
        </w:rPr>
        <w:t>2,</w:t>
      </w:r>
      <w:r w:rsidRPr="00AC6B76">
        <w:rPr>
          <w:sz w:val="20"/>
          <w:szCs w:val="20"/>
        </w:rPr>
        <w:t xml:space="preserve"> 2015 form the basis of the 1.75 Beta </w:t>
      </w:r>
      <w:r>
        <w:rPr>
          <w:sz w:val="20"/>
          <w:szCs w:val="20"/>
        </w:rPr>
        <w:t>Method</w:t>
      </w:r>
      <w:r w:rsidRPr="00AC6B76">
        <w:rPr>
          <w:sz w:val="20"/>
          <w:szCs w:val="20"/>
        </w:rPr>
        <w:t>.</w:t>
      </w:r>
      <w:r w:rsidRPr="00FA6FCD">
        <w:t xml:space="preserve"> </w:t>
      </w:r>
    </w:p>
  </w:footnote>
  <w:footnote w:id="48">
    <w:p w:rsidR="0004123C" w:rsidRDefault="0004123C" w:rsidP="00EF5FC0">
      <w:pPr>
        <w:pStyle w:val="FootnoteText"/>
        <w:spacing w:before="0"/>
      </w:pPr>
      <w:r>
        <w:rPr>
          <w:rStyle w:val="FootnoteReference"/>
        </w:rPr>
        <w:footnoteRef/>
      </w:r>
      <w:r>
        <w:t xml:space="preserve"> </w:t>
      </w:r>
      <w:r w:rsidRPr="00AC6B76">
        <w:rPr>
          <w:sz w:val="20"/>
          <w:szCs w:val="20"/>
        </w:rPr>
        <w:t xml:space="preserve">During discussions with </w:t>
      </w:r>
      <w:r>
        <w:rPr>
          <w:sz w:val="20"/>
          <w:szCs w:val="20"/>
        </w:rPr>
        <w:t>Commission</w:t>
      </w:r>
      <w:r w:rsidRPr="00AC6B76">
        <w:rPr>
          <w:sz w:val="20"/>
          <w:szCs w:val="20"/>
        </w:rPr>
        <w:t xml:space="preserve"> Staff and Public Counsel in 201</w:t>
      </w:r>
      <w:r>
        <w:rPr>
          <w:sz w:val="20"/>
          <w:szCs w:val="20"/>
        </w:rPr>
        <w:t>5</w:t>
      </w:r>
      <w:r w:rsidRPr="00AC6B76">
        <w:rPr>
          <w:sz w:val="20"/>
          <w:szCs w:val="20"/>
        </w:rPr>
        <w:t>, PSE initially presented this analysis for 2010-2014, but has since expanded it to 2007-2014 and to</w:t>
      </w:r>
      <w:r>
        <w:rPr>
          <w:sz w:val="20"/>
          <w:szCs w:val="20"/>
        </w:rPr>
        <w:t xml:space="preserve"> 2015 for the January-September </w:t>
      </w:r>
      <w:r w:rsidRPr="00AC6B76">
        <w:rPr>
          <w:sz w:val="20"/>
          <w:szCs w:val="20"/>
        </w:rPr>
        <w:t>monthly analysis.</w:t>
      </w:r>
      <w:r>
        <w:rPr>
          <w:sz w:val="20"/>
          <w:szCs w:val="20"/>
        </w:rPr>
        <w:t xml:space="preserve"> </w:t>
      </w:r>
      <w:r w:rsidRPr="00AC6B76">
        <w:rPr>
          <w:sz w:val="20"/>
          <w:szCs w:val="20"/>
        </w:rPr>
        <w:t xml:space="preserve"> Both expanded time series have an outcome within 0.5</w:t>
      </w:r>
      <w:r>
        <w:rPr>
          <w:sz w:val="20"/>
          <w:szCs w:val="20"/>
        </w:rPr>
        <w:t xml:space="preserve"> percent</w:t>
      </w:r>
      <w:r w:rsidRPr="00AC6B76">
        <w:rPr>
          <w:sz w:val="20"/>
          <w:szCs w:val="20"/>
        </w:rPr>
        <w:t xml:space="preserve"> of the 2010-2014 outcomes that PSE originally found and presented to </w:t>
      </w:r>
      <w:r>
        <w:rPr>
          <w:sz w:val="20"/>
          <w:szCs w:val="20"/>
        </w:rPr>
        <w:t xml:space="preserve">Commission </w:t>
      </w:r>
      <w:r w:rsidRPr="00AC6B76">
        <w:rPr>
          <w:sz w:val="20"/>
          <w:szCs w:val="20"/>
        </w:rPr>
        <w:t>Staff and Public Counsel</w:t>
      </w:r>
      <w:r>
        <w:t>.</w:t>
      </w:r>
    </w:p>
  </w:footnote>
  <w:footnote w:id="49">
    <w:p w:rsidR="0004123C" w:rsidRPr="00AC6B76" w:rsidRDefault="0004123C" w:rsidP="00EF5FC0">
      <w:pPr>
        <w:pStyle w:val="FootnoteText"/>
        <w:spacing w:before="0"/>
        <w:rPr>
          <w:sz w:val="20"/>
          <w:szCs w:val="20"/>
        </w:rPr>
      </w:pPr>
      <w:r w:rsidRPr="00AC6B76">
        <w:rPr>
          <w:rStyle w:val="FootnoteReference"/>
          <w:sz w:val="20"/>
          <w:szCs w:val="20"/>
        </w:rPr>
        <w:footnoteRef/>
      </w:r>
      <w:r w:rsidRPr="00AC6B76">
        <w:rPr>
          <w:sz w:val="20"/>
          <w:szCs w:val="20"/>
        </w:rPr>
        <w:t xml:space="preserve"> </w:t>
      </w:r>
      <w:r w:rsidR="00F27982">
        <w:rPr>
          <w:sz w:val="20"/>
          <w:szCs w:val="20"/>
        </w:rPr>
        <w:t>Attachment B at 49-50</w:t>
      </w:r>
      <w:r>
        <w:rPr>
          <w:sz w:val="20"/>
          <w:szCs w:val="20"/>
        </w:rPr>
        <w:t>;</w:t>
      </w:r>
      <w:r w:rsidR="00F27982">
        <w:rPr>
          <w:sz w:val="20"/>
          <w:szCs w:val="20"/>
        </w:rPr>
        <w:t xml:space="preserve"> Attachment C at 30.</w:t>
      </w:r>
      <w:r w:rsidRPr="00AC6B76">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3C" w:rsidRDefault="0004123C" w:rsidP="00F43E7D">
    <w:pPr>
      <w:pStyle w:val="Header"/>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B6F"/>
    <w:multiLevelType w:val="hybridMultilevel"/>
    <w:tmpl w:val="C12064B8"/>
    <w:lvl w:ilvl="0" w:tplc="EAFA11AA">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E0FF8"/>
    <w:multiLevelType w:val="hybridMultilevel"/>
    <w:tmpl w:val="161EFA18"/>
    <w:lvl w:ilvl="0" w:tplc="EC24C92E">
      <w:start w:val="1"/>
      <w:numFmt w:val="upperRoman"/>
      <w:lvlText w:val="%1."/>
      <w:lvlJc w:val="center"/>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E65EA"/>
    <w:multiLevelType w:val="multilevel"/>
    <w:tmpl w:val="11AE8824"/>
    <w:name w:val="HeadingStyles||Heading|3|3|0|1|0|33||mpNA||mpNA||mpNA||mpNA||mpNA||mpNA||mpNA||mpNA||"/>
    <w:lvl w:ilvl="0">
      <w:start w:val="1"/>
      <w:numFmt w:val="upperRoman"/>
      <w:pStyle w:val="Heading1"/>
      <w:lvlText w:val="%1."/>
      <w:lvlJc w:val="left"/>
      <w:pPr>
        <w:ind w:left="0" w:firstLine="0"/>
      </w:pPr>
      <w:rPr>
        <w:sz w:val="24"/>
        <w:szCs w:val="28"/>
      </w:rPr>
    </w:lvl>
    <w:lvl w:ilvl="1">
      <w:start w:val="1"/>
      <w:numFmt w:val="upperLetter"/>
      <w:lvlText w:val="%2."/>
      <w:lvlJc w:val="left"/>
      <w:pPr>
        <w:ind w:left="720" w:firstLine="0"/>
      </w:pPr>
    </w:lvl>
    <w:lvl w:ilvl="2">
      <w:start w:val="1"/>
      <w:numFmt w:val="decimal"/>
      <w:pStyle w:val="Heading3"/>
      <w:lvlText w:val="%3."/>
      <w:lvlJc w:val="left"/>
      <w:pPr>
        <w:ind w:left="1440" w:firstLine="0"/>
      </w:pPr>
      <w:rPr>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16480023"/>
    <w:multiLevelType w:val="hybridMultilevel"/>
    <w:tmpl w:val="E5F804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F75D0"/>
    <w:multiLevelType w:val="hybridMultilevel"/>
    <w:tmpl w:val="2F38F46C"/>
    <w:lvl w:ilvl="0" w:tplc="233AEA46">
      <w:start w:val="1"/>
      <w:numFmt w:val="decimal"/>
      <w:pStyle w:val="Normal"/>
      <w:lvlText w:val="%1."/>
      <w:lvlJc w:val="left"/>
      <w:pPr>
        <w:ind w:left="20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pStyle w:val="BodyTextIndent"/>
      <w:lvlText w:val="%9."/>
      <w:lvlJc w:val="right"/>
      <w:pPr>
        <w:ind w:left="6480" w:hanging="180"/>
      </w:pPr>
    </w:lvl>
  </w:abstractNum>
  <w:abstractNum w:abstractNumId="5">
    <w:nsid w:val="1E64204C"/>
    <w:multiLevelType w:val="hybridMultilevel"/>
    <w:tmpl w:val="901868AC"/>
    <w:lvl w:ilvl="0" w:tplc="04090001">
      <w:start w:val="1"/>
      <w:numFmt w:val="decimal"/>
      <w:pStyle w:val="FindingsConclusions"/>
      <w:lvlText w:val="%1"/>
      <w:lvlJc w:val="left"/>
      <w:pPr>
        <w:tabs>
          <w:tab w:val="num" w:pos="0"/>
        </w:tabs>
        <w:ind w:left="0" w:hanging="1080"/>
      </w:pPr>
      <w:rPr>
        <w:rFonts w:hint="default"/>
        <w:b w:val="0"/>
        <w:i/>
        <w:sz w:val="20"/>
      </w:rPr>
    </w:lvl>
    <w:lvl w:ilvl="1" w:tplc="04090003">
      <w:start w:val="4"/>
      <w:numFmt w:val="decimal"/>
      <w:lvlText w:val="%2."/>
      <w:lvlJc w:val="left"/>
      <w:pPr>
        <w:tabs>
          <w:tab w:val="num" w:pos="1800"/>
        </w:tabs>
        <w:ind w:left="1800" w:hanging="720"/>
      </w:pPr>
      <w:rPr>
        <w:rFonts w:hint="default"/>
      </w:rPr>
    </w:lvl>
    <w:lvl w:ilvl="2" w:tplc="04090005">
      <w:start w:val="5"/>
      <w:numFmt w:val="bullet"/>
      <w:lvlText w:val=""/>
      <w:lvlJc w:val="left"/>
      <w:pPr>
        <w:tabs>
          <w:tab w:val="num" w:pos="2340"/>
        </w:tabs>
        <w:ind w:left="2340" w:hanging="360"/>
      </w:pPr>
      <w:rPr>
        <w:rFonts w:ascii="Symbol" w:eastAsia="Times New Roman" w:hAnsi="Symbol" w:cs="Times New Roman"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2017475C"/>
    <w:multiLevelType w:val="multilevel"/>
    <w:tmpl w:val="1A406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C86E93"/>
    <w:multiLevelType w:val="hybridMultilevel"/>
    <w:tmpl w:val="4A0861F0"/>
    <w:lvl w:ilvl="0" w:tplc="8EC2349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C12159"/>
    <w:multiLevelType w:val="hybridMultilevel"/>
    <w:tmpl w:val="3B22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B57ED"/>
    <w:multiLevelType w:val="hybridMultilevel"/>
    <w:tmpl w:val="15E41824"/>
    <w:lvl w:ilvl="0" w:tplc="6A36102A">
      <w:start w:val="1"/>
      <w:numFmt w:val="decimal"/>
      <w:lvlText w:val="%1."/>
      <w:lvlJc w:val="left"/>
      <w:pPr>
        <w:ind w:left="360" w:hanging="360"/>
      </w:pPr>
      <w:rPr>
        <w:rFonts w:hint="default"/>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44C74EB3"/>
    <w:multiLevelType w:val="multilevel"/>
    <w:tmpl w:val="1A406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383F92"/>
    <w:multiLevelType w:val="hybridMultilevel"/>
    <w:tmpl w:val="293C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9721B"/>
    <w:multiLevelType w:val="hybridMultilevel"/>
    <w:tmpl w:val="ABA099FE"/>
    <w:lvl w:ilvl="0" w:tplc="A030E5C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EB5C33"/>
    <w:multiLevelType w:val="hybridMultilevel"/>
    <w:tmpl w:val="986C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13"/>
  </w:num>
  <w:num w:numId="5">
    <w:abstractNumId w:val="8"/>
  </w:num>
  <w:num w:numId="6">
    <w:abstractNumId w:val="10"/>
  </w:num>
  <w:num w:numId="7">
    <w:abstractNumId w:val="6"/>
  </w:num>
  <w:num w:numId="8">
    <w:abstractNumId w:val="4"/>
    <w:lvlOverride w:ilvl="0">
      <w:startOverride w:val="1"/>
    </w:lvlOverride>
  </w:num>
  <w:num w:numId="9">
    <w:abstractNumId w:val="4"/>
    <w:lvlOverride w:ilvl="0">
      <w:startOverride w:val="1"/>
    </w:lvlOverride>
  </w:num>
  <w:num w:numId="10">
    <w:abstractNumId w:val="3"/>
  </w:num>
  <w:num w:numId="11">
    <w:abstractNumId w:val="0"/>
  </w:num>
  <w:num w:numId="12">
    <w:abstractNumId w:val="9"/>
  </w:num>
  <w:num w:numId="13">
    <w:abstractNumId w:val="5"/>
  </w:num>
  <w:num w:numId="14">
    <w:abstractNumId w:val="1"/>
  </w:num>
  <w:num w:numId="15">
    <w:abstractNumId w:val="4"/>
  </w:num>
  <w:num w:numId="16">
    <w:abstractNumId w:val="7"/>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100/128694158.2"/>
    <w:docVar w:name="MPDocIDTemplate" w:val="%c-|%m/|%n|.%v"/>
    <w:docVar w:name="MPDocIDTemplateDefault" w:val="%c-|%m/|%n|.%v"/>
    <w:docVar w:name="NewDocStampType" w:val="1"/>
  </w:docVars>
  <w:rsids>
    <w:rsidRoot w:val="005762BE"/>
    <w:rsid w:val="00000B66"/>
    <w:rsid w:val="00000CDF"/>
    <w:rsid w:val="00000E3F"/>
    <w:rsid w:val="00001631"/>
    <w:rsid w:val="00001902"/>
    <w:rsid w:val="00001E43"/>
    <w:rsid w:val="0000285E"/>
    <w:rsid w:val="000034D5"/>
    <w:rsid w:val="000046E2"/>
    <w:rsid w:val="0000568A"/>
    <w:rsid w:val="00006F53"/>
    <w:rsid w:val="0000799C"/>
    <w:rsid w:val="0001122B"/>
    <w:rsid w:val="00011C00"/>
    <w:rsid w:val="00012D8F"/>
    <w:rsid w:val="00013A95"/>
    <w:rsid w:val="00014114"/>
    <w:rsid w:val="0001602C"/>
    <w:rsid w:val="00017AFF"/>
    <w:rsid w:val="0002009E"/>
    <w:rsid w:val="000200A6"/>
    <w:rsid w:val="0002111B"/>
    <w:rsid w:val="00021684"/>
    <w:rsid w:val="00025915"/>
    <w:rsid w:val="000265D0"/>
    <w:rsid w:val="00026F9B"/>
    <w:rsid w:val="00027E3A"/>
    <w:rsid w:val="0003082A"/>
    <w:rsid w:val="000313FD"/>
    <w:rsid w:val="000314C6"/>
    <w:rsid w:val="0003289A"/>
    <w:rsid w:val="00033FF6"/>
    <w:rsid w:val="00035A83"/>
    <w:rsid w:val="00035E63"/>
    <w:rsid w:val="00037510"/>
    <w:rsid w:val="000400CB"/>
    <w:rsid w:val="00040DC0"/>
    <w:rsid w:val="0004123C"/>
    <w:rsid w:val="000423DD"/>
    <w:rsid w:val="0004330C"/>
    <w:rsid w:val="00046299"/>
    <w:rsid w:val="00046B3B"/>
    <w:rsid w:val="00047009"/>
    <w:rsid w:val="000507DE"/>
    <w:rsid w:val="00054A5A"/>
    <w:rsid w:val="000558EA"/>
    <w:rsid w:val="000568D6"/>
    <w:rsid w:val="00056A01"/>
    <w:rsid w:val="00061B82"/>
    <w:rsid w:val="00063465"/>
    <w:rsid w:val="00064394"/>
    <w:rsid w:val="000651B7"/>
    <w:rsid w:val="0006631D"/>
    <w:rsid w:val="0006794C"/>
    <w:rsid w:val="00071D04"/>
    <w:rsid w:val="00073715"/>
    <w:rsid w:val="000741DB"/>
    <w:rsid w:val="00081452"/>
    <w:rsid w:val="000815B5"/>
    <w:rsid w:val="00082A91"/>
    <w:rsid w:val="000838A4"/>
    <w:rsid w:val="00084362"/>
    <w:rsid w:val="000846FC"/>
    <w:rsid w:val="00084C88"/>
    <w:rsid w:val="00085269"/>
    <w:rsid w:val="00087FD6"/>
    <w:rsid w:val="00090A75"/>
    <w:rsid w:val="00090D9C"/>
    <w:rsid w:val="000960C9"/>
    <w:rsid w:val="0009654E"/>
    <w:rsid w:val="00096E0E"/>
    <w:rsid w:val="000A4197"/>
    <w:rsid w:val="000B628E"/>
    <w:rsid w:val="000B7A46"/>
    <w:rsid w:val="000C1334"/>
    <w:rsid w:val="000C1A38"/>
    <w:rsid w:val="000D117B"/>
    <w:rsid w:val="000D14EE"/>
    <w:rsid w:val="000D2205"/>
    <w:rsid w:val="000D24AD"/>
    <w:rsid w:val="000D2C1B"/>
    <w:rsid w:val="000D30DD"/>
    <w:rsid w:val="000D7D4F"/>
    <w:rsid w:val="000E1B70"/>
    <w:rsid w:val="000E4FE1"/>
    <w:rsid w:val="000E60D5"/>
    <w:rsid w:val="000E6B08"/>
    <w:rsid w:val="000E7100"/>
    <w:rsid w:val="000F02B9"/>
    <w:rsid w:val="000F069E"/>
    <w:rsid w:val="000F2320"/>
    <w:rsid w:val="000F2F68"/>
    <w:rsid w:val="000F3A43"/>
    <w:rsid w:val="000F434D"/>
    <w:rsid w:val="000F47CD"/>
    <w:rsid w:val="000F51DB"/>
    <w:rsid w:val="000F6054"/>
    <w:rsid w:val="00100E73"/>
    <w:rsid w:val="00103DF6"/>
    <w:rsid w:val="0010471D"/>
    <w:rsid w:val="00104B34"/>
    <w:rsid w:val="00106588"/>
    <w:rsid w:val="0011021E"/>
    <w:rsid w:val="00110779"/>
    <w:rsid w:val="001115CC"/>
    <w:rsid w:val="001119B0"/>
    <w:rsid w:val="00112670"/>
    <w:rsid w:val="001131BC"/>
    <w:rsid w:val="00115765"/>
    <w:rsid w:val="00116A34"/>
    <w:rsid w:val="001171B9"/>
    <w:rsid w:val="00117DB0"/>
    <w:rsid w:val="00117FFD"/>
    <w:rsid w:val="0012020E"/>
    <w:rsid w:val="00122850"/>
    <w:rsid w:val="00122D8D"/>
    <w:rsid w:val="00122DDA"/>
    <w:rsid w:val="00125398"/>
    <w:rsid w:val="00126527"/>
    <w:rsid w:val="0013048B"/>
    <w:rsid w:val="00130F07"/>
    <w:rsid w:val="00132D22"/>
    <w:rsid w:val="00132F9A"/>
    <w:rsid w:val="0013326E"/>
    <w:rsid w:val="0013378D"/>
    <w:rsid w:val="001348EB"/>
    <w:rsid w:val="00136564"/>
    <w:rsid w:val="00140A79"/>
    <w:rsid w:val="00143FB2"/>
    <w:rsid w:val="001443DC"/>
    <w:rsid w:val="00145E29"/>
    <w:rsid w:val="0014681E"/>
    <w:rsid w:val="00146AEB"/>
    <w:rsid w:val="00153438"/>
    <w:rsid w:val="00153DF1"/>
    <w:rsid w:val="00154980"/>
    <w:rsid w:val="001551E0"/>
    <w:rsid w:val="00160555"/>
    <w:rsid w:val="001608D8"/>
    <w:rsid w:val="00161C0E"/>
    <w:rsid w:val="001621DE"/>
    <w:rsid w:val="00162DCC"/>
    <w:rsid w:val="001639DB"/>
    <w:rsid w:val="00163CC5"/>
    <w:rsid w:val="00164E7A"/>
    <w:rsid w:val="001654B7"/>
    <w:rsid w:val="001657B9"/>
    <w:rsid w:val="0016594C"/>
    <w:rsid w:val="00166E4C"/>
    <w:rsid w:val="00167312"/>
    <w:rsid w:val="00170D40"/>
    <w:rsid w:val="00170FE3"/>
    <w:rsid w:val="00175046"/>
    <w:rsid w:val="00177314"/>
    <w:rsid w:val="001806D7"/>
    <w:rsid w:val="001820E0"/>
    <w:rsid w:val="0018216C"/>
    <w:rsid w:val="00182AD3"/>
    <w:rsid w:val="00183CE6"/>
    <w:rsid w:val="00184D4A"/>
    <w:rsid w:val="00187B3A"/>
    <w:rsid w:val="00190561"/>
    <w:rsid w:val="00190C67"/>
    <w:rsid w:val="00191A4E"/>
    <w:rsid w:val="001928BD"/>
    <w:rsid w:val="00193C74"/>
    <w:rsid w:val="00194DAC"/>
    <w:rsid w:val="00195387"/>
    <w:rsid w:val="0019595E"/>
    <w:rsid w:val="001960D6"/>
    <w:rsid w:val="0019659C"/>
    <w:rsid w:val="001A0079"/>
    <w:rsid w:val="001A1CE4"/>
    <w:rsid w:val="001A1FAB"/>
    <w:rsid w:val="001A4375"/>
    <w:rsid w:val="001A68C9"/>
    <w:rsid w:val="001A7461"/>
    <w:rsid w:val="001A7E58"/>
    <w:rsid w:val="001B0F21"/>
    <w:rsid w:val="001B4195"/>
    <w:rsid w:val="001B428B"/>
    <w:rsid w:val="001B4299"/>
    <w:rsid w:val="001B4CF4"/>
    <w:rsid w:val="001B7536"/>
    <w:rsid w:val="001C0CE8"/>
    <w:rsid w:val="001C0DCC"/>
    <w:rsid w:val="001C1D90"/>
    <w:rsid w:val="001C364E"/>
    <w:rsid w:val="001C3913"/>
    <w:rsid w:val="001C3E9D"/>
    <w:rsid w:val="001C47BE"/>
    <w:rsid w:val="001C5260"/>
    <w:rsid w:val="001C5F0E"/>
    <w:rsid w:val="001C7CAF"/>
    <w:rsid w:val="001D00BC"/>
    <w:rsid w:val="001D1408"/>
    <w:rsid w:val="001D1AB7"/>
    <w:rsid w:val="001D238A"/>
    <w:rsid w:val="001D23E3"/>
    <w:rsid w:val="001D2B46"/>
    <w:rsid w:val="001D7283"/>
    <w:rsid w:val="001D7627"/>
    <w:rsid w:val="001E1A1F"/>
    <w:rsid w:val="001E24A2"/>
    <w:rsid w:val="001E3AA9"/>
    <w:rsid w:val="001E5FAF"/>
    <w:rsid w:val="001E7361"/>
    <w:rsid w:val="001F01E4"/>
    <w:rsid w:val="001F038B"/>
    <w:rsid w:val="001F09A4"/>
    <w:rsid w:val="001F0E05"/>
    <w:rsid w:val="001F1B52"/>
    <w:rsid w:val="001F2BDC"/>
    <w:rsid w:val="001F3105"/>
    <w:rsid w:val="001F31A5"/>
    <w:rsid w:val="001F38C7"/>
    <w:rsid w:val="001F4639"/>
    <w:rsid w:val="001F4E4C"/>
    <w:rsid w:val="001F536A"/>
    <w:rsid w:val="001F6814"/>
    <w:rsid w:val="001F7440"/>
    <w:rsid w:val="00200011"/>
    <w:rsid w:val="002004B8"/>
    <w:rsid w:val="00201033"/>
    <w:rsid w:val="0020212B"/>
    <w:rsid w:val="0020259E"/>
    <w:rsid w:val="00202FD0"/>
    <w:rsid w:val="002049E9"/>
    <w:rsid w:val="00206714"/>
    <w:rsid w:val="0020678E"/>
    <w:rsid w:val="00210620"/>
    <w:rsid w:val="002106DC"/>
    <w:rsid w:val="00210D79"/>
    <w:rsid w:val="002113ED"/>
    <w:rsid w:val="00211D49"/>
    <w:rsid w:val="00213F07"/>
    <w:rsid w:val="00214FA4"/>
    <w:rsid w:val="0021534A"/>
    <w:rsid w:val="0022152F"/>
    <w:rsid w:val="0022261C"/>
    <w:rsid w:val="00222F1B"/>
    <w:rsid w:val="00222F72"/>
    <w:rsid w:val="002234E8"/>
    <w:rsid w:val="00225E40"/>
    <w:rsid w:val="002271D8"/>
    <w:rsid w:val="00230156"/>
    <w:rsid w:val="002311BB"/>
    <w:rsid w:val="002311D2"/>
    <w:rsid w:val="002313EB"/>
    <w:rsid w:val="002330DF"/>
    <w:rsid w:val="00234A4C"/>
    <w:rsid w:val="002363ED"/>
    <w:rsid w:val="00237349"/>
    <w:rsid w:val="00237596"/>
    <w:rsid w:val="002425D2"/>
    <w:rsid w:val="00243EC2"/>
    <w:rsid w:val="00244287"/>
    <w:rsid w:val="002453BB"/>
    <w:rsid w:val="002456B2"/>
    <w:rsid w:val="0024710D"/>
    <w:rsid w:val="00247F52"/>
    <w:rsid w:val="002506A7"/>
    <w:rsid w:val="0025249D"/>
    <w:rsid w:val="00254712"/>
    <w:rsid w:val="0025503C"/>
    <w:rsid w:val="00255F71"/>
    <w:rsid w:val="002567D0"/>
    <w:rsid w:val="002568C3"/>
    <w:rsid w:val="00260B5A"/>
    <w:rsid w:val="00262214"/>
    <w:rsid w:val="002633ED"/>
    <w:rsid w:val="00264EAA"/>
    <w:rsid w:val="00265608"/>
    <w:rsid w:val="00265969"/>
    <w:rsid w:val="00265A91"/>
    <w:rsid w:val="00271224"/>
    <w:rsid w:val="00271C93"/>
    <w:rsid w:val="00272323"/>
    <w:rsid w:val="00272F7B"/>
    <w:rsid w:val="00286E99"/>
    <w:rsid w:val="00287FBF"/>
    <w:rsid w:val="00293B0B"/>
    <w:rsid w:val="0029610F"/>
    <w:rsid w:val="00296377"/>
    <w:rsid w:val="002A0546"/>
    <w:rsid w:val="002A3583"/>
    <w:rsid w:val="002A393D"/>
    <w:rsid w:val="002A4ACD"/>
    <w:rsid w:val="002A4D09"/>
    <w:rsid w:val="002A66D4"/>
    <w:rsid w:val="002A7F05"/>
    <w:rsid w:val="002B0B27"/>
    <w:rsid w:val="002B0B87"/>
    <w:rsid w:val="002B2494"/>
    <w:rsid w:val="002B3813"/>
    <w:rsid w:val="002B3EA0"/>
    <w:rsid w:val="002B592F"/>
    <w:rsid w:val="002B5C61"/>
    <w:rsid w:val="002C10D8"/>
    <w:rsid w:val="002C1E42"/>
    <w:rsid w:val="002C1FD5"/>
    <w:rsid w:val="002C2D9C"/>
    <w:rsid w:val="002C4146"/>
    <w:rsid w:val="002C4906"/>
    <w:rsid w:val="002C4E8A"/>
    <w:rsid w:val="002C6392"/>
    <w:rsid w:val="002D0FBA"/>
    <w:rsid w:val="002D3420"/>
    <w:rsid w:val="002D4F8B"/>
    <w:rsid w:val="002D54B2"/>
    <w:rsid w:val="002D5C51"/>
    <w:rsid w:val="002D75E3"/>
    <w:rsid w:val="002D7642"/>
    <w:rsid w:val="002E0081"/>
    <w:rsid w:val="002E2182"/>
    <w:rsid w:val="002E3097"/>
    <w:rsid w:val="002E4B21"/>
    <w:rsid w:val="002E6142"/>
    <w:rsid w:val="002E6757"/>
    <w:rsid w:val="002E7A95"/>
    <w:rsid w:val="002F1392"/>
    <w:rsid w:val="002F187C"/>
    <w:rsid w:val="002F2097"/>
    <w:rsid w:val="002F3BBD"/>
    <w:rsid w:val="002F40A0"/>
    <w:rsid w:val="002F5003"/>
    <w:rsid w:val="002F53A7"/>
    <w:rsid w:val="002F53F2"/>
    <w:rsid w:val="002F5ED8"/>
    <w:rsid w:val="002F7A6F"/>
    <w:rsid w:val="002F7FF9"/>
    <w:rsid w:val="00300414"/>
    <w:rsid w:val="003013A8"/>
    <w:rsid w:val="00301663"/>
    <w:rsid w:val="0030211A"/>
    <w:rsid w:val="00302B73"/>
    <w:rsid w:val="003030E9"/>
    <w:rsid w:val="003042C0"/>
    <w:rsid w:val="003042F6"/>
    <w:rsid w:val="00310603"/>
    <w:rsid w:val="0031172F"/>
    <w:rsid w:val="0031223E"/>
    <w:rsid w:val="00315E47"/>
    <w:rsid w:val="003216D3"/>
    <w:rsid w:val="00321CEA"/>
    <w:rsid w:val="00321DA6"/>
    <w:rsid w:val="00322906"/>
    <w:rsid w:val="003231FA"/>
    <w:rsid w:val="00324BA6"/>
    <w:rsid w:val="00330935"/>
    <w:rsid w:val="00332A62"/>
    <w:rsid w:val="003340A9"/>
    <w:rsid w:val="0033442A"/>
    <w:rsid w:val="003345E4"/>
    <w:rsid w:val="00334879"/>
    <w:rsid w:val="003359CA"/>
    <w:rsid w:val="003359EB"/>
    <w:rsid w:val="003363B4"/>
    <w:rsid w:val="003404FD"/>
    <w:rsid w:val="00341B45"/>
    <w:rsid w:val="0034381A"/>
    <w:rsid w:val="00343BA5"/>
    <w:rsid w:val="0034435A"/>
    <w:rsid w:val="00345854"/>
    <w:rsid w:val="00345D90"/>
    <w:rsid w:val="003468A7"/>
    <w:rsid w:val="00346E22"/>
    <w:rsid w:val="00347EF6"/>
    <w:rsid w:val="0035184A"/>
    <w:rsid w:val="003529D7"/>
    <w:rsid w:val="003537D8"/>
    <w:rsid w:val="00353C00"/>
    <w:rsid w:val="00356CD7"/>
    <w:rsid w:val="00360F1D"/>
    <w:rsid w:val="0036130E"/>
    <w:rsid w:val="00362B0D"/>
    <w:rsid w:val="00366AB8"/>
    <w:rsid w:val="00366C13"/>
    <w:rsid w:val="00367AA1"/>
    <w:rsid w:val="00370410"/>
    <w:rsid w:val="003734D8"/>
    <w:rsid w:val="00376DB0"/>
    <w:rsid w:val="00377546"/>
    <w:rsid w:val="00377958"/>
    <w:rsid w:val="00380651"/>
    <w:rsid w:val="00381840"/>
    <w:rsid w:val="00382531"/>
    <w:rsid w:val="00383033"/>
    <w:rsid w:val="00386047"/>
    <w:rsid w:val="00392A2B"/>
    <w:rsid w:val="00393224"/>
    <w:rsid w:val="00395CC9"/>
    <w:rsid w:val="003A01A4"/>
    <w:rsid w:val="003A0BF5"/>
    <w:rsid w:val="003A14C6"/>
    <w:rsid w:val="003A1BCF"/>
    <w:rsid w:val="003A243C"/>
    <w:rsid w:val="003A3F98"/>
    <w:rsid w:val="003A414E"/>
    <w:rsid w:val="003A5CD9"/>
    <w:rsid w:val="003A5FA1"/>
    <w:rsid w:val="003A734C"/>
    <w:rsid w:val="003B12AD"/>
    <w:rsid w:val="003B30A6"/>
    <w:rsid w:val="003B65A5"/>
    <w:rsid w:val="003C113A"/>
    <w:rsid w:val="003C206F"/>
    <w:rsid w:val="003C2556"/>
    <w:rsid w:val="003C32FC"/>
    <w:rsid w:val="003C54DD"/>
    <w:rsid w:val="003C5545"/>
    <w:rsid w:val="003C6C37"/>
    <w:rsid w:val="003C6F99"/>
    <w:rsid w:val="003C6FB5"/>
    <w:rsid w:val="003C767D"/>
    <w:rsid w:val="003D0001"/>
    <w:rsid w:val="003D1CB5"/>
    <w:rsid w:val="003D1CD1"/>
    <w:rsid w:val="003E1612"/>
    <w:rsid w:val="003E1C44"/>
    <w:rsid w:val="003E2604"/>
    <w:rsid w:val="003E28DE"/>
    <w:rsid w:val="003E4E05"/>
    <w:rsid w:val="003E7228"/>
    <w:rsid w:val="003E7A03"/>
    <w:rsid w:val="003F3360"/>
    <w:rsid w:val="003F4923"/>
    <w:rsid w:val="003F49C0"/>
    <w:rsid w:val="003F4A4C"/>
    <w:rsid w:val="003F5011"/>
    <w:rsid w:val="003F53E3"/>
    <w:rsid w:val="003F5A84"/>
    <w:rsid w:val="00401550"/>
    <w:rsid w:val="00404203"/>
    <w:rsid w:val="004044C8"/>
    <w:rsid w:val="004044D7"/>
    <w:rsid w:val="00404971"/>
    <w:rsid w:val="0040501E"/>
    <w:rsid w:val="004074EF"/>
    <w:rsid w:val="004105D7"/>
    <w:rsid w:val="00411B9B"/>
    <w:rsid w:val="004135EC"/>
    <w:rsid w:val="00413CBE"/>
    <w:rsid w:val="00413D64"/>
    <w:rsid w:val="00413D90"/>
    <w:rsid w:val="0041567E"/>
    <w:rsid w:val="00415D6C"/>
    <w:rsid w:val="00423DF2"/>
    <w:rsid w:val="00425B28"/>
    <w:rsid w:val="00426D60"/>
    <w:rsid w:val="00427E4A"/>
    <w:rsid w:val="0043076A"/>
    <w:rsid w:val="00431B3C"/>
    <w:rsid w:val="004324FC"/>
    <w:rsid w:val="004328B6"/>
    <w:rsid w:val="00434245"/>
    <w:rsid w:val="00435CAC"/>
    <w:rsid w:val="00437D9F"/>
    <w:rsid w:val="004403ED"/>
    <w:rsid w:val="0044253B"/>
    <w:rsid w:val="00442A00"/>
    <w:rsid w:val="00447C5F"/>
    <w:rsid w:val="00450052"/>
    <w:rsid w:val="0045157F"/>
    <w:rsid w:val="004529D2"/>
    <w:rsid w:val="00454989"/>
    <w:rsid w:val="004560AA"/>
    <w:rsid w:val="004560D0"/>
    <w:rsid w:val="0045767F"/>
    <w:rsid w:val="0046058C"/>
    <w:rsid w:val="00464124"/>
    <w:rsid w:val="00464786"/>
    <w:rsid w:val="00467E50"/>
    <w:rsid w:val="00467ECC"/>
    <w:rsid w:val="00470A24"/>
    <w:rsid w:val="0047181F"/>
    <w:rsid w:val="0047195D"/>
    <w:rsid w:val="0047198D"/>
    <w:rsid w:val="00471C78"/>
    <w:rsid w:val="00473AD0"/>
    <w:rsid w:val="00474181"/>
    <w:rsid w:val="0047464D"/>
    <w:rsid w:val="00476E6F"/>
    <w:rsid w:val="00477FFB"/>
    <w:rsid w:val="0048217D"/>
    <w:rsid w:val="004837CB"/>
    <w:rsid w:val="0048590B"/>
    <w:rsid w:val="00486F7E"/>
    <w:rsid w:val="00490354"/>
    <w:rsid w:val="00491440"/>
    <w:rsid w:val="00492F7A"/>
    <w:rsid w:val="0049326F"/>
    <w:rsid w:val="004938D9"/>
    <w:rsid w:val="004A0BD3"/>
    <w:rsid w:val="004A0D1A"/>
    <w:rsid w:val="004A1D52"/>
    <w:rsid w:val="004A1D8B"/>
    <w:rsid w:val="004A1DF4"/>
    <w:rsid w:val="004A5F50"/>
    <w:rsid w:val="004A7D29"/>
    <w:rsid w:val="004B028A"/>
    <w:rsid w:val="004B1079"/>
    <w:rsid w:val="004B1673"/>
    <w:rsid w:val="004B2A83"/>
    <w:rsid w:val="004B4FBB"/>
    <w:rsid w:val="004B5384"/>
    <w:rsid w:val="004B5643"/>
    <w:rsid w:val="004B56E9"/>
    <w:rsid w:val="004B593E"/>
    <w:rsid w:val="004B79E6"/>
    <w:rsid w:val="004C173C"/>
    <w:rsid w:val="004C179A"/>
    <w:rsid w:val="004C1AB3"/>
    <w:rsid w:val="004C3E42"/>
    <w:rsid w:val="004C5F1A"/>
    <w:rsid w:val="004D0027"/>
    <w:rsid w:val="004D1E2C"/>
    <w:rsid w:val="004D2335"/>
    <w:rsid w:val="004D4203"/>
    <w:rsid w:val="004D5A5F"/>
    <w:rsid w:val="004D623C"/>
    <w:rsid w:val="004D7A2B"/>
    <w:rsid w:val="004D7B0E"/>
    <w:rsid w:val="004D7DAC"/>
    <w:rsid w:val="004E17EE"/>
    <w:rsid w:val="004E2B29"/>
    <w:rsid w:val="004E46B7"/>
    <w:rsid w:val="004E5F2D"/>
    <w:rsid w:val="004F2F6D"/>
    <w:rsid w:val="004F4B2C"/>
    <w:rsid w:val="004F6DA2"/>
    <w:rsid w:val="004F7A12"/>
    <w:rsid w:val="004F7CD2"/>
    <w:rsid w:val="0050295D"/>
    <w:rsid w:val="00504165"/>
    <w:rsid w:val="0050564E"/>
    <w:rsid w:val="00506331"/>
    <w:rsid w:val="005072B7"/>
    <w:rsid w:val="00507714"/>
    <w:rsid w:val="005077E5"/>
    <w:rsid w:val="00510B15"/>
    <w:rsid w:val="0051659A"/>
    <w:rsid w:val="0051770F"/>
    <w:rsid w:val="0052061B"/>
    <w:rsid w:val="00521E62"/>
    <w:rsid w:val="00523145"/>
    <w:rsid w:val="005264CA"/>
    <w:rsid w:val="0052788E"/>
    <w:rsid w:val="005344A2"/>
    <w:rsid w:val="00535EB4"/>
    <w:rsid w:val="0053771E"/>
    <w:rsid w:val="00543DBB"/>
    <w:rsid w:val="00544D91"/>
    <w:rsid w:val="00545A1A"/>
    <w:rsid w:val="00547E93"/>
    <w:rsid w:val="00550971"/>
    <w:rsid w:val="00551BFF"/>
    <w:rsid w:val="0055255A"/>
    <w:rsid w:val="005633E9"/>
    <w:rsid w:val="00563E78"/>
    <w:rsid w:val="005643CA"/>
    <w:rsid w:val="005652DE"/>
    <w:rsid w:val="005652E5"/>
    <w:rsid w:val="005667B0"/>
    <w:rsid w:val="0056688F"/>
    <w:rsid w:val="00567F9F"/>
    <w:rsid w:val="00573484"/>
    <w:rsid w:val="00573FFB"/>
    <w:rsid w:val="0057415A"/>
    <w:rsid w:val="00575416"/>
    <w:rsid w:val="005760B7"/>
    <w:rsid w:val="005762BE"/>
    <w:rsid w:val="00576CED"/>
    <w:rsid w:val="00577B05"/>
    <w:rsid w:val="00581A8A"/>
    <w:rsid w:val="005838CE"/>
    <w:rsid w:val="0058405B"/>
    <w:rsid w:val="005841A5"/>
    <w:rsid w:val="00585BB5"/>
    <w:rsid w:val="00585FF5"/>
    <w:rsid w:val="005873FC"/>
    <w:rsid w:val="00587ACC"/>
    <w:rsid w:val="005906F1"/>
    <w:rsid w:val="005957B3"/>
    <w:rsid w:val="005A021F"/>
    <w:rsid w:val="005A47CC"/>
    <w:rsid w:val="005A48A9"/>
    <w:rsid w:val="005A5ABA"/>
    <w:rsid w:val="005A7041"/>
    <w:rsid w:val="005A7CC5"/>
    <w:rsid w:val="005B1564"/>
    <w:rsid w:val="005B1D21"/>
    <w:rsid w:val="005B20D5"/>
    <w:rsid w:val="005B2B07"/>
    <w:rsid w:val="005B3954"/>
    <w:rsid w:val="005B5AFA"/>
    <w:rsid w:val="005B5B2A"/>
    <w:rsid w:val="005B5E58"/>
    <w:rsid w:val="005C0647"/>
    <w:rsid w:val="005C198F"/>
    <w:rsid w:val="005C1DB9"/>
    <w:rsid w:val="005C2463"/>
    <w:rsid w:val="005C5374"/>
    <w:rsid w:val="005D0568"/>
    <w:rsid w:val="005D2749"/>
    <w:rsid w:val="005D5A90"/>
    <w:rsid w:val="005D6CCB"/>
    <w:rsid w:val="005D7AAF"/>
    <w:rsid w:val="005E0D91"/>
    <w:rsid w:val="005E0E1D"/>
    <w:rsid w:val="005E2703"/>
    <w:rsid w:val="005E33DE"/>
    <w:rsid w:val="005E39D6"/>
    <w:rsid w:val="005E5CFA"/>
    <w:rsid w:val="005F141B"/>
    <w:rsid w:val="005F49E9"/>
    <w:rsid w:val="005F7906"/>
    <w:rsid w:val="00602467"/>
    <w:rsid w:val="006027ED"/>
    <w:rsid w:val="00603CA2"/>
    <w:rsid w:val="006101FE"/>
    <w:rsid w:val="00610D1C"/>
    <w:rsid w:val="00611E72"/>
    <w:rsid w:val="006138EB"/>
    <w:rsid w:val="00613F19"/>
    <w:rsid w:val="00614E38"/>
    <w:rsid w:val="00616C04"/>
    <w:rsid w:val="00616F81"/>
    <w:rsid w:val="00617044"/>
    <w:rsid w:val="00621FF8"/>
    <w:rsid w:val="0062207C"/>
    <w:rsid w:val="0062217C"/>
    <w:rsid w:val="00622556"/>
    <w:rsid w:val="0062425E"/>
    <w:rsid w:val="00624942"/>
    <w:rsid w:val="00625CD7"/>
    <w:rsid w:val="00627468"/>
    <w:rsid w:val="0063026E"/>
    <w:rsid w:val="00630CB4"/>
    <w:rsid w:val="00630E90"/>
    <w:rsid w:val="00631471"/>
    <w:rsid w:val="00631FBA"/>
    <w:rsid w:val="006320A8"/>
    <w:rsid w:val="00632476"/>
    <w:rsid w:val="00632847"/>
    <w:rsid w:val="00633EF1"/>
    <w:rsid w:val="006345EB"/>
    <w:rsid w:val="00635610"/>
    <w:rsid w:val="006370F6"/>
    <w:rsid w:val="0064084F"/>
    <w:rsid w:val="00640F55"/>
    <w:rsid w:val="00641002"/>
    <w:rsid w:val="00641950"/>
    <w:rsid w:val="00643FE4"/>
    <w:rsid w:val="00644EFC"/>
    <w:rsid w:val="00646B7E"/>
    <w:rsid w:val="00646CF9"/>
    <w:rsid w:val="0064735E"/>
    <w:rsid w:val="00647A08"/>
    <w:rsid w:val="006504E8"/>
    <w:rsid w:val="00652136"/>
    <w:rsid w:val="00653513"/>
    <w:rsid w:val="00657471"/>
    <w:rsid w:val="00660C4B"/>
    <w:rsid w:val="00661341"/>
    <w:rsid w:val="00661CEC"/>
    <w:rsid w:val="00661DA5"/>
    <w:rsid w:val="00661E2C"/>
    <w:rsid w:val="0066346F"/>
    <w:rsid w:val="00667BC7"/>
    <w:rsid w:val="0067012C"/>
    <w:rsid w:val="0067276A"/>
    <w:rsid w:val="006769A6"/>
    <w:rsid w:val="00682863"/>
    <w:rsid w:val="00682DD8"/>
    <w:rsid w:val="00683EFD"/>
    <w:rsid w:val="00684DE9"/>
    <w:rsid w:val="00684E1B"/>
    <w:rsid w:val="00686C03"/>
    <w:rsid w:val="00687E14"/>
    <w:rsid w:val="00687F16"/>
    <w:rsid w:val="0069061C"/>
    <w:rsid w:val="00691620"/>
    <w:rsid w:val="006926D5"/>
    <w:rsid w:val="00692D41"/>
    <w:rsid w:val="0069303C"/>
    <w:rsid w:val="00693A88"/>
    <w:rsid w:val="00693C5A"/>
    <w:rsid w:val="00695709"/>
    <w:rsid w:val="006977BE"/>
    <w:rsid w:val="00697DF9"/>
    <w:rsid w:val="006A0C06"/>
    <w:rsid w:val="006A1AC7"/>
    <w:rsid w:val="006A2744"/>
    <w:rsid w:val="006A2DBC"/>
    <w:rsid w:val="006A4DEF"/>
    <w:rsid w:val="006A51DF"/>
    <w:rsid w:val="006A54D4"/>
    <w:rsid w:val="006A55F5"/>
    <w:rsid w:val="006A5D2B"/>
    <w:rsid w:val="006A7869"/>
    <w:rsid w:val="006B0950"/>
    <w:rsid w:val="006B16A3"/>
    <w:rsid w:val="006B1798"/>
    <w:rsid w:val="006B1E11"/>
    <w:rsid w:val="006B20CC"/>
    <w:rsid w:val="006B39A7"/>
    <w:rsid w:val="006B3E8F"/>
    <w:rsid w:val="006B4180"/>
    <w:rsid w:val="006B42E6"/>
    <w:rsid w:val="006B51C2"/>
    <w:rsid w:val="006B5CBE"/>
    <w:rsid w:val="006B70C3"/>
    <w:rsid w:val="006B7933"/>
    <w:rsid w:val="006C26C6"/>
    <w:rsid w:val="006C3E1F"/>
    <w:rsid w:val="006C681B"/>
    <w:rsid w:val="006C70BC"/>
    <w:rsid w:val="006D18C9"/>
    <w:rsid w:val="006D271B"/>
    <w:rsid w:val="006D2DF2"/>
    <w:rsid w:val="006D3C35"/>
    <w:rsid w:val="006D4054"/>
    <w:rsid w:val="006D4855"/>
    <w:rsid w:val="006D5364"/>
    <w:rsid w:val="006D5B35"/>
    <w:rsid w:val="006D63BA"/>
    <w:rsid w:val="006D7A1E"/>
    <w:rsid w:val="006E0C23"/>
    <w:rsid w:val="006E1FE8"/>
    <w:rsid w:val="006E3E32"/>
    <w:rsid w:val="006E44C4"/>
    <w:rsid w:val="006E617B"/>
    <w:rsid w:val="006E6D6E"/>
    <w:rsid w:val="006F49D5"/>
    <w:rsid w:val="006F4B38"/>
    <w:rsid w:val="006F54F4"/>
    <w:rsid w:val="006F57DB"/>
    <w:rsid w:val="006F661D"/>
    <w:rsid w:val="006F6F85"/>
    <w:rsid w:val="006F746D"/>
    <w:rsid w:val="006F77DD"/>
    <w:rsid w:val="007001DB"/>
    <w:rsid w:val="007016BE"/>
    <w:rsid w:val="00706547"/>
    <w:rsid w:val="00707BC9"/>
    <w:rsid w:val="00710AC1"/>
    <w:rsid w:val="00713160"/>
    <w:rsid w:val="00714C0E"/>
    <w:rsid w:val="00714F3E"/>
    <w:rsid w:val="007202B0"/>
    <w:rsid w:val="00720980"/>
    <w:rsid w:val="00722C51"/>
    <w:rsid w:val="00725C8A"/>
    <w:rsid w:val="00725EC6"/>
    <w:rsid w:val="00726B55"/>
    <w:rsid w:val="007272C3"/>
    <w:rsid w:val="00732C4E"/>
    <w:rsid w:val="007343ED"/>
    <w:rsid w:val="00734B28"/>
    <w:rsid w:val="007358E0"/>
    <w:rsid w:val="00735E0D"/>
    <w:rsid w:val="00735EA8"/>
    <w:rsid w:val="0073699D"/>
    <w:rsid w:val="00737011"/>
    <w:rsid w:val="00740A77"/>
    <w:rsid w:val="00741378"/>
    <w:rsid w:val="00743317"/>
    <w:rsid w:val="00744BB3"/>
    <w:rsid w:val="00746424"/>
    <w:rsid w:val="00750425"/>
    <w:rsid w:val="00752971"/>
    <w:rsid w:val="0075531E"/>
    <w:rsid w:val="007559DA"/>
    <w:rsid w:val="00760692"/>
    <w:rsid w:val="0076103A"/>
    <w:rsid w:val="0076185C"/>
    <w:rsid w:val="00762451"/>
    <w:rsid w:val="007625BD"/>
    <w:rsid w:val="00763714"/>
    <w:rsid w:val="0076783E"/>
    <w:rsid w:val="0077052C"/>
    <w:rsid w:val="00770F75"/>
    <w:rsid w:val="007710D1"/>
    <w:rsid w:val="007727C4"/>
    <w:rsid w:val="00772D3F"/>
    <w:rsid w:val="00773263"/>
    <w:rsid w:val="00773286"/>
    <w:rsid w:val="007748F4"/>
    <w:rsid w:val="00775FB9"/>
    <w:rsid w:val="00780F8B"/>
    <w:rsid w:val="007812DE"/>
    <w:rsid w:val="007814C9"/>
    <w:rsid w:val="007820FD"/>
    <w:rsid w:val="00782301"/>
    <w:rsid w:val="007829C2"/>
    <w:rsid w:val="00784E6F"/>
    <w:rsid w:val="00784E73"/>
    <w:rsid w:val="007904F9"/>
    <w:rsid w:val="0079164C"/>
    <w:rsid w:val="007916F8"/>
    <w:rsid w:val="00793E3A"/>
    <w:rsid w:val="007945FA"/>
    <w:rsid w:val="007954FE"/>
    <w:rsid w:val="00796601"/>
    <w:rsid w:val="007A03A0"/>
    <w:rsid w:val="007A2C21"/>
    <w:rsid w:val="007A3369"/>
    <w:rsid w:val="007A3683"/>
    <w:rsid w:val="007B13EC"/>
    <w:rsid w:val="007B205E"/>
    <w:rsid w:val="007B2691"/>
    <w:rsid w:val="007B6302"/>
    <w:rsid w:val="007B67F4"/>
    <w:rsid w:val="007B70F5"/>
    <w:rsid w:val="007C1E29"/>
    <w:rsid w:val="007C36E6"/>
    <w:rsid w:val="007C380F"/>
    <w:rsid w:val="007C71B5"/>
    <w:rsid w:val="007D1882"/>
    <w:rsid w:val="007D3BBA"/>
    <w:rsid w:val="007D48E2"/>
    <w:rsid w:val="007D6022"/>
    <w:rsid w:val="007D64DB"/>
    <w:rsid w:val="007D6BBF"/>
    <w:rsid w:val="007D73F4"/>
    <w:rsid w:val="007E008B"/>
    <w:rsid w:val="007E0CF6"/>
    <w:rsid w:val="007E12AE"/>
    <w:rsid w:val="007E164A"/>
    <w:rsid w:val="007E217E"/>
    <w:rsid w:val="007E40CF"/>
    <w:rsid w:val="007E457A"/>
    <w:rsid w:val="007E7335"/>
    <w:rsid w:val="007E795F"/>
    <w:rsid w:val="007F22D2"/>
    <w:rsid w:val="007F3D44"/>
    <w:rsid w:val="007F52CB"/>
    <w:rsid w:val="007F54E9"/>
    <w:rsid w:val="007F73B0"/>
    <w:rsid w:val="007F74F9"/>
    <w:rsid w:val="00800516"/>
    <w:rsid w:val="00802C04"/>
    <w:rsid w:val="0080432C"/>
    <w:rsid w:val="00804E51"/>
    <w:rsid w:val="00814173"/>
    <w:rsid w:val="00822803"/>
    <w:rsid w:val="00822D17"/>
    <w:rsid w:val="00823D5E"/>
    <w:rsid w:val="008272D6"/>
    <w:rsid w:val="00830B7B"/>
    <w:rsid w:val="00830D0E"/>
    <w:rsid w:val="008321BD"/>
    <w:rsid w:val="008324BF"/>
    <w:rsid w:val="00832718"/>
    <w:rsid w:val="00834F43"/>
    <w:rsid w:val="00840D42"/>
    <w:rsid w:val="0084217B"/>
    <w:rsid w:val="00842BFB"/>
    <w:rsid w:val="00842D6F"/>
    <w:rsid w:val="008432BC"/>
    <w:rsid w:val="00845176"/>
    <w:rsid w:val="00846858"/>
    <w:rsid w:val="008473B8"/>
    <w:rsid w:val="00850A4B"/>
    <w:rsid w:val="00850C05"/>
    <w:rsid w:val="00850C8B"/>
    <w:rsid w:val="008517DC"/>
    <w:rsid w:val="00857696"/>
    <w:rsid w:val="008576C8"/>
    <w:rsid w:val="00861859"/>
    <w:rsid w:val="00863A56"/>
    <w:rsid w:val="00864A86"/>
    <w:rsid w:val="008662C9"/>
    <w:rsid w:val="00866393"/>
    <w:rsid w:val="00866AA0"/>
    <w:rsid w:val="00867FBC"/>
    <w:rsid w:val="0087216C"/>
    <w:rsid w:val="00872DEB"/>
    <w:rsid w:val="00873473"/>
    <w:rsid w:val="008748C8"/>
    <w:rsid w:val="0087514D"/>
    <w:rsid w:val="00875A23"/>
    <w:rsid w:val="00875F9E"/>
    <w:rsid w:val="00876649"/>
    <w:rsid w:val="00877D9C"/>
    <w:rsid w:val="00880B30"/>
    <w:rsid w:val="008823D7"/>
    <w:rsid w:val="008831FD"/>
    <w:rsid w:val="00883CDB"/>
    <w:rsid w:val="00886D39"/>
    <w:rsid w:val="0088737B"/>
    <w:rsid w:val="00890288"/>
    <w:rsid w:val="008943DB"/>
    <w:rsid w:val="00894BD0"/>
    <w:rsid w:val="00894CCA"/>
    <w:rsid w:val="00895509"/>
    <w:rsid w:val="00896643"/>
    <w:rsid w:val="008A2229"/>
    <w:rsid w:val="008A23F9"/>
    <w:rsid w:val="008A2596"/>
    <w:rsid w:val="008A406B"/>
    <w:rsid w:val="008A460F"/>
    <w:rsid w:val="008A4623"/>
    <w:rsid w:val="008A6658"/>
    <w:rsid w:val="008A7616"/>
    <w:rsid w:val="008A768A"/>
    <w:rsid w:val="008B0708"/>
    <w:rsid w:val="008B0A59"/>
    <w:rsid w:val="008B2E26"/>
    <w:rsid w:val="008B3B73"/>
    <w:rsid w:val="008B512C"/>
    <w:rsid w:val="008B6DF4"/>
    <w:rsid w:val="008B7455"/>
    <w:rsid w:val="008C23B5"/>
    <w:rsid w:val="008C6D73"/>
    <w:rsid w:val="008C7542"/>
    <w:rsid w:val="008C7A80"/>
    <w:rsid w:val="008C7ACA"/>
    <w:rsid w:val="008D32BD"/>
    <w:rsid w:val="008D3B47"/>
    <w:rsid w:val="008D3E08"/>
    <w:rsid w:val="008D4CC1"/>
    <w:rsid w:val="008D5B6C"/>
    <w:rsid w:val="008D61A3"/>
    <w:rsid w:val="008E11A4"/>
    <w:rsid w:val="008E1598"/>
    <w:rsid w:val="008E2DF9"/>
    <w:rsid w:val="008E4683"/>
    <w:rsid w:val="008F0D1C"/>
    <w:rsid w:val="008F2A53"/>
    <w:rsid w:val="008F37ED"/>
    <w:rsid w:val="008F40AD"/>
    <w:rsid w:val="008F4E40"/>
    <w:rsid w:val="008F5A9F"/>
    <w:rsid w:val="009006E8"/>
    <w:rsid w:val="00901BCB"/>
    <w:rsid w:val="00901F86"/>
    <w:rsid w:val="00902F17"/>
    <w:rsid w:val="00904EF3"/>
    <w:rsid w:val="00906678"/>
    <w:rsid w:val="00906C1B"/>
    <w:rsid w:val="00907E7A"/>
    <w:rsid w:val="00907F21"/>
    <w:rsid w:val="00910F1D"/>
    <w:rsid w:val="00911F7C"/>
    <w:rsid w:val="0091249D"/>
    <w:rsid w:val="00913463"/>
    <w:rsid w:val="009167C9"/>
    <w:rsid w:val="00917E09"/>
    <w:rsid w:val="0092236F"/>
    <w:rsid w:val="009230D1"/>
    <w:rsid w:val="00924CB9"/>
    <w:rsid w:val="00924E24"/>
    <w:rsid w:val="009276CF"/>
    <w:rsid w:val="0093181C"/>
    <w:rsid w:val="0093337B"/>
    <w:rsid w:val="009340A6"/>
    <w:rsid w:val="00934BB2"/>
    <w:rsid w:val="00936350"/>
    <w:rsid w:val="009378B9"/>
    <w:rsid w:val="00937D47"/>
    <w:rsid w:val="00943777"/>
    <w:rsid w:val="00943BF7"/>
    <w:rsid w:val="0094437A"/>
    <w:rsid w:val="00944978"/>
    <w:rsid w:val="00945B3C"/>
    <w:rsid w:val="00950866"/>
    <w:rsid w:val="00952BEC"/>
    <w:rsid w:val="009538B6"/>
    <w:rsid w:val="00954A65"/>
    <w:rsid w:val="009563AA"/>
    <w:rsid w:val="0096186C"/>
    <w:rsid w:val="00961B19"/>
    <w:rsid w:val="00962306"/>
    <w:rsid w:val="009653F9"/>
    <w:rsid w:val="009665AE"/>
    <w:rsid w:val="0096699B"/>
    <w:rsid w:val="00970E07"/>
    <w:rsid w:val="00970F10"/>
    <w:rsid w:val="00971DE3"/>
    <w:rsid w:val="009721F0"/>
    <w:rsid w:val="00972671"/>
    <w:rsid w:val="00972B57"/>
    <w:rsid w:val="00972C71"/>
    <w:rsid w:val="00982E1F"/>
    <w:rsid w:val="009833DA"/>
    <w:rsid w:val="00985536"/>
    <w:rsid w:val="00986112"/>
    <w:rsid w:val="00986CA7"/>
    <w:rsid w:val="009907AA"/>
    <w:rsid w:val="0099234D"/>
    <w:rsid w:val="00995149"/>
    <w:rsid w:val="00995B90"/>
    <w:rsid w:val="00995E79"/>
    <w:rsid w:val="00997F24"/>
    <w:rsid w:val="009A117F"/>
    <w:rsid w:val="009A1945"/>
    <w:rsid w:val="009A27EA"/>
    <w:rsid w:val="009A3B40"/>
    <w:rsid w:val="009A4063"/>
    <w:rsid w:val="009A5896"/>
    <w:rsid w:val="009A58D9"/>
    <w:rsid w:val="009A5AFD"/>
    <w:rsid w:val="009A6B59"/>
    <w:rsid w:val="009A7450"/>
    <w:rsid w:val="009A7E04"/>
    <w:rsid w:val="009A7FA9"/>
    <w:rsid w:val="009B1A30"/>
    <w:rsid w:val="009B1B18"/>
    <w:rsid w:val="009B3A0A"/>
    <w:rsid w:val="009B3D7C"/>
    <w:rsid w:val="009B489B"/>
    <w:rsid w:val="009B691C"/>
    <w:rsid w:val="009B6946"/>
    <w:rsid w:val="009B7D05"/>
    <w:rsid w:val="009B7E34"/>
    <w:rsid w:val="009C2FA0"/>
    <w:rsid w:val="009C31AA"/>
    <w:rsid w:val="009C3BF6"/>
    <w:rsid w:val="009C71F1"/>
    <w:rsid w:val="009D0A67"/>
    <w:rsid w:val="009D26E8"/>
    <w:rsid w:val="009D34F6"/>
    <w:rsid w:val="009D4A66"/>
    <w:rsid w:val="009D6882"/>
    <w:rsid w:val="009D70AE"/>
    <w:rsid w:val="009E0480"/>
    <w:rsid w:val="009E4F68"/>
    <w:rsid w:val="009E5265"/>
    <w:rsid w:val="009E5DDA"/>
    <w:rsid w:val="009E5E30"/>
    <w:rsid w:val="009E7173"/>
    <w:rsid w:val="009E77AE"/>
    <w:rsid w:val="009F16D7"/>
    <w:rsid w:val="009F1BB3"/>
    <w:rsid w:val="009F2CD6"/>
    <w:rsid w:val="009F5EE0"/>
    <w:rsid w:val="009F6115"/>
    <w:rsid w:val="009F61E9"/>
    <w:rsid w:val="009F7400"/>
    <w:rsid w:val="009F7E1B"/>
    <w:rsid w:val="00A046B4"/>
    <w:rsid w:val="00A056CB"/>
    <w:rsid w:val="00A059C3"/>
    <w:rsid w:val="00A072F5"/>
    <w:rsid w:val="00A07D10"/>
    <w:rsid w:val="00A1024C"/>
    <w:rsid w:val="00A127C7"/>
    <w:rsid w:val="00A13B58"/>
    <w:rsid w:val="00A16327"/>
    <w:rsid w:val="00A206B4"/>
    <w:rsid w:val="00A20827"/>
    <w:rsid w:val="00A23025"/>
    <w:rsid w:val="00A24EAF"/>
    <w:rsid w:val="00A26504"/>
    <w:rsid w:val="00A26C89"/>
    <w:rsid w:val="00A27991"/>
    <w:rsid w:val="00A3018A"/>
    <w:rsid w:val="00A31D31"/>
    <w:rsid w:val="00A32AD1"/>
    <w:rsid w:val="00A34A71"/>
    <w:rsid w:val="00A368EF"/>
    <w:rsid w:val="00A4090E"/>
    <w:rsid w:val="00A415A6"/>
    <w:rsid w:val="00A447B9"/>
    <w:rsid w:val="00A45D14"/>
    <w:rsid w:val="00A46ABD"/>
    <w:rsid w:val="00A46DFA"/>
    <w:rsid w:val="00A47129"/>
    <w:rsid w:val="00A4716C"/>
    <w:rsid w:val="00A52427"/>
    <w:rsid w:val="00A57951"/>
    <w:rsid w:val="00A60C9C"/>
    <w:rsid w:val="00A6157B"/>
    <w:rsid w:val="00A61C39"/>
    <w:rsid w:val="00A63E4D"/>
    <w:rsid w:val="00A6431C"/>
    <w:rsid w:val="00A645F8"/>
    <w:rsid w:val="00A64DF1"/>
    <w:rsid w:val="00A652D1"/>
    <w:rsid w:val="00A74832"/>
    <w:rsid w:val="00A75327"/>
    <w:rsid w:val="00A77515"/>
    <w:rsid w:val="00A776BC"/>
    <w:rsid w:val="00A80B8D"/>
    <w:rsid w:val="00A81749"/>
    <w:rsid w:val="00A86263"/>
    <w:rsid w:val="00A9328F"/>
    <w:rsid w:val="00A94FBB"/>
    <w:rsid w:val="00A96065"/>
    <w:rsid w:val="00AA510D"/>
    <w:rsid w:val="00AA56EE"/>
    <w:rsid w:val="00AA5D30"/>
    <w:rsid w:val="00AA6011"/>
    <w:rsid w:val="00AA71FC"/>
    <w:rsid w:val="00AA78FF"/>
    <w:rsid w:val="00AB070D"/>
    <w:rsid w:val="00AB1521"/>
    <w:rsid w:val="00AB2B33"/>
    <w:rsid w:val="00AB4345"/>
    <w:rsid w:val="00AB43ED"/>
    <w:rsid w:val="00AB476E"/>
    <w:rsid w:val="00AB71C4"/>
    <w:rsid w:val="00AB76C9"/>
    <w:rsid w:val="00AC13E1"/>
    <w:rsid w:val="00AC35C7"/>
    <w:rsid w:val="00AC5080"/>
    <w:rsid w:val="00AC6B76"/>
    <w:rsid w:val="00AC704E"/>
    <w:rsid w:val="00AD02B8"/>
    <w:rsid w:val="00AD17FE"/>
    <w:rsid w:val="00AD1F2C"/>
    <w:rsid w:val="00AD360D"/>
    <w:rsid w:val="00AD45EB"/>
    <w:rsid w:val="00AD5741"/>
    <w:rsid w:val="00AD650F"/>
    <w:rsid w:val="00AD6DA3"/>
    <w:rsid w:val="00AD7FF2"/>
    <w:rsid w:val="00AE00E1"/>
    <w:rsid w:val="00AE3233"/>
    <w:rsid w:val="00AE581B"/>
    <w:rsid w:val="00AE7EA6"/>
    <w:rsid w:val="00AF1259"/>
    <w:rsid w:val="00AF441C"/>
    <w:rsid w:val="00AF62BE"/>
    <w:rsid w:val="00AF6428"/>
    <w:rsid w:val="00AF649B"/>
    <w:rsid w:val="00AF6A62"/>
    <w:rsid w:val="00AF79EE"/>
    <w:rsid w:val="00B00029"/>
    <w:rsid w:val="00B01577"/>
    <w:rsid w:val="00B01914"/>
    <w:rsid w:val="00B046D4"/>
    <w:rsid w:val="00B051E4"/>
    <w:rsid w:val="00B058FC"/>
    <w:rsid w:val="00B07033"/>
    <w:rsid w:val="00B0773D"/>
    <w:rsid w:val="00B07E09"/>
    <w:rsid w:val="00B10F19"/>
    <w:rsid w:val="00B1127F"/>
    <w:rsid w:val="00B13F17"/>
    <w:rsid w:val="00B14DE5"/>
    <w:rsid w:val="00B17929"/>
    <w:rsid w:val="00B21FCC"/>
    <w:rsid w:val="00B22575"/>
    <w:rsid w:val="00B22CDA"/>
    <w:rsid w:val="00B25239"/>
    <w:rsid w:val="00B253D5"/>
    <w:rsid w:val="00B2670C"/>
    <w:rsid w:val="00B26D33"/>
    <w:rsid w:val="00B27C1A"/>
    <w:rsid w:val="00B307D8"/>
    <w:rsid w:val="00B32087"/>
    <w:rsid w:val="00B326B8"/>
    <w:rsid w:val="00B32D9C"/>
    <w:rsid w:val="00B32E44"/>
    <w:rsid w:val="00B334DD"/>
    <w:rsid w:val="00B33AC1"/>
    <w:rsid w:val="00B33BFB"/>
    <w:rsid w:val="00B40248"/>
    <w:rsid w:val="00B404AA"/>
    <w:rsid w:val="00B411A9"/>
    <w:rsid w:val="00B45315"/>
    <w:rsid w:val="00B50A33"/>
    <w:rsid w:val="00B53643"/>
    <w:rsid w:val="00B54BFE"/>
    <w:rsid w:val="00B55036"/>
    <w:rsid w:val="00B5551A"/>
    <w:rsid w:val="00B559AB"/>
    <w:rsid w:val="00B57135"/>
    <w:rsid w:val="00B60588"/>
    <w:rsid w:val="00B606D1"/>
    <w:rsid w:val="00B60B13"/>
    <w:rsid w:val="00B617B4"/>
    <w:rsid w:val="00B63E30"/>
    <w:rsid w:val="00B66D72"/>
    <w:rsid w:val="00B70AD6"/>
    <w:rsid w:val="00B70E9B"/>
    <w:rsid w:val="00B72FC6"/>
    <w:rsid w:val="00B737E5"/>
    <w:rsid w:val="00B7533F"/>
    <w:rsid w:val="00B76F0F"/>
    <w:rsid w:val="00B80BAF"/>
    <w:rsid w:val="00B80CBC"/>
    <w:rsid w:val="00B80F2E"/>
    <w:rsid w:val="00B816A4"/>
    <w:rsid w:val="00B81869"/>
    <w:rsid w:val="00B81F13"/>
    <w:rsid w:val="00B824A0"/>
    <w:rsid w:val="00B8328C"/>
    <w:rsid w:val="00B832FA"/>
    <w:rsid w:val="00B83CA0"/>
    <w:rsid w:val="00B91CDE"/>
    <w:rsid w:val="00B93613"/>
    <w:rsid w:val="00B94163"/>
    <w:rsid w:val="00B942F9"/>
    <w:rsid w:val="00B957DE"/>
    <w:rsid w:val="00B96016"/>
    <w:rsid w:val="00B9606E"/>
    <w:rsid w:val="00B96635"/>
    <w:rsid w:val="00B9712C"/>
    <w:rsid w:val="00BA08E6"/>
    <w:rsid w:val="00BA12C8"/>
    <w:rsid w:val="00BA192C"/>
    <w:rsid w:val="00BA2F63"/>
    <w:rsid w:val="00BA2FFB"/>
    <w:rsid w:val="00BA372D"/>
    <w:rsid w:val="00BA3865"/>
    <w:rsid w:val="00BA404A"/>
    <w:rsid w:val="00BA44F2"/>
    <w:rsid w:val="00BB218F"/>
    <w:rsid w:val="00BB5155"/>
    <w:rsid w:val="00BB6F66"/>
    <w:rsid w:val="00BC01DD"/>
    <w:rsid w:val="00BC02DD"/>
    <w:rsid w:val="00BC0B5C"/>
    <w:rsid w:val="00BC19D8"/>
    <w:rsid w:val="00BC20E8"/>
    <w:rsid w:val="00BC2CB0"/>
    <w:rsid w:val="00BC3AA1"/>
    <w:rsid w:val="00BC6598"/>
    <w:rsid w:val="00BD26A2"/>
    <w:rsid w:val="00BD355F"/>
    <w:rsid w:val="00BD3DC2"/>
    <w:rsid w:val="00BD5626"/>
    <w:rsid w:val="00BD7172"/>
    <w:rsid w:val="00BD7D0A"/>
    <w:rsid w:val="00BE0287"/>
    <w:rsid w:val="00BE074A"/>
    <w:rsid w:val="00BE235D"/>
    <w:rsid w:val="00BE27E7"/>
    <w:rsid w:val="00BE4142"/>
    <w:rsid w:val="00BE554C"/>
    <w:rsid w:val="00BE57CF"/>
    <w:rsid w:val="00BE6600"/>
    <w:rsid w:val="00BE68A3"/>
    <w:rsid w:val="00BE6C0B"/>
    <w:rsid w:val="00BE788E"/>
    <w:rsid w:val="00BF0469"/>
    <w:rsid w:val="00BF0FF9"/>
    <w:rsid w:val="00BF1DB8"/>
    <w:rsid w:val="00BF2826"/>
    <w:rsid w:val="00BF30F8"/>
    <w:rsid w:val="00BF40EB"/>
    <w:rsid w:val="00BF5449"/>
    <w:rsid w:val="00BF7135"/>
    <w:rsid w:val="00BF7324"/>
    <w:rsid w:val="00BF73BA"/>
    <w:rsid w:val="00C00265"/>
    <w:rsid w:val="00C00845"/>
    <w:rsid w:val="00C0100D"/>
    <w:rsid w:val="00C017CD"/>
    <w:rsid w:val="00C018EA"/>
    <w:rsid w:val="00C03E79"/>
    <w:rsid w:val="00C05F69"/>
    <w:rsid w:val="00C06734"/>
    <w:rsid w:val="00C129CE"/>
    <w:rsid w:val="00C12D4D"/>
    <w:rsid w:val="00C12F28"/>
    <w:rsid w:val="00C14262"/>
    <w:rsid w:val="00C143BE"/>
    <w:rsid w:val="00C15D38"/>
    <w:rsid w:val="00C16346"/>
    <w:rsid w:val="00C211A9"/>
    <w:rsid w:val="00C226AA"/>
    <w:rsid w:val="00C254C1"/>
    <w:rsid w:val="00C26C60"/>
    <w:rsid w:val="00C30440"/>
    <w:rsid w:val="00C308F9"/>
    <w:rsid w:val="00C31B95"/>
    <w:rsid w:val="00C33A94"/>
    <w:rsid w:val="00C348FC"/>
    <w:rsid w:val="00C356F1"/>
    <w:rsid w:val="00C404A8"/>
    <w:rsid w:val="00C43626"/>
    <w:rsid w:val="00C43969"/>
    <w:rsid w:val="00C44227"/>
    <w:rsid w:val="00C4490E"/>
    <w:rsid w:val="00C4597E"/>
    <w:rsid w:val="00C472BF"/>
    <w:rsid w:val="00C51BDE"/>
    <w:rsid w:val="00C53D29"/>
    <w:rsid w:val="00C5571C"/>
    <w:rsid w:val="00C55947"/>
    <w:rsid w:val="00C561D6"/>
    <w:rsid w:val="00C56774"/>
    <w:rsid w:val="00C56E13"/>
    <w:rsid w:val="00C57121"/>
    <w:rsid w:val="00C57B33"/>
    <w:rsid w:val="00C601B7"/>
    <w:rsid w:val="00C62BB2"/>
    <w:rsid w:val="00C63025"/>
    <w:rsid w:val="00C63678"/>
    <w:rsid w:val="00C63A07"/>
    <w:rsid w:val="00C64753"/>
    <w:rsid w:val="00C65FC3"/>
    <w:rsid w:val="00C67AC7"/>
    <w:rsid w:val="00C71FB3"/>
    <w:rsid w:val="00C73CE9"/>
    <w:rsid w:val="00C73ED6"/>
    <w:rsid w:val="00C7411B"/>
    <w:rsid w:val="00C746A1"/>
    <w:rsid w:val="00C75696"/>
    <w:rsid w:val="00C75BFF"/>
    <w:rsid w:val="00C76B29"/>
    <w:rsid w:val="00C76E0A"/>
    <w:rsid w:val="00C825EF"/>
    <w:rsid w:val="00C832D6"/>
    <w:rsid w:val="00C84D00"/>
    <w:rsid w:val="00C93483"/>
    <w:rsid w:val="00C93F0C"/>
    <w:rsid w:val="00C96843"/>
    <w:rsid w:val="00C97802"/>
    <w:rsid w:val="00CA0CBA"/>
    <w:rsid w:val="00CB02F7"/>
    <w:rsid w:val="00CB3607"/>
    <w:rsid w:val="00CB3C80"/>
    <w:rsid w:val="00CB3DE4"/>
    <w:rsid w:val="00CB407F"/>
    <w:rsid w:val="00CB53B2"/>
    <w:rsid w:val="00CB5729"/>
    <w:rsid w:val="00CB5A60"/>
    <w:rsid w:val="00CB5F06"/>
    <w:rsid w:val="00CC0D8B"/>
    <w:rsid w:val="00CC0F4E"/>
    <w:rsid w:val="00CC1CBC"/>
    <w:rsid w:val="00CC3655"/>
    <w:rsid w:val="00CC63C5"/>
    <w:rsid w:val="00CC673A"/>
    <w:rsid w:val="00CC6DC9"/>
    <w:rsid w:val="00CD0623"/>
    <w:rsid w:val="00CD42F6"/>
    <w:rsid w:val="00CD4D38"/>
    <w:rsid w:val="00CD4EB1"/>
    <w:rsid w:val="00CD5ED2"/>
    <w:rsid w:val="00CD67A1"/>
    <w:rsid w:val="00CD686A"/>
    <w:rsid w:val="00CD6ACC"/>
    <w:rsid w:val="00CE02A6"/>
    <w:rsid w:val="00CE0645"/>
    <w:rsid w:val="00CE06CC"/>
    <w:rsid w:val="00CE4EE1"/>
    <w:rsid w:val="00CF20D2"/>
    <w:rsid w:val="00CF2B78"/>
    <w:rsid w:val="00CF76EE"/>
    <w:rsid w:val="00CF7B9A"/>
    <w:rsid w:val="00D0024E"/>
    <w:rsid w:val="00D016DE"/>
    <w:rsid w:val="00D01B79"/>
    <w:rsid w:val="00D02939"/>
    <w:rsid w:val="00D040B2"/>
    <w:rsid w:val="00D06464"/>
    <w:rsid w:val="00D07E53"/>
    <w:rsid w:val="00D10567"/>
    <w:rsid w:val="00D10BDD"/>
    <w:rsid w:val="00D1297E"/>
    <w:rsid w:val="00D16FA3"/>
    <w:rsid w:val="00D178B0"/>
    <w:rsid w:val="00D1799D"/>
    <w:rsid w:val="00D223B5"/>
    <w:rsid w:val="00D234DA"/>
    <w:rsid w:val="00D25671"/>
    <w:rsid w:val="00D256D9"/>
    <w:rsid w:val="00D2657B"/>
    <w:rsid w:val="00D26D51"/>
    <w:rsid w:val="00D30AC7"/>
    <w:rsid w:val="00D31EF3"/>
    <w:rsid w:val="00D32372"/>
    <w:rsid w:val="00D32B79"/>
    <w:rsid w:val="00D35EED"/>
    <w:rsid w:val="00D4027D"/>
    <w:rsid w:val="00D40DAA"/>
    <w:rsid w:val="00D42035"/>
    <w:rsid w:val="00D425CD"/>
    <w:rsid w:val="00D43D9E"/>
    <w:rsid w:val="00D44CC8"/>
    <w:rsid w:val="00D452EE"/>
    <w:rsid w:val="00D45D10"/>
    <w:rsid w:val="00D473CD"/>
    <w:rsid w:val="00D47BF8"/>
    <w:rsid w:val="00D53D3E"/>
    <w:rsid w:val="00D55306"/>
    <w:rsid w:val="00D5637E"/>
    <w:rsid w:val="00D56813"/>
    <w:rsid w:val="00D568AE"/>
    <w:rsid w:val="00D57325"/>
    <w:rsid w:val="00D57E50"/>
    <w:rsid w:val="00D650FA"/>
    <w:rsid w:val="00D6539B"/>
    <w:rsid w:val="00D66D88"/>
    <w:rsid w:val="00D6748B"/>
    <w:rsid w:val="00D67D56"/>
    <w:rsid w:val="00D73D44"/>
    <w:rsid w:val="00D73EE8"/>
    <w:rsid w:val="00D76159"/>
    <w:rsid w:val="00D77FB6"/>
    <w:rsid w:val="00D80600"/>
    <w:rsid w:val="00D81953"/>
    <w:rsid w:val="00D82383"/>
    <w:rsid w:val="00D84114"/>
    <w:rsid w:val="00D84AFC"/>
    <w:rsid w:val="00D84B42"/>
    <w:rsid w:val="00D84B86"/>
    <w:rsid w:val="00D854C9"/>
    <w:rsid w:val="00D8561E"/>
    <w:rsid w:val="00D90887"/>
    <w:rsid w:val="00D9191A"/>
    <w:rsid w:val="00D91CA4"/>
    <w:rsid w:val="00D91E22"/>
    <w:rsid w:val="00D93D81"/>
    <w:rsid w:val="00D9418F"/>
    <w:rsid w:val="00D94653"/>
    <w:rsid w:val="00D95457"/>
    <w:rsid w:val="00D967BE"/>
    <w:rsid w:val="00D96CF9"/>
    <w:rsid w:val="00DA4F31"/>
    <w:rsid w:val="00DA5C82"/>
    <w:rsid w:val="00DA61E0"/>
    <w:rsid w:val="00DA6DD0"/>
    <w:rsid w:val="00DA74CE"/>
    <w:rsid w:val="00DA793F"/>
    <w:rsid w:val="00DA7A40"/>
    <w:rsid w:val="00DA7CD5"/>
    <w:rsid w:val="00DB0F01"/>
    <w:rsid w:val="00DB1F87"/>
    <w:rsid w:val="00DB50AC"/>
    <w:rsid w:val="00DB58C8"/>
    <w:rsid w:val="00DB6146"/>
    <w:rsid w:val="00DB64D7"/>
    <w:rsid w:val="00DB6752"/>
    <w:rsid w:val="00DC12A5"/>
    <w:rsid w:val="00DC1491"/>
    <w:rsid w:val="00DC1A63"/>
    <w:rsid w:val="00DC252E"/>
    <w:rsid w:val="00DC468F"/>
    <w:rsid w:val="00DC5F9C"/>
    <w:rsid w:val="00DC692A"/>
    <w:rsid w:val="00DC6973"/>
    <w:rsid w:val="00DD0100"/>
    <w:rsid w:val="00DD0460"/>
    <w:rsid w:val="00DD0686"/>
    <w:rsid w:val="00DD1B6A"/>
    <w:rsid w:val="00DD29D1"/>
    <w:rsid w:val="00DD5045"/>
    <w:rsid w:val="00DD5A16"/>
    <w:rsid w:val="00DD70A0"/>
    <w:rsid w:val="00DD7E72"/>
    <w:rsid w:val="00DE17F8"/>
    <w:rsid w:val="00DE2662"/>
    <w:rsid w:val="00DE274D"/>
    <w:rsid w:val="00DE27B2"/>
    <w:rsid w:val="00DE4693"/>
    <w:rsid w:val="00DE5BE3"/>
    <w:rsid w:val="00DE7DF0"/>
    <w:rsid w:val="00DF10D5"/>
    <w:rsid w:val="00DF2BD9"/>
    <w:rsid w:val="00DF32F3"/>
    <w:rsid w:val="00DF5E88"/>
    <w:rsid w:val="00E02B8B"/>
    <w:rsid w:val="00E0350F"/>
    <w:rsid w:val="00E04E25"/>
    <w:rsid w:val="00E071D0"/>
    <w:rsid w:val="00E07939"/>
    <w:rsid w:val="00E07B98"/>
    <w:rsid w:val="00E10C18"/>
    <w:rsid w:val="00E12265"/>
    <w:rsid w:val="00E13E29"/>
    <w:rsid w:val="00E146DB"/>
    <w:rsid w:val="00E16F6D"/>
    <w:rsid w:val="00E17D48"/>
    <w:rsid w:val="00E211D3"/>
    <w:rsid w:val="00E2184C"/>
    <w:rsid w:val="00E230BF"/>
    <w:rsid w:val="00E231D8"/>
    <w:rsid w:val="00E23507"/>
    <w:rsid w:val="00E23BFB"/>
    <w:rsid w:val="00E23D9F"/>
    <w:rsid w:val="00E24489"/>
    <w:rsid w:val="00E25E1F"/>
    <w:rsid w:val="00E33172"/>
    <w:rsid w:val="00E343C3"/>
    <w:rsid w:val="00E35263"/>
    <w:rsid w:val="00E35F0F"/>
    <w:rsid w:val="00E367B3"/>
    <w:rsid w:val="00E37181"/>
    <w:rsid w:val="00E37A98"/>
    <w:rsid w:val="00E43158"/>
    <w:rsid w:val="00E438D7"/>
    <w:rsid w:val="00E44D2F"/>
    <w:rsid w:val="00E45439"/>
    <w:rsid w:val="00E46355"/>
    <w:rsid w:val="00E46E05"/>
    <w:rsid w:val="00E47458"/>
    <w:rsid w:val="00E51928"/>
    <w:rsid w:val="00E524C3"/>
    <w:rsid w:val="00E52723"/>
    <w:rsid w:val="00E53137"/>
    <w:rsid w:val="00E5447B"/>
    <w:rsid w:val="00E553CF"/>
    <w:rsid w:val="00E56731"/>
    <w:rsid w:val="00E56930"/>
    <w:rsid w:val="00E57AAE"/>
    <w:rsid w:val="00E6065F"/>
    <w:rsid w:val="00E609DD"/>
    <w:rsid w:val="00E60B0F"/>
    <w:rsid w:val="00E63438"/>
    <w:rsid w:val="00E64D6C"/>
    <w:rsid w:val="00E64F83"/>
    <w:rsid w:val="00E65F3A"/>
    <w:rsid w:val="00E661C8"/>
    <w:rsid w:val="00E66476"/>
    <w:rsid w:val="00E66489"/>
    <w:rsid w:val="00E6651A"/>
    <w:rsid w:val="00E666E1"/>
    <w:rsid w:val="00E66C13"/>
    <w:rsid w:val="00E67A4D"/>
    <w:rsid w:val="00E724BE"/>
    <w:rsid w:val="00E75440"/>
    <w:rsid w:val="00E75C9F"/>
    <w:rsid w:val="00E82603"/>
    <w:rsid w:val="00E8397C"/>
    <w:rsid w:val="00E851ED"/>
    <w:rsid w:val="00E877F5"/>
    <w:rsid w:val="00E9016A"/>
    <w:rsid w:val="00E92057"/>
    <w:rsid w:val="00E9291B"/>
    <w:rsid w:val="00E9427F"/>
    <w:rsid w:val="00E95032"/>
    <w:rsid w:val="00E952EE"/>
    <w:rsid w:val="00E96672"/>
    <w:rsid w:val="00E96EFC"/>
    <w:rsid w:val="00EA0A26"/>
    <w:rsid w:val="00EA1C71"/>
    <w:rsid w:val="00EA1ED9"/>
    <w:rsid w:val="00EA27FF"/>
    <w:rsid w:val="00EA3B3F"/>
    <w:rsid w:val="00EA4271"/>
    <w:rsid w:val="00EA4B1C"/>
    <w:rsid w:val="00EA7607"/>
    <w:rsid w:val="00EB0FD5"/>
    <w:rsid w:val="00EB100B"/>
    <w:rsid w:val="00EB3F5F"/>
    <w:rsid w:val="00EB4695"/>
    <w:rsid w:val="00EB5A5A"/>
    <w:rsid w:val="00EB5AB8"/>
    <w:rsid w:val="00EB7A57"/>
    <w:rsid w:val="00EC25A1"/>
    <w:rsid w:val="00EC4543"/>
    <w:rsid w:val="00EC4A41"/>
    <w:rsid w:val="00EC658C"/>
    <w:rsid w:val="00EC7191"/>
    <w:rsid w:val="00EC75F0"/>
    <w:rsid w:val="00ED2B40"/>
    <w:rsid w:val="00ED421D"/>
    <w:rsid w:val="00ED6351"/>
    <w:rsid w:val="00ED755C"/>
    <w:rsid w:val="00EE18AF"/>
    <w:rsid w:val="00EE3C66"/>
    <w:rsid w:val="00EE3C83"/>
    <w:rsid w:val="00EE4432"/>
    <w:rsid w:val="00EE504B"/>
    <w:rsid w:val="00EE5EF6"/>
    <w:rsid w:val="00EE6045"/>
    <w:rsid w:val="00EE61AD"/>
    <w:rsid w:val="00EE7F50"/>
    <w:rsid w:val="00EF1EBB"/>
    <w:rsid w:val="00EF3EC5"/>
    <w:rsid w:val="00EF5067"/>
    <w:rsid w:val="00EF59A4"/>
    <w:rsid w:val="00EF5FC0"/>
    <w:rsid w:val="00EF6935"/>
    <w:rsid w:val="00EF74EE"/>
    <w:rsid w:val="00F02334"/>
    <w:rsid w:val="00F043D3"/>
    <w:rsid w:val="00F0528D"/>
    <w:rsid w:val="00F05BC7"/>
    <w:rsid w:val="00F07210"/>
    <w:rsid w:val="00F0772C"/>
    <w:rsid w:val="00F1126C"/>
    <w:rsid w:val="00F1132D"/>
    <w:rsid w:val="00F12080"/>
    <w:rsid w:val="00F135AA"/>
    <w:rsid w:val="00F13DC1"/>
    <w:rsid w:val="00F13DFD"/>
    <w:rsid w:val="00F14894"/>
    <w:rsid w:val="00F167E2"/>
    <w:rsid w:val="00F17C12"/>
    <w:rsid w:val="00F17D53"/>
    <w:rsid w:val="00F241BF"/>
    <w:rsid w:val="00F247A0"/>
    <w:rsid w:val="00F25C5E"/>
    <w:rsid w:val="00F263CC"/>
    <w:rsid w:val="00F2751D"/>
    <w:rsid w:val="00F27982"/>
    <w:rsid w:val="00F3150E"/>
    <w:rsid w:val="00F31D32"/>
    <w:rsid w:val="00F33BC3"/>
    <w:rsid w:val="00F34D91"/>
    <w:rsid w:val="00F36A57"/>
    <w:rsid w:val="00F37802"/>
    <w:rsid w:val="00F40CD9"/>
    <w:rsid w:val="00F43E7D"/>
    <w:rsid w:val="00F44D97"/>
    <w:rsid w:val="00F4527F"/>
    <w:rsid w:val="00F4753C"/>
    <w:rsid w:val="00F47997"/>
    <w:rsid w:val="00F47CA2"/>
    <w:rsid w:val="00F509AB"/>
    <w:rsid w:val="00F50CD3"/>
    <w:rsid w:val="00F51912"/>
    <w:rsid w:val="00F51E0B"/>
    <w:rsid w:val="00F52DC9"/>
    <w:rsid w:val="00F54798"/>
    <w:rsid w:val="00F57E13"/>
    <w:rsid w:val="00F60924"/>
    <w:rsid w:val="00F61887"/>
    <w:rsid w:val="00F62094"/>
    <w:rsid w:val="00F657F7"/>
    <w:rsid w:val="00F65A33"/>
    <w:rsid w:val="00F668A4"/>
    <w:rsid w:val="00F67335"/>
    <w:rsid w:val="00F6762B"/>
    <w:rsid w:val="00F70DAC"/>
    <w:rsid w:val="00F72882"/>
    <w:rsid w:val="00F73810"/>
    <w:rsid w:val="00F73CA6"/>
    <w:rsid w:val="00F7412F"/>
    <w:rsid w:val="00F757CA"/>
    <w:rsid w:val="00F75E5E"/>
    <w:rsid w:val="00F76395"/>
    <w:rsid w:val="00F80693"/>
    <w:rsid w:val="00F80C14"/>
    <w:rsid w:val="00F81D1A"/>
    <w:rsid w:val="00F81D7B"/>
    <w:rsid w:val="00F8291A"/>
    <w:rsid w:val="00F82F6E"/>
    <w:rsid w:val="00F8677F"/>
    <w:rsid w:val="00F86F84"/>
    <w:rsid w:val="00F8788D"/>
    <w:rsid w:val="00F9062D"/>
    <w:rsid w:val="00F9291E"/>
    <w:rsid w:val="00F929B6"/>
    <w:rsid w:val="00F93905"/>
    <w:rsid w:val="00F95F00"/>
    <w:rsid w:val="00F9640A"/>
    <w:rsid w:val="00F96873"/>
    <w:rsid w:val="00FA37AD"/>
    <w:rsid w:val="00FA3DAD"/>
    <w:rsid w:val="00FA5297"/>
    <w:rsid w:val="00FA6FCD"/>
    <w:rsid w:val="00FA7D8D"/>
    <w:rsid w:val="00FB1DBC"/>
    <w:rsid w:val="00FB1F8D"/>
    <w:rsid w:val="00FB618D"/>
    <w:rsid w:val="00FC03DE"/>
    <w:rsid w:val="00FC0A06"/>
    <w:rsid w:val="00FC0D3F"/>
    <w:rsid w:val="00FC23AA"/>
    <w:rsid w:val="00FC43ED"/>
    <w:rsid w:val="00FC5DBF"/>
    <w:rsid w:val="00FC62D3"/>
    <w:rsid w:val="00FC7A93"/>
    <w:rsid w:val="00FC7E40"/>
    <w:rsid w:val="00FD0C30"/>
    <w:rsid w:val="00FD1003"/>
    <w:rsid w:val="00FD2B40"/>
    <w:rsid w:val="00FD68E7"/>
    <w:rsid w:val="00FE146D"/>
    <w:rsid w:val="00FE14FB"/>
    <w:rsid w:val="00FE2F0E"/>
    <w:rsid w:val="00FE3E22"/>
    <w:rsid w:val="00FE441D"/>
    <w:rsid w:val="00FE5C86"/>
    <w:rsid w:val="00FE6B9B"/>
    <w:rsid w:val="00FE7C1A"/>
    <w:rsid w:val="00FF02B5"/>
    <w:rsid w:val="00FF0E1B"/>
    <w:rsid w:val="00FF0F76"/>
    <w:rsid w:val="00FF1CA5"/>
    <w:rsid w:val="00FF7058"/>
    <w:rsid w:val="00FF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able of authorities" w:uiPriority="0"/>
    <w:lsdException w:name="toa heading" w:uiPriority="0"/>
    <w:lsdException w:name="Title" w:semiHidden="0" w:uiPriority="0" w:unhideWhenUsed="0" w:qFormat="1"/>
    <w:lsdException w:name="Default Paragraph Font" w:uiPriority="1"/>
    <w:lsdException w:name="Body Text" w:uiPriority="4" w:qFormat="1"/>
    <w:lsdException w:name="Body Text Indent" w:uiPriority="0" w:qFormat="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88"/>
    <w:pPr>
      <w:numPr>
        <w:numId w:val="3"/>
      </w:numPr>
      <w:spacing w:before="240" w:after="0" w:line="480" w:lineRule="auto"/>
    </w:pPr>
    <w:rPr>
      <w:rFonts w:ascii="Times New Roman" w:hAnsi="Times New Roman"/>
      <w:sz w:val="24"/>
    </w:rPr>
  </w:style>
  <w:style w:type="paragraph" w:styleId="Heading1">
    <w:name w:val="heading 1"/>
    <w:basedOn w:val="Normal"/>
    <w:next w:val="Normal"/>
    <w:link w:val="Heading1Char"/>
    <w:uiPriority w:val="9"/>
    <w:qFormat/>
    <w:rsid w:val="00F43E7D"/>
    <w:pPr>
      <w:keepNext/>
      <w:keepLines/>
      <w:numPr>
        <w:numId w:val="1"/>
      </w:numPr>
      <w:spacing w:line="240" w:lineRule="auto"/>
      <w:jc w:val="center"/>
      <w:outlineLvl w:val="0"/>
    </w:pPr>
    <w:rPr>
      <w:rFonts w:ascii="Times New Roman Bold" w:eastAsiaTheme="majorEastAsia" w:hAnsi="Times New Roman Bold" w:cstheme="majorBidi"/>
      <w:b/>
      <w:bCs/>
      <w:szCs w:val="28"/>
    </w:rPr>
  </w:style>
  <w:style w:type="paragraph" w:styleId="Heading2">
    <w:name w:val="heading 2"/>
    <w:basedOn w:val="Normal"/>
    <w:next w:val="Normal"/>
    <w:link w:val="Heading2Char"/>
    <w:uiPriority w:val="9"/>
    <w:unhideWhenUsed/>
    <w:qFormat/>
    <w:rsid w:val="00693A88"/>
    <w:pPr>
      <w:keepNext/>
      <w:keepLines/>
      <w:numPr>
        <w:numId w:val="0"/>
      </w:numPr>
      <w:spacing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C54D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54D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C54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54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C54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C54D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C54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locked/>
    <w:rsid w:val="00E661C8"/>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rsid w:val="00E661C8"/>
    <w:pPr>
      <w:numPr>
        <w:numId w:val="0"/>
      </w:numPr>
      <w:spacing w:line="240" w:lineRule="auto"/>
    </w:pPr>
  </w:style>
  <w:style w:type="character" w:customStyle="1" w:styleId="FootnoteTextChar1">
    <w:name w:val="Footnote Text Char1"/>
    <w:basedOn w:val="DefaultParagraphFont"/>
    <w:uiPriority w:val="99"/>
    <w:semiHidden/>
    <w:rsid w:val="0001122B"/>
    <w:rPr>
      <w:sz w:val="20"/>
      <w:szCs w:val="20"/>
    </w:rPr>
  </w:style>
  <w:style w:type="paragraph" w:styleId="BodyTextIndent">
    <w:name w:val="Body Text Indent"/>
    <w:basedOn w:val="Normal"/>
    <w:link w:val="BodyTextIndentChar"/>
    <w:unhideWhenUsed/>
    <w:qFormat/>
    <w:rsid w:val="0001122B"/>
    <w:pPr>
      <w:numPr>
        <w:ilvl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Pr>
      <w:rFonts w:eastAsia="Times New Roman" w:cs="Times New Roman"/>
      <w:szCs w:val="20"/>
    </w:rPr>
  </w:style>
  <w:style w:type="character" w:customStyle="1" w:styleId="BodyTextIndentChar">
    <w:name w:val="Body Text Indent Char"/>
    <w:basedOn w:val="DefaultParagraphFont"/>
    <w:link w:val="BodyTextIndent"/>
    <w:rsid w:val="0001122B"/>
    <w:rPr>
      <w:rFonts w:ascii="Times New Roman" w:eastAsia="Times New Roman" w:hAnsi="Times New Roman" w:cs="Times New Roman"/>
      <w:sz w:val="24"/>
      <w:szCs w:val="20"/>
    </w:rPr>
  </w:style>
  <w:style w:type="character" w:styleId="FootnoteReference">
    <w:name w:val="footnote reference"/>
    <w:basedOn w:val="DefaultParagraphFont"/>
    <w:unhideWhenUsed/>
    <w:rsid w:val="0001122B"/>
    <w:rPr>
      <w:vertAlign w:val="superscript"/>
    </w:rPr>
  </w:style>
  <w:style w:type="paragraph" w:styleId="Header">
    <w:name w:val="header"/>
    <w:basedOn w:val="Normal"/>
    <w:link w:val="HeaderChar"/>
    <w:uiPriority w:val="99"/>
    <w:unhideWhenUsed/>
    <w:rsid w:val="00154980"/>
    <w:pPr>
      <w:tabs>
        <w:tab w:val="center" w:pos="4680"/>
        <w:tab w:val="right" w:pos="9360"/>
      </w:tabs>
      <w:spacing w:line="240" w:lineRule="auto"/>
    </w:pPr>
  </w:style>
  <w:style w:type="character" w:customStyle="1" w:styleId="HeaderChar">
    <w:name w:val="Header Char"/>
    <w:basedOn w:val="DefaultParagraphFont"/>
    <w:link w:val="Header"/>
    <w:uiPriority w:val="99"/>
    <w:rsid w:val="00154980"/>
    <w:rPr>
      <w:rFonts w:ascii="Times New Roman" w:hAnsi="Times New Roman"/>
      <w:sz w:val="24"/>
    </w:rPr>
  </w:style>
  <w:style w:type="paragraph" w:styleId="Footer">
    <w:name w:val="footer"/>
    <w:basedOn w:val="Normal"/>
    <w:link w:val="FooterChar"/>
    <w:uiPriority w:val="99"/>
    <w:unhideWhenUsed/>
    <w:rsid w:val="00154980"/>
    <w:pPr>
      <w:tabs>
        <w:tab w:val="center" w:pos="4680"/>
        <w:tab w:val="right" w:pos="9360"/>
      </w:tabs>
      <w:spacing w:line="240" w:lineRule="auto"/>
    </w:pPr>
  </w:style>
  <w:style w:type="character" w:customStyle="1" w:styleId="FooterChar">
    <w:name w:val="Footer Char"/>
    <w:basedOn w:val="DefaultParagraphFont"/>
    <w:link w:val="Footer"/>
    <w:uiPriority w:val="99"/>
    <w:rsid w:val="00154980"/>
    <w:rPr>
      <w:rFonts w:ascii="Times New Roman" w:hAnsi="Times New Roman"/>
      <w:sz w:val="24"/>
    </w:rPr>
  </w:style>
  <w:style w:type="paragraph" w:styleId="BalloonText">
    <w:name w:val="Balloon Text"/>
    <w:basedOn w:val="Normal"/>
    <w:link w:val="BalloonTextChar"/>
    <w:uiPriority w:val="99"/>
    <w:semiHidden/>
    <w:unhideWhenUsed/>
    <w:rsid w:val="00AF64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428"/>
    <w:rPr>
      <w:rFonts w:ascii="Tahoma" w:hAnsi="Tahoma" w:cs="Tahoma"/>
      <w:sz w:val="16"/>
      <w:szCs w:val="16"/>
    </w:rPr>
  </w:style>
  <w:style w:type="paragraph" w:styleId="ListParagraph">
    <w:name w:val="List Paragraph"/>
    <w:basedOn w:val="Normal"/>
    <w:uiPriority w:val="34"/>
    <w:qFormat/>
    <w:rsid w:val="00AF6428"/>
    <w:pPr>
      <w:ind w:left="720"/>
      <w:contextualSpacing/>
    </w:pPr>
  </w:style>
  <w:style w:type="paragraph" w:styleId="Caption">
    <w:name w:val="caption"/>
    <w:basedOn w:val="Normal"/>
    <w:next w:val="Normal"/>
    <w:uiPriority w:val="35"/>
    <w:unhideWhenUsed/>
    <w:qFormat/>
    <w:rsid w:val="009B3A0A"/>
    <w:pPr>
      <w:spacing w:line="240" w:lineRule="auto"/>
    </w:pPr>
    <w:rPr>
      <w:b/>
      <w:bCs/>
      <w:color w:val="4F81BD" w:themeColor="accent1"/>
      <w:sz w:val="18"/>
      <w:szCs w:val="18"/>
    </w:rPr>
  </w:style>
  <w:style w:type="table" w:styleId="TableGrid">
    <w:name w:val="Table Grid"/>
    <w:basedOn w:val="TableNormal"/>
    <w:uiPriority w:val="59"/>
    <w:rsid w:val="00DB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768A"/>
    <w:rPr>
      <w:sz w:val="16"/>
      <w:szCs w:val="16"/>
    </w:rPr>
  </w:style>
  <w:style w:type="paragraph" w:styleId="CommentText">
    <w:name w:val="annotation text"/>
    <w:basedOn w:val="Normal"/>
    <w:link w:val="CommentTextChar"/>
    <w:uiPriority w:val="99"/>
    <w:unhideWhenUsed/>
    <w:rsid w:val="008A768A"/>
    <w:pPr>
      <w:spacing w:line="240" w:lineRule="auto"/>
    </w:pPr>
    <w:rPr>
      <w:sz w:val="20"/>
      <w:szCs w:val="20"/>
    </w:rPr>
  </w:style>
  <w:style w:type="character" w:customStyle="1" w:styleId="CommentTextChar">
    <w:name w:val="Comment Text Char"/>
    <w:basedOn w:val="DefaultParagraphFont"/>
    <w:link w:val="CommentText"/>
    <w:uiPriority w:val="99"/>
    <w:rsid w:val="008A768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A768A"/>
    <w:rPr>
      <w:b/>
      <w:bCs/>
    </w:rPr>
  </w:style>
  <w:style w:type="character" w:customStyle="1" w:styleId="CommentSubjectChar">
    <w:name w:val="Comment Subject Char"/>
    <w:basedOn w:val="CommentTextChar"/>
    <w:link w:val="CommentSubject"/>
    <w:uiPriority w:val="99"/>
    <w:semiHidden/>
    <w:rsid w:val="008A768A"/>
    <w:rPr>
      <w:rFonts w:ascii="Times New Roman" w:hAnsi="Times New Roman"/>
      <w:b/>
      <w:bCs/>
      <w:sz w:val="20"/>
      <w:szCs w:val="20"/>
    </w:rPr>
  </w:style>
  <w:style w:type="character" w:customStyle="1" w:styleId="Heading1Char">
    <w:name w:val="Heading 1 Char"/>
    <w:basedOn w:val="DefaultParagraphFont"/>
    <w:link w:val="Heading1"/>
    <w:uiPriority w:val="9"/>
    <w:rsid w:val="00F43E7D"/>
    <w:rPr>
      <w:rFonts w:ascii="Times New Roman Bold" w:eastAsiaTheme="majorEastAsia" w:hAnsi="Times New Roman Bold" w:cstheme="majorBidi"/>
      <w:b/>
      <w:bCs/>
      <w:sz w:val="24"/>
      <w:szCs w:val="28"/>
    </w:rPr>
  </w:style>
  <w:style w:type="character" w:customStyle="1" w:styleId="Heading2Char">
    <w:name w:val="Heading 2 Char"/>
    <w:basedOn w:val="DefaultParagraphFont"/>
    <w:link w:val="Heading2"/>
    <w:uiPriority w:val="9"/>
    <w:rsid w:val="00F43E7D"/>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C54D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3C54DD"/>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3C54D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3C54D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3C54D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3C54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C54DD"/>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D9418F"/>
    <w:pPr>
      <w:spacing w:after="0" w:line="240" w:lineRule="auto"/>
    </w:pPr>
  </w:style>
  <w:style w:type="paragraph" w:customStyle="1" w:styleId="Body">
    <w:name w:val="Body"/>
    <w:basedOn w:val="Normal"/>
    <w:link w:val="BodyChar1"/>
    <w:rsid w:val="00C00265"/>
    <w:pPr>
      <w:spacing w:before="120" w:after="120" w:line="240" w:lineRule="auto"/>
      <w:ind w:left="1440"/>
    </w:pPr>
    <w:rPr>
      <w:rFonts w:ascii="Garamond" w:eastAsia="MS Mincho" w:hAnsi="Garamond" w:cs="Times New Roman"/>
      <w:kern w:val="28"/>
      <w:szCs w:val="24"/>
    </w:rPr>
  </w:style>
  <w:style w:type="character" w:customStyle="1" w:styleId="BodyChar1">
    <w:name w:val="Body Char1"/>
    <w:link w:val="Body"/>
    <w:rsid w:val="00C00265"/>
    <w:rPr>
      <w:rFonts w:ascii="Garamond" w:eastAsia="MS Mincho" w:hAnsi="Garamond" w:cs="Times New Roman"/>
      <w:kern w:val="28"/>
      <w:sz w:val="24"/>
      <w:szCs w:val="24"/>
    </w:rPr>
  </w:style>
  <w:style w:type="character" w:styleId="PlaceholderText">
    <w:name w:val="Placeholder Text"/>
    <w:basedOn w:val="DefaultParagraphFont"/>
    <w:uiPriority w:val="99"/>
    <w:semiHidden/>
    <w:rsid w:val="00936350"/>
    <w:rPr>
      <w:color w:val="808080"/>
    </w:rPr>
  </w:style>
  <w:style w:type="paragraph" w:styleId="NormalWeb">
    <w:name w:val="Normal (Web)"/>
    <w:basedOn w:val="Normal"/>
    <w:uiPriority w:val="99"/>
    <w:semiHidden/>
    <w:unhideWhenUsed/>
    <w:rsid w:val="00906678"/>
    <w:pPr>
      <w:spacing w:before="100" w:beforeAutospacing="1" w:after="100" w:afterAutospacing="1" w:line="240" w:lineRule="auto"/>
    </w:pPr>
    <w:rPr>
      <w:rFonts w:eastAsiaTheme="minorEastAsia" w:cs="Times New Roman"/>
      <w:szCs w:val="24"/>
    </w:rPr>
  </w:style>
  <w:style w:type="character" w:styleId="Hyperlink">
    <w:name w:val="Hyperlink"/>
    <w:rsid w:val="00B81F13"/>
    <w:rPr>
      <w:rFonts w:cs="Times New Roman"/>
      <w:color w:val="0000FF"/>
      <w:u w:val="none"/>
    </w:rPr>
  </w:style>
  <w:style w:type="paragraph" w:customStyle="1" w:styleId="plain">
    <w:name w:val="plain"/>
    <w:basedOn w:val="Normal"/>
    <w:rsid w:val="00EB5A5A"/>
    <w:pPr>
      <w:spacing w:line="240" w:lineRule="atLeast"/>
    </w:pPr>
    <w:rPr>
      <w:rFonts w:eastAsia="Times New Roman" w:cs="Times New Roman"/>
      <w:szCs w:val="20"/>
    </w:rPr>
  </w:style>
  <w:style w:type="character" w:customStyle="1" w:styleId="zzmpTrailerItem">
    <w:name w:val="zzmpTrailerItem"/>
    <w:rsid w:val="00602467"/>
    <w:rPr>
      <w:rFonts w:ascii="Times New Roman" w:hAnsi="Times New Roman" w:cs="Times New Roman"/>
      <w:dstrike w:val="0"/>
      <w:noProof/>
      <w:color w:val="auto"/>
      <w:spacing w:val="0"/>
      <w:position w:val="0"/>
      <w:sz w:val="16"/>
      <w:szCs w:val="16"/>
      <w:u w:val="none"/>
      <w:effect w:val="none"/>
      <w:vertAlign w:val="baseline"/>
    </w:rPr>
  </w:style>
  <w:style w:type="paragraph" w:styleId="BodyText">
    <w:name w:val="Body Text"/>
    <w:basedOn w:val="Normal"/>
    <w:link w:val="BodyTextChar"/>
    <w:uiPriority w:val="4"/>
    <w:unhideWhenUsed/>
    <w:qFormat/>
    <w:rsid w:val="00130F07"/>
    <w:pPr>
      <w:spacing w:after="120"/>
    </w:pPr>
  </w:style>
  <w:style w:type="character" w:customStyle="1" w:styleId="BodyTextChar">
    <w:name w:val="Body Text Char"/>
    <w:basedOn w:val="DefaultParagraphFont"/>
    <w:link w:val="BodyText"/>
    <w:uiPriority w:val="4"/>
    <w:rsid w:val="00130F07"/>
    <w:rPr>
      <w:rFonts w:ascii="Times New Roman" w:hAnsi="Times New Roman"/>
      <w:sz w:val="24"/>
    </w:rPr>
  </w:style>
  <w:style w:type="numbering" w:customStyle="1" w:styleId="NoList1">
    <w:name w:val="No List1"/>
    <w:next w:val="NoList"/>
    <w:uiPriority w:val="99"/>
    <w:semiHidden/>
    <w:rsid w:val="00130F07"/>
  </w:style>
  <w:style w:type="paragraph" w:customStyle="1" w:styleId="BodyTextContinued">
    <w:name w:val="Body Text Continued"/>
    <w:basedOn w:val="BodyText"/>
    <w:next w:val="BodyText"/>
    <w:uiPriority w:val="14"/>
    <w:qFormat/>
    <w:rsid w:val="00130F07"/>
    <w:pPr>
      <w:spacing w:before="0" w:after="0"/>
      <w:ind w:firstLine="0"/>
    </w:pPr>
    <w:rPr>
      <w:rFonts w:eastAsia="Times New Roman" w:cs="Times New Roman"/>
      <w:szCs w:val="20"/>
    </w:rPr>
  </w:style>
  <w:style w:type="paragraph" w:customStyle="1" w:styleId="BTIndent">
    <w:name w:val="BT Indent"/>
    <w:basedOn w:val="BodyText"/>
    <w:uiPriority w:val="99"/>
    <w:rsid w:val="00130F07"/>
    <w:pPr>
      <w:spacing w:before="0" w:after="0"/>
      <w:ind w:left="720"/>
    </w:pPr>
    <w:rPr>
      <w:rFonts w:eastAsia="Times New Roman" w:cs="Times New Roman"/>
      <w:szCs w:val="20"/>
    </w:rPr>
  </w:style>
  <w:style w:type="paragraph" w:customStyle="1" w:styleId="Table">
    <w:name w:val="Table"/>
    <w:basedOn w:val="Normal"/>
    <w:uiPriority w:val="24"/>
    <w:qFormat/>
    <w:rsid w:val="00130F07"/>
    <w:pPr>
      <w:numPr>
        <w:numId w:val="0"/>
      </w:numPr>
      <w:spacing w:before="60" w:after="60"/>
    </w:pPr>
    <w:rPr>
      <w:rFonts w:eastAsia="Times New Roman" w:cs="Times New Roman"/>
      <w:szCs w:val="24"/>
    </w:rPr>
  </w:style>
  <w:style w:type="paragraph" w:styleId="Quote">
    <w:name w:val="Quote"/>
    <w:basedOn w:val="Normal"/>
    <w:next w:val="BodyTextContinued"/>
    <w:link w:val="QuoteChar"/>
    <w:uiPriority w:val="9"/>
    <w:qFormat/>
    <w:rsid w:val="00130F07"/>
    <w:pPr>
      <w:numPr>
        <w:numId w:val="0"/>
      </w:numPr>
      <w:ind w:left="1440" w:right="1440"/>
    </w:pPr>
    <w:rPr>
      <w:rFonts w:eastAsia="Times New Roman" w:cs="Times New Roman"/>
      <w:szCs w:val="20"/>
    </w:rPr>
  </w:style>
  <w:style w:type="character" w:customStyle="1" w:styleId="QuoteChar">
    <w:name w:val="Quote Char"/>
    <w:basedOn w:val="DefaultParagraphFont"/>
    <w:link w:val="Quote"/>
    <w:uiPriority w:val="9"/>
    <w:rsid w:val="00130F07"/>
    <w:rPr>
      <w:rFonts w:ascii="Times New Roman" w:eastAsia="Times New Roman" w:hAnsi="Times New Roman" w:cs="Times New Roman"/>
      <w:sz w:val="24"/>
      <w:szCs w:val="20"/>
    </w:rPr>
  </w:style>
  <w:style w:type="paragraph" w:customStyle="1" w:styleId="ResH1">
    <w:name w:val="Res H1"/>
    <w:basedOn w:val="Heading2"/>
    <w:uiPriority w:val="34"/>
    <w:rsid w:val="00130F07"/>
    <w:pPr>
      <w:tabs>
        <w:tab w:val="left" w:pos="720"/>
      </w:tabs>
      <w:spacing w:before="0" w:line="240" w:lineRule="atLeast"/>
      <w:ind w:left="720" w:right="720" w:hanging="720"/>
    </w:pPr>
    <w:rPr>
      <w:rFonts w:ascii="Times New Roman Bold" w:eastAsia="Times New Roman" w:hAnsi="Times New Roman Bold" w:cs="Arial"/>
      <w:bCs w:val="0"/>
      <w:i/>
      <w:iCs/>
      <w:caps/>
      <w:szCs w:val="20"/>
      <w:lang w:eastAsia="zh-CN"/>
    </w:rPr>
  </w:style>
  <w:style w:type="paragraph" w:customStyle="1" w:styleId="ResH2">
    <w:name w:val="Res H2"/>
    <w:basedOn w:val="Heading3"/>
    <w:uiPriority w:val="34"/>
    <w:rsid w:val="00130F07"/>
    <w:pPr>
      <w:numPr>
        <w:ilvl w:val="0"/>
        <w:numId w:val="0"/>
      </w:numPr>
      <w:spacing w:before="0" w:line="240" w:lineRule="atLeast"/>
      <w:ind w:left="1440" w:right="720" w:hanging="720"/>
    </w:pPr>
    <w:rPr>
      <w:rFonts w:ascii="Times New Roman Bold" w:eastAsia="Times New Roman" w:hAnsi="Times New Roman Bold" w:cs="Arial"/>
      <w:bCs w:val="0"/>
      <w:color w:val="auto"/>
      <w:szCs w:val="20"/>
      <w:u w:val="single"/>
      <w:lang w:eastAsia="zh-CN"/>
    </w:rPr>
  </w:style>
  <w:style w:type="paragraph" w:customStyle="1" w:styleId="Resolution">
    <w:name w:val="Resolution"/>
    <w:basedOn w:val="NormalIndent"/>
    <w:uiPriority w:val="29"/>
    <w:rsid w:val="00130F07"/>
    <w:pPr>
      <w:spacing w:before="240" w:line="240" w:lineRule="atLeast"/>
      <w:ind w:right="720"/>
    </w:pPr>
    <w:rPr>
      <w:sz w:val="26"/>
    </w:rPr>
  </w:style>
  <w:style w:type="paragraph" w:styleId="NormalIndent">
    <w:name w:val="Normal Indent"/>
    <w:basedOn w:val="Normal"/>
    <w:uiPriority w:val="99"/>
    <w:unhideWhenUsed/>
    <w:rsid w:val="00130F07"/>
    <w:pPr>
      <w:numPr>
        <w:numId w:val="0"/>
      </w:numPr>
      <w:spacing w:before="0"/>
      <w:ind w:left="720"/>
    </w:pPr>
    <w:rPr>
      <w:rFonts w:eastAsia="Times New Roman" w:cs="Times New Roman"/>
      <w:szCs w:val="20"/>
    </w:rPr>
  </w:style>
  <w:style w:type="paragraph" w:styleId="Title">
    <w:name w:val="Title"/>
    <w:basedOn w:val="Normal"/>
    <w:next w:val="BodyText"/>
    <w:link w:val="TitleChar"/>
    <w:rsid w:val="00130F07"/>
    <w:pPr>
      <w:numPr>
        <w:numId w:val="0"/>
      </w:numPr>
      <w:spacing w:before="0" w:after="240"/>
      <w:jc w:val="center"/>
      <w:outlineLvl w:val="0"/>
    </w:pPr>
    <w:rPr>
      <w:rFonts w:ascii="Times New Roman Bold" w:eastAsia="Times New Roman" w:hAnsi="Times New Roman Bold" w:cs="Arial"/>
      <w:b/>
      <w:bCs/>
      <w:szCs w:val="32"/>
    </w:rPr>
  </w:style>
  <w:style w:type="character" w:customStyle="1" w:styleId="TitleChar">
    <w:name w:val="Title Char"/>
    <w:basedOn w:val="DefaultParagraphFont"/>
    <w:link w:val="Title"/>
    <w:rsid w:val="00130F07"/>
    <w:rPr>
      <w:rFonts w:ascii="Times New Roman Bold" w:eastAsia="Times New Roman" w:hAnsi="Times New Roman Bold" w:cs="Arial"/>
      <w:b/>
      <w:bCs/>
      <w:sz w:val="24"/>
      <w:szCs w:val="32"/>
    </w:rPr>
  </w:style>
  <w:style w:type="character" w:styleId="Emphasis">
    <w:name w:val="Emphasis"/>
    <w:rsid w:val="00130F07"/>
    <w:rPr>
      <w:i/>
      <w:iCs/>
    </w:rPr>
  </w:style>
  <w:style w:type="character" w:styleId="IntenseEmphasis">
    <w:name w:val="Intense Emphasis"/>
    <w:uiPriority w:val="21"/>
    <w:rsid w:val="00130F07"/>
    <w:rPr>
      <w:b/>
      <w:bCs/>
      <w:i/>
      <w:iCs/>
      <w:color w:val="4F81BD"/>
    </w:rPr>
  </w:style>
  <w:style w:type="paragraph" w:styleId="IntenseQuote">
    <w:name w:val="Intense Quote"/>
    <w:basedOn w:val="Normal"/>
    <w:next w:val="Normal"/>
    <w:link w:val="IntenseQuoteChar"/>
    <w:uiPriority w:val="30"/>
    <w:rsid w:val="00130F07"/>
    <w:pPr>
      <w:numPr>
        <w:numId w:val="0"/>
      </w:numPr>
      <w:pBdr>
        <w:bottom w:val="single" w:sz="4" w:space="4" w:color="4F81BD"/>
      </w:pBdr>
      <w:spacing w:before="200" w:after="280"/>
      <w:ind w:left="936" w:right="936"/>
    </w:pPr>
    <w:rPr>
      <w:rFonts w:eastAsia="Times New Roman" w:cs="Times New Roman"/>
      <w:b/>
      <w:bCs/>
      <w:i/>
      <w:iCs/>
      <w:color w:val="4F81BD"/>
      <w:szCs w:val="20"/>
    </w:rPr>
  </w:style>
  <w:style w:type="character" w:customStyle="1" w:styleId="IntenseQuoteChar">
    <w:name w:val="Intense Quote Char"/>
    <w:basedOn w:val="DefaultParagraphFont"/>
    <w:link w:val="IntenseQuote"/>
    <w:uiPriority w:val="30"/>
    <w:rsid w:val="00130F07"/>
    <w:rPr>
      <w:rFonts w:ascii="Times New Roman" w:eastAsia="Times New Roman" w:hAnsi="Times New Roman" w:cs="Times New Roman"/>
      <w:b/>
      <w:bCs/>
      <w:i/>
      <w:iCs/>
      <w:color w:val="4F81BD"/>
      <w:sz w:val="24"/>
      <w:szCs w:val="20"/>
    </w:rPr>
  </w:style>
  <w:style w:type="character" w:styleId="IntenseReference">
    <w:name w:val="Intense Reference"/>
    <w:uiPriority w:val="32"/>
    <w:rsid w:val="00130F07"/>
    <w:rPr>
      <w:b/>
      <w:bCs/>
      <w:smallCaps/>
      <w:color w:val="C0504D"/>
      <w:spacing w:val="5"/>
      <w:u w:val="single"/>
    </w:rPr>
  </w:style>
  <w:style w:type="character" w:styleId="Strong">
    <w:name w:val="Strong"/>
    <w:rsid w:val="00130F07"/>
    <w:rPr>
      <w:b/>
      <w:bCs/>
    </w:rPr>
  </w:style>
  <w:style w:type="paragraph" w:styleId="Subtitle">
    <w:name w:val="Subtitle"/>
    <w:basedOn w:val="Normal"/>
    <w:next w:val="Normal"/>
    <w:link w:val="SubtitleChar"/>
    <w:rsid w:val="00130F07"/>
    <w:pPr>
      <w:numPr>
        <w:numId w:val="0"/>
      </w:numPr>
      <w:spacing w:before="0" w:after="60"/>
      <w:jc w:val="center"/>
      <w:outlineLvl w:val="1"/>
    </w:pPr>
    <w:rPr>
      <w:rFonts w:ascii="Cambria" w:eastAsia="Times New Roman" w:hAnsi="Cambria" w:cs="Times New Roman"/>
      <w:szCs w:val="24"/>
    </w:rPr>
  </w:style>
  <w:style w:type="character" w:customStyle="1" w:styleId="SubtitleChar">
    <w:name w:val="Subtitle Char"/>
    <w:basedOn w:val="DefaultParagraphFont"/>
    <w:link w:val="Subtitle"/>
    <w:rsid w:val="00130F07"/>
    <w:rPr>
      <w:rFonts w:ascii="Cambria" w:eastAsia="Times New Roman" w:hAnsi="Cambria" w:cs="Times New Roman"/>
      <w:sz w:val="24"/>
      <w:szCs w:val="24"/>
    </w:rPr>
  </w:style>
  <w:style w:type="character" w:styleId="SubtleEmphasis">
    <w:name w:val="Subtle Emphasis"/>
    <w:uiPriority w:val="19"/>
    <w:rsid w:val="00130F07"/>
    <w:rPr>
      <w:i/>
      <w:iCs/>
      <w:color w:val="808080"/>
    </w:rPr>
  </w:style>
  <w:style w:type="character" w:styleId="SubtleReference">
    <w:name w:val="Subtle Reference"/>
    <w:uiPriority w:val="31"/>
    <w:rsid w:val="00130F07"/>
    <w:rPr>
      <w:smallCaps/>
      <w:color w:val="C0504D"/>
      <w:u w:val="single"/>
    </w:rPr>
  </w:style>
  <w:style w:type="character" w:styleId="BookTitle">
    <w:name w:val="Book Title"/>
    <w:uiPriority w:val="33"/>
    <w:rsid w:val="00130F07"/>
    <w:rPr>
      <w:b/>
      <w:bCs/>
      <w:smallCaps/>
      <w:spacing w:val="5"/>
    </w:rPr>
  </w:style>
  <w:style w:type="paragraph" w:styleId="NoSpacing">
    <w:name w:val="No Spacing"/>
    <w:uiPriority w:val="1"/>
    <w:rsid w:val="00130F07"/>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13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t">
    <w:name w:val="Court"/>
    <w:basedOn w:val="Normal"/>
    <w:rsid w:val="00130F07"/>
    <w:pPr>
      <w:numPr>
        <w:numId w:val="0"/>
      </w:numPr>
      <w:spacing w:before="720" w:after="200"/>
      <w:jc w:val="center"/>
    </w:pPr>
    <w:rPr>
      <w:rFonts w:eastAsia="Times New Roman" w:cs="Times New Roman"/>
      <w:caps/>
      <w:szCs w:val="20"/>
    </w:rPr>
  </w:style>
  <w:style w:type="paragraph" w:customStyle="1" w:styleId="DocumentTitle">
    <w:name w:val="Document Title"/>
    <w:basedOn w:val="Normal"/>
    <w:rsid w:val="00130F07"/>
    <w:pPr>
      <w:widowControl w:val="0"/>
      <w:numPr>
        <w:numId w:val="0"/>
      </w:numPr>
      <w:tabs>
        <w:tab w:val="left" w:pos="1238"/>
      </w:tabs>
      <w:spacing w:before="0" w:after="240"/>
      <w:ind w:left="259" w:right="115"/>
    </w:pPr>
    <w:rPr>
      <w:rFonts w:eastAsia="Times New Roman" w:cs="Times New Roman"/>
      <w:szCs w:val="24"/>
    </w:rPr>
  </w:style>
  <w:style w:type="paragraph" w:customStyle="1" w:styleId="FirmInformation">
    <w:name w:val="Firm Information"/>
    <w:basedOn w:val="Normal"/>
    <w:rsid w:val="00130F07"/>
    <w:pPr>
      <w:numPr>
        <w:numId w:val="0"/>
      </w:numPr>
      <w:tabs>
        <w:tab w:val="left" w:pos="1296"/>
      </w:tabs>
      <w:spacing w:before="0"/>
    </w:pPr>
    <w:rPr>
      <w:rFonts w:eastAsia="Times New Roman" w:cs="Times New Roman"/>
      <w:szCs w:val="20"/>
    </w:rPr>
  </w:style>
  <w:style w:type="paragraph" w:customStyle="1" w:styleId="HeaderNumbers">
    <w:name w:val="HeaderNumbers"/>
    <w:basedOn w:val="Normal"/>
    <w:rsid w:val="00130F07"/>
    <w:pPr>
      <w:numPr>
        <w:numId w:val="0"/>
      </w:numPr>
      <w:spacing w:before="1840" w:line="240" w:lineRule="atLeast"/>
      <w:ind w:right="288"/>
      <w:jc w:val="right"/>
    </w:pPr>
    <w:rPr>
      <w:rFonts w:eastAsia="Times New Roman" w:cs="Times New Roman"/>
      <w:sz w:val="20"/>
      <w:szCs w:val="20"/>
    </w:rPr>
  </w:style>
  <w:style w:type="character" w:styleId="PageNumber">
    <w:name w:val="page number"/>
    <w:rsid w:val="00130F07"/>
    <w:rPr>
      <w:sz w:val="24"/>
      <w:szCs w:val="24"/>
    </w:rPr>
  </w:style>
  <w:style w:type="paragraph" w:customStyle="1" w:styleId="PleadingSignature">
    <w:name w:val="Pleading Signature"/>
    <w:basedOn w:val="Normal"/>
    <w:rsid w:val="00130F07"/>
    <w:pPr>
      <w:keepNext/>
      <w:keepLines/>
      <w:numPr>
        <w:numId w:val="0"/>
      </w:numPr>
      <w:spacing w:before="0"/>
    </w:pPr>
    <w:rPr>
      <w:rFonts w:eastAsia="Times New Roman" w:cs="Times New Roman"/>
      <w:szCs w:val="20"/>
    </w:rPr>
  </w:style>
  <w:style w:type="paragraph" w:styleId="TableofAuthorities">
    <w:name w:val="table of authorities"/>
    <w:basedOn w:val="Normal"/>
    <w:next w:val="Normal"/>
    <w:rsid w:val="00130F07"/>
    <w:pPr>
      <w:numPr>
        <w:numId w:val="0"/>
      </w:numPr>
      <w:spacing w:before="0" w:after="240"/>
      <w:ind w:left="245" w:right="720" w:hanging="245"/>
    </w:pPr>
    <w:rPr>
      <w:rFonts w:eastAsia="Times New Roman" w:cs="Times New Roman"/>
      <w:szCs w:val="20"/>
    </w:rPr>
  </w:style>
  <w:style w:type="paragraph" w:styleId="TOAHeading">
    <w:name w:val="toa heading"/>
    <w:basedOn w:val="Normal"/>
    <w:next w:val="Normal"/>
    <w:rsid w:val="00130F07"/>
    <w:pPr>
      <w:numPr>
        <w:numId w:val="0"/>
      </w:numPr>
      <w:spacing w:before="120" w:after="240"/>
    </w:pPr>
    <w:rPr>
      <w:rFonts w:ascii="Arial" w:eastAsia="Times New Roman" w:hAnsi="Arial" w:cs="Arial"/>
      <w:b/>
      <w:bCs/>
      <w:szCs w:val="24"/>
    </w:rPr>
  </w:style>
  <w:style w:type="paragraph" w:customStyle="1" w:styleId="jurycite">
    <w:name w:val="jury cite"/>
    <w:basedOn w:val="Normal"/>
    <w:rsid w:val="00130F07"/>
    <w:pPr>
      <w:keepLines/>
      <w:framePr w:hSpace="187" w:vSpace="187" w:wrap="auto" w:hAnchor="text" w:yAlign="bottom"/>
      <w:numPr>
        <w:numId w:val="0"/>
      </w:numPr>
      <w:spacing w:before="0" w:line="240" w:lineRule="atLeast"/>
      <w:ind w:left="360" w:hanging="360"/>
    </w:pPr>
    <w:rPr>
      <w:rFonts w:eastAsia="Times New Roman" w:cs="Times New Roman"/>
      <w:szCs w:val="24"/>
    </w:rPr>
  </w:style>
  <w:style w:type="paragraph" w:customStyle="1" w:styleId="FirmName">
    <w:name w:val="Firm Name"/>
    <w:basedOn w:val="FirmAddress"/>
    <w:next w:val="FirmAddress"/>
    <w:rsid w:val="00130F07"/>
    <w:rPr>
      <w:b/>
    </w:rPr>
  </w:style>
  <w:style w:type="paragraph" w:customStyle="1" w:styleId="FirmAddress">
    <w:name w:val="Firm Address"/>
    <w:basedOn w:val="Normal"/>
    <w:rsid w:val="00130F07"/>
    <w:pPr>
      <w:numPr>
        <w:numId w:val="0"/>
      </w:numPr>
      <w:spacing w:before="0" w:line="240" w:lineRule="auto"/>
      <w:jc w:val="center"/>
    </w:pPr>
    <w:rPr>
      <w:rFonts w:eastAsia="Times New Roman" w:cs="Times New Roman"/>
      <w:sz w:val="20"/>
      <w:szCs w:val="20"/>
    </w:rPr>
  </w:style>
  <w:style w:type="paragraph" w:customStyle="1" w:styleId="FooterDocumentTitle">
    <w:name w:val="Footer Document Title"/>
    <w:basedOn w:val="Normal"/>
    <w:rsid w:val="00E661C8"/>
    <w:pPr>
      <w:numPr>
        <w:numId w:val="0"/>
      </w:numPr>
      <w:spacing w:before="0" w:line="240" w:lineRule="auto"/>
    </w:pPr>
    <w:rPr>
      <w:rFonts w:eastAsia="Times New Roman" w:cs="Times New Roman"/>
      <w:szCs w:val="20"/>
    </w:rPr>
  </w:style>
  <w:style w:type="paragraph" w:customStyle="1" w:styleId="footnoteseparator">
    <w:name w:val="footnote separator"/>
    <w:basedOn w:val="Normal"/>
    <w:qFormat/>
    <w:rsid w:val="00E661C8"/>
    <w:pPr>
      <w:numPr>
        <w:numId w:val="0"/>
      </w:numPr>
      <w:spacing w:line="240" w:lineRule="auto"/>
    </w:pPr>
  </w:style>
  <w:style w:type="character" w:styleId="FollowedHyperlink">
    <w:name w:val="FollowedHyperlink"/>
    <w:basedOn w:val="DefaultParagraphFont"/>
    <w:uiPriority w:val="99"/>
    <w:semiHidden/>
    <w:unhideWhenUsed/>
    <w:rsid w:val="001D7627"/>
    <w:rPr>
      <w:color w:val="800080" w:themeColor="followedHyperlink"/>
      <w:u w:val="single"/>
    </w:rPr>
  </w:style>
  <w:style w:type="paragraph" w:customStyle="1" w:styleId="righthalf">
    <w:name w:val="right half"/>
    <w:basedOn w:val="Normal"/>
    <w:rsid w:val="0020678E"/>
    <w:pPr>
      <w:keepLines/>
      <w:numPr>
        <w:numId w:val="0"/>
      </w:numPr>
      <w:tabs>
        <w:tab w:val="left" w:pos="4860"/>
        <w:tab w:val="right" w:pos="9090"/>
      </w:tabs>
      <w:spacing w:before="480" w:line="240" w:lineRule="atLeast"/>
      <w:ind w:left="4320" w:right="187"/>
    </w:pPr>
    <w:rPr>
      <w:rFonts w:eastAsia="Times New Roman" w:cs="Times New Roman"/>
      <w:szCs w:val="20"/>
    </w:rPr>
  </w:style>
  <w:style w:type="paragraph" w:customStyle="1" w:styleId="FindingsConclusions">
    <w:name w:val="Findings &amp; Conclusions"/>
    <w:basedOn w:val="Normal"/>
    <w:rsid w:val="0020678E"/>
    <w:pPr>
      <w:numPr>
        <w:numId w:val="13"/>
      </w:numPr>
      <w:spacing w:before="0" w:line="240" w:lineRule="auto"/>
    </w:pPr>
    <w:rPr>
      <w:rFonts w:eastAsia="Times New Roman" w:cs="Times New Roman"/>
      <w:szCs w:val="24"/>
    </w:rPr>
  </w:style>
  <w:style w:type="paragraph" w:customStyle="1" w:styleId="Style1">
    <w:name w:val="Style1"/>
    <w:basedOn w:val="Heading1"/>
    <w:link w:val="Style1Char"/>
    <w:uiPriority w:val="99"/>
    <w:qFormat/>
    <w:rsid w:val="0020678E"/>
    <w:pPr>
      <w:keepLines w:val="0"/>
      <w:numPr>
        <w:numId w:val="0"/>
      </w:numPr>
      <w:spacing w:after="240"/>
    </w:pPr>
    <w:rPr>
      <w:rFonts w:ascii="Times New Roman" w:eastAsia="Times New Roman" w:hAnsi="Times New Roman" w:cs="Times New Roman"/>
      <w:bCs w:val="0"/>
      <w:szCs w:val="20"/>
    </w:rPr>
  </w:style>
  <w:style w:type="character" w:customStyle="1" w:styleId="Style1Char">
    <w:name w:val="Style1 Char"/>
    <w:basedOn w:val="Heading1Char"/>
    <w:link w:val="Style1"/>
    <w:uiPriority w:val="99"/>
    <w:rsid w:val="0020678E"/>
    <w:rPr>
      <w:rFonts w:ascii="Times New Roman" w:eastAsia="Times New Roman" w:hAnsi="Times New Roman" w:cs="Times New Roman"/>
      <w:b/>
      <w:bCs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able of authorities" w:uiPriority="0"/>
    <w:lsdException w:name="toa heading" w:uiPriority="0"/>
    <w:lsdException w:name="Title" w:semiHidden="0" w:uiPriority="0" w:unhideWhenUsed="0" w:qFormat="1"/>
    <w:lsdException w:name="Default Paragraph Font" w:uiPriority="1"/>
    <w:lsdException w:name="Body Text" w:uiPriority="4" w:qFormat="1"/>
    <w:lsdException w:name="Body Text Indent" w:uiPriority="0" w:qFormat="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88"/>
    <w:pPr>
      <w:numPr>
        <w:numId w:val="3"/>
      </w:numPr>
      <w:spacing w:before="240" w:after="0" w:line="480" w:lineRule="auto"/>
    </w:pPr>
    <w:rPr>
      <w:rFonts w:ascii="Times New Roman" w:hAnsi="Times New Roman"/>
      <w:sz w:val="24"/>
    </w:rPr>
  </w:style>
  <w:style w:type="paragraph" w:styleId="Heading1">
    <w:name w:val="heading 1"/>
    <w:basedOn w:val="Normal"/>
    <w:next w:val="Normal"/>
    <w:link w:val="Heading1Char"/>
    <w:uiPriority w:val="9"/>
    <w:qFormat/>
    <w:rsid w:val="00F43E7D"/>
    <w:pPr>
      <w:keepNext/>
      <w:keepLines/>
      <w:numPr>
        <w:numId w:val="1"/>
      </w:numPr>
      <w:spacing w:line="240" w:lineRule="auto"/>
      <w:jc w:val="center"/>
      <w:outlineLvl w:val="0"/>
    </w:pPr>
    <w:rPr>
      <w:rFonts w:ascii="Times New Roman Bold" w:eastAsiaTheme="majorEastAsia" w:hAnsi="Times New Roman Bold" w:cstheme="majorBidi"/>
      <w:b/>
      <w:bCs/>
      <w:szCs w:val="28"/>
    </w:rPr>
  </w:style>
  <w:style w:type="paragraph" w:styleId="Heading2">
    <w:name w:val="heading 2"/>
    <w:basedOn w:val="Normal"/>
    <w:next w:val="Normal"/>
    <w:link w:val="Heading2Char"/>
    <w:uiPriority w:val="9"/>
    <w:unhideWhenUsed/>
    <w:qFormat/>
    <w:rsid w:val="00693A88"/>
    <w:pPr>
      <w:keepNext/>
      <w:keepLines/>
      <w:numPr>
        <w:numId w:val="0"/>
      </w:numPr>
      <w:spacing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C54D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54D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C54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54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C54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C54D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C54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locked/>
    <w:rsid w:val="00E661C8"/>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rsid w:val="00E661C8"/>
    <w:pPr>
      <w:numPr>
        <w:numId w:val="0"/>
      </w:numPr>
      <w:spacing w:line="240" w:lineRule="auto"/>
    </w:pPr>
  </w:style>
  <w:style w:type="character" w:customStyle="1" w:styleId="FootnoteTextChar1">
    <w:name w:val="Footnote Text Char1"/>
    <w:basedOn w:val="DefaultParagraphFont"/>
    <w:uiPriority w:val="99"/>
    <w:semiHidden/>
    <w:rsid w:val="0001122B"/>
    <w:rPr>
      <w:sz w:val="20"/>
      <w:szCs w:val="20"/>
    </w:rPr>
  </w:style>
  <w:style w:type="paragraph" w:styleId="BodyTextIndent">
    <w:name w:val="Body Text Indent"/>
    <w:basedOn w:val="Normal"/>
    <w:link w:val="BodyTextIndentChar"/>
    <w:unhideWhenUsed/>
    <w:qFormat/>
    <w:rsid w:val="0001122B"/>
    <w:pPr>
      <w:numPr>
        <w:ilvl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Pr>
      <w:rFonts w:eastAsia="Times New Roman" w:cs="Times New Roman"/>
      <w:szCs w:val="20"/>
    </w:rPr>
  </w:style>
  <w:style w:type="character" w:customStyle="1" w:styleId="BodyTextIndentChar">
    <w:name w:val="Body Text Indent Char"/>
    <w:basedOn w:val="DefaultParagraphFont"/>
    <w:link w:val="BodyTextIndent"/>
    <w:rsid w:val="0001122B"/>
    <w:rPr>
      <w:rFonts w:ascii="Times New Roman" w:eastAsia="Times New Roman" w:hAnsi="Times New Roman" w:cs="Times New Roman"/>
      <w:sz w:val="24"/>
      <w:szCs w:val="20"/>
    </w:rPr>
  </w:style>
  <w:style w:type="character" w:styleId="FootnoteReference">
    <w:name w:val="footnote reference"/>
    <w:basedOn w:val="DefaultParagraphFont"/>
    <w:unhideWhenUsed/>
    <w:rsid w:val="0001122B"/>
    <w:rPr>
      <w:vertAlign w:val="superscript"/>
    </w:rPr>
  </w:style>
  <w:style w:type="paragraph" w:styleId="Header">
    <w:name w:val="header"/>
    <w:basedOn w:val="Normal"/>
    <w:link w:val="HeaderChar"/>
    <w:uiPriority w:val="99"/>
    <w:unhideWhenUsed/>
    <w:rsid w:val="00154980"/>
    <w:pPr>
      <w:tabs>
        <w:tab w:val="center" w:pos="4680"/>
        <w:tab w:val="right" w:pos="9360"/>
      </w:tabs>
      <w:spacing w:line="240" w:lineRule="auto"/>
    </w:pPr>
  </w:style>
  <w:style w:type="character" w:customStyle="1" w:styleId="HeaderChar">
    <w:name w:val="Header Char"/>
    <w:basedOn w:val="DefaultParagraphFont"/>
    <w:link w:val="Header"/>
    <w:uiPriority w:val="99"/>
    <w:rsid w:val="00154980"/>
    <w:rPr>
      <w:rFonts w:ascii="Times New Roman" w:hAnsi="Times New Roman"/>
      <w:sz w:val="24"/>
    </w:rPr>
  </w:style>
  <w:style w:type="paragraph" w:styleId="Footer">
    <w:name w:val="footer"/>
    <w:basedOn w:val="Normal"/>
    <w:link w:val="FooterChar"/>
    <w:uiPriority w:val="99"/>
    <w:unhideWhenUsed/>
    <w:rsid w:val="00154980"/>
    <w:pPr>
      <w:tabs>
        <w:tab w:val="center" w:pos="4680"/>
        <w:tab w:val="right" w:pos="9360"/>
      </w:tabs>
      <w:spacing w:line="240" w:lineRule="auto"/>
    </w:pPr>
  </w:style>
  <w:style w:type="character" w:customStyle="1" w:styleId="FooterChar">
    <w:name w:val="Footer Char"/>
    <w:basedOn w:val="DefaultParagraphFont"/>
    <w:link w:val="Footer"/>
    <w:uiPriority w:val="99"/>
    <w:rsid w:val="00154980"/>
    <w:rPr>
      <w:rFonts w:ascii="Times New Roman" w:hAnsi="Times New Roman"/>
      <w:sz w:val="24"/>
    </w:rPr>
  </w:style>
  <w:style w:type="paragraph" w:styleId="BalloonText">
    <w:name w:val="Balloon Text"/>
    <w:basedOn w:val="Normal"/>
    <w:link w:val="BalloonTextChar"/>
    <w:uiPriority w:val="99"/>
    <w:semiHidden/>
    <w:unhideWhenUsed/>
    <w:rsid w:val="00AF64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428"/>
    <w:rPr>
      <w:rFonts w:ascii="Tahoma" w:hAnsi="Tahoma" w:cs="Tahoma"/>
      <w:sz w:val="16"/>
      <w:szCs w:val="16"/>
    </w:rPr>
  </w:style>
  <w:style w:type="paragraph" w:styleId="ListParagraph">
    <w:name w:val="List Paragraph"/>
    <w:basedOn w:val="Normal"/>
    <w:uiPriority w:val="34"/>
    <w:qFormat/>
    <w:rsid w:val="00AF6428"/>
    <w:pPr>
      <w:ind w:left="720"/>
      <w:contextualSpacing/>
    </w:pPr>
  </w:style>
  <w:style w:type="paragraph" w:styleId="Caption">
    <w:name w:val="caption"/>
    <w:basedOn w:val="Normal"/>
    <w:next w:val="Normal"/>
    <w:uiPriority w:val="35"/>
    <w:unhideWhenUsed/>
    <w:qFormat/>
    <w:rsid w:val="009B3A0A"/>
    <w:pPr>
      <w:spacing w:line="240" w:lineRule="auto"/>
    </w:pPr>
    <w:rPr>
      <w:b/>
      <w:bCs/>
      <w:color w:val="4F81BD" w:themeColor="accent1"/>
      <w:sz w:val="18"/>
      <w:szCs w:val="18"/>
    </w:rPr>
  </w:style>
  <w:style w:type="table" w:styleId="TableGrid">
    <w:name w:val="Table Grid"/>
    <w:basedOn w:val="TableNormal"/>
    <w:uiPriority w:val="59"/>
    <w:rsid w:val="00DB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768A"/>
    <w:rPr>
      <w:sz w:val="16"/>
      <w:szCs w:val="16"/>
    </w:rPr>
  </w:style>
  <w:style w:type="paragraph" w:styleId="CommentText">
    <w:name w:val="annotation text"/>
    <w:basedOn w:val="Normal"/>
    <w:link w:val="CommentTextChar"/>
    <w:uiPriority w:val="99"/>
    <w:unhideWhenUsed/>
    <w:rsid w:val="008A768A"/>
    <w:pPr>
      <w:spacing w:line="240" w:lineRule="auto"/>
    </w:pPr>
    <w:rPr>
      <w:sz w:val="20"/>
      <w:szCs w:val="20"/>
    </w:rPr>
  </w:style>
  <w:style w:type="character" w:customStyle="1" w:styleId="CommentTextChar">
    <w:name w:val="Comment Text Char"/>
    <w:basedOn w:val="DefaultParagraphFont"/>
    <w:link w:val="CommentText"/>
    <w:uiPriority w:val="99"/>
    <w:rsid w:val="008A768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A768A"/>
    <w:rPr>
      <w:b/>
      <w:bCs/>
    </w:rPr>
  </w:style>
  <w:style w:type="character" w:customStyle="1" w:styleId="CommentSubjectChar">
    <w:name w:val="Comment Subject Char"/>
    <w:basedOn w:val="CommentTextChar"/>
    <w:link w:val="CommentSubject"/>
    <w:uiPriority w:val="99"/>
    <w:semiHidden/>
    <w:rsid w:val="008A768A"/>
    <w:rPr>
      <w:rFonts w:ascii="Times New Roman" w:hAnsi="Times New Roman"/>
      <w:b/>
      <w:bCs/>
      <w:sz w:val="20"/>
      <w:szCs w:val="20"/>
    </w:rPr>
  </w:style>
  <w:style w:type="character" w:customStyle="1" w:styleId="Heading1Char">
    <w:name w:val="Heading 1 Char"/>
    <w:basedOn w:val="DefaultParagraphFont"/>
    <w:link w:val="Heading1"/>
    <w:uiPriority w:val="9"/>
    <w:rsid w:val="00F43E7D"/>
    <w:rPr>
      <w:rFonts w:ascii="Times New Roman Bold" w:eastAsiaTheme="majorEastAsia" w:hAnsi="Times New Roman Bold" w:cstheme="majorBidi"/>
      <w:b/>
      <w:bCs/>
      <w:sz w:val="24"/>
      <w:szCs w:val="28"/>
    </w:rPr>
  </w:style>
  <w:style w:type="character" w:customStyle="1" w:styleId="Heading2Char">
    <w:name w:val="Heading 2 Char"/>
    <w:basedOn w:val="DefaultParagraphFont"/>
    <w:link w:val="Heading2"/>
    <w:uiPriority w:val="9"/>
    <w:rsid w:val="00F43E7D"/>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C54D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3C54DD"/>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3C54D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3C54D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3C54D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3C54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C54DD"/>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D9418F"/>
    <w:pPr>
      <w:spacing w:after="0" w:line="240" w:lineRule="auto"/>
    </w:pPr>
  </w:style>
  <w:style w:type="paragraph" w:customStyle="1" w:styleId="Body">
    <w:name w:val="Body"/>
    <w:basedOn w:val="Normal"/>
    <w:link w:val="BodyChar1"/>
    <w:rsid w:val="00C00265"/>
    <w:pPr>
      <w:spacing w:before="120" w:after="120" w:line="240" w:lineRule="auto"/>
      <w:ind w:left="1440"/>
    </w:pPr>
    <w:rPr>
      <w:rFonts w:ascii="Garamond" w:eastAsia="MS Mincho" w:hAnsi="Garamond" w:cs="Times New Roman"/>
      <w:kern w:val="28"/>
      <w:szCs w:val="24"/>
    </w:rPr>
  </w:style>
  <w:style w:type="character" w:customStyle="1" w:styleId="BodyChar1">
    <w:name w:val="Body Char1"/>
    <w:link w:val="Body"/>
    <w:rsid w:val="00C00265"/>
    <w:rPr>
      <w:rFonts w:ascii="Garamond" w:eastAsia="MS Mincho" w:hAnsi="Garamond" w:cs="Times New Roman"/>
      <w:kern w:val="28"/>
      <w:sz w:val="24"/>
      <w:szCs w:val="24"/>
    </w:rPr>
  </w:style>
  <w:style w:type="character" w:styleId="PlaceholderText">
    <w:name w:val="Placeholder Text"/>
    <w:basedOn w:val="DefaultParagraphFont"/>
    <w:uiPriority w:val="99"/>
    <w:semiHidden/>
    <w:rsid w:val="00936350"/>
    <w:rPr>
      <w:color w:val="808080"/>
    </w:rPr>
  </w:style>
  <w:style w:type="paragraph" w:styleId="NormalWeb">
    <w:name w:val="Normal (Web)"/>
    <w:basedOn w:val="Normal"/>
    <w:uiPriority w:val="99"/>
    <w:semiHidden/>
    <w:unhideWhenUsed/>
    <w:rsid w:val="00906678"/>
    <w:pPr>
      <w:spacing w:before="100" w:beforeAutospacing="1" w:after="100" w:afterAutospacing="1" w:line="240" w:lineRule="auto"/>
    </w:pPr>
    <w:rPr>
      <w:rFonts w:eastAsiaTheme="minorEastAsia" w:cs="Times New Roman"/>
      <w:szCs w:val="24"/>
    </w:rPr>
  </w:style>
  <w:style w:type="character" w:styleId="Hyperlink">
    <w:name w:val="Hyperlink"/>
    <w:rsid w:val="00B81F13"/>
    <w:rPr>
      <w:rFonts w:cs="Times New Roman"/>
      <w:color w:val="0000FF"/>
      <w:u w:val="none"/>
    </w:rPr>
  </w:style>
  <w:style w:type="paragraph" w:customStyle="1" w:styleId="plain">
    <w:name w:val="plain"/>
    <w:basedOn w:val="Normal"/>
    <w:rsid w:val="00EB5A5A"/>
    <w:pPr>
      <w:spacing w:line="240" w:lineRule="atLeast"/>
    </w:pPr>
    <w:rPr>
      <w:rFonts w:eastAsia="Times New Roman" w:cs="Times New Roman"/>
      <w:szCs w:val="20"/>
    </w:rPr>
  </w:style>
  <w:style w:type="character" w:customStyle="1" w:styleId="zzmpTrailerItem">
    <w:name w:val="zzmpTrailerItem"/>
    <w:rsid w:val="00602467"/>
    <w:rPr>
      <w:rFonts w:ascii="Times New Roman" w:hAnsi="Times New Roman" w:cs="Times New Roman"/>
      <w:dstrike w:val="0"/>
      <w:noProof/>
      <w:color w:val="auto"/>
      <w:spacing w:val="0"/>
      <w:position w:val="0"/>
      <w:sz w:val="16"/>
      <w:szCs w:val="16"/>
      <w:u w:val="none"/>
      <w:effect w:val="none"/>
      <w:vertAlign w:val="baseline"/>
    </w:rPr>
  </w:style>
  <w:style w:type="paragraph" w:styleId="BodyText">
    <w:name w:val="Body Text"/>
    <w:basedOn w:val="Normal"/>
    <w:link w:val="BodyTextChar"/>
    <w:uiPriority w:val="4"/>
    <w:unhideWhenUsed/>
    <w:qFormat/>
    <w:rsid w:val="00130F07"/>
    <w:pPr>
      <w:spacing w:after="120"/>
    </w:pPr>
  </w:style>
  <w:style w:type="character" w:customStyle="1" w:styleId="BodyTextChar">
    <w:name w:val="Body Text Char"/>
    <w:basedOn w:val="DefaultParagraphFont"/>
    <w:link w:val="BodyText"/>
    <w:uiPriority w:val="4"/>
    <w:rsid w:val="00130F07"/>
    <w:rPr>
      <w:rFonts w:ascii="Times New Roman" w:hAnsi="Times New Roman"/>
      <w:sz w:val="24"/>
    </w:rPr>
  </w:style>
  <w:style w:type="numbering" w:customStyle="1" w:styleId="NoList1">
    <w:name w:val="No List1"/>
    <w:next w:val="NoList"/>
    <w:uiPriority w:val="99"/>
    <w:semiHidden/>
    <w:rsid w:val="00130F07"/>
  </w:style>
  <w:style w:type="paragraph" w:customStyle="1" w:styleId="BodyTextContinued">
    <w:name w:val="Body Text Continued"/>
    <w:basedOn w:val="BodyText"/>
    <w:next w:val="BodyText"/>
    <w:uiPriority w:val="14"/>
    <w:qFormat/>
    <w:rsid w:val="00130F07"/>
    <w:pPr>
      <w:spacing w:before="0" w:after="0"/>
      <w:ind w:firstLine="0"/>
    </w:pPr>
    <w:rPr>
      <w:rFonts w:eastAsia="Times New Roman" w:cs="Times New Roman"/>
      <w:szCs w:val="20"/>
    </w:rPr>
  </w:style>
  <w:style w:type="paragraph" w:customStyle="1" w:styleId="BTIndent">
    <w:name w:val="BT Indent"/>
    <w:basedOn w:val="BodyText"/>
    <w:uiPriority w:val="99"/>
    <w:rsid w:val="00130F07"/>
    <w:pPr>
      <w:spacing w:before="0" w:after="0"/>
      <w:ind w:left="720"/>
    </w:pPr>
    <w:rPr>
      <w:rFonts w:eastAsia="Times New Roman" w:cs="Times New Roman"/>
      <w:szCs w:val="20"/>
    </w:rPr>
  </w:style>
  <w:style w:type="paragraph" w:customStyle="1" w:styleId="Table">
    <w:name w:val="Table"/>
    <w:basedOn w:val="Normal"/>
    <w:uiPriority w:val="24"/>
    <w:qFormat/>
    <w:rsid w:val="00130F07"/>
    <w:pPr>
      <w:numPr>
        <w:numId w:val="0"/>
      </w:numPr>
      <w:spacing w:before="60" w:after="60"/>
    </w:pPr>
    <w:rPr>
      <w:rFonts w:eastAsia="Times New Roman" w:cs="Times New Roman"/>
      <w:szCs w:val="24"/>
    </w:rPr>
  </w:style>
  <w:style w:type="paragraph" w:styleId="Quote">
    <w:name w:val="Quote"/>
    <w:basedOn w:val="Normal"/>
    <w:next w:val="BodyTextContinued"/>
    <w:link w:val="QuoteChar"/>
    <w:uiPriority w:val="9"/>
    <w:qFormat/>
    <w:rsid w:val="00130F07"/>
    <w:pPr>
      <w:numPr>
        <w:numId w:val="0"/>
      </w:numPr>
      <w:ind w:left="1440" w:right="1440"/>
    </w:pPr>
    <w:rPr>
      <w:rFonts w:eastAsia="Times New Roman" w:cs="Times New Roman"/>
      <w:szCs w:val="20"/>
    </w:rPr>
  </w:style>
  <w:style w:type="character" w:customStyle="1" w:styleId="QuoteChar">
    <w:name w:val="Quote Char"/>
    <w:basedOn w:val="DefaultParagraphFont"/>
    <w:link w:val="Quote"/>
    <w:uiPriority w:val="9"/>
    <w:rsid w:val="00130F07"/>
    <w:rPr>
      <w:rFonts w:ascii="Times New Roman" w:eastAsia="Times New Roman" w:hAnsi="Times New Roman" w:cs="Times New Roman"/>
      <w:sz w:val="24"/>
      <w:szCs w:val="20"/>
    </w:rPr>
  </w:style>
  <w:style w:type="paragraph" w:customStyle="1" w:styleId="ResH1">
    <w:name w:val="Res H1"/>
    <w:basedOn w:val="Heading2"/>
    <w:uiPriority w:val="34"/>
    <w:rsid w:val="00130F07"/>
    <w:pPr>
      <w:tabs>
        <w:tab w:val="left" w:pos="720"/>
      </w:tabs>
      <w:spacing w:before="0" w:line="240" w:lineRule="atLeast"/>
      <w:ind w:left="720" w:right="720" w:hanging="720"/>
    </w:pPr>
    <w:rPr>
      <w:rFonts w:ascii="Times New Roman Bold" w:eastAsia="Times New Roman" w:hAnsi="Times New Roman Bold" w:cs="Arial"/>
      <w:bCs w:val="0"/>
      <w:i/>
      <w:iCs/>
      <w:caps/>
      <w:szCs w:val="20"/>
      <w:lang w:eastAsia="zh-CN"/>
    </w:rPr>
  </w:style>
  <w:style w:type="paragraph" w:customStyle="1" w:styleId="ResH2">
    <w:name w:val="Res H2"/>
    <w:basedOn w:val="Heading3"/>
    <w:uiPriority w:val="34"/>
    <w:rsid w:val="00130F07"/>
    <w:pPr>
      <w:numPr>
        <w:ilvl w:val="0"/>
        <w:numId w:val="0"/>
      </w:numPr>
      <w:spacing w:before="0" w:line="240" w:lineRule="atLeast"/>
      <w:ind w:left="1440" w:right="720" w:hanging="720"/>
    </w:pPr>
    <w:rPr>
      <w:rFonts w:ascii="Times New Roman Bold" w:eastAsia="Times New Roman" w:hAnsi="Times New Roman Bold" w:cs="Arial"/>
      <w:bCs w:val="0"/>
      <w:color w:val="auto"/>
      <w:szCs w:val="20"/>
      <w:u w:val="single"/>
      <w:lang w:eastAsia="zh-CN"/>
    </w:rPr>
  </w:style>
  <w:style w:type="paragraph" w:customStyle="1" w:styleId="Resolution">
    <w:name w:val="Resolution"/>
    <w:basedOn w:val="NormalIndent"/>
    <w:uiPriority w:val="29"/>
    <w:rsid w:val="00130F07"/>
    <w:pPr>
      <w:spacing w:before="240" w:line="240" w:lineRule="atLeast"/>
      <w:ind w:right="720"/>
    </w:pPr>
    <w:rPr>
      <w:sz w:val="26"/>
    </w:rPr>
  </w:style>
  <w:style w:type="paragraph" w:styleId="NormalIndent">
    <w:name w:val="Normal Indent"/>
    <w:basedOn w:val="Normal"/>
    <w:uiPriority w:val="99"/>
    <w:unhideWhenUsed/>
    <w:rsid w:val="00130F07"/>
    <w:pPr>
      <w:numPr>
        <w:numId w:val="0"/>
      </w:numPr>
      <w:spacing w:before="0"/>
      <w:ind w:left="720"/>
    </w:pPr>
    <w:rPr>
      <w:rFonts w:eastAsia="Times New Roman" w:cs="Times New Roman"/>
      <w:szCs w:val="20"/>
    </w:rPr>
  </w:style>
  <w:style w:type="paragraph" w:styleId="Title">
    <w:name w:val="Title"/>
    <w:basedOn w:val="Normal"/>
    <w:next w:val="BodyText"/>
    <w:link w:val="TitleChar"/>
    <w:rsid w:val="00130F07"/>
    <w:pPr>
      <w:numPr>
        <w:numId w:val="0"/>
      </w:numPr>
      <w:spacing w:before="0" w:after="240"/>
      <w:jc w:val="center"/>
      <w:outlineLvl w:val="0"/>
    </w:pPr>
    <w:rPr>
      <w:rFonts w:ascii="Times New Roman Bold" w:eastAsia="Times New Roman" w:hAnsi="Times New Roman Bold" w:cs="Arial"/>
      <w:b/>
      <w:bCs/>
      <w:szCs w:val="32"/>
    </w:rPr>
  </w:style>
  <w:style w:type="character" w:customStyle="1" w:styleId="TitleChar">
    <w:name w:val="Title Char"/>
    <w:basedOn w:val="DefaultParagraphFont"/>
    <w:link w:val="Title"/>
    <w:rsid w:val="00130F07"/>
    <w:rPr>
      <w:rFonts w:ascii="Times New Roman Bold" w:eastAsia="Times New Roman" w:hAnsi="Times New Roman Bold" w:cs="Arial"/>
      <w:b/>
      <w:bCs/>
      <w:sz w:val="24"/>
      <w:szCs w:val="32"/>
    </w:rPr>
  </w:style>
  <w:style w:type="character" w:styleId="Emphasis">
    <w:name w:val="Emphasis"/>
    <w:rsid w:val="00130F07"/>
    <w:rPr>
      <w:i/>
      <w:iCs/>
    </w:rPr>
  </w:style>
  <w:style w:type="character" w:styleId="IntenseEmphasis">
    <w:name w:val="Intense Emphasis"/>
    <w:uiPriority w:val="21"/>
    <w:rsid w:val="00130F07"/>
    <w:rPr>
      <w:b/>
      <w:bCs/>
      <w:i/>
      <w:iCs/>
      <w:color w:val="4F81BD"/>
    </w:rPr>
  </w:style>
  <w:style w:type="paragraph" w:styleId="IntenseQuote">
    <w:name w:val="Intense Quote"/>
    <w:basedOn w:val="Normal"/>
    <w:next w:val="Normal"/>
    <w:link w:val="IntenseQuoteChar"/>
    <w:uiPriority w:val="30"/>
    <w:rsid w:val="00130F07"/>
    <w:pPr>
      <w:numPr>
        <w:numId w:val="0"/>
      </w:numPr>
      <w:pBdr>
        <w:bottom w:val="single" w:sz="4" w:space="4" w:color="4F81BD"/>
      </w:pBdr>
      <w:spacing w:before="200" w:after="280"/>
      <w:ind w:left="936" w:right="936"/>
    </w:pPr>
    <w:rPr>
      <w:rFonts w:eastAsia="Times New Roman" w:cs="Times New Roman"/>
      <w:b/>
      <w:bCs/>
      <w:i/>
      <w:iCs/>
      <w:color w:val="4F81BD"/>
      <w:szCs w:val="20"/>
    </w:rPr>
  </w:style>
  <w:style w:type="character" w:customStyle="1" w:styleId="IntenseQuoteChar">
    <w:name w:val="Intense Quote Char"/>
    <w:basedOn w:val="DefaultParagraphFont"/>
    <w:link w:val="IntenseQuote"/>
    <w:uiPriority w:val="30"/>
    <w:rsid w:val="00130F07"/>
    <w:rPr>
      <w:rFonts w:ascii="Times New Roman" w:eastAsia="Times New Roman" w:hAnsi="Times New Roman" w:cs="Times New Roman"/>
      <w:b/>
      <w:bCs/>
      <w:i/>
      <w:iCs/>
      <w:color w:val="4F81BD"/>
      <w:sz w:val="24"/>
      <w:szCs w:val="20"/>
    </w:rPr>
  </w:style>
  <w:style w:type="character" w:styleId="IntenseReference">
    <w:name w:val="Intense Reference"/>
    <w:uiPriority w:val="32"/>
    <w:rsid w:val="00130F07"/>
    <w:rPr>
      <w:b/>
      <w:bCs/>
      <w:smallCaps/>
      <w:color w:val="C0504D"/>
      <w:spacing w:val="5"/>
      <w:u w:val="single"/>
    </w:rPr>
  </w:style>
  <w:style w:type="character" w:styleId="Strong">
    <w:name w:val="Strong"/>
    <w:rsid w:val="00130F07"/>
    <w:rPr>
      <w:b/>
      <w:bCs/>
    </w:rPr>
  </w:style>
  <w:style w:type="paragraph" w:styleId="Subtitle">
    <w:name w:val="Subtitle"/>
    <w:basedOn w:val="Normal"/>
    <w:next w:val="Normal"/>
    <w:link w:val="SubtitleChar"/>
    <w:rsid w:val="00130F07"/>
    <w:pPr>
      <w:numPr>
        <w:numId w:val="0"/>
      </w:numPr>
      <w:spacing w:before="0" w:after="60"/>
      <w:jc w:val="center"/>
      <w:outlineLvl w:val="1"/>
    </w:pPr>
    <w:rPr>
      <w:rFonts w:ascii="Cambria" w:eastAsia="Times New Roman" w:hAnsi="Cambria" w:cs="Times New Roman"/>
      <w:szCs w:val="24"/>
    </w:rPr>
  </w:style>
  <w:style w:type="character" w:customStyle="1" w:styleId="SubtitleChar">
    <w:name w:val="Subtitle Char"/>
    <w:basedOn w:val="DefaultParagraphFont"/>
    <w:link w:val="Subtitle"/>
    <w:rsid w:val="00130F07"/>
    <w:rPr>
      <w:rFonts w:ascii="Cambria" w:eastAsia="Times New Roman" w:hAnsi="Cambria" w:cs="Times New Roman"/>
      <w:sz w:val="24"/>
      <w:szCs w:val="24"/>
    </w:rPr>
  </w:style>
  <w:style w:type="character" w:styleId="SubtleEmphasis">
    <w:name w:val="Subtle Emphasis"/>
    <w:uiPriority w:val="19"/>
    <w:rsid w:val="00130F07"/>
    <w:rPr>
      <w:i/>
      <w:iCs/>
      <w:color w:val="808080"/>
    </w:rPr>
  </w:style>
  <w:style w:type="character" w:styleId="SubtleReference">
    <w:name w:val="Subtle Reference"/>
    <w:uiPriority w:val="31"/>
    <w:rsid w:val="00130F07"/>
    <w:rPr>
      <w:smallCaps/>
      <w:color w:val="C0504D"/>
      <w:u w:val="single"/>
    </w:rPr>
  </w:style>
  <w:style w:type="character" w:styleId="BookTitle">
    <w:name w:val="Book Title"/>
    <w:uiPriority w:val="33"/>
    <w:rsid w:val="00130F07"/>
    <w:rPr>
      <w:b/>
      <w:bCs/>
      <w:smallCaps/>
      <w:spacing w:val="5"/>
    </w:rPr>
  </w:style>
  <w:style w:type="paragraph" w:styleId="NoSpacing">
    <w:name w:val="No Spacing"/>
    <w:uiPriority w:val="1"/>
    <w:rsid w:val="00130F07"/>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13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t">
    <w:name w:val="Court"/>
    <w:basedOn w:val="Normal"/>
    <w:rsid w:val="00130F07"/>
    <w:pPr>
      <w:numPr>
        <w:numId w:val="0"/>
      </w:numPr>
      <w:spacing w:before="720" w:after="200"/>
      <w:jc w:val="center"/>
    </w:pPr>
    <w:rPr>
      <w:rFonts w:eastAsia="Times New Roman" w:cs="Times New Roman"/>
      <w:caps/>
      <w:szCs w:val="20"/>
    </w:rPr>
  </w:style>
  <w:style w:type="paragraph" w:customStyle="1" w:styleId="DocumentTitle">
    <w:name w:val="Document Title"/>
    <w:basedOn w:val="Normal"/>
    <w:rsid w:val="00130F07"/>
    <w:pPr>
      <w:widowControl w:val="0"/>
      <w:numPr>
        <w:numId w:val="0"/>
      </w:numPr>
      <w:tabs>
        <w:tab w:val="left" w:pos="1238"/>
      </w:tabs>
      <w:spacing w:before="0" w:after="240"/>
      <w:ind w:left="259" w:right="115"/>
    </w:pPr>
    <w:rPr>
      <w:rFonts w:eastAsia="Times New Roman" w:cs="Times New Roman"/>
      <w:szCs w:val="24"/>
    </w:rPr>
  </w:style>
  <w:style w:type="paragraph" w:customStyle="1" w:styleId="FirmInformation">
    <w:name w:val="Firm Information"/>
    <w:basedOn w:val="Normal"/>
    <w:rsid w:val="00130F07"/>
    <w:pPr>
      <w:numPr>
        <w:numId w:val="0"/>
      </w:numPr>
      <w:tabs>
        <w:tab w:val="left" w:pos="1296"/>
      </w:tabs>
      <w:spacing w:before="0"/>
    </w:pPr>
    <w:rPr>
      <w:rFonts w:eastAsia="Times New Roman" w:cs="Times New Roman"/>
      <w:szCs w:val="20"/>
    </w:rPr>
  </w:style>
  <w:style w:type="paragraph" w:customStyle="1" w:styleId="HeaderNumbers">
    <w:name w:val="HeaderNumbers"/>
    <w:basedOn w:val="Normal"/>
    <w:rsid w:val="00130F07"/>
    <w:pPr>
      <w:numPr>
        <w:numId w:val="0"/>
      </w:numPr>
      <w:spacing w:before="1840" w:line="240" w:lineRule="atLeast"/>
      <w:ind w:right="288"/>
      <w:jc w:val="right"/>
    </w:pPr>
    <w:rPr>
      <w:rFonts w:eastAsia="Times New Roman" w:cs="Times New Roman"/>
      <w:sz w:val="20"/>
      <w:szCs w:val="20"/>
    </w:rPr>
  </w:style>
  <w:style w:type="character" w:styleId="PageNumber">
    <w:name w:val="page number"/>
    <w:rsid w:val="00130F07"/>
    <w:rPr>
      <w:sz w:val="24"/>
      <w:szCs w:val="24"/>
    </w:rPr>
  </w:style>
  <w:style w:type="paragraph" w:customStyle="1" w:styleId="PleadingSignature">
    <w:name w:val="Pleading Signature"/>
    <w:basedOn w:val="Normal"/>
    <w:rsid w:val="00130F07"/>
    <w:pPr>
      <w:keepNext/>
      <w:keepLines/>
      <w:numPr>
        <w:numId w:val="0"/>
      </w:numPr>
      <w:spacing w:before="0"/>
    </w:pPr>
    <w:rPr>
      <w:rFonts w:eastAsia="Times New Roman" w:cs="Times New Roman"/>
      <w:szCs w:val="20"/>
    </w:rPr>
  </w:style>
  <w:style w:type="paragraph" w:styleId="TableofAuthorities">
    <w:name w:val="table of authorities"/>
    <w:basedOn w:val="Normal"/>
    <w:next w:val="Normal"/>
    <w:rsid w:val="00130F07"/>
    <w:pPr>
      <w:numPr>
        <w:numId w:val="0"/>
      </w:numPr>
      <w:spacing w:before="0" w:after="240"/>
      <w:ind w:left="245" w:right="720" w:hanging="245"/>
    </w:pPr>
    <w:rPr>
      <w:rFonts w:eastAsia="Times New Roman" w:cs="Times New Roman"/>
      <w:szCs w:val="20"/>
    </w:rPr>
  </w:style>
  <w:style w:type="paragraph" w:styleId="TOAHeading">
    <w:name w:val="toa heading"/>
    <w:basedOn w:val="Normal"/>
    <w:next w:val="Normal"/>
    <w:rsid w:val="00130F07"/>
    <w:pPr>
      <w:numPr>
        <w:numId w:val="0"/>
      </w:numPr>
      <w:spacing w:before="120" w:after="240"/>
    </w:pPr>
    <w:rPr>
      <w:rFonts w:ascii="Arial" w:eastAsia="Times New Roman" w:hAnsi="Arial" w:cs="Arial"/>
      <w:b/>
      <w:bCs/>
      <w:szCs w:val="24"/>
    </w:rPr>
  </w:style>
  <w:style w:type="paragraph" w:customStyle="1" w:styleId="jurycite">
    <w:name w:val="jury cite"/>
    <w:basedOn w:val="Normal"/>
    <w:rsid w:val="00130F07"/>
    <w:pPr>
      <w:keepLines/>
      <w:framePr w:hSpace="187" w:vSpace="187" w:wrap="auto" w:hAnchor="text" w:yAlign="bottom"/>
      <w:numPr>
        <w:numId w:val="0"/>
      </w:numPr>
      <w:spacing w:before="0" w:line="240" w:lineRule="atLeast"/>
      <w:ind w:left="360" w:hanging="360"/>
    </w:pPr>
    <w:rPr>
      <w:rFonts w:eastAsia="Times New Roman" w:cs="Times New Roman"/>
      <w:szCs w:val="24"/>
    </w:rPr>
  </w:style>
  <w:style w:type="paragraph" w:customStyle="1" w:styleId="FirmName">
    <w:name w:val="Firm Name"/>
    <w:basedOn w:val="FirmAddress"/>
    <w:next w:val="FirmAddress"/>
    <w:rsid w:val="00130F07"/>
    <w:rPr>
      <w:b/>
    </w:rPr>
  </w:style>
  <w:style w:type="paragraph" w:customStyle="1" w:styleId="FirmAddress">
    <w:name w:val="Firm Address"/>
    <w:basedOn w:val="Normal"/>
    <w:rsid w:val="00130F07"/>
    <w:pPr>
      <w:numPr>
        <w:numId w:val="0"/>
      </w:numPr>
      <w:spacing w:before="0" w:line="240" w:lineRule="auto"/>
      <w:jc w:val="center"/>
    </w:pPr>
    <w:rPr>
      <w:rFonts w:eastAsia="Times New Roman" w:cs="Times New Roman"/>
      <w:sz w:val="20"/>
      <w:szCs w:val="20"/>
    </w:rPr>
  </w:style>
  <w:style w:type="paragraph" w:customStyle="1" w:styleId="FooterDocumentTitle">
    <w:name w:val="Footer Document Title"/>
    <w:basedOn w:val="Normal"/>
    <w:rsid w:val="00E661C8"/>
    <w:pPr>
      <w:numPr>
        <w:numId w:val="0"/>
      </w:numPr>
      <w:spacing w:before="0" w:line="240" w:lineRule="auto"/>
    </w:pPr>
    <w:rPr>
      <w:rFonts w:eastAsia="Times New Roman" w:cs="Times New Roman"/>
      <w:szCs w:val="20"/>
    </w:rPr>
  </w:style>
  <w:style w:type="paragraph" w:customStyle="1" w:styleId="footnoteseparator">
    <w:name w:val="footnote separator"/>
    <w:basedOn w:val="Normal"/>
    <w:qFormat/>
    <w:rsid w:val="00E661C8"/>
    <w:pPr>
      <w:numPr>
        <w:numId w:val="0"/>
      </w:numPr>
      <w:spacing w:line="240" w:lineRule="auto"/>
    </w:pPr>
  </w:style>
  <w:style w:type="character" w:styleId="FollowedHyperlink">
    <w:name w:val="FollowedHyperlink"/>
    <w:basedOn w:val="DefaultParagraphFont"/>
    <w:uiPriority w:val="99"/>
    <w:semiHidden/>
    <w:unhideWhenUsed/>
    <w:rsid w:val="001D7627"/>
    <w:rPr>
      <w:color w:val="800080" w:themeColor="followedHyperlink"/>
      <w:u w:val="single"/>
    </w:rPr>
  </w:style>
  <w:style w:type="paragraph" w:customStyle="1" w:styleId="righthalf">
    <w:name w:val="right half"/>
    <w:basedOn w:val="Normal"/>
    <w:rsid w:val="0020678E"/>
    <w:pPr>
      <w:keepLines/>
      <w:numPr>
        <w:numId w:val="0"/>
      </w:numPr>
      <w:tabs>
        <w:tab w:val="left" w:pos="4860"/>
        <w:tab w:val="right" w:pos="9090"/>
      </w:tabs>
      <w:spacing w:before="480" w:line="240" w:lineRule="atLeast"/>
      <w:ind w:left="4320" w:right="187"/>
    </w:pPr>
    <w:rPr>
      <w:rFonts w:eastAsia="Times New Roman" w:cs="Times New Roman"/>
      <w:szCs w:val="20"/>
    </w:rPr>
  </w:style>
  <w:style w:type="paragraph" w:customStyle="1" w:styleId="FindingsConclusions">
    <w:name w:val="Findings &amp; Conclusions"/>
    <w:basedOn w:val="Normal"/>
    <w:rsid w:val="0020678E"/>
    <w:pPr>
      <w:numPr>
        <w:numId w:val="13"/>
      </w:numPr>
      <w:spacing w:before="0" w:line="240" w:lineRule="auto"/>
    </w:pPr>
    <w:rPr>
      <w:rFonts w:eastAsia="Times New Roman" w:cs="Times New Roman"/>
      <w:szCs w:val="24"/>
    </w:rPr>
  </w:style>
  <w:style w:type="paragraph" w:customStyle="1" w:styleId="Style1">
    <w:name w:val="Style1"/>
    <w:basedOn w:val="Heading1"/>
    <w:link w:val="Style1Char"/>
    <w:uiPriority w:val="99"/>
    <w:qFormat/>
    <w:rsid w:val="0020678E"/>
    <w:pPr>
      <w:keepLines w:val="0"/>
      <w:numPr>
        <w:numId w:val="0"/>
      </w:numPr>
      <w:spacing w:after="240"/>
    </w:pPr>
    <w:rPr>
      <w:rFonts w:ascii="Times New Roman" w:eastAsia="Times New Roman" w:hAnsi="Times New Roman" w:cs="Times New Roman"/>
      <w:bCs w:val="0"/>
      <w:szCs w:val="20"/>
    </w:rPr>
  </w:style>
  <w:style w:type="character" w:customStyle="1" w:styleId="Style1Char">
    <w:name w:val="Style1 Char"/>
    <w:basedOn w:val="Heading1Char"/>
    <w:link w:val="Style1"/>
    <w:uiPriority w:val="99"/>
    <w:rsid w:val="0020678E"/>
    <w:rPr>
      <w:rFonts w:ascii="Times New Roman" w:eastAsia="Times New Roman" w:hAnsi="Times New Roman" w:cs="Times New Roman"/>
      <w:b/>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9795">
      <w:bodyDiv w:val="1"/>
      <w:marLeft w:val="0"/>
      <w:marRight w:val="0"/>
      <w:marTop w:val="0"/>
      <w:marBottom w:val="0"/>
      <w:divBdr>
        <w:top w:val="none" w:sz="0" w:space="0" w:color="auto"/>
        <w:left w:val="none" w:sz="0" w:space="0" w:color="auto"/>
        <w:bottom w:val="none" w:sz="0" w:space="0" w:color="auto"/>
        <w:right w:val="none" w:sz="0" w:space="0" w:color="auto"/>
      </w:divBdr>
    </w:div>
    <w:div w:id="192153633">
      <w:bodyDiv w:val="1"/>
      <w:marLeft w:val="0"/>
      <w:marRight w:val="0"/>
      <w:marTop w:val="0"/>
      <w:marBottom w:val="0"/>
      <w:divBdr>
        <w:top w:val="none" w:sz="0" w:space="0" w:color="auto"/>
        <w:left w:val="none" w:sz="0" w:space="0" w:color="auto"/>
        <w:bottom w:val="none" w:sz="0" w:space="0" w:color="auto"/>
        <w:right w:val="none" w:sz="0" w:space="0" w:color="auto"/>
      </w:divBdr>
    </w:div>
    <w:div w:id="581332837">
      <w:bodyDiv w:val="1"/>
      <w:marLeft w:val="0"/>
      <w:marRight w:val="0"/>
      <w:marTop w:val="0"/>
      <w:marBottom w:val="0"/>
      <w:divBdr>
        <w:top w:val="none" w:sz="0" w:space="0" w:color="auto"/>
        <w:left w:val="none" w:sz="0" w:space="0" w:color="auto"/>
        <w:bottom w:val="none" w:sz="0" w:space="0" w:color="auto"/>
        <w:right w:val="none" w:sz="0" w:space="0" w:color="auto"/>
      </w:divBdr>
    </w:div>
    <w:div w:id="600844549">
      <w:bodyDiv w:val="1"/>
      <w:marLeft w:val="0"/>
      <w:marRight w:val="0"/>
      <w:marTop w:val="0"/>
      <w:marBottom w:val="0"/>
      <w:divBdr>
        <w:top w:val="none" w:sz="0" w:space="0" w:color="auto"/>
        <w:left w:val="none" w:sz="0" w:space="0" w:color="auto"/>
        <w:bottom w:val="none" w:sz="0" w:space="0" w:color="auto"/>
        <w:right w:val="none" w:sz="0" w:space="0" w:color="auto"/>
      </w:divBdr>
    </w:div>
    <w:div w:id="715281268">
      <w:bodyDiv w:val="1"/>
      <w:marLeft w:val="0"/>
      <w:marRight w:val="0"/>
      <w:marTop w:val="0"/>
      <w:marBottom w:val="0"/>
      <w:divBdr>
        <w:top w:val="none" w:sz="0" w:space="0" w:color="auto"/>
        <w:left w:val="none" w:sz="0" w:space="0" w:color="auto"/>
        <w:bottom w:val="none" w:sz="0" w:space="0" w:color="auto"/>
        <w:right w:val="none" w:sz="0" w:space="0" w:color="auto"/>
      </w:divBdr>
    </w:div>
    <w:div w:id="728040407">
      <w:bodyDiv w:val="1"/>
      <w:marLeft w:val="0"/>
      <w:marRight w:val="0"/>
      <w:marTop w:val="0"/>
      <w:marBottom w:val="0"/>
      <w:divBdr>
        <w:top w:val="none" w:sz="0" w:space="0" w:color="auto"/>
        <w:left w:val="none" w:sz="0" w:space="0" w:color="auto"/>
        <w:bottom w:val="none" w:sz="0" w:space="0" w:color="auto"/>
        <w:right w:val="none" w:sz="0" w:space="0" w:color="auto"/>
      </w:divBdr>
    </w:div>
    <w:div w:id="747073918">
      <w:bodyDiv w:val="1"/>
      <w:marLeft w:val="0"/>
      <w:marRight w:val="0"/>
      <w:marTop w:val="0"/>
      <w:marBottom w:val="0"/>
      <w:divBdr>
        <w:top w:val="none" w:sz="0" w:space="0" w:color="auto"/>
        <w:left w:val="none" w:sz="0" w:space="0" w:color="auto"/>
        <w:bottom w:val="none" w:sz="0" w:space="0" w:color="auto"/>
        <w:right w:val="none" w:sz="0" w:space="0" w:color="auto"/>
      </w:divBdr>
    </w:div>
    <w:div w:id="938217248">
      <w:bodyDiv w:val="1"/>
      <w:marLeft w:val="0"/>
      <w:marRight w:val="0"/>
      <w:marTop w:val="0"/>
      <w:marBottom w:val="0"/>
      <w:divBdr>
        <w:top w:val="none" w:sz="0" w:space="0" w:color="auto"/>
        <w:left w:val="none" w:sz="0" w:space="0" w:color="auto"/>
        <w:bottom w:val="none" w:sz="0" w:space="0" w:color="auto"/>
        <w:right w:val="none" w:sz="0" w:space="0" w:color="auto"/>
      </w:divBdr>
    </w:div>
    <w:div w:id="1075543121">
      <w:bodyDiv w:val="1"/>
      <w:marLeft w:val="0"/>
      <w:marRight w:val="0"/>
      <w:marTop w:val="0"/>
      <w:marBottom w:val="0"/>
      <w:divBdr>
        <w:top w:val="none" w:sz="0" w:space="0" w:color="auto"/>
        <w:left w:val="none" w:sz="0" w:space="0" w:color="auto"/>
        <w:bottom w:val="none" w:sz="0" w:space="0" w:color="auto"/>
        <w:right w:val="none" w:sz="0" w:space="0" w:color="auto"/>
      </w:divBdr>
    </w:div>
    <w:div w:id="1157723746">
      <w:bodyDiv w:val="1"/>
      <w:marLeft w:val="0"/>
      <w:marRight w:val="0"/>
      <w:marTop w:val="0"/>
      <w:marBottom w:val="0"/>
      <w:divBdr>
        <w:top w:val="none" w:sz="0" w:space="0" w:color="auto"/>
        <w:left w:val="none" w:sz="0" w:space="0" w:color="auto"/>
        <w:bottom w:val="none" w:sz="0" w:space="0" w:color="auto"/>
        <w:right w:val="none" w:sz="0" w:space="0" w:color="auto"/>
      </w:divBdr>
    </w:div>
    <w:div w:id="1221213788">
      <w:bodyDiv w:val="1"/>
      <w:marLeft w:val="0"/>
      <w:marRight w:val="0"/>
      <w:marTop w:val="0"/>
      <w:marBottom w:val="0"/>
      <w:divBdr>
        <w:top w:val="none" w:sz="0" w:space="0" w:color="auto"/>
        <w:left w:val="none" w:sz="0" w:space="0" w:color="auto"/>
        <w:bottom w:val="none" w:sz="0" w:space="0" w:color="auto"/>
        <w:right w:val="none" w:sz="0" w:space="0" w:color="auto"/>
      </w:divBdr>
    </w:div>
    <w:div w:id="1344816517">
      <w:bodyDiv w:val="1"/>
      <w:marLeft w:val="0"/>
      <w:marRight w:val="0"/>
      <w:marTop w:val="0"/>
      <w:marBottom w:val="0"/>
      <w:divBdr>
        <w:top w:val="none" w:sz="0" w:space="0" w:color="auto"/>
        <w:left w:val="none" w:sz="0" w:space="0" w:color="auto"/>
        <w:bottom w:val="none" w:sz="0" w:space="0" w:color="auto"/>
        <w:right w:val="none" w:sz="0" w:space="0" w:color="auto"/>
      </w:divBdr>
    </w:div>
    <w:div w:id="1513106237">
      <w:bodyDiv w:val="1"/>
      <w:marLeft w:val="0"/>
      <w:marRight w:val="0"/>
      <w:marTop w:val="0"/>
      <w:marBottom w:val="0"/>
      <w:divBdr>
        <w:top w:val="none" w:sz="0" w:space="0" w:color="auto"/>
        <w:left w:val="none" w:sz="0" w:space="0" w:color="auto"/>
        <w:bottom w:val="none" w:sz="0" w:space="0" w:color="auto"/>
        <w:right w:val="none" w:sz="0" w:space="0" w:color="auto"/>
      </w:divBdr>
    </w:div>
    <w:div w:id="1684554440">
      <w:bodyDiv w:val="1"/>
      <w:marLeft w:val="0"/>
      <w:marRight w:val="0"/>
      <w:marTop w:val="0"/>
      <w:marBottom w:val="0"/>
      <w:divBdr>
        <w:top w:val="none" w:sz="0" w:space="0" w:color="auto"/>
        <w:left w:val="none" w:sz="0" w:space="0" w:color="auto"/>
        <w:bottom w:val="none" w:sz="0" w:space="0" w:color="auto"/>
        <w:right w:val="none" w:sz="0" w:space="0" w:color="auto"/>
      </w:divBdr>
    </w:div>
    <w:div w:id="1957633177">
      <w:bodyDiv w:val="1"/>
      <w:marLeft w:val="0"/>
      <w:marRight w:val="0"/>
      <w:marTop w:val="0"/>
      <w:marBottom w:val="0"/>
      <w:divBdr>
        <w:top w:val="none" w:sz="0" w:space="0" w:color="auto"/>
        <w:left w:val="none" w:sz="0" w:space="0" w:color="auto"/>
        <w:bottom w:val="none" w:sz="0" w:space="0" w:color="auto"/>
        <w:right w:val="none" w:sz="0" w:space="0" w:color="auto"/>
      </w:divBdr>
    </w:div>
    <w:div w:id="19705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sestusr1\wjones$\SAIDI%20SAIFI\Spencer%20SAIDI%20Analysis%20Work\PSE%201.75%20Beta%20and%20IEEE%201782%20Analysis%20Revised%2019OCT1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SESTUSR1\WJONES$\SAIDI%20SAIFI\Spencer%20SAIDI%20Analysis%20Work\PSE%201.75%20Beta%20and%20IEEE%201782%20Analysis%20Revised%2019OCT15.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PSE's</a:t>
            </a:r>
            <a:r>
              <a:rPr lang="en-US" sz="1400" baseline="0"/>
              <a:t> Trailing Averages, as per IEEE Std 1782</a:t>
            </a:r>
            <a:endParaRPr lang="en-US" sz="1400"/>
          </a:p>
        </c:rich>
      </c:tx>
      <c:overlay val="0"/>
    </c:title>
    <c:autoTitleDeleted val="0"/>
    <c:plotArea>
      <c:layout/>
      <c:lineChart>
        <c:grouping val="standard"/>
        <c:varyColors val="0"/>
        <c:ser>
          <c:idx val="0"/>
          <c:order val="0"/>
          <c:tx>
            <c:strRef>
              <c:f>'6. IEEE 1782'!$A$10</c:f>
              <c:strCache>
                <c:ptCount val="1"/>
                <c:pt idx="0">
                  <c:v>2000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1782'!$I$10:$P$10</c:f>
              <c:numCache>
                <c:formatCode>0</c:formatCode>
                <c:ptCount val="8"/>
                <c:pt idx="0">
                  <c:v>121.375</c:v>
                </c:pt>
                <c:pt idx="1">
                  <c:v>125.1111111111111</c:v>
                </c:pt>
                <c:pt idx="2">
                  <c:v>127.1</c:v>
                </c:pt>
                <c:pt idx="3">
                  <c:v>126.8181818181818</c:v>
                </c:pt>
                <c:pt idx="4">
                  <c:v>128.25</c:v>
                </c:pt>
                <c:pt idx="5">
                  <c:v>127.6153846153846</c:v>
                </c:pt>
                <c:pt idx="6">
                  <c:v>127.4285714285714</c:v>
                </c:pt>
                <c:pt idx="7">
                  <c:v>129.19999999999999</c:v>
                </c:pt>
              </c:numCache>
            </c:numRef>
          </c:val>
          <c:smooth val="0"/>
        </c:ser>
        <c:ser>
          <c:idx val="1"/>
          <c:order val="1"/>
          <c:tx>
            <c:strRef>
              <c:f>'6. IEEE 1782'!$A$11</c:f>
              <c:strCache>
                <c:ptCount val="1"/>
                <c:pt idx="0">
                  <c:v>2001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1782'!$I$11:$P$11</c:f>
              <c:numCache>
                <c:formatCode>0</c:formatCode>
                <c:ptCount val="8"/>
                <c:pt idx="0">
                  <c:v>122.8571428571428</c:v>
                </c:pt>
                <c:pt idx="1">
                  <c:v>126.875</c:v>
                </c:pt>
                <c:pt idx="2">
                  <c:v>128.888888888889</c:v>
                </c:pt>
                <c:pt idx="3">
                  <c:v>128.4</c:v>
                </c:pt>
                <c:pt idx="4">
                  <c:v>129.81818181818181</c:v>
                </c:pt>
                <c:pt idx="5">
                  <c:v>129</c:v>
                </c:pt>
                <c:pt idx="6">
                  <c:v>128.69230769230771</c:v>
                </c:pt>
                <c:pt idx="7">
                  <c:v>130.5</c:v>
                </c:pt>
              </c:numCache>
            </c:numRef>
          </c:val>
          <c:smooth val="0"/>
        </c:ser>
        <c:ser>
          <c:idx val="2"/>
          <c:order val="2"/>
          <c:tx>
            <c:strRef>
              <c:f>'6. IEEE 1782'!$A$12</c:f>
              <c:strCache>
                <c:ptCount val="1"/>
                <c:pt idx="0">
                  <c:v>2002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1782'!$I$12:$P$12</c:f>
              <c:numCache>
                <c:formatCode>0</c:formatCode>
                <c:ptCount val="8"/>
                <c:pt idx="0">
                  <c:v>125</c:v>
                </c:pt>
                <c:pt idx="1">
                  <c:v>129.28571428571431</c:v>
                </c:pt>
                <c:pt idx="2">
                  <c:v>131.25</c:v>
                </c:pt>
                <c:pt idx="3">
                  <c:v>130.44444444444451</c:v>
                </c:pt>
                <c:pt idx="4">
                  <c:v>131.80000000000001</c:v>
                </c:pt>
                <c:pt idx="5">
                  <c:v>130.72727272727269</c:v>
                </c:pt>
                <c:pt idx="6">
                  <c:v>130.25</c:v>
                </c:pt>
                <c:pt idx="7">
                  <c:v>132.07692307692309</c:v>
                </c:pt>
              </c:numCache>
            </c:numRef>
          </c:val>
          <c:smooth val="0"/>
        </c:ser>
        <c:ser>
          <c:idx val="3"/>
          <c:order val="3"/>
          <c:tx>
            <c:strRef>
              <c:f>'6. IEEE 1782'!$A$13</c:f>
              <c:strCache>
                <c:ptCount val="1"/>
                <c:pt idx="0">
                  <c:v>2003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1782'!$I$13:$P$13</c:f>
              <c:numCache>
                <c:formatCode>0</c:formatCode>
                <c:ptCount val="8"/>
                <c:pt idx="0">
                  <c:v>130.19999999999999</c:v>
                </c:pt>
                <c:pt idx="1">
                  <c:v>134.3333333333334</c:v>
                </c:pt>
                <c:pt idx="2">
                  <c:v>135.857142857143</c:v>
                </c:pt>
                <c:pt idx="3">
                  <c:v>134.375</c:v>
                </c:pt>
                <c:pt idx="4">
                  <c:v>135.44444444444451</c:v>
                </c:pt>
                <c:pt idx="5">
                  <c:v>133.9</c:v>
                </c:pt>
                <c:pt idx="6">
                  <c:v>133.09090909090909</c:v>
                </c:pt>
                <c:pt idx="7">
                  <c:v>134.8333333333334</c:v>
                </c:pt>
              </c:numCache>
            </c:numRef>
          </c:val>
          <c:smooth val="0"/>
        </c:ser>
        <c:ser>
          <c:idx val="4"/>
          <c:order val="4"/>
          <c:tx>
            <c:strRef>
              <c:f>'6. IEEE 1782'!$A$14</c:f>
              <c:strCache>
                <c:ptCount val="1"/>
                <c:pt idx="0">
                  <c:v>2004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1782'!$I$14:$P$14</c:f>
              <c:numCache>
                <c:formatCode>0</c:formatCode>
                <c:ptCount val="8"/>
                <c:pt idx="0">
                  <c:v>136.25</c:v>
                </c:pt>
                <c:pt idx="1">
                  <c:v>140</c:v>
                </c:pt>
                <c:pt idx="2">
                  <c:v>140.8333333333334</c:v>
                </c:pt>
                <c:pt idx="3">
                  <c:v>138.42857142857139</c:v>
                </c:pt>
                <c:pt idx="4">
                  <c:v>139.125</c:v>
                </c:pt>
                <c:pt idx="5">
                  <c:v>137</c:v>
                </c:pt>
                <c:pt idx="6">
                  <c:v>135.80000000000001</c:v>
                </c:pt>
                <c:pt idx="7">
                  <c:v>137.45454545454541</c:v>
                </c:pt>
              </c:numCache>
            </c:numRef>
          </c:val>
          <c:smooth val="0"/>
        </c:ser>
        <c:ser>
          <c:idx val="5"/>
          <c:order val="5"/>
          <c:tx>
            <c:strRef>
              <c:f>'6. IEEE 1782'!$A$15</c:f>
              <c:strCache>
                <c:ptCount val="1"/>
                <c:pt idx="0">
                  <c:v>2005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1782'!$I$15:$P$15</c:f>
              <c:numCache>
                <c:formatCode>0</c:formatCode>
                <c:ptCount val="8"/>
                <c:pt idx="0">
                  <c:v>143.3333333333334</c:v>
                </c:pt>
                <c:pt idx="1">
                  <c:v>146.25</c:v>
                </c:pt>
                <c:pt idx="2">
                  <c:v>146</c:v>
                </c:pt>
                <c:pt idx="3">
                  <c:v>142.3333333333334</c:v>
                </c:pt>
                <c:pt idx="4">
                  <c:v>142.57142857142861</c:v>
                </c:pt>
                <c:pt idx="5">
                  <c:v>139.75</c:v>
                </c:pt>
                <c:pt idx="6">
                  <c:v>138.11111111111109</c:v>
                </c:pt>
                <c:pt idx="7">
                  <c:v>139.69999999999999</c:v>
                </c:pt>
              </c:numCache>
            </c:numRef>
          </c:val>
          <c:smooth val="0"/>
        </c:ser>
        <c:ser>
          <c:idx val="6"/>
          <c:order val="6"/>
          <c:tx>
            <c:strRef>
              <c:f>'6. IEEE 1782'!$A$16</c:f>
              <c:strCache>
                <c:ptCount val="1"/>
                <c:pt idx="0">
                  <c:v>2006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1782'!$I$16:$P$16</c:f>
              <c:numCache>
                <c:formatCode>0</c:formatCode>
                <c:ptCount val="8"/>
                <c:pt idx="0">
                  <c:v>153</c:v>
                </c:pt>
                <c:pt idx="1">
                  <c:v>153.6666666666666</c:v>
                </c:pt>
                <c:pt idx="2">
                  <c:v>151.5</c:v>
                </c:pt>
                <c:pt idx="3">
                  <c:v>146</c:v>
                </c:pt>
                <c:pt idx="4">
                  <c:v>145.6666666666666</c:v>
                </c:pt>
                <c:pt idx="5">
                  <c:v>142</c:v>
                </c:pt>
                <c:pt idx="6">
                  <c:v>139.875</c:v>
                </c:pt>
                <c:pt idx="7">
                  <c:v>141.44444444444451</c:v>
                </c:pt>
              </c:numCache>
            </c:numRef>
          </c:val>
          <c:smooth val="0"/>
        </c:ser>
        <c:ser>
          <c:idx val="7"/>
          <c:order val="7"/>
          <c:tx>
            <c:strRef>
              <c:f>'6. IEEE 1782'!$A$17</c:f>
              <c:strCache>
                <c:ptCount val="1"/>
                <c:pt idx="0">
                  <c:v>2007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1782'!$I$17:$P$17</c:f>
              <c:numCache>
                <c:formatCode>0</c:formatCode>
                <c:ptCount val="8"/>
                <c:pt idx="0">
                  <c:v>143</c:v>
                </c:pt>
                <c:pt idx="1">
                  <c:v>149</c:v>
                </c:pt>
                <c:pt idx="2">
                  <c:v>147.6666666666666</c:v>
                </c:pt>
                <c:pt idx="3">
                  <c:v>141.75</c:v>
                </c:pt>
                <c:pt idx="4">
                  <c:v>142.19999999999999</c:v>
                </c:pt>
                <c:pt idx="5">
                  <c:v>138.5</c:v>
                </c:pt>
                <c:pt idx="6">
                  <c:v>136.57142857142861</c:v>
                </c:pt>
                <c:pt idx="7">
                  <c:v>138.75</c:v>
                </c:pt>
              </c:numCache>
            </c:numRef>
          </c:val>
          <c:smooth val="0"/>
        </c:ser>
        <c:ser>
          <c:idx val="8"/>
          <c:order val="8"/>
          <c:tx>
            <c:strRef>
              <c:f>'6. IEEE 1782'!$A$18</c:f>
              <c:strCache>
                <c:ptCount val="1"/>
                <c:pt idx="0">
                  <c:v>2008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1782'!$I$18:$P$18</c:f>
              <c:numCache>
                <c:formatCode>0</c:formatCode>
                <c:ptCount val="8"/>
                <c:pt idx="1">
                  <c:v>155</c:v>
                </c:pt>
                <c:pt idx="2">
                  <c:v>150</c:v>
                </c:pt>
                <c:pt idx="3">
                  <c:v>141.3333333333334</c:v>
                </c:pt>
                <c:pt idx="4">
                  <c:v>142</c:v>
                </c:pt>
                <c:pt idx="5">
                  <c:v>137.6</c:v>
                </c:pt>
                <c:pt idx="6">
                  <c:v>135.5</c:v>
                </c:pt>
                <c:pt idx="7">
                  <c:v>138.14285714285711</c:v>
                </c:pt>
              </c:numCache>
            </c:numRef>
          </c:val>
          <c:smooth val="0"/>
        </c:ser>
        <c:ser>
          <c:idx val="9"/>
          <c:order val="9"/>
          <c:tx>
            <c:strRef>
              <c:f>'6. IEEE 1782'!$A$19</c:f>
              <c:strCache>
                <c:ptCount val="1"/>
                <c:pt idx="0">
                  <c:v>2009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1782'!$I$19:$P$19</c:f>
              <c:numCache>
                <c:formatCode>General</c:formatCode>
                <c:ptCount val="8"/>
                <c:pt idx="2" formatCode="0">
                  <c:v>145</c:v>
                </c:pt>
                <c:pt idx="3" formatCode="0">
                  <c:v>134.5</c:v>
                </c:pt>
                <c:pt idx="4" formatCode="0">
                  <c:v>137.6666666666666</c:v>
                </c:pt>
                <c:pt idx="5" formatCode="0">
                  <c:v>133.25</c:v>
                </c:pt>
                <c:pt idx="6" formatCode="0">
                  <c:v>131.6</c:v>
                </c:pt>
                <c:pt idx="7" formatCode="0">
                  <c:v>135.3333333333334</c:v>
                </c:pt>
              </c:numCache>
            </c:numRef>
          </c:val>
          <c:smooth val="0"/>
        </c:ser>
        <c:ser>
          <c:idx val="10"/>
          <c:order val="10"/>
          <c:tx>
            <c:strRef>
              <c:f>'6. IEEE 1782'!$A$20</c:f>
              <c:strCache>
                <c:ptCount val="1"/>
                <c:pt idx="0">
                  <c:v>2010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1782'!$I$20:$P$20</c:f>
              <c:numCache>
                <c:formatCode>General</c:formatCode>
                <c:ptCount val="8"/>
                <c:pt idx="3" formatCode="0">
                  <c:v>124</c:v>
                </c:pt>
                <c:pt idx="4" formatCode="0">
                  <c:v>134</c:v>
                </c:pt>
                <c:pt idx="5" formatCode="0">
                  <c:v>129.3333333333334</c:v>
                </c:pt>
                <c:pt idx="6" formatCode="0">
                  <c:v>128.25</c:v>
                </c:pt>
                <c:pt idx="7" formatCode="0">
                  <c:v>133.4</c:v>
                </c:pt>
              </c:numCache>
            </c:numRef>
          </c:val>
          <c:smooth val="0"/>
        </c:ser>
        <c:ser>
          <c:idx val="11"/>
          <c:order val="11"/>
          <c:tx>
            <c:strRef>
              <c:f>'6. IEEE 1782'!$A$21</c:f>
              <c:strCache>
                <c:ptCount val="1"/>
                <c:pt idx="0">
                  <c:v>2011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1782'!$I$21:$P$21</c:f>
              <c:numCache>
                <c:formatCode>General</c:formatCode>
                <c:ptCount val="8"/>
                <c:pt idx="4" formatCode="0">
                  <c:v>144</c:v>
                </c:pt>
                <c:pt idx="5" formatCode="0">
                  <c:v>132</c:v>
                </c:pt>
                <c:pt idx="6" formatCode="0">
                  <c:v>129.6666666666666</c:v>
                </c:pt>
                <c:pt idx="7" formatCode="0">
                  <c:v>135.75</c:v>
                </c:pt>
              </c:numCache>
            </c:numRef>
          </c:val>
          <c:smooth val="0"/>
        </c:ser>
        <c:ser>
          <c:idx val="12"/>
          <c:order val="12"/>
          <c:tx>
            <c:strRef>
              <c:f>'6. IEEE 1782'!$A$22</c:f>
              <c:strCache>
                <c:ptCount val="1"/>
                <c:pt idx="0">
                  <c:v>2012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1782'!$I$22:$P$22</c:f>
              <c:numCache>
                <c:formatCode>General</c:formatCode>
                <c:ptCount val="8"/>
                <c:pt idx="5" formatCode="0">
                  <c:v>120</c:v>
                </c:pt>
                <c:pt idx="6" formatCode="0">
                  <c:v>122.5</c:v>
                </c:pt>
                <c:pt idx="7" formatCode="0">
                  <c:v>133</c:v>
                </c:pt>
              </c:numCache>
            </c:numRef>
          </c:val>
          <c:smooth val="0"/>
        </c:ser>
        <c:ser>
          <c:idx val="13"/>
          <c:order val="13"/>
          <c:tx>
            <c:strRef>
              <c:f>'6. IEEE 1782'!$A$23</c:f>
              <c:strCache>
                <c:ptCount val="1"/>
                <c:pt idx="0">
                  <c:v>2013 Average</c:v>
                </c:pt>
              </c:strCache>
            </c:strRef>
          </c:tx>
          <c:spPr>
            <a:ln w="28575"/>
          </c:spPr>
          <c:marker>
            <c:symbol val="none"/>
          </c:marker>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1782'!$I$23:$P$23</c:f>
              <c:numCache>
                <c:formatCode>General</c:formatCode>
                <c:ptCount val="8"/>
                <c:pt idx="6">
                  <c:v>125</c:v>
                </c:pt>
                <c:pt idx="7" formatCode="0">
                  <c:v>139.5</c:v>
                </c:pt>
              </c:numCache>
            </c:numRef>
          </c:val>
          <c:smooth val="0"/>
        </c:ser>
        <c:ser>
          <c:idx val="14"/>
          <c:order val="14"/>
          <c:tx>
            <c:strRef>
              <c:f>'6. IEEE 1782'!$A$24</c:f>
              <c:strCache>
                <c:ptCount val="1"/>
                <c:pt idx="0">
                  <c:v>2014 Average</c:v>
                </c:pt>
              </c:strCache>
            </c:strRef>
          </c:tx>
          <c:spPr>
            <a:ln>
              <a:solidFill>
                <a:srgbClr val="FF0000"/>
              </a:solidFill>
            </a:ln>
          </c:spPr>
          <c:marker>
            <c:symbol val="diamond"/>
            <c:size val="5"/>
            <c:spPr>
              <a:solidFill>
                <a:srgbClr val="FF0000"/>
              </a:solidFill>
              <a:ln>
                <a:solidFill>
                  <a:srgbClr val="FF0000"/>
                </a:solidFill>
              </a:ln>
            </c:spPr>
          </c:marker>
          <c:dPt>
            <c:idx val="7"/>
            <c:marker>
              <c:symbol val="diamond"/>
              <c:size val="6"/>
            </c:marker>
            <c:bubble3D val="0"/>
          </c:dPt>
          <c:cat>
            <c:numRef>
              <c:f>'6. IEEE 1782'!$I$9:$P$9</c:f>
              <c:numCache>
                <c:formatCode>General</c:formatCode>
                <c:ptCount val="8"/>
                <c:pt idx="0">
                  <c:v>2007</c:v>
                </c:pt>
                <c:pt idx="1">
                  <c:v>2008</c:v>
                </c:pt>
                <c:pt idx="2">
                  <c:v>2009</c:v>
                </c:pt>
                <c:pt idx="3">
                  <c:v>2010</c:v>
                </c:pt>
                <c:pt idx="4">
                  <c:v>2011</c:v>
                </c:pt>
                <c:pt idx="5">
                  <c:v>2012</c:v>
                </c:pt>
                <c:pt idx="6">
                  <c:v>2013</c:v>
                </c:pt>
                <c:pt idx="7">
                  <c:v>2014</c:v>
                </c:pt>
              </c:numCache>
            </c:numRef>
          </c:cat>
          <c:val>
            <c:numRef>
              <c:f>'6. IEEE 1782'!$I$24:$P$24</c:f>
              <c:numCache>
                <c:formatCode>General</c:formatCode>
                <c:ptCount val="8"/>
                <c:pt idx="7">
                  <c:v>154</c:v>
                </c:pt>
              </c:numCache>
            </c:numRef>
          </c:val>
          <c:smooth val="0"/>
        </c:ser>
        <c:dLbls>
          <c:showLegendKey val="0"/>
          <c:showVal val="0"/>
          <c:showCatName val="0"/>
          <c:showSerName val="0"/>
          <c:showPercent val="0"/>
          <c:showBubbleSize val="0"/>
        </c:dLbls>
        <c:marker val="1"/>
        <c:smooth val="0"/>
        <c:axId val="86982656"/>
        <c:axId val="87014400"/>
      </c:lineChart>
      <c:catAx>
        <c:axId val="86982656"/>
        <c:scaling>
          <c:orientation val="minMax"/>
        </c:scaling>
        <c:delete val="0"/>
        <c:axPos val="b"/>
        <c:numFmt formatCode="General" sourceLinked="1"/>
        <c:majorTickMark val="none"/>
        <c:minorTickMark val="none"/>
        <c:tickLblPos val="nextTo"/>
        <c:crossAx val="87014400"/>
        <c:crosses val="autoZero"/>
        <c:auto val="1"/>
        <c:lblAlgn val="ctr"/>
        <c:lblOffset val="100"/>
        <c:noMultiLvlLbl val="0"/>
      </c:catAx>
      <c:valAx>
        <c:axId val="87014400"/>
        <c:scaling>
          <c:orientation val="minMax"/>
          <c:min val="80"/>
        </c:scaling>
        <c:delete val="0"/>
        <c:axPos val="l"/>
        <c:majorGridlines/>
        <c:title>
          <c:tx>
            <c:rich>
              <a:bodyPr/>
              <a:lstStyle/>
              <a:p>
                <a:pPr>
                  <a:defRPr/>
                </a:pPr>
                <a:r>
                  <a:rPr lang="en-US"/>
                  <a:t>SAIDI Minutes</a:t>
                </a:r>
              </a:p>
            </c:rich>
          </c:tx>
          <c:overlay val="0"/>
        </c:title>
        <c:numFmt formatCode="0" sourceLinked="1"/>
        <c:majorTickMark val="none"/>
        <c:minorTickMark val="none"/>
        <c:tickLblPos val="nextTo"/>
        <c:crossAx val="86982656"/>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400"/>
              <a:t>PSE</a:t>
            </a:r>
            <a:r>
              <a:rPr lang="en-US" sz="1400" baseline="0"/>
              <a:t> "Blue-sky" Daily SAIDI, Ranked by Value, 2007-2014</a:t>
            </a:r>
            <a:endParaRPr lang="en-US" sz="1400"/>
          </a:p>
        </c:rich>
      </c:tx>
      <c:layout>
        <c:manualLayout>
          <c:xMode val="edge"/>
          <c:yMode val="edge"/>
          <c:x val="0.131944444444444"/>
          <c:y val="3.4755134281200598E-2"/>
        </c:manualLayout>
      </c:layout>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s>
    <c:plotArea>
      <c:layout>
        <c:manualLayout>
          <c:layoutTarget val="inner"/>
          <c:xMode val="edge"/>
          <c:yMode val="edge"/>
          <c:x val="0.112619456221818"/>
          <c:y val="0.132946474107798"/>
          <c:w val="0.74361986001749802"/>
          <c:h val="0.767410531029593"/>
        </c:manualLayout>
      </c:layout>
      <c:lineChart>
        <c:grouping val="standard"/>
        <c:varyColors val="0"/>
        <c:ser>
          <c:idx val="0"/>
          <c:order val="0"/>
          <c:tx>
            <c:v>2007</c:v>
          </c:tx>
          <c:marker>
            <c:symbol val="none"/>
          </c:marker>
          <c:cat>
            <c:strLit>
              <c:ptCount val="36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strLit>
          </c:cat>
          <c:val>
            <c:numLit>
              <c:formatCode>General</c:formatCode>
              <c:ptCount val="366"/>
              <c:pt idx="0">
                <c:v>57.399283179970801</c:v>
              </c:pt>
              <c:pt idx="1">
                <c:v>38.887671625446792</c:v>
              </c:pt>
              <c:pt idx="2">
                <c:v>22.429414483104811</c:v>
              </c:pt>
              <c:pt idx="3">
                <c:v>19.007503171791029</c:v>
              </c:pt>
              <c:pt idx="4">
                <c:v>10.59215464485904</c:v>
              </c:pt>
              <c:pt idx="5">
                <c:v>8.2309661697764582</c:v>
              </c:pt>
              <c:pt idx="6">
                <c:v>6.96712629564224</c:v>
              </c:pt>
              <c:pt idx="7">
                <c:v>6.2940005940287769</c:v>
              </c:pt>
              <c:pt idx="8">
                <c:v>6.2560368411713174</c:v>
              </c:pt>
              <c:pt idx="9">
                <c:v>4.3067257152780218</c:v>
              </c:pt>
              <c:pt idx="10">
                <c:v>3.8177261603251411</c:v>
              </c:pt>
              <c:pt idx="11">
                <c:v>3.4758663947672321</c:v>
              </c:pt>
              <c:pt idx="12">
                <c:v>2.339851834419695</c:v>
              </c:pt>
              <c:pt idx="13">
                <c:v>2.3241878839005872</c:v>
              </c:pt>
              <c:pt idx="14">
                <c:v>2.1766372087859329</c:v>
              </c:pt>
              <c:pt idx="15">
                <c:v>2.0812547861543851</c:v>
              </c:pt>
              <c:pt idx="16">
                <c:v>2.036458753431559</c:v>
              </c:pt>
              <c:pt idx="17">
                <c:v>1.800719477026933</c:v>
              </c:pt>
              <c:pt idx="18">
                <c:v>1.790442589396112</c:v>
              </c:pt>
              <c:pt idx="19">
                <c:v>1.440699132015778</c:v>
              </c:pt>
              <c:pt idx="20">
                <c:v>1.40556792851917</c:v>
              </c:pt>
              <c:pt idx="21">
                <c:v>1.2945130150186801</c:v>
              </c:pt>
              <c:pt idx="22">
                <c:v>1.268092019422653</c:v>
              </c:pt>
              <c:pt idx="23">
                <c:v>1.2206114700693951</c:v>
              </c:pt>
              <c:pt idx="24">
                <c:v>1.1975942783451841</c:v>
              </c:pt>
              <c:pt idx="25">
                <c:v>1.137815625234267</c:v>
              </c:pt>
              <c:pt idx="26">
                <c:v>1.09167211509355</c:v>
              </c:pt>
              <c:pt idx="27">
                <c:v>0.99423051922480199</c:v>
              </c:pt>
              <c:pt idx="28">
                <c:v>0.95988787469598702</c:v>
              </c:pt>
              <c:pt idx="29">
                <c:v>0.95210287136050598</c:v>
              </c:pt>
              <c:pt idx="30">
                <c:v>0.87900317036764297</c:v>
              </c:pt>
              <c:pt idx="31">
                <c:v>0.87876878521114998</c:v>
              </c:pt>
              <c:pt idx="32">
                <c:v>0.87693545678061102</c:v>
              </c:pt>
              <c:pt idx="33">
                <c:v>0.87281331459517297</c:v>
              </c:pt>
              <c:pt idx="34">
                <c:v>0.84589887656442597</c:v>
              </c:pt>
              <c:pt idx="35">
                <c:v>0.82482413996304904</c:v>
              </c:pt>
              <c:pt idx="36">
                <c:v>0.81024291601704701</c:v>
              </c:pt>
              <c:pt idx="37">
                <c:v>0.79126530976323295</c:v>
              </c:pt>
              <c:pt idx="38">
                <c:v>0.78716689077177204</c:v>
              </c:pt>
              <c:pt idx="39">
                <c:v>0.78583174941474898</c:v>
              </c:pt>
              <c:pt idx="40">
                <c:v>0.77893968710056105</c:v>
              </c:pt>
              <c:pt idx="41">
                <c:v>0.77357065383969403</c:v>
              </c:pt>
              <c:pt idx="42">
                <c:v>0.77314363634810901</c:v>
              </c:pt>
              <c:pt idx="43">
                <c:v>0.76878995578945597</c:v>
              </c:pt>
              <c:pt idx="44">
                <c:v>0.76822913948383997</c:v>
              </c:pt>
              <c:pt idx="45">
                <c:v>0.75054587069341006</c:v>
              </c:pt>
              <c:pt idx="46">
                <c:v>0.72237789909292005</c:v>
              </c:pt>
              <c:pt idx="47">
                <c:v>0.716810539930406</c:v>
              </c:pt>
              <c:pt idx="48">
                <c:v>0.71354717736693396</c:v>
              </c:pt>
              <c:pt idx="49">
                <c:v>0.699179462166725</c:v>
              </c:pt>
              <c:pt idx="50">
                <c:v>0.69731292126461697</c:v>
              </c:pt>
              <c:pt idx="51">
                <c:v>0.69205775933484004</c:v>
              </c:pt>
              <c:pt idx="52">
                <c:v>0.68520934769756903</c:v>
              </c:pt>
              <c:pt idx="53">
                <c:v>0.64571971900351199</c:v>
              </c:pt>
              <c:pt idx="54">
                <c:v>0.63569904186764203</c:v>
              </c:pt>
              <c:pt idx="55">
                <c:v>0.61963749061747697</c:v>
              </c:pt>
              <c:pt idx="56">
                <c:v>0.61868666500288005</c:v>
              </c:pt>
              <c:pt idx="57">
                <c:v>0.60997266139126105</c:v>
              </c:pt>
              <c:pt idx="58">
                <c:v>0.60992711285882495</c:v>
              </c:pt>
              <c:pt idx="59">
                <c:v>0.60622060103186404</c:v>
              </c:pt>
              <c:pt idx="60">
                <c:v>0.60323812108508001</c:v>
              </c:pt>
              <c:pt idx="61">
                <c:v>0.60171509203175899</c:v>
              </c:pt>
              <c:pt idx="62">
                <c:v>0.57065858433263295</c:v>
              </c:pt>
              <c:pt idx="63">
                <c:v>0.52813238680952501</c:v>
              </c:pt>
              <c:pt idx="64">
                <c:v>0.51827397632045702</c:v>
              </c:pt>
              <c:pt idx="65">
                <c:v>0.50675114654196496</c:v>
              </c:pt>
              <c:pt idx="66">
                <c:v>0.49926125973955698</c:v>
              </c:pt>
              <c:pt idx="67">
                <c:v>0.49511729221566098</c:v>
              </c:pt>
              <c:pt idx="68">
                <c:v>0.49247927304542199</c:v>
              </c:pt>
              <c:pt idx="69">
                <c:v>0.488985321036495</c:v>
              </c:pt>
              <c:pt idx="70">
                <c:v>0.47842755078898602</c:v>
              </c:pt>
              <c:pt idx="71">
                <c:v>0.47166928728882801</c:v>
              </c:pt>
              <c:pt idx="72">
                <c:v>0.46691895492688001</c:v>
              </c:pt>
              <c:pt idx="73">
                <c:v>0.46550125685481702</c:v>
              </c:pt>
              <c:pt idx="74">
                <c:v>0.45931614572114199</c:v>
              </c:pt>
              <c:pt idx="75">
                <c:v>0.45756252722236501</c:v>
              </c:pt>
              <c:pt idx="76">
                <c:v>0.45394806138803501</c:v>
              </c:pt>
              <c:pt idx="77">
                <c:v>0.45221437037219803</c:v>
              </c:pt>
              <c:pt idx="78">
                <c:v>0.44824785233924902</c:v>
              </c:pt>
              <c:pt idx="79">
                <c:v>0.44747352728784101</c:v>
              </c:pt>
              <c:pt idx="80">
                <c:v>0.43083407903239701</c:v>
              </c:pt>
              <c:pt idx="81">
                <c:v>0.42489663804384198</c:v>
              </c:pt>
              <c:pt idx="82">
                <c:v>0.422773886646783</c:v>
              </c:pt>
              <c:pt idx="83">
                <c:v>0.40348218530471502</c:v>
              </c:pt>
              <c:pt idx="84">
                <c:v>0.40230646381121699</c:v>
              </c:pt>
              <c:pt idx="85">
                <c:v>0.39553871103346799</c:v>
              </c:pt>
              <c:pt idx="86">
                <c:v>0.39278776945989902</c:v>
              </c:pt>
              <c:pt idx="87">
                <c:v>0.384409686274994</c:v>
              </c:pt>
              <c:pt idx="88">
                <c:v>0.37653263694688199</c:v>
              </c:pt>
              <c:pt idx="89">
                <c:v>0.36961305572768</c:v>
              </c:pt>
              <c:pt idx="90">
                <c:v>0.36900384410635201</c:v>
              </c:pt>
              <c:pt idx="91">
                <c:v>0.36648159412272102</c:v>
              </c:pt>
              <c:pt idx="92">
                <c:v>0.36597391777161398</c:v>
              </c:pt>
              <c:pt idx="93">
                <c:v>0.349380966976365</c:v>
              </c:pt>
              <c:pt idx="94">
                <c:v>0.34569817834338101</c:v>
              </c:pt>
              <c:pt idx="95">
                <c:v>0.33896363803719998</c:v>
              </c:pt>
              <c:pt idx="96">
                <c:v>0.33702497862540198</c:v>
              </c:pt>
              <c:pt idx="97">
                <c:v>0.33474660307585502</c:v>
              </c:pt>
              <c:pt idx="98">
                <c:v>0.332462533959752</c:v>
              </c:pt>
              <c:pt idx="99">
                <c:v>0.33035306755131999</c:v>
              </c:pt>
              <c:pt idx="100">
                <c:v>0.32611990081807102</c:v>
              </c:pt>
              <c:pt idx="101">
                <c:v>0.322869823243226</c:v>
              </c:pt>
              <c:pt idx="102">
                <c:v>0.32069582974717697</c:v>
              </c:pt>
              <c:pt idx="103">
                <c:v>0.31965865170650398</c:v>
              </c:pt>
              <c:pt idx="104">
                <c:v>0.31561337266955197</c:v>
              </c:pt>
              <c:pt idx="105">
                <c:v>0.31333120140896797</c:v>
              </c:pt>
              <c:pt idx="106">
                <c:v>0.31090479312900399</c:v>
              </c:pt>
              <c:pt idx="107">
                <c:v>0.30894525730650602</c:v>
              </c:pt>
              <c:pt idx="108">
                <c:v>0.30733113118831401</c:v>
              </c:pt>
              <c:pt idx="109">
                <c:v>0.307103388526135</c:v>
              </c:pt>
              <c:pt idx="110">
                <c:v>0.30366257647171602</c:v>
              </c:pt>
              <c:pt idx="111">
                <c:v>0.29944933722140699</c:v>
              </c:pt>
              <c:pt idx="112">
                <c:v>0.29583582031483502</c:v>
              </c:pt>
              <c:pt idx="113">
                <c:v>0.29568778758441899</c:v>
              </c:pt>
              <c:pt idx="114">
                <c:v>0.29552931664865301</c:v>
              </c:pt>
              <c:pt idx="115">
                <c:v>0.28705539176008099</c:v>
              </c:pt>
              <c:pt idx="116">
                <c:v>0.28659516179692801</c:v>
              </c:pt>
              <c:pt idx="117">
                <c:v>0.28234111865297801</c:v>
              </c:pt>
              <c:pt idx="118">
                <c:v>0.28226045979345599</c:v>
              </c:pt>
              <c:pt idx="119">
                <c:v>0.28180022983030301</c:v>
              </c:pt>
              <c:pt idx="120">
                <c:v>0.28154496826311098</c:v>
              </c:pt>
              <c:pt idx="121">
                <c:v>0.27979609440312903</c:v>
              </c:pt>
              <c:pt idx="122">
                <c:v>0.27961959383994101</c:v>
              </c:pt>
              <c:pt idx="123">
                <c:v>0.27595768161765599</c:v>
              </c:pt>
              <c:pt idx="124">
                <c:v>0.27589410345779802</c:v>
              </c:pt>
              <c:pt idx="125">
                <c:v>0.27572993895547698</c:v>
              </c:pt>
              <c:pt idx="126">
                <c:v>0.26741353607491197</c:v>
              </c:pt>
              <c:pt idx="127">
                <c:v>0.26584211170587801</c:v>
              </c:pt>
              <c:pt idx="128">
                <c:v>0.26485332898091801</c:v>
              </c:pt>
              <c:pt idx="129">
                <c:v>0.26342614163126399</c:v>
              </c:pt>
              <c:pt idx="130">
                <c:v>0.26218779090566602</c:v>
              </c:pt>
              <c:pt idx="131">
                <c:v>0.260737829289794</c:v>
              </c:pt>
              <c:pt idx="132">
                <c:v>0.25668495883076903</c:v>
              </c:pt>
              <c:pt idx="133">
                <c:v>0.24954237958818401</c:v>
              </c:pt>
              <c:pt idx="134">
                <c:v>0.246130984294297</c:v>
              </c:pt>
              <c:pt idx="135">
                <c:v>0.24481197470917701</c:v>
              </c:pt>
              <c:pt idx="136">
                <c:v>0.24236184323523599</c:v>
              </c:pt>
              <c:pt idx="137">
                <c:v>0.24204869707474</c:v>
              </c:pt>
              <c:pt idx="138">
                <c:v>0.23839817198556501</c:v>
              </c:pt>
              <c:pt idx="139">
                <c:v>0.23419726879612399</c:v>
              </c:pt>
              <c:pt idx="140">
                <c:v>0.225636042553716</c:v>
              </c:pt>
              <c:pt idx="141">
                <c:v>0.22520712720661301</c:v>
              </c:pt>
              <c:pt idx="142">
                <c:v>0.224740254749146</c:v>
              </c:pt>
              <c:pt idx="143">
                <c:v>0.22195704963176899</c:v>
              </c:pt>
              <c:pt idx="144">
                <c:v>0.22155849997295601</c:v>
              </c:pt>
              <c:pt idx="145">
                <c:v>0.22053555584866899</c:v>
              </c:pt>
              <c:pt idx="146">
                <c:v>0.218283750276375</c:v>
              </c:pt>
              <c:pt idx="147">
                <c:v>0.21656619103244301</c:v>
              </c:pt>
              <c:pt idx="148">
                <c:v>0.21428971333841301</c:v>
              </c:pt>
              <c:pt idx="149">
                <c:v>0.21073692780842301</c:v>
              </c:pt>
              <c:pt idx="150">
                <c:v>0.21008501443793601</c:v>
              </c:pt>
              <c:pt idx="151">
                <c:v>0.20984778249816599</c:v>
              </c:pt>
              <c:pt idx="152">
                <c:v>0.209249958009947</c:v>
              </c:pt>
              <c:pt idx="153">
                <c:v>0.208691988487608</c:v>
              </c:pt>
              <c:pt idx="154">
                <c:v>0.20825737957394999</c:v>
              </c:pt>
              <c:pt idx="155">
                <c:v>0.208145406098379</c:v>
              </c:pt>
              <c:pt idx="156">
                <c:v>0.20477386577037299</c:v>
              </c:pt>
              <c:pt idx="157">
                <c:v>0.19661024025901899</c:v>
              </c:pt>
              <c:pt idx="158">
                <c:v>0.196302787665078</c:v>
              </c:pt>
              <c:pt idx="159">
                <c:v>0.19570496317685801</c:v>
              </c:pt>
              <c:pt idx="160">
                <c:v>0.19464690872548601</c:v>
              </c:pt>
              <c:pt idx="161">
                <c:v>0.19212845445289101</c:v>
              </c:pt>
              <c:pt idx="162">
                <c:v>0.19145186896066799</c:v>
              </c:pt>
              <c:pt idx="163">
                <c:v>0.18744170025080201</c:v>
              </c:pt>
              <c:pt idx="164">
                <c:v>0.18685716075120901</c:v>
              </c:pt>
              <c:pt idx="165">
                <c:v>0.186507955335868</c:v>
              </c:pt>
              <c:pt idx="166">
                <c:v>0.18543661589586799</c:v>
              </c:pt>
              <c:pt idx="167">
                <c:v>0.18173864441873899</c:v>
              </c:pt>
              <c:pt idx="168">
                <c:v>0.17731948784470999</c:v>
              </c:pt>
              <c:pt idx="169">
                <c:v>0.17339092692212399</c:v>
              </c:pt>
              <c:pt idx="170">
                <c:v>0.17195709707815701</c:v>
              </c:pt>
              <c:pt idx="171">
                <c:v>0.16953828022026499</c:v>
              </c:pt>
              <c:pt idx="172">
                <c:v>0.16924980618150501</c:v>
              </c:pt>
              <c:pt idx="173">
                <c:v>0.16878483157955701</c:v>
              </c:pt>
              <c:pt idx="174">
                <c:v>0.168327448399681</c:v>
              </c:pt>
              <c:pt idx="175">
                <c:v>0.16752940015429599</c:v>
              </c:pt>
              <c:pt idx="176">
                <c:v>0.16724661968209001</c:v>
              </c:pt>
              <c:pt idx="177">
                <c:v>0.16639448255443801</c:v>
              </c:pt>
              <c:pt idx="178">
                <c:v>0.165759649883614</c:v>
              </c:pt>
              <c:pt idx="179">
                <c:v>0.164815466763331</c:v>
              </c:pt>
              <c:pt idx="180">
                <c:v>0.16463991512790099</c:v>
              </c:pt>
              <c:pt idx="181">
                <c:v>0.164184429803543</c:v>
              </c:pt>
              <c:pt idx="182">
                <c:v>0.16285023737427901</c:v>
              </c:pt>
              <c:pt idx="183">
                <c:v>0.16276103816492599</c:v>
              </c:pt>
              <c:pt idx="184">
                <c:v>0.162277085007795</c:v>
              </c:pt>
              <c:pt idx="185">
                <c:v>0.16083566374175501</c:v>
              </c:pt>
              <c:pt idx="186">
                <c:v>0.16046463298795499</c:v>
              </c:pt>
              <c:pt idx="187">
                <c:v>0.159113359859027</c:v>
              </c:pt>
              <c:pt idx="188">
                <c:v>0.15564882461063101</c:v>
              </c:pt>
              <c:pt idx="189">
                <c:v>0.15339227439954201</c:v>
              </c:pt>
              <c:pt idx="190">
                <c:v>0.14991919880131499</c:v>
              </c:pt>
              <c:pt idx="191">
                <c:v>0.149772114998657</c:v>
              </c:pt>
              <c:pt idx="192">
                <c:v>0.149420062800039</c:v>
              </c:pt>
              <c:pt idx="193">
                <c:v>0.14811528713130601</c:v>
              </c:pt>
              <c:pt idx="194">
                <c:v>0.14787141269722301</c:v>
              </c:pt>
              <c:pt idx="195">
                <c:v>0.14767688250661201</c:v>
              </c:pt>
              <c:pt idx="196">
                <c:v>0.144768418925036</c:v>
              </c:pt>
              <c:pt idx="197">
                <c:v>0.143759708717135</c:v>
              </c:pt>
              <c:pt idx="198">
                <c:v>0.14233062351196299</c:v>
              </c:pt>
              <c:pt idx="199">
                <c:v>0.13963282189290199</c:v>
              </c:pt>
              <c:pt idx="200">
                <c:v>0.1394705552461</c:v>
              </c:pt>
              <c:pt idx="201">
                <c:v>0.13918208120733999</c:v>
              </c:pt>
              <c:pt idx="202">
                <c:v>0.137961760109165</c:v>
              </c:pt>
              <c:pt idx="203">
                <c:v>0.13585039584521499</c:v>
              </c:pt>
              <c:pt idx="204">
                <c:v>0.13567484420978501</c:v>
              </c:pt>
              <c:pt idx="205">
                <c:v>0.135054245455348</c:v>
              </c:pt>
              <c:pt idx="206">
                <c:v>0.134222984738395</c:v>
              </c:pt>
              <c:pt idx="207">
                <c:v>0.134196414761141</c:v>
              </c:pt>
              <c:pt idx="208">
                <c:v>0.13348851465286801</c:v>
              </c:pt>
              <c:pt idx="209">
                <c:v>0.13198825986576501</c:v>
              </c:pt>
              <c:pt idx="210">
                <c:v>0.130713849885322</c:v>
              </c:pt>
              <c:pt idx="211">
                <c:v>0.127590928630194</c:v>
              </c:pt>
              <c:pt idx="212">
                <c:v>0.12707850764029199</c:v>
              </c:pt>
              <c:pt idx="213">
                <c:v>0.12707281407373699</c:v>
              </c:pt>
              <c:pt idx="214">
                <c:v>0.12589993936351601</c:v>
              </c:pt>
              <c:pt idx="215">
                <c:v>0.124079895921603</c:v>
              </c:pt>
              <c:pt idx="216">
                <c:v>0.123600687403269</c:v>
              </c:pt>
              <c:pt idx="217">
                <c:v>0.12347542893907</c:v>
              </c:pt>
              <c:pt idx="218">
                <c:v>0.122680227476962</c:v>
              </c:pt>
              <c:pt idx="219">
                <c:v>0.120640981722702</c:v>
              </c:pt>
              <c:pt idx="220">
                <c:v>0.119724317507432</c:v>
              </c:pt>
              <c:pt idx="221">
                <c:v>0.11762339144883199</c:v>
              </c:pt>
              <c:pt idx="222">
                <c:v>0.11621518265436</c:v>
              </c:pt>
              <c:pt idx="223">
                <c:v>0.113950092093439</c:v>
              </c:pt>
              <c:pt idx="224">
                <c:v>0.113022989672819</c:v>
              </c:pt>
              <c:pt idx="225">
                <c:v>0.10865507519778</c:v>
              </c:pt>
              <c:pt idx="226">
                <c:v>0.10823280234499</c:v>
              </c:pt>
              <c:pt idx="227">
                <c:v>0.108083820686815</c:v>
              </c:pt>
              <c:pt idx="228">
                <c:v>0.10788929049620399</c:v>
              </c:pt>
              <c:pt idx="229">
                <c:v>0.106949852014716</c:v>
              </c:pt>
              <c:pt idx="230">
                <c:v>0.105237986337338</c:v>
              </c:pt>
              <c:pt idx="231">
                <c:v>0.104902065910624</c:v>
              </c:pt>
              <c:pt idx="232">
                <c:v>0.10248609583601</c:v>
              </c:pt>
              <c:pt idx="233">
                <c:v>0.10151818952175</c:v>
              </c:pt>
              <c:pt idx="234">
                <c:v>9.8960829211032997E-2</c:v>
              </c:pt>
              <c:pt idx="235">
                <c:v>9.8566075263256295E-2</c:v>
              </c:pt>
              <c:pt idx="236">
                <c:v>9.7404587686144004E-2</c:v>
              </c:pt>
              <c:pt idx="237">
                <c:v>9.5351108015497898E-2</c:v>
              </c:pt>
              <c:pt idx="238">
                <c:v>9.5325486966002806E-2</c:v>
              </c:pt>
              <c:pt idx="239">
                <c:v>9.1457657419998201E-2</c:v>
              </c:pt>
              <c:pt idx="240">
                <c:v>8.9630971483771901E-2</c:v>
              </c:pt>
              <c:pt idx="241">
                <c:v>8.9527538358032399E-2</c:v>
              </c:pt>
              <c:pt idx="242">
                <c:v>8.9278919285153704E-2</c:v>
              </c:pt>
              <c:pt idx="243">
                <c:v>8.8965773124657796E-2</c:v>
              </c:pt>
              <c:pt idx="244">
                <c:v>8.5937744645437894E-2</c:v>
              </c:pt>
              <c:pt idx="245">
                <c:v>8.5725184827404294E-2</c:v>
              </c:pt>
              <c:pt idx="246">
                <c:v>8.5288678058228096E-2</c:v>
              </c:pt>
              <c:pt idx="247">
                <c:v>8.5209917054224593E-2</c:v>
              </c:pt>
              <c:pt idx="248">
                <c:v>8.3643237323985695E-2</c:v>
              </c:pt>
              <c:pt idx="249">
                <c:v>8.1957941623862093E-2</c:v>
              </c:pt>
              <c:pt idx="250">
                <c:v>8.1917137730221704E-2</c:v>
              </c:pt>
              <c:pt idx="251">
                <c:v>8.1499609516227103E-2</c:v>
              </c:pt>
              <c:pt idx="252">
                <c:v>8.0907478594562099E-2</c:v>
              </c:pt>
              <c:pt idx="253">
                <c:v>8.0875215050753402E-2</c:v>
              </c:pt>
              <c:pt idx="254">
                <c:v>8.0631340616670197E-2</c:v>
              </c:pt>
              <c:pt idx="255">
                <c:v>7.8321650451072797E-2</c:v>
              </c:pt>
              <c:pt idx="256">
                <c:v>7.7865216198956005E-2</c:v>
              </c:pt>
              <c:pt idx="257">
                <c:v>7.6154299449337201E-2</c:v>
              </c:pt>
              <c:pt idx="258">
                <c:v>7.4781200981950402E-2</c:v>
              </c:pt>
              <c:pt idx="259">
                <c:v>7.4738499232791897E-2</c:v>
              </c:pt>
              <c:pt idx="260">
                <c:v>7.2462970466521406E-2</c:v>
              </c:pt>
              <c:pt idx="261">
                <c:v>7.2278878481260106E-2</c:v>
              </c:pt>
              <c:pt idx="262">
                <c:v>7.2244717081933293E-2</c:v>
              </c:pt>
              <c:pt idx="263">
                <c:v>7.1667769004413504E-2</c:v>
              </c:pt>
              <c:pt idx="264">
                <c:v>7.0658109868753802E-2</c:v>
              </c:pt>
              <c:pt idx="265">
                <c:v>7.0275691981845106E-2</c:v>
              </c:pt>
              <c:pt idx="266">
                <c:v>6.9388444527106602E-2</c:v>
              </c:pt>
              <c:pt idx="267">
                <c:v>6.8479371733909306E-2</c:v>
              </c:pt>
              <c:pt idx="268">
                <c:v>6.7278978118674795E-2</c:v>
              </c:pt>
              <c:pt idx="269">
                <c:v>6.6019750982377501E-2</c:v>
              </c:pt>
              <c:pt idx="270">
                <c:v>6.4970236880836502E-2</c:v>
              </c:pt>
              <c:pt idx="271">
                <c:v>6.4956002964450296E-2</c:v>
              </c:pt>
              <c:pt idx="272">
                <c:v>6.4027951616071402E-2</c:v>
              </c:pt>
              <c:pt idx="273">
                <c:v>6.1904251291253397E-2</c:v>
              </c:pt>
              <c:pt idx="274">
                <c:v>5.9895371225284003E-2</c:v>
              </c:pt>
              <c:pt idx="275">
                <c:v>5.93250656420777E-2</c:v>
              </c:pt>
              <c:pt idx="276">
                <c:v>5.8557383084983101E-2</c:v>
              </c:pt>
              <c:pt idx="277">
                <c:v>5.8391320727144397E-2</c:v>
              </c:pt>
              <c:pt idx="278">
                <c:v>5.7747947706489097E-2</c:v>
              </c:pt>
              <c:pt idx="279">
                <c:v>5.7341806625603398E-2</c:v>
              </c:pt>
              <c:pt idx="280">
                <c:v>5.7035302959420997E-2</c:v>
              </c:pt>
              <c:pt idx="281">
                <c:v>5.6406163855151903E-2</c:v>
              </c:pt>
              <c:pt idx="282">
                <c:v>5.6298935018376003E-2</c:v>
              </c:pt>
              <c:pt idx="283">
                <c:v>5.5063431076055602E-2</c:v>
              </c:pt>
              <c:pt idx="284">
                <c:v>5.4827148064044998E-2</c:v>
              </c:pt>
              <c:pt idx="285">
                <c:v>5.4301442085515503E-2</c:v>
              </c:pt>
              <c:pt idx="286">
                <c:v>5.3576461277579403E-2</c:v>
              </c:pt>
              <c:pt idx="287">
                <c:v>5.3222511223443097E-2</c:v>
              </c:pt>
              <c:pt idx="288">
                <c:v>5.2323876635595602E-2</c:v>
              </c:pt>
              <c:pt idx="289">
                <c:v>5.2176792832938398E-2</c:v>
              </c:pt>
              <c:pt idx="290">
                <c:v>5.1666269698554097E-2</c:v>
              </c:pt>
              <c:pt idx="291">
                <c:v>5.1265822184222903E-2</c:v>
              </c:pt>
              <c:pt idx="292">
                <c:v>5.0494343916091998E-2</c:v>
              </c:pt>
              <c:pt idx="293">
                <c:v>4.9959148659971697E-2</c:v>
              </c:pt>
              <c:pt idx="294">
                <c:v>4.9175334330972702E-2</c:v>
              </c:pt>
              <c:pt idx="295">
                <c:v>4.8791967516304997E-2</c:v>
              </c:pt>
              <c:pt idx="296">
                <c:v>4.8063190997332597E-2</c:v>
              </c:pt>
              <c:pt idx="297">
                <c:v>4.7637122433506297E-2</c:v>
              </c:pt>
              <c:pt idx="298">
                <c:v>4.7246164196765902E-2</c:v>
              </c:pt>
              <c:pt idx="299">
                <c:v>4.7035502234250397E-2</c:v>
              </c:pt>
              <c:pt idx="300">
                <c:v>4.6296287509928202E-2</c:v>
              </c:pt>
              <c:pt idx="301">
                <c:v>4.6051464148085898E-2</c:v>
              </c:pt>
              <c:pt idx="302">
                <c:v>4.5796202580893702E-2</c:v>
              </c:pt>
              <c:pt idx="303">
                <c:v>4.5229692708723797E-2</c:v>
              </c:pt>
              <c:pt idx="304">
                <c:v>4.4911801909432503E-2</c:v>
              </c:pt>
              <c:pt idx="305">
                <c:v>4.3820534986492E-2</c:v>
              </c:pt>
              <c:pt idx="306">
                <c:v>4.25594099946765E-2</c:v>
              </c:pt>
              <c:pt idx="307">
                <c:v>4.1961585506456997E-2</c:v>
              </c:pt>
              <c:pt idx="308">
                <c:v>4.1916036974021201E-2</c:v>
              </c:pt>
              <c:pt idx="309">
                <c:v>4.1857203452958298E-2</c:v>
              </c:pt>
              <c:pt idx="310">
                <c:v>4.0043802505359001E-2</c:v>
              </c:pt>
              <c:pt idx="311">
                <c:v>3.9985917912055302E-2</c:v>
              </c:pt>
              <c:pt idx="312">
                <c:v>3.9162248617175002E-2</c:v>
              </c:pt>
              <c:pt idx="313">
                <c:v>3.7977986773844903E-2</c:v>
              </c:pt>
              <c:pt idx="314">
                <c:v>3.7954263579867899E-2</c:v>
              </c:pt>
              <c:pt idx="315">
                <c:v>3.7019569737175503E-2</c:v>
              </c:pt>
              <c:pt idx="316">
                <c:v>3.5859980015581397E-2</c:v>
              </c:pt>
              <c:pt idx="317">
                <c:v>3.53731800751741E-2</c:v>
              </c:pt>
              <c:pt idx="318">
                <c:v>3.5159671329381401E-2</c:v>
              </c:pt>
              <c:pt idx="319">
                <c:v>3.4811414841799497E-2</c:v>
              </c:pt>
              <c:pt idx="320">
                <c:v>3.3328240754359598E-2</c:v>
              </c:pt>
              <c:pt idx="321">
                <c:v>3.2468512204634398E-2</c:v>
              </c:pt>
              <c:pt idx="322">
                <c:v>3.2055728629435197E-2</c:v>
              </c:pt>
              <c:pt idx="323">
                <c:v>3.1803313845520299E-2</c:v>
              </c:pt>
              <c:pt idx="324">
                <c:v>3.0713944778097999E-2</c:v>
              </c:pt>
              <c:pt idx="325">
                <c:v>3.0304007986175999E-2</c:v>
              </c:pt>
              <c:pt idx="326">
                <c:v>2.93123784779388E-2</c:v>
              </c:pt>
              <c:pt idx="327">
                <c:v>2.9027700150215299E-2</c:v>
              </c:pt>
              <c:pt idx="328">
                <c:v>2.8848352803749401E-2</c:v>
              </c:pt>
              <c:pt idx="329">
                <c:v>2.8658567251933699E-2</c:v>
              </c:pt>
              <c:pt idx="330">
                <c:v>2.7564453545715999E-2</c:v>
              </c:pt>
              <c:pt idx="331">
                <c:v>2.7204809925025199E-2</c:v>
              </c:pt>
              <c:pt idx="332">
                <c:v>2.67815881444761E-2</c:v>
              </c:pt>
              <c:pt idx="333">
                <c:v>2.6639248980614399E-2</c:v>
              </c:pt>
              <c:pt idx="334">
                <c:v>2.5697912643608399E-2</c:v>
              </c:pt>
              <c:pt idx="335">
                <c:v>2.5551777768710201E-2</c:v>
              </c:pt>
              <c:pt idx="336">
                <c:v>2.5546084202155799E-2</c:v>
              </c:pt>
              <c:pt idx="337">
                <c:v>2.4552556838400401E-2</c:v>
              </c:pt>
              <c:pt idx="338">
                <c:v>2.3895898829117999E-2</c:v>
              </c:pt>
              <c:pt idx="339">
                <c:v>2.3397711755601801E-2</c:v>
              </c:pt>
              <c:pt idx="340">
                <c:v>2.2875801488108499E-2</c:v>
              </c:pt>
              <c:pt idx="341">
                <c:v>2.2742002674078401E-2</c:v>
              </c:pt>
              <c:pt idx="342">
                <c:v>2.26869648640519E-2</c:v>
              </c:pt>
              <c:pt idx="343">
                <c:v>2.2581633882794099E-2</c:v>
              </c:pt>
              <c:pt idx="344">
                <c:v>2.2360533714928799E-2</c:v>
              </c:pt>
              <c:pt idx="345">
                <c:v>2.2347248726301699E-2</c:v>
              </c:pt>
              <c:pt idx="346">
                <c:v>2.1519783720385099E-2</c:v>
              </c:pt>
              <c:pt idx="347">
                <c:v>2.0957069559251501E-2</c:v>
              </c:pt>
              <c:pt idx="348">
                <c:v>2.07122461974092E-2</c:v>
              </c:pt>
              <c:pt idx="349">
                <c:v>2.00043460891366E-2</c:v>
              </c:pt>
              <c:pt idx="350">
                <c:v>1.98117137540436E-2</c:v>
              </c:pt>
              <c:pt idx="351">
                <c:v>1.7515308577073299E-2</c:v>
              </c:pt>
              <c:pt idx="352">
                <c:v>1.6812153107596099E-2</c:v>
              </c:pt>
              <c:pt idx="353">
                <c:v>1.6632805761130201E-2</c:v>
              </c:pt>
              <c:pt idx="354">
                <c:v>1.33286393040184E-2</c:v>
              </c:pt>
              <c:pt idx="355">
                <c:v>1.2916804656578299E-2</c:v>
              </c:pt>
              <c:pt idx="356">
                <c:v>1.25742417355509E-2</c:v>
              </c:pt>
              <c:pt idx="357">
                <c:v>1.24167197275439E-2</c:v>
              </c:pt>
              <c:pt idx="358">
                <c:v>1.16110800600861E-2</c:v>
              </c:pt>
              <c:pt idx="359">
                <c:v>9.0679536657553798E-3</c:v>
              </c:pt>
              <c:pt idx="360">
                <c:v>8.5877962196615892E-3</c:v>
              </c:pt>
              <c:pt idx="361">
                <c:v>8.1408512451355605E-3</c:v>
              </c:pt>
              <c:pt idx="362">
                <c:v>7.9017214498477498E-3</c:v>
              </c:pt>
              <c:pt idx="363">
                <c:v>4.8850801037367804E-3</c:v>
              </c:pt>
              <c:pt idx="364">
                <c:v>2.95116533073454E-3</c:v>
              </c:pt>
              <c:pt idx="365">
                <c:v>0</c:v>
              </c:pt>
            </c:numLit>
          </c:val>
          <c:smooth val="0"/>
        </c:ser>
        <c:ser>
          <c:idx val="1"/>
          <c:order val="1"/>
          <c:tx>
            <c:v>2008</c:v>
          </c:tx>
          <c:marker>
            <c:symbol val="none"/>
          </c:marker>
          <c:cat>
            <c:strLit>
              <c:ptCount val="36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strLit>
          </c:cat>
          <c:val>
            <c:numLit>
              <c:formatCode>General</c:formatCode>
              <c:ptCount val="366"/>
              <c:pt idx="0">
                <c:v>20.775797345270199</c:v>
              </c:pt>
              <c:pt idx="1">
                <c:v>10.501691721232779</c:v>
              </c:pt>
              <c:pt idx="2">
                <c:v>7.5901618176272088</c:v>
              </c:pt>
              <c:pt idx="3">
                <c:v>7.4179412276581447</c:v>
              </c:pt>
              <c:pt idx="4">
                <c:v>6.6433537250616173</c:v>
              </c:pt>
              <c:pt idx="5">
                <c:v>6.6248804660467382</c:v>
              </c:pt>
              <c:pt idx="6">
                <c:v>6.4589757601049467</c:v>
              </c:pt>
              <c:pt idx="7">
                <c:v>4.9511440639111326</c:v>
              </c:pt>
              <c:pt idx="8">
                <c:v>4.1519470700847902</c:v>
              </c:pt>
              <c:pt idx="9">
                <c:v>3.993705636762749</c:v>
              </c:pt>
              <c:pt idx="10">
                <c:v>3.982578452636484</c:v>
              </c:pt>
              <c:pt idx="11">
                <c:v>3.5207282635342381</c:v>
              </c:pt>
              <c:pt idx="12">
                <c:v>3.1395267671843512</c:v>
              </c:pt>
              <c:pt idx="13">
                <c:v>2.5780156708778792</c:v>
              </c:pt>
              <c:pt idx="14">
                <c:v>2.1943486405410511</c:v>
              </c:pt>
              <c:pt idx="15">
                <c:v>1.923833245690695</c:v>
              </c:pt>
              <c:pt idx="16">
                <c:v>1.7963001083525001</c:v>
              </c:pt>
              <c:pt idx="17">
                <c:v>1.7811307584487821</c:v>
              </c:pt>
              <c:pt idx="18">
                <c:v>1.7526110332411999</c:v>
              </c:pt>
              <c:pt idx="19">
                <c:v>1.6334354479224951</c:v>
              </c:pt>
              <c:pt idx="20">
                <c:v>1.609282571715694</c:v>
              </c:pt>
              <c:pt idx="21">
                <c:v>1.6079969384336981</c:v>
              </c:pt>
              <c:pt idx="22">
                <c:v>1.591133060237627</c:v>
              </c:pt>
              <c:pt idx="23">
                <c:v>1.576230380992838</c:v>
              </c:pt>
              <c:pt idx="24">
                <c:v>1.523786087089958</c:v>
              </c:pt>
              <c:pt idx="25">
                <c:v>1.3634337449730241</c:v>
              </c:pt>
              <c:pt idx="26">
                <c:v>1.16979341912955</c:v>
              </c:pt>
              <c:pt idx="27">
                <c:v>1.1366935083940439</c:v>
              </c:pt>
              <c:pt idx="28">
                <c:v>1.0815291737700869</c:v>
              </c:pt>
              <c:pt idx="29">
                <c:v>1.043074329065979</c:v>
              </c:pt>
              <c:pt idx="30">
                <c:v>1.0387757851813451</c:v>
              </c:pt>
              <c:pt idx="31">
                <c:v>1.00615868869148</c:v>
              </c:pt>
              <c:pt idx="32">
                <c:v>0.96292997134927905</c:v>
              </c:pt>
              <c:pt idx="33">
                <c:v>0.92528168842761604</c:v>
              </c:pt>
              <c:pt idx="34">
                <c:v>0.91061105944042198</c:v>
              </c:pt>
              <c:pt idx="35">
                <c:v>0.88304479879932696</c:v>
              </c:pt>
              <c:pt idx="36">
                <c:v>0.85257136013264301</c:v>
              </c:pt>
              <c:pt idx="37">
                <c:v>0.85064010315008198</c:v>
              </c:pt>
              <c:pt idx="38">
                <c:v>0.83231281123272904</c:v>
              </c:pt>
              <c:pt idx="39">
                <c:v>0.82359501990205197</c:v>
              </c:pt>
              <c:pt idx="40">
                <c:v>0.80924439570557305</c:v>
              </c:pt>
              <c:pt idx="41">
                <c:v>0.80194978357570701</c:v>
              </c:pt>
              <c:pt idx="42">
                <c:v>0.769309294922778</c:v>
              </c:pt>
              <c:pt idx="43">
                <c:v>0.751258966216102</c:v>
              </c:pt>
              <c:pt idx="44">
                <c:v>0.71131544425460402</c:v>
              </c:pt>
              <c:pt idx="45">
                <c:v>0.68608278580076998</c:v>
              </c:pt>
              <c:pt idx="46">
                <c:v>0.663262327202091</c:v>
              </c:pt>
              <c:pt idx="47">
                <c:v>0.65791487872567</c:v>
              </c:pt>
              <c:pt idx="48">
                <c:v>0.62635510800629501</c:v>
              </c:pt>
              <c:pt idx="49">
                <c:v>0.62200229430335296</c:v>
              </c:pt>
              <c:pt idx="50">
                <c:v>0.62088134184932797</c:v>
              </c:pt>
              <c:pt idx="51">
                <c:v>0.59934651653264504</c:v>
              </c:pt>
              <c:pt idx="52">
                <c:v>0.589789414391233</c:v>
              </c:pt>
              <c:pt idx="53">
                <c:v>0.57363665795230601</c:v>
              </c:pt>
              <c:pt idx="54">
                <c:v>0.56591256570858595</c:v>
              </c:pt>
              <c:pt idx="55">
                <c:v>0.556076628983451</c:v>
              </c:pt>
              <c:pt idx="56">
                <c:v>0.55388057271500701</c:v>
              </c:pt>
              <c:pt idx="57">
                <c:v>0.55250979195945804</c:v>
              </c:pt>
              <c:pt idx="58">
                <c:v>0.54858177993775803</c:v>
              </c:pt>
              <c:pt idx="59">
                <c:v>0.54298263178676798</c:v>
              </c:pt>
              <c:pt idx="60">
                <c:v>0.54118330660388902</c:v>
              </c:pt>
              <c:pt idx="61">
                <c:v>0.53700453059414199</c:v>
              </c:pt>
              <c:pt idx="62">
                <c:v>0.50670700099369903</c:v>
              </c:pt>
              <c:pt idx="63">
                <c:v>0.49220292420751999</c:v>
              </c:pt>
              <c:pt idx="64">
                <c:v>0.48576352955927299</c:v>
              </c:pt>
              <c:pt idx="65">
                <c:v>0.482733776599229</c:v>
              </c:pt>
              <c:pt idx="66">
                <c:v>0.48092509455112298</c:v>
              </c:pt>
              <c:pt idx="67">
                <c:v>0.480181223765689</c:v>
              </c:pt>
              <c:pt idx="68">
                <c:v>0.47157852187728699</c:v>
              </c:pt>
              <c:pt idx="69">
                <c:v>0.46436344310183802</c:v>
              </c:pt>
              <c:pt idx="70">
                <c:v>0.44613720532892198</c:v>
              </c:pt>
              <c:pt idx="71">
                <c:v>0.44479449516905101</c:v>
              </c:pt>
              <c:pt idx="72">
                <c:v>0.43792655609347098</c:v>
              </c:pt>
              <c:pt idx="73">
                <c:v>0.43725847591636502</c:v>
              </c:pt>
              <c:pt idx="74">
                <c:v>0.43486592547818298</c:v>
              </c:pt>
              <c:pt idx="75">
                <c:v>0.43185020781597699</c:v>
              </c:pt>
              <c:pt idx="76">
                <c:v>0.43129721708114499</c:v>
              </c:pt>
              <c:pt idx="77">
                <c:v>0.429510991509581</c:v>
              </c:pt>
              <c:pt idx="78">
                <c:v>0.42686299865074001</c:v>
              </c:pt>
              <c:pt idx="79">
                <c:v>0.41922218250752802</c:v>
              </c:pt>
              <c:pt idx="80">
                <c:v>0.41262372115044499</c:v>
              </c:pt>
              <c:pt idx="81">
                <c:v>0.41207915159431602</c:v>
              </c:pt>
              <c:pt idx="82">
                <c:v>0.41058486021779</c:v>
              </c:pt>
              <c:pt idx="83">
                <c:v>0.40818201722786002</c:v>
              </c:pt>
              <c:pt idx="84">
                <c:v>0.40309749666427702</c:v>
              </c:pt>
              <c:pt idx="85">
                <c:v>0.403046033905537</c:v>
              </c:pt>
              <c:pt idx="86">
                <c:v>0.40225537879397499</c:v>
              </c:pt>
              <c:pt idx="87">
                <c:v>0.39532287734833899</c:v>
              </c:pt>
              <c:pt idx="88">
                <c:v>0.38282210540695799</c:v>
              </c:pt>
              <c:pt idx="89">
                <c:v>0.37358875080235099</c:v>
              </c:pt>
              <c:pt idx="90">
                <c:v>0.373213540506805</c:v>
              </c:pt>
              <c:pt idx="91">
                <c:v>0.36656923051011697</c:v>
              </c:pt>
              <c:pt idx="92">
                <c:v>0.35688674637468298</c:v>
              </c:pt>
              <c:pt idx="93">
                <c:v>0.354357585704207</c:v>
              </c:pt>
              <c:pt idx="94">
                <c:v>0.35257697425177797</c:v>
              </c:pt>
              <c:pt idx="95">
                <c:v>0.347200519493157</c:v>
              </c:pt>
              <c:pt idx="96">
                <c:v>0.34711256496003701</c:v>
              </c:pt>
              <c:pt idx="97">
                <c:v>0.34343344555333699</c:v>
              </c:pt>
              <c:pt idx="98">
                <c:v>0.34341753888245402</c:v>
              </c:pt>
              <c:pt idx="99">
                <c:v>0.33646538801984399</c:v>
              </c:pt>
              <c:pt idx="100">
                <c:v>0.33243912891327498</c:v>
              </c:pt>
              <c:pt idx="101">
                <c:v>0.330708108846542</c:v>
              </c:pt>
              <c:pt idx="102">
                <c:v>0.323267529619157</c:v>
              </c:pt>
              <c:pt idx="103">
                <c:v>0.32210821401770701</c:v>
              </c:pt>
              <c:pt idx="104">
                <c:v>0.31734182687179402</c:v>
              </c:pt>
              <c:pt idx="105">
                <c:v>0.31454412416934402</c:v>
              </c:pt>
              <c:pt idx="106">
                <c:v>0.31279439037216</c:v>
              </c:pt>
              <c:pt idx="107">
                <c:v>0.30994522491096899</c:v>
              </c:pt>
              <c:pt idx="108">
                <c:v>0.30806449500062699</c:v>
              </c:pt>
              <c:pt idx="109">
                <c:v>0.30483450512475502</c:v>
              </c:pt>
              <c:pt idx="110">
                <c:v>0.29758480594797199</c:v>
              </c:pt>
              <c:pt idx="111">
                <c:v>0.29635344248428502</c:v>
              </c:pt>
              <c:pt idx="112">
                <c:v>0.28787237984381497</c:v>
              </c:pt>
              <c:pt idx="113">
                <c:v>0.28618346567059699</c:v>
              </c:pt>
              <c:pt idx="114">
                <c:v>0.28229007405023099</c:v>
              </c:pt>
              <c:pt idx="115">
                <c:v>0.28209545125353902</c:v>
              </c:pt>
              <c:pt idx="116">
                <c:v>0.28022782095451299</c:v>
              </c:pt>
              <c:pt idx="117">
                <c:v>0.28000793462171097</c:v>
              </c:pt>
              <c:pt idx="118">
                <c:v>0.27618471949053702</c:v>
              </c:pt>
              <c:pt idx="119">
                <c:v>0.26782529609799999</c:v>
              </c:pt>
              <c:pt idx="120">
                <c:v>0.26615322428218802</c:v>
              </c:pt>
              <c:pt idx="121">
                <c:v>0.26139338694193298</c:v>
              </c:pt>
              <c:pt idx="122">
                <c:v>0.25593272039628201</c:v>
              </c:pt>
              <c:pt idx="123">
                <c:v>0.25550136890938202</c:v>
              </c:pt>
              <c:pt idx="124">
                <c:v>0.25277009995003402</c:v>
              </c:pt>
              <c:pt idx="125">
                <c:v>0.24993777684624999</c:v>
              </c:pt>
              <c:pt idx="126">
                <c:v>0.24956350223722601</c:v>
              </c:pt>
              <c:pt idx="127">
                <c:v>0.24940256415534601</c:v>
              </c:pt>
              <c:pt idx="128">
                <c:v>0.24505442888501699</c:v>
              </c:pt>
              <c:pt idx="129">
                <c:v>0.24266842825249299</c:v>
              </c:pt>
              <c:pt idx="130">
                <c:v>0.24062301751418</c:v>
              </c:pt>
              <c:pt idx="131">
                <c:v>0.22920857762548999</c:v>
              </c:pt>
              <c:pt idx="132">
                <c:v>0.228435700557856</c:v>
              </c:pt>
              <c:pt idx="133">
                <c:v>0.22797160004266701</c:v>
              </c:pt>
              <c:pt idx="134">
                <c:v>0.223740425587658</c:v>
              </c:pt>
              <c:pt idx="135">
                <c:v>0.21898433099349299</c:v>
              </c:pt>
              <c:pt idx="136">
                <c:v>0.21658897349574399</c:v>
              </c:pt>
              <c:pt idx="137">
                <c:v>0.21556533244006501</c:v>
              </c:pt>
              <c:pt idx="138">
                <c:v>0.21464087415577701</c:v>
              </c:pt>
              <c:pt idx="139">
                <c:v>0.21457444041267501</c:v>
              </c:pt>
              <c:pt idx="140">
                <c:v>0.21444999410517501</c:v>
              </c:pt>
              <c:pt idx="141">
                <c:v>0.21435174702030599</c:v>
              </c:pt>
              <c:pt idx="142">
                <c:v>0.21335243381421401</c:v>
              </c:pt>
              <c:pt idx="143">
                <c:v>0.21300248705477701</c:v>
              </c:pt>
              <c:pt idx="144">
                <c:v>0.21167287650622099</c:v>
              </c:pt>
              <c:pt idx="145">
                <c:v>0.20867025845533099</c:v>
              </c:pt>
              <c:pt idx="146">
                <c:v>0.208291305413695</c:v>
              </c:pt>
              <c:pt idx="147">
                <c:v>0.206180396618803</c:v>
              </c:pt>
              <c:pt idx="148">
                <c:v>0.204108786657859</c:v>
              </c:pt>
              <c:pt idx="149">
                <c:v>0.20205682611388801</c:v>
              </c:pt>
              <c:pt idx="150">
                <c:v>0.20068698104486199</c:v>
              </c:pt>
              <c:pt idx="151">
                <c:v>0.19961374860348799</c:v>
              </c:pt>
              <c:pt idx="152">
                <c:v>0.196967627117693</c:v>
              </c:pt>
              <c:pt idx="153">
                <c:v>0.19556222596080999</c:v>
              </c:pt>
              <c:pt idx="154">
                <c:v>0.19400430790074999</c:v>
              </c:pt>
              <c:pt idx="155">
                <c:v>0.19235375687495701</c:v>
              </c:pt>
              <c:pt idx="156">
                <c:v>0.19109432281559299</c:v>
              </c:pt>
              <c:pt idx="157">
                <c:v>0.19082858784318599</c:v>
              </c:pt>
              <c:pt idx="158">
                <c:v>0.18871393630220401</c:v>
              </c:pt>
              <c:pt idx="159">
                <c:v>0.188490307223313</c:v>
              </c:pt>
              <c:pt idx="160">
                <c:v>0.18617916151259301</c:v>
              </c:pt>
              <c:pt idx="161">
                <c:v>0.181366925727075</c:v>
              </c:pt>
              <c:pt idx="162">
                <c:v>0.17876945994045301</c:v>
              </c:pt>
              <c:pt idx="163">
                <c:v>0.17710487361682101</c:v>
              </c:pt>
              <c:pt idx="164">
                <c:v>0.176495741690636</c:v>
              </c:pt>
              <c:pt idx="165">
                <c:v>0.17619912906298499</c:v>
              </c:pt>
              <c:pt idx="166">
                <c:v>0.174513957635857</c:v>
              </c:pt>
              <c:pt idx="167">
                <c:v>0.174507407830199</c:v>
              </c:pt>
              <c:pt idx="168">
                <c:v>0.174031143390217</c:v>
              </c:pt>
              <c:pt idx="169">
                <c:v>0.17180888789914001</c:v>
              </c:pt>
              <c:pt idx="170">
                <c:v>0.17110244457460899</c:v>
              </c:pt>
              <c:pt idx="171">
                <c:v>0.16981587560609099</c:v>
              </c:pt>
              <c:pt idx="172">
                <c:v>0.166233131911215</c:v>
              </c:pt>
              <c:pt idx="173">
                <c:v>0.16611429972285</c:v>
              </c:pt>
              <c:pt idx="174">
                <c:v>0.16519451987117501</c:v>
              </c:pt>
              <c:pt idx="175">
                <c:v>0.164736033475121</c:v>
              </c:pt>
              <c:pt idx="176">
                <c:v>0.16339613037481701</c:v>
              </c:pt>
              <c:pt idx="177">
                <c:v>0.16122346626943701</c:v>
              </c:pt>
              <c:pt idx="178">
                <c:v>0.159426012459602</c:v>
              </c:pt>
              <c:pt idx="179">
                <c:v>0.15766224336457901</c:v>
              </c:pt>
              <c:pt idx="180">
                <c:v>0.15517051015500599</c:v>
              </c:pt>
              <c:pt idx="181">
                <c:v>0.15512840426149099</c:v>
              </c:pt>
              <c:pt idx="182">
                <c:v>0.154003709061375</c:v>
              </c:pt>
              <c:pt idx="183">
                <c:v>0.152572108681861</c:v>
              </c:pt>
              <c:pt idx="184">
                <c:v>0.152281110173345</c:v>
              </c:pt>
              <c:pt idx="185">
                <c:v>0.14868058843453999</c:v>
              </c:pt>
              <c:pt idx="186">
                <c:v>0.146960796606078</c:v>
              </c:pt>
              <c:pt idx="187">
                <c:v>0.145582530358349</c:v>
              </c:pt>
              <c:pt idx="188">
                <c:v>0.14436894493859101</c:v>
              </c:pt>
              <c:pt idx="189">
                <c:v>0.142567748382666</c:v>
              </c:pt>
              <c:pt idx="190">
                <c:v>0.14227113575501499</c:v>
              </c:pt>
              <c:pt idx="191">
                <c:v>0.140794622422418</c:v>
              </c:pt>
              <c:pt idx="192">
                <c:v>0.14044467566298099</c:v>
              </c:pt>
              <c:pt idx="193">
                <c:v>0.139665248789689</c:v>
              </c:pt>
              <c:pt idx="194">
                <c:v>0.13924231848149299</c:v>
              </c:pt>
              <c:pt idx="195">
                <c:v>0.13830850333198</c:v>
              </c:pt>
              <c:pt idx="196">
                <c:v>0.136718771930153</c:v>
              </c:pt>
              <c:pt idx="197">
                <c:v>0.13607034117002001</c:v>
              </c:pt>
              <c:pt idx="198">
                <c:v>0.134015573566481</c:v>
              </c:pt>
              <c:pt idx="199">
                <c:v>0.13267660615269999</c:v>
              </c:pt>
              <c:pt idx="200">
                <c:v>0.13046277184032701</c:v>
              </c:pt>
              <c:pt idx="201">
                <c:v>0.13004358427822099</c:v>
              </c:pt>
              <c:pt idx="202">
                <c:v>0.123787584188395</c:v>
              </c:pt>
              <c:pt idx="203">
                <c:v>0.123728635937474</c:v>
              </c:pt>
              <c:pt idx="204">
                <c:v>0.120674555127843</c:v>
              </c:pt>
              <c:pt idx="205">
                <c:v>0.119160614334343</c:v>
              </c:pt>
              <c:pt idx="206">
                <c:v>0.11806118267033699</c:v>
              </c:pt>
              <c:pt idx="207">
                <c:v>0.11795357872024299</c:v>
              </c:pt>
              <c:pt idx="208">
                <c:v>0.11780293319011099</c:v>
              </c:pt>
              <c:pt idx="209">
                <c:v>0.11554231455161</c:v>
              </c:pt>
              <c:pt idx="210">
                <c:v>0.113603572076869</c:v>
              </c:pt>
              <c:pt idx="211">
                <c:v>0.113420177518447</c:v>
              </c:pt>
              <c:pt idx="212">
                <c:v>0.113177834709104</c:v>
              </c:pt>
              <c:pt idx="213">
                <c:v>0.112838180501416</c:v>
              </c:pt>
              <c:pt idx="214">
                <c:v>0.1123937294032</c:v>
              </c:pt>
              <c:pt idx="215">
                <c:v>0.111116517299908</c:v>
              </c:pt>
              <c:pt idx="216">
                <c:v>0.110983649813705</c:v>
              </c:pt>
              <c:pt idx="217">
                <c:v>0.11083768271618601</c:v>
              </c:pt>
              <c:pt idx="218">
                <c:v>0.11037451788751899</c:v>
              </c:pt>
              <c:pt idx="219">
                <c:v>0.10976445027481101</c:v>
              </c:pt>
              <c:pt idx="220">
                <c:v>0.109319063490073</c:v>
              </c:pt>
              <c:pt idx="221">
                <c:v>0.10928725014830599</c:v>
              </c:pt>
              <c:pt idx="222">
                <c:v>0.10840770481710101</c:v>
              </c:pt>
              <c:pt idx="223">
                <c:v>0.107202540576046</c:v>
              </c:pt>
              <c:pt idx="224">
                <c:v>0.104450686513202</c:v>
              </c:pt>
              <c:pt idx="225">
                <c:v>0.103947287164065</c:v>
              </c:pt>
              <c:pt idx="226">
                <c:v>0.10343359526318099</c:v>
              </c:pt>
              <c:pt idx="227">
                <c:v>0.101513566518891</c:v>
              </c:pt>
              <c:pt idx="228">
                <c:v>0.10041787760097499</c:v>
              </c:pt>
              <c:pt idx="229">
                <c:v>9.9004990951911301E-2</c:v>
              </c:pt>
              <c:pt idx="230">
                <c:v>9.6347641227845296E-2</c:v>
              </c:pt>
              <c:pt idx="231">
                <c:v>9.2850980693044302E-2</c:v>
              </c:pt>
              <c:pt idx="232">
                <c:v>9.2234363274678294E-2</c:v>
              </c:pt>
              <c:pt idx="233">
                <c:v>9.1919036916576005E-2</c:v>
              </c:pt>
              <c:pt idx="234">
                <c:v>9.1865702784790199E-2</c:v>
              </c:pt>
              <c:pt idx="235">
                <c:v>9.18451176812939E-2</c:v>
              </c:pt>
              <c:pt idx="236">
                <c:v>9.1697279210729704E-2</c:v>
              </c:pt>
              <c:pt idx="237">
                <c:v>9.1411894821349302E-2</c:v>
              </c:pt>
              <c:pt idx="238">
                <c:v>9.0675509528095902E-2</c:v>
              </c:pt>
              <c:pt idx="239">
                <c:v>8.8588928582790494E-2</c:v>
              </c:pt>
              <c:pt idx="240">
                <c:v>8.7540959677524996E-2</c:v>
              </c:pt>
              <c:pt idx="241">
                <c:v>8.7268674899460497E-2</c:v>
              </c:pt>
              <c:pt idx="242">
                <c:v>8.6822352428200106E-2</c:v>
              </c:pt>
              <c:pt idx="243">
                <c:v>8.2855977259074801E-2</c:v>
              </c:pt>
              <c:pt idx="244">
                <c:v>8.2657611716292406E-2</c:v>
              </c:pt>
              <c:pt idx="245">
                <c:v>8.2180411589787505E-2</c:v>
              </c:pt>
              <c:pt idx="246">
                <c:v>8.0725419047209201E-2</c:v>
              </c:pt>
              <c:pt idx="247">
                <c:v>7.9597916787526202E-2</c:v>
              </c:pt>
              <c:pt idx="248">
                <c:v>7.8537783957467397E-2</c:v>
              </c:pt>
              <c:pt idx="249">
                <c:v>7.7173553007577195E-2</c:v>
              </c:pt>
              <c:pt idx="250">
                <c:v>7.6954602361298502E-2</c:v>
              </c:pt>
              <c:pt idx="251">
                <c:v>7.6521379501353903E-2</c:v>
              </c:pt>
              <c:pt idx="252">
                <c:v>7.6142426459717805E-2</c:v>
              </c:pt>
              <c:pt idx="253">
                <c:v>7.5309665454640698E-2</c:v>
              </c:pt>
              <c:pt idx="254">
                <c:v>7.5266623874603006E-2</c:v>
              </c:pt>
              <c:pt idx="255">
                <c:v>7.4811880224639596E-2</c:v>
              </c:pt>
              <c:pt idx="256">
                <c:v>7.4374914618604807E-2</c:v>
              </c:pt>
              <c:pt idx="257">
                <c:v>7.2700971429747699E-2</c:v>
              </c:pt>
              <c:pt idx="258">
                <c:v>7.2392194877303501E-2</c:v>
              </c:pt>
              <c:pt idx="259">
                <c:v>7.2335117999427406E-2</c:v>
              </c:pt>
              <c:pt idx="260">
                <c:v>7.12899561537296E-2</c:v>
              </c:pt>
              <c:pt idx="261">
                <c:v>7.0862347412920301E-2</c:v>
              </c:pt>
              <c:pt idx="262">
                <c:v>6.9787243598500706E-2</c:v>
              </c:pt>
              <c:pt idx="263">
                <c:v>6.9350277992465903E-2</c:v>
              </c:pt>
              <c:pt idx="264">
                <c:v>6.8961968085604106E-2</c:v>
              </c:pt>
              <c:pt idx="265">
                <c:v>6.8839393151148898E-2</c:v>
              </c:pt>
              <c:pt idx="266">
                <c:v>6.7397500219886303E-2</c:v>
              </c:pt>
              <c:pt idx="267">
                <c:v>6.6662986299677901E-2</c:v>
              </c:pt>
              <c:pt idx="268">
                <c:v>6.6299004242402704E-2</c:v>
              </c:pt>
              <c:pt idx="269">
                <c:v>6.5951864542533503E-2</c:v>
              </c:pt>
              <c:pt idx="270">
                <c:v>6.5841453532871602E-2</c:v>
              </c:pt>
              <c:pt idx="271">
                <c:v>6.3338492085027703E-2</c:v>
              </c:pt>
              <c:pt idx="272">
                <c:v>6.2900590792470304E-2</c:v>
              </c:pt>
              <c:pt idx="273">
                <c:v>6.1520453171696597E-2</c:v>
              </c:pt>
              <c:pt idx="274">
                <c:v>6.0969333809909702E-2</c:v>
              </c:pt>
              <c:pt idx="275">
                <c:v>6.0446285043799501E-2</c:v>
              </c:pt>
              <c:pt idx="276">
                <c:v>5.8313855458888703E-2</c:v>
              </c:pt>
              <c:pt idx="277">
                <c:v>5.6828920947588499E-2</c:v>
              </c:pt>
              <c:pt idx="278">
                <c:v>5.6577221273020201E-2</c:v>
              </c:pt>
              <c:pt idx="279">
                <c:v>5.5999902688601701E-2</c:v>
              </c:pt>
              <c:pt idx="280">
                <c:v>5.3825367210175799E-2</c:v>
              </c:pt>
              <c:pt idx="281">
                <c:v>5.3189100374835999E-2</c:v>
              </c:pt>
              <c:pt idx="282">
                <c:v>5.3165708211772002E-2</c:v>
              </c:pt>
              <c:pt idx="283">
                <c:v>5.29991560107567E-2</c:v>
              </c:pt>
              <c:pt idx="284">
                <c:v>5.2464879006375802E-2</c:v>
              </c:pt>
              <c:pt idx="285">
                <c:v>5.1990485939438599E-2</c:v>
              </c:pt>
              <c:pt idx="286">
                <c:v>5.0390461985863701E-2</c:v>
              </c:pt>
              <c:pt idx="287">
                <c:v>4.8807280389694702E-2</c:v>
              </c:pt>
              <c:pt idx="288">
                <c:v>4.8619207398660498E-2</c:v>
              </c:pt>
              <c:pt idx="289">
                <c:v>4.7530068286402397E-2</c:v>
              </c:pt>
              <c:pt idx="290">
                <c:v>4.6234142452658902E-2</c:v>
              </c:pt>
              <c:pt idx="291">
                <c:v>4.6051683580759999E-2</c:v>
              </c:pt>
              <c:pt idx="292">
                <c:v>4.5545477172055898E-2</c:v>
              </c:pt>
              <c:pt idx="293">
                <c:v>4.5411673999330097E-2</c:v>
              </c:pt>
              <c:pt idx="294">
                <c:v>4.5276935140081603E-2</c:v>
              </c:pt>
              <c:pt idx="295">
                <c:v>4.5126289609949702E-2</c:v>
              </c:pt>
              <c:pt idx="296">
                <c:v>4.4292592918350103E-2</c:v>
              </c:pt>
              <c:pt idx="297">
                <c:v>4.40792563912068E-2</c:v>
              </c:pt>
              <c:pt idx="298">
                <c:v>4.3109885153836201E-2</c:v>
              </c:pt>
              <c:pt idx="299">
                <c:v>4.2702861516523298E-2</c:v>
              </c:pt>
              <c:pt idx="300">
                <c:v>4.2683212099549603E-2</c:v>
              </c:pt>
              <c:pt idx="301">
                <c:v>4.2622392475583297E-2</c:v>
              </c:pt>
              <c:pt idx="302">
                <c:v>4.0753826490033999E-2</c:v>
              </c:pt>
              <c:pt idx="303">
                <c:v>4.0466570727608599E-2</c:v>
              </c:pt>
              <c:pt idx="304">
                <c:v>4.0445049937589697E-2</c:v>
              </c:pt>
              <c:pt idx="305">
                <c:v>3.9732992493922703E-2</c:v>
              </c:pt>
              <c:pt idx="306">
                <c:v>3.9552404995068902E-2</c:v>
              </c:pt>
              <c:pt idx="307">
                <c:v>3.9371817496215197E-2</c:v>
              </c:pt>
              <c:pt idx="308">
                <c:v>3.8567127086814902E-2</c:v>
              </c:pt>
              <c:pt idx="309">
                <c:v>3.8479172553694402E-2</c:v>
              </c:pt>
              <c:pt idx="310">
                <c:v>3.8182559926043302E-2</c:v>
              </c:pt>
              <c:pt idx="311">
                <c:v>3.7602434282057097E-2</c:v>
              </c:pt>
              <c:pt idx="312">
                <c:v>3.7114005917281603E-2</c:v>
              </c:pt>
              <c:pt idx="313">
                <c:v>3.69596176410594E-2</c:v>
              </c:pt>
              <c:pt idx="314">
                <c:v>3.68239430952884E-2</c:v>
              </c:pt>
              <c:pt idx="315">
                <c:v>3.5171520696450201E-2</c:v>
              </c:pt>
              <c:pt idx="316">
                <c:v>3.4509990325001398E-2</c:v>
              </c:pt>
              <c:pt idx="317">
                <c:v>3.3348803350506301E-2</c:v>
              </c:pt>
              <c:pt idx="318">
                <c:v>3.2397210157064302E-2</c:v>
              </c:pt>
              <c:pt idx="319">
                <c:v>3.1764686067814803E-2</c:v>
              </c:pt>
              <c:pt idx="320">
                <c:v>3.1636497014224302E-2</c:v>
              </c:pt>
              <c:pt idx="321">
                <c:v>3.11854961103511E-2</c:v>
              </c:pt>
              <c:pt idx="322">
                <c:v>3.1063856862418499E-2</c:v>
              </c:pt>
              <c:pt idx="323">
                <c:v>3.0729816773865201E-2</c:v>
              </c:pt>
              <c:pt idx="324">
                <c:v>3.05482935884888E-2</c:v>
              </c:pt>
              <c:pt idx="325">
                <c:v>3.0332150001777799E-2</c:v>
              </c:pt>
              <c:pt idx="326">
                <c:v>2.9597636081569401E-2</c:v>
              </c:pt>
              <c:pt idx="327">
                <c:v>2.95040674293136E-2</c:v>
              </c:pt>
              <c:pt idx="328">
                <c:v>2.9289795215647701E-2</c:v>
              </c:pt>
              <c:pt idx="329">
                <c:v>2.8821951954368399E-2</c:v>
              </c:pt>
              <c:pt idx="330">
                <c:v>2.80415893945547E-2</c:v>
              </c:pt>
              <c:pt idx="331">
                <c:v>2.74586566910008E-2</c:v>
              </c:pt>
              <c:pt idx="332">
                <c:v>2.6101911233291E-2</c:v>
              </c:pt>
              <c:pt idx="333">
                <c:v>2.6046705728460001E-2</c:v>
              </c:pt>
              <c:pt idx="334">
                <c:v>2.5474065576654301E-2</c:v>
              </c:pt>
              <c:pt idx="335">
                <c:v>2.5268214541691401E-2</c:v>
              </c:pt>
              <c:pt idx="336">
                <c:v>2.4503758652761099E-2</c:v>
              </c:pt>
              <c:pt idx="337">
                <c:v>2.3975095767515602E-2</c:v>
              </c:pt>
              <c:pt idx="338">
                <c:v>2.33640924682849E-2</c:v>
              </c:pt>
              <c:pt idx="339">
                <c:v>2.2429341632249002E-2</c:v>
              </c:pt>
              <c:pt idx="340">
                <c:v>2.2147699988958901E-2</c:v>
              </c:pt>
              <c:pt idx="341">
                <c:v>2.21430215563461E-2</c:v>
              </c:pt>
              <c:pt idx="342">
                <c:v>2.1657400251138301E-2</c:v>
              </c:pt>
              <c:pt idx="343">
                <c:v>2.1060432249745999E-2</c:v>
              </c:pt>
              <c:pt idx="344">
                <c:v>2.0801247082997298E-2</c:v>
              </c:pt>
              <c:pt idx="345">
                <c:v>2.07207780420572E-2</c:v>
              </c:pt>
              <c:pt idx="346">
                <c:v>2.0478435232714601E-2</c:v>
              </c:pt>
              <c:pt idx="347">
                <c:v>1.9898309588728302E-2</c:v>
              </c:pt>
              <c:pt idx="348">
                <c:v>1.9509063995343998E-2</c:v>
              </c:pt>
              <c:pt idx="349">
                <c:v>1.7704124693328702E-2</c:v>
              </c:pt>
              <c:pt idx="350">
                <c:v>1.6816158183420801E-2</c:v>
              </c:pt>
              <c:pt idx="351">
                <c:v>1.6204219197667499E-2</c:v>
              </c:pt>
              <c:pt idx="352">
                <c:v>1.6051702294490499E-2</c:v>
              </c:pt>
              <c:pt idx="353">
                <c:v>1.5027125552289E-2</c:v>
              </c:pt>
              <c:pt idx="354">
                <c:v>1.4930749840465401E-2</c:v>
              </c:pt>
              <c:pt idx="355">
                <c:v>1.38528389664781E-2</c:v>
              </c:pt>
              <c:pt idx="356">
                <c:v>1.2971422262228E-2</c:v>
              </c:pt>
              <c:pt idx="357">
                <c:v>1.1158997468032301E-2</c:v>
              </c:pt>
              <c:pt idx="358">
                <c:v>1.1141219424103699E-2</c:v>
              </c:pt>
              <c:pt idx="359">
                <c:v>1.0672440476301901E-2</c:v>
              </c:pt>
              <c:pt idx="360">
                <c:v>1.00043602991951E-2</c:v>
              </c:pt>
              <c:pt idx="361">
                <c:v>8.6803638697748892E-3</c:v>
              </c:pt>
              <c:pt idx="362">
                <c:v>7.3208113524974401E-3</c:v>
              </c:pt>
              <c:pt idx="363">
                <c:v>6.3982244412547898E-3</c:v>
              </c:pt>
              <c:pt idx="364">
                <c:v>5.5514281383393796E-3</c:v>
              </c:pt>
              <c:pt idx="365">
                <c:v>5.1406617549362198E-3</c:v>
              </c:pt>
            </c:numLit>
          </c:val>
          <c:smooth val="0"/>
        </c:ser>
        <c:ser>
          <c:idx val="2"/>
          <c:order val="2"/>
          <c:tx>
            <c:v>2009</c:v>
          </c:tx>
          <c:marker>
            <c:symbol val="none"/>
          </c:marker>
          <c:cat>
            <c:strLit>
              <c:ptCount val="36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strLit>
          </c:cat>
          <c:val>
            <c:numLit>
              <c:formatCode>General</c:formatCode>
              <c:ptCount val="366"/>
              <c:pt idx="0">
                <c:v>11.88677722145723</c:v>
              </c:pt>
              <c:pt idx="1">
                <c:v>11.674107093148841</c:v>
              </c:pt>
              <c:pt idx="2">
                <c:v>10.635307446488699</c:v>
              </c:pt>
              <c:pt idx="3">
                <c:v>9.9094214060104857</c:v>
              </c:pt>
              <c:pt idx="4">
                <c:v>9.5109806294051502</c:v>
              </c:pt>
              <c:pt idx="5">
                <c:v>7.9552971283714822</c:v>
              </c:pt>
              <c:pt idx="6">
                <c:v>6.9829454141907519</c:v>
              </c:pt>
              <c:pt idx="7">
                <c:v>6.6014506604708476</c:v>
              </c:pt>
              <c:pt idx="8">
                <c:v>4.1282647747644088</c:v>
              </c:pt>
              <c:pt idx="9">
                <c:v>3.6167673116108512</c:v>
              </c:pt>
              <c:pt idx="10">
                <c:v>3.3327128853983781</c:v>
              </c:pt>
              <c:pt idx="11">
                <c:v>3.2281927706371629</c:v>
              </c:pt>
              <c:pt idx="12">
                <c:v>3.220686154794028</c:v>
              </c:pt>
              <c:pt idx="13">
                <c:v>2.6061327845183708</c:v>
              </c:pt>
              <c:pt idx="14">
                <c:v>2.572261152288728</c:v>
              </c:pt>
              <c:pt idx="15">
                <c:v>2.4056718096418721</c:v>
              </c:pt>
              <c:pt idx="16">
                <c:v>2.1361592478909102</c:v>
              </c:pt>
              <c:pt idx="17">
                <c:v>2.025642191449323</c:v>
              </c:pt>
              <c:pt idx="18">
                <c:v>2.0247013127762798</c:v>
              </c:pt>
              <c:pt idx="19">
                <c:v>2.0024041584239272</c:v>
              </c:pt>
              <c:pt idx="20">
                <c:v>1.726894654992595</c:v>
              </c:pt>
              <c:pt idx="21">
                <c:v>1.711369228999106</c:v>
              </c:pt>
              <c:pt idx="22">
                <c:v>1.6976123579867051</c:v>
              </c:pt>
              <c:pt idx="23">
                <c:v>1.667919934379744</c:v>
              </c:pt>
              <c:pt idx="24">
                <c:v>1.6538151052781991</c:v>
              </c:pt>
              <c:pt idx="25">
                <c:v>1.5241798395866819</c:v>
              </c:pt>
              <c:pt idx="26">
                <c:v>1.5179574210645479</c:v>
              </c:pt>
              <c:pt idx="27">
                <c:v>1.469132869884088</c:v>
              </c:pt>
              <c:pt idx="28">
                <c:v>1.4665691146832751</c:v>
              </c:pt>
              <c:pt idx="29">
                <c:v>1.4541818067097461</c:v>
              </c:pt>
              <c:pt idx="30">
                <c:v>1.453141643995264</c:v>
              </c:pt>
              <c:pt idx="31">
                <c:v>1.2594978640012771</c:v>
              </c:pt>
              <c:pt idx="32">
                <c:v>1.247322114545947</c:v>
              </c:pt>
              <c:pt idx="33">
                <c:v>1.2007514038949041</c:v>
              </c:pt>
              <c:pt idx="34">
                <c:v>1.161203879315144</c:v>
              </c:pt>
              <c:pt idx="35">
                <c:v>0.99433988174992305</c:v>
              </c:pt>
              <c:pt idx="36">
                <c:v>0.95118843925486896</c:v>
              </c:pt>
              <c:pt idx="37">
                <c:v>0.92877901042575195</c:v>
              </c:pt>
              <c:pt idx="38">
                <c:v>0.92620504845432405</c:v>
              </c:pt>
              <c:pt idx="39">
                <c:v>0.91044208307197805</c:v>
              </c:pt>
              <c:pt idx="40">
                <c:v>0.87567039925175105</c:v>
              </c:pt>
              <c:pt idx="41">
                <c:v>0.85364882770600103</c:v>
              </c:pt>
              <c:pt idx="42">
                <c:v>0.81610090227852305</c:v>
              </c:pt>
              <c:pt idx="43">
                <c:v>0.75589951341540795</c:v>
              </c:pt>
              <c:pt idx="44">
                <c:v>0.75216476325859505</c:v>
              </c:pt>
              <c:pt idx="45">
                <c:v>0.73331378582112505</c:v>
              </c:pt>
              <c:pt idx="46">
                <c:v>0.72208448236826805</c:v>
              </c:pt>
              <c:pt idx="47">
                <c:v>0.70580097168456302</c:v>
              </c:pt>
              <c:pt idx="48">
                <c:v>0.69809114831736796</c:v>
              </c:pt>
              <c:pt idx="49">
                <c:v>0.69774597389293702</c:v>
              </c:pt>
              <c:pt idx="50">
                <c:v>0.69139829045871104</c:v>
              </c:pt>
              <c:pt idx="51">
                <c:v>0.68949519168315199</c:v>
              </c:pt>
              <c:pt idx="52">
                <c:v>0.68498379907136897</c:v>
              </c:pt>
              <c:pt idx="53">
                <c:v>0.68386662163315803</c:v>
              </c:pt>
              <c:pt idx="54">
                <c:v>0.68266779003002598</c:v>
              </c:pt>
              <c:pt idx="55">
                <c:v>0.66872534137008299</c:v>
              </c:pt>
              <c:pt idx="56">
                <c:v>0.65213469967969295</c:v>
              </c:pt>
              <c:pt idx="57">
                <c:v>0.64159017774627103</c:v>
              </c:pt>
              <c:pt idx="58">
                <c:v>0.60900831016705703</c:v>
              </c:pt>
              <c:pt idx="59">
                <c:v>0.60083639845747905</c:v>
              </c:pt>
              <c:pt idx="60">
                <c:v>0.59979716363123503</c:v>
              </c:pt>
              <c:pt idx="61">
                <c:v>0.59388465978049898</c:v>
              </c:pt>
              <c:pt idx="62">
                <c:v>0.57647840432915498</c:v>
              </c:pt>
              <c:pt idx="63">
                <c:v>0.57274179839586703</c:v>
              </c:pt>
              <c:pt idx="64">
                <c:v>0.54632945970923696</c:v>
              </c:pt>
              <c:pt idx="65">
                <c:v>0.54335001057792598</c:v>
              </c:pt>
              <c:pt idx="66">
                <c:v>0.53188595140092598</c:v>
              </c:pt>
              <c:pt idx="67">
                <c:v>0.52473193308812405</c:v>
              </c:pt>
              <c:pt idx="68">
                <c:v>0.52457511997594897</c:v>
              </c:pt>
              <c:pt idx="69">
                <c:v>0.52004888115236303</c:v>
              </c:pt>
              <c:pt idx="70">
                <c:v>0.51438783501404794</c:v>
              </c:pt>
              <c:pt idx="71">
                <c:v>0.51171180533647098</c:v>
              </c:pt>
              <c:pt idx="72">
                <c:v>0.510936090769739</c:v>
              </c:pt>
              <c:pt idx="73">
                <c:v>0.51003325551444001</c:v>
              </c:pt>
              <c:pt idx="74">
                <c:v>0.505838272791719</c:v>
              </c:pt>
              <c:pt idx="75">
                <c:v>0.50428220421706604</c:v>
              </c:pt>
              <c:pt idx="76">
                <c:v>0.49813401675395003</c:v>
              </c:pt>
              <c:pt idx="77">
                <c:v>0.49709385403946899</c:v>
              </c:pt>
              <c:pt idx="78">
                <c:v>0.49119155695934702</c:v>
              </c:pt>
              <c:pt idx="79">
                <c:v>0.47714425692854101</c:v>
              </c:pt>
              <c:pt idx="80">
                <c:v>0.47024540788111102</c:v>
              </c:pt>
              <c:pt idx="81">
                <c:v>0.45298111933013901</c:v>
              </c:pt>
              <c:pt idx="82">
                <c:v>0.44877314617209002</c:v>
              </c:pt>
              <c:pt idx="83">
                <c:v>0.44290982039795301</c:v>
              </c:pt>
              <c:pt idx="84">
                <c:v>0.442609184608932</c:v>
              </c:pt>
              <c:pt idx="85">
                <c:v>0.43978654858979499</c:v>
              </c:pt>
              <c:pt idx="86">
                <c:v>0.43854596201596702</c:v>
              </c:pt>
              <c:pt idx="87">
                <c:v>0.43525752610149598</c:v>
              </c:pt>
              <c:pt idx="88">
                <c:v>0.43142998712091102</c:v>
              </c:pt>
              <c:pt idx="89">
                <c:v>0.42621061578375002</c:v>
              </c:pt>
              <c:pt idx="90">
                <c:v>0.42224946089693399</c:v>
              </c:pt>
              <c:pt idx="91">
                <c:v>0.41674986731198199</c:v>
              </c:pt>
              <c:pt idx="92">
                <c:v>0.40491094128694399</c:v>
              </c:pt>
              <c:pt idx="93">
                <c:v>0.38840102587323599</c:v>
              </c:pt>
              <c:pt idx="94">
                <c:v>0.38706579469916003</c:v>
              </c:pt>
              <c:pt idx="95">
                <c:v>0.38536590344766197</c:v>
              </c:pt>
              <c:pt idx="96">
                <c:v>0.38108277134235702</c:v>
              </c:pt>
              <c:pt idx="97">
                <c:v>0.376357036547662</c:v>
              </c:pt>
              <c:pt idx="98">
                <c:v>0.370096574607782</c:v>
              </c:pt>
              <c:pt idx="99">
                <c:v>0.36985439577773699</c:v>
              </c:pt>
              <c:pt idx="100">
                <c:v>0.36565013417263897</c:v>
              </c:pt>
              <c:pt idx="101">
                <c:v>0.35884500183721901</c:v>
              </c:pt>
              <c:pt idx="102">
                <c:v>0.358237235041514</c:v>
              </c:pt>
              <c:pt idx="103">
                <c:v>0.35694097517342199</c:v>
              </c:pt>
              <c:pt idx="104">
                <c:v>0.35644177130152999</c:v>
              </c:pt>
              <c:pt idx="105">
                <c:v>0.35430762835478002</c:v>
              </c:pt>
              <c:pt idx="106">
                <c:v>0.35124652505854997</c:v>
              </c:pt>
              <c:pt idx="107">
                <c:v>0.35049957502718698</c:v>
              </c:pt>
              <c:pt idx="108">
                <c:v>0.34297532930753599</c:v>
              </c:pt>
              <c:pt idx="109">
                <c:v>0.33978246588154998</c:v>
              </c:pt>
              <c:pt idx="110">
                <c:v>0.33953008028088999</c:v>
              </c:pt>
              <c:pt idx="111">
                <c:v>0.339101395915065</c:v>
              </c:pt>
              <c:pt idx="112">
                <c:v>0.32909040971832998</c:v>
              </c:pt>
              <c:pt idx="113">
                <c:v>0.32416332317605001</c:v>
              </c:pt>
              <c:pt idx="114">
                <c:v>0.32032836108956397</c:v>
              </c:pt>
              <c:pt idx="115">
                <c:v>0.31813576118383702</c:v>
              </c:pt>
              <c:pt idx="116">
                <c:v>0.31494475353432599</c:v>
              </c:pt>
              <c:pt idx="117">
                <c:v>0.31251183057503101</c:v>
              </c:pt>
              <c:pt idx="118">
                <c:v>0.304726848260581</c:v>
              </c:pt>
              <c:pt idx="119">
                <c:v>0.29515568108852402</c:v>
              </c:pt>
              <c:pt idx="120">
                <c:v>0.29253439681697202</c:v>
              </c:pt>
              <c:pt idx="121">
                <c:v>0.28904368126667901</c:v>
              </c:pt>
              <c:pt idx="122">
                <c:v>0.283634092840785</c:v>
              </c:pt>
              <c:pt idx="123">
                <c:v>0.28251784329081098</c:v>
              </c:pt>
              <c:pt idx="124">
                <c:v>0.28128653559936001</c:v>
              </c:pt>
              <c:pt idx="125">
                <c:v>0.27845183703313298</c:v>
              </c:pt>
              <c:pt idx="126">
                <c:v>0.273671356832412</c:v>
              </c:pt>
              <c:pt idx="127">
                <c:v>0.27353031782027898</c:v>
              </c:pt>
              <c:pt idx="128">
                <c:v>0.27254768417653602</c:v>
              </c:pt>
              <c:pt idx="129">
                <c:v>0.26836940344209398</c:v>
              </c:pt>
              <c:pt idx="130">
                <c:v>0.26753523191638601</c:v>
              </c:pt>
              <c:pt idx="131">
                <c:v>0.26443144576122102</c:v>
              </c:pt>
              <c:pt idx="132">
                <c:v>0.26338200416436203</c:v>
              </c:pt>
              <c:pt idx="133">
                <c:v>0.26279093935693598</c:v>
              </c:pt>
              <c:pt idx="134">
                <c:v>0.26204584510204898</c:v>
              </c:pt>
              <c:pt idx="135">
                <c:v>0.26113373096437298</c:v>
              </c:pt>
              <c:pt idx="136">
                <c:v>0.25982355277271602</c:v>
              </c:pt>
              <c:pt idx="137">
                <c:v>0.25745279832534701</c:v>
              </c:pt>
              <c:pt idx="138">
                <c:v>0.25523236177248898</c:v>
              </c:pt>
              <c:pt idx="139">
                <c:v>0.25118862483251603</c:v>
              </c:pt>
              <c:pt idx="140">
                <c:v>0.250031548200082</c:v>
              </c:pt>
              <c:pt idx="141">
                <c:v>0.248315882848543</c:v>
              </c:pt>
              <c:pt idx="142">
                <c:v>0.246987146892131</c:v>
              </c:pt>
              <c:pt idx="143">
                <c:v>0.24691013216840099</c:v>
              </c:pt>
              <c:pt idx="144">
                <c:v>0.23997323970322401</c:v>
              </c:pt>
              <c:pt idx="145">
                <c:v>0.23988972976183001</c:v>
              </c:pt>
              <c:pt idx="146">
                <c:v>0.238786470647184</c:v>
              </c:pt>
              <c:pt idx="147">
                <c:v>0.23802931384520601</c:v>
              </c:pt>
              <c:pt idx="148">
                <c:v>0.23748278767319</c:v>
              </c:pt>
              <c:pt idx="149">
                <c:v>0.22679351517468399</c:v>
              </c:pt>
              <c:pt idx="150">
                <c:v>0.225311677659049</c:v>
              </c:pt>
              <c:pt idx="151">
                <c:v>0.22352734857791901</c:v>
              </c:pt>
              <c:pt idx="152">
                <c:v>0.22190076049720001</c:v>
              </c:pt>
              <c:pt idx="153">
                <c:v>0.21966269406782499</c:v>
              </c:pt>
              <c:pt idx="154">
                <c:v>0.219467837537904</c:v>
              </c:pt>
              <c:pt idx="155">
                <c:v>0.217491435591566</c:v>
              </c:pt>
              <c:pt idx="156">
                <c:v>0.21695326041369001</c:v>
              </c:pt>
              <c:pt idx="157">
                <c:v>0.21558555315129399</c:v>
              </c:pt>
              <c:pt idx="158">
                <c:v>0.214618693607592</c:v>
              </c:pt>
              <c:pt idx="159">
                <c:v>0.21376132487594099</c:v>
              </c:pt>
              <c:pt idx="160">
                <c:v>0.213007879626915</c:v>
              </c:pt>
              <c:pt idx="161">
                <c:v>0.20964892420637701</c:v>
              </c:pt>
              <c:pt idx="162">
                <c:v>0.20958675569445001</c:v>
              </c:pt>
              <c:pt idx="163">
                <c:v>0.20726610721191899</c:v>
              </c:pt>
              <c:pt idx="164">
                <c:v>0.205966135790876</c:v>
              </c:pt>
              <c:pt idx="165">
                <c:v>0.20396468086212</c:v>
              </c:pt>
              <c:pt idx="166">
                <c:v>0.19548471025761899</c:v>
              </c:pt>
              <c:pt idx="167">
                <c:v>0.190212449290908</c:v>
              </c:pt>
              <c:pt idx="168">
                <c:v>0.18868885680457601</c:v>
              </c:pt>
              <c:pt idx="169">
                <c:v>0.18602952911527701</c:v>
              </c:pt>
              <c:pt idx="170">
                <c:v>0.185718686555642</c:v>
              </c:pt>
              <c:pt idx="171">
                <c:v>0.18283388202457801</c:v>
              </c:pt>
              <c:pt idx="172">
                <c:v>0.17889685223194199</c:v>
              </c:pt>
              <c:pt idx="173">
                <c:v>0.17776018914073799</c:v>
              </c:pt>
              <c:pt idx="174">
                <c:v>0.17744749080462799</c:v>
              </c:pt>
              <c:pt idx="175">
                <c:v>0.1764750639315</c:v>
              </c:pt>
              <c:pt idx="176">
                <c:v>0.176268144854489</c:v>
              </c:pt>
              <c:pt idx="177">
                <c:v>0.17520107338111299</c:v>
              </c:pt>
              <c:pt idx="178">
                <c:v>0.174442988690898</c:v>
              </c:pt>
              <c:pt idx="179">
                <c:v>0.17400595333093299</c:v>
              </c:pt>
              <c:pt idx="180">
                <c:v>0.17262989507439799</c:v>
              </c:pt>
              <c:pt idx="181">
                <c:v>0.17186995460770699</c:v>
              </c:pt>
              <c:pt idx="182">
                <c:v>0.171179605758846</c:v>
              </c:pt>
              <c:pt idx="183">
                <c:v>0.168395941045693</c:v>
              </c:pt>
              <c:pt idx="184">
                <c:v>0.16719339788961099</c:v>
              </c:pt>
              <c:pt idx="185">
                <c:v>0.16413322248161899</c:v>
              </c:pt>
              <c:pt idx="186">
                <c:v>0.16366092736862001</c:v>
              </c:pt>
              <c:pt idx="187">
                <c:v>0.162504778624424</c:v>
              </c:pt>
              <c:pt idx="188">
                <c:v>0.16104799409120801</c:v>
              </c:pt>
              <c:pt idx="189">
                <c:v>0.16033908747759201</c:v>
              </c:pt>
              <c:pt idx="190">
                <c:v>0.15989555689996299</c:v>
              </c:pt>
              <c:pt idx="191">
                <c:v>0.157563773758578</c:v>
              </c:pt>
              <c:pt idx="192">
                <c:v>0.15704415634545699</c:v>
              </c:pt>
              <c:pt idx="193">
                <c:v>0.15641226445557099</c:v>
              </c:pt>
              <c:pt idx="194">
                <c:v>0.15451102145648801</c:v>
              </c:pt>
              <c:pt idx="195">
                <c:v>0.15409439963775201</c:v>
              </c:pt>
              <c:pt idx="196">
                <c:v>0.14685223194236699</c:v>
              </c:pt>
              <c:pt idx="197">
                <c:v>0.146366018505803</c:v>
              </c:pt>
              <c:pt idx="198">
                <c:v>0.14595681979297001</c:v>
              </c:pt>
              <c:pt idx="199">
                <c:v>0.14290221171440301</c:v>
              </c:pt>
              <c:pt idx="200">
                <c:v>0.141553990105</c:v>
              </c:pt>
              <c:pt idx="201">
                <c:v>0.14091467510921199</c:v>
              </c:pt>
              <c:pt idx="202">
                <c:v>0.140140816318956</c:v>
              </c:pt>
              <c:pt idx="203">
                <c:v>0.136559167721366</c:v>
              </c:pt>
              <c:pt idx="204">
                <c:v>0.135048565670362</c:v>
              </c:pt>
              <c:pt idx="205">
                <c:v>0.13447791440416601</c:v>
              </c:pt>
              <c:pt idx="206">
                <c:v>0.13245326226946599</c:v>
              </c:pt>
              <c:pt idx="207">
                <c:v>0.13053531728210399</c:v>
              </c:pt>
              <c:pt idx="208">
                <c:v>0.130163234098779</c:v>
              </c:pt>
              <c:pt idx="209">
                <c:v>0.128682324471382</c:v>
              </c:pt>
              <c:pt idx="210">
                <c:v>0.12793630232825701</c:v>
              </c:pt>
              <c:pt idx="211">
                <c:v>0.12653240742459099</c:v>
              </c:pt>
              <c:pt idx="212">
                <c:v>0.124734160019894</c:v>
              </c:pt>
              <c:pt idx="213">
                <c:v>0.124472495536858</c:v>
              </c:pt>
              <c:pt idx="214">
                <c:v>0.120273801261186</c:v>
              </c:pt>
              <c:pt idx="215">
                <c:v>0.11983027068355701</c:v>
              </c:pt>
              <c:pt idx="216">
                <c:v>0.119246628982032</c:v>
              </c:pt>
              <c:pt idx="217">
                <c:v>0.116033352014817</c:v>
              </c:pt>
              <c:pt idx="218">
                <c:v>0.115789317408297</c:v>
              </c:pt>
              <c:pt idx="219">
                <c:v>0.113968800685895</c:v>
              </c:pt>
              <c:pt idx="220">
                <c:v>0.11054767675343</c:v>
              </c:pt>
              <c:pt idx="221">
                <c:v>0.11051984010629901</c:v>
              </c:pt>
              <c:pt idx="222">
                <c:v>0.10975340442194401</c:v>
              </c:pt>
              <c:pt idx="223">
                <c:v>0.10901944482591</c:v>
              </c:pt>
              <c:pt idx="224">
                <c:v>0.106136496071321</c:v>
              </c:pt>
              <c:pt idx="225">
                <c:v>0.10611979408304199</c:v>
              </c:pt>
              <c:pt idx="226">
                <c:v>0.105946278982589</c:v>
              </c:pt>
              <c:pt idx="227">
                <c:v>9.9070627141102097E-2</c:v>
              </c:pt>
              <c:pt idx="228">
                <c:v>9.5979831421264997E-2</c:v>
              </c:pt>
              <c:pt idx="229">
                <c:v>9.4654807017804293E-2</c:v>
              </c:pt>
              <c:pt idx="230">
                <c:v>9.3786303627300699E-2</c:v>
              </c:pt>
              <c:pt idx="231">
                <c:v>9.3032858378274103E-2</c:v>
              </c:pt>
              <c:pt idx="232">
                <c:v>9.1667934780591501E-2</c:v>
              </c:pt>
              <c:pt idx="233">
                <c:v>9.0219501241514399E-2</c:v>
              </c:pt>
              <c:pt idx="234">
                <c:v>8.9547710157407007E-2</c:v>
              </c:pt>
              <c:pt idx="235">
                <c:v>8.8200416436241103E-2</c:v>
              </c:pt>
              <c:pt idx="236">
                <c:v>8.7865448782425096E-2</c:v>
              </c:pt>
              <c:pt idx="237">
                <c:v>8.7826477476440901E-2</c:v>
              </c:pt>
              <c:pt idx="238">
                <c:v>8.7073960115651994E-2</c:v>
              </c:pt>
              <c:pt idx="239">
                <c:v>8.6010600195227702E-2</c:v>
              </c:pt>
              <c:pt idx="240">
                <c:v>8.4161318937456597E-2</c:v>
              </c:pt>
              <c:pt idx="241">
                <c:v>8.3614792765440996E-2</c:v>
              </c:pt>
              <c:pt idx="242">
                <c:v>8.3157343864246294E-2</c:v>
              </c:pt>
              <c:pt idx="243">
                <c:v>8.1424976524427595E-2</c:v>
              </c:pt>
              <c:pt idx="244">
                <c:v>8.0864532028846206E-2</c:v>
              </c:pt>
              <c:pt idx="245">
                <c:v>8.0408938904126898E-2</c:v>
              </c:pt>
              <c:pt idx="246">
                <c:v>8.0254909456665802E-2</c:v>
              </c:pt>
              <c:pt idx="247">
                <c:v>7.9486617995835701E-2</c:v>
              </c:pt>
              <c:pt idx="248">
                <c:v>7.8816682688203604E-2</c:v>
              </c:pt>
              <c:pt idx="249">
                <c:v>7.75445479142928E-2</c:v>
              </c:pt>
              <c:pt idx="250">
                <c:v>7.7346907719659005E-2</c:v>
              </c:pt>
              <c:pt idx="251">
                <c:v>7.6849559624242406E-2</c:v>
              </c:pt>
              <c:pt idx="252">
                <c:v>7.6537789176369303E-2</c:v>
              </c:pt>
              <c:pt idx="253">
                <c:v>7.1101291991582202E-2</c:v>
              </c:pt>
              <c:pt idx="254">
                <c:v>7.0249490589357505E-2</c:v>
              </c:pt>
              <c:pt idx="255">
                <c:v>6.8929105627085402E-2</c:v>
              </c:pt>
              <c:pt idx="256">
                <c:v>6.8476296167079301E-2</c:v>
              </c:pt>
              <c:pt idx="257">
                <c:v>6.8436396972857402E-2</c:v>
              </c:pt>
              <c:pt idx="258">
                <c:v>6.7649547747272901E-2</c:v>
              </c:pt>
              <c:pt idx="259">
                <c:v>6.6985179769067094E-2</c:v>
              </c:pt>
              <c:pt idx="260">
                <c:v>6.6381124526313007E-2</c:v>
              </c:pt>
              <c:pt idx="261">
                <c:v>6.4956816081416596E-2</c:v>
              </c:pt>
              <c:pt idx="262">
                <c:v>6.4591228115755905E-2</c:v>
              </c:pt>
              <c:pt idx="263">
                <c:v>6.3976966102386901E-2</c:v>
              </c:pt>
              <c:pt idx="264">
                <c:v>6.3375694524345896E-2</c:v>
              </c:pt>
              <c:pt idx="265">
                <c:v>6.2898759970159104E-2</c:v>
              </c:pt>
              <c:pt idx="266">
                <c:v>6.2322541374536501E-2</c:v>
              </c:pt>
              <c:pt idx="267">
                <c:v>6.2075723103303698E-2</c:v>
              </c:pt>
              <c:pt idx="268">
                <c:v>5.9384847213922801E-2</c:v>
              </c:pt>
              <c:pt idx="269">
                <c:v>5.89580186245727E-2</c:v>
              </c:pt>
              <c:pt idx="270">
                <c:v>5.8276020769850299E-2</c:v>
              </c:pt>
              <c:pt idx="271">
                <c:v>5.6585408400728898E-2</c:v>
              </c:pt>
              <c:pt idx="272">
                <c:v>5.5670510598339398E-2</c:v>
              </c:pt>
              <c:pt idx="273">
                <c:v>5.5632467180592997E-2</c:v>
              </c:pt>
              <c:pt idx="274">
                <c:v>5.4355692965493703E-2</c:v>
              </c:pt>
              <c:pt idx="275">
                <c:v>5.3721945299132601E-2</c:v>
              </c:pt>
              <c:pt idx="276">
                <c:v>5.3173563350641502E-2</c:v>
              </c:pt>
              <c:pt idx="277">
                <c:v>5.2438675866369203E-2</c:v>
              </c:pt>
              <c:pt idx="278">
                <c:v>5.2222477906981098E-2</c:v>
              </c:pt>
              <c:pt idx="279">
                <c:v>5.1758533788122299E-2</c:v>
              </c:pt>
              <c:pt idx="280">
                <c:v>5.1598937011234899E-2</c:v>
              </c:pt>
              <c:pt idx="281">
                <c:v>5.1566460922914802E-2</c:v>
              </c:pt>
              <c:pt idx="282">
                <c:v>5.0291542484290797E-2</c:v>
              </c:pt>
              <c:pt idx="283">
                <c:v>4.9976988371704598E-2</c:v>
              </c:pt>
              <c:pt idx="284">
                <c:v>4.9655011153216598E-2</c:v>
              </c:pt>
              <c:pt idx="285">
                <c:v>4.8054403943153898E-2</c:v>
              </c:pt>
              <c:pt idx="286">
                <c:v>4.7750984489420202E-2</c:v>
              </c:pt>
              <c:pt idx="287">
                <c:v>4.7543137524171497E-2</c:v>
              </c:pt>
              <c:pt idx="288">
                <c:v>4.7140434029002101E-2</c:v>
              </c:pt>
              <c:pt idx="289">
                <c:v>4.7058779864082897E-2</c:v>
              </c:pt>
              <c:pt idx="290">
                <c:v>4.5094440464834899E-2</c:v>
              </c:pt>
              <c:pt idx="291">
                <c:v>4.32071157893174E-2</c:v>
              </c:pt>
              <c:pt idx="292">
                <c:v>4.3086490318414099E-2</c:v>
              </c:pt>
              <c:pt idx="293">
                <c:v>4.2539964146398497E-2</c:v>
              </c:pt>
              <c:pt idx="294">
                <c:v>4.1415363602284802E-2</c:v>
              </c:pt>
              <c:pt idx="295">
                <c:v>4.0627586488462597E-2</c:v>
              </c:pt>
              <c:pt idx="296">
                <c:v>4.0498610023419902E-2</c:v>
              </c:pt>
              <c:pt idx="297">
                <c:v>3.9712688686073097E-2</c:v>
              </c:pt>
              <c:pt idx="298">
                <c:v>3.9455663644225397E-2</c:v>
              </c:pt>
              <c:pt idx="299">
                <c:v>3.9102138225655003E-2</c:v>
              </c:pt>
              <c:pt idx="300">
                <c:v>3.8323639994209999E-2</c:v>
              </c:pt>
              <c:pt idx="301">
                <c:v>3.7577617851085099E-2</c:v>
              </c:pt>
              <c:pt idx="302">
                <c:v>3.7482045362600198E-2</c:v>
              </c:pt>
              <c:pt idx="303">
                <c:v>3.7317809144524199E-2</c:v>
              </c:pt>
              <c:pt idx="304">
                <c:v>3.6805614837304101E-2</c:v>
              </c:pt>
              <c:pt idx="305">
                <c:v>3.6789840737262901E-2</c:v>
              </c:pt>
              <c:pt idx="306">
                <c:v>3.5357181298227E-2</c:v>
              </c:pt>
              <c:pt idx="307">
                <c:v>3.5176243091872103E-2</c:v>
              </c:pt>
              <c:pt idx="308">
                <c:v>3.4377331319197298E-2</c:v>
              </c:pt>
              <c:pt idx="309">
                <c:v>3.3498621158078702E-2</c:v>
              </c:pt>
              <c:pt idx="310">
                <c:v>3.33650052518474E-2</c:v>
              </c:pt>
              <c:pt idx="311">
                <c:v>3.2926114115407003E-2</c:v>
              </c:pt>
              <c:pt idx="312">
                <c:v>3.2825902185733502E-2</c:v>
              </c:pt>
              <c:pt idx="313">
                <c:v>3.2740536467863499E-2</c:v>
              </c:pt>
              <c:pt idx="314">
                <c:v>3.16929506474804E-2</c:v>
              </c:pt>
              <c:pt idx="315">
                <c:v>3.0879192663002101E-2</c:v>
              </c:pt>
              <c:pt idx="316">
                <c:v>3.06128887387772E-2</c:v>
              </c:pt>
              <c:pt idx="317">
                <c:v>2.9808409636676102E-2</c:v>
              </c:pt>
              <c:pt idx="318">
                <c:v>2.94344706768759E-2</c:v>
              </c:pt>
              <c:pt idx="319">
                <c:v>2.9023416187567E-2</c:v>
              </c:pt>
              <c:pt idx="320">
                <c:v>2.8465755356698801E-2</c:v>
              </c:pt>
              <c:pt idx="321">
                <c:v>2.7885825208125301E-2</c:v>
              </c:pt>
              <c:pt idx="322">
                <c:v>2.6697200375609201E-2</c:v>
              </c:pt>
              <c:pt idx="323">
                <c:v>2.63464586217519E-2</c:v>
              </c:pt>
              <c:pt idx="324">
                <c:v>2.4828433464845999E-2</c:v>
              </c:pt>
              <c:pt idx="325">
                <c:v>2.46094518407447E-2</c:v>
              </c:pt>
              <c:pt idx="326">
                <c:v>2.43644893459872E-2</c:v>
              </c:pt>
              <c:pt idx="327">
                <c:v>2.3631457638190401E-2</c:v>
              </c:pt>
              <c:pt idx="328">
                <c:v>2.3033897613100301E-2</c:v>
              </c:pt>
              <c:pt idx="329">
                <c:v>2.25940785884222E-2</c:v>
              </c:pt>
              <c:pt idx="330">
                <c:v>2.1626291156482801E-2</c:v>
              </c:pt>
              <c:pt idx="331">
                <c:v>2.1229154990739699E-2</c:v>
              </c:pt>
              <c:pt idx="332">
                <c:v>2.10231638019664E-2</c:v>
              </c:pt>
              <c:pt idx="333">
                <c:v>1.994031822855E-2</c:v>
              </c:pt>
              <c:pt idx="334">
                <c:v>1.97612357986705E-2</c:v>
              </c:pt>
              <c:pt idx="335">
                <c:v>1.9654528651332999E-2</c:v>
              </c:pt>
              <c:pt idx="336">
                <c:v>1.9197079750138301E-2</c:v>
              </c:pt>
              <c:pt idx="337">
                <c:v>1.8898299737593199E-2</c:v>
              </c:pt>
              <c:pt idx="338">
                <c:v>1.8320225365495199E-2</c:v>
              </c:pt>
              <c:pt idx="339">
                <c:v>1.71696439507254E-2</c:v>
              </c:pt>
              <c:pt idx="340">
                <c:v>1.7161292956586E-2</c:v>
              </c:pt>
              <c:pt idx="341">
                <c:v>1.6972931644329298E-2</c:v>
              </c:pt>
              <c:pt idx="342">
                <c:v>1.6689925731825501E-2</c:v>
              </c:pt>
              <c:pt idx="343">
                <c:v>1.6077519494931899E-2</c:v>
              </c:pt>
              <c:pt idx="344">
                <c:v>1.55115076699242E-2</c:v>
              </c:pt>
              <c:pt idx="345">
                <c:v>1.52684009516422E-2</c:v>
              </c:pt>
              <c:pt idx="346">
                <c:v>1.45093883731892E-2</c:v>
              </c:pt>
              <c:pt idx="347">
                <c:v>1.43562868139658E-2</c:v>
              </c:pt>
              <c:pt idx="348">
                <c:v>1.42282382371608E-2</c:v>
              </c:pt>
              <c:pt idx="349">
                <c:v>1.41354494133891E-2</c:v>
              </c:pt>
              <c:pt idx="350">
                <c:v>1.3015488310464E-2</c:v>
              </c:pt>
              <c:pt idx="351">
                <c:v>1.29310504808317E-2</c:v>
              </c:pt>
              <c:pt idx="352">
                <c:v>1.2256475732011E-2</c:v>
              </c:pt>
              <c:pt idx="353">
                <c:v>1.1692319683478799E-2</c:v>
              </c:pt>
              <c:pt idx="354">
                <c:v>8.6989522286019701E-3</c:v>
              </c:pt>
              <c:pt idx="355">
                <c:v>8.5217255751979196E-3</c:v>
              </c:pt>
              <c:pt idx="356">
                <c:v>7.9854061737971802E-3</c:v>
              </c:pt>
              <c:pt idx="357">
                <c:v>6.7800793530020899E-3</c:v>
              </c:pt>
              <c:pt idx="358">
                <c:v>6.3244862282827701E-3</c:v>
              </c:pt>
              <c:pt idx="359">
                <c:v>5.8948739742195498E-3</c:v>
              </c:pt>
              <c:pt idx="360">
                <c:v>5.5673294263052604E-3</c:v>
              </c:pt>
              <c:pt idx="361">
                <c:v>5.1989577959314004E-3</c:v>
              </c:pt>
              <c:pt idx="362">
                <c:v>4.7702734301058904E-3</c:v>
              </c:pt>
              <c:pt idx="363">
                <c:v>2.5145771242145402E-3</c:v>
              </c:pt>
              <c:pt idx="364">
                <c:v>2.5117934595013901E-3</c:v>
              </c:pt>
              <c:pt idx="365">
                <c:v>0</c:v>
              </c:pt>
            </c:numLit>
          </c:val>
          <c:smooth val="0"/>
        </c:ser>
        <c:ser>
          <c:idx val="3"/>
          <c:order val="3"/>
          <c:tx>
            <c:v>2010</c:v>
          </c:tx>
          <c:marker>
            <c:symbol val="none"/>
          </c:marker>
          <c:cat>
            <c:strLit>
              <c:ptCount val="36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strLit>
          </c:cat>
          <c:val>
            <c:numLit>
              <c:formatCode>General</c:formatCode>
              <c:ptCount val="366"/>
              <c:pt idx="0">
                <c:v>123.99104614324879</c:v>
              </c:pt>
              <c:pt idx="1">
                <c:v>99.49877238810447</c:v>
              </c:pt>
              <c:pt idx="2">
                <c:v>36.016404477574717</c:v>
              </c:pt>
              <c:pt idx="3">
                <c:v>28.860909125325371</c:v>
              </c:pt>
              <c:pt idx="4">
                <c:v>27.408983589058881</c:v>
              </c:pt>
              <c:pt idx="5">
                <c:v>19.908628555757769</c:v>
              </c:pt>
              <c:pt idx="6">
                <c:v>17.06627072835844</c:v>
              </c:pt>
              <c:pt idx="7">
                <c:v>13.16033008401685</c:v>
              </c:pt>
              <c:pt idx="8">
                <c:v>10.57983447784251</c:v>
              </c:pt>
              <c:pt idx="9">
                <c:v>7.606651726643749</c:v>
              </c:pt>
              <c:pt idx="10">
                <c:v>4.5038693551321032</c:v>
              </c:pt>
              <c:pt idx="11">
                <c:v>4.3769244051460898</c:v>
              </c:pt>
              <c:pt idx="12">
                <c:v>3.7040979799574698</c:v>
              </c:pt>
              <c:pt idx="13">
                <c:v>3.214547224045865</c:v>
              </c:pt>
              <c:pt idx="14">
                <c:v>2.8663643574266602</c:v>
              </c:pt>
              <c:pt idx="15">
                <c:v>2.7170019861550871</c:v>
              </c:pt>
              <c:pt idx="16">
                <c:v>2.5647494868406842</c:v>
              </c:pt>
              <c:pt idx="17">
                <c:v>2.3094256032103502</c:v>
              </c:pt>
              <c:pt idx="18">
                <c:v>1.9614052485833291</c:v>
              </c:pt>
              <c:pt idx="19">
                <c:v>1.6895688538380069</c:v>
              </c:pt>
              <c:pt idx="20">
                <c:v>1.6745688122866449</c:v>
              </c:pt>
              <c:pt idx="21">
                <c:v>1.476764016890167</c:v>
              </c:pt>
              <c:pt idx="22">
                <c:v>1.4570308135664269</c:v>
              </c:pt>
              <c:pt idx="23">
                <c:v>1.404889394892137</c:v>
              </c:pt>
              <c:pt idx="24">
                <c:v>1.35281999857802</c:v>
              </c:pt>
              <c:pt idx="25">
                <c:v>1.252985927015495</c:v>
              </c:pt>
              <c:pt idx="26">
                <c:v>1.1890993234514959</c:v>
              </c:pt>
              <c:pt idx="27">
                <c:v>1.1589358049929961</c:v>
              </c:pt>
              <c:pt idx="28">
                <c:v>1.1510179621919541</c:v>
              </c:pt>
              <c:pt idx="29">
                <c:v>1.0809245085628121</c:v>
              </c:pt>
              <c:pt idx="30">
                <c:v>1.071302136571016</c:v>
              </c:pt>
              <c:pt idx="31">
                <c:v>1.0600121699321421</c:v>
              </c:pt>
              <c:pt idx="32">
                <c:v>1.054191285848437</c:v>
              </c:pt>
              <c:pt idx="33">
                <c:v>1.049290071902323</c:v>
              </c:pt>
              <c:pt idx="34">
                <c:v>1.0249936057071249</c:v>
              </c:pt>
              <c:pt idx="35">
                <c:v>1.00712005665759</c:v>
              </c:pt>
              <c:pt idx="36">
                <c:v>0.93992227125282901</c:v>
              </c:pt>
              <c:pt idx="37">
                <c:v>0.90933123545125205</c:v>
              </c:pt>
              <c:pt idx="38">
                <c:v>0.88264972109802697</c:v>
              </c:pt>
              <c:pt idx="39">
                <c:v>0.86500885967366503</c:v>
              </c:pt>
              <c:pt idx="40">
                <c:v>0.85052220827943203</c:v>
              </c:pt>
              <c:pt idx="41">
                <c:v>0.82850275670200402</c:v>
              </c:pt>
              <c:pt idx="42">
                <c:v>0.82378621547428099</c:v>
              </c:pt>
              <c:pt idx="43">
                <c:v>0.82162739139628305</c:v>
              </c:pt>
              <c:pt idx="44">
                <c:v>0.74194665359183798</c:v>
              </c:pt>
              <c:pt idx="45">
                <c:v>0.68262608299007299</c:v>
              </c:pt>
              <c:pt idx="46">
                <c:v>0.66974423751866397</c:v>
              </c:pt>
              <c:pt idx="47">
                <c:v>0.66619205778040003</c:v>
              </c:pt>
              <c:pt idx="48">
                <c:v>0.64327602015518104</c:v>
              </c:pt>
              <c:pt idx="49">
                <c:v>0.625260273112483</c:v>
              </c:pt>
              <c:pt idx="50">
                <c:v>0.62350680565135397</c:v>
              </c:pt>
              <c:pt idx="51">
                <c:v>0.59930267581535301</c:v>
              </c:pt>
              <c:pt idx="52">
                <c:v>0.57212623857683798</c:v>
              </c:pt>
              <c:pt idx="53">
                <c:v>0.55192119645760795</c:v>
              </c:pt>
              <c:pt idx="54">
                <c:v>0.55116034485783405</c:v>
              </c:pt>
              <c:pt idx="55">
                <c:v>0.53950934305450504</c:v>
              </c:pt>
              <c:pt idx="56">
                <c:v>0.53909013598375599</c:v>
              </c:pt>
              <c:pt idx="57">
                <c:v>0.531943301781999</c:v>
              </c:pt>
              <c:pt idx="58">
                <c:v>0.52766720498764097</c:v>
              </c:pt>
              <c:pt idx="59">
                <c:v>0.518360623344294</c:v>
              </c:pt>
              <c:pt idx="60">
                <c:v>0.51745295693339899</c:v>
              </c:pt>
              <c:pt idx="61">
                <c:v>0.51728121130529503</c:v>
              </c:pt>
              <c:pt idx="62">
                <c:v>0.51715286376601199</c:v>
              </c:pt>
              <c:pt idx="63">
                <c:v>0.51671334269624003</c:v>
              </c:pt>
              <c:pt idx="64">
                <c:v>0.51620733944784702</c:v>
              </c:pt>
              <c:pt idx="65">
                <c:v>0.50196537940548303</c:v>
              </c:pt>
              <c:pt idx="66">
                <c:v>0.498777928286043</c:v>
              </c:pt>
              <c:pt idx="67">
                <c:v>0.48324787603289798</c:v>
              </c:pt>
              <c:pt idx="68">
                <c:v>0.47485173089122101</c:v>
              </c:pt>
              <c:pt idx="69">
                <c:v>0.47395422147983801</c:v>
              </c:pt>
              <c:pt idx="70">
                <c:v>0.471511001415516</c:v>
              </c:pt>
              <c:pt idx="71">
                <c:v>0.46971690595634202</c:v>
              </c:pt>
              <c:pt idx="72">
                <c:v>0.460093610600953</c:v>
              </c:pt>
              <c:pt idx="73">
                <c:v>0.44895876904552801</c:v>
              </c:pt>
              <c:pt idx="74">
                <c:v>0.44754971620419998</c:v>
              </c:pt>
              <c:pt idx="75">
                <c:v>0.44378239274900999</c:v>
              </c:pt>
              <c:pt idx="76">
                <c:v>0.43784424148912698</c:v>
              </c:pt>
              <c:pt idx="77">
                <c:v>0.43348504197149201</c:v>
              </c:pt>
              <c:pt idx="78">
                <c:v>0.42738253199224002</c:v>
              </c:pt>
              <c:pt idx="79">
                <c:v>0.42569739343691598</c:v>
              </c:pt>
              <c:pt idx="80">
                <c:v>0.41316180931249102</c:v>
              </c:pt>
              <c:pt idx="81">
                <c:v>0.40730583741229198</c:v>
              </c:pt>
              <c:pt idx="82">
                <c:v>0.40202050421192298</c:v>
              </c:pt>
              <c:pt idx="83">
                <c:v>0.39563544497353198</c:v>
              </c:pt>
              <c:pt idx="84">
                <c:v>0.39348308444067698</c:v>
              </c:pt>
              <c:pt idx="85">
                <c:v>0.39050616022020401</c:v>
              </c:pt>
              <c:pt idx="86">
                <c:v>0.39001031397132202</c:v>
              </c:pt>
              <c:pt idx="87">
                <c:v>0.37933623084828499</c:v>
              </c:pt>
              <c:pt idx="88">
                <c:v>0.37823188799230301</c:v>
              </c:pt>
              <c:pt idx="89">
                <c:v>0.37640455144381701</c:v>
              </c:pt>
              <c:pt idx="90">
                <c:v>0.36558919369121101</c:v>
              </c:pt>
              <c:pt idx="91">
                <c:v>0.36511458480494402</c:v>
              </c:pt>
              <c:pt idx="92">
                <c:v>0.35558177908156702</c:v>
              </c:pt>
              <c:pt idx="93">
                <c:v>0.34959468955131001</c:v>
              </c:pt>
              <c:pt idx="94">
                <c:v>0.349408170105734</c:v>
              </c:pt>
              <c:pt idx="95">
                <c:v>0.348385083245845</c:v>
              </c:pt>
              <c:pt idx="96">
                <c:v>0.34580151191554598</c:v>
              </c:pt>
              <c:pt idx="97">
                <c:v>0.34432136007763597</c:v>
              </c:pt>
              <c:pt idx="98">
                <c:v>0.34322440413039002</c:v>
              </c:pt>
              <c:pt idx="99">
                <c:v>0.34156050293768098</c:v>
              </c:pt>
              <c:pt idx="100">
                <c:v>0.32930562134521202</c:v>
              </c:pt>
              <c:pt idx="101">
                <c:v>0.32296765365001001</c:v>
              </c:pt>
              <c:pt idx="102">
                <c:v>0.31912923119823999</c:v>
              </c:pt>
              <c:pt idx="103">
                <c:v>0.31851704113677098</c:v>
              </c:pt>
              <c:pt idx="104">
                <c:v>0.31533420683529101</c:v>
              </c:pt>
              <c:pt idx="105">
                <c:v>0.31154195256311901</c:v>
              </c:pt>
              <c:pt idx="106">
                <c:v>0.30997777463834197</c:v>
              </c:pt>
              <c:pt idx="107">
                <c:v>0.30721691749838598</c:v>
              </c:pt>
              <c:pt idx="108">
                <c:v>0.29287061737013098</c:v>
              </c:pt>
              <c:pt idx="109">
                <c:v>0.29053081402810899</c:v>
              </c:pt>
              <c:pt idx="110">
                <c:v>0.29052342711937301</c:v>
              </c:pt>
              <c:pt idx="111">
                <c:v>0.28999249305399699</c:v>
              </c:pt>
              <c:pt idx="112">
                <c:v>0.28362867117822099</c:v>
              </c:pt>
              <c:pt idx="113">
                <c:v>0.27411433272668301</c:v>
              </c:pt>
              <c:pt idx="114">
                <c:v>0.27265449488779703</c:v>
              </c:pt>
              <c:pt idx="115">
                <c:v>0.27238579608253799</c:v>
              </c:pt>
              <c:pt idx="116">
                <c:v>0.271513217488137</c:v>
              </c:pt>
              <c:pt idx="117">
                <c:v>0.26862770626326798</c:v>
              </c:pt>
              <c:pt idx="118">
                <c:v>0.26736454486946898</c:v>
              </c:pt>
              <c:pt idx="119">
                <c:v>0.26527681978805101</c:v>
              </c:pt>
              <c:pt idx="120">
                <c:v>0.26392409212583201</c:v>
              </c:pt>
              <c:pt idx="121">
                <c:v>0.26168308868814999</c:v>
              </c:pt>
              <c:pt idx="122">
                <c:v>0.26128234888924001</c:v>
              </c:pt>
              <c:pt idx="123">
                <c:v>0.26118447234849201</c:v>
              </c:pt>
              <c:pt idx="124">
                <c:v>0.26008566967406199</c:v>
              </c:pt>
              <c:pt idx="125">
                <c:v>0.25684928028424803</c:v>
              </c:pt>
              <c:pt idx="126">
                <c:v>0.25250208449330902</c:v>
              </c:pt>
              <c:pt idx="127">
                <c:v>0.25151500881350503</c:v>
              </c:pt>
              <c:pt idx="128">
                <c:v>0.25093236638698002</c:v>
              </c:pt>
              <c:pt idx="129">
                <c:v>0.250820639392353</c:v>
              </c:pt>
              <c:pt idx="130">
                <c:v>0.24440418579183501</c:v>
              </c:pt>
              <c:pt idx="131">
                <c:v>0.243728283642522</c:v>
              </c:pt>
              <c:pt idx="132">
                <c:v>0.24025735990035099</c:v>
              </c:pt>
              <c:pt idx="133">
                <c:v>0.239676564201009</c:v>
              </c:pt>
              <c:pt idx="134">
                <c:v>0.23686122860912801</c:v>
              </c:pt>
              <c:pt idx="135">
                <c:v>0.23604866864820501</c:v>
              </c:pt>
              <c:pt idx="136">
                <c:v>0.231792885852869</c:v>
              </c:pt>
              <c:pt idx="137">
                <c:v>0.22638474529477001</c:v>
              </c:pt>
              <c:pt idx="138">
                <c:v>0.22595815131528499</c:v>
              </c:pt>
              <c:pt idx="139">
                <c:v>0.22585196450221001</c:v>
              </c:pt>
              <c:pt idx="140">
                <c:v>0.22224161285765301</c:v>
              </c:pt>
              <c:pt idx="141">
                <c:v>0.22149184162098301</c:v>
              </c:pt>
              <c:pt idx="142">
                <c:v>0.22000799632870599</c:v>
              </c:pt>
              <c:pt idx="143">
                <c:v>0.218405037133067</c:v>
              </c:pt>
              <c:pt idx="144">
                <c:v>0.217626641625046</c:v>
              </c:pt>
              <c:pt idx="145">
                <c:v>0.21471896967397</c:v>
              </c:pt>
              <c:pt idx="146">
                <c:v>0.21368664917815999</c:v>
              </c:pt>
              <c:pt idx="147">
                <c:v>0.21030621506800101</c:v>
              </c:pt>
              <c:pt idx="148">
                <c:v>0.20936253747701999</c:v>
              </c:pt>
              <c:pt idx="149">
                <c:v>0.20497840714240201</c:v>
              </c:pt>
              <c:pt idx="150">
                <c:v>0.20286944469836901</c:v>
              </c:pt>
              <c:pt idx="151">
                <c:v>0.20224155745583799</c:v>
              </c:pt>
              <c:pt idx="152">
                <c:v>0.198344963097774</c:v>
              </c:pt>
              <c:pt idx="153">
                <c:v>0.19766075067613301</c:v>
              </c:pt>
              <c:pt idx="154">
                <c:v>0.196994082162739</c:v>
              </c:pt>
              <c:pt idx="155">
                <c:v>0.19518336615890899</c:v>
              </c:pt>
              <c:pt idx="156">
                <c:v>0.194155662481059</c:v>
              </c:pt>
              <c:pt idx="157">
                <c:v>0.19403193175973699</c:v>
              </c:pt>
              <c:pt idx="158">
                <c:v>0.19292574217657099</c:v>
              </c:pt>
              <c:pt idx="159">
                <c:v>0.192360643658293</c:v>
              </c:pt>
              <c:pt idx="160">
                <c:v>0.19050006602049699</c:v>
              </c:pt>
              <c:pt idx="161">
                <c:v>0.18913810472235801</c:v>
              </c:pt>
              <c:pt idx="162">
                <c:v>0.186079924505793</c:v>
              </c:pt>
              <c:pt idx="163">
                <c:v>0.18423873750342801</c:v>
              </c:pt>
              <c:pt idx="164">
                <c:v>0.181343069279047</c:v>
              </c:pt>
              <c:pt idx="165">
                <c:v>0.17923780028938199</c:v>
              </c:pt>
              <c:pt idx="166">
                <c:v>0.17718793311523501</c:v>
              </c:pt>
              <c:pt idx="167">
                <c:v>0.177185163024459</c:v>
              </c:pt>
              <c:pt idx="168">
                <c:v>0.176477866513019</c:v>
              </c:pt>
              <c:pt idx="169">
                <c:v>0.17564037573511301</c:v>
              </c:pt>
              <c:pt idx="170">
                <c:v>0.172644060879208</c:v>
              </c:pt>
              <c:pt idx="171">
                <c:v>0.17214175108518301</c:v>
              </c:pt>
              <c:pt idx="172">
                <c:v>0.16813158300530801</c:v>
              </c:pt>
              <c:pt idx="173">
                <c:v>0.16587672911374601</c:v>
              </c:pt>
              <c:pt idx="174">
                <c:v>0.16409094392689899</c:v>
              </c:pt>
              <c:pt idx="175">
                <c:v>0.16289149462094499</c:v>
              </c:pt>
              <c:pt idx="176">
                <c:v>0.15524973753389901</c:v>
              </c:pt>
              <c:pt idx="177">
                <c:v>0.154952414457288</c:v>
              </c:pt>
              <c:pt idx="178">
                <c:v>0.15456183165789</c:v>
              </c:pt>
              <c:pt idx="179">
                <c:v>0.15328758990098801</c:v>
              </c:pt>
              <c:pt idx="180">
                <c:v>0.153017967732136</c:v>
              </c:pt>
              <c:pt idx="181">
                <c:v>0.15110106491523101</c:v>
              </c:pt>
              <c:pt idx="182">
                <c:v>0.14925341436772199</c:v>
              </c:pt>
              <c:pt idx="183">
                <c:v>0.14840207313593701</c:v>
              </c:pt>
              <c:pt idx="184">
                <c:v>0.14699394365820001</c:v>
              </c:pt>
              <c:pt idx="185">
                <c:v>0.14599763434247701</c:v>
              </c:pt>
              <c:pt idx="186">
                <c:v>0.14325247438358599</c:v>
              </c:pt>
              <c:pt idx="187">
                <c:v>0.14295238121619899</c:v>
              </c:pt>
              <c:pt idx="188">
                <c:v>0.14109365030558699</c:v>
              </c:pt>
              <c:pt idx="189">
                <c:v>0.13828016144089</c:v>
              </c:pt>
              <c:pt idx="190">
                <c:v>0.13806594108755599</c:v>
              </c:pt>
              <c:pt idx="191">
                <c:v>0.136709519970969</c:v>
              </c:pt>
              <c:pt idx="192">
                <c:v>0.136008687004673</c:v>
              </c:pt>
              <c:pt idx="193">
                <c:v>0.13468920043176499</c:v>
              </c:pt>
              <c:pt idx="194">
                <c:v>0.13432262508575701</c:v>
              </c:pt>
              <c:pt idx="195">
                <c:v>0.13286648070123899</c:v>
              </c:pt>
              <c:pt idx="196">
                <c:v>0.13008161610789301</c:v>
              </c:pt>
              <c:pt idx="197">
                <c:v>0.130064995563238</c:v>
              </c:pt>
              <c:pt idx="198">
                <c:v>0.130015133929272</c:v>
              </c:pt>
              <c:pt idx="199">
                <c:v>0.128970809706767</c:v>
              </c:pt>
              <c:pt idx="200">
                <c:v>0.12643155982888199</c:v>
              </c:pt>
              <c:pt idx="201">
                <c:v>0.12544817760344701</c:v>
              </c:pt>
              <c:pt idx="202">
                <c:v>0.120357674120981</c:v>
              </c:pt>
              <c:pt idx="203">
                <c:v>0.120234866763251</c:v>
              </c:pt>
              <c:pt idx="204">
                <c:v>0.118935694189365</c:v>
              </c:pt>
              <c:pt idx="205">
                <c:v>0.118147141681833</c:v>
              </c:pt>
              <c:pt idx="206">
                <c:v>0.11748601334999099</c:v>
              </c:pt>
              <c:pt idx="207">
                <c:v>0.116376130312457</c:v>
              </c:pt>
              <c:pt idx="208">
                <c:v>0.116172066958634</c:v>
              </c:pt>
              <c:pt idx="209">
                <c:v>0.115256090275412</c:v>
              </c:pt>
              <c:pt idx="210">
                <c:v>0.115125896008946</c:v>
              </c:pt>
              <c:pt idx="211">
                <c:v>0.114193298781068</c:v>
              </c:pt>
              <c:pt idx="212">
                <c:v>0.11418406514514801</c:v>
              </c:pt>
              <c:pt idx="213">
                <c:v>0.112794402939251</c:v>
              </c:pt>
              <c:pt idx="214">
                <c:v>0.112641124582986</c:v>
              </c:pt>
              <c:pt idx="215">
                <c:v>0.112517393861664</c:v>
              </c:pt>
              <c:pt idx="216">
                <c:v>0.112259775419507</c:v>
              </c:pt>
              <c:pt idx="217">
                <c:v>0.112097263427323</c:v>
              </c:pt>
              <c:pt idx="218">
                <c:v>0.110885810394673</c:v>
              </c:pt>
              <c:pt idx="219">
                <c:v>0.109816555355186</c:v>
              </c:pt>
              <c:pt idx="220">
                <c:v>0.10907786448161901</c:v>
              </c:pt>
              <c:pt idx="221">
                <c:v>0.108025229986787</c:v>
              </c:pt>
              <c:pt idx="222">
                <c:v>0.104453659613092</c:v>
              </c:pt>
              <c:pt idx="223">
                <c:v>0.104165570172401</c:v>
              </c:pt>
              <c:pt idx="224">
                <c:v>0.101135090863594</c:v>
              </c:pt>
              <c:pt idx="225">
                <c:v>9.8819294974963001E-2</c:v>
              </c:pt>
              <c:pt idx="226">
                <c:v>9.8217261913006199E-2</c:v>
              </c:pt>
              <c:pt idx="227">
                <c:v>9.8151703097977203E-2</c:v>
              </c:pt>
              <c:pt idx="228">
                <c:v>9.5775888575868703E-2</c:v>
              </c:pt>
              <c:pt idx="229">
                <c:v>9.4764805442674405E-2</c:v>
              </c:pt>
              <c:pt idx="230">
                <c:v>9.3508107594019202E-2</c:v>
              </c:pt>
              <c:pt idx="231">
                <c:v>9.2803581173354993E-2</c:v>
              </c:pt>
              <c:pt idx="232">
                <c:v>9.1835896128982797E-2</c:v>
              </c:pt>
              <c:pt idx="233">
                <c:v>9.1032569803979099E-2</c:v>
              </c:pt>
              <c:pt idx="234">
                <c:v>8.8834964455118501E-2</c:v>
              </c:pt>
              <c:pt idx="235">
                <c:v>8.7672449692843102E-2</c:v>
              </c:pt>
              <c:pt idx="236">
                <c:v>8.6979926998874399E-2</c:v>
              </c:pt>
              <c:pt idx="237">
                <c:v>8.6713074920798494E-2</c:v>
              </c:pt>
              <c:pt idx="238">
                <c:v>8.5255083809096396E-2</c:v>
              </c:pt>
              <c:pt idx="239">
                <c:v>8.4484998573403206E-2</c:v>
              </c:pt>
              <c:pt idx="240">
                <c:v>8.4144277407970605E-2</c:v>
              </c:pt>
              <c:pt idx="241">
                <c:v>8.4143354044378699E-2</c:v>
              </c:pt>
              <c:pt idx="242">
                <c:v>8.3998385960441305E-2</c:v>
              </c:pt>
              <c:pt idx="243">
                <c:v>8.1172893369048996E-2</c:v>
              </c:pt>
              <c:pt idx="244">
                <c:v>8.1141499006922496E-2</c:v>
              </c:pt>
              <c:pt idx="245">
                <c:v>8.0465596857608998E-2</c:v>
              </c:pt>
              <c:pt idx="246">
                <c:v>8.0435125859074405E-2</c:v>
              </c:pt>
              <c:pt idx="247">
                <c:v>7.9591171536024602E-2</c:v>
              </c:pt>
              <c:pt idx="248">
                <c:v>7.9569934173409504E-2</c:v>
              </c:pt>
              <c:pt idx="249">
                <c:v>7.9568087446225594E-2</c:v>
              </c:pt>
              <c:pt idx="250">
                <c:v>7.7344627916790198E-2</c:v>
              </c:pt>
              <c:pt idx="251">
                <c:v>7.7237517740122996E-2</c:v>
              </c:pt>
              <c:pt idx="252">
                <c:v>7.4749052859795606E-2</c:v>
              </c:pt>
              <c:pt idx="253">
                <c:v>7.3509898919387598E-2</c:v>
              </c:pt>
              <c:pt idx="254">
                <c:v>7.2548677420159094E-2</c:v>
              </c:pt>
              <c:pt idx="255">
                <c:v>7.2547754056567104E-2</c:v>
              </c:pt>
              <c:pt idx="256">
                <c:v>7.1428637383113697E-2</c:v>
              </c:pt>
              <c:pt idx="257">
                <c:v>6.9993730361210593E-2</c:v>
              </c:pt>
              <c:pt idx="258">
                <c:v>6.9768429644772798E-2</c:v>
              </c:pt>
              <c:pt idx="259">
                <c:v>6.9716721283623106E-2</c:v>
              </c:pt>
              <c:pt idx="260">
                <c:v>6.9023275226062497E-2</c:v>
              </c:pt>
              <c:pt idx="261">
                <c:v>6.7406465576543603E-2</c:v>
              </c:pt>
              <c:pt idx="262">
                <c:v>6.7355680578985902E-2</c:v>
              </c:pt>
              <c:pt idx="263">
                <c:v>6.6338133900647897E-2</c:v>
              </c:pt>
              <c:pt idx="264">
                <c:v>6.5735177475099202E-2</c:v>
              </c:pt>
              <c:pt idx="265">
                <c:v>6.5407383399954E-2</c:v>
              </c:pt>
              <c:pt idx="266">
                <c:v>6.4933697877279498E-2</c:v>
              </c:pt>
              <c:pt idx="267">
                <c:v>6.4791499884117906E-2</c:v>
              </c:pt>
              <c:pt idx="268">
                <c:v>6.4596670166214704E-2</c:v>
              </c:pt>
              <c:pt idx="269">
                <c:v>6.4394453539575805E-2</c:v>
              </c:pt>
              <c:pt idx="270">
                <c:v>6.4346438632794004E-2</c:v>
              </c:pt>
              <c:pt idx="271">
                <c:v>6.4289190090092596E-2</c:v>
              </c:pt>
              <c:pt idx="272">
                <c:v>6.3645605666497698E-2</c:v>
              </c:pt>
              <c:pt idx="273">
                <c:v>6.3067580057931893E-2</c:v>
              </c:pt>
              <c:pt idx="274">
                <c:v>6.1420299409878303E-2</c:v>
              </c:pt>
              <c:pt idx="275">
                <c:v>6.1065727790566397E-2</c:v>
              </c:pt>
              <c:pt idx="276">
                <c:v>6.0591118904299801E-2</c:v>
              </c:pt>
              <c:pt idx="277">
                <c:v>5.9681605766220898E-2</c:v>
              </c:pt>
              <c:pt idx="278">
                <c:v>5.9207920243546402E-2</c:v>
              </c:pt>
              <c:pt idx="279">
                <c:v>5.7683446953223298E-2</c:v>
              </c:pt>
              <c:pt idx="280">
                <c:v>5.74442957829061E-2</c:v>
              </c:pt>
              <c:pt idx="281">
                <c:v>5.6435059376895802E-2</c:v>
              </c:pt>
              <c:pt idx="282">
                <c:v>5.5223606344246598E-2</c:v>
              </c:pt>
              <c:pt idx="283">
                <c:v>5.4785932001658398E-2</c:v>
              </c:pt>
              <c:pt idx="284">
                <c:v>5.3618800421423099E-2</c:v>
              </c:pt>
              <c:pt idx="285">
                <c:v>5.2688049920729202E-2</c:v>
              </c:pt>
              <c:pt idx="286">
                <c:v>5.2080476677220697E-2</c:v>
              </c:pt>
              <c:pt idx="287">
                <c:v>5.1756376056443398E-2</c:v>
              </c:pt>
              <c:pt idx="288">
                <c:v>5.1649265879776203E-2</c:v>
              </c:pt>
              <c:pt idx="289">
                <c:v>4.9730516335687001E-2</c:v>
              </c:pt>
              <c:pt idx="290">
                <c:v>4.7479355898492802E-2</c:v>
              </c:pt>
              <c:pt idx="291">
                <c:v>4.73408513596991E-2</c:v>
              </c:pt>
              <c:pt idx="292">
                <c:v>4.7327924269411702E-2</c:v>
              </c:pt>
              <c:pt idx="293">
                <c:v>4.6602160486132402E-2</c:v>
              </c:pt>
              <c:pt idx="294">
                <c:v>4.6354699043487699E-2</c:v>
              </c:pt>
              <c:pt idx="295">
                <c:v>4.5926258336819001E-2</c:v>
              </c:pt>
              <c:pt idx="296">
                <c:v>4.5785907070841403E-2</c:v>
              </c:pt>
              <c:pt idx="297">
                <c:v>4.5696340802421402E-2</c:v>
              </c:pt>
              <c:pt idx="298">
                <c:v>4.4738812757560698E-2</c:v>
              </c:pt>
              <c:pt idx="299">
                <c:v>4.4696338032330703E-2</c:v>
              </c:pt>
              <c:pt idx="300">
                <c:v>4.4264203871294198E-2</c:v>
              </c:pt>
              <c:pt idx="301">
                <c:v>4.3628006356435003E-2</c:v>
              </c:pt>
              <c:pt idx="302">
                <c:v>4.3196795558990503E-2</c:v>
              </c:pt>
              <c:pt idx="303">
                <c:v>4.3089685382323301E-2</c:v>
              </c:pt>
              <c:pt idx="304">
                <c:v>4.1369459010505101E-2</c:v>
              </c:pt>
              <c:pt idx="305">
                <c:v>4.0417471147196203E-2</c:v>
              </c:pt>
              <c:pt idx="306">
                <c:v>4.0001957530814897E-2</c:v>
              </c:pt>
              <c:pt idx="307">
                <c:v>3.9022268759747299E-2</c:v>
              </c:pt>
              <c:pt idx="308">
                <c:v>3.8374067518192598E-2</c:v>
              </c:pt>
              <c:pt idx="309">
                <c:v>3.8238333070174699E-2</c:v>
              </c:pt>
              <c:pt idx="310">
                <c:v>3.8109985530892503E-2</c:v>
              </c:pt>
              <c:pt idx="311">
                <c:v>3.7148764031663999E-2</c:v>
              </c:pt>
              <c:pt idx="312">
                <c:v>3.6953010950168799E-2</c:v>
              </c:pt>
              <c:pt idx="313">
                <c:v>3.6919769860858299E-2</c:v>
              </c:pt>
              <c:pt idx="314">
                <c:v>3.5977015633469001E-2</c:v>
              </c:pt>
              <c:pt idx="315">
                <c:v>3.5808040096140602E-2</c:v>
              </c:pt>
              <c:pt idx="316">
                <c:v>3.4482089978088597E-2</c:v>
              </c:pt>
              <c:pt idx="317">
                <c:v>3.4300187350472799E-2</c:v>
              </c:pt>
              <c:pt idx="318">
                <c:v>3.4183843537886102E-2</c:v>
              </c:pt>
              <c:pt idx="319">
                <c:v>3.3688920652596502E-2</c:v>
              </c:pt>
              <c:pt idx="320">
                <c:v>3.3453462936647103E-2</c:v>
              </c:pt>
              <c:pt idx="321">
                <c:v>3.2820035512563801E-2</c:v>
              </c:pt>
              <c:pt idx="322">
                <c:v>3.24534601665563E-2</c:v>
              </c:pt>
              <c:pt idx="323">
                <c:v>3.1898518647789399E-2</c:v>
              </c:pt>
              <c:pt idx="324">
                <c:v>3.1549487210029203E-2</c:v>
              </c:pt>
              <c:pt idx="325">
                <c:v>3.104533068882E-2</c:v>
              </c:pt>
              <c:pt idx="326">
                <c:v>3.0784018792295802E-2</c:v>
              </c:pt>
              <c:pt idx="327">
                <c:v>3.04294471729839E-2</c:v>
              </c:pt>
              <c:pt idx="328">
                <c:v>2.93943565863987E-2</c:v>
              </c:pt>
              <c:pt idx="329">
                <c:v>2.9133044689874502E-2</c:v>
              </c:pt>
              <c:pt idx="330">
                <c:v>2.8700910528838001E-2</c:v>
              </c:pt>
              <c:pt idx="331">
                <c:v>2.8263236186249801E-2</c:v>
              </c:pt>
              <c:pt idx="332">
                <c:v>2.7951139292167901E-2</c:v>
              </c:pt>
              <c:pt idx="333">
                <c:v>2.7754462847080798E-2</c:v>
              </c:pt>
              <c:pt idx="334">
                <c:v>2.7035162608945399E-2</c:v>
              </c:pt>
              <c:pt idx="335">
                <c:v>2.6717525533311699E-2</c:v>
              </c:pt>
              <c:pt idx="336">
                <c:v>2.649037808969E-2</c:v>
              </c:pt>
              <c:pt idx="337">
                <c:v>2.6025926202935E-2</c:v>
              </c:pt>
              <c:pt idx="338">
                <c:v>2.5973294478193399E-2</c:v>
              </c:pt>
              <c:pt idx="339">
                <c:v>2.49049628022977E-2</c:v>
              </c:pt>
              <c:pt idx="340">
                <c:v>2.2516221189901701E-2</c:v>
              </c:pt>
              <c:pt idx="341">
                <c:v>2.1326928883459498E-2</c:v>
              </c:pt>
              <c:pt idx="342">
                <c:v>2.1112708530125202E-2</c:v>
              </c:pt>
              <c:pt idx="343">
                <c:v>2.0737822911790198E-2</c:v>
              </c:pt>
              <c:pt idx="344">
                <c:v>2.0565153920094E-2</c:v>
              </c:pt>
              <c:pt idx="345">
                <c:v>1.7400786890453102E-2</c:v>
              </c:pt>
              <c:pt idx="346">
                <c:v>1.6621468018840301E-2</c:v>
              </c:pt>
              <c:pt idx="347">
                <c:v>1.6014818138923699E-2</c:v>
              </c:pt>
              <c:pt idx="348">
                <c:v>1.5940949051567101E-2</c:v>
              </c:pt>
              <c:pt idx="349">
                <c:v>1.5013892005241E-2</c:v>
              </c:pt>
              <c:pt idx="350">
                <c:v>1.44931149393766E-2</c:v>
              </c:pt>
              <c:pt idx="351">
                <c:v>1.33878487198026E-2</c:v>
              </c:pt>
              <c:pt idx="352">
                <c:v>1.17507250712606E-2</c:v>
              </c:pt>
              <c:pt idx="353">
                <c:v>1.01256051494141E-2</c:v>
              </c:pt>
              <c:pt idx="354">
                <c:v>9.0720472909897303E-3</c:v>
              </c:pt>
              <c:pt idx="355">
                <c:v>8.7922681226263802E-3</c:v>
              </c:pt>
              <c:pt idx="356">
                <c:v>7.29641910365403E-3</c:v>
              </c:pt>
              <c:pt idx="357">
                <c:v>7.1846921090270802E-3</c:v>
              </c:pt>
              <c:pt idx="358">
                <c:v>7.0988192949749604E-3</c:v>
              </c:pt>
              <c:pt idx="359">
                <c:v>7.05726793333684E-3</c:v>
              </c:pt>
              <c:pt idx="360">
                <c:v>6.8587447610658197E-3</c:v>
              </c:pt>
              <c:pt idx="361">
                <c:v>5.3508920153980096E-3</c:v>
              </c:pt>
              <c:pt idx="362">
                <c:v>3.6297422799878498E-3</c:v>
              </c:pt>
              <c:pt idx="363">
                <c:v>3.0572568529737402E-3</c:v>
              </c:pt>
              <c:pt idx="364">
                <c:v>2.5715676036036999E-3</c:v>
              </c:pt>
              <c:pt idx="365">
                <c:v>0</c:v>
              </c:pt>
            </c:numLit>
          </c:val>
          <c:smooth val="0"/>
        </c:ser>
        <c:ser>
          <c:idx val="4"/>
          <c:order val="4"/>
          <c:tx>
            <c:v>2011</c:v>
          </c:tx>
          <c:marker>
            <c:symbol val="none"/>
          </c:marker>
          <c:cat>
            <c:strLit>
              <c:ptCount val="36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strLit>
          </c:cat>
          <c:val>
            <c:numLit>
              <c:formatCode>General</c:formatCode>
              <c:ptCount val="366"/>
              <c:pt idx="0">
                <c:v>18.731074103367529</c:v>
              </c:pt>
              <c:pt idx="1">
                <c:v>6.506067879783318</c:v>
              </c:pt>
              <c:pt idx="2">
                <c:v>5.9622588992661223</c:v>
              </c:pt>
              <c:pt idx="3">
                <c:v>5.7266445649048672</c:v>
              </c:pt>
              <c:pt idx="4">
                <c:v>5.3526856947586854</c:v>
              </c:pt>
              <c:pt idx="5">
                <c:v>4.6268752279301566</c:v>
              </c:pt>
              <c:pt idx="6">
                <c:v>4.5870534750565177</c:v>
              </c:pt>
              <c:pt idx="7">
                <c:v>4.3922015504303227</c:v>
              </c:pt>
              <c:pt idx="8">
                <c:v>3.7935947146842599</c:v>
              </c:pt>
              <c:pt idx="9">
                <c:v>2.2911801477308948</c:v>
              </c:pt>
              <c:pt idx="10">
                <c:v>2.0880901266855352</c:v>
              </c:pt>
              <c:pt idx="11">
                <c:v>1.91758872167121</c:v>
              </c:pt>
              <c:pt idx="12">
                <c:v>1.9126309823342069</c:v>
              </c:pt>
              <c:pt idx="13">
                <c:v>1.824604239753592</c:v>
              </c:pt>
              <c:pt idx="14">
                <c:v>1.7903125203816641</c:v>
              </c:pt>
              <c:pt idx="15">
                <c:v>1.7616234047185331</c:v>
              </c:pt>
              <c:pt idx="16">
                <c:v>1.6830537543140229</c:v>
              </c:pt>
              <c:pt idx="17">
                <c:v>1.5294014978858179</c:v>
              </c:pt>
              <c:pt idx="18">
                <c:v>1.4577076449498021</c:v>
              </c:pt>
              <c:pt idx="19">
                <c:v>1.326528268851489</c:v>
              </c:pt>
              <c:pt idx="20">
                <c:v>1.3155021904260611</c:v>
              </c:pt>
              <c:pt idx="21">
                <c:v>1.2542759009040041</c:v>
              </c:pt>
              <c:pt idx="22">
                <c:v>1.0530019722561339</c:v>
              </c:pt>
              <c:pt idx="23">
                <c:v>1.048688178680711</c:v>
              </c:pt>
              <c:pt idx="24">
                <c:v>1.027115536362726</c:v>
              </c:pt>
              <c:pt idx="25">
                <c:v>1.0161023184803251</c:v>
              </c:pt>
              <c:pt idx="26">
                <c:v>0.99903086622187598</c:v>
              </c:pt>
              <c:pt idx="27">
                <c:v>0.97314259310803497</c:v>
              </c:pt>
              <c:pt idx="28">
                <c:v>0.97101876628810702</c:v>
              </c:pt>
              <c:pt idx="29">
                <c:v>0.91205685094906197</c:v>
              </c:pt>
              <c:pt idx="30">
                <c:v>0.89611620786679402</c:v>
              </c:pt>
              <c:pt idx="31">
                <c:v>0.87537215196385099</c:v>
              </c:pt>
              <c:pt idx="32">
                <c:v>0.80850467710391605</c:v>
              </c:pt>
              <c:pt idx="33">
                <c:v>0.73110258028423603</c:v>
              </c:pt>
              <c:pt idx="34">
                <c:v>0.72967597861842903</c:v>
              </c:pt>
              <c:pt idx="35">
                <c:v>0.72285805359355804</c:v>
              </c:pt>
              <c:pt idx="36">
                <c:v>0.71481837698109796</c:v>
              </c:pt>
              <c:pt idx="37">
                <c:v>0.71091795800297797</c:v>
              </c:pt>
              <c:pt idx="38">
                <c:v>0.700103159927283</c:v>
              </c:pt>
              <c:pt idx="39">
                <c:v>0.67496630997031903</c:v>
              </c:pt>
              <c:pt idx="40">
                <c:v>0.66203319673599403</c:v>
              </c:pt>
              <c:pt idx="41">
                <c:v>0.65545135453669401</c:v>
              </c:pt>
              <c:pt idx="42">
                <c:v>0.65301152580238297</c:v>
              </c:pt>
              <c:pt idx="43">
                <c:v>0.64341388626319496</c:v>
              </c:pt>
              <c:pt idx="44">
                <c:v>0.633224661744753</c:v>
              </c:pt>
              <c:pt idx="45">
                <c:v>0.61209662677142496</c:v>
              </c:pt>
              <c:pt idx="46">
                <c:v>0.60185228564000903</c:v>
              </c:pt>
              <c:pt idx="47">
                <c:v>0.59753941067480199</c:v>
              </c:pt>
              <c:pt idx="48">
                <c:v>0.59634521739370105</c:v>
              </c:pt>
              <c:pt idx="49">
                <c:v>0.58902389397033394</c:v>
              </c:pt>
              <c:pt idx="50">
                <c:v>0.54909558231160904</c:v>
              </c:pt>
              <c:pt idx="51">
                <c:v>0.51905059796931996</c:v>
              </c:pt>
              <c:pt idx="52">
                <c:v>0.51441804664886404</c:v>
              </c:pt>
              <c:pt idx="53">
                <c:v>0.513324900491548</c:v>
              </c:pt>
              <c:pt idx="54">
                <c:v>0.51148584283865295</c:v>
              </c:pt>
              <c:pt idx="55">
                <c:v>0.50782701834740196</c:v>
              </c:pt>
              <c:pt idx="56">
                <c:v>0.50625068321634803</c:v>
              </c:pt>
              <c:pt idx="57">
                <c:v>0.49207009730837997</c:v>
              </c:pt>
              <c:pt idx="58">
                <c:v>0.485981548795197</c:v>
              </c:pt>
              <c:pt idx="59">
                <c:v>0.48177063956399102</c:v>
              </c:pt>
              <c:pt idx="60">
                <c:v>0.479152600447731</c:v>
              </c:pt>
              <c:pt idx="61">
                <c:v>0.47842965420755601</c:v>
              </c:pt>
              <c:pt idx="62">
                <c:v>0.47827257186058098</c:v>
              </c:pt>
              <c:pt idx="63">
                <c:v>0.47326155313103702</c:v>
              </c:pt>
              <c:pt idx="64">
                <c:v>0.46366575081228101</c:v>
              </c:pt>
              <c:pt idx="65">
                <c:v>0.45060586936811597</c:v>
              </c:pt>
              <c:pt idx="66">
                <c:v>0.44729979119989799</c:v>
              </c:pt>
              <c:pt idx="67">
                <c:v>0.44154102375434201</c:v>
              </c:pt>
              <c:pt idx="68">
                <c:v>0.43928307984284398</c:v>
              </c:pt>
              <c:pt idx="69">
                <c:v>0.43187632566936801</c:v>
              </c:pt>
              <c:pt idx="70">
                <c:v>0.42194155618082302</c:v>
              </c:pt>
              <c:pt idx="71">
                <c:v>0.41821842897443601</c:v>
              </c:pt>
              <c:pt idx="72">
                <c:v>0.41469464018497099</c:v>
              </c:pt>
              <c:pt idx="73">
                <c:v>0.41055078949954998</c:v>
              </c:pt>
              <c:pt idx="74">
                <c:v>0.40559029433189903</c:v>
              </c:pt>
              <c:pt idx="75">
                <c:v>0.40231361169060098</c:v>
              </c:pt>
              <c:pt idx="76">
                <c:v>0.38148320642733202</c:v>
              </c:pt>
              <c:pt idx="77">
                <c:v>0.37644187356065301</c:v>
              </c:pt>
              <c:pt idx="78">
                <c:v>0.37471580496435303</c:v>
              </c:pt>
              <c:pt idx="79">
                <c:v>0.37427395345034598</c:v>
              </c:pt>
              <c:pt idx="80">
                <c:v>0.36757177331272001</c:v>
              </c:pt>
              <c:pt idx="81">
                <c:v>0.36406635672757998</c:v>
              </c:pt>
              <c:pt idx="82">
                <c:v>0.36236876504798399</c:v>
              </c:pt>
              <c:pt idx="83">
                <c:v>0.35800077346980202</c:v>
              </c:pt>
              <c:pt idx="84">
                <c:v>0.35640974057528901</c:v>
              </c:pt>
              <c:pt idx="85">
                <c:v>0.35488117317547901</c:v>
              </c:pt>
              <c:pt idx="86">
                <c:v>0.35339302462518402</c:v>
              </c:pt>
              <c:pt idx="87">
                <c:v>0.34044245779674998</c:v>
              </c:pt>
              <c:pt idx="88">
                <c:v>0.33741104408318601</c:v>
              </c:pt>
              <c:pt idx="89">
                <c:v>0.33076030611766799</c:v>
              </c:pt>
              <c:pt idx="90">
                <c:v>0.32900392338423401</c:v>
              </c:pt>
              <c:pt idx="91">
                <c:v>0.323662204976847</c:v>
              </c:pt>
              <c:pt idx="92">
                <c:v>0.32353911120787099</c:v>
              </c:pt>
              <c:pt idx="93">
                <c:v>0.31992346139678401</c:v>
              </c:pt>
              <c:pt idx="94">
                <c:v>0.31573184298011803</c:v>
              </c:pt>
              <c:pt idx="95">
                <c:v>0.30789058617436499</c:v>
              </c:pt>
              <c:pt idx="96">
                <c:v>0.30597803970417098</c:v>
              </c:pt>
              <c:pt idx="97">
                <c:v>0.30507320864118298</c:v>
              </c:pt>
              <c:pt idx="98">
                <c:v>0.30068408902802801</c:v>
              </c:pt>
              <c:pt idx="99">
                <c:v>0.29692329880277502</c:v>
              </c:pt>
              <c:pt idx="100">
                <c:v>0.28775465023456698</c:v>
              </c:pt>
              <c:pt idx="101">
                <c:v>0.28724941461564002</c:v>
              </c:pt>
              <c:pt idx="102">
                <c:v>0.28564460256788299</c:v>
              </c:pt>
              <c:pt idx="103">
                <c:v>0.27680022340600502</c:v>
              </c:pt>
              <c:pt idx="104">
                <c:v>0.26786765766336801</c:v>
              </c:pt>
              <c:pt idx="105">
                <c:v>0.26578057525208998</c:v>
              </c:pt>
              <c:pt idx="106">
                <c:v>0.26488309307083102</c:v>
              </c:pt>
              <c:pt idx="107">
                <c:v>0.26108372121649698</c:v>
              </c:pt>
              <c:pt idx="108">
                <c:v>0.25690588195307601</c:v>
              </c:pt>
              <c:pt idx="109">
                <c:v>0.25407931831773101</c:v>
              </c:pt>
              <c:pt idx="110">
                <c:v>0.25372289755383298</c:v>
              </c:pt>
              <c:pt idx="111">
                <c:v>0.25149159333860599</c:v>
              </c:pt>
              <c:pt idx="112">
                <c:v>0.25112231203168101</c:v>
              </c:pt>
              <c:pt idx="113">
                <c:v>0.25047377321902198</c:v>
              </c:pt>
              <c:pt idx="114">
                <c:v>0.248180003509091</c:v>
              </c:pt>
              <c:pt idx="115">
                <c:v>0.248018328111034</c:v>
              </c:pt>
              <c:pt idx="116">
                <c:v>0.24798250231260099</c:v>
              </c:pt>
              <c:pt idx="117">
                <c:v>0.24439716663864899</c:v>
              </c:pt>
              <c:pt idx="118">
                <c:v>0.24358235937685199</c:v>
              </c:pt>
              <c:pt idx="119">
                <c:v>0.24038192138350001</c:v>
              </c:pt>
              <c:pt idx="120">
                <c:v>0.23910046013185701</c:v>
              </c:pt>
              <c:pt idx="121">
                <c:v>0.238043139772975</c:v>
              </c:pt>
              <c:pt idx="122">
                <c:v>0.23771152148491501</c:v>
              </c:pt>
              <c:pt idx="123">
                <c:v>0.23734040295755701</c:v>
              </c:pt>
              <c:pt idx="124">
                <c:v>0.23686272564511701</c:v>
              </c:pt>
              <c:pt idx="125">
                <c:v>0.23375966033468601</c:v>
              </c:pt>
              <c:pt idx="126">
                <c:v>0.22990976491845999</c:v>
              </c:pt>
              <c:pt idx="127">
                <c:v>0.22861728034422199</c:v>
              </c:pt>
              <c:pt idx="128">
                <c:v>0.227491982829338</c:v>
              </c:pt>
              <c:pt idx="129">
                <c:v>0.225732844265254</c:v>
              </c:pt>
              <c:pt idx="130">
                <c:v>0.21522210617113199</c:v>
              </c:pt>
              <c:pt idx="131">
                <c:v>0.21461123037733801</c:v>
              </c:pt>
              <c:pt idx="132">
                <c:v>0.213317827192883</c:v>
              </c:pt>
              <c:pt idx="133">
                <c:v>0.211848969457129</c:v>
              </c:pt>
              <c:pt idx="134">
                <c:v>0.211104895181981</c:v>
              </c:pt>
              <c:pt idx="135">
                <c:v>0.206866427644288</c:v>
              </c:pt>
              <c:pt idx="136">
                <c:v>0.20685172988082901</c:v>
              </c:pt>
              <c:pt idx="137">
                <c:v>0.20663585648001401</c:v>
              </c:pt>
              <c:pt idx="138">
                <c:v>0.206504495219093</c:v>
              </c:pt>
              <c:pt idx="139">
                <c:v>0.20598915488778699</c:v>
              </c:pt>
              <c:pt idx="140">
                <c:v>0.204778426622794</c:v>
              </c:pt>
              <c:pt idx="141">
                <c:v>0.20246261026767401</c:v>
              </c:pt>
              <c:pt idx="142">
                <c:v>0.20069979726272499</c:v>
              </c:pt>
              <c:pt idx="143">
                <c:v>0.20033143456601599</c:v>
              </c:pt>
              <c:pt idx="144">
                <c:v>0.199920815799361</c:v>
              </c:pt>
              <c:pt idx="145">
                <c:v>0.19907018273912999</c:v>
              </c:pt>
              <c:pt idx="146">
                <c:v>0.19877347163928699</c:v>
              </c:pt>
              <c:pt idx="147">
                <c:v>0.19850983050722901</c:v>
              </c:pt>
              <c:pt idx="148">
                <c:v>0.19742403323164301</c:v>
              </c:pt>
              <c:pt idx="149">
                <c:v>0.194702191160949</c:v>
              </c:pt>
              <c:pt idx="150">
                <c:v>0.194580934612406</c:v>
              </c:pt>
              <c:pt idx="151">
                <c:v>0.19207404733231001</c:v>
              </c:pt>
              <c:pt idx="152">
                <c:v>0.192041895974742</c:v>
              </c:pt>
              <c:pt idx="153">
                <c:v>0.19118023959191699</c:v>
              </c:pt>
              <c:pt idx="154">
                <c:v>0.18822231469565101</c:v>
              </c:pt>
              <c:pt idx="155">
                <c:v>0.18756458978082899</c:v>
              </c:pt>
              <c:pt idx="156">
                <c:v>0.18649900192999999</c:v>
              </c:pt>
              <c:pt idx="157">
                <c:v>0.18647328084394599</c:v>
              </c:pt>
              <c:pt idx="158">
                <c:v>0.1847049561777</c:v>
              </c:pt>
              <c:pt idx="159">
                <c:v>0.17988133393226699</c:v>
              </c:pt>
              <c:pt idx="160">
                <c:v>0.179721495754643</c:v>
              </c:pt>
              <c:pt idx="161">
                <c:v>0.17907111972155099</c:v>
              </c:pt>
              <c:pt idx="162">
                <c:v>0.178590686578462</c:v>
              </c:pt>
              <c:pt idx="163">
                <c:v>0.17733219058222399</c:v>
              </c:pt>
              <c:pt idx="164">
                <c:v>0.17395721664778899</c:v>
              </c:pt>
              <c:pt idx="165">
                <c:v>0.17373583158567699</c:v>
              </c:pt>
              <c:pt idx="166">
                <c:v>0.17084312801476401</c:v>
              </c:pt>
              <c:pt idx="167">
                <c:v>0.167896226441093</c:v>
              </c:pt>
              <c:pt idx="168">
                <c:v>0.16295134764711799</c:v>
              </c:pt>
              <c:pt idx="169">
                <c:v>0.160101818756367</c:v>
              </c:pt>
              <c:pt idx="170">
                <c:v>0.157240347932806</c:v>
              </c:pt>
              <c:pt idx="171">
                <c:v>0.15528187095179999</c:v>
              </c:pt>
              <c:pt idx="172">
                <c:v>0.15488870577925201</c:v>
              </c:pt>
              <c:pt idx="173">
                <c:v>0.15372758246593601</c:v>
              </c:pt>
              <c:pt idx="174">
                <c:v>0.15372298941485399</c:v>
              </c:pt>
              <c:pt idx="175">
                <c:v>0.153685326395989</c:v>
              </c:pt>
              <c:pt idx="176">
                <c:v>0.15298901985208499</c:v>
              </c:pt>
              <c:pt idx="177">
                <c:v>0.15296697320689601</c:v>
              </c:pt>
              <c:pt idx="178">
                <c:v>0.149525859336892</c:v>
              </c:pt>
              <c:pt idx="179">
                <c:v>0.14414831513107201</c:v>
              </c:pt>
              <c:pt idx="180">
                <c:v>0.14174890524627501</c:v>
              </c:pt>
              <c:pt idx="181">
                <c:v>0.139650799512402</c:v>
              </c:pt>
              <c:pt idx="182">
                <c:v>0.139148319724123</c:v>
              </c:pt>
              <c:pt idx="183">
                <c:v>0.136215197303695</c:v>
              </c:pt>
              <c:pt idx="184">
                <c:v>0.13620876703218199</c:v>
              </c:pt>
              <c:pt idx="185">
                <c:v>0.13428244140874401</c:v>
              </c:pt>
              <c:pt idx="186">
                <c:v>0.133370261464026</c:v>
              </c:pt>
              <c:pt idx="187">
                <c:v>0.13261883830714799</c:v>
              </c:pt>
              <c:pt idx="188">
                <c:v>0.13228722001908899</c:v>
              </c:pt>
              <c:pt idx="189">
                <c:v>0.13208880021238301</c:v>
              </c:pt>
              <c:pt idx="190">
                <c:v>0.13037191771824599</c:v>
              </c:pt>
              <c:pt idx="191">
                <c:v>0.12994660118813001</c:v>
              </c:pt>
              <c:pt idx="192">
                <c:v>0.12901053737779</c:v>
              </c:pt>
              <c:pt idx="193">
                <c:v>0.126571627253695</c:v>
              </c:pt>
              <c:pt idx="194">
                <c:v>0.12616835736877</c:v>
              </c:pt>
              <c:pt idx="195">
                <c:v>0.120270879780562</c:v>
              </c:pt>
              <c:pt idx="196">
                <c:v>0.11901238378432499</c:v>
              </c:pt>
              <c:pt idx="197">
                <c:v>0.11735521095424301</c:v>
              </c:pt>
              <c:pt idx="198">
                <c:v>0.11690509194829</c:v>
              </c:pt>
              <c:pt idx="199">
                <c:v>0.116861917268127</c:v>
              </c:pt>
              <c:pt idx="200">
                <c:v>0.11383325938521099</c:v>
              </c:pt>
              <c:pt idx="201">
                <c:v>0.11382039884218401</c:v>
              </c:pt>
              <c:pt idx="202">
                <c:v>0.111433849500414</c:v>
              </c:pt>
              <c:pt idx="203">
                <c:v>0.109833630503738</c:v>
              </c:pt>
              <c:pt idx="204">
                <c:v>0.109416581465569</c:v>
              </c:pt>
              <c:pt idx="205">
                <c:v>0.108766205432477</c:v>
              </c:pt>
              <c:pt idx="206">
                <c:v>0.105710907853291</c:v>
              </c:pt>
              <c:pt idx="207">
                <c:v>0.10486946089522201</c:v>
              </c:pt>
              <c:pt idx="208">
                <c:v>0.104118956348561</c:v>
              </c:pt>
              <c:pt idx="209">
                <c:v>0.103617395170499</c:v>
              </c:pt>
              <c:pt idx="210">
                <c:v>0.103505324724118</c:v>
              </c:pt>
              <c:pt idx="211">
                <c:v>0.103113996772004</c:v>
              </c:pt>
              <c:pt idx="212">
                <c:v>0.10271256410750999</c:v>
              </c:pt>
              <c:pt idx="213">
                <c:v>0.100934134728886</c:v>
              </c:pt>
              <c:pt idx="214">
                <c:v>0.100740307973261</c:v>
              </c:pt>
              <c:pt idx="215">
                <c:v>9.90225068689079E-2</c:v>
              </c:pt>
              <c:pt idx="216">
                <c:v>9.7944977085268101E-2</c:v>
              </c:pt>
              <c:pt idx="217">
                <c:v>9.3021226326266498E-2</c:v>
              </c:pt>
              <c:pt idx="218">
                <c:v>9.2267965948956504E-2</c:v>
              </c:pt>
              <c:pt idx="219">
                <c:v>9.22431634731182E-2</c:v>
              </c:pt>
              <c:pt idx="220">
                <c:v>9.2238570422037106E-2</c:v>
              </c:pt>
              <c:pt idx="221">
                <c:v>9.1697509004676603E-2</c:v>
              </c:pt>
              <c:pt idx="222">
                <c:v>9.0589665083901205E-2</c:v>
              </c:pt>
              <c:pt idx="223">
                <c:v>8.9463448958801206E-2</c:v>
              </c:pt>
              <c:pt idx="224">
                <c:v>8.7515995300390198E-2</c:v>
              </c:pt>
              <c:pt idx="225">
                <c:v>8.5095457380619702E-2</c:v>
              </c:pt>
              <c:pt idx="226">
                <c:v>8.4958584458401196E-2</c:v>
              </c:pt>
              <c:pt idx="227">
                <c:v>8.4840083740507305E-2</c:v>
              </c:pt>
              <c:pt idx="228">
                <c:v>8.4237475438659407E-2</c:v>
              </c:pt>
              <c:pt idx="229">
                <c:v>8.3813996128976595E-2</c:v>
              </c:pt>
              <c:pt idx="230">
                <c:v>8.2617965627443002E-2</c:v>
              </c:pt>
              <c:pt idx="231">
                <c:v>8.2390150293817493E-2</c:v>
              </c:pt>
              <c:pt idx="232">
                <c:v>8.2346975613654602E-2</c:v>
              </c:pt>
              <c:pt idx="233">
                <c:v>8.2320335917383899E-2</c:v>
              </c:pt>
              <c:pt idx="234">
                <c:v>8.0415138328919403E-2</c:v>
              </c:pt>
              <c:pt idx="235">
                <c:v>7.9381701835658805E-2</c:v>
              </c:pt>
              <c:pt idx="236">
                <c:v>7.9138270128357405E-2</c:v>
              </c:pt>
              <c:pt idx="237">
                <c:v>7.7735552328171698E-2</c:v>
              </c:pt>
              <c:pt idx="238">
                <c:v>7.7660226290440698E-2</c:v>
              </c:pt>
              <c:pt idx="239">
                <c:v>7.6672720307991604E-2</c:v>
              </c:pt>
              <c:pt idx="240">
                <c:v>7.5834029180572096E-2</c:v>
              </c:pt>
              <c:pt idx="241">
                <c:v>7.5106489889316702E-2</c:v>
              </c:pt>
              <c:pt idx="242">
                <c:v>7.3261001964907299E-2</c:v>
              </c:pt>
              <c:pt idx="243">
                <c:v>7.2245019065755006E-2</c:v>
              </c:pt>
              <c:pt idx="244">
                <c:v>7.1972191831534305E-2</c:v>
              </c:pt>
              <c:pt idx="245">
                <c:v>7.1071035209410993E-2</c:v>
              </c:pt>
              <c:pt idx="246">
                <c:v>7.0790859093460307E-2</c:v>
              </c:pt>
              <c:pt idx="247">
                <c:v>7.0147831942098199E-2</c:v>
              </c:pt>
              <c:pt idx="248">
                <c:v>7.0119355025395E-2</c:v>
              </c:pt>
              <c:pt idx="249">
                <c:v>6.9984319323608907E-2</c:v>
              </c:pt>
              <c:pt idx="250">
                <c:v>6.9495618688573693E-2</c:v>
              </c:pt>
              <c:pt idx="251">
                <c:v>6.8378588665635995E-2</c:v>
              </c:pt>
              <c:pt idx="252">
                <c:v>6.8183843299794905E-2</c:v>
              </c:pt>
              <c:pt idx="253">
                <c:v>6.6532182131010406E-2</c:v>
              </c:pt>
              <c:pt idx="254">
                <c:v>6.5916713286135201E-2</c:v>
              </c:pt>
              <c:pt idx="255">
                <c:v>6.4805194924494797E-2</c:v>
              </c:pt>
              <c:pt idx="256">
                <c:v>6.4525018808544193E-2</c:v>
              </c:pt>
              <c:pt idx="257">
                <c:v>6.3096579922303997E-2</c:v>
              </c:pt>
              <c:pt idx="258">
                <c:v>6.18996308105541E-2</c:v>
              </c:pt>
              <c:pt idx="259">
                <c:v>6.1589140557467802E-2</c:v>
              </c:pt>
              <c:pt idx="260">
                <c:v>6.0988369476052302E-2</c:v>
              </c:pt>
              <c:pt idx="261">
                <c:v>6.0914880658753799E-2</c:v>
              </c:pt>
              <c:pt idx="262">
                <c:v>5.9352324680943702E-2</c:v>
              </c:pt>
              <c:pt idx="263">
                <c:v>5.9220963420022601E-2</c:v>
              </c:pt>
              <c:pt idx="264">
                <c:v>5.8599064303633798E-2</c:v>
              </c:pt>
              <c:pt idx="265">
                <c:v>5.7914699692541198E-2</c:v>
              </c:pt>
              <c:pt idx="266">
                <c:v>5.7459069025290299E-2</c:v>
              </c:pt>
              <c:pt idx="267">
                <c:v>5.7396603530586503E-2</c:v>
              </c:pt>
              <c:pt idx="268">
                <c:v>5.6464214161111401E-2</c:v>
              </c:pt>
              <c:pt idx="269">
                <c:v>5.6248340760296903E-2</c:v>
              </c:pt>
              <c:pt idx="270">
                <c:v>5.5487731501257097E-2</c:v>
              </c:pt>
              <c:pt idx="271">
                <c:v>5.5225008979414798E-2</c:v>
              </c:pt>
              <c:pt idx="272">
                <c:v>5.49779028312486E-2</c:v>
              </c:pt>
              <c:pt idx="273">
                <c:v>5.4880530148327999E-2</c:v>
              </c:pt>
              <c:pt idx="274">
                <c:v>5.4834599637516399E-2</c:v>
              </c:pt>
              <c:pt idx="275">
                <c:v>5.48042855003808E-2</c:v>
              </c:pt>
              <c:pt idx="276">
                <c:v>5.39619199320963E-2</c:v>
              </c:pt>
              <c:pt idx="277">
                <c:v>5.2098059803362302E-2</c:v>
              </c:pt>
              <c:pt idx="278">
                <c:v>4.8947226761687702E-2</c:v>
              </c:pt>
              <c:pt idx="279">
                <c:v>4.8189373333296599E-2</c:v>
              </c:pt>
              <c:pt idx="280">
                <c:v>4.7221158165388397E-2</c:v>
              </c:pt>
              <c:pt idx="281">
                <c:v>4.6550572707539303E-2</c:v>
              </c:pt>
              <c:pt idx="282">
                <c:v>4.6160163365640897E-2</c:v>
              </c:pt>
              <c:pt idx="283">
                <c:v>4.6116988685477901E-2</c:v>
              </c:pt>
              <c:pt idx="284">
                <c:v>4.5970011050880902E-2</c:v>
              </c:pt>
              <c:pt idx="285">
                <c:v>4.45976073878308E-2</c:v>
              </c:pt>
              <c:pt idx="286">
                <c:v>4.42549657771764E-2</c:v>
              </c:pt>
              <c:pt idx="287">
                <c:v>4.3672566900085502E-2</c:v>
              </c:pt>
              <c:pt idx="288">
                <c:v>4.3454856278838598E-2</c:v>
              </c:pt>
              <c:pt idx="289">
                <c:v>4.3371262749161497E-2</c:v>
              </c:pt>
              <c:pt idx="290">
                <c:v>4.3278483117322103E-2</c:v>
              </c:pt>
              <c:pt idx="291">
                <c:v>4.2259744387521198E-2</c:v>
              </c:pt>
              <c:pt idx="292">
                <c:v>4.1577216996861101E-2</c:v>
              </c:pt>
              <c:pt idx="293">
                <c:v>4.0999411170851402E-2</c:v>
              </c:pt>
              <c:pt idx="294">
                <c:v>4.0355465409272998E-2</c:v>
              </c:pt>
              <c:pt idx="295">
                <c:v>3.8794746651895397E-2</c:v>
              </c:pt>
              <c:pt idx="296">
                <c:v>3.8764432514759799E-2</c:v>
              </c:pt>
              <c:pt idx="297">
                <c:v>3.8180196417236398E-2</c:v>
              </c:pt>
              <c:pt idx="298">
                <c:v>3.7279958405329397E-2</c:v>
              </c:pt>
              <c:pt idx="299">
                <c:v>3.7115527176623898E-2</c:v>
              </c:pt>
              <c:pt idx="300">
                <c:v>3.67563505820774E-2</c:v>
              </c:pt>
              <c:pt idx="301">
                <c:v>3.6530372468884402E-2</c:v>
              </c:pt>
              <c:pt idx="302">
                <c:v>3.5123061617617503E-2</c:v>
              </c:pt>
              <c:pt idx="303">
                <c:v>3.4935665133506197E-2</c:v>
              </c:pt>
              <c:pt idx="304">
                <c:v>3.4494732229714997E-2</c:v>
              </c:pt>
              <c:pt idx="305">
                <c:v>3.4451557549552099E-2</c:v>
              </c:pt>
              <c:pt idx="306">
                <c:v>3.4322033509063501E-2</c:v>
              </c:pt>
              <c:pt idx="307">
                <c:v>3.42154747239806E-2</c:v>
              </c:pt>
              <c:pt idx="308">
                <c:v>3.37286113093778E-2</c:v>
              </c:pt>
              <c:pt idx="309">
                <c:v>3.3186631281801098E-2</c:v>
              </c:pt>
              <c:pt idx="310">
                <c:v>3.2425103412545099E-2</c:v>
              </c:pt>
              <c:pt idx="311">
                <c:v>3.2369068189354998E-2</c:v>
              </c:pt>
              <c:pt idx="312">
                <c:v>3.19465074898884E-2</c:v>
              </c:pt>
              <c:pt idx="313">
                <c:v>3.17251224277766E-2</c:v>
              </c:pt>
              <c:pt idx="314">
                <c:v>3.1168444636740199E-2</c:v>
              </c:pt>
              <c:pt idx="315">
                <c:v>2.9756540734392101E-2</c:v>
              </c:pt>
              <c:pt idx="316">
                <c:v>2.9097897209354E-2</c:v>
              </c:pt>
              <c:pt idx="317">
                <c:v>2.88664074348636E-2</c:v>
              </c:pt>
              <c:pt idx="318">
                <c:v>2.8603684913021399E-2</c:v>
              </c:pt>
              <c:pt idx="319">
                <c:v>2.8455788668208099E-2</c:v>
              </c:pt>
              <c:pt idx="320">
                <c:v>2.6806883330072299E-2</c:v>
              </c:pt>
              <c:pt idx="321">
                <c:v>2.5467549634806502E-2</c:v>
              </c:pt>
              <c:pt idx="322">
                <c:v>2.4942104591122002E-2</c:v>
              </c:pt>
              <c:pt idx="323">
                <c:v>2.46435562708467E-2</c:v>
              </c:pt>
              <c:pt idx="324">
                <c:v>2.4077692377648001E-2</c:v>
              </c:pt>
              <c:pt idx="325">
                <c:v>2.3816807076238199E-2</c:v>
              </c:pt>
              <c:pt idx="326">
                <c:v>2.3234408199147301E-2</c:v>
              </c:pt>
              <c:pt idx="327">
                <c:v>2.3132442465145599E-2</c:v>
              </c:pt>
              <c:pt idx="328">
                <c:v>2.2364484324375999E-2</c:v>
              </c:pt>
              <c:pt idx="329">
                <c:v>2.1496397670036999E-2</c:v>
              </c:pt>
              <c:pt idx="330">
                <c:v>2.12961406428985E-2</c:v>
              </c:pt>
              <c:pt idx="331">
                <c:v>2.0105621802662298E-2</c:v>
              </c:pt>
              <c:pt idx="332">
                <c:v>1.9593955912221302E-2</c:v>
              </c:pt>
              <c:pt idx="333">
                <c:v>1.9373489460325698E-2</c:v>
              </c:pt>
              <c:pt idx="334">
                <c:v>1.80488535285196E-2</c:v>
              </c:pt>
              <c:pt idx="335">
                <c:v>1.8003841627924299E-2</c:v>
              </c:pt>
              <c:pt idx="336">
                <c:v>1.7941376133220499E-2</c:v>
              </c:pt>
              <c:pt idx="337">
                <c:v>1.7936783082139401E-2</c:v>
              </c:pt>
              <c:pt idx="338">
                <c:v>1.76216997779719E-2</c:v>
              </c:pt>
              <c:pt idx="339">
                <c:v>1.6943765438392901E-2</c:v>
              </c:pt>
              <c:pt idx="340">
                <c:v>1.64973208733044E-2</c:v>
              </c:pt>
              <c:pt idx="341">
                <c:v>1.62401100127595E-2</c:v>
              </c:pt>
              <c:pt idx="342">
                <c:v>1.6162946754596001E-2</c:v>
              </c:pt>
              <c:pt idx="343">
                <c:v>1.58882822999428E-2</c:v>
              </c:pt>
              <c:pt idx="344">
                <c:v>1.5799177108968301E-2</c:v>
              </c:pt>
              <c:pt idx="345">
                <c:v>1.5722013850804802E-2</c:v>
              </c:pt>
              <c:pt idx="346">
                <c:v>1.47455311909506E-2</c:v>
              </c:pt>
              <c:pt idx="347">
                <c:v>1.4406564021161101E-2</c:v>
              </c:pt>
              <c:pt idx="348">
                <c:v>1.4009724407749001E-2</c:v>
              </c:pt>
              <c:pt idx="349">
                <c:v>1.40078871873166E-2</c:v>
              </c:pt>
              <c:pt idx="350">
                <c:v>1.3946340302829E-2</c:v>
              </c:pt>
              <c:pt idx="351">
                <c:v>1.3510000450119001E-2</c:v>
              </c:pt>
              <c:pt idx="352">
                <c:v>1.3467744380172401E-2</c:v>
              </c:pt>
              <c:pt idx="353">
                <c:v>1.1127125549214099E-2</c:v>
              </c:pt>
              <c:pt idx="354">
                <c:v>8.7258784439845204E-3</c:v>
              </c:pt>
              <c:pt idx="355">
                <c:v>8.2454453008953699E-3</c:v>
              </c:pt>
              <c:pt idx="356">
                <c:v>8.2215614352733404E-3</c:v>
              </c:pt>
              <c:pt idx="357">
                <c:v>8.1600145507858303E-3</c:v>
              </c:pt>
              <c:pt idx="358">
                <c:v>7.0191006622260998E-3</c:v>
              </c:pt>
              <c:pt idx="359">
                <c:v>5.1625894152219198E-3</c:v>
              </c:pt>
              <c:pt idx="360">
                <c:v>4.9852976434892103E-3</c:v>
              </c:pt>
              <c:pt idx="361">
                <c:v>4.7014470866736302E-3</c:v>
              </c:pt>
              <c:pt idx="362">
                <c:v>3.8204998893074699E-3</c:v>
              </c:pt>
              <c:pt idx="363">
                <c:v>2.6171205060439998E-3</c:v>
              </c:pt>
              <c:pt idx="364">
                <c:v>1.4973346524576E-3</c:v>
              </c:pt>
              <c:pt idx="365">
                <c:v>0</c:v>
              </c:pt>
            </c:numLit>
          </c:val>
          <c:smooth val="0"/>
        </c:ser>
        <c:ser>
          <c:idx val="5"/>
          <c:order val="5"/>
          <c:tx>
            <c:v>2012</c:v>
          </c:tx>
          <c:marker>
            <c:symbol val="none"/>
          </c:marker>
          <c:cat>
            <c:strLit>
              <c:ptCount val="36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strLit>
          </c:cat>
          <c:val>
            <c:numLit>
              <c:formatCode>General</c:formatCode>
              <c:ptCount val="366"/>
              <c:pt idx="0">
                <c:v>896.47445563587735</c:v>
              </c:pt>
              <c:pt idx="1">
                <c:v>148.00488356199429</c:v>
              </c:pt>
              <c:pt idx="2">
                <c:v>106.6971405808013</c:v>
              </c:pt>
              <c:pt idx="3">
                <c:v>60.251476489463528</c:v>
              </c:pt>
              <c:pt idx="4">
                <c:v>24.222230851320418</c:v>
              </c:pt>
              <c:pt idx="5">
                <c:v>11.60720629189173</c:v>
              </c:pt>
              <c:pt idx="6">
                <c:v>10.03590080475985</c:v>
              </c:pt>
              <c:pt idx="7">
                <c:v>8.5352703729963206</c:v>
              </c:pt>
              <c:pt idx="8">
                <c:v>7.6705811301722786</c:v>
              </c:pt>
              <c:pt idx="9">
                <c:v>6.3036095416304248</c:v>
              </c:pt>
              <c:pt idx="10">
                <c:v>4.8706226107549853</c:v>
              </c:pt>
              <c:pt idx="11">
                <c:v>4.8484442040479196</c:v>
              </c:pt>
              <c:pt idx="12">
                <c:v>4.1635696325587856</c:v>
              </c:pt>
              <c:pt idx="13">
                <c:v>3.9373524424205661</c:v>
              </c:pt>
              <c:pt idx="14">
                <c:v>2.8403582314287581</c:v>
              </c:pt>
              <c:pt idx="15">
                <c:v>2.4016754866202259</c:v>
              </c:pt>
              <c:pt idx="16">
                <c:v>1.811618766034895</c:v>
              </c:pt>
              <c:pt idx="17">
                <c:v>1.6869056581707611</c:v>
              </c:pt>
              <c:pt idx="18">
                <c:v>1.471239520214018</c:v>
              </c:pt>
              <c:pt idx="19">
                <c:v>1.430370182222189</c:v>
              </c:pt>
              <c:pt idx="20">
                <c:v>1.311749420733713</c:v>
              </c:pt>
              <c:pt idx="21">
                <c:v>1.2092887267836649</c:v>
              </c:pt>
              <c:pt idx="22">
                <c:v>1.2066674097843011</c:v>
              </c:pt>
              <c:pt idx="23">
                <c:v>1.201556344153613</c:v>
              </c:pt>
              <c:pt idx="24">
                <c:v>1.1828169884000559</c:v>
              </c:pt>
              <c:pt idx="25">
                <c:v>1.171619058409046</c:v>
              </c:pt>
              <c:pt idx="26">
                <c:v>1.1477914787553629</c:v>
              </c:pt>
              <c:pt idx="27">
                <c:v>1.0491499221553819</c:v>
              </c:pt>
              <c:pt idx="28">
                <c:v>1.0377656036429821</c:v>
              </c:pt>
              <c:pt idx="29">
                <c:v>1.0035779286753259</c:v>
              </c:pt>
              <c:pt idx="30">
                <c:v>1.0033184466161349</c:v>
              </c:pt>
              <c:pt idx="31">
                <c:v>0.99460478324111401</c:v>
              </c:pt>
              <c:pt idx="32">
                <c:v>0.97447116825401503</c:v>
              </c:pt>
              <c:pt idx="33">
                <c:v>0.94629178209354503</c:v>
              </c:pt>
              <c:pt idx="34">
                <c:v>0.89969191073817201</c:v>
              </c:pt>
              <c:pt idx="35">
                <c:v>0.87928236764587597</c:v>
              </c:pt>
              <c:pt idx="36">
                <c:v>0.77285909027782895</c:v>
              </c:pt>
              <c:pt idx="37">
                <c:v>0.76973160052919698</c:v>
              </c:pt>
              <c:pt idx="38">
                <c:v>0.74147272514636997</c:v>
              </c:pt>
              <c:pt idx="39">
                <c:v>0.71948892998369995</c:v>
              </c:pt>
              <c:pt idx="40">
                <c:v>0.66863501472834797</c:v>
              </c:pt>
              <c:pt idx="41">
                <c:v>0.64775219097879599</c:v>
              </c:pt>
              <c:pt idx="42">
                <c:v>0.63836058504067605</c:v>
              </c:pt>
              <c:pt idx="43">
                <c:v>0.62684926650634798</c:v>
              </c:pt>
              <c:pt idx="44">
                <c:v>0.61673312087478405</c:v>
              </c:pt>
              <c:pt idx="45">
                <c:v>0.59838298821001201</c:v>
              </c:pt>
              <c:pt idx="46">
                <c:v>0.57142517780003099</c:v>
              </c:pt>
              <c:pt idx="47">
                <c:v>0.56685957269517795</c:v>
              </c:pt>
              <c:pt idx="48">
                <c:v>0.55766623297834195</c:v>
              </c:pt>
              <c:pt idx="49">
                <c:v>0.55225639751189604</c:v>
              </c:pt>
              <c:pt idx="50">
                <c:v>0.54841715943893399</c:v>
              </c:pt>
              <c:pt idx="51">
                <c:v>0.54420423065396795</c:v>
              </c:pt>
              <c:pt idx="52">
                <c:v>0.53894606427845704</c:v>
              </c:pt>
              <c:pt idx="53">
                <c:v>0.53227445161573295</c:v>
              </c:pt>
              <c:pt idx="54">
                <c:v>0.52322638530527499</c:v>
              </c:pt>
              <c:pt idx="55">
                <c:v>0.51910299610411503</c:v>
              </c:pt>
              <c:pt idx="56">
                <c:v>0.518511852117154</c:v>
              </c:pt>
              <c:pt idx="57">
                <c:v>0.51185942650810301</c:v>
              </c:pt>
              <c:pt idx="58">
                <c:v>0.51044323921322099</c:v>
              </c:pt>
              <c:pt idx="59">
                <c:v>0.49277196278077101</c:v>
              </c:pt>
              <c:pt idx="60">
                <c:v>0.48041824122329302</c:v>
              </c:pt>
              <c:pt idx="61">
                <c:v>0.47793488827652703</c:v>
              </c:pt>
              <c:pt idx="62">
                <c:v>0.46532351199830402</c:v>
              </c:pt>
              <c:pt idx="63">
                <c:v>0.457127899072443</c:v>
              </c:pt>
              <c:pt idx="64">
                <c:v>0.443715234886084</c:v>
              </c:pt>
              <c:pt idx="65">
                <c:v>0.44297516281585603</c:v>
              </c:pt>
              <c:pt idx="66">
                <c:v>0.44210169503914198</c:v>
              </c:pt>
              <c:pt idx="67">
                <c:v>0.44171704029646702</c:v>
              </c:pt>
              <c:pt idx="68">
                <c:v>0.43453285919991802</c:v>
              </c:pt>
              <c:pt idx="69">
                <c:v>0.42920342662505201</c:v>
              </c:pt>
              <c:pt idx="70">
                <c:v>0.42825869264898297</c:v>
              </c:pt>
              <c:pt idx="71">
                <c:v>0.42401469911045198</c:v>
              </c:pt>
              <c:pt idx="72">
                <c:v>0.42251354057787799</c:v>
              </c:pt>
              <c:pt idx="73">
                <c:v>0.41559340988663201</c:v>
              </c:pt>
              <c:pt idx="74">
                <c:v>0.40858191227313601</c:v>
              </c:pt>
              <c:pt idx="75">
                <c:v>0.40553117073919498</c:v>
              </c:pt>
              <c:pt idx="76">
                <c:v>0.40158868804408998</c:v>
              </c:pt>
              <c:pt idx="77">
                <c:v>0.39793309748485101</c:v>
              </c:pt>
              <c:pt idx="78">
                <c:v>0.39791208309273401</c:v>
              </c:pt>
              <c:pt idx="79">
                <c:v>0.39590932015700497</c:v>
              </c:pt>
              <c:pt idx="80">
                <c:v>0.39517198909444401</c:v>
              </c:pt>
              <c:pt idx="81">
                <c:v>0.39324231969651602</c:v>
              </c:pt>
              <c:pt idx="82">
                <c:v>0.39053603145945898</c:v>
              </c:pt>
              <c:pt idx="83">
                <c:v>0.38823267134952599</c:v>
              </c:pt>
              <c:pt idx="84">
                <c:v>0.38338291511647499</c:v>
              </c:pt>
              <c:pt idx="85">
                <c:v>0.37935820219134397</c:v>
              </c:pt>
              <c:pt idx="86">
                <c:v>0.37234213623173601</c:v>
              </c:pt>
              <c:pt idx="87">
                <c:v>0.37100909283610201</c:v>
              </c:pt>
              <c:pt idx="88">
                <c:v>0.36491126444511002</c:v>
              </c:pt>
              <c:pt idx="89">
                <c:v>0.36288748711726398</c:v>
              </c:pt>
              <c:pt idx="90">
                <c:v>0.35212355000694401</c:v>
              </c:pt>
              <c:pt idx="91">
                <c:v>0.35183391686340998</c:v>
              </c:pt>
              <c:pt idx="92">
                <c:v>0.34626053460613498</c:v>
              </c:pt>
              <c:pt idx="93">
                <c:v>0.34587862087112897</c:v>
              </c:pt>
              <c:pt idx="94">
                <c:v>0.34493754157195</c:v>
              </c:pt>
              <c:pt idx="95">
                <c:v>0.34298137576656901</c:v>
              </c:pt>
              <c:pt idx="96">
                <c:v>0.33523620176740199</c:v>
              </c:pt>
              <c:pt idx="97">
                <c:v>0.33234169767050897</c:v>
              </c:pt>
              <c:pt idx="98">
                <c:v>0.33100591326720802</c:v>
              </c:pt>
              <c:pt idx="99">
                <c:v>0.33002280518379401</c:v>
              </c:pt>
              <c:pt idx="100">
                <c:v>0.32590672533641302</c:v>
              </c:pt>
              <c:pt idx="101">
                <c:v>0.32203733617910801</c:v>
              </c:pt>
              <c:pt idx="102">
                <c:v>0.32036258049425897</c:v>
              </c:pt>
              <c:pt idx="103">
                <c:v>0.31310256485224103</c:v>
              </c:pt>
              <c:pt idx="104">
                <c:v>0.31058906082113302</c:v>
              </c:pt>
              <c:pt idx="105">
                <c:v>0.30933002463252202</c:v>
              </c:pt>
              <c:pt idx="106">
                <c:v>0.30746065740327899</c:v>
              </c:pt>
              <c:pt idx="107">
                <c:v>0.30629207446769602</c:v>
              </c:pt>
              <c:pt idx="108">
                <c:v>0.29810194355717001</c:v>
              </c:pt>
              <c:pt idx="109">
                <c:v>0.29082182719225802</c:v>
              </c:pt>
              <c:pt idx="110">
                <c:v>0.28811279794753297</c:v>
              </c:pt>
              <c:pt idx="111">
                <c:v>0.28742480502298801</c:v>
              </c:pt>
              <c:pt idx="112">
                <c:v>0.286341193325098</c:v>
              </c:pt>
              <c:pt idx="113">
                <c:v>0.27846993297322598</c:v>
              </c:pt>
              <c:pt idx="114">
                <c:v>0.27709211978568998</c:v>
              </c:pt>
              <c:pt idx="115">
                <c:v>0.276423313914817</c:v>
              </c:pt>
              <c:pt idx="116">
                <c:v>0.274736680530074</c:v>
              </c:pt>
              <c:pt idx="117">
                <c:v>0.271949075732215</c:v>
              </c:pt>
              <c:pt idx="118">
                <c:v>0.27096048563346498</c:v>
              </c:pt>
              <c:pt idx="119">
                <c:v>0.26751686633384802</c:v>
              </c:pt>
              <c:pt idx="120">
                <c:v>0.26687455687042699</c:v>
              </c:pt>
              <c:pt idx="121">
                <c:v>0.26534050624584299</c:v>
              </c:pt>
              <c:pt idx="122">
                <c:v>0.26312485838127098</c:v>
              </c:pt>
              <c:pt idx="123">
                <c:v>0.25914582891726501</c:v>
              </c:pt>
              <c:pt idx="124">
                <c:v>0.25848524606939499</c:v>
              </c:pt>
              <c:pt idx="125">
                <c:v>0.25830616690178398</c:v>
              </c:pt>
              <c:pt idx="126">
                <c:v>0.25724996528056998</c:v>
              </c:pt>
              <c:pt idx="127">
                <c:v>0.25508182821556702</c:v>
              </c:pt>
              <c:pt idx="128">
                <c:v>0.24946276249716801</c:v>
              </c:pt>
              <c:pt idx="129">
                <c:v>0.23716934310837601</c:v>
              </c:pt>
              <c:pt idx="130">
                <c:v>0.23677372433503199</c:v>
              </c:pt>
              <c:pt idx="131">
                <c:v>0.231663572373566</c:v>
              </c:pt>
              <c:pt idx="132">
                <c:v>0.23164438531989401</c:v>
              </c:pt>
              <c:pt idx="133">
                <c:v>0.22887505390648399</c:v>
              </c:pt>
              <c:pt idx="134">
                <c:v>0.22502485180285201</c:v>
              </c:pt>
              <c:pt idx="135">
                <c:v>0.22501297410296001</c:v>
              </c:pt>
              <c:pt idx="136">
                <c:v>0.22361323285408299</c:v>
              </c:pt>
              <c:pt idx="137">
                <c:v>0.22307234067436099</c:v>
              </c:pt>
              <c:pt idx="138">
                <c:v>0.222938031298653</c:v>
              </c:pt>
              <c:pt idx="139">
                <c:v>0.22220344124376001</c:v>
              </c:pt>
              <c:pt idx="140">
                <c:v>0.22207552755260901</c:v>
              </c:pt>
              <c:pt idx="141">
                <c:v>0.21850033988495099</c:v>
              </c:pt>
              <c:pt idx="142">
                <c:v>0.21827192257932501</c:v>
              </c:pt>
              <c:pt idx="143">
                <c:v>0.21745510229440601</c:v>
              </c:pt>
              <c:pt idx="144">
                <c:v>0.21261813743047001</c:v>
              </c:pt>
              <c:pt idx="145">
                <c:v>0.21243266257830101</c:v>
              </c:pt>
              <c:pt idx="146">
                <c:v>0.21131524511917901</c:v>
              </c:pt>
              <c:pt idx="147">
                <c:v>0.20872682021182501</c:v>
              </c:pt>
              <c:pt idx="148">
                <c:v>0.20814755392475701</c:v>
              </c:pt>
              <c:pt idx="149">
                <c:v>0.20672862562220901</c:v>
              </c:pt>
              <c:pt idx="150">
                <c:v>0.20426263239067</c:v>
              </c:pt>
              <c:pt idx="151">
                <c:v>0.20239783350754001</c:v>
              </c:pt>
              <c:pt idx="152">
                <c:v>0.20237316443853201</c:v>
              </c:pt>
              <c:pt idx="153">
                <c:v>0.20229002053928399</c:v>
              </c:pt>
              <c:pt idx="154">
                <c:v>0.201679689498651</c:v>
              </c:pt>
              <c:pt idx="155">
                <c:v>0.200247056157765</c:v>
              </c:pt>
              <c:pt idx="156">
                <c:v>0.19999122877546399</c:v>
              </c:pt>
              <c:pt idx="157">
                <c:v>0.19939551644239101</c:v>
              </c:pt>
              <c:pt idx="158">
                <c:v>0.19790075359437501</c:v>
              </c:pt>
              <c:pt idx="159">
                <c:v>0.19511588980418201</c:v>
              </c:pt>
              <c:pt idx="160">
                <c:v>0.19329860172062199</c:v>
              </c:pt>
              <c:pt idx="161">
                <c:v>0.19326662329783401</c:v>
              </c:pt>
              <c:pt idx="162">
                <c:v>0.18926840678015699</c:v>
              </c:pt>
              <c:pt idx="163">
                <c:v>0.18844427714145801</c:v>
              </c:pt>
              <c:pt idx="164">
                <c:v>0.18762928419498401</c:v>
              </c:pt>
              <c:pt idx="165">
                <c:v>0.187376197820351</c:v>
              </c:pt>
              <c:pt idx="166">
                <c:v>0.18543099604564001</c:v>
              </c:pt>
              <c:pt idx="167">
                <c:v>0.179853045442252</c:v>
              </c:pt>
              <c:pt idx="168">
                <c:v>0.178068649450702</c:v>
              </c:pt>
              <c:pt idx="169">
                <c:v>0.17738339753382401</c:v>
              </c:pt>
              <c:pt idx="170">
                <c:v>0.17735872846481601</c:v>
              </c:pt>
              <c:pt idx="171">
                <c:v>0.176245879351806</c:v>
              </c:pt>
              <c:pt idx="172">
                <c:v>0.176007411684733</c:v>
              </c:pt>
              <c:pt idx="173">
                <c:v>0.17457569201306899</c:v>
              </c:pt>
              <c:pt idx="174">
                <c:v>0.17351949039185399</c:v>
              </c:pt>
              <c:pt idx="175">
                <c:v>0.17065239637163701</c:v>
              </c:pt>
              <c:pt idx="176">
                <c:v>0.170130691245587</c:v>
              </c:pt>
              <c:pt idx="177">
                <c:v>0.16939610119069401</c:v>
              </c:pt>
              <c:pt idx="178">
                <c:v>0.169003223425017</c:v>
              </c:pt>
              <c:pt idx="179">
                <c:v>0.16759251814547099</c:v>
              </c:pt>
              <c:pt idx="180">
                <c:v>0.16370668294216101</c:v>
              </c:pt>
              <c:pt idx="181">
                <c:v>0.163100920247641</c:v>
              </c:pt>
              <c:pt idx="182">
                <c:v>0.162171718648354</c:v>
              </c:pt>
              <c:pt idx="183">
                <c:v>0.161905840904606</c:v>
              </c:pt>
              <c:pt idx="184">
                <c:v>0.160613912623985</c:v>
              </c:pt>
              <c:pt idx="185">
                <c:v>0.15988297724598199</c:v>
              </c:pt>
              <c:pt idx="186">
                <c:v>0.15875916410230201</c:v>
              </c:pt>
              <c:pt idx="187">
                <c:v>0.157298207015518</c:v>
              </c:pt>
              <c:pt idx="188">
                <c:v>0.15725435089283801</c:v>
              </c:pt>
              <c:pt idx="189">
                <c:v>0.15684959542726801</c:v>
              </c:pt>
              <c:pt idx="190">
                <c:v>0.15673355943601</c:v>
              </c:pt>
              <c:pt idx="191">
                <c:v>0.15654899825306401</c:v>
              </c:pt>
              <c:pt idx="192">
                <c:v>0.15425477483535699</c:v>
              </c:pt>
              <c:pt idx="193">
                <c:v>0.153545767518694</c:v>
              </c:pt>
              <c:pt idx="194">
                <c:v>0.15199161617121401</c:v>
              </c:pt>
              <c:pt idx="195">
                <c:v>0.151422400245594</c:v>
              </c:pt>
              <c:pt idx="196">
                <c:v>0.150555328153438</c:v>
              </c:pt>
              <c:pt idx="197">
                <c:v>0.15049959433086499</c:v>
              </c:pt>
              <c:pt idx="198">
                <c:v>0.147892896039061</c:v>
              </c:pt>
              <c:pt idx="199">
                <c:v>0.14723048585274601</c:v>
              </c:pt>
              <c:pt idx="200">
                <c:v>0.1458197805732</c:v>
              </c:pt>
              <c:pt idx="201">
                <c:v>0.14555938484478601</c:v>
              </c:pt>
              <c:pt idx="202">
                <c:v>0.14441090263209799</c:v>
              </c:pt>
              <c:pt idx="203">
                <c:v>0.14133092368303701</c:v>
              </c:pt>
              <c:pt idx="204">
                <c:v>0.13929892333218799</c:v>
              </c:pt>
              <c:pt idx="205">
                <c:v>0.13922400245594299</c:v>
              </c:pt>
              <c:pt idx="206">
                <c:v>0.13689505960778001</c:v>
              </c:pt>
              <c:pt idx="207">
                <c:v>0.13298912368157501</c:v>
              </c:pt>
              <c:pt idx="208">
                <c:v>0.129432209398367</c:v>
              </c:pt>
              <c:pt idx="209">
                <c:v>0.12881091432706401</c:v>
              </c:pt>
              <c:pt idx="210">
                <c:v>0.12870127402036399</c:v>
              </c:pt>
              <c:pt idx="211">
                <c:v>0.128090942979731</c:v>
              </c:pt>
              <c:pt idx="212">
                <c:v>0.127873489704775</c:v>
              </c:pt>
              <c:pt idx="213">
                <c:v>0.12764233139148201</c:v>
              </c:pt>
              <c:pt idx="214">
                <c:v>0.127573806199794</c:v>
              </c:pt>
              <c:pt idx="215">
                <c:v>0.12725584931036199</c:v>
              </c:pt>
              <c:pt idx="216">
                <c:v>0.126545928324477</c:v>
              </c:pt>
              <c:pt idx="217">
                <c:v>0.125993158444862</c:v>
              </c:pt>
              <c:pt idx="218">
                <c:v>0.12591458289172699</c:v>
              </c:pt>
              <c:pt idx="219">
                <c:v>0.124982640284772</c:v>
              </c:pt>
              <c:pt idx="220">
                <c:v>0.124905892070082</c:v>
              </c:pt>
              <c:pt idx="221">
                <c:v>0.12490223739319201</c:v>
              </c:pt>
              <c:pt idx="222">
                <c:v>0.121328877063979</c:v>
              </c:pt>
              <c:pt idx="223">
                <c:v>0.120417948849142</c:v>
              </c:pt>
              <c:pt idx="224">
                <c:v>0.119115970207074</c:v>
              </c:pt>
              <c:pt idx="225">
                <c:v>0.117796631849778</c:v>
              </c:pt>
              <c:pt idx="226">
                <c:v>0.116917682057729</c:v>
              </c:pt>
              <c:pt idx="227">
                <c:v>0.115586466000541</c:v>
              </c:pt>
              <c:pt idx="228">
                <c:v>0.115373581071697</c:v>
              </c:pt>
              <c:pt idx="229">
                <c:v>0.112981595047182</c:v>
              </c:pt>
              <c:pt idx="230">
                <c:v>0.112575012243168</c:v>
              </c:pt>
              <c:pt idx="231">
                <c:v>0.112285379099634</c:v>
              </c:pt>
              <c:pt idx="232">
                <c:v>0.110608796076339</c:v>
              </c:pt>
              <c:pt idx="233">
                <c:v>0.11011632836540899</c:v>
              </c:pt>
              <c:pt idx="234">
                <c:v>0.109574522516464</c:v>
              </c:pt>
              <c:pt idx="235">
                <c:v>0.109420112417861</c:v>
              </c:pt>
              <c:pt idx="236">
                <c:v>0.10936163758762101</c:v>
              </c:pt>
              <c:pt idx="237">
                <c:v>0.107712464641001</c:v>
              </c:pt>
              <c:pt idx="238">
                <c:v>0.107131371015489</c:v>
              </c:pt>
              <c:pt idx="239">
                <c:v>0.106955032855545</c:v>
              </c:pt>
              <c:pt idx="240">
                <c:v>0.105673154936372</c:v>
              </c:pt>
              <c:pt idx="241">
                <c:v>0.104510967685347</c:v>
              </c:pt>
              <c:pt idx="242">
                <c:v>0.10417291007302</c:v>
              </c:pt>
              <c:pt idx="243">
                <c:v>0.101895132701318</c:v>
              </c:pt>
              <c:pt idx="244">
                <c:v>0.100337326676948</c:v>
              </c:pt>
              <c:pt idx="245">
                <c:v>9.8930276074292306E-2</c:v>
              </c:pt>
              <c:pt idx="246">
                <c:v>9.8114369458596196E-2</c:v>
              </c:pt>
              <c:pt idx="247">
                <c:v>9.7204354912982099E-2</c:v>
              </c:pt>
              <c:pt idx="248">
                <c:v>9.6545599403556698E-2</c:v>
              </c:pt>
              <c:pt idx="249">
                <c:v>9.6468851188866403E-2</c:v>
              </c:pt>
              <c:pt idx="250">
                <c:v>9.4469742930027606E-2</c:v>
              </c:pt>
              <c:pt idx="251">
                <c:v>9.3203397387636999E-2</c:v>
              </c:pt>
              <c:pt idx="252">
                <c:v>9.2528195832206506E-2</c:v>
              </c:pt>
              <c:pt idx="253">
                <c:v>9.2050346828836893E-2</c:v>
              </c:pt>
              <c:pt idx="254">
                <c:v>9.1554224441017198E-2</c:v>
              </c:pt>
              <c:pt idx="255">
                <c:v>8.9538670136173296E-2</c:v>
              </c:pt>
              <c:pt idx="256">
                <c:v>8.9322130530439803E-2</c:v>
              </c:pt>
              <c:pt idx="257">
                <c:v>8.8985900256558295E-2</c:v>
              </c:pt>
              <c:pt idx="258">
                <c:v>8.8498914560963704E-2</c:v>
              </c:pt>
              <c:pt idx="259">
                <c:v>8.7548698569559505E-2</c:v>
              </c:pt>
              <c:pt idx="260">
                <c:v>8.5447259357800204E-2</c:v>
              </c:pt>
              <c:pt idx="261">
                <c:v>8.3693928119814895E-2</c:v>
              </c:pt>
              <c:pt idx="262">
                <c:v>8.3089079094517196E-2</c:v>
              </c:pt>
              <c:pt idx="263">
                <c:v>8.2818633004656E-2</c:v>
              </c:pt>
              <c:pt idx="264">
                <c:v>8.2764726520528298E-2</c:v>
              </c:pt>
              <c:pt idx="265">
                <c:v>7.9862913069855504E-2</c:v>
              </c:pt>
              <c:pt idx="266">
                <c:v>7.9110963299734702E-2</c:v>
              </c:pt>
              <c:pt idx="267">
                <c:v>7.7788883934771305E-2</c:v>
              </c:pt>
              <c:pt idx="268">
                <c:v>7.6931862204062507E-2</c:v>
              </c:pt>
              <c:pt idx="269">
                <c:v>7.6728113967444098E-2</c:v>
              </c:pt>
              <c:pt idx="270">
                <c:v>7.5412430287038298E-2</c:v>
              </c:pt>
              <c:pt idx="271">
                <c:v>7.5280861918997702E-2</c:v>
              </c:pt>
              <c:pt idx="272">
                <c:v>7.4920876245331197E-2</c:v>
              </c:pt>
              <c:pt idx="273">
                <c:v>7.4585559640672205E-2</c:v>
              </c:pt>
              <c:pt idx="274">
                <c:v>7.2552645620600695E-2</c:v>
              </c:pt>
              <c:pt idx="275">
                <c:v>7.2073882948008594E-2</c:v>
              </c:pt>
              <c:pt idx="276">
                <c:v>7.0930882750655996E-2</c:v>
              </c:pt>
              <c:pt idx="277">
                <c:v>6.9196738566343396E-2</c:v>
              </c:pt>
              <c:pt idx="278">
                <c:v>6.8281242005394302E-2</c:v>
              </c:pt>
              <c:pt idx="279">
                <c:v>6.6633896397219505E-2</c:v>
              </c:pt>
              <c:pt idx="280">
                <c:v>6.3079723121678796E-2</c:v>
              </c:pt>
              <c:pt idx="281">
                <c:v>6.2949982092083204E-2</c:v>
              </c:pt>
              <c:pt idx="282">
                <c:v>6.2541571949623898E-2</c:v>
              </c:pt>
              <c:pt idx="283">
                <c:v>6.2295794928770402E-2</c:v>
              </c:pt>
              <c:pt idx="284">
                <c:v>6.1764039441272997E-2</c:v>
              </c:pt>
              <c:pt idx="285">
                <c:v>5.8937146866845501E-2</c:v>
              </c:pt>
              <c:pt idx="286">
                <c:v>5.69161105466666E-2</c:v>
              </c:pt>
              <c:pt idx="287">
                <c:v>5.6297556483031301E-2</c:v>
              </c:pt>
              <c:pt idx="288">
                <c:v>5.52769879614943E-2</c:v>
              </c:pt>
              <c:pt idx="289">
                <c:v>5.51746570085739E-2</c:v>
              </c:pt>
              <c:pt idx="290">
                <c:v>5.3509951685171503E-2</c:v>
              </c:pt>
              <c:pt idx="291">
                <c:v>5.1570231925795497E-2</c:v>
              </c:pt>
              <c:pt idx="292">
                <c:v>5.0047145331881197E-2</c:v>
              </c:pt>
              <c:pt idx="293">
                <c:v>4.9533663228833902E-2</c:v>
              </c:pt>
              <c:pt idx="294">
                <c:v>4.8190569471753E-2</c:v>
              </c:pt>
              <c:pt idx="295">
                <c:v>4.7180964980886003E-2</c:v>
              </c:pt>
              <c:pt idx="296">
                <c:v>4.7166346273325999E-2</c:v>
              </c:pt>
              <c:pt idx="297">
                <c:v>4.6653777839501198E-2</c:v>
              </c:pt>
              <c:pt idx="298">
                <c:v>4.6594389340038497E-2</c:v>
              </c:pt>
              <c:pt idx="299">
                <c:v>4.4927856678191103E-2</c:v>
              </c:pt>
              <c:pt idx="300">
                <c:v>4.3909115495099099E-2</c:v>
              </c:pt>
              <c:pt idx="301">
                <c:v>4.3459590237627098E-2</c:v>
              </c:pt>
              <c:pt idx="302">
                <c:v>4.3273201716236297E-2</c:v>
              </c:pt>
              <c:pt idx="303">
                <c:v>4.2707640467506303E-2</c:v>
              </c:pt>
              <c:pt idx="304">
                <c:v>4.2693021759946201E-2</c:v>
              </c:pt>
              <c:pt idx="305">
                <c:v>4.1459568309565702E-2</c:v>
              </c:pt>
              <c:pt idx="306">
                <c:v>4.09214171375109E-2</c:v>
              </c:pt>
              <c:pt idx="307">
                <c:v>4.0476460226151402E-2</c:v>
              </c:pt>
              <c:pt idx="308">
                <c:v>4.0467323533926403E-2</c:v>
              </c:pt>
              <c:pt idx="309">
                <c:v>4.0219719174627799E-2</c:v>
              </c:pt>
              <c:pt idx="310">
                <c:v>4.0061654399134602E-2</c:v>
              </c:pt>
              <c:pt idx="311">
                <c:v>3.9130625461403001E-2</c:v>
              </c:pt>
              <c:pt idx="312">
                <c:v>3.9083114661832702E-2</c:v>
              </c:pt>
              <c:pt idx="313">
                <c:v>3.9022812493147499E-2</c:v>
              </c:pt>
              <c:pt idx="314">
                <c:v>3.8704855603716101E-2</c:v>
              </c:pt>
              <c:pt idx="315">
                <c:v>3.8050668440403203E-2</c:v>
              </c:pt>
              <c:pt idx="316">
                <c:v>3.7585610806148598E-2</c:v>
              </c:pt>
              <c:pt idx="317">
                <c:v>3.7437596392102999E-2</c:v>
              </c:pt>
              <c:pt idx="318">
                <c:v>3.6407891178340902E-2</c:v>
              </c:pt>
              <c:pt idx="319">
                <c:v>3.60013083743266E-2</c:v>
              </c:pt>
              <c:pt idx="320">
                <c:v>3.5588329885754798E-2</c:v>
              </c:pt>
              <c:pt idx="321">
                <c:v>3.4425228965507197E-2</c:v>
              </c:pt>
              <c:pt idx="322">
                <c:v>3.27714876727749E-2</c:v>
              </c:pt>
              <c:pt idx="323">
                <c:v>3.1631228483089802E-2</c:v>
              </c:pt>
              <c:pt idx="324">
                <c:v>3.1482300399821701E-2</c:v>
              </c:pt>
              <c:pt idx="325">
                <c:v>3.1416516215801403E-2</c:v>
              </c:pt>
              <c:pt idx="326">
                <c:v>2.98157677379743E-2</c:v>
              </c:pt>
              <c:pt idx="327">
                <c:v>2.9471314441090302E-2</c:v>
              </c:pt>
              <c:pt idx="328">
                <c:v>2.9152443882436398E-2</c:v>
              </c:pt>
              <c:pt idx="329">
                <c:v>2.89258539152553E-2</c:v>
              </c:pt>
              <c:pt idx="330">
                <c:v>2.8592364649041399E-2</c:v>
              </c:pt>
              <c:pt idx="331">
                <c:v>2.8471760311670799E-2</c:v>
              </c:pt>
              <c:pt idx="332">
                <c:v>2.82040552294772E-2</c:v>
              </c:pt>
              <c:pt idx="333">
                <c:v>2.81172566533393E-2</c:v>
              </c:pt>
              <c:pt idx="334">
                <c:v>2.6432450607041798E-2</c:v>
              </c:pt>
              <c:pt idx="335">
                <c:v>2.58339972663017E-2</c:v>
              </c:pt>
              <c:pt idx="336">
                <c:v>2.4964184166477801E-2</c:v>
              </c:pt>
              <c:pt idx="337">
                <c:v>2.42131480655795E-2</c:v>
              </c:pt>
              <c:pt idx="338">
                <c:v>2.3120399675464701E-2</c:v>
              </c:pt>
              <c:pt idx="339">
                <c:v>2.2434234089364201E-2</c:v>
              </c:pt>
              <c:pt idx="340">
                <c:v>2.2397687320463999E-2</c:v>
              </c:pt>
              <c:pt idx="341">
                <c:v>2.1476708744179899E-2</c:v>
              </c:pt>
              <c:pt idx="342">
                <c:v>2.0739377681619198E-2</c:v>
              </c:pt>
              <c:pt idx="343">
                <c:v>2.02322912631294E-2</c:v>
              </c:pt>
              <c:pt idx="344">
                <c:v>2.0117168941093898E-2</c:v>
              </c:pt>
              <c:pt idx="345">
                <c:v>1.9542471000138902E-2</c:v>
              </c:pt>
              <c:pt idx="346">
                <c:v>1.9356996147970599E-2</c:v>
              </c:pt>
              <c:pt idx="347">
                <c:v>1.8069636213462401E-2</c:v>
              </c:pt>
              <c:pt idx="348">
                <c:v>1.5811045895432401E-2</c:v>
              </c:pt>
              <c:pt idx="349">
                <c:v>1.4994225610513799E-2</c:v>
              </c:pt>
              <c:pt idx="350">
                <c:v>1.44560744384589E-2</c:v>
              </c:pt>
              <c:pt idx="351">
                <c:v>1.4123498841467399E-2</c:v>
              </c:pt>
              <c:pt idx="352">
                <c:v>1.41152758184649E-2</c:v>
              </c:pt>
              <c:pt idx="353">
                <c:v>1.357712464641E-2</c:v>
              </c:pt>
              <c:pt idx="354">
                <c:v>1.33112469026613E-2</c:v>
              </c:pt>
              <c:pt idx="355">
                <c:v>1.28471029376293E-2</c:v>
              </c:pt>
              <c:pt idx="356">
                <c:v>1.27511676692664E-2</c:v>
              </c:pt>
              <c:pt idx="357">
                <c:v>1.26442683702334E-2</c:v>
              </c:pt>
              <c:pt idx="358">
                <c:v>1.0743836387425E-2</c:v>
              </c:pt>
              <c:pt idx="359">
                <c:v>1.07127716338599E-2</c:v>
              </c:pt>
              <c:pt idx="360">
                <c:v>1.05556205275892E-2</c:v>
              </c:pt>
              <c:pt idx="361">
                <c:v>1.0438670867108601E-2</c:v>
              </c:pt>
              <c:pt idx="362">
                <c:v>6.2367061128125699E-3</c:v>
              </c:pt>
              <c:pt idx="363">
                <c:v>6.1316341522245996E-3</c:v>
              </c:pt>
              <c:pt idx="364">
                <c:v>2.5710651921263599E-3</c:v>
              </c:pt>
              <c:pt idx="365">
                <c:v>2.4312738010832499E-3</c:v>
              </c:pt>
            </c:numLit>
          </c:val>
          <c:smooth val="0"/>
        </c:ser>
        <c:ser>
          <c:idx val="6"/>
          <c:order val="6"/>
          <c:tx>
            <c:v>2013</c:v>
          </c:tx>
          <c:marker>
            <c:symbol val="none"/>
          </c:marker>
          <c:cat>
            <c:strLit>
              <c:ptCount val="36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strLit>
          </c:cat>
          <c:val>
            <c:numLit>
              <c:formatCode>General</c:formatCode>
              <c:ptCount val="366"/>
              <c:pt idx="0">
                <c:v>54.643937472904113</c:v>
              </c:pt>
              <c:pt idx="1">
                <c:v>15.27148516849215</c:v>
              </c:pt>
              <c:pt idx="2">
                <c:v>14.5176835635973</c:v>
              </c:pt>
              <c:pt idx="3">
                <c:v>5.5289645438028678</c:v>
              </c:pt>
              <c:pt idx="4">
                <c:v>3.6514111677341421</c:v>
              </c:pt>
              <c:pt idx="5">
                <c:v>3.0530720493992778</c:v>
              </c:pt>
              <c:pt idx="6">
                <c:v>3.0308636421060862</c:v>
              </c:pt>
              <c:pt idx="7">
                <c:v>2.41607385170219</c:v>
              </c:pt>
              <c:pt idx="8">
                <c:v>2.2141886592156941</c:v>
              </c:pt>
              <c:pt idx="9">
                <c:v>1.940244978682292</c:v>
              </c:pt>
              <c:pt idx="10">
                <c:v>1.865801597623832</c:v>
              </c:pt>
              <c:pt idx="11">
                <c:v>1.6747593066723381</c:v>
              </c:pt>
              <c:pt idx="12">
                <c:v>1.5804178834256299</c:v>
              </c:pt>
              <c:pt idx="13">
                <c:v>1.4969493546519499</c:v>
              </c:pt>
              <c:pt idx="14">
                <c:v>1.433527015002831</c:v>
              </c:pt>
              <c:pt idx="15">
                <c:v>1.3985561581409469</c:v>
              </c:pt>
              <c:pt idx="16">
                <c:v>1.332987051230665</c:v>
              </c:pt>
              <c:pt idx="17">
                <c:v>1.19834329916865</c:v>
              </c:pt>
              <c:pt idx="18">
                <c:v>1.18523274974347</c:v>
              </c:pt>
              <c:pt idx="19">
                <c:v>1.1488149608410381</c:v>
              </c:pt>
              <c:pt idx="20">
                <c:v>1.14245736685635</c:v>
              </c:pt>
              <c:pt idx="21">
                <c:v>1.140728682973736</c:v>
              </c:pt>
              <c:pt idx="22">
                <c:v>1.1003409197289</c:v>
              </c:pt>
              <c:pt idx="23">
                <c:v>1.0928799491756029</c:v>
              </c:pt>
              <c:pt idx="24">
                <c:v>1.080581026830955</c:v>
              </c:pt>
              <c:pt idx="25">
                <c:v>1.065439137512167</c:v>
              </c:pt>
              <c:pt idx="26">
                <c:v>1.0387208829920951</c:v>
              </c:pt>
              <c:pt idx="27">
                <c:v>1.0379701506645249</c:v>
              </c:pt>
              <c:pt idx="28">
                <c:v>1.030041108502634</c:v>
              </c:pt>
              <c:pt idx="29">
                <c:v>1.023497194751418</c:v>
              </c:pt>
              <c:pt idx="30">
                <c:v>1.0217548777151559</c:v>
              </c:pt>
              <c:pt idx="31">
                <c:v>0.97228561638668698</c:v>
              </c:pt>
              <c:pt idx="32">
                <c:v>0.96484827663304795</c:v>
              </c:pt>
              <c:pt idx="33">
                <c:v>0.95796989617899098</c:v>
              </c:pt>
              <c:pt idx="34">
                <c:v>0.94803223604623998</c:v>
              </c:pt>
              <c:pt idx="35">
                <c:v>0.92598197333536902</c:v>
              </c:pt>
              <c:pt idx="36">
                <c:v>0.89674249426725905</c:v>
              </c:pt>
              <c:pt idx="37">
                <c:v>0.88648490946222702</c:v>
              </c:pt>
              <c:pt idx="38">
                <c:v>0.85245292244825999</c:v>
              </c:pt>
              <c:pt idx="39">
                <c:v>0.81813282145385802</c:v>
              </c:pt>
              <c:pt idx="40">
                <c:v>0.80682184831026205</c:v>
              </c:pt>
              <c:pt idx="41">
                <c:v>0.79811844302114299</c:v>
              </c:pt>
              <c:pt idx="42">
                <c:v>0.79733953550936598</c:v>
              </c:pt>
              <c:pt idx="43">
                <c:v>0.77828220446276697</c:v>
              </c:pt>
              <c:pt idx="44">
                <c:v>0.77214274093645197</c:v>
              </c:pt>
              <c:pt idx="45">
                <c:v>0.75839415992052805</c:v>
              </c:pt>
              <c:pt idx="46">
                <c:v>0.75503040647702102</c:v>
              </c:pt>
              <c:pt idx="47">
                <c:v>0.75359438095939202</c:v>
              </c:pt>
              <c:pt idx="48">
                <c:v>0.75325991425655303</c:v>
              </c:pt>
              <c:pt idx="49">
                <c:v>0.73090336002704803</c:v>
              </c:pt>
              <c:pt idx="50">
                <c:v>0.72685976665494201</c:v>
              </c:pt>
              <c:pt idx="51">
                <c:v>0.70967290428889895</c:v>
              </c:pt>
              <c:pt idx="52">
                <c:v>0.70111946368991296</c:v>
              </c:pt>
              <c:pt idx="53">
                <c:v>0.69036654096898997</c:v>
              </c:pt>
              <c:pt idx="54">
                <c:v>0.67960543835587806</c:v>
              </c:pt>
              <c:pt idx="55">
                <c:v>0.66889250621898999</c:v>
              </c:pt>
              <c:pt idx="56">
                <c:v>0.64313947897722301</c:v>
              </c:pt>
              <c:pt idx="57">
                <c:v>0.61781635051383399</c:v>
              </c:pt>
              <c:pt idx="58">
                <c:v>0.61102613112003601</c:v>
              </c:pt>
              <c:pt idx="59">
                <c:v>0.57295145961087401</c:v>
              </c:pt>
              <c:pt idx="60">
                <c:v>0.56184861927964302</c:v>
              </c:pt>
              <c:pt idx="61">
                <c:v>0.559245595809714</c:v>
              </c:pt>
              <c:pt idx="62">
                <c:v>0.52716314976746304</c:v>
              </c:pt>
              <c:pt idx="63">
                <c:v>0.50178639756639098</c:v>
              </c:pt>
              <c:pt idx="64">
                <c:v>0.48734252571440001</c:v>
              </c:pt>
              <c:pt idx="65">
                <c:v>0.47493544701747498</c:v>
              </c:pt>
              <c:pt idx="66">
                <c:v>0.46911227265580202</c:v>
              </c:pt>
              <c:pt idx="67">
                <c:v>0.46617660023685298</c:v>
              </c:pt>
              <c:pt idx="68">
                <c:v>0.45701512098515001</c:v>
              </c:pt>
              <c:pt idx="69">
                <c:v>0.44582321071674902</c:v>
              </c:pt>
              <c:pt idx="70">
                <c:v>0.44126428413673502</c:v>
              </c:pt>
              <c:pt idx="71">
                <c:v>0.44023816210546801</c:v>
              </c:pt>
              <c:pt idx="72">
                <c:v>0.43682714706264603</c:v>
              </c:pt>
              <c:pt idx="73">
                <c:v>0.43548200923600699</c:v>
              </c:pt>
              <c:pt idx="74">
                <c:v>0.42444733467301798</c:v>
              </c:pt>
              <c:pt idx="75">
                <c:v>0.424061970863224</c:v>
              </c:pt>
              <c:pt idx="76">
                <c:v>0.41754168791166402</c:v>
              </c:pt>
              <c:pt idx="77">
                <c:v>0.41576119804518702</c:v>
              </c:pt>
              <c:pt idx="78">
                <c:v>0.41186484273248403</c:v>
              </c:pt>
              <c:pt idx="79">
                <c:v>0.40637068181219199</c:v>
              </c:pt>
              <c:pt idx="80">
                <c:v>0.405938056403083</c:v>
              </c:pt>
              <c:pt idx="81">
                <c:v>0.39585134045711001</c:v>
              </c:pt>
              <c:pt idx="82">
                <c:v>0.38875482954467999</c:v>
              </c:pt>
              <c:pt idx="83">
                <c:v>0.37876081904351599</c:v>
              </c:pt>
              <c:pt idx="84">
                <c:v>0.37804553291543203</c:v>
              </c:pt>
              <c:pt idx="85">
                <c:v>0.376920343300986</c:v>
              </c:pt>
              <c:pt idx="86">
                <c:v>0.37096901729501902</c:v>
              </c:pt>
              <c:pt idx="87">
                <c:v>0.36662640341955899</c:v>
              </c:pt>
              <c:pt idx="88">
                <c:v>0.35930812654111399</c:v>
              </c:pt>
              <c:pt idx="89">
                <c:v>0.35907181854454301</c:v>
              </c:pt>
              <c:pt idx="90">
                <c:v>0.35901819480685898</c:v>
              </c:pt>
              <c:pt idx="91">
                <c:v>0.35802570122125799</c:v>
              </c:pt>
              <c:pt idx="92">
                <c:v>0.35628520193881602</c:v>
              </c:pt>
              <c:pt idx="93">
                <c:v>0.35619704087855703</c:v>
              </c:pt>
              <c:pt idx="94">
                <c:v>0.351897144217861</c:v>
              </c:pt>
              <c:pt idx="95">
                <c:v>0.34982672261712899</c:v>
              </c:pt>
              <c:pt idx="96">
                <c:v>0.346195759362114</c:v>
              </c:pt>
              <c:pt idx="97">
                <c:v>0.33807221754150601</c:v>
              </c:pt>
              <c:pt idx="98">
                <c:v>0.33597271187965799</c:v>
              </c:pt>
              <c:pt idx="99">
                <c:v>0.335749128159824</c:v>
              </c:pt>
              <c:pt idx="100">
                <c:v>0.333749598958064</c:v>
              </c:pt>
              <c:pt idx="101">
                <c:v>0.332179059657772</c:v>
              </c:pt>
              <c:pt idx="102">
                <c:v>0.32200690928226899</c:v>
              </c:pt>
              <c:pt idx="103">
                <c:v>0.32173515508621098</c:v>
              </c:pt>
              <c:pt idx="104">
                <c:v>0.31974017026899998</c:v>
              </c:pt>
              <c:pt idx="105">
                <c:v>0.31777336063599598</c:v>
              </c:pt>
              <c:pt idx="106">
                <c:v>0.31292541119863598</c:v>
              </c:pt>
              <c:pt idx="107">
                <c:v>0.30663961848982801</c:v>
              </c:pt>
              <c:pt idx="108">
                <c:v>0.305603498812552</c:v>
              </c:pt>
              <c:pt idx="109">
                <c:v>0.30396661149783799</c:v>
              </c:pt>
              <c:pt idx="110">
                <c:v>0.30180984659066601</c:v>
              </c:pt>
              <c:pt idx="111">
                <c:v>0.30134541048971197</c:v>
              </c:pt>
              <c:pt idx="112">
                <c:v>0.29517958953300999</c:v>
              </c:pt>
              <c:pt idx="113">
                <c:v>0.29431070320715402</c:v>
              </c:pt>
              <c:pt idx="114">
                <c:v>0.29193489896469799</c:v>
              </c:pt>
              <c:pt idx="115">
                <c:v>0.29124506139009099</c:v>
              </c:pt>
              <c:pt idx="116">
                <c:v>0.29008533445307</c:v>
              </c:pt>
              <c:pt idx="117">
                <c:v>0.283634126146662</c:v>
              </c:pt>
              <c:pt idx="118">
                <c:v>0.28310788641583501</c:v>
              </c:pt>
              <c:pt idx="119">
                <c:v>0.276025917533962</c:v>
              </c:pt>
              <c:pt idx="120">
                <c:v>0.27551876421824301</c:v>
              </c:pt>
              <c:pt idx="121">
                <c:v>0.27345743138660999</c:v>
              </c:pt>
              <c:pt idx="122">
                <c:v>0.271648766335926</c:v>
              </c:pt>
              <c:pt idx="123">
                <c:v>0.25979155816948502</c:v>
              </c:pt>
              <c:pt idx="124">
                <c:v>0.25842006291246</c:v>
              </c:pt>
              <c:pt idx="125">
                <c:v>0.254625501813664</c:v>
              </c:pt>
              <c:pt idx="126">
                <c:v>0.25230604793962202</c:v>
              </c:pt>
              <c:pt idx="127">
                <c:v>0.25110178603401601</c:v>
              </c:pt>
              <c:pt idx="128">
                <c:v>0.251036346896503</c:v>
              </c:pt>
              <c:pt idx="129">
                <c:v>0.25096999888208099</c:v>
              </c:pt>
              <c:pt idx="130">
                <c:v>0.25056009539572</c:v>
              </c:pt>
              <c:pt idx="131">
                <c:v>0.250261983769276</c:v>
              </c:pt>
              <c:pt idx="132">
                <c:v>0.24943308802745501</c:v>
              </c:pt>
              <c:pt idx="133">
                <c:v>0.247660778053167</c:v>
              </c:pt>
              <c:pt idx="134">
                <c:v>0.24730086279685101</c:v>
              </c:pt>
              <c:pt idx="135">
                <c:v>0.244770549479713</c:v>
              </c:pt>
              <c:pt idx="136">
                <c:v>0.23846112597124899</c:v>
              </c:pt>
              <c:pt idx="137">
                <c:v>0.23758678638393299</c:v>
              </c:pt>
              <c:pt idx="138">
                <c:v>0.236734259842455</c:v>
              </c:pt>
              <c:pt idx="139">
                <c:v>0.23642615057000199</c:v>
              </c:pt>
              <c:pt idx="140">
                <c:v>0.23063660465399499</c:v>
              </c:pt>
              <c:pt idx="141">
                <c:v>0.229076062999712</c:v>
              </c:pt>
              <c:pt idx="142">
                <c:v>0.22845439119334601</c:v>
              </c:pt>
              <c:pt idx="143">
                <c:v>0.22339285568216199</c:v>
              </c:pt>
              <c:pt idx="144">
                <c:v>0.22097069871730199</c:v>
              </c:pt>
              <c:pt idx="145">
                <c:v>0.220199971097714</c:v>
              </c:pt>
              <c:pt idx="146">
                <c:v>0.21893572331605601</c:v>
              </c:pt>
              <c:pt idx="147">
                <c:v>0.218876646316913</c:v>
              </c:pt>
              <c:pt idx="148">
                <c:v>0.213893274219979</c:v>
              </c:pt>
              <c:pt idx="149">
                <c:v>0.21235908999608299</c:v>
              </c:pt>
              <c:pt idx="150">
                <c:v>0.20897806789128701</c:v>
              </c:pt>
              <c:pt idx="151">
                <c:v>0.20795376361383999</c:v>
              </c:pt>
              <c:pt idx="152">
                <c:v>0.20735208709949199</c:v>
              </c:pt>
              <c:pt idx="153">
                <c:v>0.20674404844677499</c:v>
              </c:pt>
              <c:pt idx="154">
                <c:v>0.204730886091366</c:v>
              </c:pt>
              <c:pt idx="155">
                <c:v>0.20457092375522501</c:v>
              </c:pt>
              <c:pt idx="156">
                <c:v>0.20430553169753701</c:v>
              </c:pt>
              <c:pt idx="157">
                <c:v>0.204152840376675</c:v>
              </c:pt>
              <c:pt idx="158">
                <c:v>0.19838965189105501</c:v>
              </c:pt>
              <c:pt idx="159">
                <c:v>0.196958170757976</c:v>
              </c:pt>
              <c:pt idx="160">
                <c:v>0.196270150937188</c:v>
              </c:pt>
              <c:pt idx="161">
                <c:v>0.195438528564638</c:v>
              </c:pt>
              <c:pt idx="162">
                <c:v>0.194993178878791</c:v>
              </c:pt>
              <c:pt idx="163">
                <c:v>0.194142470091133</c:v>
              </c:pt>
              <c:pt idx="164">
                <c:v>0.187469495818712</c:v>
              </c:pt>
              <c:pt idx="165">
                <c:v>0.18655243901663199</c:v>
              </c:pt>
              <c:pt idx="166">
                <c:v>0.184372043309802</c:v>
              </c:pt>
              <c:pt idx="167">
                <c:v>0.178974223341959</c:v>
              </c:pt>
              <c:pt idx="168">
                <c:v>0.17749002734810601</c:v>
              </c:pt>
              <c:pt idx="169">
                <c:v>0.17289201906096699</c:v>
              </c:pt>
              <c:pt idx="170">
                <c:v>0.17118605710110099</c:v>
              </c:pt>
              <c:pt idx="171">
                <c:v>0.170767064845641</c:v>
              </c:pt>
              <c:pt idx="172">
                <c:v>0.16820948522120699</c:v>
              </c:pt>
              <c:pt idx="173">
                <c:v>0.167972268347725</c:v>
              </c:pt>
              <c:pt idx="174">
                <c:v>0.16627266852622899</c:v>
              </c:pt>
              <c:pt idx="175">
                <c:v>0.163749626224371</c:v>
              </c:pt>
              <c:pt idx="176">
                <c:v>0.163201573447706</c:v>
              </c:pt>
              <c:pt idx="177">
                <c:v>0.16076941883683801</c:v>
              </c:pt>
              <c:pt idx="178">
                <c:v>0.16029680284369399</c:v>
              </c:pt>
              <c:pt idx="179">
                <c:v>0.16016047130721001</c:v>
              </c:pt>
              <c:pt idx="180">
                <c:v>0.16001959538617699</c:v>
              </c:pt>
              <c:pt idx="181">
                <c:v>0.15684488833992699</c:v>
              </c:pt>
              <c:pt idx="182">
                <c:v>0.15548157297508999</c:v>
              </c:pt>
              <c:pt idx="183">
                <c:v>0.15499895933593799</c:v>
              </c:pt>
              <c:pt idx="184">
                <c:v>0.15310122434808501</c:v>
              </c:pt>
              <c:pt idx="185">
                <c:v>0.152654965785329</c:v>
              </c:pt>
              <c:pt idx="186">
                <c:v>0.15215053910033899</c:v>
              </c:pt>
              <c:pt idx="187">
                <c:v>0.15138980912676001</c:v>
              </c:pt>
              <c:pt idx="188">
                <c:v>0.15009193289943601</c:v>
              </c:pt>
              <c:pt idx="189">
                <c:v>0.147869728854751</c:v>
              </c:pt>
              <c:pt idx="190">
                <c:v>0.14704992188203</c:v>
              </c:pt>
              <c:pt idx="191">
                <c:v>0.14672272619446899</c:v>
              </c:pt>
              <c:pt idx="192">
                <c:v>0.143441680549762</c:v>
              </c:pt>
              <c:pt idx="193">
                <c:v>0.143420776380834</c:v>
              </c:pt>
              <c:pt idx="194">
                <c:v>0.143187195014992</c:v>
              </c:pt>
              <c:pt idx="195">
                <c:v>0.143169017476794</c:v>
              </c:pt>
              <c:pt idx="196">
                <c:v>0.14225923168999299</c:v>
              </c:pt>
              <c:pt idx="197">
                <c:v>0.140339683656303</c:v>
              </c:pt>
              <c:pt idx="198">
                <c:v>0.140150637259045</c:v>
              </c:pt>
              <c:pt idx="199">
                <c:v>0.14005884069114599</c:v>
              </c:pt>
              <c:pt idx="200">
                <c:v>0.136120677040588</c:v>
              </c:pt>
              <c:pt idx="201">
                <c:v>0.135628974632337</c:v>
              </c:pt>
              <c:pt idx="202">
                <c:v>0.13532177423679301</c:v>
              </c:pt>
              <c:pt idx="203">
                <c:v>0.13407479511642301</c:v>
              </c:pt>
              <c:pt idx="204">
                <c:v>0.13393119256465999</c:v>
              </c:pt>
              <c:pt idx="205">
                <c:v>0.131512671107439</c:v>
              </c:pt>
              <c:pt idx="206">
                <c:v>0.129195943864127</c:v>
              </c:pt>
              <c:pt idx="207">
                <c:v>0.129014168482148</c:v>
              </c:pt>
              <c:pt idx="208">
                <c:v>0.12620846546131401</c:v>
              </c:pt>
              <c:pt idx="209">
                <c:v>0.12534957678146699</c:v>
              </c:pt>
              <c:pt idx="210">
                <c:v>0.12470063866780499</c:v>
              </c:pt>
              <c:pt idx="211">
                <c:v>0.12037802008436201</c:v>
              </c:pt>
              <c:pt idx="212">
                <c:v>0.12018352042564499</c:v>
              </c:pt>
              <c:pt idx="213">
                <c:v>0.119690000263574</c:v>
              </c:pt>
              <c:pt idx="214">
                <c:v>0.11917194042493599</c:v>
              </c:pt>
              <c:pt idx="215">
                <c:v>0.118204895392812</c:v>
              </c:pt>
              <c:pt idx="216">
                <c:v>0.117894968366539</c:v>
              </c:pt>
              <c:pt idx="217">
                <c:v>0.117100609947294</c:v>
              </c:pt>
              <c:pt idx="218">
                <c:v>0.115395556864338</c:v>
              </c:pt>
              <c:pt idx="219">
                <c:v>0.112227211956458</c:v>
              </c:pt>
              <c:pt idx="220">
                <c:v>0.112140868650018</c:v>
              </c:pt>
              <c:pt idx="221">
                <c:v>0.11207361175868601</c:v>
              </c:pt>
              <c:pt idx="222">
                <c:v>0.111611902288461</c:v>
              </c:pt>
              <c:pt idx="223">
                <c:v>0.111579182719705</c:v>
              </c:pt>
              <c:pt idx="224">
                <c:v>0.110920246960034</c:v>
              </c:pt>
              <c:pt idx="225">
                <c:v>0.110489439304745</c:v>
              </c:pt>
              <c:pt idx="226">
                <c:v>0.107812796805116</c:v>
              </c:pt>
              <c:pt idx="227">
                <c:v>0.107699187191379</c:v>
              </c:pt>
              <c:pt idx="228">
                <c:v>0.107408346580214</c:v>
              </c:pt>
              <c:pt idx="229">
                <c:v>0.105576050729874</c:v>
              </c:pt>
              <c:pt idx="230">
                <c:v>0.105143425320765</c:v>
              </c:pt>
              <c:pt idx="231">
                <c:v>0.103503811375322</c:v>
              </c:pt>
              <c:pt idx="232">
                <c:v>0.101797849415456</c:v>
              </c:pt>
              <c:pt idx="233">
                <c:v>0.10107256564136299</c:v>
              </c:pt>
              <c:pt idx="234">
                <c:v>9.9836493043910596E-2</c:v>
              </c:pt>
              <c:pt idx="235">
                <c:v>9.9614727077897106E-2</c:v>
              </c:pt>
              <c:pt idx="236">
                <c:v>9.6931722439898199E-2</c:v>
              </c:pt>
              <c:pt idx="237">
                <c:v>9.6162812574130299E-2</c:v>
              </c:pt>
              <c:pt idx="238">
                <c:v>9.5827436994380399E-2</c:v>
              </c:pt>
              <c:pt idx="239">
                <c:v>9.4161465618549794E-2</c:v>
              </c:pt>
              <c:pt idx="240">
                <c:v>9.3683396363947E-2</c:v>
              </c:pt>
              <c:pt idx="241">
                <c:v>9.2348256183316796E-2</c:v>
              </c:pt>
              <c:pt idx="242">
                <c:v>9.2188293847175903E-2</c:v>
              </c:pt>
              <c:pt idx="243">
                <c:v>9.1542082364243299E-2</c:v>
              </c:pt>
              <c:pt idx="244">
                <c:v>9.0848609281996298E-2</c:v>
              </c:pt>
              <c:pt idx="245">
                <c:v>8.8518248885035206E-2</c:v>
              </c:pt>
              <c:pt idx="246">
                <c:v>8.82819408884635E-2</c:v>
              </c:pt>
              <c:pt idx="247">
                <c:v>8.6900447985428897E-2</c:v>
              </c:pt>
              <c:pt idx="248">
                <c:v>8.57234523871198E-2</c:v>
              </c:pt>
              <c:pt idx="249">
                <c:v>8.4920914075685805E-2</c:v>
              </c:pt>
              <c:pt idx="250">
                <c:v>8.4831844138516493E-2</c:v>
              </c:pt>
              <c:pt idx="251">
                <c:v>8.4265613823654203E-2</c:v>
              </c:pt>
              <c:pt idx="252">
                <c:v>8.4080202934036397E-2</c:v>
              </c:pt>
              <c:pt idx="253">
                <c:v>8.3912969582616501E-2</c:v>
              </c:pt>
              <c:pt idx="254">
                <c:v>8.3693021370422796E-2</c:v>
              </c:pt>
              <c:pt idx="255">
                <c:v>8.3213134362000202E-2</c:v>
              </c:pt>
              <c:pt idx="256">
                <c:v>8.2930473643024097E-2</c:v>
              </c:pt>
              <c:pt idx="257">
                <c:v>7.9395851340457096E-2</c:v>
              </c:pt>
              <c:pt idx="258">
                <c:v>7.7826220917075001E-2</c:v>
              </c:pt>
              <c:pt idx="259">
                <c:v>7.6582877304343794E-2</c:v>
              </c:pt>
              <c:pt idx="260">
                <c:v>7.5940301329050705E-2</c:v>
              </c:pt>
              <c:pt idx="261">
                <c:v>7.5117767725599194E-2</c:v>
              </c:pt>
              <c:pt idx="262">
                <c:v>7.5009611373322099E-2</c:v>
              </c:pt>
              <c:pt idx="263">
                <c:v>7.3224577122295798E-2</c:v>
              </c:pt>
              <c:pt idx="264">
                <c:v>7.13904635181353E-2</c:v>
              </c:pt>
              <c:pt idx="265">
                <c:v>7.03325307950219E-2</c:v>
              </c:pt>
              <c:pt idx="266">
                <c:v>6.9984430938533598E-2</c:v>
              </c:pt>
              <c:pt idx="267">
                <c:v>6.7981266229133294E-2</c:v>
              </c:pt>
              <c:pt idx="268">
                <c:v>6.6508885635109496E-2</c:v>
              </c:pt>
              <c:pt idx="269">
                <c:v>6.5776330845737196E-2</c:v>
              </c:pt>
              <c:pt idx="270">
                <c:v>6.5524571941697404E-2</c:v>
              </c:pt>
              <c:pt idx="271">
                <c:v>6.4501176541159805E-2</c:v>
              </c:pt>
              <c:pt idx="272">
                <c:v>6.2312600942141798E-2</c:v>
              </c:pt>
              <c:pt idx="273">
                <c:v>6.2202626836045001E-2</c:v>
              </c:pt>
              <c:pt idx="274">
                <c:v>6.1329196125639501E-2</c:v>
              </c:pt>
              <c:pt idx="275">
                <c:v>6.12119510042635E-2</c:v>
              </c:pt>
              <c:pt idx="276">
                <c:v>6.1051079791212798E-2</c:v>
              </c:pt>
              <c:pt idx="277">
                <c:v>5.9334211308428302E-2</c:v>
              </c:pt>
              <c:pt idx="278">
                <c:v>5.9120625234603902E-2</c:v>
              </c:pt>
              <c:pt idx="279">
                <c:v>5.8767980993566102E-2</c:v>
              </c:pt>
              <c:pt idx="280">
                <c:v>5.8199932924883999E-2</c:v>
              </c:pt>
              <c:pt idx="281">
                <c:v>5.7885461514061702E-2</c:v>
              </c:pt>
              <c:pt idx="282">
                <c:v>5.73710371830633E-2</c:v>
              </c:pt>
              <c:pt idx="283">
                <c:v>5.5339697289456397E-2</c:v>
              </c:pt>
              <c:pt idx="284">
                <c:v>5.49134340187174E-2</c:v>
              </c:pt>
              <c:pt idx="285">
                <c:v>5.4627137792101703E-2</c:v>
              </c:pt>
              <c:pt idx="286">
                <c:v>5.4502621655446601E-2</c:v>
              </c:pt>
              <c:pt idx="287">
                <c:v>5.4066360738698797E-2</c:v>
              </c:pt>
              <c:pt idx="288">
                <c:v>5.3709172113111603E-2</c:v>
              </c:pt>
              <c:pt idx="289">
                <c:v>5.27157696506005E-2</c:v>
              </c:pt>
              <c:pt idx="290">
                <c:v>5.2357672148103301E-2</c:v>
              </c:pt>
              <c:pt idx="291">
                <c:v>5.0575364527806602E-2</c:v>
              </c:pt>
              <c:pt idx="292">
                <c:v>5.0536282820681303E-2</c:v>
              </c:pt>
              <c:pt idx="293">
                <c:v>4.9215684670609397E-2</c:v>
              </c:pt>
              <c:pt idx="294">
                <c:v>4.8683991678322998E-2</c:v>
              </c:pt>
              <c:pt idx="295">
                <c:v>4.8245913007755402E-2</c:v>
              </c:pt>
              <c:pt idx="296">
                <c:v>4.80668642565069E-2</c:v>
              </c:pt>
              <c:pt idx="297">
                <c:v>4.6766261398452497E-2</c:v>
              </c:pt>
              <c:pt idx="298">
                <c:v>4.60991457465924E-2</c:v>
              </c:pt>
              <c:pt idx="299">
                <c:v>4.5490198216965302E-2</c:v>
              </c:pt>
              <c:pt idx="300">
                <c:v>4.4887612825707399E-2</c:v>
              </c:pt>
              <c:pt idx="301">
                <c:v>4.32589054031823E-2</c:v>
              </c:pt>
              <c:pt idx="302">
                <c:v>4.1921038591822501E-2</c:v>
              </c:pt>
              <c:pt idx="303">
                <c:v>4.10994138652808E-2</c:v>
              </c:pt>
              <c:pt idx="304">
                <c:v>4.0828568546133197E-2</c:v>
              </c:pt>
              <c:pt idx="305">
                <c:v>4.0493192966383401E-2</c:v>
              </c:pt>
              <c:pt idx="306">
                <c:v>4.0111464664229102E-2</c:v>
              </c:pt>
              <c:pt idx="307">
                <c:v>4.0074200710923498E-2</c:v>
              </c:pt>
              <c:pt idx="308">
                <c:v>3.9326195014083E-2</c:v>
              </c:pt>
              <c:pt idx="309">
                <c:v>3.7938339972679203E-2</c:v>
              </c:pt>
              <c:pt idx="310">
                <c:v>3.78519966662395E-2</c:v>
              </c:pt>
              <c:pt idx="311">
                <c:v>3.7407555857302703E-2</c:v>
              </c:pt>
              <c:pt idx="312">
                <c:v>3.7311214904854201E-2</c:v>
              </c:pt>
              <c:pt idx="313">
                <c:v>3.4776357203167602E-2</c:v>
              </c:pt>
              <c:pt idx="314">
                <c:v>3.4472792315263998E-2</c:v>
              </c:pt>
              <c:pt idx="315">
                <c:v>3.32230865641635E-2</c:v>
              </c:pt>
              <c:pt idx="316">
                <c:v>3.1460774235884503E-2</c:v>
              </c:pt>
              <c:pt idx="317">
                <c:v>3.0938170012697001E-2</c:v>
              </c:pt>
              <c:pt idx="318">
                <c:v>3.0190164315856499E-2</c:v>
              </c:pt>
              <c:pt idx="319">
                <c:v>2.9713003938163601E-2</c:v>
              </c:pt>
              <c:pt idx="320">
                <c:v>2.90849699934288E-2</c:v>
              </c:pt>
              <c:pt idx="321">
                <c:v>2.89649982413232E-2</c:v>
              </c:pt>
              <c:pt idx="322">
                <c:v>2.8201541637014601E-2</c:v>
              </c:pt>
              <c:pt idx="323">
                <c:v>2.7928878564047199E-2</c:v>
              </c:pt>
              <c:pt idx="324">
                <c:v>2.6999097485228499E-2</c:v>
              </c:pt>
              <c:pt idx="325">
                <c:v>2.64419559394652E-2</c:v>
              </c:pt>
              <c:pt idx="326">
                <c:v>2.6353794879205701E-2</c:v>
              </c:pt>
              <c:pt idx="327">
                <c:v>2.5839370548207299E-2</c:v>
              </c:pt>
              <c:pt idx="328">
                <c:v>2.5803924348721499E-2</c:v>
              </c:pt>
              <c:pt idx="329">
                <c:v>2.3697147671593699E-2</c:v>
              </c:pt>
              <c:pt idx="330">
                <c:v>2.36753346257563E-2</c:v>
              </c:pt>
              <c:pt idx="331">
                <c:v>2.2342921075855799E-2</c:v>
              </c:pt>
              <c:pt idx="332">
                <c:v>2.06160549470625E-2</c:v>
              </c:pt>
              <c:pt idx="333">
                <c:v>1.9894406680608798E-2</c:v>
              </c:pt>
              <c:pt idx="334">
                <c:v>1.9065510938788E-2</c:v>
              </c:pt>
              <c:pt idx="335">
                <c:v>1.8724682097578799E-2</c:v>
              </c:pt>
              <c:pt idx="336">
                <c:v>1.8549268853969798E-2</c:v>
              </c:pt>
              <c:pt idx="337">
                <c:v>1.8445656886242199E-2</c:v>
              </c:pt>
              <c:pt idx="338">
                <c:v>3.4328280886591199E-2</c:v>
              </c:pt>
              <c:pt idx="339">
                <c:v>0</c:v>
              </c:pt>
              <c:pt idx="340">
                <c:v>1.6926923569814002E-2</c:v>
              </c:pt>
              <c:pt idx="341">
                <c:v>1.3953987197559799E-2</c:v>
              </c:pt>
              <c:pt idx="342">
                <c:v>1.38749149063993E-2</c:v>
              </c:pt>
              <c:pt idx="343">
                <c:v>1.3634971402188001E-2</c:v>
              </c:pt>
              <c:pt idx="344">
                <c:v>1.32995958224382E-2</c:v>
              </c:pt>
              <c:pt idx="345">
                <c:v>1.28878745822575E-2</c:v>
              </c:pt>
              <c:pt idx="346">
                <c:v>1.26861039082616E-2</c:v>
              </c:pt>
              <c:pt idx="347">
                <c:v>1.15100171868624E-2</c:v>
              </c:pt>
              <c:pt idx="348">
                <c:v>1.1422765003512801E-2</c:v>
              </c:pt>
              <c:pt idx="349">
                <c:v>1.05111614628919E-2</c:v>
              </c:pt>
              <c:pt idx="350">
                <c:v>1.04139116335336E-2</c:v>
              </c:pt>
              <c:pt idx="351">
                <c:v>9.2114674817474797E-3</c:v>
              </c:pt>
              <c:pt idx="352">
                <c:v>8.7842953340986091E-3</c:v>
              </c:pt>
              <c:pt idx="353">
                <c:v>8.7661177959007797E-3</c:v>
              </c:pt>
              <c:pt idx="354">
                <c:v>6.3875869227154698E-3</c:v>
              </c:pt>
              <c:pt idx="355">
                <c:v>6.2576175246010302E-3</c:v>
              </c:pt>
              <c:pt idx="356">
                <c:v>5.5377870119671796E-3</c:v>
              </c:pt>
              <c:pt idx="357">
                <c:v>5.3096589075844903E-3</c:v>
              </c:pt>
              <c:pt idx="358">
                <c:v>4.4653122582955498E-3</c:v>
              </c:pt>
              <c:pt idx="359">
                <c:v>4.0299602184576504E-3</c:v>
              </c:pt>
              <c:pt idx="360">
                <c:v>3.33921376694033E-3</c:v>
              </c:pt>
              <c:pt idx="361">
                <c:v>3.2083354919159898E-3</c:v>
              </c:pt>
              <c:pt idx="362">
                <c:v>2.9920227873618801E-3</c:v>
              </c:pt>
              <c:pt idx="363">
                <c:v>2.82933382049136E-3</c:v>
              </c:pt>
              <c:pt idx="364">
                <c:v>1.38331065685443E-3</c:v>
              </c:pt>
              <c:pt idx="365">
                <c:v>0</c:v>
              </c:pt>
            </c:numLit>
          </c:val>
          <c:smooth val="0"/>
        </c:ser>
        <c:ser>
          <c:idx val="7"/>
          <c:order val="7"/>
          <c:tx>
            <c:v>2014</c:v>
          </c:tx>
          <c:marker>
            <c:symbol val="none"/>
          </c:marker>
          <c:cat>
            <c:strLit>
              <c:ptCount val="36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strLit>
          </c:cat>
          <c:val>
            <c:numLit>
              <c:formatCode>General</c:formatCode>
              <c:ptCount val="366"/>
              <c:pt idx="0">
                <c:v>93.455761002306744</c:v>
              </c:pt>
              <c:pt idx="1">
                <c:v>86.587105703559601</c:v>
              </c:pt>
              <c:pt idx="2">
                <c:v>85.247247727169935</c:v>
              </c:pt>
              <c:pt idx="3">
                <c:v>41.54297887738025</c:v>
              </c:pt>
              <c:pt idx="4">
                <c:v>14.007760640463159</c:v>
              </c:pt>
              <c:pt idx="5">
                <c:v>13.52320593423493</c:v>
              </c:pt>
              <c:pt idx="6">
                <c:v>12.571547333665031</c:v>
              </c:pt>
              <c:pt idx="7">
                <c:v>9.3930987380704707</c:v>
              </c:pt>
              <c:pt idx="8">
                <c:v>8.9930453661404854</c:v>
              </c:pt>
              <c:pt idx="9">
                <c:v>8.3493473246189343</c:v>
              </c:pt>
              <c:pt idx="10">
                <c:v>6.790492559591117</c:v>
              </c:pt>
              <c:pt idx="11">
                <c:v>5.7351332036727127</c:v>
              </c:pt>
              <c:pt idx="12">
                <c:v>5.018652132615677</c:v>
              </c:pt>
              <c:pt idx="13">
                <c:v>4.8439250983762268</c:v>
              </c:pt>
              <c:pt idx="14">
                <c:v>4.2941218508299768</c:v>
              </c:pt>
              <c:pt idx="15">
                <c:v>3.7486091636889949</c:v>
              </c:pt>
              <c:pt idx="16">
                <c:v>2.7307358994074811</c:v>
              </c:pt>
              <c:pt idx="17">
                <c:v>2.6789090415667829</c:v>
              </c:pt>
              <c:pt idx="18">
                <c:v>2.153559184042698</c:v>
              </c:pt>
              <c:pt idx="19">
                <c:v>2.1405898050567642</c:v>
              </c:pt>
              <c:pt idx="20">
                <c:v>1.960811434257542</c:v>
              </c:pt>
              <c:pt idx="21">
                <c:v>1.907357184856846</c:v>
              </c:pt>
              <c:pt idx="22">
                <c:v>1.8405599529603329</c:v>
              </c:pt>
              <c:pt idx="23">
                <c:v>1.672363290967479</c:v>
              </c:pt>
              <c:pt idx="24">
                <c:v>1.642417115201954</c:v>
              </c:pt>
              <c:pt idx="25">
                <c:v>1.6204025509973321</c:v>
              </c:pt>
              <c:pt idx="26">
                <c:v>1.5238690126192951</c:v>
              </c:pt>
              <c:pt idx="27">
                <c:v>1.523431181871636</c:v>
              </c:pt>
              <c:pt idx="28">
                <c:v>1.5215939210276359</c:v>
              </c:pt>
              <c:pt idx="29">
                <c:v>1.420797865122801</c:v>
              </c:pt>
              <c:pt idx="30">
                <c:v>1.3488090822741861</c:v>
              </c:pt>
              <c:pt idx="31">
                <c:v>1.3114143561445559</c:v>
              </c:pt>
              <c:pt idx="32">
                <c:v>1.2302627889094939</c:v>
              </c:pt>
              <c:pt idx="33">
                <c:v>1.2096847437695051</c:v>
              </c:pt>
              <c:pt idx="34">
                <c:v>1.187473879415623</c:v>
              </c:pt>
              <c:pt idx="35">
                <c:v>1.181343344339409</c:v>
              </c:pt>
              <c:pt idx="36">
                <c:v>1.1802632412139851</c:v>
              </c:pt>
              <c:pt idx="37">
                <c:v>1.0975883124519421</c:v>
              </c:pt>
              <c:pt idx="38">
                <c:v>1.085797638970555</c:v>
              </c:pt>
              <c:pt idx="39">
                <c:v>1.080214392328916</c:v>
              </c:pt>
              <c:pt idx="40">
                <c:v>1.016865529874712</c:v>
              </c:pt>
              <c:pt idx="41">
                <c:v>0.96676104753720205</c:v>
              </c:pt>
              <c:pt idx="42">
                <c:v>0.93168845266633504</c:v>
              </c:pt>
              <c:pt idx="43">
                <c:v>0.92168257270794696</c:v>
              </c:pt>
              <c:pt idx="44">
                <c:v>0.91175448912207702</c:v>
              </c:pt>
              <c:pt idx="45">
                <c:v>0.88373151205391498</c:v>
              </c:pt>
              <c:pt idx="46">
                <c:v>0.88101135284273402</c:v>
              </c:pt>
              <c:pt idx="47">
                <c:v>0.871225292867158</c:v>
              </c:pt>
              <c:pt idx="48">
                <c:v>0.84076258537247295</c:v>
              </c:pt>
              <c:pt idx="49">
                <c:v>0.80793794382378203</c:v>
              </c:pt>
              <c:pt idx="50">
                <c:v>0.78674566918449496</c:v>
              </c:pt>
              <c:pt idx="51">
                <c:v>0.78045320910036597</c:v>
              </c:pt>
              <c:pt idx="52">
                <c:v>0.77909448640824996</c:v>
              </c:pt>
              <c:pt idx="53">
                <c:v>0.75649916323669097</c:v>
              </c:pt>
              <c:pt idx="54">
                <c:v>0.75139355013795295</c:v>
              </c:pt>
              <c:pt idx="55">
                <c:v>0.74114885340811498</c:v>
              </c:pt>
              <c:pt idx="56">
                <c:v>0.73851463205029599</c:v>
              </c:pt>
              <c:pt idx="57">
                <c:v>0.73358360848523196</c:v>
              </c:pt>
              <c:pt idx="58">
                <c:v>0.68917906734813905</c:v>
              </c:pt>
              <c:pt idx="59">
                <c:v>0.68530462707494699</c:v>
              </c:pt>
              <c:pt idx="60">
                <c:v>0.683015966348546</c:v>
              </c:pt>
              <c:pt idx="61">
                <c:v>0.67546700438735297</c:v>
              </c:pt>
              <c:pt idx="62">
                <c:v>0.66946673300465898</c:v>
              </c:pt>
              <c:pt idx="63">
                <c:v>0.66393143063910598</c:v>
              </c:pt>
              <c:pt idx="64">
                <c:v>0.65688090822741896</c:v>
              </c:pt>
              <c:pt idx="65">
                <c:v>0.64891944457008499</c:v>
              </c:pt>
              <c:pt idx="66">
                <c:v>0.64679723189651295</c:v>
              </c:pt>
              <c:pt idx="67">
                <c:v>0.643948618209779</c:v>
              </c:pt>
              <c:pt idx="68">
                <c:v>0.633513953593559</c:v>
              </c:pt>
              <c:pt idx="69">
                <c:v>0.61448459903206798</c:v>
              </c:pt>
              <c:pt idx="70">
                <c:v>0.61441494414039499</c:v>
              </c:pt>
              <c:pt idx="71">
                <c:v>0.59126419105341699</c:v>
              </c:pt>
              <c:pt idx="72">
                <c:v>0.57535121443755899</c:v>
              </c:pt>
              <c:pt idx="73">
                <c:v>0.57493871274141795</c:v>
              </c:pt>
              <c:pt idx="74">
                <c:v>0.57082364647881001</c:v>
              </c:pt>
              <c:pt idx="75">
                <c:v>0.56912388620019005</c:v>
              </c:pt>
              <c:pt idx="76">
                <c:v>0.56905784974444795</c:v>
              </c:pt>
              <c:pt idx="77">
                <c:v>0.56785381518838496</c:v>
              </c:pt>
              <c:pt idx="78">
                <c:v>0.567694604007418</c:v>
              </c:pt>
              <c:pt idx="79">
                <c:v>0.56454385092044002</c:v>
              </c:pt>
              <c:pt idx="80">
                <c:v>0.55051065177077196</c:v>
              </c:pt>
              <c:pt idx="81">
                <c:v>0.53759826315075299</c:v>
              </c:pt>
              <c:pt idx="82">
                <c:v>0.53759374010583905</c:v>
              </c:pt>
              <c:pt idx="83">
                <c:v>0.53471889275860496</c:v>
              </c:pt>
              <c:pt idx="84">
                <c:v>0.53373015514044098</c:v>
              </c:pt>
              <c:pt idx="85">
                <c:v>0.52872495363879002</c:v>
              </c:pt>
              <c:pt idx="86">
                <c:v>0.52793703921479995</c:v>
              </c:pt>
              <c:pt idx="87">
                <c:v>0.52551268714098298</c:v>
              </c:pt>
              <c:pt idx="88">
                <c:v>0.52235107874621201</c:v>
              </c:pt>
              <c:pt idx="89">
                <c:v>0.51462300420643203</c:v>
              </c:pt>
              <c:pt idx="90">
                <c:v>0.50719797367587904</c:v>
              </c:pt>
              <c:pt idx="91">
                <c:v>0.50616671943552405</c:v>
              </c:pt>
              <c:pt idx="92">
                <c:v>0.50394861820977899</c:v>
              </c:pt>
              <c:pt idx="93">
                <c:v>0.50215930164186495</c:v>
              </c:pt>
              <c:pt idx="94">
                <c:v>0.49459405671898299</c:v>
              </c:pt>
              <c:pt idx="95">
                <c:v>0.48906689583427598</c:v>
              </c:pt>
              <c:pt idx="96">
                <c:v>0.48478628612782099</c:v>
              </c:pt>
              <c:pt idx="97">
                <c:v>0.48336424080691098</c:v>
              </c:pt>
              <c:pt idx="98">
                <c:v>0.47737753855895798</c:v>
              </c:pt>
              <c:pt idx="99">
                <c:v>0.47572843638337298</c:v>
              </c:pt>
              <c:pt idx="100">
                <c:v>0.47548871500293999</c:v>
              </c:pt>
              <c:pt idx="101">
                <c:v>0.47470080057894998</c:v>
              </c:pt>
              <c:pt idx="102">
                <c:v>0.47317472522502102</c:v>
              </c:pt>
              <c:pt idx="103">
                <c:v>0.47092586729386199</c:v>
              </c:pt>
              <c:pt idx="104">
                <c:v>0.467263105522638</c:v>
              </c:pt>
              <c:pt idx="105">
                <c:v>0.459165950517889</c:v>
              </c:pt>
              <c:pt idx="106">
                <c:v>0.45909358179926701</c:v>
              </c:pt>
              <c:pt idx="107">
                <c:v>0.454885340811434</c:v>
              </c:pt>
              <c:pt idx="108">
                <c:v>0.44943869012619297</c:v>
              </c:pt>
              <c:pt idx="109">
                <c:v>0.448155954588629</c:v>
              </c:pt>
              <c:pt idx="110">
                <c:v>0.44767017956488298</c:v>
              </c:pt>
              <c:pt idx="111">
                <c:v>0.44624542041702497</c:v>
              </c:pt>
              <c:pt idx="112">
                <c:v>0.44160839477135999</c:v>
              </c:pt>
              <c:pt idx="113">
                <c:v>0.44101044823375102</c:v>
              </c:pt>
              <c:pt idx="114">
                <c:v>0.44060880184540202</c:v>
              </c:pt>
              <c:pt idx="115">
                <c:v>0.434640191777104</c:v>
              </c:pt>
              <c:pt idx="116">
                <c:v>0.434244877651635</c:v>
              </c:pt>
              <c:pt idx="117">
                <c:v>0.430077344068027</c:v>
              </c:pt>
              <c:pt idx="118">
                <c:v>0.42954543398615902</c:v>
              </c:pt>
              <c:pt idx="119">
                <c:v>0.42171332941336098</c:v>
              </c:pt>
              <c:pt idx="120">
                <c:v>0.416500067845674</c:v>
              </c:pt>
              <c:pt idx="121">
                <c:v>0.41522547378895502</c:v>
              </c:pt>
              <c:pt idx="122">
                <c:v>0.41428558505586</c:v>
              </c:pt>
              <c:pt idx="123">
                <c:v>0.41016509113935501</c:v>
              </c:pt>
              <c:pt idx="124">
                <c:v>0.40922248857931198</c:v>
              </c:pt>
              <c:pt idx="125">
                <c:v>0.40673662309466702</c:v>
              </c:pt>
              <c:pt idx="126">
                <c:v>0.39853362883893401</c:v>
              </c:pt>
              <c:pt idx="127">
                <c:v>0.39024379212085603</c:v>
              </c:pt>
              <c:pt idx="128">
                <c:v>0.387358994074811</c:v>
              </c:pt>
              <c:pt idx="129">
                <c:v>0.38677461667194402</c:v>
              </c:pt>
              <c:pt idx="130">
                <c:v>0.37919127956940601</c:v>
              </c:pt>
              <c:pt idx="131">
                <c:v>0.37603962187344497</c:v>
              </c:pt>
              <c:pt idx="132">
                <c:v>0.37325975846940201</c:v>
              </c:pt>
              <c:pt idx="133">
                <c:v>0.372993803428468</c:v>
              </c:pt>
              <c:pt idx="134">
                <c:v>0.36894839205753299</c:v>
              </c:pt>
              <c:pt idx="135">
                <c:v>0.36194219548600098</c:v>
              </c:pt>
              <c:pt idx="136">
                <c:v>0.36106020172780301</c:v>
              </c:pt>
              <c:pt idx="137">
                <c:v>0.36104391876611303</c:v>
              </c:pt>
              <c:pt idx="138">
                <c:v>0.36064679542267902</c:v>
              </c:pt>
              <c:pt idx="139">
                <c:v>0.36055904835135</c:v>
              </c:pt>
              <c:pt idx="140">
                <c:v>0.360215296937899</c:v>
              </c:pt>
              <c:pt idx="141">
                <c:v>0.35666470668053701</c:v>
              </c:pt>
              <c:pt idx="142">
                <c:v>0.35256320955267101</c:v>
              </c:pt>
              <c:pt idx="143">
                <c:v>0.35117463476412297</c:v>
              </c:pt>
              <c:pt idx="144">
                <c:v>0.347439504274278</c:v>
              </c:pt>
              <c:pt idx="145">
                <c:v>0.34560857569315701</c:v>
              </c:pt>
              <c:pt idx="146">
                <c:v>0.33843593106879499</c:v>
              </c:pt>
              <c:pt idx="147">
                <c:v>0.33433714776787699</c:v>
              </c:pt>
              <c:pt idx="148">
                <c:v>0.32749106698629499</c:v>
              </c:pt>
              <c:pt idx="149">
                <c:v>0.32568818128364002</c:v>
              </c:pt>
              <c:pt idx="150">
                <c:v>0.31836627617712199</c:v>
              </c:pt>
              <c:pt idx="151">
                <c:v>0.31796643900673899</c:v>
              </c:pt>
              <c:pt idx="152">
                <c:v>0.317892261070153</c:v>
              </c:pt>
              <c:pt idx="153">
                <c:v>0.314479171378172</c:v>
              </c:pt>
              <c:pt idx="154">
                <c:v>0.31118820389886498</c:v>
              </c:pt>
              <c:pt idx="155">
                <c:v>0.30434302772626498</c:v>
              </c:pt>
              <c:pt idx="156">
                <c:v>0.30368718621375901</c:v>
              </c:pt>
              <c:pt idx="157">
                <c:v>0.30237640779773001</c:v>
              </c:pt>
              <c:pt idx="158">
                <c:v>0.29757564792618402</c:v>
              </c:pt>
              <c:pt idx="159">
                <c:v>0.28881903297299699</c:v>
              </c:pt>
              <c:pt idx="160">
                <c:v>0.28874756886335901</c:v>
              </c:pt>
              <c:pt idx="161">
                <c:v>0.28399294404993403</c:v>
              </c:pt>
              <c:pt idx="162">
                <c:v>0.27834999321543302</c:v>
              </c:pt>
              <c:pt idx="163">
                <c:v>0.27594463793025498</c:v>
              </c:pt>
              <c:pt idx="164">
                <c:v>0.27457144149441398</c:v>
              </c:pt>
              <c:pt idx="165">
                <c:v>0.27440589805056798</c:v>
              </c:pt>
              <c:pt idx="166">
                <c:v>0.272273734678185</c:v>
              </c:pt>
              <c:pt idx="167">
                <c:v>0.26533990682527497</c:v>
              </c:pt>
              <c:pt idx="168">
                <c:v>0.25804875842417102</c:v>
              </c:pt>
              <c:pt idx="169">
                <c:v>0.25775476050477197</c:v>
              </c:pt>
              <c:pt idx="170">
                <c:v>0.25517572029490299</c:v>
              </c:pt>
              <c:pt idx="171">
                <c:v>0.25488805463838299</c:v>
              </c:pt>
              <c:pt idx="172">
                <c:v>0.25343977565697201</c:v>
              </c:pt>
              <c:pt idx="173">
                <c:v>0.252019539554028</c:v>
              </c:pt>
              <c:pt idx="174">
                <c:v>0.250879732235741</c:v>
              </c:pt>
              <c:pt idx="175">
                <c:v>0.248288027500113</c:v>
              </c:pt>
              <c:pt idx="176">
                <c:v>0.247006196571532</c:v>
              </c:pt>
              <c:pt idx="177">
                <c:v>0.2421312587634</c:v>
              </c:pt>
              <c:pt idx="178">
                <c:v>0.23654620290379499</c:v>
              </c:pt>
              <c:pt idx="179">
                <c:v>0.233888461712425</c:v>
              </c:pt>
              <c:pt idx="180">
                <c:v>0.228637206567461</c:v>
              </c:pt>
              <c:pt idx="181">
                <c:v>0.22824460626894</c:v>
              </c:pt>
              <c:pt idx="182">
                <c:v>0.227153647835723</c:v>
              </c:pt>
              <c:pt idx="183">
                <c:v>0.22241621059297101</c:v>
              </c:pt>
              <c:pt idx="184">
                <c:v>0.22220272287303799</c:v>
              </c:pt>
              <c:pt idx="185">
                <c:v>0.21833823329865701</c:v>
              </c:pt>
              <c:pt idx="186">
                <c:v>0.218203446560224</c:v>
              </c:pt>
              <c:pt idx="187">
                <c:v>0.215664209145597</c:v>
              </c:pt>
              <c:pt idx="188">
                <c:v>0.21406395585508201</c:v>
              </c:pt>
              <c:pt idx="189">
                <c:v>0.21162332081957599</c:v>
              </c:pt>
              <c:pt idx="190">
                <c:v>0.20697905830204899</c:v>
              </c:pt>
              <c:pt idx="191">
                <c:v>0.20694649237866899</c:v>
              </c:pt>
              <c:pt idx="192">
                <c:v>0.20681803790311601</c:v>
              </c:pt>
              <c:pt idx="193">
                <c:v>0.20635125966800799</c:v>
              </c:pt>
              <c:pt idx="194">
                <c:v>0.20548012121760401</c:v>
              </c:pt>
              <c:pt idx="195">
                <c:v>0.20487946085304601</c:v>
              </c:pt>
              <c:pt idx="196">
                <c:v>0.18651861232982</c:v>
              </c:pt>
              <c:pt idx="197">
                <c:v>0.18523225835632601</c:v>
              </c:pt>
              <c:pt idx="198">
                <c:v>0.17912072006874999</c:v>
              </c:pt>
              <c:pt idx="199">
                <c:v>0.17801257406486001</c:v>
              </c:pt>
              <c:pt idx="200">
                <c:v>0.17701479035686801</c:v>
              </c:pt>
              <c:pt idx="201">
                <c:v>0.17511601610204</c:v>
              </c:pt>
              <c:pt idx="202">
                <c:v>0.17506897643493599</c:v>
              </c:pt>
              <c:pt idx="203">
                <c:v>0.174663711610656</c:v>
              </c:pt>
              <c:pt idx="204">
                <c:v>0.17315663304536599</c:v>
              </c:pt>
              <c:pt idx="205">
                <c:v>0.17219231986973599</c:v>
              </c:pt>
              <c:pt idx="206">
                <c:v>0.17181509792392199</c:v>
              </c:pt>
              <c:pt idx="207">
                <c:v>0.1675905739744</c:v>
              </c:pt>
              <c:pt idx="208">
                <c:v>0.16477362160206299</c:v>
              </c:pt>
              <c:pt idx="209">
                <c:v>0.16320774345289299</c:v>
              </c:pt>
              <c:pt idx="210">
                <c:v>0.16112533357456199</c:v>
              </c:pt>
              <c:pt idx="211">
                <c:v>0.15959202134877201</c:v>
              </c:pt>
              <c:pt idx="212">
                <c:v>0.158264959971053</c:v>
              </c:pt>
              <c:pt idx="213">
                <c:v>0.157240037993577</c:v>
              </c:pt>
              <c:pt idx="214">
                <c:v>0.15702021801076499</c:v>
              </c:pt>
              <c:pt idx="215">
                <c:v>0.155922022705685</c:v>
              </c:pt>
              <c:pt idx="216">
                <c:v>0.155245375186576</c:v>
              </c:pt>
              <c:pt idx="217">
                <c:v>0.154587724456104</c:v>
              </c:pt>
              <c:pt idx="218">
                <c:v>0.154447510063775</c:v>
              </c:pt>
              <c:pt idx="219">
                <c:v>0.154181555022841</c:v>
              </c:pt>
              <c:pt idx="220">
                <c:v>0.152052105477407</c:v>
              </c:pt>
              <c:pt idx="221">
                <c:v>0.151367316477453</c:v>
              </c:pt>
              <c:pt idx="222">
                <c:v>0.151051607942467</c:v>
              </c:pt>
              <c:pt idx="223">
                <c:v>0.15076484689493</c:v>
              </c:pt>
              <c:pt idx="224">
                <c:v>0.147946085304627</c:v>
              </c:pt>
              <c:pt idx="225">
                <c:v>0.146597313311321</c:v>
              </c:pt>
              <c:pt idx="226">
                <c:v>0.14570898729024401</c:v>
              </c:pt>
              <c:pt idx="227">
                <c:v>0.139696955990773</c:v>
              </c:pt>
              <c:pt idx="228">
                <c:v>0.13927993124971699</c:v>
              </c:pt>
              <c:pt idx="229">
                <c:v>0.138214301868018</c:v>
              </c:pt>
              <c:pt idx="230">
                <c:v>0.13820706499615501</c:v>
              </c:pt>
              <c:pt idx="231">
                <c:v>0.13776652042154799</c:v>
              </c:pt>
              <c:pt idx="232">
                <c:v>0.13699760278619599</c:v>
              </c:pt>
              <c:pt idx="233">
                <c:v>0.13569677506897601</c:v>
              </c:pt>
              <c:pt idx="234">
                <c:v>0.1349396173504</c:v>
              </c:pt>
              <c:pt idx="235">
                <c:v>0.13423221312587599</c:v>
              </c:pt>
              <c:pt idx="236">
                <c:v>0.1338215206477</c:v>
              </c:pt>
              <c:pt idx="237">
                <c:v>0.12993441584874901</c:v>
              </c:pt>
              <c:pt idx="238">
                <c:v>0.12756976796779601</c:v>
              </c:pt>
              <c:pt idx="239">
                <c:v>0.126895834275634</c:v>
              </c:pt>
              <c:pt idx="240">
                <c:v>0.12561852639196699</c:v>
              </c:pt>
              <c:pt idx="241">
                <c:v>0.122431588945678</c:v>
              </c:pt>
              <c:pt idx="242">
                <c:v>0.120524673210005</c:v>
              </c:pt>
              <c:pt idx="243">
                <c:v>0.119598353611651</c:v>
              </c:pt>
              <c:pt idx="244">
                <c:v>0.118568908589262</c:v>
              </c:pt>
              <c:pt idx="245">
                <c:v>0.11819349586141401</c:v>
              </c:pt>
              <c:pt idx="246">
                <c:v>0.117287077660681</c:v>
              </c:pt>
              <c:pt idx="247">
                <c:v>0.11726536704509501</c:v>
              </c:pt>
              <c:pt idx="248">
                <c:v>0.116775973585418</c:v>
              </c:pt>
              <c:pt idx="249">
                <c:v>0.115941019494324</c:v>
              </c:pt>
              <c:pt idx="250">
                <c:v>0.115277036500972</c:v>
              </c:pt>
              <c:pt idx="251">
                <c:v>0.113575467004387</c:v>
              </c:pt>
              <c:pt idx="252">
                <c:v>0.113421683477317</c:v>
              </c:pt>
              <c:pt idx="253">
                <c:v>0.113198245058573</c:v>
              </c:pt>
              <c:pt idx="254">
                <c:v>0.112096431317563</c:v>
              </c:pt>
              <c:pt idx="255">
                <c:v>0.10986657017504201</c:v>
              </c:pt>
              <c:pt idx="256">
                <c:v>0.10692749559003099</c:v>
              </c:pt>
              <c:pt idx="257">
                <c:v>0.106853317653444</c:v>
              </c:pt>
              <c:pt idx="258">
                <c:v>0.106650685241304</c:v>
              </c:pt>
              <c:pt idx="259">
                <c:v>0.106180288570266</c:v>
              </c:pt>
              <c:pt idx="260">
                <c:v>0.105676421366864</c:v>
              </c:pt>
              <c:pt idx="261">
                <c:v>0.10535799900492999</c:v>
              </c:pt>
              <c:pt idx="262">
                <c:v>0.105109231534669</c:v>
              </c:pt>
              <c:pt idx="263">
                <c:v>0.104558324664164</c:v>
              </c:pt>
              <c:pt idx="264">
                <c:v>0.103075670541409</c:v>
              </c:pt>
              <c:pt idx="265">
                <c:v>0.10068297978198899</c:v>
              </c:pt>
              <c:pt idx="266">
                <c:v>9.94952281876159E-2</c:v>
              </c:pt>
              <c:pt idx="267">
                <c:v>9.7221945813921906E-2</c:v>
              </c:pt>
              <c:pt idx="268">
                <c:v>9.7072685331765302E-2</c:v>
              </c:pt>
              <c:pt idx="269">
                <c:v>9.6697272603917001E-2</c:v>
              </c:pt>
              <c:pt idx="270">
                <c:v>9.6007960559048394E-2</c:v>
              </c:pt>
              <c:pt idx="271">
                <c:v>9.5955493238047904E-2</c:v>
              </c:pt>
              <c:pt idx="272">
                <c:v>9.5006558415124995E-2</c:v>
              </c:pt>
              <c:pt idx="273">
                <c:v>9.4063955855081594E-2</c:v>
              </c:pt>
              <c:pt idx="274">
                <c:v>9.3303179700574404E-2</c:v>
              </c:pt>
              <c:pt idx="275">
                <c:v>9.2900628703243004E-2</c:v>
              </c:pt>
              <c:pt idx="276">
                <c:v>9.2730562214482795E-2</c:v>
              </c:pt>
              <c:pt idx="277">
                <c:v>9.1577185761454599E-2</c:v>
              </c:pt>
              <c:pt idx="278">
                <c:v>8.9368130625537098E-2</c:v>
              </c:pt>
              <c:pt idx="279">
                <c:v>8.7829390745850097E-2</c:v>
              </c:pt>
              <c:pt idx="280">
                <c:v>8.7166312361481701E-2</c:v>
              </c:pt>
              <c:pt idx="281">
                <c:v>8.6973630648152306E-2</c:v>
              </c:pt>
              <c:pt idx="282">
                <c:v>8.6340404360215298E-2</c:v>
              </c:pt>
              <c:pt idx="283">
                <c:v>8.6121488986385594E-2</c:v>
              </c:pt>
              <c:pt idx="284">
                <c:v>8.5705368854312694E-2</c:v>
              </c:pt>
              <c:pt idx="285">
                <c:v>8.2783481839974596E-2</c:v>
              </c:pt>
              <c:pt idx="286">
                <c:v>8.1531503007824899E-2</c:v>
              </c:pt>
              <c:pt idx="287">
                <c:v>8.0768013026369406E-2</c:v>
              </c:pt>
              <c:pt idx="288">
                <c:v>8.0157401963001501E-2</c:v>
              </c:pt>
              <c:pt idx="289">
                <c:v>7.9241937672441101E-2</c:v>
              </c:pt>
              <c:pt idx="290">
                <c:v>7.9061920484870402E-2</c:v>
              </c:pt>
              <c:pt idx="291">
                <c:v>7.5914785833823301E-2</c:v>
              </c:pt>
              <c:pt idx="292">
                <c:v>7.5642498530010399E-2</c:v>
              </c:pt>
              <c:pt idx="293">
                <c:v>7.5479668913112294E-2</c:v>
              </c:pt>
              <c:pt idx="294">
                <c:v>7.4890768465330895E-2</c:v>
              </c:pt>
              <c:pt idx="295">
                <c:v>7.3978018001718798E-2</c:v>
              </c:pt>
              <c:pt idx="296">
                <c:v>7.0724139490705204E-2</c:v>
              </c:pt>
              <c:pt idx="297">
                <c:v>7.0699715048170395E-2</c:v>
              </c:pt>
              <c:pt idx="298">
                <c:v>7.0634583201411194E-2</c:v>
              </c:pt>
              <c:pt idx="299">
                <c:v>7.0240173684924703E-2</c:v>
              </c:pt>
              <c:pt idx="300">
                <c:v>6.9570763037676994E-2</c:v>
              </c:pt>
              <c:pt idx="301">
                <c:v>6.9467637613641497E-2</c:v>
              </c:pt>
              <c:pt idx="302">
                <c:v>6.8026595504093401E-2</c:v>
              </c:pt>
              <c:pt idx="303">
                <c:v>6.5086616310100001E-2</c:v>
              </c:pt>
              <c:pt idx="304">
                <c:v>6.3802071554570502E-2</c:v>
              </c:pt>
              <c:pt idx="305">
                <c:v>6.3384142204532104E-2</c:v>
              </c:pt>
              <c:pt idx="306">
                <c:v>6.3321724184721206E-2</c:v>
              </c:pt>
              <c:pt idx="307">
                <c:v>6.3304536614048598E-2</c:v>
              </c:pt>
              <c:pt idx="308">
                <c:v>6.2012754986657002E-2</c:v>
              </c:pt>
              <c:pt idx="309">
                <c:v>6.1752227599620103E-2</c:v>
              </c:pt>
              <c:pt idx="310">
                <c:v>6.1449183590393003E-2</c:v>
              </c:pt>
              <c:pt idx="311">
                <c:v>5.6935184766384699E-2</c:v>
              </c:pt>
              <c:pt idx="312">
                <c:v>5.6795874983038598E-2</c:v>
              </c:pt>
              <c:pt idx="313">
                <c:v>5.6017006648876003E-2</c:v>
              </c:pt>
              <c:pt idx="314">
                <c:v>5.5686824370165998E-2</c:v>
              </c:pt>
              <c:pt idx="315">
                <c:v>5.3641503460129303E-2</c:v>
              </c:pt>
              <c:pt idx="316">
                <c:v>5.3474150798317403E-2</c:v>
              </c:pt>
              <c:pt idx="317">
                <c:v>5.3357456239540503E-2</c:v>
              </c:pt>
              <c:pt idx="318">
                <c:v>5.0815504997964597E-2</c:v>
              </c:pt>
              <c:pt idx="319">
                <c:v>5.08046496901714E-2</c:v>
              </c:pt>
              <c:pt idx="320">
                <c:v>5.0491654982134003E-2</c:v>
              </c:pt>
              <c:pt idx="321">
                <c:v>5.02854041340631E-2</c:v>
              </c:pt>
              <c:pt idx="322">
                <c:v>4.9881948527748902E-2</c:v>
              </c:pt>
              <c:pt idx="323">
                <c:v>4.8860644986204703E-2</c:v>
              </c:pt>
              <c:pt idx="324">
                <c:v>4.8858835768239198E-2</c:v>
              </c:pt>
              <c:pt idx="325">
                <c:v>4.6703152562304902E-2</c:v>
              </c:pt>
              <c:pt idx="326">
                <c:v>4.51924555610837E-2</c:v>
              </c:pt>
              <c:pt idx="327">
                <c:v>4.4977158623185097E-2</c:v>
              </c:pt>
              <c:pt idx="328">
                <c:v>4.4775430820028099E-2</c:v>
              </c:pt>
              <c:pt idx="329">
                <c:v>4.4668686960061502E-2</c:v>
              </c:pt>
              <c:pt idx="330">
                <c:v>4.44705775928355E-2</c:v>
              </c:pt>
              <c:pt idx="331">
                <c:v>4.4068026595504101E-2</c:v>
              </c:pt>
              <c:pt idx="332">
                <c:v>4.3536116513637001E-2</c:v>
              </c:pt>
              <c:pt idx="333">
                <c:v>4.2260617847935202E-2</c:v>
              </c:pt>
              <c:pt idx="334">
                <c:v>4.09661223935954E-2</c:v>
              </c:pt>
              <c:pt idx="335">
                <c:v>4.0390791080555398E-2</c:v>
              </c:pt>
              <c:pt idx="336">
                <c:v>4.0013569134741502E-2</c:v>
              </c:pt>
              <c:pt idx="337">
                <c:v>4.0002713826948297E-2</c:v>
              </c:pt>
              <c:pt idx="338">
                <c:v>3.9789226107015199E-2</c:v>
              </c:pt>
              <c:pt idx="339">
                <c:v>3.9587498303858201E-2</c:v>
              </c:pt>
              <c:pt idx="340">
                <c:v>3.8647609570762999E-2</c:v>
              </c:pt>
              <c:pt idx="341">
                <c:v>3.6893572753177402E-2</c:v>
              </c:pt>
              <c:pt idx="342">
                <c:v>3.6400560857569299E-2</c:v>
              </c:pt>
              <c:pt idx="343">
                <c:v>3.3333936405988501E-2</c:v>
              </c:pt>
              <c:pt idx="344">
                <c:v>3.20502962594418E-2</c:v>
              </c:pt>
              <c:pt idx="345">
                <c:v>3.1181871635985299E-2</c:v>
              </c:pt>
              <c:pt idx="346">
                <c:v>3.0145189741734101E-2</c:v>
              </c:pt>
              <c:pt idx="347">
                <c:v>2.8620923605771401E-2</c:v>
              </c:pt>
              <c:pt idx="348">
                <c:v>2.77335021936768E-2</c:v>
              </c:pt>
              <c:pt idx="349">
                <c:v>2.6982676737980001E-2</c:v>
              </c:pt>
              <c:pt idx="350">
                <c:v>2.66181193179248E-2</c:v>
              </c:pt>
              <c:pt idx="351">
                <c:v>2.3179700574426702E-2</c:v>
              </c:pt>
              <c:pt idx="352">
                <c:v>2.1757655253516701E-2</c:v>
              </c:pt>
              <c:pt idx="353">
                <c:v>2.06730290831788E-2</c:v>
              </c:pt>
              <c:pt idx="354">
                <c:v>2.0541860780677601E-2</c:v>
              </c:pt>
              <c:pt idx="355">
                <c:v>2.0016282961689801E-2</c:v>
              </c:pt>
              <c:pt idx="356">
                <c:v>1.9753041747704599E-2</c:v>
              </c:pt>
              <c:pt idx="357">
                <c:v>1.8471210819123399E-2</c:v>
              </c:pt>
              <c:pt idx="358">
                <c:v>1.73404495906644E-2</c:v>
              </c:pt>
              <c:pt idx="359">
                <c:v>1.36957799990954E-2</c:v>
              </c:pt>
              <c:pt idx="360">
                <c:v>1.2653670450947599E-2</c:v>
              </c:pt>
              <c:pt idx="361">
                <c:v>1.23895246279796E-2</c:v>
              </c:pt>
              <c:pt idx="362">
                <c:v>6.8831697498756197E-3</c:v>
              </c:pt>
              <c:pt idx="363">
                <c:v>5.28653489529151E-3</c:v>
              </c:pt>
              <c:pt idx="364">
                <c:v>1.48808177665204E-3</c:v>
              </c:pt>
              <c:pt idx="365">
                <c:v>0</c:v>
              </c:pt>
            </c:numLit>
          </c:val>
          <c:smooth val="0"/>
        </c:ser>
        <c:dLbls>
          <c:showLegendKey val="0"/>
          <c:showVal val="0"/>
          <c:showCatName val="0"/>
          <c:showSerName val="0"/>
          <c:showPercent val="0"/>
          <c:showBubbleSize val="0"/>
        </c:dLbls>
        <c:marker val="1"/>
        <c:smooth val="0"/>
        <c:axId val="226288768"/>
        <c:axId val="226290304"/>
      </c:lineChart>
      <c:catAx>
        <c:axId val="226288768"/>
        <c:scaling>
          <c:orientation val="minMax"/>
        </c:scaling>
        <c:delete val="0"/>
        <c:axPos val="b"/>
        <c:majorTickMark val="none"/>
        <c:minorTickMark val="none"/>
        <c:tickLblPos val="nextTo"/>
        <c:crossAx val="226290304"/>
        <c:crosses val="autoZero"/>
        <c:auto val="1"/>
        <c:lblAlgn val="ctr"/>
        <c:lblOffset val="100"/>
        <c:noMultiLvlLbl val="0"/>
      </c:catAx>
      <c:valAx>
        <c:axId val="226290304"/>
        <c:scaling>
          <c:orientation val="minMax"/>
          <c:max val="2.4"/>
          <c:min val="0"/>
        </c:scaling>
        <c:delete val="0"/>
        <c:axPos val="l"/>
        <c:majorGridlines/>
        <c:title>
          <c:tx>
            <c:rich>
              <a:bodyPr/>
              <a:lstStyle/>
              <a:p>
                <a:pPr>
                  <a:defRPr/>
                </a:pPr>
                <a:r>
                  <a:rPr lang="en-US"/>
                  <a:t>BLUE-SKY</a:t>
                </a:r>
                <a:r>
                  <a:rPr lang="en-US" baseline="0"/>
                  <a:t> </a:t>
                </a:r>
                <a:r>
                  <a:rPr lang="en-US"/>
                  <a:t>DAILY SAIDI Minutes</a:t>
                </a:r>
              </a:p>
              <a:p>
                <a:pPr>
                  <a:defRPr/>
                </a:pPr>
                <a:r>
                  <a:rPr lang="en-US"/>
                  <a:t> </a:t>
                </a:r>
              </a:p>
            </c:rich>
          </c:tx>
          <c:layout>
            <c:manualLayout>
              <c:xMode val="edge"/>
              <c:yMode val="edge"/>
              <c:x val="1.8921024295040001E-2"/>
              <c:y val="0.30484258188105601"/>
            </c:manualLayout>
          </c:layout>
          <c:overlay val="0"/>
        </c:title>
        <c:numFmt formatCode="General" sourceLinked="1"/>
        <c:majorTickMark val="none"/>
        <c:minorTickMark val="none"/>
        <c:tickLblPos val="nextTo"/>
        <c:crossAx val="226288768"/>
        <c:crosses val="autoZero"/>
        <c:crossBetween val="between"/>
      </c:valAx>
    </c:plotArea>
    <c:legend>
      <c:legendPos val="r"/>
      <c:overlay val="0"/>
    </c:legend>
    <c:plotVisOnly val="1"/>
    <c:dispBlanksAs val="gap"/>
    <c:showDLblsOverMax val="0"/>
  </c:chart>
  <c:externalData r:id="rId2">
    <c:autoUpdate val="0"/>
  </c:externalData>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2015-11-30T08:00:00+00:00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7DD3A-9BD1-4096-B262-0AD0AD94D5ED}"/>
</file>

<file path=customXml/itemProps2.xml><?xml version="1.0" encoding="utf-8"?>
<ds:datastoreItem xmlns:ds="http://schemas.openxmlformats.org/officeDocument/2006/customXml" ds:itemID="{4562D7EB-04C3-4DDA-A273-B70DAE66D626}"/>
</file>

<file path=customXml/itemProps3.xml><?xml version="1.0" encoding="utf-8"?>
<ds:datastoreItem xmlns:ds="http://schemas.openxmlformats.org/officeDocument/2006/customXml" ds:itemID="{2C217B72-BA9F-42FC-8FD1-FC26FFEEFCD6}"/>
</file>

<file path=customXml/itemProps4.xml><?xml version="1.0" encoding="utf-8"?>
<ds:datastoreItem xmlns:ds="http://schemas.openxmlformats.org/officeDocument/2006/customXml" ds:itemID="{E937BE8D-6778-4075-9FAF-82B4AE2722CA}"/>
</file>

<file path=customXml/itemProps5.xml><?xml version="1.0" encoding="utf-8"?>
<ds:datastoreItem xmlns:ds="http://schemas.openxmlformats.org/officeDocument/2006/customXml" ds:itemID="{8D1D676B-D5C6-4A76-B4A1-FEDF60D6C965}"/>
</file>

<file path=docProps/app.xml><?xml version="1.0" encoding="utf-8"?>
<Properties xmlns="http://schemas.openxmlformats.org/officeDocument/2006/extended-properties" xmlns:vt="http://schemas.openxmlformats.org/officeDocument/2006/docPropsVTypes">
  <Template>Normal.dotm</Template>
  <TotalTime>0</TotalTime>
  <Pages>31</Pages>
  <Words>6919</Words>
  <Characters>39440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46267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 Mei-Jung Chuang -Mei</dc:creator>
  <cp:lastModifiedBy>No Name</cp:lastModifiedBy>
  <cp:revision>2</cp:revision>
  <cp:lastPrinted>2015-11-30T21:59:00Z</cp:lastPrinted>
  <dcterms:created xsi:type="dcterms:W3CDTF">2015-11-30T22:19:00Z</dcterms:created>
  <dcterms:modified xsi:type="dcterms:W3CDTF">2015-11-30T22:19:00Z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0FAA7+zFiN7nU6zA8XqPfEs+y1+fdVeIJ51ZPm4Aovdkw9eZW3tY8YrMg5KCiiI1TutDGnZmT22ZWg2m
vJRkoIqGvOrnt/noNNZKConfPU8GR3fB7XSNg60KJHO5Q/iOy27P11ZhZuzHZi5rFUyz5HDaUh4N
yHX6HKbIBLwJNMDveNQtF2Imtk+GAO8QiCevg7YIekm64Q0UQ5jgM0KpFiDJgrTM9O2YBiht1KdG
BwonxdbKg/j3EJDTZ</vt:lpwstr>
  </property>
  <property fmtid="{D5CDD505-2E9C-101B-9397-08002B2CF9AE}" pid="3" name="MAIL_MSG_ID2">
    <vt:lpwstr>Z216UeWe2qe+ao1YGuSHEKvMx1Wq0Jz+DTwhm/Ml8xZ3i/z+2HzRvqdwwKw
5ueAr25+RnZpyAa331TsjmxJj/aalC3H52cEeqzYmmWbXgz7Rn0CHAylKRY=</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4AAAMz5NUQ6P8J9XUz8WFMz6Yj6pLkwm7t9XgkUzmXkLlKfYB/HoHF0y1Q==</vt:lpwstr>
  </property>
  <property fmtid="{D5CDD505-2E9C-101B-9397-08002B2CF9AE}" pid="6" name="ContentTypeId">
    <vt:lpwstr>0x0101006E56B4D1795A2E4DB2F0B01679ED314A00CF887D659DE22543A2760D28314F79CB</vt:lpwstr>
  </property>
  <property fmtid="{D5CDD505-2E9C-101B-9397-08002B2CF9AE}" pid="7" name="_docset_NoMedatataSyncRequired">
    <vt:lpwstr>False</vt:lpwstr>
  </property>
</Properties>
</file>