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E7348C" w:rsidRDefault="00E7348C" w:rsidP="003813A9">
      <w:pPr>
        <w:pStyle w:val="Style1"/>
        <w:suppressLineNumbers/>
        <w:kinsoku w:val="0"/>
        <w:autoSpaceDE/>
        <w:autoSpaceDN/>
        <w:adjustRightInd/>
        <w:jc w:val="center"/>
        <w:rPr>
          <w:rStyle w:val="CharacterStyle1"/>
          <w:b/>
          <w:bCs/>
          <w:spacing w:val="-6"/>
          <w:w w:val="105"/>
          <w:sz w:val="24"/>
          <w:szCs w:val="24"/>
        </w:rPr>
      </w:pP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r w:rsidR="00DD36E5">
              <w:rPr>
                <w:rStyle w:val="CharacterStyle1"/>
                <w:spacing w:val="-10"/>
                <w:w w:val="110"/>
                <w:sz w:val="24"/>
                <w:szCs w:val="24"/>
              </w:rPr>
              <w:t xml:space="preserve"> Issue</w:t>
            </w:r>
            <w:r w:rsidR="00E7348C">
              <w:rPr>
                <w:rStyle w:val="CharacterStyle1"/>
                <w:spacing w:val="-10"/>
                <w:w w:val="110"/>
                <w:sz w:val="24"/>
                <w:szCs w:val="24"/>
              </w:rPr>
              <w:t>d</w:t>
            </w:r>
            <w:r w:rsidR="00DD36E5">
              <w:rPr>
                <w:rStyle w:val="CharacterStyle1"/>
                <w:spacing w:val="-10"/>
                <w:w w:val="110"/>
                <w:sz w:val="24"/>
                <w:szCs w:val="24"/>
              </w:rPr>
              <w:t xml:space="preserve"> </w:t>
            </w:r>
            <w:r w:rsidR="00E7348C">
              <w:rPr>
                <w:rStyle w:val="CharacterStyle1"/>
                <w:spacing w:val="-10"/>
                <w:w w:val="110"/>
                <w:sz w:val="24"/>
                <w:szCs w:val="24"/>
              </w:rPr>
              <w:t>December 20</w:t>
            </w:r>
            <w:r w:rsidR="00DD36E5">
              <w:rPr>
                <w:rStyle w:val="CharacterStyle1"/>
                <w:spacing w:val="-10"/>
                <w:w w:val="110"/>
                <w:sz w:val="24"/>
                <w:szCs w:val="24"/>
              </w:rPr>
              <w:t>, 2012</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791CFE" w:rsidRPr="00250866" w:rsidRDefault="00791CFE"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E72858" w:rsidRDefault="00E72858" w:rsidP="00E72858">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F42C4D" w:rsidRDefault="00F42C4D" w:rsidP="003813A9">
            <w:pPr>
              <w:suppressLineNumbers/>
              <w:ind w:firstLine="0"/>
            </w:pPr>
          </w:p>
          <w:p w:rsidR="00791CFE" w:rsidRDefault="00E72858" w:rsidP="003813A9">
            <w:pPr>
              <w:suppressLineNumbers/>
              <w:ind w:firstLine="0"/>
              <w:rPr>
                <w:rStyle w:val="CharacterStyle1"/>
                <w:spacing w:val="-8"/>
                <w:w w:val="110"/>
                <w:sz w:val="24"/>
                <w:szCs w:val="24"/>
              </w:rPr>
            </w:pPr>
            <w:r w:rsidRPr="00791CFE">
              <w:rPr>
                <w:szCs w:val="24"/>
              </w:rPr>
              <w:t>COMMENTS OF DEX ONE CORPORATION</w:t>
            </w:r>
            <w:r>
              <w:rPr>
                <w:szCs w:val="24"/>
              </w:rPr>
              <w:t xml:space="preserve"> RE SUPPLE-MENTAL CR-102 (Jan. 22, 2013)</w:t>
            </w:r>
          </w:p>
          <w:p w:rsidR="00791CFE" w:rsidRPr="00F42C4D" w:rsidRDefault="00791CFE" w:rsidP="00E72858">
            <w:pPr>
              <w:suppressLineNumbers/>
              <w:ind w:firstLine="0"/>
              <w:rPr>
                <w:szCs w:val="24"/>
              </w:rPr>
            </w:pPr>
          </w:p>
        </w:tc>
      </w:tr>
    </w:tbl>
    <w:p w:rsidR="002866F4" w:rsidRDefault="002866F4" w:rsidP="003813A9">
      <w:pPr>
        <w:suppressLineNumbers/>
        <w:spacing w:after="0"/>
      </w:pPr>
    </w:p>
    <w:p w:rsidR="00F42C4D" w:rsidRDefault="00F42C4D" w:rsidP="00DB0830">
      <w:pPr>
        <w:suppressLineNumbers/>
        <w:spacing w:before="100" w:beforeAutospacing="1" w:after="100" w:afterAutospacing="1" w:line="480" w:lineRule="auto"/>
        <w:ind w:firstLine="0"/>
        <w:contextualSpacing/>
        <w:jc w:val="center"/>
      </w:pPr>
      <w:r w:rsidRPr="00F42C4D">
        <w:rPr>
          <w:b/>
          <w:u w:val="single"/>
        </w:rPr>
        <w:t>COMMENTS OF DEX ONE CORPORATION</w:t>
      </w:r>
    </w:p>
    <w:p w:rsidR="00C05185" w:rsidRDefault="00E7348C" w:rsidP="00C05185">
      <w:pPr>
        <w:spacing w:before="100" w:beforeAutospacing="1" w:after="100" w:afterAutospacing="1" w:line="480" w:lineRule="auto"/>
        <w:contextualSpacing/>
      </w:pPr>
      <w:r>
        <w:t>Pursuant to the Commission’s December 20</w:t>
      </w:r>
      <w:r w:rsidR="00E75573">
        <w:t>, 2012,</w:t>
      </w:r>
      <w:r>
        <w:t xml:space="preserve"> </w:t>
      </w:r>
      <w:r w:rsidR="00E75573">
        <w:t xml:space="preserve">Supplemental CR-102 and </w:t>
      </w:r>
      <w:r>
        <w:t xml:space="preserve">Notice of Opportunity to Comment (“Notice”) </w:t>
      </w:r>
      <w:r w:rsidR="00DD36E5">
        <w:t xml:space="preserve">Dex One Corporation </w:t>
      </w:r>
      <w:r w:rsidR="00F42C4D">
        <w:t>(“Dex</w:t>
      </w:r>
      <w:r w:rsidR="00A305B0">
        <w:t xml:space="preserve"> One</w:t>
      </w:r>
      <w:r w:rsidR="00F42C4D">
        <w:t xml:space="preserve">”) </w:t>
      </w:r>
      <w:r>
        <w:t>files these</w:t>
      </w:r>
      <w:r w:rsidR="00F42C4D">
        <w:t xml:space="preserve"> comment</w:t>
      </w:r>
      <w:r>
        <w:t>s</w:t>
      </w:r>
      <w:r w:rsidR="00F42C4D">
        <w:t xml:space="preserve"> on </w:t>
      </w:r>
      <w:r w:rsidR="00E75573">
        <w:t>the</w:t>
      </w:r>
      <w:r w:rsidR="00E72858">
        <w:t xml:space="preserve"> propose</w:t>
      </w:r>
      <w:r w:rsidR="00E75573">
        <w:t>d</w:t>
      </w:r>
      <w:r w:rsidR="00DD36E5">
        <w:t xml:space="preserve"> revisions to WAC</w:t>
      </w:r>
      <w:r w:rsidR="00E75573">
        <w:t xml:space="preserve"> 480-120-251 (“Directory Rule”)</w:t>
      </w:r>
      <w:r w:rsidR="00F42C4D">
        <w:t>.</w:t>
      </w:r>
      <w:r w:rsidR="00DD36E5">
        <w:t xml:space="preserve">  </w:t>
      </w:r>
      <w:r w:rsidR="008F415D">
        <w:t xml:space="preserve">Dex One </w:t>
      </w:r>
      <w:r w:rsidR="00A64A57">
        <w:t>appreciates</w:t>
      </w:r>
      <w:r w:rsidR="008F415D">
        <w:t xml:space="preserve"> the Commission’s </w:t>
      </w:r>
      <w:r w:rsidR="00A64A57">
        <w:t xml:space="preserve">ongoing efforts to modernize its Directory Rule to better serve the public interest by </w:t>
      </w:r>
      <w:r w:rsidR="00E75573">
        <w:t xml:space="preserve">allowing LECs and directory publishers to </w:t>
      </w:r>
      <w:r w:rsidR="00A64A57">
        <w:t>tailor the method of delivery of residential white pages t</w:t>
      </w:r>
      <w:r w:rsidR="00E75573">
        <w:t>o consumer needs and demands</w:t>
      </w:r>
      <w:r w:rsidR="00733765">
        <w:t xml:space="preserve">.  </w:t>
      </w:r>
      <w:r w:rsidR="00A64A57">
        <w:t>After further review and analysis of the Proposed Rule</w:t>
      </w:r>
      <w:r w:rsidR="00733765">
        <w:t xml:space="preserve"> and its contract</w:t>
      </w:r>
      <w:r w:rsidR="006651A9">
        <w:t>s</w:t>
      </w:r>
      <w:r w:rsidR="00733765">
        <w:t xml:space="preserve"> with CenturyLink, </w:t>
      </w:r>
      <w:r w:rsidR="007B7C9E">
        <w:t>Dex One support</w:t>
      </w:r>
      <w:r w:rsidR="005F61C4">
        <w:t>s adoption of the Proposed Rule</w:t>
      </w:r>
      <w:r w:rsidR="00A64A57">
        <w:t>.</w:t>
      </w:r>
      <w:r w:rsidR="005F61C4">
        <w:rPr>
          <w:rStyle w:val="FootnoteReference"/>
        </w:rPr>
        <w:footnoteReference w:id="1"/>
      </w:r>
      <w:r w:rsidR="00A64A57">
        <w:t xml:space="preserve">  </w:t>
      </w:r>
      <w:r w:rsidR="00C63559">
        <w:t>Notwithstanding the concerns Dex One expressed in its prior comments, the</w:t>
      </w:r>
      <w:r w:rsidR="00A73A4B">
        <w:t xml:space="preserve"> Proposed Rule </w:t>
      </w:r>
      <w:r w:rsidR="00E75573">
        <w:t xml:space="preserve">is reasonable and will </w:t>
      </w:r>
      <w:r w:rsidR="00C63559">
        <w:t xml:space="preserve">eliminate </w:t>
      </w:r>
      <w:r w:rsidR="00E75573">
        <w:t xml:space="preserve">the needless waste </w:t>
      </w:r>
      <w:r w:rsidR="00C63559">
        <w:t xml:space="preserve">caused </w:t>
      </w:r>
      <w:r w:rsidR="008D1A6F">
        <w:t xml:space="preserve">by the </w:t>
      </w:r>
      <w:r w:rsidR="00C63559">
        <w:t xml:space="preserve">current Directory Rule by eliminating the requirement of </w:t>
      </w:r>
      <w:r w:rsidR="00E75573">
        <w:t xml:space="preserve">saturation delivery of residential white pages.  </w:t>
      </w:r>
    </w:p>
    <w:p w:rsidR="00166CFA" w:rsidRPr="00166CFA" w:rsidRDefault="00C05185" w:rsidP="00C05185">
      <w:pPr>
        <w:spacing w:before="100" w:beforeAutospacing="1" w:after="100" w:afterAutospacing="1" w:line="480" w:lineRule="auto"/>
        <w:contextualSpacing/>
      </w:pPr>
      <w:r>
        <w:t>For the foregoing reasons and the reasons set fo</w:t>
      </w:r>
      <w:r w:rsidR="00A73A4B">
        <w:t>rth in</w:t>
      </w:r>
      <w:r>
        <w:t xml:space="preserve"> its prior comments</w:t>
      </w:r>
      <w:r w:rsidR="00A73A4B">
        <w:t xml:space="preserve"> in this docket</w:t>
      </w:r>
      <w:r>
        <w:t xml:space="preserve">, Dex One urges the </w:t>
      </w:r>
      <w:r w:rsidR="00733765">
        <w:t>Commission to</w:t>
      </w:r>
      <w:r w:rsidR="003E4E59">
        <w:t xml:space="preserve"> adopt </w:t>
      </w:r>
      <w:r w:rsidR="00733765">
        <w:t xml:space="preserve">the </w:t>
      </w:r>
      <w:r w:rsidR="003E4E59">
        <w:t xml:space="preserve">Proposed Rule </w:t>
      </w:r>
      <w:r w:rsidR="00733765">
        <w:t>as published with the Notice</w:t>
      </w:r>
      <w:r w:rsidR="003E4E59">
        <w:t xml:space="preserve">.  </w:t>
      </w:r>
      <w:r w:rsidR="00733765">
        <w:t xml:space="preserve">The </w:t>
      </w:r>
      <w:r w:rsidR="003E4E59">
        <w:lastRenderedPageBreak/>
        <w:t xml:space="preserve">Proposed Rule </w:t>
      </w:r>
      <w:r w:rsidR="00733765">
        <w:t>will be</w:t>
      </w:r>
      <w:r w:rsidR="003E4E59">
        <w:t xml:space="preserve"> a vast improvement over the current Directory Rule</w:t>
      </w:r>
      <w:r w:rsidR="00733765">
        <w:t xml:space="preserve"> and the sooner it can be implemented the better</w:t>
      </w:r>
      <w:r w:rsidR="003E4E59">
        <w:t>.</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6468E5" w:rsidP="00267B92">
      <w:pPr>
        <w:keepNext/>
        <w:keepLines/>
        <w:suppressLineNumbers/>
        <w:spacing w:after="0" w:line="240" w:lineRule="auto"/>
      </w:pPr>
      <w:r>
        <w:tab/>
      </w:r>
      <w:r>
        <w:tab/>
      </w:r>
      <w:r>
        <w:tab/>
      </w:r>
      <w:r>
        <w:tab/>
      </w:r>
      <w:r w:rsidR="00065103" w:rsidRPr="00065103">
        <w:rPr>
          <w:noProof/>
        </w:rPr>
        <w:drawing>
          <wp:inline distT="0" distB="0" distL="0" distR="0">
            <wp:extent cx="1933575" cy="390525"/>
            <wp:effectExtent l="19050" t="0" r="9525" b="0"/>
            <wp:docPr id="7" name="Picture 1"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JSM\Admin\Firm Docs\Digital Signature - BEH.png"/>
                    <pic:cNvPicPr>
                      <a:picLocks noChangeAspect="1" noChangeArrowheads="1"/>
                    </pic:cNvPicPr>
                  </pic:nvPicPr>
                  <pic:blipFill>
                    <a:blip r:embed="rId7" cstate="print"/>
                    <a:srcRect/>
                    <a:stretch>
                      <a:fillRect/>
                    </a:stretch>
                  </pic:blipFill>
                  <pic:spPr bwMode="auto">
                    <a:xfrm>
                      <a:off x="0" y="0"/>
                      <a:ext cx="1933575" cy="39052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584-8678</w:t>
      </w:r>
      <w:r w:rsidR="00DF09E3">
        <w:br/>
      </w:r>
      <w:r w:rsidR="00DF09E3">
        <w:tab/>
      </w:r>
      <w:r w:rsidR="00DF09E3">
        <w:tab/>
      </w:r>
      <w:r w:rsidR="00DF09E3">
        <w:tab/>
      </w:r>
      <w:r w:rsidR="00DF09E3">
        <w:tab/>
      </w:r>
      <w:r w:rsidR="00DF09E3">
        <w:tab/>
        <w:t>Fax (703) 584-8680</w:t>
      </w:r>
    </w:p>
    <w:p w:rsidR="00A73A4B" w:rsidRDefault="00DF09E3" w:rsidP="00A73A4B">
      <w:pPr>
        <w:keepNext/>
        <w:keepLines/>
        <w:suppressLineNumbers/>
        <w:spacing w:line="240" w:lineRule="auto"/>
      </w:pPr>
      <w:r>
        <w:tab/>
      </w:r>
      <w:r>
        <w:tab/>
      </w:r>
      <w:r>
        <w:tab/>
      </w:r>
      <w:r>
        <w:tab/>
      </w:r>
      <w:r>
        <w:rPr>
          <w:i/>
        </w:rPr>
        <w:t>Counsel for Dex One Corporation</w:t>
      </w:r>
      <w:r w:rsidR="00617D7D">
        <w:br/>
      </w:r>
    </w:p>
    <w:p w:rsidR="006651A9" w:rsidRDefault="005F61C4" w:rsidP="00A73A4B">
      <w:pPr>
        <w:keepNext/>
        <w:keepLines/>
        <w:suppressLineNumbers/>
        <w:spacing w:line="240" w:lineRule="auto"/>
      </w:pPr>
      <w:r>
        <w:t>January 23</w:t>
      </w:r>
      <w:r w:rsidR="00A73A4B">
        <w:t>, 2013</w:t>
      </w:r>
    </w:p>
    <w:p w:rsidR="00A73A4B" w:rsidRPr="008D1A6F" w:rsidRDefault="00A73A4B" w:rsidP="008D1A6F">
      <w:pPr>
        <w:ind w:firstLine="0"/>
      </w:pPr>
    </w:p>
    <w:sectPr w:rsidR="00A73A4B" w:rsidRPr="008D1A6F" w:rsidSect="00964A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A7C" w:rsidRDefault="005A2A7C" w:rsidP="00F42C4D">
      <w:pPr>
        <w:spacing w:after="0" w:line="240" w:lineRule="auto"/>
      </w:pPr>
      <w:r>
        <w:separator/>
      </w:r>
    </w:p>
  </w:endnote>
  <w:endnote w:type="continuationSeparator" w:id="0">
    <w:p w:rsidR="005A2A7C" w:rsidRDefault="005A2A7C"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A7C" w:rsidRDefault="005A2A7C" w:rsidP="00F42C4D">
      <w:pPr>
        <w:spacing w:after="0" w:line="240" w:lineRule="auto"/>
      </w:pPr>
      <w:r>
        <w:separator/>
      </w:r>
    </w:p>
  </w:footnote>
  <w:footnote w:type="continuationSeparator" w:id="0">
    <w:p w:rsidR="005A2A7C" w:rsidRDefault="005A2A7C" w:rsidP="00F42C4D">
      <w:pPr>
        <w:spacing w:after="0" w:line="240" w:lineRule="auto"/>
      </w:pPr>
      <w:r>
        <w:continuationSeparator/>
      </w:r>
    </w:p>
  </w:footnote>
  <w:footnote w:id="1">
    <w:p w:rsidR="005F61C4" w:rsidRDefault="005F61C4" w:rsidP="005F61C4">
      <w:pPr>
        <w:pStyle w:val="FootnoteText"/>
        <w:ind w:firstLine="0"/>
      </w:pPr>
      <w:r>
        <w:rPr>
          <w:rStyle w:val="FootnoteReference"/>
        </w:rPr>
        <w:footnoteRef/>
      </w:r>
      <w:r>
        <w:t xml:space="preserve"> Dex One still holds the position that the </w:t>
      </w:r>
      <w:r w:rsidRPr="005F61C4">
        <w:t xml:space="preserve">mandatory </w:t>
      </w:r>
      <w:r>
        <w:t xml:space="preserve">opt-out provision in the Proposed Rule is inconsistent with the First Amendment.  </w:t>
      </w:r>
      <w:r w:rsidRPr="00C05185">
        <w:rPr>
          <w:i/>
        </w:rPr>
        <w:t>See</w:t>
      </w:r>
      <w:r>
        <w:t xml:space="preserve"> </w:t>
      </w:r>
      <w:r w:rsidRPr="00A4160C">
        <w:rPr>
          <w:i/>
        </w:rPr>
        <w:t>Dex Media v. Seattle</w:t>
      </w:r>
      <w:r w:rsidRPr="00A4160C">
        <w:t xml:space="preserve">, </w:t>
      </w:r>
      <w:r>
        <w:t xml:space="preserve">696 F.3d 952 </w:t>
      </w:r>
      <w:r w:rsidRPr="00B33580">
        <w:t xml:space="preserve">(9th Cir., 2012), </w:t>
      </w:r>
      <w:r w:rsidRPr="00B33580">
        <w:rPr>
          <w:i/>
        </w:rPr>
        <w:t>reh’g denied,</w:t>
      </w:r>
      <w:r w:rsidRPr="00B33580">
        <w:t xml:space="preserve"> ___ F.3d ___ (Jan. 3, 2013)</w:t>
      </w:r>
      <w:r>
        <w:t xml:space="preserve">.  However, if the Commission is unwilling to change that provision, Dex One’s disagreement with this provision should not delay further the adoption of the Proposed Rule because immediate relief from mandatory saturation delivery is needed in Washington.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0D" w:rsidRDefault="00A05D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BD376C"/>
    <w:multiLevelType w:val="hybridMultilevel"/>
    <w:tmpl w:val="C27A75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9D6EA7"/>
    <w:multiLevelType w:val="hybridMultilevel"/>
    <w:tmpl w:val="FDC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75AEB"/>
    <w:multiLevelType w:val="hybridMultilevel"/>
    <w:tmpl w:val="781A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866F4"/>
    <w:rsid w:val="00032645"/>
    <w:rsid w:val="000442E8"/>
    <w:rsid w:val="00045361"/>
    <w:rsid w:val="00065103"/>
    <w:rsid w:val="0007060D"/>
    <w:rsid w:val="00093D75"/>
    <w:rsid w:val="00095FCC"/>
    <w:rsid w:val="000B0784"/>
    <w:rsid w:val="000F05FE"/>
    <w:rsid w:val="000F116B"/>
    <w:rsid w:val="00123298"/>
    <w:rsid w:val="001321A4"/>
    <w:rsid w:val="00166CFA"/>
    <w:rsid w:val="00175778"/>
    <w:rsid w:val="00197CC5"/>
    <w:rsid w:val="001C0946"/>
    <w:rsid w:val="001C1B03"/>
    <w:rsid w:val="001C3D38"/>
    <w:rsid w:val="001E0459"/>
    <w:rsid w:val="001F2067"/>
    <w:rsid w:val="001F4939"/>
    <w:rsid w:val="00221EE4"/>
    <w:rsid w:val="00232647"/>
    <w:rsid w:val="00250866"/>
    <w:rsid w:val="002558DE"/>
    <w:rsid w:val="00267B92"/>
    <w:rsid w:val="002866F4"/>
    <w:rsid w:val="002B5253"/>
    <w:rsid w:val="002E123F"/>
    <w:rsid w:val="00310A67"/>
    <w:rsid w:val="00313217"/>
    <w:rsid w:val="00323B17"/>
    <w:rsid w:val="00335F0A"/>
    <w:rsid w:val="00354245"/>
    <w:rsid w:val="003813A9"/>
    <w:rsid w:val="003818C1"/>
    <w:rsid w:val="00396339"/>
    <w:rsid w:val="003A7DE4"/>
    <w:rsid w:val="003E0A07"/>
    <w:rsid w:val="003E4E59"/>
    <w:rsid w:val="003F2AE1"/>
    <w:rsid w:val="003F2FEA"/>
    <w:rsid w:val="004040CA"/>
    <w:rsid w:val="004075FB"/>
    <w:rsid w:val="004226F5"/>
    <w:rsid w:val="0043786A"/>
    <w:rsid w:val="00443A33"/>
    <w:rsid w:val="004939B4"/>
    <w:rsid w:val="004B50A4"/>
    <w:rsid w:val="004B60BC"/>
    <w:rsid w:val="004D2EF0"/>
    <w:rsid w:val="004E0007"/>
    <w:rsid w:val="004F7FD4"/>
    <w:rsid w:val="00512BE6"/>
    <w:rsid w:val="00515C59"/>
    <w:rsid w:val="00517B4F"/>
    <w:rsid w:val="0055184F"/>
    <w:rsid w:val="00554C7C"/>
    <w:rsid w:val="00556891"/>
    <w:rsid w:val="00586C69"/>
    <w:rsid w:val="005A02CD"/>
    <w:rsid w:val="005A2A7C"/>
    <w:rsid w:val="005C0007"/>
    <w:rsid w:val="005D78EE"/>
    <w:rsid w:val="005E59F0"/>
    <w:rsid w:val="005F61C4"/>
    <w:rsid w:val="00613459"/>
    <w:rsid w:val="00617D7D"/>
    <w:rsid w:val="00646272"/>
    <w:rsid w:val="006468E5"/>
    <w:rsid w:val="00651D6F"/>
    <w:rsid w:val="0066471E"/>
    <w:rsid w:val="006651A9"/>
    <w:rsid w:val="00666B0C"/>
    <w:rsid w:val="0067428C"/>
    <w:rsid w:val="006753F3"/>
    <w:rsid w:val="00684DC8"/>
    <w:rsid w:val="00686615"/>
    <w:rsid w:val="006970F9"/>
    <w:rsid w:val="006A4BA6"/>
    <w:rsid w:val="006B3896"/>
    <w:rsid w:val="006C3E6D"/>
    <w:rsid w:val="00701AA1"/>
    <w:rsid w:val="00733765"/>
    <w:rsid w:val="00756F19"/>
    <w:rsid w:val="00781DB5"/>
    <w:rsid w:val="00791AEB"/>
    <w:rsid w:val="00791CFE"/>
    <w:rsid w:val="007B7C9E"/>
    <w:rsid w:val="007D35FA"/>
    <w:rsid w:val="007F5DD3"/>
    <w:rsid w:val="008118B5"/>
    <w:rsid w:val="00826A43"/>
    <w:rsid w:val="0084113E"/>
    <w:rsid w:val="00851A30"/>
    <w:rsid w:val="0086214D"/>
    <w:rsid w:val="00876845"/>
    <w:rsid w:val="008B4EC1"/>
    <w:rsid w:val="008B6D56"/>
    <w:rsid w:val="008C7C46"/>
    <w:rsid w:val="008D1A6F"/>
    <w:rsid w:val="008D6ACF"/>
    <w:rsid w:val="008E0C06"/>
    <w:rsid w:val="008E0F4F"/>
    <w:rsid w:val="008E2B27"/>
    <w:rsid w:val="008F415D"/>
    <w:rsid w:val="00916139"/>
    <w:rsid w:val="00920EB2"/>
    <w:rsid w:val="00964AD2"/>
    <w:rsid w:val="00990F49"/>
    <w:rsid w:val="009A62C6"/>
    <w:rsid w:val="009C63EF"/>
    <w:rsid w:val="009D5527"/>
    <w:rsid w:val="009E22A4"/>
    <w:rsid w:val="00A05D0D"/>
    <w:rsid w:val="00A305B0"/>
    <w:rsid w:val="00A47444"/>
    <w:rsid w:val="00A64A57"/>
    <w:rsid w:val="00A73A4B"/>
    <w:rsid w:val="00AA7E00"/>
    <w:rsid w:val="00AB561C"/>
    <w:rsid w:val="00AC59AF"/>
    <w:rsid w:val="00AE2C92"/>
    <w:rsid w:val="00AF6090"/>
    <w:rsid w:val="00B234A5"/>
    <w:rsid w:val="00B44D93"/>
    <w:rsid w:val="00B45E28"/>
    <w:rsid w:val="00B531E3"/>
    <w:rsid w:val="00B555DD"/>
    <w:rsid w:val="00BB357C"/>
    <w:rsid w:val="00C05185"/>
    <w:rsid w:val="00C065A8"/>
    <w:rsid w:val="00C51C85"/>
    <w:rsid w:val="00C608F5"/>
    <w:rsid w:val="00C63559"/>
    <w:rsid w:val="00C85EC7"/>
    <w:rsid w:val="00CB4A24"/>
    <w:rsid w:val="00CB6B4F"/>
    <w:rsid w:val="00CC70EA"/>
    <w:rsid w:val="00CF1298"/>
    <w:rsid w:val="00CF71DD"/>
    <w:rsid w:val="00D009FA"/>
    <w:rsid w:val="00D31281"/>
    <w:rsid w:val="00D375BD"/>
    <w:rsid w:val="00D85D9A"/>
    <w:rsid w:val="00D93DB4"/>
    <w:rsid w:val="00DA19F4"/>
    <w:rsid w:val="00DB0830"/>
    <w:rsid w:val="00DB5977"/>
    <w:rsid w:val="00DD00EA"/>
    <w:rsid w:val="00DD36E5"/>
    <w:rsid w:val="00DF09E3"/>
    <w:rsid w:val="00DF10E4"/>
    <w:rsid w:val="00E03898"/>
    <w:rsid w:val="00E23FFC"/>
    <w:rsid w:val="00E24170"/>
    <w:rsid w:val="00E271FA"/>
    <w:rsid w:val="00E406B2"/>
    <w:rsid w:val="00E72858"/>
    <w:rsid w:val="00E72D92"/>
    <w:rsid w:val="00E7348C"/>
    <w:rsid w:val="00E75573"/>
    <w:rsid w:val="00E85778"/>
    <w:rsid w:val="00E90B38"/>
    <w:rsid w:val="00E94480"/>
    <w:rsid w:val="00E94A1F"/>
    <w:rsid w:val="00EC4E43"/>
    <w:rsid w:val="00ED02D8"/>
    <w:rsid w:val="00EE7B59"/>
    <w:rsid w:val="00EE7C98"/>
    <w:rsid w:val="00EF46D3"/>
    <w:rsid w:val="00F42C4D"/>
    <w:rsid w:val="00F63711"/>
    <w:rsid w:val="00F67DD5"/>
    <w:rsid w:val="00FA5978"/>
    <w:rsid w:val="00FB30CF"/>
    <w:rsid w:val="00FE37C3"/>
    <w:rsid w:val="00FE776D"/>
    <w:rsid w:val="00FF35C1"/>
    <w:rsid w:val="00FF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s>
</file>

<file path=word/webSettings.xml><?xml version="1.0" encoding="utf-8"?>
<w:webSettings xmlns:r="http://schemas.openxmlformats.org/officeDocument/2006/relationships" xmlns:w="http://schemas.openxmlformats.org/wordprocessingml/2006/main">
  <w:divs>
    <w:div w:id="1042829133">
      <w:bodyDiv w:val="1"/>
      <w:marLeft w:val="0"/>
      <w:marRight w:val="0"/>
      <w:marTop w:val="0"/>
      <w:marBottom w:val="0"/>
      <w:divBdr>
        <w:top w:val="none" w:sz="0" w:space="0" w:color="auto"/>
        <w:left w:val="none" w:sz="0" w:space="0" w:color="auto"/>
        <w:bottom w:val="none" w:sz="0" w:space="0" w:color="auto"/>
        <w:right w:val="none" w:sz="0" w:space="0" w:color="auto"/>
      </w:divBdr>
    </w:div>
    <w:div w:id="1228800619">
      <w:bodyDiv w:val="1"/>
      <w:marLeft w:val="0"/>
      <w:marRight w:val="0"/>
      <w:marTop w:val="0"/>
      <w:marBottom w:val="0"/>
      <w:divBdr>
        <w:top w:val="none" w:sz="0" w:space="0" w:color="auto"/>
        <w:left w:val="none" w:sz="0" w:space="0" w:color="auto"/>
        <w:bottom w:val="none" w:sz="0" w:space="0" w:color="auto"/>
        <w:right w:val="none" w:sz="0" w:space="0" w:color="auto"/>
      </w:divBdr>
      <w:divsChild>
        <w:div w:id="801387335">
          <w:marLeft w:val="90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1FB9858-60A9-4971-BFAF-DD7E64BD7E32}"/>
</file>

<file path=customXml/itemProps2.xml><?xml version="1.0" encoding="utf-8"?>
<ds:datastoreItem xmlns:ds="http://schemas.openxmlformats.org/officeDocument/2006/customXml" ds:itemID="{59BEBCD0-2670-423A-AF26-B799453AF229}"/>
</file>

<file path=customXml/itemProps3.xml><?xml version="1.0" encoding="utf-8"?>
<ds:datastoreItem xmlns:ds="http://schemas.openxmlformats.org/officeDocument/2006/customXml" ds:itemID="{3A29C3F4-3E6C-4F1A-87E8-AC7BF2E50619}"/>
</file>

<file path=customXml/itemProps4.xml><?xml version="1.0" encoding="utf-8"?>
<ds:datastoreItem xmlns:ds="http://schemas.openxmlformats.org/officeDocument/2006/customXml" ds:itemID="{81FE6189-D792-4FDC-92EE-A416F70E77D9}"/>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2013-01-23T21:53:00Z</dcterms:created>
  <dcterms:modified xsi:type="dcterms:W3CDTF">2013-01-23T21:54:00Z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