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EBEB1" w14:textId="77777777" w:rsidR="002B24F2" w:rsidRPr="002B24F2" w:rsidRDefault="002B24F2" w:rsidP="00BF3230">
      <w:pPr>
        <w:rPr>
          <w:rFonts w:ascii="Times New Roman" w:hAnsi="Times New Roman"/>
          <w:b/>
          <w:color w:val="000000"/>
        </w:rPr>
      </w:pPr>
      <w:bookmarkStart w:id="0" w:name="_GoBack"/>
      <w:bookmarkEnd w:id="0"/>
    </w:p>
    <w:p w14:paraId="587EBEB2" w14:textId="77777777" w:rsidR="00BF3230" w:rsidRPr="002B24F2" w:rsidRDefault="00BF3230" w:rsidP="00BF3230">
      <w:pPr>
        <w:rPr>
          <w:b/>
          <w:color w:val="000000"/>
          <w:sz w:val="32"/>
          <w:szCs w:val="32"/>
        </w:rPr>
      </w:pPr>
      <w:r w:rsidRPr="002B24F2">
        <w:rPr>
          <w:b/>
          <w:color w:val="000000"/>
          <w:sz w:val="32"/>
          <w:szCs w:val="32"/>
        </w:rPr>
        <w:t>Memorandum</w:t>
      </w:r>
    </w:p>
    <w:p w14:paraId="587EBEB3" w14:textId="77777777" w:rsidR="00BF3230" w:rsidRPr="003A72DD" w:rsidRDefault="00BF3230" w:rsidP="00BF3230">
      <w:pPr>
        <w:rPr>
          <w:color w:val="000000"/>
        </w:rPr>
      </w:pPr>
    </w:p>
    <w:p w14:paraId="587EBEB4" w14:textId="77777777" w:rsidR="003A72DD" w:rsidRPr="003A72DD" w:rsidRDefault="00697A9B" w:rsidP="002B24F2">
      <w:pPr>
        <w:rPr>
          <w:color w:val="000000"/>
          <w:sz w:val="22"/>
        </w:rPr>
      </w:pPr>
      <w:r>
        <w:rPr>
          <w:color w:val="000000"/>
          <w:sz w:val="22"/>
        </w:rPr>
        <w:t xml:space="preserve">August </w:t>
      </w:r>
      <w:r w:rsidR="00E57BE8">
        <w:rPr>
          <w:color w:val="000000"/>
          <w:sz w:val="22"/>
        </w:rPr>
        <w:t>7</w:t>
      </w:r>
      <w:r>
        <w:rPr>
          <w:color w:val="000000"/>
          <w:sz w:val="22"/>
        </w:rPr>
        <w:t>, 2012</w:t>
      </w:r>
    </w:p>
    <w:p w14:paraId="587EBEB5" w14:textId="77777777" w:rsidR="00BF3230" w:rsidRPr="003A72DD" w:rsidRDefault="00BF3230" w:rsidP="002B24F2">
      <w:pPr>
        <w:rPr>
          <w:color w:val="000000"/>
          <w:sz w:val="22"/>
        </w:rPr>
      </w:pPr>
    </w:p>
    <w:p w14:paraId="587EBEB6" w14:textId="77777777" w:rsidR="00BF3230" w:rsidRPr="003A72DD" w:rsidRDefault="00BF3230" w:rsidP="002B24F2">
      <w:pPr>
        <w:rPr>
          <w:color w:val="000000"/>
          <w:sz w:val="22"/>
        </w:rPr>
      </w:pPr>
      <w:r w:rsidRPr="003A72DD">
        <w:rPr>
          <w:caps/>
          <w:color w:val="000000"/>
          <w:sz w:val="22"/>
        </w:rPr>
        <w:t>To</w:t>
      </w:r>
      <w:r w:rsidRPr="003A72DD">
        <w:rPr>
          <w:color w:val="000000"/>
          <w:sz w:val="22"/>
        </w:rPr>
        <w:t xml:space="preserve">: </w:t>
      </w:r>
      <w:r w:rsidR="003A72DD">
        <w:rPr>
          <w:color w:val="000000"/>
          <w:sz w:val="22"/>
        </w:rPr>
        <w:tab/>
      </w:r>
      <w:r w:rsidR="00E57BE8">
        <w:rPr>
          <w:color w:val="000000"/>
          <w:sz w:val="22"/>
        </w:rPr>
        <w:tab/>
      </w:r>
      <w:r w:rsidR="00697A9B">
        <w:rPr>
          <w:color w:val="000000"/>
          <w:sz w:val="22"/>
        </w:rPr>
        <w:t>Juliana Williams, Regulatory Analyst, WUTC</w:t>
      </w:r>
    </w:p>
    <w:p w14:paraId="587EBEB7" w14:textId="77777777" w:rsidR="00BF3230" w:rsidRPr="003A72DD" w:rsidRDefault="00BF3230" w:rsidP="002B24F2">
      <w:pPr>
        <w:rPr>
          <w:color w:val="000000"/>
          <w:sz w:val="22"/>
        </w:rPr>
      </w:pPr>
      <w:r w:rsidRPr="003A72DD">
        <w:rPr>
          <w:caps/>
          <w:color w:val="000000"/>
          <w:sz w:val="22"/>
        </w:rPr>
        <w:t>From</w:t>
      </w:r>
      <w:r w:rsidRPr="003A72DD">
        <w:rPr>
          <w:color w:val="000000"/>
          <w:sz w:val="22"/>
        </w:rPr>
        <w:t xml:space="preserve">: </w:t>
      </w:r>
      <w:r w:rsidR="003A72DD">
        <w:rPr>
          <w:color w:val="000000"/>
          <w:sz w:val="22"/>
        </w:rPr>
        <w:tab/>
      </w:r>
      <w:r w:rsidR="00697A9B">
        <w:rPr>
          <w:color w:val="000000"/>
          <w:sz w:val="22"/>
        </w:rPr>
        <w:t xml:space="preserve">Christine Jerko, Sr. Economist, </w:t>
      </w:r>
      <w:r w:rsidR="003819C0">
        <w:rPr>
          <w:color w:val="000000"/>
          <w:sz w:val="22"/>
        </w:rPr>
        <w:t xml:space="preserve">Market Planning, </w:t>
      </w:r>
      <w:r w:rsidR="00697A9B">
        <w:rPr>
          <w:color w:val="000000"/>
          <w:sz w:val="22"/>
        </w:rPr>
        <w:t>NEEA</w:t>
      </w:r>
    </w:p>
    <w:p w14:paraId="587EBEB8" w14:textId="77777777" w:rsidR="00697A9B" w:rsidRDefault="00697A9B" w:rsidP="002B24F2">
      <w:pPr>
        <w:rPr>
          <w:color w:val="000000"/>
          <w:sz w:val="22"/>
        </w:rPr>
      </w:pPr>
      <w:r w:rsidRPr="003A72DD">
        <w:rPr>
          <w:caps/>
          <w:color w:val="000000"/>
          <w:sz w:val="22"/>
        </w:rPr>
        <w:t>cc</w:t>
      </w:r>
      <w:r w:rsidRPr="003A72DD">
        <w:rPr>
          <w:color w:val="000000"/>
          <w:sz w:val="22"/>
        </w:rPr>
        <w:t>:</w:t>
      </w:r>
      <w:r>
        <w:rPr>
          <w:color w:val="000000"/>
          <w:sz w:val="22"/>
        </w:rPr>
        <w:t xml:space="preserve">  </w:t>
      </w:r>
      <w:r w:rsidR="00E57BE8">
        <w:rPr>
          <w:color w:val="000000"/>
          <w:sz w:val="22"/>
        </w:rPr>
        <w:tab/>
      </w:r>
      <w:r w:rsidR="00E57BE8">
        <w:rPr>
          <w:color w:val="000000"/>
          <w:sz w:val="22"/>
        </w:rPr>
        <w:tab/>
      </w:r>
      <w:r>
        <w:rPr>
          <w:color w:val="000000"/>
          <w:sz w:val="22"/>
        </w:rPr>
        <w:t>Susan Hermenet, Director, Market Planning, NEEA</w:t>
      </w:r>
    </w:p>
    <w:p w14:paraId="587EBEB9" w14:textId="77777777" w:rsidR="00697A9B" w:rsidRPr="002B24F2" w:rsidRDefault="00E57BE8" w:rsidP="002B24F2">
      <w:pPr>
        <w:rPr>
          <w:color w:val="000000"/>
          <w:sz w:val="22"/>
        </w:rPr>
      </w:pPr>
      <w:r>
        <w:rPr>
          <w:color w:val="000000"/>
          <w:sz w:val="22"/>
        </w:rPr>
        <w:tab/>
      </w:r>
      <w:r>
        <w:rPr>
          <w:color w:val="000000"/>
          <w:sz w:val="22"/>
        </w:rPr>
        <w:tab/>
        <w:t xml:space="preserve">Christina Steinhoff, Lead Analyst, </w:t>
      </w:r>
      <w:r w:rsidR="003819C0">
        <w:rPr>
          <w:color w:val="000000"/>
          <w:sz w:val="22"/>
        </w:rPr>
        <w:t xml:space="preserve">Market Planning, </w:t>
      </w:r>
      <w:r>
        <w:rPr>
          <w:color w:val="000000"/>
          <w:sz w:val="22"/>
        </w:rPr>
        <w:t>NEEA</w:t>
      </w:r>
    </w:p>
    <w:p w14:paraId="587EBEBA" w14:textId="77777777" w:rsidR="00BF3230" w:rsidRPr="003A72DD" w:rsidRDefault="00BF3230" w:rsidP="002B24F2">
      <w:pPr>
        <w:rPr>
          <w:color w:val="000000"/>
          <w:sz w:val="22"/>
        </w:rPr>
      </w:pPr>
      <w:r w:rsidRPr="003A72DD">
        <w:rPr>
          <w:caps/>
          <w:color w:val="000000"/>
          <w:sz w:val="22"/>
        </w:rPr>
        <w:t>Subject</w:t>
      </w:r>
      <w:r w:rsidRPr="003A72DD">
        <w:rPr>
          <w:color w:val="000000"/>
          <w:sz w:val="22"/>
        </w:rPr>
        <w:t>:</w:t>
      </w:r>
      <w:r w:rsidR="003A72DD">
        <w:rPr>
          <w:color w:val="000000"/>
          <w:sz w:val="22"/>
        </w:rPr>
        <w:tab/>
      </w:r>
      <w:r w:rsidR="00697A9B">
        <w:rPr>
          <w:color w:val="000000"/>
          <w:sz w:val="22"/>
        </w:rPr>
        <w:t>Discussion</w:t>
      </w:r>
      <w:r w:rsidR="00E57BE8">
        <w:rPr>
          <w:color w:val="000000"/>
          <w:sz w:val="22"/>
        </w:rPr>
        <w:t xml:space="preserve"> on Multiple Reporting Options</w:t>
      </w:r>
    </w:p>
    <w:p w14:paraId="587EBEBB" w14:textId="77777777" w:rsidR="00BF3230" w:rsidRDefault="00BF3230" w:rsidP="00BF3230">
      <w:pPr>
        <w:rPr>
          <w:color w:val="000000"/>
          <w:sz w:val="22"/>
        </w:rPr>
      </w:pPr>
    </w:p>
    <w:p w14:paraId="587EBEBC" w14:textId="77777777" w:rsidR="00BF3230" w:rsidRPr="003A72DD" w:rsidRDefault="00D5572D" w:rsidP="00BF3230">
      <w:pPr>
        <w:rPr>
          <w:color w:val="000000"/>
          <w:sz w:val="22"/>
        </w:rPr>
      </w:pPr>
      <w:r>
        <w:rPr>
          <w:noProof/>
          <w:color w:val="000000"/>
          <w:sz w:val="22"/>
        </w:rPr>
        <mc:AlternateContent>
          <mc:Choice Requires="wps">
            <w:drawing>
              <wp:anchor distT="0" distB="0" distL="114300" distR="114300" simplePos="0" relativeHeight="251657728" behindDoc="0" locked="0" layoutInCell="1" allowOverlap="1" wp14:anchorId="587EBF53" wp14:editId="587EBF54">
                <wp:simplePos x="0" y="0"/>
                <wp:positionH relativeFrom="column">
                  <wp:posOffset>28575</wp:posOffset>
                </wp:positionH>
                <wp:positionV relativeFrom="paragraph">
                  <wp:posOffset>49530</wp:posOffset>
                </wp:positionV>
                <wp:extent cx="6057900" cy="0"/>
                <wp:effectExtent l="19050" t="20955" r="19050" b="2667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72B63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pt" to="47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" strokecolor="#72b633" strokeweight="3pt">
                <v:stroke dashstyle="1 1"/>
                <v:shadow opacity="22938f" offset="0"/>
              </v:line>
            </w:pict>
          </mc:Fallback>
        </mc:AlternateContent>
      </w:r>
    </w:p>
    <w:p w14:paraId="587EBEBD" w14:textId="77777777" w:rsidR="00BF3230" w:rsidRPr="003A72DD" w:rsidRDefault="00BF3230" w:rsidP="00BF3230">
      <w:pPr>
        <w:rPr>
          <w:color w:val="000000"/>
          <w:sz w:val="22"/>
        </w:rPr>
      </w:pPr>
    </w:p>
    <w:p w14:paraId="587EBEBE" w14:textId="77777777" w:rsidR="00C056BB" w:rsidRDefault="00E57BE8" w:rsidP="00BF3230">
      <w:pPr>
        <w:rPr>
          <w:color w:val="000000"/>
          <w:sz w:val="22"/>
        </w:rPr>
      </w:pPr>
      <w:r>
        <w:rPr>
          <w:color w:val="000000"/>
          <w:sz w:val="22"/>
        </w:rPr>
        <w:t xml:space="preserve">This is a response to your request to </w:t>
      </w:r>
      <w:r w:rsidR="00636860">
        <w:rPr>
          <w:color w:val="000000"/>
          <w:sz w:val="22"/>
        </w:rPr>
        <w:t>further your understanding of</w:t>
      </w:r>
      <w:r>
        <w:rPr>
          <w:color w:val="000000"/>
          <w:sz w:val="22"/>
        </w:rPr>
        <w:t xml:space="preserve"> multiple baselines, along with differing methodologies regarding </w:t>
      </w:r>
      <w:r w:rsidR="00C056BB">
        <w:rPr>
          <w:color w:val="000000"/>
          <w:sz w:val="22"/>
        </w:rPr>
        <w:t xml:space="preserve">savings </w:t>
      </w:r>
      <w:r>
        <w:rPr>
          <w:color w:val="000000"/>
          <w:sz w:val="22"/>
        </w:rPr>
        <w:t xml:space="preserve">reporting </w:t>
      </w:r>
      <w:r w:rsidR="00C056BB">
        <w:rPr>
          <w:color w:val="000000"/>
          <w:sz w:val="22"/>
        </w:rPr>
        <w:t xml:space="preserve">to WUTC </w:t>
      </w:r>
      <w:r w:rsidR="00636860">
        <w:rPr>
          <w:color w:val="000000"/>
          <w:sz w:val="22"/>
        </w:rPr>
        <w:t>utilities</w:t>
      </w:r>
      <w:r>
        <w:rPr>
          <w:color w:val="000000"/>
          <w:sz w:val="22"/>
        </w:rPr>
        <w:t>.</w:t>
      </w:r>
      <w:r w:rsidR="00C056BB">
        <w:rPr>
          <w:color w:val="000000"/>
          <w:sz w:val="22"/>
        </w:rPr>
        <w:t xml:space="preserve">  The memo begins by providing high level definitions of the baselines incorporated into </w:t>
      </w:r>
      <w:r w:rsidR="00636860">
        <w:rPr>
          <w:color w:val="000000"/>
          <w:sz w:val="22"/>
        </w:rPr>
        <w:t xml:space="preserve">NEEA </w:t>
      </w:r>
      <w:r w:rsidR="00C056BB">
        <w:rPr>
          <w:color w:val="000000"/>
          <w:sz w:val="22"/>
        </w:rPr>
        <w:t xml:space="preserve">savings reports.  Next, the memo outlines the various methods for allocating savings to </w:t>
      </w:r>
      <w:r w:rsidR="00636860">
        <w:rPr>
          <w:color w:val="000000"/>
          <w:sz w:val="22"/>
        </w:rPr>
        <w:t xml:space="preserve">NEEA </w:t>
      </w:r>
      <w:r w:rsidR="00C056BB">
        <w:rPr>
          <w:color w:val="000000"/>
          <w:sz w:val="22"/>
        </w:rPr>
        <w:t xml:space="preserve">funders.  Lastly, the memo </w:t>
      </w:r>
      <w:r w:rsidR="00636860">
        <w:rPr>
          <w:color w:val="000000"/>
          <w:sz w:val="22"/>
        </w:rPr>
        <w:t xml:space="preserve">demonstrates </w:t>
      </w:r>
      <w:r w:rsidR="00687A62">
        <w:rPr>
          <w:color w:val="000000"/>
          <w:sz w:val="22"/>
        </w:rPr>
        <w:t xml:space="preserve">how reporting becomes multiplicative </w:t>
      </w:r>
      <w:r w:rsidR="00636860">
        <w:rPr>
          <w:color w:val="000000"/>
          <w:sz w:val="22"/>
        </w:rPr>
        <w:t xml:space="preserve">in nature </w:t>
      </w:r>
      <w:r w:rsidR="00687A62">
        <w:rPr>
          <w:color w:val="000000"/>
          <w:sz w:val="22"/>
        </w:rPr>
        <w:t xml:space="preserve">by combining the baseline and funder allocation options.  </w:t>
      </w:r>
    </w:p>
    <w:p w14:paraId="587EBEBF" w14:textId="77777777" w:rsidR="00687A62" w:rsidRDefault="00687A62" w:rsidP="00BF3230">
      <w:pPr>
        <w:rPr>
          <w:color w:val="000000"/>
          <w:sz w:val="22"/>
        </w:rPr>
      </w:pPr>
    </w:p>
    <w:p w14:paraId="587EBEC0" w14:textId="77777777" w:rsidR="00BF3230" w:rsidRDefault="00C056BB" w:rsidP="00BF3230">
      <w:pPr>
        <w:rPr>
          <w:b/>
          <w:color w:val="000000"/>
          <w:sz w:val="22"/>
        </w:rPr>
      </w:pPr>
      <w:r w:rsidRPr="00C056BB">
        <w:rPr>
          <w:b/>
          <w:color w:val="000000"/>
          <w:sz w:val="22"/>
        </w:rPr>
        <w:t>Types of Baselines</w:t>
      </w:r>
      <w:r w:rsidR="00E57BE8" w:rsidRPr="00C056BB">
        <w:rPr>
          <w:b/>
          <w:color w:val="000000"/>
          <w:sz w:val="22"/>
        </w:rPr>
        <w:t xml:space="preserve">  </w:t>
      </w:r>
    </w:p>
    <w:p w14:paraId="587EBEC1" w14:textId="77777777" w:rsidR="00401B6F" w:rsidRDefault="00401B6F" w:rsidP="00BF3230">
      <w:pPr>
        <w:rPr>
          <w:b/>
          <w:color w:val="000000"/>
          <w:sz w:val="22"/>
        </w:rPr>
      </w:pPr>
    </w:p>
    <w:p w14:paraId="587EBEC2" w14:textId="77777777" w:rsidR="00401B6F" w:rsidRDefault="00304287" w:rsidP="00BF3230">
      <w:pPr>
        <w:rPr>
          <w:color w:val="000000"/>
          <w:sz w:val="22"/>
        </w:rPr>
      </w:pPr>
      <w:r>
        <w:rPr>
          <w:color w:val="000000"/>
          <w:sz w:val="22"/>
        </w:rPr>
        <w:t xml:space="preserve">‘Baseline’ in this memo refers to the starting point from which incremental savings rates for each initiative are derived.  </w:t>
      </w:r>
      <w:r w:rsidR="00401B6F">
        <w:rPr>
          <w:color w:val="000000"/>
          <w:sz w:val="22"/>
        </w:rPr>
        <w:t xml:space="preserve">Since NEEA’s inception, NEEA has calculated a baseline specific to its own protocol and calculation.  At some point, </w:t>
      </w:r>
      <w:r w:rsidR="00D0109C">
        <w:rPr>
          <w:color w:val="000000"/>
          <w:sz w:val="22"/>
        </w:rPr>
        <w:t>some</w:t>
      </w:r>
      <w:r w:rsidR="00401B6F">
        <w:rPr>
          <w:color w:val="000000"/>
          <w:sz w:val="22"/>
        </w:rPr>
        <w:t xml:space="preserve"> funders started to request baseline calculations </w:t>
      </w:r>
      <w:r w:rsidR="00AC20A8">
        <w:rPr>
          <w:color w:val="000000"/>
          <w:sz w:val="22"/>
        </w:rPr>
        <w:t>used</w:t>
      </w:r>
      <w:r w:rsidR="00401B6F">
        <w:rPr>
          <w:color w:val="000000"/>
          <w:sz w:val="22"/>
        </w:rPr>
        <w:t xml:space="preserve"> in the Council’s Power Plan.  Now, funders</w:t>
      </w:r>
      <w:r w:rsidR="00636860">
        <w:rPr>
          <w:color w:val="000000"/>
          <w:sz w:val="22"/>
        </w:rPr>
        <w:t xml:space="preserve"> driven by I-937 or other conservation targets,</w:t>
      </w:r>
      <w:r w:rsidR="00401B6F">
        <w:rPr>
          <w:color w:val="000000"/>
          <w:sz w:val="22"/>
        </w:rPr>
        <w:t xml:space="preserve"> request a variety of baselines: NEEA’s, 5</w:t>
      </w:r>
      <w:r w:rsidR="00401B6F" w:rsidRPr="00401B6F">
        <w:rPr>
          <w:color w:val="000000"/>
          <w:sz w:val="22"/>
          <w:vertAlign w:val="superscript"/>
        </w:rPr>
        <w:t>th</w:t>
      </w:r>
      <w:r w:rsidR="00401B6F">
        <w:rPr>
          <w:color w:val="000000"/>
          <w:sz w:val="22"/>
        </w:rPr>
        <w:t xml:space="preserve"> Power Plan, 6</w:t>
      </w:r>
      <w:r w:rsidR="00401B6F" w:rsidRPr="00401B6F">
        <w:rPr>
          <w:color w:val="000000"/>
          <w:sz w:val="22"/>
          <w:vertAlign w:val="superscript"/>
        </w:rPr>
        <w:t>th</w:t>
      </w:r>
      <w:r w:rsidR="00401B6F">
        <w:rPr>
          <w:color w:val="000000"/>
          <w:sz w:val="22"/>
        </w:rPr>
        <w:t xml:space="preserve"> Power Plan, or custom baseline based on specific territory characteristics.  Some funders request a mix of baseline calculations.  Below is a table providing a high level description of the various baselines calculated and reported by NEEA. </w:t>
      </w:r>
    </w:p>
    <w:p w14:paraId="587EBEC3" w14:textId="77777777" w:rsidR="00401B6F" w:rsidRDefault="00401B6F" w:rsidP="00BF3230">
      <w:pPr>
        <w:rPr>
          <w:color w:val="000000"/>
          <w:sz w:val="22"/>
        </w:rPr>
      </w:pPr>
    </w:p>
    <w:tbl>
      <w:tblPr>
        <w:tblStyle w:val="LightGrid-Accent3"/>
        <w:tblW w:w="0" w:type="auto"/>
        <w:tblInd w:w="108" w:type="dxa"/>
        <w:tblLook w:val="04A0" w:firstRow="1" w:lastRow="0" w:firstColumn="1" w:lastColumn="0" w:noHBand="0" w:noVBand="1"/>
      </w:tblPr>
      <w:tblGrid>
        <w:gridCol w:w="1321"/>
        <w:gridCol w:w="5023"/>
        <w:gridCol w:w="3412"/>
      </w:tblGrid>
      <w:tr w:rsidR="00401B6F" w14:paraId="587EBEC7" w14:textId="77777777" w:rsidTr="00401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4" w14:textId="77777777" w:rsidR="00401B6F" w:rsidRDefault="00401B6F" w:rsidP="00401B6F">
            <w:pPr>
              <w:rPr>
                <w:color w:val="000000"/>
                <w:sz w:val="22"/>
              </w:rPr>
            </w:pPr>
            <w:r>
              <w:rPr>
                <w:color w:val="000000"/>
                <w:sz w:val="22"/>
              </w:rPr>
              <w:t>Type of Baseline</w:t>
            </w:r>
          </w:p>
        </w:tc>
        <w:tc>
          <w:tcPr>
            <w:tcW w:w="5490" w:type="dxa"/>
          </w:tcPr>
          <w:p w14:paraId="587EBEC5" w14:textId="77777777" w:rsidR="00401B6F" w:rsidRDefault="00401B6F" w:rsidP="00401B6F">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3690" w:type="dxa"/>
          </w:tcPr>
          <w:p w14:paraId="587EBEC6" w14:textId="77777777" w:rsidR="00401B6F" w:rsidRDefault="00401B6F" w:rsidP="00401B6F">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Application [Number of Users]</w:t>
            </w:r>
          </w:p>
        </w:tc>
      </w:tr>
      <w:tr w:rsidR="00401B6F" w14:paraId="587EBECC" w14:textId="77777777" w:rsidTr="00401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8" w14:textId="77777777" w:rsidR="00401B6F" w:rsidRDefault="00401B6F" w:rsidP="00401B6F">
            <w:pPr>
              <w:rPr>
                <w:color w:val="000000"/>
                <w:sz w:val="22"/>
              </w:rPr>
            </w:pPr>
            <w:r>
              <w:rPr>
                <w:color w:val="000000"/>
                <w:sz w:val="22"/>
              </w:rPr>
              <w:t>NEEA Baseline</w:t>
            </w:r>
          </w:p>
        </w:tc>
        <w:tc>
          <w:tcPr>
            <w:tcW w:w="5490" w:type="dxa"/>
          </w:tcPr>
          <w:p w14:paraId="587EBEC9" w14:textId="77777777" w:rsidR="00401B6F" w:rsidRDefault="00401B6F" w:rsidP="00D0109C">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This is NEEA’s traditional baseline calculation.  NEEA typically tried to calculate a baseline using one year of data prior to program implementation.  </w:t>
            </w:r>
            <w:r w:rsidR="00D0109C">
              <w:rPr>
                <w:color w:val="000000"/>
                <w:sz w:val="22"/>
              </w:rPr>
              <w:t>B</w:t>
            </w:r>
            <w:r>
              <w:rPr>
                <w:color w:val="000000"/>
                <w:sz w:val="22"/>
              </w:rPr>
              <w:t xml:space="preserve">aseline is described as the average energy consumption of alternative products available for sale in the market.  The theory is that the savings created from </w:t>
            </w:r>
            <w:r w:rsidR="00636860">
              <w:rPr>
                <w:color w:val="000000"/>
                <w:sz w:val="22"/>
              </w:rPr>
              <w:t>the energy efficiency i</w:t>
            </w:r>
            <w:r>
              <w:rPr>
                <w:color w:val="000000"/>
                <w:sz w:val="22"/>
              </w:rPr>
              <w:t>nitiative implementation is incremental to what would have alternatively been purchased.</w:t>
            </w:r>
          </w:p>
        </w:tc>
        <w:tc>
          <w:tcPr>
            <w:tcW w:w="3690" w:type="dxa"/>
          </w:tcPr>
          <w:p w14:paraId="587EBECA"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NEEA </w:t>
            </w:r>
            <w:r w:rsidR="00D0109C">
              <w:rPr>
                <w:color w:val="000000"/>
                <w:sz w:val="22"/>
              </w:rPr>
              <w:t>calculates</w:t>
            </w:r>
            <w:r>
              <w:rPr>
                <w:color w:val="000000"/>
                <w:sz w:val="22"/>
              </w:rPr>
              <w:t xml:space="preserve"> this baseline to be consistent with the reporting methodology it has been using for the past 15 years.  </w:t>
            </w:r>
          </w:p>
          <w:p w14:paraId="587EBECB"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[2 Users]</w:t>
            </w:r>
          </w:p>
        </w:tc>
      </w:tr>
      <w:tr w:rsidR="00401B6F" w14:paraId="587EBED5" w14:textId="77777777" w:rsidTr="00401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D" w14:textId="77777777" w:rsidR="00401B6F" w:rsidRDefault="00401B6F" w:rsidP="00401B6F">
            <w:pPr>
              <w:rPr>
                <w:color w:val="000000"/>
                <w:sz w:val="22"/>
              </w:rPr>
            </w:pPr>
            <w:r>
              <w:rPr>
                <w:color w:val="000000"/>
                <w:sz w:val="22"/>
              </w:rPr>
              <w:t>6</w:t>
            </w:r>
            <w:r w:rsidRPr="004E2429">
              <w:rPr>
                <w:color w:val="000000"/>
                <w:sz w:val="22"/>
                <w:vertAlign w:val="superscript"/>
              </w:rPr>
              <w:t>th</w:t>
            </w:r>
            <w:r>
              <w:rPr>
                <w:color w:val="000000"/>
                <w:sz w:val="22"/>
              </w:rPr>
              <w:t xml:space="preserve"> Power Plan</w:t>
            </w:r>
          </w:p>
        </w:tc>
        <w:tc>
          <w:tcPr>
            <w:tcW w:w="5490" w:type="dxa"/>
          </w:tcPr>
          <w:p w14:paraId="587EBECE"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The Council tries to use the amount of energy used by the entire market, but in lieu of the entire market, they may assume that a particular product type would be fully in place at the time of measurement as a proxy for the state of the entire market at Plan inception.  The 6</w:t>
            </w:r>
            <w:r w:rsidRPr="00F65CB1">
              <w:rPr>
                <w:color w:val="000000"/>
                <w:sz w:val="22"/>
                <w:vertAlign w:val="superscript"/>
              </w:rPr>
              <w:t>th</w:t>
            </w:r>
            <w:r>
              <w:rPr>
                <w:color w:val="000000"/>
                <w:sz w:val="22"/>
              </w:rPr>
              <w:t xml:space="preserve"> Power Plan tries to measure the total change in energy consumption in a particular market due to the new initiatives.  So, the 6</w:t>
            </w:r>
            <w:r w:rsidRPr="00F65CB1">
              <w:rPr>
                <w:color w:val="000000"/>
                <w:sz w:val="22"/>
                <w:vertAlign w:val="superscript"/>
              </w:rPr>
              <w:t>th</w:t>
            </w:r>
            <w:r>
              <w:rPr>
                <w:color w:val="000000"/>
                <w:sz w:val="22"/>
              </w:rPr>
              <w:t xml:space="preserve"> Power Plan baseline </w:t>
            </w:r>
            <w:r>
              <w:rPr>
                <w:color w:val="000000"/>
                <w:sz w:val="22"/>
              </w:rPr>
              <w:lastRenderedPageBreak/>
              <w:t>would measure the state of the market just prior to 2010.</w:t>
            </w:r>
          </w:p>
        </w:tc>
        <w:tc>
          <w:tcPr>
            <w:tcW w:w="3690" w:type="dxa"/>
          </w:tcPr>
          <w:p w14:paraId="587EBECF" w14:textId="77777777" w:rsidR="00D0109C" w:rsidRDefault="00D0109C"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lastRenderedPageBreak/>
              <w:t xml:space="preserve">NEEA takes this calculation directly from the Council and incorporates it into savings calculations.  </w:t>
            </w:r>
          </w:p>
          <w:p w14:paraId="587EBED0" w14:textId="77777777" w:rsidR="00D0109C" w:rsidRDefault="00D0109C" w:rsidP="00401B6F">
            <w:pPr>
              <w:cnfStyle w:val="000000010000" w:firstRow="0" w:lastRow="0" w:firstColumn="0" w:lastColumn="0" w:oddVBand="0" w:evenVBand="0" w:oddHBand="0" w:evenHBand="1" w:firstRowFirstColumn="0" w:firstRowLastColumn="0" w:lastRowFirstColumn="0" w:lastRowLastColumn="0"/>
              <w:rPr>
                <w:color w:val="000000"/>
                <w:sz w:val="22"/>
              </w:rPr>
            </w:pPr>
          </w:p>
          <w:p w14:paraId="587EBED1"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 xml:space="preserve">Some funders use this baseline for their I-937 targets.  </w:t>
            </w:r>
          </w:p>
          <w:p w14:paraId="587EBED2"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[2 Users]</w:t>
            </w:r>
          </w:p>
          <w:p w14:paraId="587EBED3"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p>
          <w:p w14:paraId="587EBED4"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lastRenderedPageBreak/>
              <w:t>However, all but one of the custom savings reports mentioned below also incorporate the 6</w:t>
            </w:r>
            <w:r w:rsidRPr="00B7254B">
              <w:rPr>
                <w:color w:val="000000"/>
                <w:sz w:val="22"/>
                <w:vertAlign w:val="superscript"/>
              </w:rPr>
              <w:t>th</w:t>
            </w:r>
            <w:r>
              <w:rPr>
                <w:color w:val="000000"/>
                <w:sz w:val="22"/>
              </w:rPr>
              <w:t xml:space="preserve"> Power Plan baseline for some of the initiatives.</w:t>
            </w:r>
          </w:p>
        </w:tc>
      </w:tr>
      <w:tr w:rsidR="00401B6F" w14:paraId="587EBEDC" w14:textId="77777777" w:rsidTr="00401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D6" w14:textId="77777777" w:rsidR="00401B6F" w:rsidRDefault="00401B6F" w:rsidP="00401B6F">
            <w:pPr>
              <w:rPr>
                <w:color w:val="000000"/>
                <w:sz w:val="22"/>
              </w:rPr>
            </w:pPr>
            <w:r>
              <w:rPr>
                <w:color w:val="000000"/>
                <w:sz w:val="22"/>
              </w:rPr>
              <w:lastRenderedPageBreak/>
              <w:t>5</w:t>
            </w:r>
            <w:r w:rsidRPr="00F65CB1">
              <w:rPr>
                <w:color w:val="000000"/>
                <w:sz w:val="22"/>
                <w:vertAlign w:val="superscript"/>
              </w:rPr>
              <w:t>th</w:t>
            </w:r>
            <w:r>
              <w:rPr>
                <w:color w:val="000000"/>
                <w:sz w:val="22"/>
              </w:rPr>
              <w:t xml:space="preserve"> Power Plan</w:t>
            </w:r>
          </w:p>
        </w:tc>
        <w:tc>
          <w:tcPr>
            <w:tcW w:w="5490" w:type="dxa"/>
          </w:tcPr>
          <w:p w14:paraId="587EBED7"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The same as above except the 5</w:t>
            </w:r>
            <w:r w:rsidRPr="00F65CB1">
              <w:rPr>
                <w:color w:val="000000"/>
                <w:sz w:val="22"/>
                <w:vertAlign w:val="superscript"/>
              </w:rPr>
              <w:t>th</w:t>
            </w:r>
            <w:r>
              <w:rPr>
                <w:color w:val="000000"/>
                <w:sz w:val="22"/>
              </w:rPr>
              <w:t xml:space="preserve"> Power Plan measured the state of the market just prior to 2006.</w:t>
            </w:r>
          </w:p>
        </w:tc>
        <w:tc>
          <w:tcPr>
            <w:tcW w:w="3690" w:type="dxa"/>
          </w:tcPr>
          <w:p w14:paraId="587EBED8" w14:textId="77777777" w:rsidR="00D0109C" w:rsidRDefault="00D0109C"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Again, this baseline value is taken from the Council.</w:t>
            </w:r>
          </w:p>
          <w:p w14:paraId="587EBED9" w14:textId="77777777" w:rsidR="00D0109C" w:rsidRDefault="00D0109C" w:rsidP="00401B6F">
            <w:pPr>
              <w:cnfStyle w:val="000000100000" w:firstRow="0" w:lastRow="0" w:firstColumn="0" w:lastColumn="0" w:oddVBand="0" w:evenVBand="0" w:oddHBand="1" w:evenHBand="0" w:firstRowFirstColumn="0" w:firstRowLastColumn="0" w:lastRowFirstColumn="0" w:lastRowLastColumn="0"/>
              <w:rPr>
                <w:color w:val="000000"/>
                <w:sz w:val="22"/>
              </w:rPr>
            </w:pPr>
          </w:p>
          <w:p w14:paraId="587EBEDA"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Some </w:t>
            </w:r>
            <w:r w:rsidR="00D0109C">
              <w:rPr>
                <w:color w:val="000000"/>
                <w:sz w:val="22"/>
              </w:rPr>
              <w:t xml:space="preserve">funders </w:t>
            </w:r>
            <w:r>
              <w:rPr>
                <w:color w:val="000000"/>
                <w:sz w:val="22"/>
              </w:rPr>
              <w:t>use this baseline for their I-937 targets.</w:t>
            </w:r>
          </w:p>
          <w:p w14:paraId="587EBEDB"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[7 users]</w:t>
            </w:r>
          </w:p>
        </w:tc>
      </w:tr>
      <w:tr w:rsidR="00401B6F" w14:paraId="587EBEE1" w14:textId="77777777" w:rsidTr="00401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DD" w14:textId="77777777" w:rsidR="00401B6F" w:rsidRDefault="00401B6F" w:rsidP="00401B6F">
            <w:pPr>
              <w:rPr>
                <w:color w:val="000000"/>
                <w:sz w:val="22"/>
              </w:rPr>
            </w:pPr>
            <w:r>
              <w:rPr>
                <w:color w:val="000000"/>
                <w:sz w:val="22"/>
              </w:rPr>
              <w:t>Custom</w:t>
            </w:r>
          </w:p>
        </w:tc>
        <w:tc>
          <w:tcPr>
            <w:tcW w:w="5490" w:type="dxa"/>
          </w:tcPr>
          <w:p w14:paraId="587EBEDE" w14:textId="77777777" w:rsidR="00401B6F" w:rsidRDefault="00401B6F" w:rsidP="00D93904">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Some funders have calculated baselines which are specific to their service territories.  Different parts of the PNW have differing b</w:t>
            </w:r>
            <w:r w:rsidR="00D93904">
              <w:rPr>
                <w:color w:val="000000"/>
                <w:sz w:val="22"/>
              </w:rPr>
              <w:t>aselines due to adoption rates that are significantly different from the regional average or different</w:t>
            </w:r>
            <w:r>
              <w:rPr>
                <w:color w:val="000000"/>
                <w:sz w:val="22"/>
              </w:rPr>
              <w:t xml:space="preserve"> climate zones.  Funders</w:t>
            </w:r>
            <w:r w:rsidR="00636860">
              <w:rPr>
                <w:color w:val="000000"/>
                <w:sz w:val="22"/>
              </w:rPr>
              <w:t xml:space="preserve"> sometimes</w:t>
            </w:r>
            <w:r>
              <w:rPr>
                <w:color w:val="000000"/>
                <w:sz w:val="22"/>
              </w:rPr>
              <w:t xml:space="preserve"> engage in their own market research to determine which baseline is most representative of their service territory.</w:t>
            </w:r>
          </w:p>
        </w:tc>
        <w:tc>
          <w:tcPr>
            <w:tcW w:w="3690" w:type="dxa"/>
          </w:tcPr>
          <w:p w14:paraId="587EBEDF"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If funders ask, NEEA will incorporate their specific baselines</w:t>
            </w:r>
            <w:r w:rsidR="00D93904">
              <w:rPr>
                <w:color w:val="000000"/>
                <w:sz w:val="22"/>
              </w:rPr>
              <w:t xml:space="preserve"> into the savings calculation</w:t>
            </w:r>
            <w:r>
              <w:rPr>
                <w:color w:val="000000"/>
                <w:sz w:val="22"/>
              </w:rPr>
              <w:t xml:space="preserve">. </w:t>
            </w:r>
            <w:r w:rsidR="00D93904">
              <w:rPr>
                <w:color w:val="000000"/>
                <w:sz w:val="22"/>
              </w:rPr>
              <w:t xml:space="preserve"> Most times, funders do not have a custom baseline for all of the initiatives.</w:t>
            </w:r>
            <w:r>
              <w:rPr>
                <w:color w:val="000000"/>
                <w:sz w:val="22"/>
              </w:rPr>
              <w:t xml:space="preserve"> As a result, savings reports become a combination of Custom and 6</w:t>
            </w:r>
            <w:r w:rsidRPr="006D306E">
              <w:rPr>
                <w:color w:val="000000"/>
                <w:sz w:val="22"/>
                <w:vertAlign w:val="superscript"/>
              </w:rPr>
              <w:t>th</w:t>
            </w:r>
            <w:r>
              <w:rPr>
                <w:color w:val="000000"/>
                <w:sz w:val="22"/>
              </w:rPr>
              <w:t xml:space="preserve"> Power Plan.</w:t>
            </w:r>
          </w:p>
          <w:p w14:paraId="587EBEE0"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[5 users]</w:t>
            </w:r>
          </w:p>
        </w:tc>
      </w:tr>
    </w:tbl>
    <w:p w14:paraId="587EBEE2" w14:textId="77777777" w:rsidR="00401B6F" w:rsidRPr="00401B6F" w:rsidRDefault="00401B6F" w:rsidP="00BF3230">
      <w:pPr>
        <w:rPr>
          <w:color w:val="000000"/>
          <w:sz w:val="22"/>
        </w:rPr>
      </w:pPr>
    </w:p>
    <w:p w14:paraId="587EBEE3" w14:textId="77777777" w:rsidR="00BF3230" w:rsidRDefault="00BF3230" w:rsidP="00BF3230">
      <w:pPr>
        <w:rPr>
          <w:color w:val="000000"/>
          <w:sz w:val="22"/>
        </w:rPr>
      </w:pPr>
    </w:p>
    <w:p w14:paraId="587EBEE4" w14:textId="77777777" w:rsidR="00401B6F" w:rsidRDefault="00401B6F" w:rsidP="00BF3230">
      <w:pPr>
        <w:rPr>
          <w:b/>
          <w:color w:val="000000"/>
          <w:sz w:val="22"/>
        </w:rPr>
      </w:pPr>
      <w:r w:rsidRPr="00401B6F">
        <w:rPr>
          <w:b/>
          <w:color w:val="000000"/>
          <w:sz w:val="22"/>
        </w:rPr>
        <w:t>Ways to Report Individuals Funder’s Savings</w:t>
      </w:r>
    </w:p>
    <w:p w14:paraId="587EBEE5" w14:textId="77777777" w:rsidR="00401B6F" w:rsidRDefault="00401B6F" w:rsidP="00BF3230">
      <w:pPr>
        <w:rPr>
          <w:b/>
          <w:color w:val="000000"/>
          <w:sz w:val="22"/>
        </w:rPr>
      </w:pPr>
    </w:p>
    <w:p w14:paraId="587EBEE6" w14:textId="77777777" w:rsidR="00401B6F" w:rsidRDefault="00401B6F" w:rsidP="00BF3230">
      <w:pPr>
        <w:rPr>
          <w:color w:val="000000"/>
          <w:sz w:val="22"/>
        </w:rPr>
      </w:pPr>
      <w:r>
        <w:rPr>
          <w:color w:val="000000"/>
          <w:sz w:val="22"/>
        </w:rPr>
        <w:t xml:space="preserve">In addition to multiple baselines, NEEA also allocates </w:t>
      </w:r>
      <w:r w:rsidR="00D13CBE">
        <w:rPr>
          <w:color w:val="000000"/>
          <w:sz w:val="22"/>
        </w:rPr>
        <w:t>regional savings</w:t>
      </w:r>
      <w:r>
        <w:rPr>
          <w:color w:val="000000"/>
          <w:sz w:val="22"/>
        </w:rPr>
        <w:t xml:space="preserve"> by various methods, depending upon the needs and requests of our funders.</w:t>
      </w:r>
    </w:p>
    <w:p w14:paraId="587EBEE7" w14:textId="77777777" w:rsidR="00AC20A8" w:rsidRDefault="00AC20A8" w:rsidP="00BF3230">
      <w:pPr>
        <w:rPr>
          <w:color w:val="000000"/>
          <w:sz w:val="22"/>
        </w:rPr>
      </w:pPr>
    </w:p>
    <w:p w14:paraId="587EBEE8" w14:textId="77777777" w:rsidR="00852C9D" w:rsidRDefault="00D13CBE" w:rsidP="00BF3230">
      <w:pPr>
        <w:rPr>
          <w:color w:val="000000"/>
          <w:sz w:val="22"/>
        </w:rPr>
      </w:pPr>
      <w:r>
        <w:rPr>
          <w:color w:val="000000"/>
          <w:sz w:val="22"/>
        </w:rPr>
        <w:t>So, by each initiative, f</w:t>
      </w:r>
      <w:r w:rsidR="00AC20A8">
        <w:rPr>
          <w:color w:val="000000"/>
          <w:sz w:val="22"/>
        </w:rPr>
        <w:t xml:space="preserve">unders may choose to </w:t>
      </w:r>
      <w:r w:rsidR="009542EA">
        <w:rPr>
          <w:color w:val="000000"/>
          <w:sz w:val="22"/>
        </w:rPr>
        <w:t xml:space="preserve">either 1) use NEEA’s funder share, or 2) use a methodology more specific to their territory.  </w:t>
      </w:r>
    </w:p>
    <w:p w14:paraId="587EBEE9" w14:textId="77777777" w:rsidR="00D13CBE" w:rsidRDefault="00D13CBE" w:rsidP="00BF3230">
      <w:pPr>
        <w:rPr>
          <w:color w:val="000000"/>
          <w:sz w:val="22"/>
        </w:rPr>
      </w:pPr>
    </w:p>
    <w:p w14:paraId="587EBEEA" w14:textId="77777777" w:rsidR="00852C9D" w:rsidRPr="00852C9D" w:rsidRDefault="00852C9D" w:rsidP="00852C9D">
      <w:pPr>
        <w:pStyle w:val="ListParagraph"/>
        <w:numPr>
          <w:ilvl w:val="0"/>
          <w:numId w:val="13"/>
        </w:numPr>
        <w:rPr>
          <w:b/>
          <w:color w:val="000000"/>
          <w:sz w:val="22"/>
        </w:rPr>
      </w:pPr>
      <w:r w:rsidRPr="00852C9D">
        <w:rPr>
          <w:b/>
          <w:color w:val="000000"/>
          <w:sz w:val="22"/>
        </w:rPr>
        <w:t>NEEA funder share</w:t>
      </w:r>
    </w:p>
    <w:p w14:paraId="587EBEEB" w14:textId="77777777" w:rsidR="00852C9D" w:rsidRDefault="00687A62" w:rsidP="00852C9D">
      <w:pPr>
        <w:ind w:left="720"/>
        <w:rPr>
          <w:color w:val="000000"/>
          <w:sz w:val="22"/>
        </w:rPr>
      </w:pPr>
      <w:r>
        <w:rPr>
          <w:color w:val="000000"/>
          <w:sz w:val="22"/>
        </w:rPr>
        <w:t xml:space="preserve">NEEA collects data and calculates savings at the Total Regional Level.  </w:t>
      </w:r>
      <w:r w:rsidR="00636860">
        <w:rPr>
          <w:color w:val="000000"/>
          <w:sz w:val="22"/>
        </w:rPr>
        <w:t xml:space="preserve">Then, the regional savings are allocated to the funders.  </w:t>
      </w:r>
      <w:r w:rsidR="00852C9D">
        <w:rPr>
          <w:color w:val="000000"/>
          <w:sz w:val="22"/>
        </w:rPr>
        <w:t xml:space="preserve">Savings </w:t>
      </w:r>
      <w:r w:rsidR="00636860">
        <w:rPr>
          <w:color w:val="000000"/>
          <w:sz w:val="22"/>
        </w:rPr>
        <w:t>allocation to a funder is</w:t>
      </w:r>
      <w:r>
        <w:rPr>
          <w:color w:val="000000"/>
          <w:sz w:val="22"/>
        </w:rPr>
        <w:t xml:space="preserve"> </w:t>
      </w:r>
      <w:r w:rsidR="00852C9D">
        <w:rPr>
          <w:color w:val="000000"/>
          <w:sz w:val="22"/>
        </w:rPr>
        <w:t xml:space="preserve">based on the percentage of their funder share to NEEA.  The funder share percentages primarily correspond to the funders’ residential load.  Below is the </w:t>
      </w:r>
      <w:r w:rsidR="00636860">
        <w:rPr>
          <w:color w:val="000000"/>
          <w:sz w:val="22"/>
        </w:rPr>
        <w:t xml:space="preserve">NEEA </w:t>
      </w:r>
      <w:r w:rsidR="00852C9D">
        <w:rPr>
          <w:color w:val="000000"/>
          <w:sz w:val="22"/>
        </w:rPr>
        <w:t>funder allocation for Avista, PacifiCorp, and Puget Sound Energy.</w:t>
      </w:r>
    </w:p>
    <w:p w14:paraId="587EBEEC" w14:textId="77777777" w:rsidR="00D13CBE" w:rsidRPr="00852C9D" w:rsidRDefault="00D13CBE" w:rsidP="00852C9D">
      <w:pPr>
        <w:ind w:left="720"/>
        <w:rPr>
          <w:color w:val="000000"/>
          <w:sz w:val="22"/>
        </w:rPr>
      </w:pPr>
    </w:p>
    <w:tbl>
      <w:tblPr>
        <w:tblStyle w:val="LightGrid-Accent3"/>
        <w:tblW w:w="0" w:type="auto"/>
        <w:tblInd w:w="108" w:type="dxa"/>
        <w:tblLook w:val="04A0" w:firstRow="1" w:lastRow="0" w:firstColumn="1" w:lastColumn="0" w:noHBand="0" w:noVBand="1"/>
      </w:tblPr>
      <w:tblGrid>
        <w:gridCol w:w="1806"/>
        <w:gridCol w:w="5023"/>
      </w:tblGrid>
      <w:tr w:rsidR="00852C9D" w14:paraId="587EBEEF" w14:textId="77777777" w:rsidTr="0085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ED" w14:textId="77777777" w:rsidR="00852C9D" w:rsidRDefault="00852C9D" w:rsidP="00852C9D">
            <w:pPr>
              <w:rPr>
                <w:color w:val="000000"/>
                <w:sz w:val="22"/>
              </w:rPr>
            </w:pPr>
            <w:r>
              <w:rPr>
                <w:color w:val="000000"/>
                <w:sz w:val="22"/>
              </w:rPr>
              <w:t>Funder</w:t>
            </w:r>
          </w:p>
        </w:tc>
        <w:tc>
          <w:tcPr>
            <w:tcW w:w="5023" w:type="dxa"/>
          </w:tcPr>
          <w:p w14:paraId="587EBEEE" w14:textId="77777777" w:rsidR="00852C9D" w:rsidRDefault="00852C9D" w:rsidP="00852C9D">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NEEA Funder Share as of July 2012</w:t>
            </w:r>
          </w:p>
        </w:tc>
      </w:tr>
      <w:tr w:rsidR="00852C9D" w14:paraId="587EBEF2" w14:textId="77777777" w:rsidTr="0085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0" w14:textId="77777777" w:rsidR="00852C9D" w:rsidRDefault="00852C9D" w:rsidP="00852C9D">
            <w:pPr>
              <w:rPr>
                <w:color w:val="000000"/>
                <w:sz w:val="22"/>
              </w:rPr>
            </w:pPr>
            <w:r>
              <w:rPr>
                <w:color w:val="000000"/>
                <w:sz w:val="22"/>
              </w:rPr>
              <w:t>Avista Corporation, Inc.</w:t>
            </w:r>
          </w:p>
        </w:tc>
        <w:tc>
          <w:tcPr>
            <w:tcW w:w="5023" w:type="dxa"/>
          </w:tcPr>
          <w:p w14:paraId="587EBEF1" w14:textId="77777777" w:rsidR="00852C9D" w:rsidRDefault="00852C9D" w:rsidP="00852C9D">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5.62%</w:t>
            </w:r>
          </w:p>
        </w:tc>
      </w:tr>
      <w:tr w:rsidR="00852C9D" w14:paraId="587EBEF5" w14:textId="77777777" w:rsidTr="0085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3" w14:textId="77777777" w:rsidR="00852C9D" w:rsidRDefault="00852C9D" w:rsidP="00852C9D">
            <w:pPr>
              <w:rPr>
                <w:color w:val="000000"/>
                <w:sz w:val="22"/>
              </w:rPr>
            </w:pPr>
            <w:r>
              <w:rPr>
                <w:color w:val="000000"/>
                <w:sz w:val="22"/>
              </w:rPr>
              <w:t>PacifiCorp</w:t>
            </w:r>
            <w:r w:rsidR="000C386C">
              <w:rPr>
                <w:color w:val="000000"/>
                <w:sz w:val="22"/>
              </w:rPr>
              <w:t>_WA</w:t>
            </w:r>
          </w:p>
        </w:tc>
        <w:tc>
          <w:tcPr>
            <w:tcW w:w="5023" w:type="dxa"/>
          </w:tcPr>
          <w:p w14:paraId="587EBEF4" w14:textId="77777777" w:rsidR="00852C9D" w:rsidRDefault="000C386C" w:rsidP="00852C9D">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3.04%</w:t>
            </w:r>
          </w:p>
        </w:tc>
      </w:tr>
      <w:tr w:rsidR="00852C9D" w14:paraId="587EBEF8" w14:textId="77777777" w:rsidTr="0085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6" w14:textId="77777777" w:rsidR="00852C9D" w:rsidRDefault="000C386C" w:rsidP="00852C9D">
            <w:pPr>
              <w:rPr>
                <w:color w:val="000000"/>
                <w:sz w:val="22"/>
              </w:rPr>
            </w:pPr>
            <w:r>
              <w:rPr>
                <w:color w:val="000000"/>
                <w:sz w:val="22"/>
              </w:rPr>
              <w:t>Puget Sound Energy</w:t>
            </w:r>
          </w:p>
        </w:tc>
        <w:tc>
          <w:tcPr>
            <w:tcW w:w="5023" w:type="dxa"/>
          </w:tcPr>
          <w:p w14:paraId="587EBEF7" w14:textId="77777777" w:rsidR="00852C9D" w:rsidRDefault="000C386C" w:rsidP="00852C9D">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13.93%</w:t>
            </w:r>
          </w:p>
        </w:tc>
      </w:tr>
    </w:tbl>
    <w:p w14:paraId="587EBEF9" w14:textId="77777777" w:rsidR="00852C9D" w:rsidRDefault="00852C9D" w:rsidP="00852C9D">
      <w:pPr>
        <w:pStyle w:val="ListParagraph"/>
        <w:rPr>
          <w:color w:val="000000"/>
          <w:sz w:val="22"/>
        </w:rPr>
      </w:pPr>
    </w:p>
    <w:p w14:paraId="587EBEFA" w14:textId="77777777" w:rsidR="002B24F2" w:rsidRDefault="002B24F2" w:rsidP="002B24F2">
      <w:pPr>
        <w:pStyle w:val="ListParagraph"/>
        <w:rPr>
          <w:b/>
          <w:color w:val="000000"/>
          <w:sz w:val="22"/>
        </w:rPr>
      </w:pPr>
    </w:p>
    <w:p w14:paraId="587EBEFB" w14:textId="77777777" w:rsidR="00852C9D" w:rsidRPr="00852C9D" w:rsidRDefault="00852C9D" w:rsidP="00852C9D">
      <w:pPr>
        <w:pStyle w:val="ListParagraph"/>
        <w:numPr>
          <w:ilvl w:val="0"/>
          <w:numId w:val="13"/>
        </w:numPr>
        <w:rPr>
          <w:b/>
          <w:color w:val="000000"/>
          <w:sz w:val="22"/>
        </w:rPr>
      </w:pPr>
      <w:r w:rsidRPr="00852C9D">
        <w:rPr>
          <w:b/>
          <w:color w:val="000000"/>
          <w:sz w:val="22"/>
        </w:rPr>
        <w:t>Territory Specific</w:t>
      </w:r>
    </w:p>
    <w:p w14:paraId="587EBEFC" w14:textId="77777777" w:rsidR="00AC20A8" w:rsidRPr="00852C9D" w:rsidRDefault="00852C9D" w:rsidP="00852C9D">
      <w:pPr>
        <w:pStyle w:val="ListParagraph"/>
        <w:rPr>
          <w:color w:val="000000"/>
          <w:sz w:val="22"/>
        </w:rPr>
      </w:pPr>
      <w:r>
        <w:rPr>
          <w:color w:val="000000"/>
          <w:sz w:val="22"/>
        </w:rPr>
        <w:t xml:space="preserve">There are multiple ways in which territory-specific savings calculations may be made.  </w:t>
      </w:r>
      <w:r w:rsidR="00E83667" w:rsidRPr="00852C9D">
        <w:rPr>
          <w:color w:val="000000"/>
          <w:sz w:val="22"/>
        </w:rPr>
        <w:t xml:space="preserve">NEEA calculates service territory allocations based on the data granularity.  NEEA strives to collect the most granular data, but service territory data is not always available.  Below is </w:t>
      </w:r>
      <w:r w:rsidR="00E83667" w:rsidRPr="00852C9D">
        <w:rPr>
          <w:color w:val="000000"/>
          <w:sz w:val="22"/>
        </w:rPr>
        <w:lastRenderedPageBreak/>
        <w:t>a table listing the granularity levels from most specific to least specific</w:t>
      </w:r>
      <w:r w:rsidR="003819C0">
        <w:rPr>
          <w:color w:val="000000"/>
          <w:sz w:val="22"/>
        </w:rPr>
        <w:t>, for data collected by NEEA</w:t>
      </w:r>
      <w:r w:rsidR="00E83667" w:rsidRPr="00852C9D">
        <w:rPr>
          <w:color w:val="000000"/>
          <w:sz w:val="22"/>
        </w:rPr>
        <w:t>.</w:t>
      </w:r>
    </w:p>
    <w:p w14:paraId="587EBEFD" w14:textId="77777777" w:rsidR="00E83667" w:rsidRDefault="00E83667" w:rsidP="00BF3230">
      <w:pPr>
        <w:rPr>
          <w:color w:val="000000"/>
          <w:sz w:val="22"/>
        </w:rPr>
      </w:pPr>
    </w:p>
    <w:p w14:paraId="587EBEFE" w14:textId="77777777" w:rsidR="00687A62" w:rsidRDefault="00687A62" w:rsidP="00BF3230">
      <w:pPr>
        <w:rPr>
          <w:color w:val="000000"/>
          <w:sz w:val="22"/>
        </w:rPr>
      </w:pPr>
    </w:p>
    <w:p w14:paraId="587EBEFF" w14:textId="77777777" w:rsidR="00687A62" w:rsidRDefault="00687A62" w:rsidP="00BF3230">
      <w:pPr>
        <w:rPr>
          <w:color w:val="000000"/>
          <w:sz w:val="22"/>
        </w:rPr>
      </w:pPr>
    </w:p>
    <w:tbl>
      <w:tblPr>
        <w:tblStyle w:val="LightGrid-Accent3"/>
        <w:tblW w:w="0" w:type="auto"/>
        <w:tblInd w:w="108" w:type="dxa"/>
        <w:tblLook w:val="04A0" w:firstRow="1" w:lastRow="0" w:firstColumn="1" w:lastColumn="0" w:noHBand="0" w:noVBand="1"/>
      </w:tblPr>
      <w:tblGrid>
        <w:gridCol w:w="1710"/>
        <w:gridCol w:w="5580"/>
        <w:gridCol w:w="2466"/>
      </w:tblGrid>
      <w:tr w:rsidR="00E83667" w14:paraId="587EBF03" w14:textId="77777777" w:rsidTr="00D93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0" w14:textId="77777777" w:rsidR="00E83667" w:rsidRDefault="00D93904" w:rsidP="00E83667">
            <w:pPr>
              <w:rPr>
                <w:color w:val="000000"/>
                <w:sz w:val="22"/>
              </w:rPr>
            </w:pPr>
            <w:r>
              <w:rPr>
                <w:color w:val="000000"/>
                <w:sz w:val="22"/>
              </w:rPr>
              <w:t>Types of Data to Service Territory Allocation</w:t>
            </w:r>
          </w:p>
        </w:tc>
        <w:tc>
          <w:tcPr>
            <w:tcW w:w="5580" w:type="dxa"/>
          </w:tcPr>
          <w:p w14:paraId="587EBF01" w14:textId="77777777" w:rsidR="00E83667" w:rsidRDefault="00E83667" w:rsidP="00E83667">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2466" w:type="dxa"/>
          </w:tcPr>
          <w:p w14:paraId="587EBF02" w14:textId="77777777" w:rsidR="00E83667" w:rsidRDefault="00E83667" w:rsidP="00E83667">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Example</w:t>
            </w:r>
          </w:p>
        </w:tc>
      </w:tr>
      <w:tr w:rsidR="00E83667" w14:paraId="587EBF07" w14:textId="77777777" w:rsidTr="00D93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4" w14:textId="77777777" w:rsidR="00E83667" w:rsidRDefault="00E83667" w:rsidP="00E83667">
            <w:pPr>
              <w:rPr>
                <w:color w:val="000000"/>
                <w:sz w:val="22"/>
              </w:rPr>
            </w:pPr>
            <w:r>
              <w:rPr>
                <w:color w:val="000000"/>
                <w:sz w:val="22"/>
              </w:rPr>
              <w:t>Service Territory Level</w:t>
            </w:r>
          </w:p>
        </w:tc>
        <w:tc>
          <w:tcPr>
            <w:tcW w:w="5580" w:type="dxa"/>
          </w:tcPr>
          <w:p w14:paraId="587EBF05" w14:textId="77777777" w:rsidR="00E83667" w:rsidRDefault="00E83667"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NEEA collects data from the contractor that specifically lists the service territory in which the initiative product or activity is being used or engaged in.</w:t>
            </w:r>
          </w:p>
        </w:tc>
        <w:tc>
          <w:tcPr>
            <w:tcW w:w="2466" w:type="dxa"/>
          </w:tcPr>
          <w:p w14:paraId="587EBF06" w14:textId="77777777" w:rsidR="00E83667" w:rsidRDefault="00E83667"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Residential Homes data is collected at the Service Territory Level.</w:t>
            </w:r>
          </w:p>
        </w:tc>
      </w:tr>
      <w:tr w:rsidR="00E83667" w14:paraId="587EBF0B" w14:textId="77777777" w:rsidTr="00D93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8" w14:textId="77777777" w:rsidR="00E83667" w:rsidRDefault="00E83667" w:rsidP="00E83667">
            <w:pPr>
              <w:rPr>
                <w:color w:val="000000"/>
                <w:sz w:val="22"/>
              </w:rPr>
            </w:pPr>
            <w:r>
              <w:rPr>
                <w:color w:val="000000"/>
                <w:sz w:val="22"/>
              </w:rPr>
              <w:t>Zip Code Level</w:t>
            </w:r>
          </w:p>
        </w:tc>
        <w:tc>
          <w:tcPr>
            <w:tcW w:w="5580" w:type="dxa"/>
          </w:tcPr>
          <w:p w14:paraId="587EBF09" w14:textId="77777777" w:rsidR="00FC33F4" w:rsidRDefault="00E83667" w:rsidP="00E83667">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 xml:space="preserve">Some </w:t>
            </w:r>
            <w:r w:rsidR="00D93904">
              <w:rPr>
                <w:color w:val="000000"/>
                <w:sz w:val="22"/>
              </w:rPr>
              <w:t xml:space="preserve">NEEA </w:t>
            </w:r>
            <w:r>
              <w:rPr>
                <w:color w:val="000000"/>
                <w:sz w:val="22"/>
              </w:rPr>
              <w:t xml:space="preserve">data is collected at the zip code level.  This is sales data at the retail level.  This does not mean that the savings from the initiative product are realized in that zip code.  Therefore, NEEA employs further assumptions regarding </w:t>
            </w:r>
            <w:r w:rsidR="00FC33F4">
              <w:rPr>
                <w:color w:val="000000"/>
                <w:sz w:val="22"/>
              </w:rPr>
              <w:t xml:space="preserve">consumer zones and </w:t>
            </w:r>
            <w:r w:rsidR="00025E70">
              <w:rPr>
                <w:color w:val="000000"/>
                <w:sz w:val="22"/>
              </w:rPr>
              <w:t xml:space="preserve">savings </w:t>
            </w:r>
            <w:r w:rsidR="00FC33F4">
              <w:rPr>
                <w:color w:val="000000"/>
                <w:sz w:val="22"/>
              </w:rPr>
              <w:t>allocations based on customer count.</w:t>
            </w:r>
          </w:p>
        </w:tc>
        <w:tc>
          <w:tcPr>
            <w:tcW w:w="2466" w:type="dxa"/>
          </w:tcPr>
          <w:p w14:paraId="587EBF0A" w14:textId="77777777" w:rsidR="00E83667" w:rsidRDefault="00FC33F4" w:rsidP="00E83667">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Lighting sales data</w:t>
            </w:r>
          </w:p>
        </w:tc>
      </w:tr>
      <w:tr w:rsidR="00D03F79" w14:paraId="587EBF0F" w14:textId="77777777" w:rsidTr="00D93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C" w14:textId="77777777" w:rsidR="00D03F79" w:rsidRDefault="00D03F79" w:rsidP="00E83667">
            <w:pPr>
              <w:rPr>
                <w:color w:val="000000"/>
                <w:sz w:val="22"/>
              </w:rPr>
            </w:pPr>
            <w:r>
              <w:rPr>
                <w:color w:val="000000"/>
                <w:sz w:val="22"/>
              </w:rPr>
              <w:t>State Level</w:t>
            </w:r>
          </w:p>
        </w:tc>
        <w:tc>
          <w:tcPr>
            <w:tcW w:w="5580" w:type="dxa"/>
          </w:tcPr>
          <w:p w14:paraId="587EBF0D" w14:textId="77777777" w:rsidR="00D03F79" w:rsidRDefault="00FC33F4"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Sometimes NEEA only receives state level data.  Again, savings based on this data is parsed based on customer count within the state.</w:t>
            </w:r>
          </w:p>
        </w:tc>
        <w:tc>
          <w:tcPr>
            <w:tcW w:w="2466" w:type="dxa"/>
          </w:tcPr>
          <w:p w14:paraId="587EBF0E" w14:textId="77777777" w:rsidR="00D03F79" w:rsidRDefault="00FC33F4"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Appliance data</w:t>
            </w:r>
          </w:p>
        </w:tc>
      </w:tr>
    </w:tbl>
    <w:p w14:paraId="587EBF10" w14:textId="77777777" w:rsidR="00E83667" w:rsidRDefault="00E83667" w:rsidP="00BF3230">
      <w:pPr>
        <w:rPr>
          <w:color w:val="000000"/>
          <w:sz w:val="22"/>
        </w:rPr>
      </w:pPr>
    </w:p>
    <w:p w14:paraId="587EBF11" w14:textId="77777777" w:rsidR="003819C0" w:rsidRDefault="003819C0" w:rsidP="00BF3230">
      <w:pPr>
        <w:rPr>
          <w:color w:val="000000"/>
          <w:sz w:val="22"/>
        </w:rPr>
      </w:pPr>
      <w:r>
        <w:rPr>
          <w:color w:val="000000"/>
          <w:sz w:val="22"/>
        </w:rPr>
        <w:t>In addition to NEEA derived service territory savings allocation, funders sometimes arrive at their own calculation, as described in the table below.</w:t>
      </w:r>
    </w:p>
    <w:p w14:paraId="587EBF12" w14:textId="77777777" w:rsidR="003819C0" w:rsidRDefault="003819C0" w:rsidP="00BF3230">
      <w:pPr>
        <w:rPr>
          <w:color w:val="000000"/>
          <w:sz w:val="22"/>
        </w:rPr>
      </w:pPr>
    </w:p>
    <w:tbl>
      <w:tblPr>
        <w:tblStyle w:val="LightGrid-Accent3"/>
        <w:tblW w:w="0" w:type="auto"/>
        <w:tblInd w:w="108" w:type="dxa"/>
        <w:tblLook w:val="04A0" w:firstRow="1" w:lastRow="0" w:firstColumn="1" w:lastColumn="0" w:noHBand="0" w:noVBand="1"/>
      </w:tblPr>
      <w:tblGrid>
        <w:gridCol w:w="1710"/>
        <w:gridCol w:w="5580"/>
        <w:gridCol w:w="2466"/>
      </w:tblGrid>
      <w:tr w:rsidR="003819C0" w14:paraId="587EBF16" w14:textId="77777777" w:rsidTr="007F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13" w14:textId="77777777" w:rsidR="003819C0" w:rsidRDefault="003819C0" w:rsidP="007F4993">
            <w:pPr>
              <w:rPr>
                <w:color w:val="000000"/>
                <w:sz w:val="22"/>
              </w:rPr>
            </w:pPr>
            <w:r>
              <w:rPr>
                <w:color w:val="000000"/>
                <w:sz w:val="22"/>
              </w:rPr>
              <w:t>Funder Derived Service Territory Allocation</w:t>
            </w:r>
          </w:p>
        </w:tc>
        <w:tc>
          <w:tcPr>
            <w:tcW w:w="5580" w:type="dxa"/>
          </w:tcPr>
          <w:p w14:paraId="587EBF14" w14:textId="77777777" w:rsidR="003819C0" w:rsidRDefault="003819C0" w:rsidP="007F4993">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2466" w:type="dxa"/>
          </w:tcPr>
          <w:p w14:paraId="587EBF15" w14:textId="77777777" w:rsidR="003819C0" w:rsidRDefault="003819C0" w:rsidP="007F4993">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Example</w:t>
            </w:r>
          </w:p>
        </w:tc>
      </w:tr>
      <w:tr w:rsidR="003819C0" w14:paraId="587EBF1A" w14:textId="77777777" w:rsidTr="007F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17" w14:textId="77777777" w:rsidR="003819C0" w:rsidRDefault="003819C0" w:rsidP="007F4993">
            <w:pPr>
              <w:rPr>
                <w:color w:val="000000"/>
                <w:sz w:val="22"/>
              </w:rPr>
            </w:pPr>
            <w:r>
              <w:rPr>
                <w:color w:val="000000"/>
                <w:sz w:val="22"/>
              </w:rPr>
              <w:t>Funder - Custom</w:t>
            </w:r>
          </w:p>
        </w:tc>
        <w:tc>
          <w:tcPr>
            <w:tcW w:w="5580" w:type="dxa"/>
          </w:tcPr>
          <w:p w14:paraId="587EBF18" w14:textId="77777777" w:rsidR="003819C0" w:rsidRDefault="003819C0" w:rsidP="007F4993">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This calculation is not based on NEEA data, and in fact, is completely independent of NEEA data.  This calculation results if/when a funder has better data regarding widgets sales in their service territory.  This may result due to a funder’s knowledge of a specific local program in which they are going to engage.  This occurrence is rare, but has happened.</w:t>
            </w:r>
          </w:p>
        </w:tc>
        <w:tc>
          <w:tcPr>
            <w:tcW w:w="2466" w:type="dxa"/>
          </w:tcPr>
          <w:p w14:paraId="587EBF19" w14:textId="77777777" w:rsidR="003819C0" w:rsidRDefault="003819C0" w:rsidP="007F4993">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Ductless Heat Pumps</w:t>
            </w:r>
          </w:p>
        </w:tc>
      </w:tr>
    </w:tbl>
    <w:p w14:paraId="587EBF1B" w14:textId="77777777" w:rsidR="003819C0" w:rsidRDefault="003819C0" w:rsidP="00BF3230">
      <w:pPr>
        <w:rPr>
          <w:color w:val="000000"/>
          <w:sz w:val="22"/>
        </w:rPr>
      </w:pPr>
    </w:p>
    <w:p w14:paraId="587EBF1C" w14:textId="77777777" w:rsidR="003819C0" w:rsidRDefault="003819C0" w:rsidP="00BF3230">
      <w:pPr>
        <w:rPr>
          <w:color w:val="000000"/>
          <w:sz w:val="22"/>
        </w:rPr>
      </w:pPr>
    </w:p>
    <w:p w14:paraId="587EBF1D" w14:textId="77777777" w:rsidR="00FC33F4" w:rsidRDefault="00FC33F4" w:rsidP="00BF3230">
      <w:pPr>
        <w:rPr>
          <w:color w:val="000000"/>
          <w:sz w:val="22"/>
        </w:rPr>
      </w:pPr>
      <w:r>
        <w:rPr>
          <w:color w:val="000000"/>
          <w:sz w:val="22"/>
        </w:rPr>
        <w:t>Much greater detail about the data sources and means with which they may be allocated are provided in the three attachments that have been presented at previous Cost-Effectiveness Advisory Committee Meetings:</w:t>
      </w:r>
    </w:p>
    <w:p w14:paraId="587EBF1E" w14:textId="77777777" w:rsidR="00FC33F4" w:rsidRDefault="00FC33F4" w:rsidP="00FC33F4">
      <w:pPr>
        <w:pStyle w:val="ListParagraph"/>
        <w:numPr>
          <w:ilvl w:val="0"/>
          <w:numId w:val="12"/>
        </w:numPr>
        <w:rPr>
          <w:color w:val="000000"/>
          <w:sz w:val="22"/>
        </w:rPr>
      </w:pPr>
      <w:r w:rsidRPr="00FC33F4">
        <w:rPr>
          <w:color w:val="000000"/>
          <w:sz w:val="22"/>
        </w:rPr>
        <w:t>ServiceTerritoryMemo_20101123</w:t>
      </w:r>
      <w:r>
        <w:rPr>
          <w:color w:val="000000"/>
          <w:sz w:val="22"/>
        </w:rPr>
        <w:t>.doc</w:t>
      </w:r>
      <w:r w:rsidR="00852C9D">
        <w:rPr>
          <w:color w:val="000000"/>
          <w:sz w:val="22"/>
        </w:rPr>
        <w:t xml:space="preserve">  [ a description of the zip-code data savings allocation methodology]</w:t>
      </w:r>
    </w:p>
    <w:p w14:paraId="587EBF1F" w14:textId="77777777" w:rsidR="00FC33F4" w:rsidRDefault="00FC33F4" w:rsidP="00FC33F4">
      <w:pPr>
        <w:pStyle w:val="ListParagraph"/>
        <w:numPr>
          <w:ilvl w:val="0"/>
          <w:numId w:val="12"/>
        </w:numPr>
        <w:rPr>
          <w:color w:val="000000"/>
          <w:sz w:val="22"/>
        </w:rPr>
      </w:pPr>
      <w:r w:rsidRPr="00FC33F4">
        <w:rPr>
          <w:color w:val="000000"/>
          <w:sz w:val="22"/>
        </w:rPr>
        <w:t>Memo_ServiceTerritoryData_20110418</w:t>
      </w:r>
      <w:r>
        <w:rPr>
          <w:color w:val="000000"/>
          <w:sz w:val="22"/>
        </w:rPr>
        <w:t>.doc</w:t>
      </w:r>
      <w:r w:rsidR="00852C9D">
        <w:rPr>
          <w:color w:val="000000"/>
          <w:sz w:val="22"/>
        </w:rPr>
        <w:t xml:space="preserve"> [high level summary of data types]</w:t>
      </w:r>
    </w:p>
    <w:p w14:paraId="587EBF20" w14:textId="77777777" w:rsidR="00FC33F4" w:rsidRPr="00FC33F4" w:rsidRDefault="00FC33F4" w:rsidP="00FC33F4">
      <w:pPr>
        <w:pStyle w:val="ListParagraph"/>
        <w:numPr>
          <w:ilvl w:val="0"/>
          <w:numId w:val="12"/>
        </w:numPr>
        <w:rPr>
          <w:color w:val="000000"/>
          <w:sz w:val="22"/>
        </w:rPr>
      </w:pPr>
      <w:r w:rsidRPr="00FC33F4">
        <w:rPr>
          <w:color w:val="000000"/>
          <w:sz w:val="22"/>
        </w:rPr>
        <w:t>CE-Committee_UpdateOnServiceTerritoryAllocation_20110425</w:t>
      </w:r>
      <w:r>
        <w:rPr>
          <w:color w:val="000000"/>
          <w:sz w:val="22"/>
        </w:rPr>
        <w:t>.ppt</w:t>
      </w:r>
      <w:r w:rsidR="00852C9D">
        <w:rPr>
          <w:color w:val="000000"/>
          <w:sz w:val="22"/>
        </w:rPr>
        <w:t xml:space="preserve"> [a descriptive presentation on service territory reporting and examples based on preliminary data]</w:t>
      </w:r>
    </w:p>
    <w:p w14:paraId="587EBF21" w14:textId="77777777" w:rsidR="00FC33F4" w:rsidRDefault="00FC33F4" w:rsidP="00BF3230">
      <w:pPr>
        <w:rPr>
          <w:color w:val="000000"/>
          <w:sz w:val="22"/>
        </w:rPr>
      </w:pPr>
    </w:p>
    <w:p w14:paraId="587EBF22" w14:textId="77777777" w:rsidR="00FC33F4" w:rsidRDefault="00FC33F4" w:rsidP="00BF3230">
      <w:pPr>
        <w:rPr>
          <w:color w:val="000000"/>
          <w:sz w:val="22"/>
        </w:rPr>
      </w:pPr>
      <w:r>
        <w:rPr>
          <w:color w:val="000000"/>
          <w:sz w:val="22"/>
        </w:rPr>
        <w:t>Please, feel free to call me, or the author, Christina Steinhoff, with any questions you may have about these attachments.</w:t>
      </w:r>
    </w:p>
    <w:p w14:paraId="587EBF23" w14:textId="77777777" w:rsidR="00852C9D" w:rsidRDefault="00852C9D" w:rsidP="00BF3230">
      <w:pPr>
        <w:rPr>
          <w:color w:val="000000"/>
          <w:sz w:val="22"/>
        </w:rPr>
      </w:pPr>
    </w:p>
    <w:p w14:paraId="587EBF24" w14:textId="77777777" w:rsidR="00852C9D" w:rsidRDefault="00852C9D" w:rsidP="00BF3230">
      <w:pPr>
        <w:rPr>
          <w:color w:val="000000"/>
          <w:sz w:val="22"/>
        </w:rPr>
      </w:pPr>
    </w:p>
    <w:p w14:paraId="587EBF25" w14:textId="77777777" w:rsidR="00687A62" w:rsidRDefault="00687A62" w:rsidP="00BF3230">
      <w:pPr>
        <w:rPr>
          <w:b/>
          <w:color w:val="000000"/>
          <w:sz w:val="22"/>
        </w:rPr>
      </w:pPr>
      <w:r w:rsidRPr="00687A62">
        <w:rPr>
          <w:b/>
          <w:color w:val="000000"/>
          <w:sz w:val="22"/>
        </w:rPr>
        <w:t>Reporting Options</w:t>
      </w:r>
    </w:p>
    <w:p w14:paraId="587EBF26" w14:textId="77777777" w:rsidR="00687A62" w:rsidRDefault="00687A62" w:rsidP="00BF3230">
      <w:pPr>
        <w:rPr>
          <w:b/>
          <w:color w:val="000000"/>
          <w:sz w:val="22"/>
        </w:rPr>
      </w:pPr>
    </w:p>
    <w:p w14:paraId="587EBF27" w14:textId="77777777" w:rsidR="00687A62" w:rsidRDefault="00687A62" w:rsidP="00BF3230">
      <w:pPr>
        <w:rPr>
          <w:color w:val="000000"/>
          <w:sz w:val="22"/>
        </w:rPr>
      </w:pPr>
      <w:r>
        <w:rPr>
          <w:color w:val="000000"/>
          <w:sz w:val="22"/>
        </w:rPr>
        <w:t xml:space="preserve">As mentioned in the introduction, baseline types and funder-allocation types may be mixed and matched.  The matrix below </w:t>
      </w:r>
      <w:r w:rsidR="007B352A">
        <w:rPr>
          <w:color w:val="000000"/>
          <w:sz w:val="22"/>
        </w:rPr>
        <w:t xml:space="preserve">illustrates some of the </w:t>
      </w:r>
      <w:r>
        <w:rPr>
          <w:color w:val="000000"/>
          <w:sz w:val="22"/>
        </w:rPr>
        <w:t>options that have been requested of NEEA.</w:t>
      </w:r>
      <w:r w:rsidR="007B352A">
        <w:rPr>
          <w:color w:val="000000"/>
          <w:sz w:val="22"/>
        </w:rPr>
        <w:t xml:space="preserve">  </w:t>
      </w:r>
      <w:r w:rsidR="00FF6B9D">
        <w:rPr>
          <w:color w:val="000000"/>
          <w:sz w:val="22"/>
        </w:rPr>
        <w:t>In example 1</w:t>
      </w:r>
      <w:r w:rsidR="007B352A">
        <w:rPr>
          <w:color w:val="000000"/>
          <w:sz w:val="22"/>
        </w:rPr>
        <w:t xml:space="preserve">, </w:t>
      </w:r>
      <w:r w:rsidR="00FF6B9D">
        <w:rPr>
          <w:color w:val="000000"/>
          <w:sz w:val="22"/>
        </w:rPr>
        <w:t>this</w:t>
      </w:r>
      <w:r w:rsidR="007B352A">
        <w:rPr>
          <w:color w:val="000000"/>
          <w:sz w:val="22"/>
        </w:rPr>
        <w:t xml:space="preserve"> funder may have a mix of baselines (column 4) while only us</w:t>
      </w:r>
      <w:r w:rsidR="00571E23">
        <w:rPr>
          <w:color w:val="000000"/>
          <w:sz w:val="22"/>
        </w:rPr>
        <w:t>ing</w:t>
      </w:r>
      <w:r w:rsidR="007B352A">
        <w:rPr>
          <w:color w:val="000000"/>
          <w:sz w:val="22"/>
        </w:rPr>
        <w:t xml:space="preserve"> NEEA funder share (row1)</w:t>
      </w:r>
      <w:r w:rsidR="00571E23">
        <w:rPr>
          <w:color w:val="000000"/>
          <w:sz w:val="22"/>
        </w:rPr>
        <w:t xml:space="preserve"> to allocate initiative savings</w:t>
      </w:r>
      <w:r w:rsidR="007B352A">
        <w:rPr>
          <w:color w:val="000000"/>
          <w:sz w:val="22"/>
        </w:rPr>
        <w:t>.  While</w:t>
      </w:r>
      <w:r w:rsidR="00FF6B9D">
        <w:rPr>
          <w:color w:val="000000"/>
          <w:sz w:val="22"/>
        </w:rPr>
        <w:t xml:space="preserve"> in example 2,</w:t>
      </w:r>
      <w:r w:rsidR="007B352A">
        <w:rPr>
          <w:color w:val="000000"/>
          <w:sz w:val="22"/>
        </w:rPr>
        <w:t xml:space="preserve"> another funder may choose 6</w:t>
      </w:r>
      <w:r w:rsidR="007B352A" w:rsidRPr="007B352A">
        <w:rPr>
          <w:color w:val="000000"/>
          <w:sz w:val="22"/>
          <w:vertAlign w:val="superscript"/>
        </w:rPr>
        <w:t>th</w:t>
      </w:r>
      <w:r w:rsidR="007B352A">
        <w:rPr>
          <w:color w:val="000000"/>
          <w:sz w:val="22"/>
        </w:rPr>
        <w:t xml:space="preserve"> Power Plan only baseline (column </w:t>
      </w:r>
      <w:r w:rsidR="00FF6B9D">
        <w:rPr>
          <w:color w:val="000000"/>
          <w:sz w:val="22"/>
        </w:rPr>
        <w:t>2</w:t>
      </w:r>
      <w:r w:rsidR="007B352A">
        <w:rPr>
          <w:color w:val="000000"/>
          <w:sz w:val="22"/>
        </w:rPr>
        <w:t xml:space="preserve">), while using a mix of savings allocation methods (row 3).  </w:t>
      </w:r>
    </w:p>
    <w:p w14:paraId="587EBF28" w14:textId="77777777" w:rsidR="005E2088" w:rsidRDefault="005E2088" w:rsidP="00BF3230">
      <w:pPr>
        <w:rPr>
          <w:color w:val="000000"/>
          <w:sz w:val="22"/>
        </w:rPr>
      </w:pPr>
    </w:p>
    <w:p w14:paraId="587EBF29" w14:textId="77777777" w:rsidR="005E2088" w:rsidRDefault="005E2088" w:rsidP="00BF3230">
      <w:pPr>
        <w:rPr>
          <w:color w:val="000000"/>
          <w:sz w:val="22"/>
        </w:rPr>
      </w:pPr>
    </w:p>
    <w:p w14:paraId="587EBF2A" w14:textId="77777777" w:rsidR="005E2088" w:rsidRDefault="005E2088" w:rsidP="00BF3230">
      <w:pPr>
        <w:rPr>
          <w:color w:val="000000"/>
          <w:sz w:val="22"/>
        </w:rPr>
      </w:pPr>
    </w:p>
    <w:p w14:paraId="587EBF2B" w14:textId="77777777" w:rsidR="005E2088" w:rsidRDefault="005E2088" w:rsidP="00BF3230">
      <w:pPr>
        <w:rPr>
          <w:color w:val="000000"/>
          <w:sz w:val="22"/>
        </w:rPr>
      </w:pPr>
    </w:p>
    <w:p w14:paraId="587EBF2C" w14:textId="77777777" w:rsidR="005E2088" w:rsidRDefault="005E2088" w:rsidP="00BF3230">
      <w:pPr>
        <w:rPr>
          <w:color w:val="000000"/>
          <w:sz w:val="22"/>
        </w:rPr>
      </w:pPr>
    </w:p>
    <w:tbl>
      <w:tblPr>
        <w:tblStyle w:val="LightGrid-Accent3"/>
        <w:tblW w:w="0" w:type="auto"/>
        <w:tblInd w:w="108" w:type="dxa"/>
        <w:tblLook w:val="04A0" w:firstRow="1" w:lastRow="0" w:firstColumn="1" w:lastColumn="0" w:noHBand="0" w:noVBand="1"/>
      </w:tblPr>
      <w:tblGrid>
        <w:gridCol w:w="3060"/>
        <w:gridCol w:w="1530"/>
        <w:gridCol w:w="1530"/>
        <w:gridCol w:w="1530"/>
        <w:gridCol w:w="1710"/>
      </w:tblGrid>
      <w:tr w:rsidR="005E2088" w14:paraId="587EBF38" w14:textId="77777777" w:rsidTr="000D64A3">
        <w:trPr>
          <w:cnfStyle w:val="100000000000" w:firstRow="1" w:lastRow="0" w:firstColumn="0" w:lastColumn="0" w:oddVBand="0" w:evenVBand="0" w:oddHBand="0"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3060" w:type="dxa"/>
          </w:tcPr>
          <w:p w14:paraId="587EBF2D" w14:textId="77777777" w:rsidR="005E2088" w:rsidRDefault="000D64A3" w:rsidP="005E2088">
            <w:pPr>
              <w:rPr>
                <w:color w:val="000000"/>
                <w:sz w:val="22"/>
              </w:rPr>
            </w:pPr>
            <w:r>
              <w:rPr>
                <w:noProof/>
                <w:color w:val="000000"/>
                <w:sz w:val="22"/>
              </w:rPr>
              <mc:AlternateContent>
                <mc:Choice Requires="wps">
                  <w:drawing>
                    <wp:anchor distT="0" distB="0" distL="114300" distR="114300" simplePos="0" relativeHeight="251665408" behindDoc="0" locked="0" layoutInCell="1" allowOverlap="1" wp14:anchorId="587EBF55" wp14:editId="587EBF56">
                      <wp:simplePos x="0" y="0"/>
                      <wp:positionH relativeFrom="column">
                        <wp:posOffset>-72390</wp:posOffset>
                      </wp:positionH>
                      <wp:positionV relativeFrom="paragraph">
                        <wp:posOffset>8890</wp:posOffset>
                      </wp:positionV>
                      <wp:extent cx="1962150" cy="1552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7pt" to="148.8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" strokecolor="#4579b8 [3044]"/>
                  </w:pict>
                </mc:Fallback>
              </mc:AlternateContent>
            </w:r>
            <w:r w:rsidR="00304287" w:rsidRPr="005E2088">
              <w:rPr>
                <w:noProof/>
                <w:color w:val="000000"/>
                <w:sz w:val="22"/>
              </w:rPr>
              <mc:AlternateContent>
                <mc:Choice Requires="wps">
                  <w:drawing>
                    <wp:anchor distT="0" distB="0" distL="114300" distR="114300" simplePos="0" relativeHeight="251661312" behindDoc="0" locked="0" layoutInCell="1" allowOverlap="1" wp14:anchorId="587EBF57" wp14:editId="587EBF58">
                      <wp:simplePos x="0" y="0"/>
                      <wp:positionH relativeFrom="column">
                        <wp:posOffset>461010</wp:posOffset>
                      </wp:positionH>
                      <wp:positionV relativeFrom="paragraph">
                        <wp:posOffset>63500</wp:posOffset>
                      </wp:positionV>
                      <wp:extent cx="1285875" cy="904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04875"/>
                              </a:xfrm>
                              <a:prstGeom prst="rect">
                                <a:avLst/>
                              </a:prstGeom>
                              <a:solidFill>
                                <a:srgbClr val="FFFFFF"/>
                              </a:solidFill>
                              <a:ln w="9525">
                                <a:noFill/>
                                <a:miter lim="800000"/>
                                <a:headEnd/>
                                <a:tailEnd/>
                              </a:ln>
                            </wps:spPr>
                            <wps:txbx>
                              <w:txbxContent>
                                <w:p w14:paraId="587EBF67" w14:textId="77777777" w:rsidR="007B352A" w:rsidRDefault="007B352A" w:rsidP="00304287">
                                  <w:pPr>
                                    <w:jc w:val="right"/>
                                  </w:pPr>
                                  <w:r>
                                    <w:t>Savings Rates     based on Baseline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pt;margin-top:5pt;width:101.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" stroked="f">
                      <v:textbox>
                        <w:txbxContent>
                          <w:p w:rsidR="007B352A" w:rsidRDefault="007B352A" w:rsidP="00304287">
                            <w:pPr>
                              <w:jc w:val="right"/>
                            </w:pPr>
                            <w:r>
                              <w:t>Savings Rates     based on Baseline</w:t>
                            </w:r>
                          </w:p>
                        </w:txbxContent>
                      </v:textbox>
                    </v:shape>
                  </w:pict>
                </mc:Fallback>
              </mc:AlternateContent>
            </w:r>
          </w:p>
          <w:p w14:paraId="587EBF2E" w14:textId="77777777" w:rsidR="005E2088" w:rsidRDefault="005E2088" w:rsidP="005E2088">
            <w:pPr>
              <w:rPr>
                <w:color w:val="000000"/>
                <w:sz w:val="22"/>
              </w:rPr>
            </w:pPr>
          </w:p>
          <w:p w14:paraId="587EBF2F" w14:textId="77777777" w:rsidR="005E2088" w:rsidRDefault="005E2088" w:rsidP="005E2088">
            <w:pPr>
              <w:rPr>
                <w:color w:val="000000"/>
                <w:sz w:val="22"/>
              </w:rPr>
            </w:pPr>
          </w:p>
          <w:p w14:paraId="587EBF30" w14:textId="77777777" w:rsidR="005E2088" w:rsidRDefault="005E2088" w:rsidP="005E2088">
            <w:pPr>
              <w:rPr>
                <w:color w:val="000000"/>
                <w:sz w:val="22"/>
              </w:rPr>
            </w:pPr>
          </w:p>
          <w:p w14:paraId="587EBF31" w14:textId="77777777" w:rsidR="005E2088" w:rsidRDefault="00F136A3" w:rsidP="005E2088">
            <w:pPr>
              <w:rPr>
                <w:color w:val="000000"/>
                <w:sz w:val="22"/>
              </w:rPr>
            </w:pPr>
            <w:r w:rsidRPr="005E2088">
              <w:rPr>
                <w:noProof/>
                <w:color w:val="000000"/>
                <w:sz w:val="22"/>
              </w:rPr>
              <mc:AlternateContent>
                <mc:Choice Requires="wps">
                  <w:drawing>
                    <wp:anchor distT="0" distB="0" distL="114300" distR="114300" simplePos="0" relativeHeight="251656703" behindDoc="0" locked="0" layoutInCell="1" allowOverlap="1" wp14:anchorId="587EBF59" wp14:editId="587EBF5A">
                      <wp:simplePos x="0" y="0"/>
                      <wp:positionH relativeFrom="column">
                        <wp:posOffset>-15240</wp:posOffset>
                      </wp:positionH>
                      <wp:positionV relativeFrom="paragraph">
                        <wp:posOffset>233045</wp:posOffset>
                      </wp:positionV>
                      <wp:extent cx="1543050" cy="638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38175"/>
                              </a:xfrm>
                              <a:prstGeom prst="rect">
                                <a:avLst/>
                              </a:prstGeom>
                              <a:solidFill>
                                <a:srgbClr val="FFFFFF"/>
                              </a:solidFill>
                              <a:ln w="9525">
                                <a:noFill/>
                                <a:miter lim="800000"/>
                                <a:headEnd/>
                                <a:tailEnd/>
                              </a:ln>
                            </wps:spPr>
                            <wps:txbx>
                              <w:txbxContent>
                                <w:p w14:paraId="587EBF68" w14:textId="77777777" w:rsidR="007B352A" w:rsidRDefault="007B352A" w:rsidP="00F136A3">
                                  <w:r>
                                    <w:t>Method of allocating initiative savings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8.35pt;width:121.5pt;height:50.2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" stroked="f">
                      <v:textbox>
                        <w:txbxContent>
                          <w:p w:rsidR="007B352A" w:rsidRDefault="007B352A" w:rsidP="00F136A3">
                            <w:r>
                              <w:t>Method of allocating initiative savings</w:t>
                            </w:r>
                          </w:p>
                        </w:txbxContent>
                      </v:textbox>
                    </v:shape>
                  </w:pict>
                </mc:Fallback>
              </mc:AlternateContent>
            </w:r>
          </w:p>
        </w:tc>
        <w:tc>
          <w:tcPr>
            <w:tcW w:w="1530" w:type="dxa"/>
          </w:tcPr>
          <w:p w14:paraId="587EBF32"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5</w:t>
            </w:r>
            <w:r w:rsidRPr="005E2088">
              <w:rPr>
                <w:color w:val="000000"/>
                <w:sz w:val="22"/>
                <w:vertAlign w:val="superscript"/>
              </w:rPr>
              <w:t>th</w:t>
            </w:r>
            <w:r>
              <w:rPr>
                <w:color w:val="000000"/>
                <w:sz w:val="22"/>
              </w:rPr>
              <w:t xml:space="preserve"> Power Plan only</w:t>
            </w:r>
          </w:p>
          <w:p w14:paraId="587EBF33" w14:textId="77777777" w:rsidR="00FF6B9D" w:rsidRDefault="00FF6B9D" w:rsidP="005E2088">
            <w:pPr>
              <w:cnfStyle w:val="100000000000" w:firstRow="1" w:lastRow="0" w:firstColumn="0" w:lastColumn="0" w:oddVBand="0" w:evenVBand="0" w:oddHBand="0" w:evenHBand="0" w:firstRowFirstColumn="0" w:firstRowLastColumn="0" w:lastRowFirstColumn="0" w:lastRowLastColumn="0"/>
              <w:rPr>
                <w:color w:val="000000"/>
                <w:sz w:val="22"/>
              </w:rPr>
            </w:pPr>
          </w:p>
        </w:tc>
        <w:tc>
          <w:tcPr>
            <w:tcW w:w="1530" w:type="dxa"/>
          </w:tcPr>
          <w:p w14:paraId="587EBF34"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6</w:t>
            </w:r>
            <w:r w:rsidRPr="005E2088">
              <w:rPr>
                <w:color w:val="000000"/>
                <w:sz w:val="22"/>
                <w:vertAlign w:val="superscript"/>
              </w:rPr>
              <w:t>th</w:t>
            </w:r>
            <w:r>
              <w:rPr>
                <w:color w:val="000000"/>
                <w:sz w:val="22"/>
              </w:rPr>
              <w:t xml:space="preserve"> Power Plan only</w:t>
            </w:r>
          </w:p>
          <w:p w14:paraId="587EBF35" w14:textId="77777777" w:rsidR="00FF6B9D" w:rsidRDefault="00FF6B9D" w:rsidP="005E2088">
            <w:pPr>
              <w:cnfStyle w:val="100000000000" w:firstRow="1" w:lastRow="0" w:firstColumn="0" w:lastColumn="0" w:oddVBand="0" w:evenVBand="0" w:oddHBand="0" w:evenHBand="0" w:firstRowFirstColumn="0" w:firstRowLastColumn="0" w:lastRowFirstColumn="0" w:lastRowLastColumn="0"/>
              <w:rPr>
                <w:color w:val="000000"/>
                <w:sz w:val="22"/>
              </w:rPr>
            </w:pPr>
          </w:p>
        </w:tc>
        <w:tc>
          <w:tcPr>
            <w:tcW w:w="1530" w:type="dxa"/>
          </w:tcPr>
          <w:p w14:paraId="587EBF36"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NEEA only</w:t>
            </w:r>
          </w:p>
        </w:tc>
        <w:tc>
          <w:tcPr>
            <w:tcW w:w="1710" w:type="dxa"/>
          </w:tcPr>
          <w:p w14:paraId="587EBF37"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Custom + 6</w:t>
            </w:r>
            <w:r w:rsidRPr="005E2088">
              <w:rPr>
                <w:color w:val="000000"/>
                <w:sz w:val="22"/>
                <w:vertAlign w:val="superscript"/>
              </w:rPr>
              <w:t>th</w:t>
            </w:r>
            <w:r>
              <w:rPr>
                <w:color w:val="000000"/>
                <w:sz w:val="22"/>
              </w:rPr>
              <w:t xml:space="preserve"> Power Plan/or NEEA baseline*</w:t>
            </w:r>
          </w:p>
        </w:tc>
      </w:tr>
      <w:tr w:rsidR="005E2088" w14:paraId="587EBF40" w14:textId="77777777" w:rsidTr="000D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39" w14:textId="77777777" w:rsidR="005E2088" w:rsidRDefault="005E2088" w:rsidP="005E2088">
            <w:pPr>
              <w:rPr>
                <w:color w:val="000000"/>
                <w:sz w:val="22"/>
              </w:rPr>
            </w:pPr>
            <w:r>
              <w:rPr>
                <w:color w:val="000000"/>
                <w:sz w:val="22"/>
              </w:rPr>
              <w:t>NEEA Funder Share</w:t>
            </w:r>
          </w:p>
          <w:p w14:paraId="587EBF3A" w14:textId="77777777" w:rsidR="005E2088" w:rsidRDefault="005E2088" w:rsidP="005E2088">
            <w:pPr>
              <w:rPr>
                <w:color w:val="000000"/>
                <w:sz w:val="22"/>
              </w:rPr>
            </w:pPr>
          </w:p>
          <w:p w14:paraId="587EBF3B" w14:textId="77777777" w:rsidR="005E2088" w:rsidRDefault="005E2088" w:rsidP="005E2088">
            <w:pPr>
              <w:rPr>
                <w:color w:val="000000"/>
                <w:sz w:val="22"/>
              </w:rPr>
            </w:pPr>
          </w:p>
        </w:tc>
        <w:tc>
          <w:tcPr>
            <w:tcW w:w="1530" w:type="dxa"/>
          </w:tcPr>
          <w:p w14:paraId="587EBF3C"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3D"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3E"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710" w:type="dxa"/>
          </w:tcPr>
          <w:p w14:paraId="587EBF3F" w14:textId="77777777" w:rsidR="005E2088" w:rsidRDefault="00FF6B9D" w:rsidP="00FF6B9D">
            <w:pPr>
              <w:jc w:val="cente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Example 1</w:t>
            </w:r>
          </w:p>
        </w:tc>
      </w:tr>
      <w:tr w:rsidR="005E2088" w14:paraId="587EBF46" w14:textId="77777777" w:rsidTr="000D64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41" w14:textId="77777777" w:rsidR="005E2088" w:rsidRDefault="005E2088" w:rsidP="005E2088">
            <w:pPr>
              <w:rPr>
                <w:color w:val="000000"/>
                <w:sz w:val="22"/>
              </w:rPr>
            </w:pPr>
            <w:r>
              <w:rPr>
                <w:color w:val="000000"/>
                <w:sz w:val="22"/>
              </w:rPr>
              <w:t>Service Territory Allocation based on NEEA data collection</w:t>
            </w:r>
          </w:p>
        </w:tc>
        <w:tc>
          <w:tcPr>
            <w:tcW w:w="1530" w:type="dxa"/>
          </w:tcPr>
          <w:p w14:paraId="587EBF42"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530" w:type="dxa"/>
          </w:tcPr>
          <w:p w14:paraId="587EBF43"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530" w:type="dxa"/>
          </w:tcPr>
          <w:p w14:paraId="587EBF44"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710" w:type="dxa"/>
          </w:tcPr>
          <w:p w14:paraId="587EBF45"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r>
      <w:tr w:rsidR="005E2088" w14:paraId="587EBF4C" w14:textId="77777777" w:rsidTr="000D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47" w14:textId="77777777" w:rsidR="005E2088" w:rsidRDefault="005E2088" w:rsidP="005E2088">
            <w:pPr>
              <w:rPr>
                <w:color w:val="000000"/>
                <w:sz w:val="22"/>
              </w:rPr>
            </w:pPr>
            <w:r>
              <w:rPr>
                <w:color w:val="000000"/>
                <w:sz w:val="22"/>
              </w:rPr>
              <w:t>Custom Service Territory from Funder + NEEA Funder Share or other Service Territory Allocation</w:t>
            </w:r>
          </w:p>
        </w:tc>
        <w:tc>
          <w:tcPr>
            <w:tcW w:w="1530" w:type="dxa"/>
          </w:tcPr>
          <w:p w14:paraId="587EBF48" w14:textId="77777777" w:rsidR="005E2088" w:rsidRDefault="005E2088" w:rsidP="00FF6B9D">
            <w:pPr>
              <w:jc w:val="cente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49" w14:textId="77777777" w:rsidR="005E2088" w:rsidRDefault="00571E23" w:rsidP="005E2088">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Example 2</w:t>
            </w:r>
          </w:p>
        </w:tc>
        <w:tc>
          <w:tcPr>
            <w:tcW w:w="1530" w:type="dxa"/>
          </w:tcPr>
          <w:p w14:paraId="587EBF4A"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710" w:type="dxa"/>
          </w:tcPr>
          <w:p w14:paraId="587EBF4B"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r>
    </w:tbl>
    <w:p w14:paraId="587EBF4D" w14:textId="77777777" w:rsidR="00687A62" w:rsidRDefault="00687A62" w:rsidP="00BF3230">
      <w:pPr>
        <w:rPr>
          <w:color w:val="000000"/>
          <w:sz w:val="22"/>
        </w:rPr>
      </w:pPr>
    </w:p>
    <w:p w14:paraId="587EBF4E" w14:textId="77777777" w:rsidR="007B352A" w:rsidRDefault="007B352A" w:rsidP="00BF3230">
      <w:pPr>
        <w:rPr>
          <w:color w:val="000000"/>
          <w:sz w:val="22"/>
        </w:rPr>
      </w:pPr>
    </w:p>
    <w:p w14:paraId="587EBF4F" w14:textId="77777777" w:rsidR="00592526" w:rsidRDefault="00592526" w:rsidP="00592526">
      <w:pPr>
        <w:rPr>
          <w:color w:val="000000"/>
          <w:sz w:val="22"/>
        </w:rPr>
      </w:pPr>
      <w:r>
        <w:rPr>
          <w:color w:val="000000"/>
          <w:sz w:val="22"/>
        </w:rPr>
        <w:t>As a result, NEEA produces many different types of savings reports to our funders.  Again, this information can be very confusing, so please don’t hesitate to call or email with questions.</w:t>
      </w:r>
    </w:p>
    <w:p w14:paraId="587EBF50" w14:textId="77777777" w:rsidR="00592526" w:rsidRDefault="00592526" w:rsidP="00592526">
      <w:pPr>
        <w:rPr>
          <w:color w:val="000000"/>
          <w:sz w:val="22"/>
        </w:rPr>
      </w:pPr>
    </w:p>
    <w:p w14:paraId="587EBF51" w14:textId="77777777" w:rsidR="00592526" w:rsidRDefault="00592526" w:rsidP="00592526">
      <w:pPr>
        <w:rPr>
          <w:color w:val="000000"/>
          <w:sz w:val="22"/>
        </w:rPr>
      </w:pPr>
    </w:p>
    <w:p w14:paraId="587EBF52" w14:textId="77777777" w:rsidR="007B352A" w:rsidRPr="00687A62" w:rsidRDefault="007B352A" w:rsidP="00BF3230">
      <w:pPr>
        <w:rPr>
          <w:color w:val="000000"/>
          <w:sz w:val="22"/>
        </w:rPr>
      </w:pPr>
    </w:p>
    <w:sectPr w:rsidR="007B352A" w:rsidRPr="00687A62" w:rsidSect="006241BF">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EBF5D" w14:textId="77777777" w:rsidR="007B352A" w:rsidRDefault="007B352A" w:rsidP="00BF3230">
      <w:r>
        <w:separator/>
      </w:r>
    </w:p>
  </w:endnote>
  <w:endnote w:type="continuationSeparator" w:id="0">
    <w:p w14:paraId="587EBF5E" w14:textId="77777777" w:rsidR="007B352A" w:rsidRDefault="007B352A" w:rsidP="00BF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5F" w14:textId="77777777" w:rsidR="007B352A" w:rsidRPr="00BE4B3E" w:rsidRDefault="007B352A" w:rsidP="00BF3230">
    <w:pPr>
      <w:pStyle w:val="Footer"/>
      <w:framePr w:wrap="around" w:vAnchor="text" w:hAnchor="margin" w:xAlign="right" w:y="1"/>
      <w:rPr>
        <w:rStyle w:val="PageNumber"/>
        <w:rFonts w:cs="Arial"/>
      </w:rPr>
    </w:pPr>
    <w:r>
      <w:rPr>
        <w:rStyle w:val="PageNumber"/>
      </w:rPr>
      <w:fldChar w:fldCharType="begin"/>
    </w:r>
    <w:r>
      <w:rPr>
        <w:rStyle w:val="PageNumber"/>
      </w:rPr>
      <w:instrText xml:space="preserve">PAGE  </w:instrText>
    </w:r>
    <w:r>
      <w:rPr>
        <w:rStyle w:val="PageNumber"/>
      </w:rPr>
      <w:fldChar w:fldCharType="end"/>
    </w:r>
  </w:p>
  <w:p w14:paraId="587EBF60" w14:textId="77777777" w:rsidR="007B352A" w:rsidRPr="00BE4B3E" w:rsidRDefault="007B352A" w:rsidP="00BF3230">
    <w:pPr>
      <w:pStyle w:val="Footer"/>
      <w:ind w:right="360"/>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61" w14:textId="77777777" w:rsidR="007B352A" w:rsidRPr="00E413A2" w:rsidRDefault="007B352A" w:rsidP="00BF3230">
    <w:pPr>
      <w:pStyle w:val="Footer"/>
      <w:framePr w:wrap="around" w:vAnchor="text" w:hAnchor="margin" w:xAlign="right" w:y="1"/>
      <w:rPr>
        <w:rFonts w:cs="Arial"/>
      </w:rPr>
    </w:pPr>
    <w:r w:rsidRPr="00E413A2">
      <w:rPr>
        <w:rFonts w:cs="Arial"/>
        <w:color w:val="3B3D3C"/>
        <w:sz w:val="20"/>
      </w:rPr>
      <w:t xml:space="preserve">- </w:t>
    </w:r>
    <w:r w:rsidRPr="00E413A2">
      <w:rPr>
        <w:rStyle w:val="PageNumber"/>
        <w:rFonts w:cs="Arial"/>
        <w:color w:val="3B3D3C"/>
        <w:sz w:val="20"/>
      </w:rPr>
      <w:fldChar w:fldCharType="begin"/>
    </w:r>
    <w:r w:rsidRPr="00E413A2">
      <w:rPr>
        <w:rStyle w:val="PageNumber"/>
        <w:rFonts w:cs="Arial"/>
        <w:color w:val="3B3D3C"/>
        <w:sz w:val="20"/>
      </w:rPr>
      <w:instrText xml:space="preserve">PAGE  </w:instrText>
    </w:r>
    <w:r w:rsidRPr="00E413A2">
      <w:rPr>
        <w:rStyle w:val="PageNumber"/>
        <w:rFonts w:cs="Arial"/>
        <w:color w:val="3B3D3C"/>
        <w:sz w:val="20"/>
      </w:rPr>
      <w:fldChar w:fldCharType="separate"/>
    </w:r>
    <w:r w:rsidR="00DB71C0">
      <w:rPr>
        <w:rStyle w:val="PageNumber"/>
        <w:rFonts w:cs="Arial"/>
        <w:noProof/>
        <w:color w:val="3B3D3C"/>
        <w:sz w:val="20"/>
      </w:rPr>
      <w:t>1</w:t>
    </w:r>
    <w:r w:rsidRPr="00E413A2">
      <w:rPr>
        <w:rStyle w:val="PageNumber"/>
        <w:rFonts w:cs="Arial"/>
        <w:color w:val="3B3D3C"/>
        <w:sz w:val="20"/>
      </w:rPr>
      <w:fldChar w:fldCharType="end"/>
    </w:r>
    <w:r w:rsidRPr="00E413A2">
      <w:rPr>
        <w:rStyle w:val="PageNumber"/>
        <w:rFonts w:cs="Arial"/>
        <w:color w:val="3B3D3C"/>
        <w:sz w:val="20"/>
      </w:rPr>
      <w:t xml:space="preserve"> </w:t>
    </w:r>
    <w:r w:rsidRPr="00E413A2">
      <w:rPr>
        <w:rFonts w:cs="Arial"/>
        <w:color w:val="3B3D3C"/>
        <w:sz w:val="20"/>
      </w:rPr>
      <w:t>-</w:t>
    </w:r>
  </w:p>
  <w:p w14:paraId="587EBF62" w14:textId="77777777" w:rsidR="007B352A" w:rsidRPr="00E413A2" w:rsidRDefault="007B352A" w:rsidP="00BF3230">
    <w:pPr>
      <w:tabs>
        <w:tab w:val="right" w:pos="9090"/>
      </w:tabs>
      <w:ind w:right="360"/>
      <w:rPr>
        <w:rFonts w:cs="Arial"/>
        <w:color w:val="0092D2"/>
        <w:sz w:val="20"/>
      </w:rPr>
    </w:pPr>
    <w:r w:rsidRPr="00E413A2">
      <w:rPr>
        <w:rFonts w:cs="Arial"/>
        <w:color w:val="0092D2"/>
        <w:sz w:val="20"/>
      </w:rPr>
      <w:tab/>
      <w:t xml:space="preserve">Northwest Energy Efficiency Alliance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63" w14:textId="77777777" w:rsidR="007B352A" w:rsidRPr="00AD2B69" w:rsidRDefault="007B352A" w:rsidP="00BF3230">
    <w:pPr>
      <w:jc w:val="right"/>
      <w:rPr>
        <w:color w:val="0092D2"/>
        <w:sz w:val="20"/>
      </w:rPr>
    </w:pPr>
    <w:r w:rsidRPr="004000DE">
      <w:rPr>
        <w:rFonts w:cs="Arial"/>
      </w:rPr>
      <w:tab/>
    </w:r>
    <w:r w:rsidRPr="00AD2B69">
      <w:rPr>
        <w:color w:val="0092D2"/>
        <w:sz w:val="20"/>
      </w:rPr>
      <w:t>Northwest Energy Efficiency Alliance</w:t>
    </w:r>
  </w:p>
  <w:p w14:paraId="587EBF64" w14:textId="77777777" w:rsidR="007B352A" w:rsidRPr="00AD2B69" w:rsidRDefault="007B352A" w:rsidP="00BF3230">
    <w:pPr>
      <w:jc w:val="right"/>
      <w:rPr>
        <w:color w:val="0092D2"/>
        <w:sz w:val="20"/>
      </w:rPr>
    </w:pPr>
    <w:r w:rsidRPr="00AD2B69">
      <w:rPr>
        <w:color w:val="0092D2"/>
        <w:sz w:val="20"/>
      </w:rPr>
      <w:t>421 SW Sixth Avenue, Suite 600, Portland, OR 97204</w:t>
    </w:r>
  </w:p>
  <w:p w14:paraId="587EBF65" w14:textId="77777777" w:rsidR="007B352A" w:rsidRPr="00AD2B69" w:rsidRDefault="007B352A" w:rsidP="00BF3230">
    <w:pPr>
      <w:jc w:val="right"/>
      <w:rPr>
        <w:color w:val="3B3D3C"/>
        <w:sz w:val="20"/>
      </w:rPr>
    </w:pPr>
    <w:r w:rsidRPr="00AD2B69">
      <w:rPr>
        <w:color w:val="3B3D3C"/>
        <w:sz w:val="20"/>
      </w:rPr>
      <w:t>503.688.5400   |   Fax 503.688.5447</w:t>
    </w:r>
  </w:p>
  <w:p w14:paraId="587EBF66" w14:textId="77777777" w:rsidR="007B352A" w:rsidRPr="004000DE" w:rsidRDefault="00DB71C0" w:rsidP="00BF3230">
    <w:pPr>
      <w:pStyle w:val="Footer"/>
      <w:tabs>
        <w:tab w:val="clear" w:pos="4320"/>
        <w:tab w:val="clear" w:pos="8640"/>
        <w:tab w:val="left" w:pos="5952"/>
      </w:tabs>
      <w:jc w:val="right"/>
      <w:rPr>
        <w:rFonts w:cs="Arial"/>
      </w:rPr>
    </w:pPr>
    <w:hyperlink r:id="rId1" w:history="1">
      <w:r w:rsidR="007B352A" w:rsidRPr="00AD2B69">
        <w:rPr>
          <w:color w:val="0092D2"/>
          <w:sz w:val="20"/>
        </w:rPr>
        <w:t>neea.org</w:t>
      </w:r>
    </w:hyperlink>
    <w:r w:rsidR="007B352A" w:rsidRPr="00AD2B69">
      <w:rPr>
        <w:color w:val="0092D2"/>
        <w:sz w:val="20"/>
      </w:rPr>
      <w:t xml:space="preserve">   |   </w:t>
    </w:r>
    <w:hyperlink r:id="rId2" w:history="1">
      <w:r w:rsidR="007B352A" w:rsidRPr="00AD2B69">
        <w:rPr>
          <w:color w:val="0092D2"/>
          <w:sz w:val="20"/>
        </w:rPr>
        <w:t>info@neea.org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EBF5B" w14:textId="77777777" w:rsidR="007B352A" w:rsidRDefault="007B352A" w:rsidP="00BF3230">
      <w:r>
        <w:separator/>
      </w:r>
    </w:p>
  </w:footnote>
  <w:footnote w:type="continuationSeparator" w:id="0">
    <w:p w14:paraId="587EBF5C" w14:textId="77777777" w:rsidR="007B352A" w:rsidRDefault="007B352A" w:rsidP="00BF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570D" w14:textId="7808A4D6" w:rsidR="006241BF" w:rsidRDefault="006241BF" w:rsidP="006241BF">
    <w:pPr>
      <w:pStyle w:val="Header"/>
      <w:jc w:val="right"/>
      <w:rPr>
        <w:rFonts w:ascii="Times New Roman" w:hAnsi="Times New Roman"/>
        <w:sz w:val="20"/>
        <w:szCs w:val="20"/>
      </w:rPr>
    </w:pPr>
    <w:r>
      <w:rPr>
        <w:rFonts w:ascii="Times New Roman" w:hAnsi="Times New Roman"/>
        <w:sz w:val="20"/>
        <w:szCs w:val="20"/>
      </w:rPr>
      <w:t>DOCKETS UE-100170</w:t>
    </w:r>
    <w:r w:rsidR="004C4AF3">
      <w:rPr>
        <w:rFonts w:ascii="Times New Roman" w:hAnsi="Times New Roman"/>
        <w:sz w:val="20"/>
        <w:szCs w:val="20"/>
      </w:rPr>
      <w:t>,</w:t>
    </w:r>
    <w:r>
      <w:rPr>
        <w:rFonts w:ascii="Times New Roman" w:hAnsi="Times New Roman"/>
        <w:sz w:val="20"/>
        <w:szCs w:val="20"/>
      </w:rPr>
      <w:t xml:space="preserve"> UE-100176</w:t>
    </w:r>
    <w:r w:rsidR="004C4AF3">
      <w:rPr>
        <w:rFonts w:ascii="Times New Roman" w:hAnsi="Times New Roman"/>
        <w:sz w:val="20"/>
        <w:szCs w:val="20"/>
      </w:rPr>
      <w:t xml:space="preserve"> and</w:t>
    </w:r>
    <w:r>
      <w:rPr>
        <w:rFonts w:ascii="Times New Roman" w:hAnsi="Times New Roman"/>
        <w:sz w:val="20"/>
        <w:szCs w:val="20"/>
      </w:rPr>
      <w:t xml:space="preserve"> UE-100177</w:t>
    </w:r>
  </w:p>
  <w:p w14:paraId="49AEC397" w14:textId="19ADDBD2" w:rsidR="006241BF" w:rsidRPr="006241BF" w:rsidRDefault="006241BF" w:rsidP="006241BF">
    <w:pPr>
      <w:pStyle w:val="Header"/>
      <w:jc w:val="right"/>
      <w:rPr>
        <w:rFonts w:ascii="Times New Roman" w:hAnsi="Times New Roman"/>
        <w:sz w:val="20"/>
        <w:szCs w:val="20"/>
      </w:rPr>
    </w:pPr>
    <w:r>
      <w:rPr>
        <w:rFonts w:ascii="Times New Roman" w:hAnsi="Times New Roman"/>
        <w:sz w:val="20"/>
        <w:szCs w:val="20"/>
      </w:rPr>
      <w:t>STAFF MEMO ATTACHMENT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AD52" w14:textId="7CAD9CCE" w:rsidR="006241BF" w:rsidRDefault="006241BF" w:rsidP="006241BF">
    <w:pPr>
      <w:pStyle w:val="Header"/>
      <w:jc w:val="right"/>
      <w:rPr>
        <w:rFonts w:ascii="Times New Roman" w:hAnsi="Times New Roman"/>
        <w:sz w:val="20"/>
        <w:szCs w:val="20"/>
      </w:rPr>
    </w:pPr>
    <w:r>
      <w:rPr>
        <w:rFonts w:ascii="Times New Roman" w:hAnsi="Times New Roman"/>
        <w:sz w:val="20"/>
        <w:szCs w:val="20"/>
      </w:rPr>
      <w:t>DOCKETS UE-100170 UE-100176 UE-100177</w:t>
    </w:r>
  </w:p>
  <w:p w14:paraId="173F9115" w14:textId="70911C04" w:rsidR="006241BF" w:rsidRDefault="006241BF" w:rsidP="006241BF">
    <w:pPr>
      <w:pStyle w:val="Header"/>
      <w:jc w:val="right"/>
      <w:rPr>
        <w:rFonts w:ascii="Times New Roman" w:hAnsi="Times New Roman"/>
        <w:sz w:val="20"/>
        <w:szCs w:val="20"/>
      </w:rPr>
    </w:pPr>
    <w:r>
      <w:rPr>
        <w:rFonts w:ascii="Times New Roman" w:hAnsi="Times New Roman"/>
        <w:sz w:val="20"/>
        <w:szCs w:val="20"/>
      </w:rPr>
      <w:t>STAFF MEMO ATTACHMENT B</w:t>
    </w:r>
  </w:p>
  <w:p w14:paraId="2B65844C" w14:textId="77777777" w:rsidR="006241BF" w:rsidRPr="006241BF" w:rsidRDefault="006241BF" w:rsidP="006241BF">
    <w:pPr>
      <w:pStyle w:val="Heade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D4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A479C6"/>
    <w:lvl w:ilvl="0">
      <w:start w:val="1"/>
      <w:numFmt w:val="decimal"/>
      <w:lvlText w:val="%1."/>
      <w:lvlJc w:val="left"/>
      <w:pPr>
        <w:tabs>
          <w:tab w:val="num" w:pos="1800"/>
        </w:tabs>
        <w:ind w:left="1800" w:hanging="360"/>
      </w:pPr>
    </w:lvl>
  </w:abstractNum>
  <w:abstractNum w:abstractNumId="2">
    <w:nsid w:val="FFFFFF7D"/>
    <w:multiLevelType w:val="singleLevel"/>
    <w:tmpl w:val="030E9898"/>
    <w:lvl w:ilvl="0">
      <w:start w:val="1"/>
      <w:numFmt w:val="decimal"/>
      <w:lvlText w:val="%1."/>
      <w:lvlJc w:val="left"/>
      <w:pPr>
        <w:tabs>
          <w:tab w:val="num" w:pos="1440"/>
        </w:tabs>
        <w:ind w:left="1440" w:hanging="360"/>
      </w:pPr>
    </w:lvl>
  </w:abstractNum>
  <w:abstractNum w:abstractNumId="3">
    <w:nsid w:val="FFFFFF7E"/>
    <w:multiLevelType w:val="singleLevel"/>
    <w:tmpl w:val="378202C8"/>
    <w:lvl w:ilvl="0">
      <w:start w:val="1"/>
      <w:numFmt w:val="decimal"/>
      <w:lvlText w:val="%1."/>
      <w:lvlJc w:val="left"/>
      <w:pPr>
        <w:tabs>
          <w:tab w:val="num" w:pos="1080"/>
        </w:tabs>
        <w:ind w:left="1080" w:hanging="360"/>
      </w:pPr>
    </w:lvl>
  </w:abstractNum>
  <w:abstractNum w:abstractNumId="4">
    <w:nsid w:val="FFFFFF7F"/>
    <w:multiLevelType w:val="singleLevel"/>
    <w:tmpl w:val="82240BE2"/>
    <w:lvl w:ilvl="0">
      <w:start w:val="1"/>
      <w:numFmt w:val="decimal"/>
      <w:lvlText w:val="%1."/>
      <w:lvlJc w:val="left"/>
      <w:pPr>
        <w:tabs>
          <w:tab w:val="num" w:pos="720"/>
        </w:tabs>
        <w:ind w:left="720" w:hanging="360"/>
      </w:pPr>
    </w:lvl>
  </w:abstractNum>
  <w:abstractNum w:abstractNumId="5">
    <w:nsid w:val="FFFFFF80"/>
    <w:multiLevelType w:val="singleLevel"/>
    <w:tmpl w:val="0D0026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BEA6F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1043A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B885F3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9094AE"/>
    <w:lvl w:ilvl="0">
      <w:start w:val="1"/>
      <w:numFmt w:val="decimal"/>
      <w:lvlText w:val="%1."/>
      <w:lvlJc w:val="left"/>
      <w:pPr>
        <w:tabs>
          <w:tab w:val="num" w:pos="360"/>
        </w:tabs>
        <w:ind w:left="360" w:hanging="360"/>
      </w:pPr>
    </w:lvl>
  </w:abstractNum>
  <w:abstractNum w:abstractNumId="10">
    <w:nsid w:val="FFFFFF89"/>
    <w:multiLevelType w:val="singleLevel"/>
    <w:tmpl w:val="3C4A5CFC"/>
    <w:lvl w:ilvl="0">
      <w:start w:val="1"/>
      <w:numFmt w:val="bullet"/>
      <w:lvlText w:val=""/>
      <w:lvlJc w:val="left"/>
      <w:pPr>
        <w:tabs>
          <w:tab w:val="num" w:pos="360"/>
        </w:tabs>
        <w:ind w:left="360" w:hanging="360"/>
      </w:pPr>
      <w:rPr>
        <w:rFonts w:ascii="Symbol" w:hAnsi="Symbol" w:hint="default"/>
      </w:rPr>
    </w:lvl>
  </w:abstractNum>
  <w:abstractNum w:abstractNumId="11">
    <w:nsid w:val="743B3A67"/>
    <w:multiLevelType w:val="hybridMultilevel"/>
    <w:tmpl w:val="CE02D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E1C3B"/>
    <w:multiLevelType w:val="hybridMultilevel"/>
    <w:tmpl w:val="6E5E7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9B"/>
    <w:rsid w:val="00025E70"/>
    <w:rsid w:val="000375C8"/>
    <w:rsid w:val="000C2094"/>
    <w:rsid w:val="000C386C"/>
    <w:rsid w:val="000D64A3"/>
    <w:rsid w:val="000E506D"/>
    <w:rsid w:val="001359D1"/>
    <w:rsid w:val="00291CF9"/>
    <w:rsid w:val="002B24F2"/>
    <w:rsid w:val="00304287"/>
    <w:rsid w:val="0032751F"/>
    <w:rsid w:val="003819C0"/>
    <w:rsid w:val="003A72DD"/>
    <w:rsid w:val="003E47AD"/>
    <w:rsid w:val="004000DE"/>
    <w:rsid w:val="00401B6F"/>
    <w:rsid w:val="00455CBB"/>
    <w:rsid w:val="00480238"/>
    <w:rsid w:val="00484320"/>
    <w:rsid w:val="004B2598"/>
    <w:rsid w:val="004C4AF3"/>
    <w:rsid w:val="00571E23"/>
    <w:rsid w:val="00592526"/>
    <w:rsid w:val="005A54D3"/>
    <w:rsid w:val="005E2088"/>
    <w:rsid w:val="0060255D"/>
    <w:rsid w:val="006241BF"/>
    <w:rsid w:val="00636860"/>
    <w:rsid w:val="00687A62"/>
    <w:rsid w:val="00697A9B"/>
    <w:rsid w:val="00761C30"/>
    <w:rsid w:val="007B352A"/>
    <w:rsid w:val="007D5DBB"/>
    <w:rsid w:val="00840C59"/>
    <w:rsid w:val="00852C9D"/>
    <w:rsid w:val="00874622"/>
    <w:rsid w:val="009542EA"/>
    <w:rsid w:val="00975A89"/>
    <w:rsid w:val="009A63DA"/>
    <w:rsid w:val="009B698C"/>
    <w:rsid w:val="009C10CB"/>
    <w:rsid w:val="00A31F8B"/>
    <w:rsid w:val="00AC20A8"/>
    <w:rsid w:val="00B649A7"/>
    <w:rsid w:val="00BE4B3E"/>
    <w:rsid w:val="00BF3230"/>
    <w:rsid w:val="00C056BB"/>
    <w:rsid w:val="00C43F12"/>
    <w:rsid w:val="00C92C33"/>
    <w:rsid w:val="00D0109C"/>
    <w:rsid w:val="00D03F79"/>
    <w:rsid w:val="00D07422"/>
    <w:rsid w:val="00D13CBE"/>
    <w:rsid w:val="00D5572D"/>
    <w:rsid w:val="00D93904"/>
    <w:rsid w:val="00DB5C78"/>
    <w:rsid w:val="00DB71C0"/>
    <w:rsid w:val="00E413A2"/>
    <w:rsid w:val="00E57BE8"/>
    <w:rsid w:val="00E67333"/>
    <w:rsid w:val="00E83667"/>
    <w:rsid w:val="00F136A3"/>
    <w:rsid w:val="00FC33F4"/>
    <w:rsid w:val="00FE7883"/>
    <w:rsid w:val="00FF637A"/>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7E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table" w:styleId="LightGrid-Accent3">
    <w:name w:val="Light Grid Accent 3"/>
    <w:basedOn w:val="TableNormal"/>
    <w:uiPriority w:val="62"/>
    <w:rsid w:val="00401B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FC33F4"/>
    <w:pPr>
      <w:ind w:left="720"/>
      <w:contextualSpacing/>
    </w:pPr>
  </w:style>
  <w:style w:type="paragraph" w:styleId="BalloonText">
    <w:name w:val="Balloon Text"/>
    <w:basedOn w:val="Normal"/>
    <w:link w:val="BalloonTextChar"/>
    <w:rsid w:val="005E2088"/>
    <w:rPr>
      <w:rFonts w:ascii="Tahoma" w:hAnsi="Tahoma" w:cs="Tahoma"/>
      <w:sz w:val="16"/>
      <w:szCs w:val="16"/>
    </w:rPr>
  </w:style>
  <w:style w:type="character" w:customStyle="1" w:styleId="BalloonTextChar">
    <w:name w:val="Balloon Text Char"/>
    <w:basedOn w:val="DefaultParagraphFont"/>
    <w:link w:val="BalloonText"/>
    <w:rsid w:val="005E2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table" w:styleId="LightGrid-Accent3">
    <w:name w:val="Light Grid Accent 3"/>
    <w:basedOn w:val="TableNormal"/>
    <w:uiPriority w:val="62"/>
    <w:rsid w:val="00401B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FC33F4"/>
    <w:pPr>
      <w:ind w:left="720"/>
      <w:contextualSpacing/>
    </w:pPr>
  </w:style>
  <w:style w:type="paragraph" w:styleId="BalloonText">
    <w:name w:val="Balloon Text"/>
    <w:basedOn w:val="Normal"/>
    <w:link w:val="BalloonTextChar"/>
    <w:rsid w:val="005E2088"/>
    <w:rPr>
      <w:rFonts w:ascii="Tahoma" w:hAnsi="Tahoma" w:cs="Tahoma"/>
      <w:sz w:val="16"/>
      <w:szCs w:val="16"/>
    </w:rPr>
  </w:style>
  <w:style w:type="character" w:customStyle="1" w:styleId="BalloonTextChar">
    <w:name w:val="Balloon Text Char"/>
    <w:basedOn w:val="DefaultParagraphFont"/>
    <w:link w:val="BalloonText"/>
    <w:rsid w:val="005E2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05_REFERENCE_LIBRARY\00_Templates\Communications\Production_Start_Menu\NEEA%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36E17-9B00-4374-9B6D-CDE9A660F28A}"/>
</file>

<file path=customXml/itemProps2.xml><?xml version="1.0" encoding="utf-8"?>
<ds:datastoreItem xmlns:ds="http://schemas.openxmlformats.org/officeDocument/2006/customXml" ds:itemID="{3F1144DE-0BCB-4420-8DD5-C0925ABA05FF}"/>
</file>

<file path=customXml/itemProps3.xml><?xml version="1.0" encoding="utf-8"?>
<ds:datastoreItem xmlns:ds="http://schemas.openxmlformats.org/officeDocument/2006/customXml" ds:itemID="{681044FA-4B6F-4C4F-8F56-A5B2C867E75E}"/>
</file>

<file path=customXml/itemProps4.xml><?xml version="1.0" encoding="utf-8"?>
<ds:datastoreItem xmlns:ds="http://schemas.openxmlformats.org/officeDocument/2006/customXml" ds:itemID="{C35CD22C-49BC-492D-A097-5D3CCED86D44}"/>
</file>

<file path=docProps/app.xml><?xml version="1.0" encoding="utf-8"?>
<Properties xmlns="http://schemas.openxmlformats.org/officeDocument/2006/extended-properties" xmlns:vt="http://schemas.openxmlformats.org/officeDocument/2006/docPropsVTypes">
  <Template>NEEA Memo</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UE-100170 UE-100176 UE-100177 NEW Memo Attachment B</vt:lpstr>
    </vt:vector>
  </TitlesOfParts>
  <Company>Northwest Energy Efficiency Alliance</Company>
  <LinksUpToDate>false</LinksUpToDate>
  <CharactersWithSpaces>8228</CharactersWithSpaces>
  <SharedDoc>false</SharedDoc>
  <HLinks>
    <vt:vector size="12" baseType="variant">
      <vt:variant>
        <vt:i4>2162716</vt:i4>
      </vt:variant>
      <vt:variant>
        <vt:i4>8</vt:i4>
      </vt:variant>
      <vt:variant>
        <vt:i4>0</vt:i4>
      </vt:variant>
      <vt:variant>
        <vt:i4>5</vt:i4>
      </vt:variant>
      <vt:variant>
        <vt:lpwstr>mailto:info@neea.org</vt:lpwstr>
      </vt:variant>
      <vt:variant>
        <vt:lpwstr/>
      </vt:variant>
      <vt:variant>
        <vt:i4>5439580</vt:i4>
      </vt:variant>
      <vt:variant>
        <vt:i4>5</vt:i4>
      </vt:variant>
      <vt:variant>
        <vt:i4>0</vt:i4>
      </vt:variant>
      <vt:variant>
        <vt:i4>5</vt:i4>
      </vt:variant>
      <vt:variant>
        <vt:lpwstr>http://www.neea.org/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UE-100170 UE-100176 UE-100177 NEW Memo Attachment B</dc:title>
  <dc:creator>Christine Jerko</dc:creator>
  <cp:lastModifiedBy>Lisa Wyse, Records Manager</cp:lastModifiedBy>
  <cp:revision>2</cp:revision>
  <cp:lastPrinted>2012-08-08T01:01:00Z</cp:lastPrinted>
  <dcterms:created xsi:type="dcterms:W3CDTF">2012-08-08T22:01:00Z</dcterms:created>
  <dcterms:modified xsi:type="dcterms:W3CDTF">2012-08-08T22:01:00Z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