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B2" w:rsidRDefault="00324DB2" w:rsidP="00B14915">
      <w:pPr>
        <w:pStyle w:val="BodyText"/>
        <w:rPr>
          <w:b/>
          <w:bCs/>
        </w:rPr>
      </w:pPr>
    </w:p>
    <w:p w:rsidR="00C011AB" w:rsidRPr="00626E54" w:rsidRDefault="00C011AB" w:rsidP="00B14915">
      <w:pPr>
        <w:pStyle w:val="BodyText"/>
        <w:rPr>
          <w:b/>
          <w:bCs/>
        </w:rPr>
      </w:pPr>
      <w:r w:rsidRPr="00626E54">
        <w:rPr>
          <w:b/>
          <w:bCs/>
        </w:rPr>
        <w:t xml:space="preserve">BEFORE THE WASHINGTON </w:t>
      </w:r>
    </w:p>
    <w:p w:rsidR="00C011AB" w:rsidRPr="00626E54" w:rsidRDefault="00C011AB" w:rsidP="00B14915">
      <w:pPr>
        <w:pStyle w:val="BodyText"/>
        <w:rPr>
          <w:b/>
          <w:bCs/>
        </w:rPr>
      </w:pPr>
      <w:r w:rsidRPr="00626E54">
        <w:rPr>
          <w:b/>
          <w:bCs/>
        </w:rPr>
        <w:t>UTILITIES AND TRANSPORTATION COMMISSION</w:t>
      </w:r>
    </w:p>
    <w:p w:rsidR="00B6350E" w:rsidRPr="00626E54" w:rsidRDefault="00B6350E" w:rsidP="00B14915">
      <w:pPr>
        <w:pStyle w:val="BodyText"/>
      </w:pPr>
    </w:p>
    <w:tbl>
      <w:tblPr>
        <w:tblW w:w="0" w:type="auto"/>
        <w:tblLook w:val="0000" w:firstRow="0" w:lastRow="0" w:firstColumn="0" w:lastColumn="0" w:noHBand="0" w:noVBand="0"/>
      </w:tblPr>
      <w:tblGrid>
        <w:gridCol w:w="4372"/>
        <w:gridCol w:w="236"/>
        <w:gridCol w:w="4752"/>
      </w:tblGrid>
      <w:tr w:rsidR="00C011AB" w:rsidRPr="00626E54" w:rsidTr="003304C9">
        <w:trPr>
          <w:trHeight w:val="3825"/>
        </w:trPr>
        <w:tc>
          <w:tcPr>
            <w:tcW w:w="4372" w:type="dxa"/>
            <w:tcBorders>
              <w:bottom w:val="single" w:sz="4" w:space="0" w:color="auto"/>
              <w:right w:val="single" w:sz="4" w:space="0" w:color="auto"/>
            </w:tcBorders>
          </w:tcPr>
          <w:p w:rsidR="00236B8B" w:rsidRPr="00626E54" w:rsidRDefault="00236B8B" w:rsidP="00B14915">
            <w:pPr>
              <w:spacing w:line="264" w:lineRule="auto"/>
            </w:pPr>
            <w:r w:rsidRPr="00626E54">
              <w:t>WASHINGTON UTILITIES AND TRANSPORTATION COMMISSION,</w:t>
            </w:r>
          </w:p>
          <w:p w:rsidR="00236B8B" w:rsidRPr="00626E54" w:rsidRDefault="00236B8B" w:rsidP="00B14915">
            <w:pPr>
              <w:spacing w:line="264" w:lineRule="auto"/>
            </w:pPr>
          </w:p>
          <w:p w:rsidR="00236B8B" w:rsidRPr="00626E54" w:rsidRDefault="00236B8B" w:rsidP="00B14915">
            <w:pPr>
              <w:tabs>
                <w:tab w:val="left" w:pos="1800"/>
              </w:tabs>
              <w:spacing w:line="264" w:lineRule="auto"/>
            </w:pPr>
            <w:r w:rsidRPr="00626E54">
              <w:tab/>
              <w:t>Complainant,</w:t>
            </w:r>
          </w:p>
          <w:p w:rsidR="00236B8B" w:rsidRPr="00626E54" w:rsidRDefault="00236B8B" w:rsidP="00B14915">
            <w:pPr>
              <w:spacing w:line="264" w:lineRule="auto"/>
            </w:pPr>
          </w:p>
          <w:p w:rsidR="00236B8B" w:rsidRPr="00626E54" w:rsidRDefault="00236B8B" w:rsidP="00B14915">
            <w:pPr>
              <w:spacing w:line="264" w:lineRule="auto"/>
            </w:pPr>
            <w:r w:rsidRPr="00626E54">
              <w:t>v.</w:t>
            </w:r>
          </w:p>
          <w:p w:rsidR="00236B8B" w:rsidRPr="00626E54" w:rsidRDefault="00236B8B" w:rsidP="00B14915">
            <w:pPr>
              <w:spacing w:line="264" w:lineRule="auto"/>
              <w:jc w:val="center"/>
            </w:pPr>
          </w:p>
          <w:p w:rsidR="00236B8B" w:rsidRPr="00626E54" w:rsidRDefault="00236B8B" w:rsidP="00B14915">
            <w:pPr>
              <w:spacing w:line="264" w:lineRule="auto"/>
            </w:pPr>
            <w:r w:rsidRPr="00626E54">
              <w:t xml:space="preserve">AVISTA CORPORATION, </w:t>
            </w:r>
            <w:r w:rsidR="00C64288" w:rsidRPr="00626E54">
              <w:t>D</w:t>
            </w:r>
            <w:r w:rsidR="004D6EE3" w:rsidRPr="00626E54">
              <w:t>/</w:t>
            </w:r>
            <w:r w:rsidR="00C64288" w:rsidRPr="00626E54">
              <w:t>B</w:t>
            </w:r>
            <w:r w:rsidR="004D6EE3" w:rsidRPr="00626E54">
              <w:t>/</w:t>
            </w:r>
            <w:r w:rsidR="00C64288" w:rsidRPr="00626E54">
              <w:t>A</w:t>
            </w:r>
            <w:r w:rsidRPr="00626E54">
              <w:t xml:space="preserve"> AVISTA UTILITIES,</w:t>
            </w:r>
          </w:p>
          <w:p w:rsidR="00236B8B" w:rsidRPr="00626E54" w:rsidRDefault="00236B8B" w:rsidP="00B14915">
            <w:pPr>
              <w:spacing w:line="264" w:lineRule="auto"/>
              <w:jc w:val="center"/>
            </w:pPr>
          </w:p>
          <w:p w:rsidR="00C011AB" w:rsidRPr="00626E54" w:rsidRDefault="00236B8B" w:rsidP="00F57110">
            <w:pPr>
              <w:tabs>
                <w:tab w:val="left" w:pos="1800"/>
              </w:tabs>
              <w:spacing w:line="264" w:lineRule="auto"/>
            </w:pPr>
            <w:r w:rsidRPr="00626E54">
              <w:tab/>
              <w:t>Respondent.</w:t>
            </w:r>
          </w:p>
        </w:tc>
        <w:tc>
          <w:tcPr>
            <w:tcW w:w="236" w:type="dxa"/>
            <w:tcBorders>
              <w:left w:val="single" w:sz="4" w:space="0" w:color="auto"/>
            </w:tcBorders>
          </w:tcPr>
          <w:p w:rsidR="00C011AB" w:rsidRPr="00626E54" w:rsidRDefault="00C011AB" w:rsidP="00B14915"/>
        </w:tc>
        <w:tc>
          <w:tcPr>
            <w:tcW w:w="4752" w:type="dxa"/>
          </w:tcPr>
          <w:p w:rsidR="0053773F" w:rsidRDefault="0053773F" w:rsidP="00B14915">
            <w:pPr>
              <w:spacing w:line="264" w:lineRule="auto"/>
            </w:pPr>
          </w:p>
          <w:p w:rsidR="0065092E" w:rsidRDefault="0065092E" w:rsidP="00B14915">
            <w:pPr>
              <w:spacing w:line="264" w:lineRule="auto"/>
            </w:pPr>
          </w:p>
          <w:p w:rsidR="00236B8B" w:rsidRPr="00626E54" w:rsidRDefault="00C011AB" w:rsidP="00B14915">
            <w:pPr>
              <w:spacing w:line="264" w:lineRule="auto"/>
              <w:rPr>
                <w:bCs/>
              </w:rPr>
            </w:pPr>
            <w:r w:rsidRPr="00626E54">
              <w:t>DOCKET</w:t>
            </w:r>
            <w:r w:rsidR="00236B8B" w:rsidRPr="00626E54">
              <w:t>S</w:t>
            </w:r>
            <w:r w:rsidRPr="00626E54">
              <w:t xml:space="preserve"> </w:t>
            </w:r>
            <w:r w:rsidR="00236B8B" w:rsidRPr="00626E54">
              <w:rPr>
                <w:bCs/>
              </w:rPr>
              <w:t>UE-</w:t>
            </w:r>
            <w:r w:rsidR="00C03769" w:rsidRPr="00626E54">
              <w:rPr>
                <w:bCs/>
              </w:rPr>
              <w:t>160228</w:t>
            </w:r>
            <w:r w:rsidR="00236B8B" w:rsidRPr="00626E54">
              <w:rPr>
                <w:bCs/>
              </w:rPr>
              <w:t xml:space="preserve"> and </w:t>
            </w:r>
          </w:p>
          <w:p w:rsidR="00C011AB" w:rsidRPr="00626E54" w:rsidRDefault="00236B8B" w:rsidP="00B14915">
            <w:pPr>
              <w:spacing w:line="264" w:lineRule="auto"/>
            </w:pPr>
            <w:r w:rsidRPr="00626E54">
              <w:rPr>
                <w:bCs/>
              </w:rPr>
              <w:t>UG-1</w:t>
            </w:r>
            <w:r w:rsidR="00C03769" w:rsidRPr="00626E54">
              <w:rPr>
                <w:bCs/>
              </w:rPr>
              <w:t>60229</w:t>
            </w:r>
            <w:r w:rsidRPr="00626E54">
              <w:rPr>
                <w:bCs/>
              </w:rPr>
              <w:t xml:space="preserve"> (</w:t>
            </w:r>
            <w:r w:rsidRPr="00626E54">
              <w:rPr>
                <w:bCs/>
                <w:i/>
              </w:rPr>
              <w:t>Consolidated</w:t>
            </w:r>
            <w:r w:rsidRPr="00626E54">
              <w:rPr>
                <w:bCs/>
              </w:rPr>
              <w:t>)</w:t>
            </w:r>
          </w:p>
          <w:p w:rsidR="00C011AB" w:rsidRPr="00626E54" w:rsidRDefault="00C011AB" w:rsidP="00B14915">
            <w:pPr>
              <w:spacing w:line="264" w:lineRule="auto"/>
            </w:pPr>
          </w:p>
          <w:p w:rsidR="00C011AB" w:rsidRPr="00626E54" w:rsidRDefault="0053773F" w:rsidP="00894937">
            <w:pPr>
              <w:pStyle w:val="Header"/>
              <w:tabs>
                <w:tab w:val="clear" w:pos="4320"/>
                <w:tab w:val="clear" w:pos="8640"/>
              </w:tabs>
            </w:pPr>
            <w:r>
              <w:t xml:space="preserve">REPLY </w:t>
            </w:r>
            <w:r w:rsidR="00894937">
              <w:t xml:space="preserve">COMMENTS OF </w:t>
            </w:r>
            <w:r>
              <w:t xml:space="preserve">AVISTA CORPORATION TO THE </w:t>
            </w:r>
            <w:r w:rsidR="00C85CDD">
              <w:t>ANSWER</w:t>
            </w:r>
            <w:r>
              <w:t>S</w:t>
            </w:r>
            <w:r w:rsidR="00C85CDD">
              <w:t xml:space="preserve"> </w:t>
            </w:r>
            <w:r>
              <w:t>OF</w:t>
            </w:r>
            <w:r w:rsidR="00C85CDD">
              <w:t xml:space="preserve"> STAFF, PUBLIC COUNSEL/ENERGY PROJECT, ICNU AND NWIGU</w:t>
            </w:r>
          </w:p>
        </w:tc>
      </w:tr>
    </w:tbl>
    <w:p w:rsidR="00C011AB" w:rsidRDefault="00C011AB" w:rsidP="00B14915">
      <w:pPr>
        <w:spacing w:line="288" w:lineRule="auto"/>
      </w:pPr>
    </w:p>
    <w:p w:rsidR="0053773F" w:rsidRDefault="0053773F" w:rsidP="00B14915">
      <w:pPr>
        <w:spacing w:line="288" w:lineRule="auto"/>
      </w:pPr>
    </w:p>
    <w:p w:rsidR="0053773F" w:rsidRPr="0053773F" w:rsidRDefault="0053773F" w:rsidP="0053773F">
      <w:pPr>
        <w:pStyle w:val="Header"/>
        <w:tabs>
          <w:tab w:val="left" w:pos="720"/>
        </w:tabs>
        <w:autoSpaceDE w:val="0"/>
        <w:autoSpaceDN w:val="0"/>
        <w:adjustRightInd w:val="0"/>
        <w:spacing w:line="480" w:lineRule="auto"/>
        <w:ind w:left="240"/>
        <w:jc w:val="center"/>
        <w:rPr>
          <w:b/>
          <w:u w:val="single"/>
        </w:rPr>
      </w:pPr>
      <w:r w:rsidRPr="0053773F">
        <w:rPr>
          <w:b/>
          <w:u w:val="single"/>
        </w:rPr>
        <w:t>INTRODUCTION</w:t>
      </w:r>
    </w:p>
    <w:p w:rsidR="00E978BD" w:rsidRDefault="00E978BD" w:rsidP="00C51CB2">
      <w:pPr>
        <w:pStyle w:val="Header"/>
        <w:numPr>
          <w:ilvl w:val="0"/>
          <w:numId w:val="9"/>
        </w:numPr>
        <w:tabs>
          <w:tab w:val="clear" w:pos="240"/>
          <w:tab w:val="left" w:pos="720"/>
        </w:tabs>
        <w:autoSpaceDE w:val="0"/>
        <w:autoSpaceDN w:val="0"/>
        <w:adjustRightInd w:val="0"/>
        <w:spacing w:line="480" w:lineRule="auto"/>
        <w:jc w:val="both"/>
      </w:pPr>
      <w:r>
        <w:tab/>
      </w:r>
      <w:r w:rsidR="00AA502E">
        <w:t>On January 13, 2017, Commission Staff, the Northwest Industrial Gas Users</w:t>
      </w:r>
      <w:r w:rsidR="008570C1">
        <w:t xml:space="preserve"> (NWIGU)</w:t>
      </w:r>
      <w:r w:rsidR="00AA502E">
        <w:t>, Public Counsel/The Energy Project, and the Industrial Customers of Northwest Utilities</w:t>
      </w:r>
      <w:r w:rsidR="008570C1">
        <w:t xml:space="preserve"> (ICNU)</w:t>
      </w:r>
      <w:r w:rsidR="00AA502E">
        <w:t xml:space="preserve"> filed Answers to Avista’s </w:t>
      </w:r>
      <w:r w:rsidR="00BF30B2">
        <w:t>Petition for Reconsideration or, in the Alternative, for Rehearing.</w:t>
      </w:r>
      <w:r w:rsidR="0053773F">
        <w:t xml:space="preserve">  </w:t>
      </w:r>
    </w:p>
    <w:p w:rsidR="00E978BD" w:rsidRDefault="00E978BD" w:rsidP="00C51CB2">
      <w:pPr>
        <w:pStyle w:val="Header"/>
        <w:numPr>
          <w:ilvl w:val="0"/>
          <w:numId w:val="9"/>
        </w:numPr>
        <w:tabs>
          <w:tab w:val="clear" w:pos="240"/>
          <w:tab w:val="left" w:pos="720"/>
        </w:tabs>
        <w:autoSpaceDE w:val="0"/>
        <w:autoSpaceDN w:val="0"/>
        <w:adjustRightInd w:val="0"/>
        <w:spacing w:line="480" w:lineRule="auto"/>
        <w:jc w:val="both"/>
      </w:pPr>
      <w:r>
        <w:tab/>
      </w:r>
      <w:r w:rsidR="0053773F">
        <w:t xml:space="preserve">On January 20, 2017, Avista filed a </w:t>
      </w:r>
      <w:r w:rsidR="0065092E">
        <w:t>“</w:t>
      </w:r>
      <w:r w:rsidR="0053773F">
        <w:t>Motion for</w:t>
      </w:r>
      <w:r w:rsidR="002D2FDC">
        <w:t xml:space="preserve"> Avista Corporation for</w:t>
      </w:r>
      <w:r w:rsidR="0053773F">
        <w:t xml:space="preserve"> Leave </w:t>
      </w:r>
      <w:r w:rsidR="002D2FDC">
        <w:t xml:space="preserve">to File Reply Comments” </w:t>
      </w:r>
      <w:r>
        <w:t>t</w:t>
      </w:r>
      <w:r w:rsidR="0065092E">
        <w:t>o</w:t>
      </w:r>
      <w:r w:rsidR="002D2FDC">
        <w:t xml:space="preserve"> the</w:t>
      </w:r>
      <w:r w:rsidR="0065092E">
        <w:t xml:space="preserve"> Answers </w:t>
      </w:r>
      <w:r>
        <w:t>o</w:t>
      </w:r>
      <w:r w:rsidR="0065092E">
        <w:t xml:space="preserve">f Staff, Public Counsel/Energy Project, ICNU </w:t>
      </w:r>
      <w:r w:rsidR="002D2FDC">
        <w:t>a</w:t>
      </w:r>
      <w:r w:rsidR="0065092E">
        <w:t>nd NWIGU</w:t>
      </w:r>
      <w:r w:rsidR="002D2FDC">
        <w:t>.  Below are</w:t>
      </w:r>
      <w:r>
        <w:t xml:space="preserve"> the</w:t>
      </w:r>
      <w:r w:rsidR="00D32789">
        <w:t xml:space="preserve"> </w:t>
      </w:r>
      <w:r>
        <w:t>Reply</w:t>
      </w:r>
      <w:r w:rsidR="002D2FDC">
        <w:t xml:space="preserve"> Comments</w:t>
      </w:r>
      <w:r>
        <w:t xml:space="preserve"> of Avista.</w:t>
      </w:r>
    </w:p>
    <w:p w:rsidR="00E978BD" w:rsidRDefault="00E978BD" w:rsidP="00E978BD">
      <w:pPr>
        <w:pStyle w:val="Header"/>
        <w:tabs>
          <w:tab w:val="left" w:pos="720"/>
        </w:tabs>
        <w:autoSpaceDE w:val="0"/>
        <w:autoSpaceDN w:val="0"/>
        <w:adjustRightInd w:val="0"/>
        <w:spacing w:line="480" w:lineRule="auto"/>
        <w:ind w:left="240"/>
        <w:jc w:val="both"/>
      </w:pPr>
    </w:p>
    <w:p w:rsidR="00A2262B" w:rsidRPr="00A12C39" w:rsidRDefault="0053773F" w:rsidP="007B4ABA">
      <w:pPr>
        <w:pStyle w:val="Heading1"/>
        <w:numPr>
          <w:ilvl w:val="0"/>
          <w:numId w:val="0"/>
        </w:numPr>
        <w:jc w:val="center"/>
        <w:rPr>
          <w:b/>
          <w:u w:val="single"/>
        </w:rPr>
      </w:pPr>
      <w:r>
        <w:rPr>
          <w:b/>
          <w:u w:val="single"/>
        </w:rPr>
        <w:t>REPLY</w:t>
      </w:r>
      <w:r w:rsidR="007B4ABA" w:rsidRPr="00A12C39">
        <w:rPr>
          <w:b/>
          <w:u w:val="single"/>
        </w:rPr>
        <w:t xml:space="preserve"> </w:t>
      </w:r>
      <w:r w:rsidR="002D2FDC">
        <w:rPr>
          <w:b/>
          <w:u w:val="single"/>
        </w:rPr>
        <w:t xml:space="preserve">COMMENTS </w:t>
      </w:r>
      <w:r w:rsidR="007B4ABA" w:rsidRPr="00A12C39">
        <w:rPr>
          <w:b/>
          <w:u w:val="single"/>
        </w:rPr>
        <w:t>OF AVISTA</w:t>
      </w:r>
    </w:p>
    <w:p w:rsidR="00B46001" w:rsidRDefault="00296983" w:rsidP="00E978BD">
      <w:pPr>
        <w:pStyle w:val="Heading1"/>
        <w:ind w:hanging="630"/>
      </w:pPr>
      <w:r>
        <w:tab/>
      </w:r>
      <w:r w:rsidR="00B46001">
        <w:t xml:space="preserve">Certain comments provided by the non-Avista parties in answer to Avista’s Petition for Reconsideration, or in the Alternative, for Rehearing, are either inconsistent with the record in this case and/or misrepresent the information in the record.  The Commission should not be influenced by these comments.   </w:t>
      </w:r>
    </w:p>
    <w:p w:rsidR="00B46001" w:rsidRDefault="00296983" w:rsidP="00296983">
      <w:pPr>
        <w:pStyle w:val="Heading1"/>
        <w:ind w:hanging="630"/>
        <w:rPr>
          <w:szCs w:val="24"/>
        </w:rPr>
      </w:pPr>
      <w:r>
        <w:lastRenderedPageBreak/>
        <w:tab/>
      </w:r>
      <w:r w:rsidR="00B46001">
        <w:rPr>
          <w:szCs w:val="24"/>
        </w:rPr>
        <w:t xml:space="preserve">The </w:t>
      </w:r>
      <w:r w:rsidR="00647B66">
        <w:rPr>
          <w:szCs w:val="24"/>
        </w:rPr>
        <w:t>Commission Staff’s Answer</w:t>
      </w:r>
      <w:r w:rsidR="00B46001">
        <w:rPr>
          <w:szCs w:val="24"/>
        </w:rPr>
        <w:t xml:space="preserve"> in particular is inconsistent with the record in this case.  The Commission Staff spent approximately nine months developing and supporting an electric revenue increase recommendation to the Commission of $25.6 million, and a natural gas revenue increase of $2.1 million.</w:t>
      </w:r>
      <w:r w:rsidR="004416FA">
        <w:rPr>
          <w:rStyle w:val="FootnoteReference"/>
          <w:szCs w:val="24"/>
        </w:rPr>
        <w:footnoteReference w:id="1"/>
      </w:r>
      <w:r w:rsidR="00B46001">
        <w:rPr>
          <w:szCs w:val="24"/>
        </w:rPr>
        <w:t xml:space="preserve">  After establishing a record that, in its view, supports electric and natural gas revenue increases for Avista, Staff now abandons its case and its recommendations, and takes the position that the Company “failed to meet its burden of proof with respect to its</w:t>
      </w:r>
      <w:r w:rsidR="004416FA">
        <w:rPr>
          <w:szCs w:val="24"/>
        </w:rPr>
        <w:t xml:space="preserve"> proposed</w:t>
      </w:r>
      <w:r w:rsidR="00B46001">
        <w:rPr>
          <w:szCs w:val="24"/>
        </w:rPr>
        <w:t xml:space="preserve"> rate increase.”</w:t>
      </w:r>
      <w:r w:rsidR="00B46001">
        <w:rPr>
          <w:rStyle w:val="FootnoteReference"/>
          <w:szCs w:val="24"/>
        </w:rPr>
        <w:footnoteReference w:id="2"/>
      </w:r>
      <w:r w:rsidR="00B46001">
        <w:rPr>
          <w:szCs w:val="24"/>
        </w:rPr>
        <w:t xml:space="preserve">  </w:t>
      </w:r>
      <w:r w:rsidR="00647B66">
        <w:rPr>
          <w:szCs w:val="24"/>
        </w:rPr>
        <w:t xml:space="preserve">Commission </w:t>
      </w:r>
      <w:r w:rsidR="00B46001">
        <w:rPr>
          <w:szCs w:val="24"/>
        </w:rPr>
        <w:t xml:space="preserve">Staff’s Answer, indicating that it now supports no revenue increase for the Company, is inconsistent with the case it presented to the Commission, and is inconsistent with the record in this case before the Commission.  </w:t>
      </w:r>
      <w:r w:rsidR="00D32789">
        <w:rPr>
          <w:szCs w:val="24"/>
        </w:rPr>
        <w:t>The arguments contained within</w:t>
      </w:r>
      <w:r w:rsidR="00B46001">
        <w:rPr>
          <w:szCs w:val="24"/>
        </w:rPr>
        <w:t xml:space="preserve"> </w:t>
      </w:r>
      <w:r w:rsidR="00647B66">
        <w:rPr>
          <w:szCs w:val="24"/>
        </w:rPr>
        <w:t xml:space="preserve">Commission </w:t>
      </w:r>
      <w:r w:rsidR="00B46001">
        <w:rPr>
          <w:szCs w:val="24"/>
        </w:rPr>
        <w:t>Staff’s Answer</w:t>
      </w:r>
      <w:r w:rsidR="00894937">
        <w:rPr>
          <w:szCs w:val="24"/>
        </w:rPr>
        <w:t>,</w:t>
      </w:r>
      <w:r w:rsidR="00B46001">
        <w:rPr>
          <w:szCs w:val="24"/>
        </w:rPr>
        <w:t xml:space="preserve"> which </w:t>
      </w:r>
      <w:r w:rsidR="00D32789">
        <w:rPr>
          <w:szCs w:val="24"/>
        </w:rPr>
        <w:t>are</w:t>
      </w:r>
      <w:r w:rsidR="00B46001">
        <w:rPr>
          <w:szCs w:val="24"/>
        </w:rPr>
        <w:t xml:space="preserve"> inconsistent with its</w:t>
      </w:r>
      <w:r w:rsidR="00D32789">
        <w:rPr>
          <w:szCs w:val="24"/>
        </w:rPr>
        <w:t xml:space="preserve"> own</w:t>
      </w:r>
      <w:r w:rsidR="00B46001">
        <w:rPr>
          <w:szCs w:val="24"/>
        </w:rPr>
        <w:t xml:space="preserve"> recommendation in the record to the Commission, should be rejected by the Commission.</w:t>
      </w:r>
    </w:p>
    <w:p w:rsidR="00B46001" w:rsidRDefault="00296983" w:rsidP="00296983">
      <w:pPr>
        <w:pStyle w:val="Heading1"/>
        <w:ind w:hanging="720"/>
        <w:rPr>
          <w:szCs w:val="24"/>
        </w:rPr>
      </w:pPr>
      <w:r>
        <w:tab/>
      </w:r>
      <w:r w:rsidR="00D32789">
        <w:t xml:space="preserve">Turning now to </w:t>
      </w:r>
      <w:r w:rsidR="00647B66">
        <w:rPr>
          <w:szCs w:val="24"/>
        </w:rPr>
        <w:t>NWIGU’s Answer</w:t>
      </w:r>
      <w:r w:rsidR="00590DA1">
        <w:rPr>
          <w:szCs w:val="24"/>
        </w:rPr>
        <w:t>, it</w:t>
      </w:r>
      <w:r w:rsidR="00B46001">
        <w:rPr>
          <w:szCs w:val="24"/>
        </w:rPr>
        <w:t xml:space="preserve"> states, in part, that, “. . . the Company explained that its practice is to </w:t>
      </w:r>
      <w:r w:rsidR="00B46001" w:rsidRPr="00B46001">
        <w:rPr>
          <w:szCs w:val="24"/>
          <w:u w:val="single"/>
        </w:rPr>
        <w:t>spend up to its authorized revenue</w:t>
      </w:r>
      <w:r w:rsidR="00B46001" w:rsidRPr="00AC36FF">
        <w:rPr>
          <w:szCs w:val="24"/>
        </w:rPr>
        <w:t xml:space="preserve"> by ramping up expenditures</w:t>
      </w:r>
      <w:r w:rsidR="00B46001">
        <w:rPr>
          <w:szCs w:val="24"/>
        </w:rPr>
        <w:t xml:space="preserve"> late in the year if funds are available.”</w:t>
      </w:r>
      <w:r w:rsidR="004609EC">
        <w:rPr>
          <w:rStyle w:val="FootnoteReference"/>
          <w:szCs w:val="24"/>
        </w:rPr>
        <w:footnoteReference w:id="3"/>
      </w:r>
      <w:r w:rsidR="00B46001">
        <w:rPr>
          <w:szCs w:val="24"/>
        </w:rPr>
        <w:t xml:space="preserve"> (emphasis added)   </w:t>
      </w:r>
      <w:r w:rsidR="00647B66">
        <w:rPr>
          <w:szCs w:val="24"/>
        </w:rPr>
        <w:t>ICNU’s Answer</w:t>
      </w:r>
      <w:r w:rsidR="00B46001">
        <w:rPr>
          <w:szCs w:val="24"/>
        </w:rPr>
        <w:t xml:space="preserve"> states, in part, that, “. . . the Company establishes a “self-fulfilling prophecy” by continually driving up expenditures </w:t>
      </w:r>
      <w:r w:rsidR="00B46001" w:rsidRPr="00B46001">
        <w:rPr>
          <w:szCs w:val="24"/>
          <w:u w:val="single"/>
        </w:rPr>
        <w:t>to match projections with prior attrition studies</w:t>
      </w:r>
      <w:r w:rsidR="00B46001">
        <w:rPr>
          <w:szCs w:val="24"/>
        </w:rPr>
        <w:t>.”</w:t>
      </w:r>
      <w:r w:rsidR="00B520CA">
        <w:rPr>
          <w:rStyle w:val="FootnoteReference"/>
          <w:szCs w:val="24"/>
        </w:rPr>
        <w:footnoteReference w:id="4"/>
      </w:r>
      <w:r w:rsidR="00B46001">
        <w:rPr>
          <w:szCs w:val="24"/>
        </w:rPr>
        <w:t xml:space="preserve"> (emphasis added)  Both NWIGU and ICNU continue to misrepresent Avista’s testimony.  Nowhere in Avista’s testimony, exhibits, nor anywhere else in the record, does it show that Avista made such statements, i.e., that it spends to match “</w:t>
      </w:r>
      <w:r w:rsidR="00B46001" w:rsidRPr="00B46001">
        <w:rPr>
          <w:szCs w:val="24"/>
          <w:u w:val="single"/>
        </w:rPr>
        <w:t>authorized revenue</w:t>
      </w:r>
      <w:r w:rsidR="00B46001" w:rsidRPr="00B81C1D">
        <w:rPr>
          <w:szCs w:val="24"/>
        </w:rPr>
        <w:t xml:space="preserve">,” or </w:t>
      </w:r>
      <w:r w:rsidR="00B46001" w:rsidRPr="009C40D0">
        <w:rPr>
          <w:szCs w:val="24"/>
        </w:rPr>
        <w:t>“</w:t>
      </w:r>
      <w:r w:rsidR="00B46001" w:rsidRPr="00B46001">
        <w:rPr>
          <w:szCs w:val="24"/>
          <w:u w:val="single"/>
        </w:rPr>
        <w:t>projections with prior attrition studies</w:t>
      </w:r>
      <w:r w:rsidR="00B46001" w:rsidRPr="009C40D0">
        <w:rPr>
          <w:szCs w:val="24"/>
        </w:rPr>
        <w:t>.”</w:t>
      </w:r>
      <w:r w:rsidR="00B46001">
        <w:rPr>
          <w:szCs w:val="24"/>
        </w:rPr>
        <w:t xml:space="preserve">  </w:t>
      </w:r>
    </w:p>
    <w:p w:rsidR="00B46001" w:rsidRDefault="00296983" w:rsidP="00296983">
      <w:pPr>
        <w:pStyle w:val="Heading1"/>
        <w:ind w:hanging="720"/>
        <w:rPr>
          <w:szCs w:val="24"/>
        </w:rPr>
      </w:pPr>
      <w:r>
        <w:tab/>
      </w:r>
      <w:r w:rsidR="00B46001">
        <w:rPr>
          <w:szCs w:val="24"/>
        </w:rPr>
        <w:t xml:space="preserve">What Company </w:t>
      </w:r>
      <w:r w:rsidR="00FA7762">
        <w:rPr>
          <w:szCs w:val="24"/>
        </w:rPr>
        <w:t>w</w:t>
      </w:r>
      <w:r w:rsidR="00B46001">
        <w:rPr>
          <w:szCs w:val="24"/>
        </w:rPr>
        <w:t xml:space="preserve">itness </w:t>
      </w:r>
      <w:r w:rsidR="00FA7762">
        <w:rPr>
          <w:szCs w:val="24"/>
        </w:rPr>
        <w:t>Mr.</w:t>
      </w:r>
      <w:r w:rsidR="00B46001">
        <w:rPr>
          <w:szCs w:val="24"/>
        </w:rPr>
        <w:t xml:space="preserve"> Thies, Avista’s Chief Financial Officer, explained in his direct pre-filed testimony is </w:t>
      </w:r>
      <w:r w:rsidR="00894937">
        <w:rPr>
          <w:szCs w:val="24"/>
        </w:rPr>
        <w:t xml:space="preserve">that </w:t>
      </w:r>
      <w:r w:rsidR="00B46001">
        <w:rPr>
          <w:szCs w:val="24"/>
        </w:rPr>
        <w:t xml:space="preserve">Avista continues to operate under a </w:t>
      </w:r>
      <w:r w:rsidR="00B46001" w:rsidRPr="00B46001">
        <w:rPr>
          <w:szCs w:val="24"/>
          <w:u w:val="single"/>
        </w:rPr>
        <w:t>constrained</w:t>
      </w:r>
      <w:r w:rsidR="00B46001">
        <w:rPr>
          <w:szCs w:val="24"/>
        </w:rPr>
        <w:t xml:space="preserve"> capital expenditure </w:t>
      </w:r>
      <w:r w:rsidR="00B46001">
        <w:rPr>
          <w:szCs w:val="24"/>
        </w:rPr>
        <w:lastRenderedPageBreak/>
        <w:t xml:space="preserve">program where it is </w:t>
      </w:r>
      <w:r w:rsidR="00B46001" w:rsidRPr="00B46001">
        <w:rPr>
          <w:szCs w:val="24"/>
          <w:u w:val="single"/>
        </w:rPr>
        <w:t>choosing to spend less than the capital expenditure amounts requested</w:t>
      </w:r>
      <w:r w:rsidR="00B46001">
        <w:rPr>
          <w:szCs w:val="24"/>
        </w:rPr>
        <w:t xml:space="preserve"> by the operating departments of the Company each year.</w:t>
      </w:r>
      <w:r w:rsidR="00B46001">
        <w:rPr>
          <w:rStyle w:val="FootnoteReference"/>
          <w:szCs w:val="24"/>
        </w:rPr>
        <w:footnoteReference w:id="5"/>
      </w:r>
      <w:r w:rsidR="00B46001">
        <w:rPr>
          <w:szCs w:val="24"/>
        </w:rPr>
        <w:t xml:space="preserve">  Because Avista is spending less than what it needs to spend each year, if some projects are delayed, other projects are started in their place in an attempt to prevent the backlog of delayed projects from growing larger.  Avista’s expenditures are within the constrained capital expenditure level for the year, and </w:t>
      </w:r>
      <w:r w:rsidR="00B46001" w:rsidRPr="00B46001">
        <w:rPr>
          <w:szCs w:val="24"/>
          <w:u w:val="single"/>
        </w:rPr>
        <w:t>not</w:t>
      </w:r>
      <w:r w:rsidR="00B46001">
        <w:rPr>
          <w:szCs w:val="24"/>
        </w:rPr>
        <w:t xml:space="preserve"> to some “authorized revenue” or “projections with prior attrition studies,” as </w:t>
      </w:r>
      <w:r w:rsidR="008570C1">
        <w:rPr>
          <w:szCs w:val="24"/>
        </w:rPr>
        <w:t>represented</w:t>
      </w:r>
      <w:r w:rsidR="00B46001">
        <w:rPr>
          <w:szCs w:val="24"/>
        </w:rPr>
        <w:t xml:space="preserve"> by ICNU and NWIGU.</w:t>
      </w:r>
    </w:p>
    <w:p w:rsidR="00B46001" w:rsidRDefault="00296983" w:rsidP="00296983">
      <w:pPr>
        <w:pStyle w:val="Heading1"/>
        <w:ind w:hanging="720"/>
        <w:rPr>
          <w:szCs w:val="24"/>
        </w:rPr>
      </w:pPr>
      <w:r>
        <w:tab/>
      </w:r>
      <w:r w:rsidR="00B46001">
        <w:rPr>
          <w:szCs w:val="24"/>
        </w:rPr>
        <w:t>Mr. Thies explains how the Company identifies and prioritizes capital expenditure projects beginning on page 5 of his direct testimony (Exhibit No.</w:t>
      </w:r>
      <w:r w:rsidR="00041461">
        <w:rPr>
          <w:szCs w:val="24"/>
        </w:rPr>
        <w:t xml:space="preserve"> MTT-1T</w:t>
      </w:r>
      <w:r w:rsidR="00B46001">
        <w:rPr>
          <w:szCs w:val="24"/>
        </w:rPr>
        <w:t>), in response to the following question:</w:t>
      </w:r>
    </w:p>
    <w:p w:rsidR="00B46001" w:rsidRDefault="00B46001" w:rsidP="00B46001">
      <w:pPr>
        <w:ind w:left="720"/>
        <w:jc w:val="both"/>
      </w:pPr>
      <w:r w:rsidRPr="00590DA1">
        <w:rPr>
          <w:b/>
        </w:rPr>
        <w:t>Q.</w:t>
      </w:r>
      <w:r w:rsidRPr="00590DA1">
        <w:rPr>
          <w:b/>
        </w:rPr>
        <w:tab/>
      </w:r>
      <w:r>
        <w:t>In the Commission’s Order 05 in Docket Nos. UE</w:t>
      </w:r>
      <w:r w:rsidR="00041461">
        <w:t>-</w:t>
      </w:r>
      <w:r>
        <w:t>150204 and UG-150205 the Commission required the Company in the future to provide more analysis showing how it plans and prioritizes capital investments.</w:t>
      </w:r>
      <w:r>
        <w:rPr>
          <w:rStyle w:val="FootnoteReference"/>
        </w:rPr>
        <w:footnoteReference w:id="6"/>
      </w:r>
      <w:r>
        <w:t xml:space="preserve">  Although the Commission’s directive was focused primarily on distribution plant investment, would you please explain how Avista plans and prioritizes all of its incremental capital investment?</w:t>
      </w:r>
    </w:p>
    <w:p w:rsidR="00B46001" w:rsidRDefault="00B46001" w:rsidP="00B46001">
      <w:pPr>
        <w:spacing w:line="480" w:lineRule="auto"/>
        <w:ind w:firstLine="720"/>
        <w:jc w:val="both"/>
      </w:pPr>
    </w:p>
    <w:p w:rsidR="00B46001" w:rsidRDefault="00B46001" w:rsidP="00590DA1">
      <w:pPr>
        <w:pStyle w:val="Heading1"/>
        <w:numPr>
          <w:ilvl w:val="0"/>
          <w:numId w:val="0"/>
        </w:numPr>
      </w:pPr>
      <w:r>
        <w:t>For the next 11 pages of his testimony, Mr. Thies explains how the Company identifies and priorities spending within a constrained</w:t>
      </w:r>
      <w:r w:rsidR="007F09FB">
        <w:t xml:space="preserve"> </w:t>
      </w:r>
      <w:r w:rsidR="00C80C59">
        <w:t>capital</w:t>
      </w:r>
      <w:r>
        <w:t xml:space="preserve"> budget, and introduces four other Company witnesses that explain in detail the immediate need for capital expenditures for generation, transmission, distribution, general plant, and information technology.</w:t>
      </w:r>
    </w:p>
    <w:p w:rsidR="00B46001" w:rsidRPr="00B46001" w:rsidRDefault="00296983" w:rsidP="00296983">
      <w:pPr>
        <w:pStyle w:val="Heading1"/>
        <w:ind w:hanging="720"/>
      </w:pPr>
      <w:r>
        <w:tab/>
      </w:r>
      <w:r w:rsidR="00B46001">
        <w:rPr>
          <w:szCs w:val="24"/>
        </w:rPr>
        <w:t xml:space="preserve">With regard to any </w:t>
      </w:r>
      <w:r w:rsidR="00B46001" w:rsidRPr="00B46001">
        <w:rPr>
          <w:szCs w:val="24"/>
          <w:u w:val="single"/>
        </w:rPr>
        <w:t>appearance</w:t>
      </w:r>
      <w:r w:rsidR="00B46001">
        <w:rPr>
          <w:szCs w:val="24"/>
        </w:rPr>
        <w:t xml:space="preserve"> that Avista ramps up expenditures </w:t>
      </w:r>
      <w:r w:rsidR="00B46001" w:rsidRPr="00B46001">
        <w:rPr>
          <w:szCs w:val="24"/>
          <w:u w:val="single"/>
        </w:rPr>
        <w:t>at the end of the year</w:t>
      </w:r>
      <w:r w:rsidR="00894937">
        <w:rPr>
          <w:szCs w:val="24"/>
          <w:u w:val="single"/>
        </w:rPr>
        <w:t>,</w:t>
      </w:r>
      <w:r w:rsidR="00B46001">
        <w:rPr>
          <w:szCs w:val="24"/>
        </w:rPr>
        <w:t xml:space="preserve"> ICNU and NWIGU continue to draw</w:t>
      </w:r>
      <w:r w:rsidR="004D489E">
        <w:rPr>
          <w:szCs w:val="24"/>
        </w:rPr>
        <w:t>, and represent,</w:t>
      </w:r>
      <w:r w:rsidR="00B46001">
        <w:rPr>
          <w:szCs w:val="24"/>
        </w:rPr>
        <w:t xml:space="preserve"> incorrect conclusions from the information in the record.  The information provided by the Company in this case shows that a major portion of</w:t>
      </w:r>
      <w:r w:rsidR="00B46001" w:rsidRPr="00B46001">
        <w:rPr>
          <w:szCs w:val="24"/>
          <w:u w:val="single"/>
        </w:rPr>
        <w:t xml:space="preserve"> transfers to plant in service</w:t>
      </w:r>
      <w:r w:rsidR="00B46001">
        <w:rPr>
          <w:szCs w:val="24"/>
        </w:rPr>
        <w:t xml:space="preserve"> related to capital projects occurs in the fourth quarter of the year.  The fourth quarter is the </w:t>
      </w:r>
      <w:r w:rsidR="00B46001" w:rsidRPr="00B46001">
        <w:rPr>
          <w:szCs w:val="24"/>
          <w:u w:val="single"/>
        </w:rPr>
        <w:t>end of the construction season</w:t>
      </w:r>
      <w:r w:rsidR="00B46001">
        <w:rPr>
          <w:szCs w:val="24"/>
        </w:rPr>
        <w:t xml:space="preserve"> in eastern Washington, where many projects </w:t>
      </w:r>
      <w:r w:rsidR="00B46001">
        <w:rPr>
          <w:szCs w:val="24"/>
        </w:rPr>
        <w:lastRenderedPageBreak/>
        <w:t>are completed just prior to the ground freezing and the snowfall.  The fourth quarte</w:t>
      </w:r>
      <w:r w:rsidR="00884721">
        <w:rPr>
          <w:szCs w:val="24"/>
        </w:rPr>
        <w:t xml:space="preserve">r is the period where projects </w:t>
      </w:r>
      <w:r w:rsidR="00B46001">
        <w:rPr>
          <w:szCs w:val="24"/>
        </w:rPr>
        <w:t xml:space="preserve">are </w:t>
      </w:r>
      <w:r w:rsidR="00B46001" w:rsidRPr="00B46001">
        <w:rPr>
          <w:szCs w:val="24"/>
          <w:u w:val="single"/>
        </w:rPr>
        <w:t>ramped down</w:t>
      </w:r>
      <w:r w:rsidR="00B46001">
        <w:rPr>
          <w:szCs w:val="24"/>
        </w:rPr>
        <w:t xml:space="preserve">, not up.  With the completion of projects at the end of the construction season, the dollars </w:t>
      </w:r>
      <w:r w:rsidR="00B46001" w:rsidRPr="00B46001">
        <w:rPr>
          <w:szCs w:val="24"/>
          <w:u w:val="single"/>
        </w:rPr>
        <w:t>already spent</w:t>
      </w:r>
      <w:r w:rsidR="00B46001">
        <w:rPr>
          <w:szCs w:val="24"/>
        </w:rPr>
        <w:t xml:space="preserve"> during the construction season are transferred to plant in service.  Therefore, the data in the record actual</w:t>
      </w:r>
      <w:r w:rsidR="00615BFF">
        <w:rPr>
          <w:szCs w:val="24"/>
        </w:rPr>
        <w:t>ly</w:t>
      </w:r>
      <w:r w:rsidR="00B46001">
        <w:rPr>
          <w:szCs w:val="24"/>
        </w:rPr>
        <w:t xml:space="preserve"> shows a ramp down of projects, and an increase in transfers of the dollars already spent to plant in service at the end of the construction season.</w:t>
      </w:r>
      <w:r w:rsidR="00286A39">
        <w:rPr>
          <w:rStyle w:val="FootnoteReference"/>
          <w:szCs w:val="24"/>
        </w:rPr>
        <w:footnoteReference w:id="7"/>
      </w:r>
      <w:r w:rsidR="00133FEE">
        <w:rPr>
          <w:szCs w:val="24"/>
        </w:rPr>
        <w:t xml:space="preserve">  </w:t>
      </w:r>
      <w:r w:rsidR="00925E6E">
        <w:rPr>
          <w:szCs w:val="24"/>
        </w:rPr>
        <w:t xml:space="preserve">The Commission should not be misled by ICNU and NWIGU using this data to suggest there is a “ramp up” in expenditures at the end of the year.  These </w:t>
      </w:r>
      <w:r w:rsidR="004150F0">
        <w:rPr>
          <w:szCs w:val="24"/>
        </w:rPr>
        <w:t xml:space="preserve">dollars </w:t>
      </w:r>
      <w:r w:rsidR="00925E6E">
        <w:rPr>
          <w:szCs w:val="24"/>
        </w:rPr>
        <w:t>are largely transfers at the end of the construction season</w:t>
      </w:r>
      <w:r w:rsidR="004150F0">
        <w:rPr>
          <w:szCs w:val="24"/>
        </w:rPr>
        <w:t>; all</w:t>
      </w:r>
      <w:r w:rsidR="00B46001">
        <w:rPr>
          <w:szCs w:val="24"/>
        </w:rPr>
        <w:t xml:space="preserve"> within the confines of a constrained annual capital expenditure budget.</w:t>
      </w:r>
    </w:p>
    <w:p w:rsidR="00B46001" w:rsidRPr="00B46001" w:rsidRDefault="00296983" w:rsidP="00296983">
      <w:pPr>
        <w:pStyle w:val="Heading1"/>
        <w:ind w:hanging="720"/>
      </w:pPr>
      <w:r>
        <w:tab/>
      </w:r>
      <w:r w:rsidR="00B46001">
        <w:rPr>
          <w:szCs w:val="24"/>
        </w:rPr>
        <w:t>The Commission should also not be swayed by ICNU’s suggested</w:t>
      </w:r>
      <w:r w:rsidR="00E3462D">
        <w:rPr>
          <w:szCs w:val="24"/>
        </w:rPr>
        <w:t xml:space="preserve"> </w:t>
      </w:r>
      <w:r w:rsidR="00B46001">
        <w:rPr>
          <w:szCs w:val="24"/>
        </w:rPr>
        <w:t>logical extension of the $8.1 million electric revenue reduction in the last case (Docket No</w:t>
      </w:r>
      <w:r w:rsidR="00153174">
        <w:rPr>
          <w:szCs w:val="24"/>
        </w:rPr>
        <w:t>s</w:t>
      </w:r>
      <w:r w:rsidR="00B46001">
        <w:rPr>
          <w:szCs w:val="24"/>
        </w:rPr>
        <w:t>. UE-150204</w:t>
      </w:r>
      <w:r w:rsidR="00153174">
        <w:rPr>
          <w:szCs w:val="24"/>
        </w:rPr>
        <w:t xml:space="preserve"> and UG-150205</w:t>
      </w:r>
      <w:r w:rsidR="00B46001">
        <w:rPr>
          <w:szCs w:val="24"/>
        </w:rPr>
        <w:t>), to support the reasonableness of no revenue increase in this case.</w:t>
      </w:r>
      <w:r w:rsidR="00B46001">
        <w:rPr>
          <w:rStyle w:val="FootnoteReference"/>
          <w:szCs w:val="24"/>
        </w:rPr>
        <w:footnoteReference w:id="8"/>
      </w:r>
      <w:r w:rsidR="00B46001">
        <w:rPr>
          <w:szCs w:val="24"/>
        </w:rPr>
        <w:t xml:space="preserve">  We all know that Avista’s need for an electric revenue increase in that prior case was eliminated following its original filing, due to the substantial reduction in power supply costs during the pendency of the case.  Avista was transparent in updating all parties of this change throughout the case.  At the end of that case, Avista adjusted its request to reflect a revenue reduction of $5.7 million</w:t>
      </w:r>
      <w:r w:rsidR="000D7372">
        <w:rPr>
          <w:rStyle w:val="FootnoteReference"/>
          <w:szCs w:val="24"/>
        </w:rPr>
        <w:footnoteReference w:id="9"/>
      </w:r>
      <w:r w:rsidR="00B46001">
        <w:rPr>
          <w:szCs w:val="24"/>
        </w:rPr>
        <w:t>, as compared with the revenue reduction ordered by the Commission of $8.1 million.</w:t>
      </w:r>
      <w:r w:rsidR="000D7372">
        <w:rPr>
          <w:rStyle w:val="FootnoteReference"/>
          <w:szCs w:val="24"/>
        </w:rPr>
        <w:footnoteReference w:id="10"/>
      </w:r>
      <w:r w:rsidR="00B46001">
        <w:rPr>
          <w:szCs w:val="24"/>
        </w:rPr>
        <w:t xml:space="preserve">  In contrast, in this case Avista’s updated revenue increase request at the end of the case is $38.6 million</w:t>
      </w:r>
      <w:r w:rsidR="007F476B">
        <w:rPr>
          <w:rStyle w:val="FootnoteReference"/>
          <w:szCs w:val="24"/>
        </w:rPr>
        <w:footnoteReference w:id="11"/>
      </w:r>
      <w:r w:rsidR="00B46001">
        <w:rPr>
          <w:szCs w:val="24"/>
        </w:rPr>
        <w:t>, as compared to the Commission’s Order 06 decision of zero.  The rate reduction in the last case is unrelated to the revenue adjustment needed in this case.</w:t>
      </w:r>
    </w:p>
    <w:p w:rsidR="00B46001" w:rsidRPr="00B46001" w:rsidRDefault="00296983" w:rsidP="00296983">
      <w:pPr>
        <w:pStyle w:val="Heading1"/>
        <w:ind w:hanging="720"/>
      </w:pPr>
      <w:r>
        <w:lastRenderedPageBreak/>
        <w:tab/>
      </w:r>
      <w:r w:rsidR="00590DA1">
        <w:t>Next, i</w:t>
      </w:r>
      <w:r w:rsidR="00B46001">
        <w:rPr>
          <w:szCs w:val="24"/>
        </w:rPr>
        <w:t xml:space="preserve">n Paragraph 15 of </w:t>
      </w:r>
      <w:r w:rsidR="007F476B">
        <w:rPr>
          <w:szCs w:val="24"/>
        </w:rPr>
        <w:t xml:space="preserve">Commission </w:t>
      </w:r>
      <w:r w:rsidR="00B46001">
        <w:rPr>
          <w:szCs w:val="24"/>
        </w:rPr>
        <w:t>Staff’s Answer it takes issue with the Company’s calculation of Avista’s return on equity (ROE) opportunity for 2017 of 6.8%</w:t>
      </w:r>
      <w:r w:rsidR="004150F0">
        <w:rPr>
          <w:szCs w:val="24"/>
        </w:rPr>
        <w:t>,</w:t>
      </w:r>
      <w:r w:rsidR="00B46001">
        <w:rPr>
          <w:szCs w:val="24"/>
        </w:rPr>
        <w:t xml:space="preserve"> with no revenue increase for the year.  Staff’s comments seem to suggest that Avista’s earnings opportunity for 2017 would be better than that represented by the Company if different rate base numbers were used in the calculation.  Avista used the rate base levels from its attrition studies</w:t>
      </w:r>
      <w:r w:rsidR="004150F0">
        <w:rPr>
          <w:szCs w:val="24"/>
        </w:rPr>
        <w:t>, as indicated by Staff</w:t>
      </w:r>
      <w:r w:rsidR="00B46001">
        <w:rPr>
          <w:szCs w:val="24"/>
        </w:rPr>
        <w:t xml:space="preserve">. </w:t>
      </w:r>
      <w:r w:rsidR="004D489E">
        <w:rPr>
          <w:szCs w:val="24"/>
        </w:rPr>
        <w:t xml:space="preserve"> </w:t>
      </w:r>
      <w:r w:rsidR="00B46001">
        <w:rPr>
          <w:szCs w:val="24"/>
        </w:rPr>
        <w:t>Staff does not present to the Commission what the earnings opportunity for Avista would be if other rate base amounts were to be used.  If Commission Staff’s recommended rate base numbers were used, it would result in an ROE earnings opportunity for Avista in 2017 of 7.0%, instead of the 6.8% presented by the Company.</w:t>
      </w:r>
      <w:r w:rsidR="00B46001">
        <w:rPr>
          <w:rStyle w:val="FootnoteReference"/>
          <w:szCs w:val="24"/>
        </w:rPr>
        <w:footnoteReference w:id="12"/>
      </w:r>
      <w:r w:rsidR="00B46001">
        <w:rPr>
          <w:szCs w:val="24"/>
        </w:rPr>
        <w:t xml:space="preserve">  As compared to the current ROE of 9.5</w:t>
      </w:r>
      <w:r w:rsidR="00590DA1">
        <w:rPr>
          <w:szCs w:val="24"/>
        </w:rPr>
        <w:t>%</w:t>
      </w:r>
      <w:r w:rsidR="00B46001">
        <w:rPr>
          <w:szCs w:val="24"/>
        </w:rPr>
        <w:t>, either one of these numbers represent a substantial earnings shortfall for Avista during 2017 in the range of $34.8 million to $37.5 million.</w:t>
      </w:r>
      <w:r w:rsidR="00572E52">
        <w:rPr>
          <w:rStyle w:val="FootnoteReference"/>
          <w:szCs w:val="24"/>
        </w:rPr>
        <w:footnoteReference w:id="13"/>
      </w:r>
    </w:p>
    <w:p w:rsidR="00B46001" w:rsidRPr="00B46001" w:rsidRDefault="00296983" w:rsidP="00296983">
      <w:pPr>
        <w:pStyle w:val="Heading1"/>
        <w:ind w:hanging="720"/>
      </w:pPr>
      <w:r>
        <w:tab/>
      </w:r>
      <w:r w:rsidR="00B46001">
        <w:rPr>
          <w:szCs w:val="24"/>
        </w:rPr>
        <w:t>Finally, Commission Staff presents misleading information regarding the impact of Order 06 on Avista’s stock price.  First, Staff states that Avista’s stock price increased 1.24% on December 15, 2016</w:t>
      </w:r>
      <w:r w:rsidR="00894937">
        <w:rPr>
          <w:szCs w:val="24"/>
        </w:rPr>
        <w:t>,</w:t>
      </w:r>
      <w:r w:rsidR="00B46001">
        <w:rPr>
          <w:szCs w:val="24"/>
        </w:rPr>
        <w:t xml:space="preserve"> the day the order was issued.</w:t>
      </w:r>
      <w:r w:rsidR="00A854F5">
        <w:rPr>
          <w:rStyle w:val="FootnoteReference"/>
          <w:szCs w:val="24"/>
        </w:rPr>
        <w:footnoteReference w:id="14"/>
      </w:r>
      <w:r w:rsidR="00B46001">
        <w:rPr>
          <w:szCs w:val="24"/>
        </w:rPr>
        <w:t xml:space="preserve">  Staff overlooks the fact that the Order was issued after the close of the stock market, and thus the increase in the stock price for that day was completely unrelated to Order 06.  Staff also concludes that, “Avista’s share price, however, remains well within lines of where the stock has traded over the past year.”</w:t>
      </w:r>
      <w:r w:rsidR="00A854F5">
        <w:rPr>
          <w:rStyle w:val="FootnoteReference"/>
          <w:szCs w:val="24"/>
        </w:rPr>
        <w:footnoteReference w:id="15"/>
      </w:r>
      <w:r w:rsidR="00B46001">
        <w:rPr>
          <w:szCs w:val="24"/>
        </w:rPr>
        <w:t xml:space="preserve">  Staff ignores the fact that investors </w:t>
      </w:r>
      <w:r w:rsidR="00C82610">
        <w:rPr>
          <w:szCs w:val="24"/>
        </w:rPr>
        <w:t>compare</w:t>
      </w:r>
      <w:r w:rsidR="00B46001">
        <w:rPr>
          <w:szCs w:val="24"/>
        </w:rPr>
        <w:t xml:space="preserve"> the return opportunity from Avista with other similar utilities, as well as companies in other sectors of the economy with comparable risks.  Therefore, the relevant comparison is not how Avista’s stock price has moved over the last 52 weeks, as compared to </w:t>
      </w:r>
      <w:r w:rsidR="00B46001">
        <w:rPr>
          <w:szCs w:val="24"/>
        </w:rPr>
        <w:lastRenderedPageBreak/>
        <w:t xml:space="preserve">itself, but how Avista’s stock price changed in comparison to its peer utilities.  During the 52 weeks prior to Order 06 Avista’s stock price generally moved up in line with its peer utilities.  Following Order 06, however, Avista’s stock price went down while the stock price for peer utilities </w:t>
      </w:r>
      <w:r w:rsidR="00E3462D">
        <w:rPr>
          <w:szCs w:val="24"/>
        </w:rPr>
        <w:t xml:space="preserve">and the S&amp;P 400 Utilities Index generally </w:t>
      </w:r>
      <w:r w:rsidR="00B46001">
        <w:rPr>
          <w:szCs w:val="24"/>
        </w:rPr>
        <w:t xml:space="preserve">went up.  </w:t>
      </w:r>
      <w:r w:rsidR="00360F35">
        <w:rPr>
          <w:szCs w:val="24"/>
        </w:rPr>
        <w:t xml:space="preserve">The chart provided as Attachment A to </w:t>
      </w:r>
      <w:r w:rsidR="004D489E">
        <w:rPr>
          <w:szCs w:val="24"/>
        </w:rPr>
        <w:t>these Reply Comments</w:t>
      </w:r>
      <w:r w:rsidR="00360F35">
        <w:rPr>
          <w:szCs w:val="24"/>
        </w:rPr>
        <w:t xml:space="preserve"> shows Avista’s stock price</w:t>
      </w:r>
      <w:r w:rsidR="00C82610">
        <w:rPr>
          <w:szCs w:val="24"/>
        </w:rPr>
        <w:t>,</w:t>
      </w:r>
      <w:r w:rsidR="00360F35">
        <w:rPr>
          <w:szCs w:val="24"/>
        </w:rPr>
        <w:t xml:space="preserve"> following Order 06</w:t>
      </w:r>
      <w:r w:rsidR="00C82610">
        <w:rPr>
          <w:szCs w:val="24"/>
        </w:rPr>
        <w:t>,</w:t>
      </w:r>
      <w:r w:rsidR="00360F35">
        <w:rPr>
          <w:szCs w:val="24"/>
        </w:rPr>
        <w:t xml:space="preserve"> </w:t>
      </w:r>
      <w:r w:rsidR="00B5590C">
        <w:rPr>
          <w:szCs w:val="24"/>
        </w:rPr>
        <w:t>separating</w:t>
      </w:r>
      <w:r w:rsidR="00360F35">
        <w:rPr>
          <w:szCs w:val="24"/>
        </w:rPr>
        <w:t xml:space="preserve"> from its peer utilities</w:t>
      </w:r>
      <w:r w:rsidR="004D489E">
        <w:rPr>
          <w:szCs w:val="24"/>
        </w:rPr>
        <w:t>,</w:t>
      </w:r>
      <w:r w:rsidR="00360F35">
        <w:rPr>
          <w:szCs w:val="24"/>
        </w:rPr>
        <w:t xml:space="preserve"> and declining by 8.82% as compared to the S&amp;P </w:t>
      </w:r>
      <w:r w:rsidR="00B5590C">
        <w:rPr>
          <w:szCs w:val="24"/>
        </w:rPr>
        <w:t xml:space="preserve">400 </w:t>
      </w:r>
      <w:r w:rsidR="00360F35">
        <w:rPr>
          <w:szCs w:val="24"/>
        </w:rPr>
        <w:t>Utilit</w:t>
      </w:r>
      <w:r w:rsidR="00B5590C">
        <w:rPr>
          <w:szCs w:val="24"/>
        </w:rPr>
        <w:t>ies</w:t>
      </w:r>
      <w:r w:rsidR="00360F35">
        <w:rPr>
          <w:szCs w:val="24"/>
        </w:rPr>
        <w:t xml:space="preserve"> Index</w:t>
      </w:r>
      <w:r w:rsidR="000B0170">
        <w:rPr>
          <w:szCs w:val="24"/>
        </w:rPr>
        <w:t xml:space="preserve"> (the 8.82% represents a decline in the market value of the Company of </w:t>
      </w:r>
      <w:r w:rsidR="004D489E">
        <w:rPr>
          <w:szCs w:val="24"/>
        </w:rPr>
        <w:t xml:space="preserve">approximately </w:t>
      </w:r>
      <w:r w:rsidR="000B0170">
        <w:rPr>
          <w:szCs w:val="24"/>
        </w:rPr>
        <w:t>$2</w:t>
      </w:r>
      <w:r w:rsidR="00D85D7D">
        <w:rPr>
          <w:szCs w:val="24"/>
        </w:rPr>
        <w:t>40</w:t>
      </w:r>
      <w:r w:rsidR="000B0170">
        <w:rPr>
          <w:szCs w:val="24"/>
        </w:rPr>
        <w:t xml:space="preserve"> million)</w:t>
      </w:r>
      <w:r w:rsidR="00360F35">
        <w:rPr>
          <w:szCs w:val="24"/>
        </w:rPr>
        <w:t xml:space="preserve">. </w:t>
      </w:r>
      <w:r w:rsidR="00B46001">
        <w:rPr>
          <w:szCs w:val="24"/>
        </w:rPr>
        <w:t xml:space="preserve">The impact on Avista’s stock price, therefore, is much greater than that represented by Staff.  </w:t>
      </w:r>
    </w:p>
    <w:p w:rsidR="00B46001" w:rsidRDefault="00296983" w:rsidP="00296983">
      <w:pPr>
        <w:pStyle w:val="Heading1"/>
        <w:ind w:hanging="720"/>
        <w:rPr>
          <w:szCs w:val="24"/>
        </w:rPr>
      </w:pPr>
      <w:r>
        <w:tab/>
      </w:r>
      <w:r w:rsidR="00B46001">
        <w:rPr>
          <w:szCs w:val="24"/>
        </w:rPr>
        <w:t xml:space="preserve">This discussion also does not reflect a further decline in Avista’s stock price, which may occur following a Commission order resolving the Petition for Reconsideration/Rehearing.  If the Commission were to </w:t>
      </w:r>
      <w:r w:rsidR="00894937">
        <w:rPr>
          <w:szCs w:val="24"/>
        </w:rPr>
        <w:t xml:space="preserve">ultimately </w:t>
      </w:r>
      <w:r w:rsidR="00B46001">
        <w:rPr>
          <w:szCs w:val="24"/>
        </w:rPr>
        <w:t>order no revenue increase, it would preclude a revenue increase for Avista’s Washington operations for well over a year from now.</w:t>
      </w:r>
      <w:r w:rsidR="00B46001">
        <w:rPr>
          <w:rStyle w:val="FootnoteReference"/>
          <w:szCs w:val="24"/>
        </w:rPr>
        <w:footnoteReference w:id="16"/>
      </w:r>
      <w:r w:rsidR="00B46001">
        <w:rPr>
          <w:szCs w:val="24"/>
        </w:rPr>
        <w:t xml:space="preserve">  The information presented by Commission Staff incorrectly suggests that the stock price impact and financial impact on Avista from Order 06 is minimal.</w:t>
      </w:r>
    </w:p>
    <w:p w:rsidR="006C0FB3" w:rsidRPr="006C0FB3" w:rsidRDefault="006C0FB3" w:rsidP="006C0FB3">
      <w:pPr>
        <w:pStyle w:val="Heading1"/>
        <w:ind w:hanging="720"/>
      </w:pPr>
      <w:r>
        <w:tab/>
        <w:t xml:space="preserve">In closing, as Avista discussed in its Petition for Reconsideration/Rehearing, it believes that, while </w:t>
      </w:r>
      <w:bookmarkStart w:id="0" w:name="_GoBack"/>
      <w:bookmarkEnd w:id="0"/>
      <w:r>
        <w:t xml:space="preserve">the record is fresh, further exploration of the possibilities for a multi-year rate plan should be </w:t>
      </w:r>
      <w:r w:rsidR="007A2BE0">
        <w:t>addressed</w:t>
      </w:r>
      <w:r>
        <w:t xml:space="preserve"> through the use of </w:t>
      </w:r>
      <w:r w:rsidR="007A2BE0">
        <w:t xml:space="preserve">the </w:t>
      </w:r>
      <w:r>
        <w:t xml:space="preserve">Alternative Dispute Resolution procedures of WAC </w:t>
      </w:r>
      <w:r w:rsidR="00C63358">
        <w:t>48</w:t>
      </w:r>
      <w:r w:rsidR="00894937">
        <w:t>0</w:t>
      </w:r>
      <w:r w:rsidR="00C63358">
        <w:t xml:space="preserve">-07-700, including the possible appointment of a Settlement Judge.  If successful, any all-party or multi-party settlement in these dockets may forestall the need for Avista </w:t>
      </w:r>
      <w:r w:rsidR="008F0A07">
        <w:t>to immediately file for additional rate relief.</w:t>
      </w:r>
      <w:r w:rsidR="008F0A07">
        <w:rPr>
          <w:rStyle w:val="FootnoteReference"/>
        </w:rPr>
        <w:footnoteReference w:id="17"/>
      </w:r>
    </w:p>
    <w:p w:rsidR="00A545C5" w:rsidRPr="0020634A" w:rsidRDefault="00A545C5" w:rsidP="00296983">
      <w:pPr>
        <w:pStyle w:val="Heading1"/>
        <w:ind w:hanging="720"/>
      </w:pPr>
      <w:r>
        <w:lastRenderedPageBreak/>
        <w:tab/>
        <w:t xml:space="preserve">RESPECTFULLY SUBMITTED this ___ day of </w:t>
      </w:r>
      <w:r w:rsidR="00A12C39">
        <w:t>January</w:t>
      </w:r>
      <w:r>
        <w:t xml:space="preserve"> 201</w:t>
      </w:r>
      <w:r w:rsidR="000B0170">
        <w:t>7</w:t>
      </w:r>
      <w:r>
        <w:t xml:space="preserve">. </w:t>
      </w:r>
    </w:p>
    <w:p w:rsidR="00A545C5" w:rsidRPr="0041098E" w:rsidRDefault="00A545C5" w:rsidP="00A545C5">
      <w:pPr>
        <w:pStyle w:val="SignatureBlock"/>
        <w:spacing w:line="240" w:lineRule="auto"/>
        <w:ind w:left="3330"/>
        <w:rPr>
          <w:caps/>
        </w:rPr>
      </w:pPr>
      <w:r>
        <w:rPr>
          <w:caps/>
        </w:rPr>
        <w:t xml:space="preserve">AVISTA CORPORATION </w:t>
      </w:r>
    </w:p>
    <w:p w:rsidR="00A545C5" w:rsidRDefault="00A545C5" w:rsidP="00A545C5">
      <w:pPr>
        <w:ind w:left="3330"/>
      </w:pPr>
    </w:p>
    <w:p w:rsidR="00A545C5" w:rsidRDefault="00A545C5" w:rsidP="00A545C5">
      <w:pPr>
        <w:tabs>
          <w:tab w:val="right" w:pos="4242"/>
          <w:tab w:val="right" w:pos="4530"/>
        </w:tabs>
        <w:ind w:left="3330"/>
      </w:pPr>
    </w:p>
    <w:p w:rsidR="00A545C5" w:rsidRDefault="00A545C5" w:rsidP="00A545C5">
      <w:pPr>
        <w:tabs>
          <w:tab w:val="right" w:pos="4242"/>
          <w:tab w:val="right" w:pos="4530"/>
        </w:tabs>
        <w:ind w:left="333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5C5" w:rsidRDefault="00A545C5" w:rsidP="00A545C5">
      <w:pPr>
        <w:pStyle w:val="SignatureName"/>
        <w:spacing w:line="240" w:lineRule="auto"/>
        <w:ind w:left="3330" w:firstLine="540"/>
      </w:pPr>
      <w:bookmarkStart w:id="1" w:name="Attorneys"/>
      <w:r>
        <w:t>David J. Meyer</w:t>
      </w:r>
    </w:p>
    <w:p w:rsidR="002F7F6A" w:rsidRDefault="002F7F6A" w:rsidP="00A545C5">
      <w:pPr>
        <w:pStyle w:val="SignatureName"/>
        <w:spacing w:line="240" w:lineRule="auto"/>
        <w:ind w:left="3330" w:firstLine="540"/>
      </w:pPr>
      <w:r>
        <w:t xml:space="preserve">Vice President and </w:t>
      </w:r>
      <w:r w:rsidR="00A545C5">
        <w:t xml:space="preserve">Chief Counsel for Regulatory </w:t>
      </w:r>
    </w:p>
    <w:p w:rsidR="00A545C5" w:rsidRDefault="00A545C5" w:rsidP="00A545C5">
      <w:pPr>
        <w:pStyle w:val="SignatureName"/>
        <w:spacing w:line="240" w:lineRule="auto"/>
        <w:ind w:left="3330" w:firstLine="540"/>
      </w:pPr>
      <w:proofErr w:type="gramStart"/>
      <w:r>
        <w:t>and</w:t>
      </w:r>
      <w:proofErr w:type="gramEnd"/>
      <w:r>
        <w:t xml:space="preserve"> Governmental Affairs</w:t>
      </w:r>
    </w:p>
    <w:bookmarkEnd w:id="1"/>
    <w:p w:rsidR="0020634A" w:rsidRDefault="0020634A" w:rsidP="00A545C5">
      <w:pPr>
        <w:spacing w:line="480" w:lineRule="auto"/>
        <w:jc w:val="both"/>
      </w:pPr>
    </w:p>
    <w:p w:rsidR="00A545C5" w:rsidRDefault="00A545C5" w:rsidP="00A545C5">
      <w:pPr>
        <w:spacing w:line="480" w:lineRule="auto"/>
        <w:jc w:val="both"/>
      </w:pPr>
    </w:p>
    <w:sectPr w:rsidR="00A545C5" w:rsidSect="00F57110">
      <w:headerReference w:type="default" r:id="rId11"/>
      <w:footerReference w:type="default" r:id="rId12"/>
      <w:type w:val="continuous"/>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34" w:rsidRDefault="00061D34">
      <w:r>
        <w:separator/>
      </w:r>
    </w:p>
  </w:endnote>
  <w:endnote w:type="continuationSeparator" w:id="0">
    <w:p w:rsidR="00061D34" w:rsidRDefault="0006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Pr="008B2C04" w:rsidRDefault="00C92649" w:rsidP="00643360">
    <w:pPr>
      <w:pStyle w:val="Footer"/>
      <w:rPr>
        <w:sz w:val="20"/>
        <w:szCs w:val="20"/>
      </w:rPr>
    </w:pPr>
    <w:r>
      <w:rPr>
        <w:sz w:val="20"/>
        <w:szCs w:val="20"/>
      </w:rPr>
      <w:t>REPLY</w:t>
    </w:r>
    <w:r w:rsidR="003931BD" w:rsidRPr="003931BD">
      <w:rPr>
        <w:sz w:val="20"/>
        <w:szCs w:val="20"/>
      </w:rPr>
      <w:t xml:space="preserve"> OF AVISTA CORPORATION </w:t>
    </w:r>
    <w:r w:rsidR="00061D34" w:rsidRPr="008B2C04">
      <w:rPr>
        <w:sz w:val="20"/>
        <w:szCs w:val="20"/>
      </w:rPr>
      <w:t xml:space="preserve">- </w:t>
    </w:r>
    <w:r w:rsidR="00061D34" w:rsidRPr="008B2C04">
      <w:rPr>
        <w:sz w:val="20"/>
        <w:szCs w:val="20"/>
      </w:rPr>
      <w:fldChar w:fldCharType="begin"/>
    </w:r>
    <w:r w:rsidR="00061D34" w:rsidRPr="008B2C04">
      <w:rPr>
        <w:sz w:val="20"/>
        <w:szCs w:val="20"/>
      </w:rPr>
      <w:instrText xml:space="preserve"> PAGE   \* MERGEFORMAT </w:instrText>
    </w:r>
    <w:r w:rsidR="00061D34" w:rsidRPr="008B2C04">
      <w:rPr>
        <w:sz w:val="20"/>
        <w:szCs w:val="20"/>
      </w:rPr>
      <w:fldChar w:fldCharType="separate"/>
    </w:r>
    <w:r w:rsidR="00CB2D3F">
      <w:rPr>
        <w:noProof/>
        <w:sz w:val="20"/>
        <w:szCs w:val="20"/>
      </w:rPr>
      <w:t>7</w:t>
    </w:r>
    <w:r w:rsidR="00061D34" w:rsidRPr="008B2C04">
      <w:rPr>
        <w:noProof/>
        <w:sz w:val="20"/>
        <w:szCs w:val="20"/>
      </w:rPr>
      <w:fldChar w:fldCharType="end"/>
    </w:r>
  </w:p>
  <w:p w:rsidR="00061D34" w:rsidRDefault="0006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34" w:rsidRDefault="00061D34">
      <w:r>
        <w:separator/>
      </w:r>
    </w:p>
  </w:footnote>
  <w:footnote w:type="continuationSeparator" w:id="0">
    <w:p w:rsidR="00061D34" w:rsidRDefault="00061D34">
      <w:r>
        <w:continuationSeparator/>
      </w:r>
    </w:p>
  </w:footnote>
  <w:footnote w:id="1">
    <w:p w:rsidR="004416FA" w:rsidRDefault="004416FA" w:rsidP="00615BFF">
      <w:pPr>
        <w:pStyle w:val="FootnoteText"/>
        <w:jc w:val="both"/>
      </w:pPr>
      <w:r>
        <w:rPr>
          <w:rStyle w:val="FootnoteReference"/>
        </w:rPr>
        <w:footnoteRef/>
      </w:r>
      <w:r>
        <w:t xml:space="preserve"> Order 06, ¶64, Table One.</w:t>
      </w:r>
    </w:p>
  </w:footnote>
  <w:footnote w:id="2">
    <w:p w:rsidR="00B46001" w:rsidRDefault="00B46001" w:rsidP="00615BFF">
      <w:pPr>
        <w:pStyle w:val="FootnoteText"/>
        <w:jc w:val="both"/>
      </w:pPr>
      <w:r>
        <w:rPr>
          <w:rStyle w:val="FootnoteReference"/>
        </w:rPr>
        <w:footnoteRef/>
      </w:r>
      <w:r>
        <w:t xml:space="preserve"> Staff’s Answer</w:t>
      </w:r>
      <w:r w:rsidR="00DC5329">
        <w:t>,</w:t>
      </w:r>
      <w:r>
        <w:t xml:space="preserve"> ¶37</w:t>
      </w:r>
    </w:p>
  </w:footnote>
  <w:footnote w:id="3">
    <w:p w:rsidR="004609EC" w:rsidRDefault="004609EC" w:rsidP="00615BFF">
      <w:pPr>
        <w:pStyle w:val="FootnoteText"/>
        <w:jc w:val="both"/>
      </w:pPr>
      <w:r>
        <w:rPr>
          <w:rStyle w:val="FootnoteReference"/>
        </w:rPr>
        <w:footnoteRef/>
      </w:r>
      <w:r>
        <w:t xml:space="preserve"> N</w:t>
      </w:r>
      <w:r w:rsidR="00DC5329">
        <w:t xml:space="preserve">WIGU’s Answer, </w:t>
      </w:r>
      <w:r>
        <w:t>¶40.</w:t>
      </w:r>
    </w:p>
  </w:footnote>
  <w:footnote w:id="4">
    <w:p w:rsidR="00B520CA" w:rsidRDefault="00B520CA" w:rsidP="00615BFF">
      <w:pPr>
        <w:pStyle w:val="FootnoteText"/>
        <w:tabs>
          <w:tab w:val="left" w:pos="180"/>
        </w:tabs>
        <w:jc w:val="both"/>
      </w:pPr>
      <w:r>
        <w:rPr>
          <w:rStyle w:val="FootnoteReference"/>
        </w:rPr>
        <w:footnoteRef/>
      </w:r>
      <w:r>
        <w:t xml:space="preserve"> </w:t>
      </w:r>
      <w:r w:rsidR="009055FA">
        <w:t>ICNU’s Answer</w:t>
      </w:r>
      <w:r w:rsidR="00352D66">
        <w:t>, ¶25.</w:t>
      </w:r>
    </w:p>
  </w:footnote>
  <w:footnote w:id="5">
    <w:p w:rsidR="00B46001" w:rsidRDefault="00B46001" w:rsidP="00615BFF">
      <w:pPr>
        <w:pStyle w:val="FootnoteText"/>
        <w:tabs>
          <w:tab w:val="left" w:pos="180"/>
        </w:tabs>
        <w:jc w:val="both"/>
      </w:pPr>
      <w:r>
        <w:rPr>
          <w:rStyle w:val="FootnoteReference"/>
        </w:rPr>
        <w:footnoteRef/>
      </w:r>
      <w:r>
        <w:t xml:space="preserve"> </w:t>
      </w:r>
      <w:r w:rsidR="009055FA">
        <w:tab/>
      </w:r>
      <w:r w:rsidR="00FA7762">
        <w:t xml:space="preserve">Exhibit No. MTT-1T, pp </w:t>
      </w:r>
      <w:r>
        <w:t>5-15</w:t>
      </w:r>
      <w:r w:rsidR="00FA7762">
        <w:t>.</w:t>
      </w:r>
    </w:p>
  </w:footnote>
  <w:footnote w:id="6">
    <w:p w:rsidR="00B46001" w:rsidRDefault="00B46001" w:rsidP="00615BFF">
      <w:pPr>
        <w:pStyle w:val="FootnoteText"/>
        <w:tabs>
          <w:tab w:val="left" w:pos="180"/>
        </w:tabs>
        <w:jc w:val="both"/>
      </w:pPr>
      <w:r>
        <w:rPr>
          <w:rStyle w:val="FootnoteReference"/>
        </w:rPr>
        <w:footnoteRef/>
      </w:r>
      <w:r>
        <w:t xml:space="preserve"> </w:t>
      </w:r>
      <w:r w:rsidR="009055FA">
        <w:tab/>
      </w:r>
      <w:r>
        <w:t>Order 05, page 52.</w:t>
      </w:r>
    </w:p>
  </w:footnote>
  <w:footnote w:id="7">
    <w:p w:rsidR="00286A39" w:rsidRDefault="00286A39" w:rsidP="00615BFF">
      <w:pPr>
        <w:pStyle w:val="FootnoteText"/>
        <w:ind w:left="180" w:hanging="180"/>
        <w:jc w:val="both"/>
      </w:pPr>
      <w:r>
        <w:rPr>
          <w:rStyle w:val="FootnoteReference"/>
        </w:rPr>
        <w:footnoteRef/>
      </w:r>
      <w:r>
        <w:t xml:space="preserve">  </w:t>
      </w:r>
      <w:r>
        <w:rPr>
          <w:szCs w:val="24"/>
        </w:rPr>
        <w:t xml:space="preserve">Commission Staff witness Mr. Hancock recognized this “end of the construction season” effect beginning on page 9 of his testimony (Exhibit No. CSH-1T).  </w:t>
      </w:r>
    </w:p>
  </w:footnote>
  <w:footnote w:id="8">
    <w:p w:rsidR="00B46001" w:rsidRDefault="00B46001" w:rsidP="00615BFF">
      <w:pPr>
        <w:pStyle w:val="FootnoteText"/>
        <w:tabs>
          <w:tab w:val="left" w:pos="180"/>
        </w:tabs>
        <w:jc w:val="both"/>
      </w:pPr>
      <w:r>
        <w:rPr>
          <w:rStyle w:val="FootnoteReference"/>
        </w:rPr>
        <w:footnoteRef/>
      </w:r>
      <w:r>
        <w:t xml:space="preserve"> </w:t>
      </w:r>
      <w:r w:rsidR="009055FA">
        <w:tab/>
      </w:r>
      <w:r>
        <w:t>ICNU</w:t>
      </w:r>
      <w:r w:rsidR="00EC6F22">
        <w:t>’s</w:t>
      </w:r>
      <w:r>
        <w:t xml:space="preserve"> Answer ¶27, and Footnote 61 in particular.</w:t>
      </w:r>
    </w:p>
  </w:footnote>
  <w:footnote w:id="9">
    <w:p w:rsidR="000D7372" w:rsidRDefault="000D7372" w:rsidP="00615BFF">
      <w:pPr>
        <w:pStyle w:val="FootnoteText"/>
        <w:ind w:left="270" w:hanging="270"/>
        <w:jc w:val="both"/>
      </w:pPr>
      <w:r>
        <w:rPr>
          <w:rStyle w:val="FootnoteReference"/>
        </w:rPr>
        <w:footnoteRef/>
      </w:r>
      <w:r>
        <w:t xml:space="preserve"> </w:t>
      </w:r>
      <w:r w:rsidR="00286A39">
        <w:t xml:space="preserve"> </w:t>
      </w:r>
      <w:r>
        <w:t>Docket Nos. UE-150204 and UG-150205, Avista Response to Motion to Reopen, ¶12.</w:t>
      </w:r>
    </w:p>
  </w:footnote>
  <w:footnote w:id="10">
    <w:p w:rsidR="000D7372" w:rsidRDefault="00F3506C" w:rsidP="00F3506C">
      <w:pPr>
        <w:pStyle w:val="FootnoteText"/>
        <w:ind w:left="180" w:hanging="270"/>
        <w:jc w:val="both"/>
      </w:pPr>
      <w:r>
        <w:t xml:space="preserve"> </w:t>
      </w:r>
      <w:r w:rsidR="000D7372">
        <w:rPr>
          <w:rStyle w:val="FootnoteReference"/>
        </w:rPr>
        <w:footnoteRef/>
      </w:r>
      <w:r w:rsidR="000D7372">
        <w:t xml:space="preserve"> </w:t>
      </w:r>
      <w:r w:rsidR="009055FA">
        <w:tab/>
      </w:r>
      <w:r w:rsidR="000D7372">
        <w:t>Docket Nos. UE-150204 and UG-150205, Order 05</w:t>
      </w:r>
      <w:r w:rsidR="00804896">
        <w:t>, ¶283.</w:t>
      </w:r>
    </w:p>
  </w:footnote>
  <w:footnote w:id="11">
    <w:p w:rsidR="007F476B" w:rsidRPr="004301D1" w:rsidRDefault="007F476B" w:rsidP="00615BFF">
      <w:pPr>
        <w:pStyle w:val="FootnoteText"/>
        <w:ind w:left="270" w:hanging="270"/>
        <w:jc w:val="both"/>
      </w:pPr>
      <w:r w:rsidRPr="004301D1">
        <w:rPr>
          <w:rStyle w:val="FootnoteReference"/>
        </w:rPr>
        <w:footnoteRef/>
      </w:r>
      <w:r w:rsidRPr="004301D1">
        <w:t xml:space="preserve"> Order 06, ¶7.</w:t>
      </w:r>
    </w:p>
  </w:footnote>
  <w:footnote w:id="12">
    <w:p w:rsidR="00B46001" w:rsidRPr="004301D1" w:rsidRDefault="00B46001" w:rsidP="00F3506C">
      <w:pPr>
        <w:pStyle w:val="FootnoteText"/>
        <w:ind w:left="180" w:hanging="180"/>
        <w:jc w:val="both"/>
      </w:pPr>
      <w:r w:rsidRPr="004301D1">
        <w:rPr>
          <w:rStyle w:val="FootnoteReference"/>
        </w:rPr>
        <w:footnoteRef/>
      </w:r>
      <w:r w:rsidR="00F3506C">
        <w:t xml:space="preserve"> </w:t>
      </w:r>
      <w:r w:rsidR="0041422D">
        <w:t xml:space="preserve">The </w:t>
      </w:r>
      <w:r w:rsidR="004301D1" w:rsidRPr="004301D1">
        <w:t>Company</w:t>
      </w:r>
      <w:r w:rsidR="0041422D">
        <w:t>’s</w:t>
      </w:r>
      <w:r w:rsidR="004301D1" w:rsidRPr="004301D1">
        <w:t xml:space="preserve"> 6.8%</w:t>
      </w:r>
      <w:r w:rsidR="0041422D">
        <w:t xml:space="preserve"> ROE</w:t>
      </w:r>
      <w:r w:rsidR="004301D1" w:rsidRPr="004301D1">
        <w:t xml:space="preserve"> per </w:t>
      </w:r>
      <w:r w:rsidR="0041422D">
        <w:t>“</w:t>
      </w:r>
      <w:r w:rsidR="004301D1" w:rsidRPr="004301D1">
        <w:t xml:space="preserve">Avista Corporation Petition for Reconsideration or, in the </w:t>
      </w:r>
      <w:r w:rsidR="0041422D">
        <w:t>A</w:t>
      </w:r>
      <w:r w:rsidR="004301D1" w:rsidRPr="004301D1">
        <w:t xml:space="preserve">lternative, for </w:t>
      </w:r>
      <w:r w:rsidR="00F3506C">
        <w:t xml:space="preserve">   </w:t>
      </w:r>
      <w:r w:rsidR="004301D1" w:rsidRPr="004301D1">
        <w:t>Rehearing</w:t>
      </w:r>
      <w:r w:rsidR="0041422D">
        <w:t>”</w:t>
      </w:r>
      <w:r w:rsidR="004301D1" w:rsidRPr="004301D1">
        <w:t xml:space="preserve">, Attachment B; </w:t>
      </w:r>
      <w:r w:rsidR="0041422D">
        <w:t xml:space="preserve">Commission </w:t>
      </w:r>
      <w:r w:rsidR="004301D1" w:rsidRPr="004301D1">
        <w:t>Staff</w:t>
      </w:r>
      <w:r w:rsidR="0041422D">
        <w:t>’s</w:t>
      </w:r>
      <w:r w:rsidR="004301D1" w:rsidRPr="004301D1">
        <w:t xml:space="preserve"> 7.0% </w:t>
      </w:r>
      <w:r w:rsidR="0041422D">
        <w:t xml:space="preserve">ROE </w:t>
      </w:r>
      <w:r w:rsidR="004301D1" w:rsidRPr="004301D1">
        <w:t xml:space="preserve">calculated using Staff proposed rate base per Exhibit No. JH-2, </w:t>
      </w:r>
      <w:proofErr w:type="spellStart"/>
      <w:r w:rsidR="004301D1" w:rsidRPr="004301D1">
        <w:t>pg</w:t>
      </w:r>
      <w:proofErr w:type="spellEnd"/>
      <w:r w:rsidR="004301D1" w:rsidRPr="004301D1">
        <w:t xml:space="preserve"> 2, row 50 and JH-3 Revised, </w:t>
      </w:r>
      <w:proofErr w:type="spellStart"/>
      <w:r w:rsidR="004301D1" w:rsidRPr="004301D1">
        <w:t>pg</w:t>
      </w:r>
      <w:proofErr w:type="spellEnd"/>
      <w:r w:rsidR="004301D1" w:rsidRPr="004301D1">
        <w:t xml:space="preserve"> 2, row 47.</w:t>
      </w:r>
    </w:p>
  </w:footnote>
  <w:footnote w:id="13">
    <w:p w:rsidR="00572E52" w:rsidRDefault="00572E52" w:rsidP="00615BFF">
      <w:pPr>
        <w:pStyle w:val="FootnoteText"/>
        <w:ind w:left="270" w:hanging="270"/>
        <w:jc w:val="both"/>
      </w:pPr>
      <w:r w:rsidRPr="004301D1">
        <w:rPr>
          <w:rStyle w:val="FootnoteReference"/>
        </w:rPr>
        <w:footnoteRef/>
      </w:r>
      <w:r w:rsidR="0041422D">
        <w:t xml:space="preserve"> </w:t>
      </w:r>
      <w:r w:rsidR="00510CD8" w:rsidRPr="00510CD8">
        <w:t xml:space="preserve">From Exhibit Nos. JSS-3 and JSS-4, </w:t>
      </w:r>
      <w:proofErr w:type="spellStart"/>
      <w:r w:rsidR="00510CD8" w:rsidRPr="00510CD8">
        <w:t>pgs</w:t>
      </w:r>
      <w:proofErr w:type="spellEnd"/>
      <w:r w:rsidR="00510CD8" w:rsidRPr="00510CD8">
        <w:t xml:space="preserve"> 3 and 4; Exhibit No. JH-2 and JH-3 Revised, </w:t>
      </w:r>
      <w:proofErr w:type="spellStart"/>
      <w:r w:rsidR="00510CD8" w:rsidRPr="00510CD8">
        <w:t>pg</w:t>
      </w:r>
      <w:proofErr w:type="spellEnd"/>
      <w:r w:rsidR="00510CD8" w:rsidRPr="00510CD8">
        <w:t xml:space="preserve"> 2.</w:t>
      </w:r>
    </w:p>
  </w:footnote>
  <w:footnote w:id="14">
    <w:p w:rsidR="00A854F5" w:rsidRDefault="00A854F5" w:rsidP="00615BFF">
      <w:pPr>
        <w:pStyle w:val="FootnoteText"/>
        <w:jc w:val="both"/>
      </w:pPr>
      <w:r>
        <w:rPr>
          <w:rStyle w:val="FootnoteReference"/>
        </w:rPr>
        <w:footnoteRef/>
      </w:r>
      <w:r>
        <w:t xml:space="preserve"> Commission Staff’s Answer, ¶34.</w:t>
      </w:r>
    </w:p>
  </w:footnote>
  <w:footnote w:id="15">
    <w:p w:rsidR="00A854F5" w:rsidRDefault="00A854F5" w:rsidP="00615BFF">
      <w:pPr>
        <w:pStyle w:val="FootnoteText"/>
        <w:jc w:val="both"/>
      </w:pPr>
      <w:r>
        <w:rPr>
          <w:rStyle w:val="FootnoteReference"/>
        </w:rPr>
        <w:footnoteRef/>
      </w:r>
      <w:r>
        <w:t xml:space="preserve"> Id.</w:t>
      </w:r>
    </w:p>
  </w:footnote>
  <w:footnote w:id="16">
    <w:p w:rsidR="00B46001" w:rsidRDefault="00B46001" w:rsidP="00615BFF">
      <w:pPr>
        <w:pStyle w:val="FootnoteText"/>
        <w:ind w:left="180" w:hanging="180"/>
        <w:jc w:val="both"/>
      </w:pPr>
      <w:r>
        <w:rPr>
          <w:rStyle w:val="FootnoteReference"/>
        </w:rPr>
        <w:footnoteRef/>
      </w:r>
      <w:r>
        <w:t xml:space="preserve"> Including the time it takes to prepare a rate case, together with the 11-month period the Commission generally takes to process a case.</w:t>
      </w:r>
    </w:p>
  </w:footnote>
  <w:footnote w:id="17">
    <w:p w:rsidR="008F0A07" w:rsidRDefault="008F0A07" w:rsidP="00005646">
      <w:pPr>
        <w:pStyle w:val="FootnoteText"/>
        <w:ind w:left="180" w:hanging="180"/>
        <w:jc w:val="both"/>
      </w:pPr>
      <w:r>
        <w:rPr>
          <w:rStyle w:val="FootnoteReference"/>
        </w:rPr>
        <w:footnoteRef/>
      </w:r>
      <w:r>
        <w:t xml:space="preserve"> While there may not be sufficient consensus among</w:t>
      </w:r>
      <w:r w:rsidR="00005646">
        <w:t xml:space="preserve"> all parties to support the filing of a Joint Motion to this effect at this time, the Commission may, in its own discretion, </w:t>
      </w:r>
      <w:r w:rsidR="007A2BE0">
        <w:t xml:space="preserve">otherwise </w:t>
      </w:r>
      <w:r w:rsidR="00005646">
        <w:t>provide such an opportunity through directing the assigned ALJ to convene such a settlement conference</w:t>
      </w:r>
      <w:r w:rsidR="007A2BE0">
        <w:t xml:space="preserve">, if it believes </w:t>
      </w:r>
      <w:r w:rsidR="00894937">
        <w:t>that the parties should be given this additional opportunity to explore a multi-year rate plan</w:t>
      </w:r>
      <w:r w:rsidR="0000564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Default="00061D34" w:rsidP="00F37788">
    <w:pPr>
      <w:pStyle w:val="Header"/>
      <w:rPr>
        <w:rStyle w:val="PageNumber"/>
        <w:b/>
        <w:bCs/>
        <w:sz w:val="20"/>
      </w:rPr>
    </w:pPr>
  </w:p>
  <w:p w:rsidR="00061D34" w:rsidRPr="00C61316" w:rsidRDefault="00061D34">
    <w:pPr>
      <w:pStyle w:val="Header"/>
      <w:tabs>
        <w:tab w:val="clear" w:pos="8640"/>
        <w:tab w:val="right" w:pos="8100"/>
      </w:tabs>
      <w:rPr>
        <w:rStyle w:val="PageNumber"/>
        <w:b/>
        <w:bCs/>
        <w:sz w:val="20"/>
      </w:rPr>
    </w:pPr>
  </w:p>
  <w:p w:rsidR="00061D34" w:rsidRPr="00C61316" w:rsidRDefault="00061D34">
    <w:pPr>
      <w:pStyle w:val="Header"/>
      <w:tabs>
        <w:tab w:val="clear" w:pos="8640"/>
        <w:tab w:val="right" w:pos="8100"/>
      </w:tabs>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15:restartNumberingAfterBreak="0">
    <w:nsid w:val="4F1A5CC5"/>
    <w:multiLevelType w:val="multilevel"/>
    <w:tmpl w:val="591AC582"/>
    <w:lvl w:ilvl="0">
      <w:start w:val="3"/>
      <w:numFmt w:val="decimal"/>
      <w:pStyle w:val="Heading1"/>
      <w:lvlText w:val="%1"/>
      <w:lvlJc w:val="left"/>
      <w:pPr>
        <w:tabs>
          <w:tab w:val="num" w:pos="0"/>
        </w:tabs>
        <w:ind w:left="0" w:hanging="274"/>
      </w:pPr>
      <w:rPr>
        <w:rFonts w:ascii="Times New Roman" w:hAnsi="Times New Roman" w:hint="default"/>
        <w:b w:val="0"/>
        <w:i/>
        <w:caps w:val="0"/>
        <w:smallCaps w:val="0"/>
        <w:strike w:val="0"/>
        <w:dstrike w:val="0"/>
        <w:outline w:val="0"/>
        <w:shadow w:val="0"/>
        <w:emboss w:val="0"/>
        <w:imprint w:val="0"/>
        <w:vanish w:val="0"/>
        <w:color w:val="000000"/>
        <w:sz w:val="24"/>
        <w:u w:val="none" w:color="000000"/>
        <w:effect w:val="none"/>
        <w:vertAlign w:val="superscript"/>
      </w:rPr>
    </w:lvl>
    <w:lvl w:ilvl="1">
      <w:start w:val="1"/>
      <w:numFmt w:val="upperLetter"/>
      <w:pStyle w:val="Heading2"/>
      <w:lvlText w:val="%2."/>
      <w:lvlJc w:val="left"/>
      <w:pPr>
        <w:tabs>
          <w:tab w:val="num" w:pos="0"/>
        </w:tabs>
        <w:ind w:left="720" w:hanging="720"/>
      </w:pPr>
      <w:rPr>
        <w:rFonts w:ascii="Times New Roman Bold" w:hAnsi="Times New Roman Bold" w:hint="default"/>
        <w:b/>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2880" w:hanging="706"/>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5">
      <w:start w:val="1"/>
      <w:numFmt w:val="upperLetter"/>
      <w:pStyle w:val="Heading6"/>
      <w:lvlText w:val="(%6)"/>
      <w:lvlJc w:val="left"/>
      <w:pPr>
        <w:tabs>
          <w:tab w:val="num" w:pos="0"/>
        </w:tabs>
        <w:ind w:left="4306"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Heading7"/>
      <w:lvlText w:val="(%7)"/>
      <w:lvlJc w:val="left"/>
      <w:pPr>
        <w:tabs>
          <w:tab w:val="num" w:pos="0"/>
        </w:tabs>
        <w:ind w:left="5026"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Heading8"/>
      <w:lvlText w:val="(%8)"/>
      <w:lvlJc w:val="left"/>
      <w:pPr>
        <w:tabs>
          <w:tab w:val="num" w:pos="0"/>
        </w:tabs>
        <w:ind w:left="5746"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Heading9"/>
      <w:lvlText w:val="(%9)"/>
      <w:lvlJc w:val="left"/>
      <w:pPr>
        <w:tabs>
          <w:tab w:val="num" w:pos="0"/>
        </w:tabs>
        <w:ind w:left="6466"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abstractNum>
  <w:abstractNum w:abstractNumId="5" w15:restartNumberingAfterBreak="0">
    <w:nsid w:val="52DC79BD"/>
    <w:multiLevelType w:val="hybridMultilevel"/>
    <w:tmpl w:val="FDD6B3E4"/>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6"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14073"/>
    <w:multiLevelType w:val="hybridMultilevel"/>
    <w:tmpl w:val="870C40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5646"/>
    <w:rsid w:val="0001038B"/>
    <w:rsid w:val="000170C6"/>
    <w:rsid w:val="0002162B"/>
    <w:rsid w:val="000222C8"/>
    <w:rsid w:val="0002613D"/>
    <w:rsid w:val="0003399B"/>
    <w:rsid w:val="00041461"/>
    <w:rsid w:val="000459DE"/>
    <w:rsid w:val="00051539"/>
    <w:rsid w:val="0005501B"/>
    <w:rsid w:val="00061D34"/>
    <w:rsid w:val="0006345C"/>
    <w:rsid w:val="000702CE"/>
    <w:rsid w:val="00073280"/>
    <w:rsid w:val="00080717"/>
    <w:rsid w:val="00085C24"/>
    <w:rsid w:val="00095E41"/>
    <w:rsid w:val="000A24A4"/>
    <w:rsid w:val="000A2537"/>
    <w:rsid w:val="000A253A"/>
    <w:rsid w:val="000A4BE8"/>
    <w:rsid w:val="000B0170"/>
    <w:rsid w:val="000B0934"/>
    <w:rsid w:val="000B251B"/>
    <w:rsid w:val="000B5163"/>
    <w:rsid w:val="000D08A9"/>
    <w:rsid w:val="000D39AA"/>
    <w:rsid w:val="000D6B79"/>
    <w:rsid w:val="000D7372"/>
    <w:rsid w:val="000E5DD0"/>
    <w:rsid w:val="000F42FC"/>
    <w:rsid w:val="000F478B"/>
    <w:rsid w:val="000F7719"/>
    <w:rsid w:val="000F7811"/>
    <w:rsid w:val="00125CB0"/>
    <w:rsid w:val="001328E0"/>
    <w:rsid w:val="00133FEE"/>
    <w:rsid w:val="001350C5"/>
    <w:rsid w:val="0013769F"/>
    <w:rsid w:val="00153174"/>
    <w:rsid w:val="00153F0C"/>
    <w:rsid w:val="001714B2"/>
    <w:rsid w:val="00173F52"/>
    <w:rsid w:val="00185315"/>
    <w:rsid w:val="001907EC"/>
    <w:rsid w:val="00192956"/>
    <w:rsid w:val="00195112"/>
    <w:rsid w:val="001C2E71"/>
    <w:rsid w:val="001C3A74"/>
    <w:rsid w:val="001C6510"/>
    <w:rsid w:val="001D2D6F"/>
    <w:rsid w:val="001D5DB9"/>
    <w:rsid w:val="001E10DF"/>
    <w:rsid w:val="001E2559"/>
    <w:rsid w:val="001E7CFF"/>
    <w:rsid w:val="001F0E98"/>
    <w:rsid w:val="001F53AA"/>
    <w:rsid w:val="0020634A"/>
    <w:rsid w:val="00214948"/>
    <w:rsid w:val="00215446"/>
    <w:rsid w:val="00216F8B"/>
    <w:rsid w:val="0023144D"/>
    <w:rsid w:val="00233536"/>
    <w:rsid w:val="00236B8B"/>
    <w:rsid w:val="0024762C"/>
    <w:rsid w:val="00255C19"/>
    <w:rsid w:val="0025641D"/>
    <w:rsid w:val="00283ED0"/>
    <w:rsid w:val="00285660"/>
    <w:rsid w:val="00286A39"/>
    <w:rsid w:val="00296983"/>
    <w:rsid w:val="0029782F"/>
    <w:rsid w:val="002A3450"/>
    <w:rsid w:val="002A56D6"/>
    <w:rsid w:val="002B478D"/>
    <w:rsid w:val="002C1CE6"/>
    <w:rsid w:val="002D2FDC"/>
    <w:rsid w:val="002D4D64"/>
    <w:rsid w:val="002D4DE8"/>
    <w:rsid w:val="002E1E12"/>
    <w:rsid w:val="002F17F5"/>
    <w:rsid w:val="002F7155"/>
    <w:rsid w:val="002F7F6A"/>
    <w:rsid w:val="00310DAC"/>
    <w:rsid w:val="0031199B"/>
    <w:rsid w:val="003167C8"/>
    <w:rsid w:val="0032034A"/>
    <w:rsid w:val="00321B1D"/>
    <w:rsid w:val="00321E45"/>
    <w:rsid w:val="00324DB2"/>
    <w:rsid w:val="003304C9"/>
    <w:rsid w:val="00334D19"/>
    <w:rsid w:val="00342629"/>
    <w:rsid w:val="00345AE6"/>
    <w:rsid w:val="00345CB8"/>
    <w:rsid w:val="00351091"/>
    <w:rsid w:val="00352D66"/>
    <w:rsid w:val="00354864"/>
    <w:rsid w:val="00360F35"/>
    <w:rsid w:val="003730F9"/>
    <w:rsid w:val="0037367A"/>
    <w:rsid w:val="003835C1"/>
    <w:rsid w:val="003931BD"/>
    <w:rsid w:val="00393440"/>
    <w:rsid w:val="00397EDC"/>
    <w:rsid w:val="003A0122"/>
    <w:rsid w:val="003A707A"/>
    <w:rsid w:val="003C38AA"/>
    <w:rsid w:val="003C5C70"/>
    <w:rsid w:val="003D2792"/>
    <w:rsid w:val="003E380C"/>
    <w:rsid w:val="003F0213"/>
    <w:rsid w:val="00401F71"/>
    <w:rsid w:val="00401FE5"/>
    <w:rsid w:val="00407D04"/>
    <w:rsid w:val="0041422D"/>
    <w:rsid w:val="004150F0"/>
    <w:rsid w:val="004301D1"/>
    <w:rsid w:val="00432752"/>
    <w:rsid w:val="004350BB"/>
    <w:rsid w:val="004416FA"/>
    <w:rsid w:val="0044543F"/>
    <w:rsid w:val="00452AD4"/>
    <w:rsid w:val="004609EC"/>
    <w:rsid w:val="00460DAB"/>
    <w:rsid w:val="00463496"/>
    <w:rsid w:val="00491469"/>
    <w:rsid w:val="004A7BC0"/>
    <w:rsid w:val="004B7B01"/>
    <w:rsid w:val="004D1576"/>
    <w:rsid w:val="004D489E"/>
    <w:rsid w:val="004D6EE3"/>
    <w:rsid w:val="004E6CCE"/>
    <w:rsid w:val="004F137A"/>
    <w:rsid w:val="004F569B"/>
    <w:rsid w:val="004F5FE5"/>
    <w:rsid w:val="004F64CC"/>
    <w:rsid w:val="0050041F"/>
    <w:rsid w:val="00500823"/>
    <w:rsid w:val="005045C3"/>
    <w:rsid w:val="00510CD8"/>
    <w:rsid w:val="0051493B"/>
    <w:rsid w:val="00533A8D"/>
    <w:rsid w:val="0053524A"/>
    <w:rsid w:val="0053773F"/>
    <w:rsid w:val="00545F44"/>
    <w:rsid w:val="0055421A"/>
    <w:rsid w:val="00572E52"/>
    <w:rsid w:val="00590DA1"/>
    <w:rsid w:val="005A6B13"/>
    <w:rsid w:val="005B1BB1"/>
    <w:rsid w:val="005D4645"/>
    <w:rsid w:val="005D5176"/>
    <w:rsid w:val="005D5A03"/>
    <w:rsid w:val="005E3DCF"/>
    <w:rsid w:val="005E40A4"/>
    <w:rsid w:val="005F3D31"/>
    <w:rsid w:val="00602616"/>
    <w:rsid w:val="00603543"/>
    <w:rsid w:val="00604A8A"/>
    <w:rsid w:val="00615BFF"/>
    <w:rsid w:val="0061773A"/>
    <w:rsid w:val="006252F7"/>
    <w:rsid w:val="00626E54"/>
    <w:rsid w:val="0064030F"/>
    <w:rsid w:val="00643360"/>
    <w:rsid w:val="00647B66"/>
    <w:rsid w:val="0065092E"/>
    <w:rsid w:val="00666C41"/>
    <w:rsid w:val="00671328"/>
    <w:rsid w:val="006832D1"/>
    <w:rsid w:val="00690596"/>
    <w:rsid w:val="00693413"/>
    <w:rsid w:val="00693F95"/>
    <w:rsid w:val="00695E68"/>
    <w:rsid w:val="006B1188"/>
    <w:rsid w:val="006B163F"/>
    <w:rsid w:val="006B343C"/>
    <w:rsid w:val="006B3A57"/>
    <w:rsid w:val="006B4CFA"/>
    <w:rsid w:val="006B534A"/>
    <w:rsid w:val="006B7E83"/>
    <w:rsid w:val="006C0FB3"/>
    <w:rsid w:val="006D1DFA"/>
    <w:rsid w:val="006D2471"/>
    <w:rsid w:val="006D44FA"/>
    <w:rsid w:val="006D54B5"/>
    <w:rsid w:val="006E281E"/>
    <w:rsid w:val="006F3723"/>
    <w:rsid w:val="006F7225"/>
    <w:rsid w:val="007035A5"/>
    <w:rsid w:val="00710EAA"/>
    <w:rsid w:val="00716516"/>
    <w:rsid w:val="007253B1"/>
    <w:rsid w:val="007279CB"/>
    <w:rsid w:val="00732797"/>
    <w:rsid w:val="00733FD2"/>
    <w:rsid w:val="00734CF0"/>
    <w:rsid w:val="00736385"/>
    <w:rsid w:val="00741405"/>
    <w:rsid w:val="00750BD4"/>
    <w:rsid w:val="0076408A"/>
    <w:rsid w:val="0077583C"/>
    <w:rsid w:val="00791555"/>
    <w:rsid w:val="00791814"/>
    <w:rsid w:val="00793F55"/>
    <w:rsid w:val="007A2BE0"/>
    <w:rsid w:val="007A5BB0"/>
    <w:rsid w:val="007B4ABA"/>
    <w:rsid w:val="007C050C"/>
    <w:rsid w:val="007D1FE5"/>
    <w:rsid w:val="007D324D"/>
    <w:rsid w:val="007E4A8F"/>
    <w:rsid w:val="007F09FB"/>
    <w:rsid w:val="007F476B"/>
    <w:rsid w:val="00801E95"/>
    <w:rsid w:val="00802EA7"/>
    <w:rsid w:val="00804896"/>
    <w:rsid w:val="00806396"/>
    <w:rsid w:val="008106CA"/>
    <w:rsid w:val="008133A1"/>
    <w:rsid w:val="008133D2"/>
    <w:rsid w:val="0083075C"/>
    <w:rsid w:val="00831BCD"/>
    <w:rsid w:val="00845B60"/>
    <w:rsid w:val="00852200"/>
    <w:rsid w:val="0085269B"/>
    <w:rsid w:val="008570C1"/>
    <w:rsid w:val="00865BFD"/>
    <w:rsid w:val="0087676A"/>
    <w:rsid w:val="00884721"/>
    <w:rsid w:val="00884C9E"/>
    <w:rsid w:val="00884FA0"/>
    <w:rsid w:val="00893D7A"/>
    <w:rsid w:val="00894937"/>
    <w:rsid w:val="00895615"/>
    <w:rsid w:val="008A3D90"/>
    <w:rsid w:val="008B2C04"/>
    <w:rsid w:val="008D1DAE"/>
    <w:rsid w:val="008E21F7"/>
    <w:rsid w:val="008F0A07"/>
    <w:rsid w:val="009055FA"/>
    <w:rsid w:val="009064F2"/>
    <w:rsid w:val="0092222E"/>
    <w:rsid w:val="00925BCD"/>
    <w:rsid w:val="00925E6E"/>
    <w:rsid w:val="009263A9"/>
    <w:rsid w:val="00933FC8"/>
    <w:rsid w:val="00943897"/>
    <w:rsid w:val="009459E8"/>
    <w:rsid w:val="00946BAD"/>
    <w:rsid w:val="009518EB"/>
    <w:rsid w:val="0097200E"/>
    <w:rsid w:val="0097345A"/>
    <w:rsid w:val="00974123"/>
    <w:rsid w:val="00981B3B"/>
    <w:rsid w:val="009A7662"/>
    <w:rsid w:val="009B2F25"/>
    <w:rsid w:val="009C686D"/>
    <w:rsid w:val="009D1FD4"/>
    <w:rsid w:val="009D26AB"/>
    <w:rsid w:val="009E04A3"/>
    <w:rsid w:val="009E4A10"/>
    <w:rsid w:val="009F072C"/>
    <w:rsid w:val="009F5448"/>
    <w:rsid w:val="009F7A1E"/>
    <w:rsid w:val="00A00F04"/>
    <w:rsid w:val="00A0696C"/>
    <w:rsid w:val="00A12C39"/>
    <w:rsid w:val="00A2242E"/>
    <w:rsid w:val="00A2262B"/>
    <w:rsid w:val="00A23384"/>
    <w:rsid w:val="00A24C49"/>
    <w:rsid w:val="00A27659"/>
    <w:rsid w:val="00A30AC1"/>
    <w:rsid w:val="00A337B5"/>
    <w:rsid w:val="00A51AA1"/>
    <w:rsid w:val="00A51F0C"/>
    <w:rsid w:val="00A545C5"/>
    <w:rsid w:val="00A54EB2"/>
    <w:rsid w:val="00A5726D"/>
    <w:rsid w:val="00A66035"/>
    <w:rsid w:val="00A71F69"/>
    <w:rsid w:val="00A71F82"/>
    <w:rsid w:val="00A727F6"/>
    <w:rsid w:val="00A83425"/>
    <w:rsid w:val="00A83480"/>
    <w:rsid w:val="00A83A8F"/>
    <w:rsid w:val="00A854F5"/>
    <w:rsid w:val="00A8722E"/>
    <w:rsid w:val="00A87569"/>
    <w:rsid w:val="00A9218B"/>
    <w:rsid w:val="00AA502E"/>
    <w:rsid w:val="00AB060F"/>
    <w:rsid w:val="00AB07D1"/>
    <w:rsid w:val="00AB264C"/>
    <w:rsid w:val="00AB403A"/>
    <w:rsid w:val="00AB7373"/>
    <w:rsid w:val="00AC362B"/>
    <w:rsid w:val="00AC4E4C"/>
    <w:rsid w:val="00AD4ACB"/>
    <w:rsid w:val="00AE0C79"/>
    <w:rsid w:val="00AF1ABC"/>
    <w:rsid w:val="00AF3EEC"/>
    <w:rsid w:val="00AF4EC9"/>
    <w:rsid w:val="00B025E1"/>
    <w:rsid w:val="00B02D2F"/>
    <w:rsid w:val="00B11E32"/>
    <w:rsid w:val="00B12E66"/>
    <w:rsid w:val="00B14915"/>
    <w:rsid w:val="00B14E69"/>
    <w:rsid w:val="00B169C2"/>
    <w:rsid w:val="00B2121B"/>
    <w:rsid w:val="00B217C3"/>
    <w:rsid w:val="00B32C32"/>
    <w:rsid w:val="00B33079"/>
    <w:rsid w:val="00B330B6"/>
    <w:rsid w:val="00B34B87"/>
    <w:rsid w:val="00B46001"/>
    <w:rsid w:val="00B47A77"/>
    <w:rsid w:val="00B520CA"/>
    <w:rsid w:val="00B5590C"/>
    <w:rsid w:val="00B56524"/>
    <w:rsid w:val="00B600A1"/>
    <w:rsid w:val="00B62034"/>
    <w:rsid w:val="00B6350E"/>
    <w:rsid w:val="00B67223"/>
    <w:rsid w:val="00B80C16"/>
    <w:rsid w:val="00B91FB5"/>
    <w:rsid w:val="00BA7B72"/>
    <w:rsid w:val="00BB4736"/>
    <w:rsid w:val="00BC5CD1"/>
    <w:rsid w:val="00BC66F7"/>
    <w:rsid w:val="00BD1EB2"/>
    <w:rsid w:val="00BD325C"/>
    <w:rsid w:val="00BD43C5"/>
    <w:rsid w:val="00BE42BF"/>
    <w:rsid w:val="00BE5207"/>
    <w:rsid w:val="00BF2BD9"/>
    <w:rsid w:val="00BF30B2"/>
    <w:rsid w:val="00C011AB"/>
    <w:rsid w:val="00C03769"/>
    <w:rsid w:val="00C06096"/>
    <w:rsid w:val="00C14B07"/>
    <w:rsid w:val="00C15767"/>
    <w:rsid w:val="00C45E70"/>
    <w:rsid w:val="00C51C45"/>
    <w:rsid w:val="00C55B00"/>
    <w:rsid w:val="00C61316"/>
    <w:rsid w:val="00C63358"/>
    <w:rsid w:val="00C64288"/>
    <w:rsid w:val="00C6444C"/>
    <w:rsid w:val="00C723C7"/>
    <w:rsid w:val="00C7528B"/>
    <w:rsid w:val="00C77E1E"/>
    <w:rsid w:val="00C80C59"/>
    <w:rsid w:val="00C82610"/>
    <w:rsid w:val="00C85CDD"/>
    <w:rsid w:val="00C91699"/>
    <w:rsid w:val="00C92649"/>
    <w:rsid w:val="00C94C13"/>
    <w:rsid w:val="00C94F47"/>
    <w:rsid w:val="00CA6A8B"/>
    <w:rsid w:val="00CB2D3F"/>
    <w:rsid w:val="00CC464B"/>
    <w:rsid w:val="00CC4C27"/>
    <w:rsid w:val="00CF22E5"/>
    <w:rsid w:val="00D044AD"/>
    <w:rsid w:val="00D11B58"/>
    <w:rsid w:val="00D12B7B"/>
    <w:rsid w:val="00D15E24"/>
    <w:rsid w:val="00D22AC7"/>
    <w:rsid w:val="00D23261"/>
    <w:rsid w:val="00D32789"/>
    <w:rsid w:val="00D57CC6"/>
    <w:rsid w:val="00D6633B"/>
    <w:rsid w:val="00D66672"/>
    <w:rsid w:val="00D81228"/>
    <w:rsid w:val="00D85D7D"/>
    <w:rsid w:val="00D85EF3"/>
    <w:rsid w:val="00D91720"/>
    <w:rsid w:val="00D935BC"/>
    <w:rsid w:val="00DB401D"/>
    <w:rsid w:val="00DC48CD"/>
    <w:rsid w:val="00DC5329"/>
    <w:rsid w:val="00DE34FA"/>
    <w:rsid w:val="00DF4092"/>
    <w:rsid w:val="00DF6057"/>
    <w:rsid w:val="00DF7BBF"/>
    <w:rsid w:val="00E164BC"/>
    <w:rsid w:val="00E3462D"/>
    <w:rsid w:val="00E4103A"/>
    <w:rsid w:val="00E479AC"/>
    <w:rsid w:val="00E520CC"/>
    <w:rsid w:val="00E579EA"/>
    <w:rsid w:val="00E66D79"/>
    <w:rsid w:val="00E67D9F"/>
    <w:rsid w:val="00E809CA"/>
    <w:rsid w:val="00E84B87"/>
    <w:rsid w:val="00E855BD"/>
    <w:rsid w:val="00E978BD"/>
    <w:rsid w:val="00EA5A40"/>
    <w:rsid w:val="00EA7AED"/>
    <w:rsid w:val="00EB3BDF"/>
    <w:rsid w:val="00EB4040"/>
    <w:rsid w:val="00EB4125"/>
    <w:rsid w:val="00EC6CD3"/>
    <w:rsid w:val="00EC6F22"/>
    <w:rsid w:val="00ED7FD4"/>
    <w:rsid w:val="00EF341F"/>
    <w:rsid w:val="00F01062"/>
    <w:rsid w:val="00F046BC"/>
    <w:rsid w:val="00F12D85"/>
    <w:rsid w:val="00F3506C"/>
    <w:rsid w:val="00F368EB"/>
    <w:rsid w:val="00F36EB2"/>
    <w:rsid w:val="00F37788"/>
    <w:rsid w:val="00F409C4"/>
    <w:rsid w:val="00F4409C"/>
    <w:rsid w:val="00F442EE"/>
    <w:rsid w:val="00F52A38"/>
    <w:rsid w:val="00F533D1"/>
    <w:rsid w:val="00F53D41"/>
    <w:rsid w:val="00F56D2D"/>
    <w:rsid w:val="00F57110"/>
    <w:rsid w:val="00F61CE7"/>
    <w:rsid w:val="00F73F8A"/>
    <w:rsid w:val="00F76F44"/>
    <w:rsid w:val="00F82DD9"/>
    <w:rsid w:val="00F869C9"/>
    <w:rsid w:val="00F97239"/>
    <w:rsid w:val="00FA360F"/>
    <w:rsid w:val="00FA38A7"/>
    <w:rsid w:val="00FA7762"/>
    <w:rsid w:val="00FC0DFF"/>
    <w:rsid w:val="00FD1046"/>
    <w:rsid w:val="00FD4C07"/>
    <w:rsid w:val="00FD578E"/>
    <w:rsid w:val="00FE27D5"/>
    <w:rsid w:val="00FE2EBA"/>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footnote text" w:uiPriority="99" w:qFormat="1"/>
    <w:lsdException w:name="header" w:uiPriority="99"/>
    <w:lsdException w:name="caption" w:semiHidden="1" w:unhideWhenUsed="1" w:qFormat="1"/>
    <w:lsdException w:name="footnote reference" w:uiPriority="99" w:qFormat="1"/>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2"/>
    <w:rsid w:val="000F7811"/>
    <w:pPr>
      <w:numPr>
        <w:numId w:val="6"/>
      </w:numPr>
      <w:spacing w:line="480" w:lineRule="auto"/>
      <w:jc w:val="both"/>
      <w:outlineLvl w:val="0"/>
    </w:pPr>
    <w:rPr>
      <w:bCs/>
      <w:color w:val="000000"/>
      <w:szCs w:val="32"/>
    </w:rPr>
  </w:style>
  <w:style w:type="paragraph" w:styleId="Heading2">
    <w:name w:val="heading 2"/>
    <w:basedOn w:val="Normal"/>
    <w:next w:val="BodyText2"/>
    <w:link w:val="Heading2Char"/>
    <w:rsid w:val="000F7811"/>
    <w:pPr>
      <w:keepNext/>
      <w:keepLines/>
      <w:numPr>
        <w:ilvl w:val="1"/>
        <w:numId w:val="6"/>
      </w:numPr>
      <w:autoSpaceDE w:val="0"/>
      <w:autoSpaceDN w:val="0"/>
      <w:adjustRightInd w:val="0"/>
      <w:spacing w:after="240"/>
      <w:jc w:val="both"/>
      <w:outlineLvl w:val="1"/>
    </w:pPr>
    <w:rPr>
      <w:b/>
      <w:bCs/>
      <w:color w:val="000000"/>
      <w:u w:val="single"/>
    </w:rPr>
  </w:style>
  <w:style w:type="paragraph" w:styleId="Heading3">
    <w:name w:val="heading 3"/>
    <w:basedOn w:val="Normal"/>
    <w:next w:val="BodyText2"/>
    <w:rsid w:val="000F7811"/>
    <w:pPr>
      <w:keepNext/>
      <w:keepLines/>
      <w:numPr>
        <w:ilvl w:val="2"/>
        <w:numId w:val="6"/>
      </w:numPr>
      <w:spacing w:after="240"/>
      <w:jc w:val="both"/>
      <w:outlineLvl w:val="2"/>
    </w:pPr>
    <w:rPr>
      <w:bCs/>
      <w:color w:val="000000"/>
      <w:u w:val="single"/>
    </w:rPr>
  </w:style>
  <w:style w:type="paragraph" w:styleId="Heading4">
    <w:name w:val="heading 4"/>
    <w:basedOn w:val="Normal"/>
    <w:next w:val="BodyText2"/>
    <w:rsid w:val="000F7811"/>
    <w:pPr>
      <w:keepNext/>
      <w:keepLines/>
      <w:numPr>
        <w:ilvl w:val="3"/>
        <w:numId w:val="6"/>
      </w:numPr>
      <w:spacing w:after="240"/>
      <w:jc w:val="both"/>
      <w:outlineLvl w:val="3"/>
    </w:pPr>
    <w:rPr>
      <w:bCs/>
      <w:i/>
      <w:color w:val="000000"/>
    </w:rPr>
  </w:style>
  <w:style w:type="paragraph" w:styleId="Heading5">
    <w:name w:val="heading 5"/>
    <w:basedOn w:val="Normal"/>
    <w:next w:val="BodyText2"/>
    <w:link w:val="Heading5Char"/>
    <w:unhideWhenUsed/>
    <w:rsid w:val="000F7811"/>
    <w:pPr>
      <w:keepNext/>
      <w:keepLines/>
      <w:numPr>
        <w:ilvl w:val="4"/>
        <w:numId w:val="6"/>
      </w:numPr>
      <w:spacing w:after="240"/>
      <w:outlineLvl w:val="4"/>
    </w:pPr>
    <w:rPr>
      <w:rFonts w:eastAsiaTheme="majorEastAsia"/>
      <w:b/>
      <w:color w:val="000000"/>
    </w:rPr>
  </w:style>
  <w:style w:type="paragraph" w:styleId="Heading6">
    <w:name w:val="heading 6"/>
    <w:basedOn w:val="Normal"/>
    <w:next w:val="BodyText2"/>
    <w:link w:val="Heading6Char"/>
    <w:semiHidden/>
    <w:unhideWhenUsed/>
    <w:rsid w:val="000F7811"/>
    <w:pPr>
      <w:widowControl w:val="0"/>
      <w:numPr>
        <w:ilvl w:val="5"/>
        <w:numId w:val="6"/>
      </w:numPr>
      <w:spacing w:after="240"/>
      <w:outlineLvl w:val="5"/>
    </w:pPr>
    <w:rPr>
      <w:rFonts w:eastAsiaTheme="majorEastAsia"/>
      <w:color w:val="000000"/>
    </w:rPr>
  </w:style>
  <w:style w:type="paragraph" w:styleId="Heading7">
    <w:name w:val="heading 7"/>
    <w:basedOn w:val="Normal"/>
    <w:next w:val="BodyText2"/>
    <w:rsid w:val="000F7811"/>
    <w:pPr>
      <w:widowControl w:val="0"/>
      <w:numPr>
        <w:ilvl w:val="6"/>
        <w:numId w:val="6"/>
      </w:numPr>
      <w:spacing w:after="240"/>
      <w:outlineLvl w:val="6"/>
    </w:pPr>
    <w:rPr>
      <w:color w:val="000000"/>
    </w:rPr>
  </w:style>
  <w:style w:type="paragraph" w:styleId="Heading8">
    <w:name w:val="heading 8"/>
    <w:basedOn w:val="Normal"/>
    <w:next w:val="BodyText2"/>
    <w:link w:val="Heading8Char"/>
    <w:semiHidden/>
    <w:unhideWhenUsed/>
    <w:rsid w:val="000F7811"/>
    <w:pPr>
      <w:widowControl w:val="0"/>
      <w:numPr>
        <w:ilvl w:val="7"/>
        <w:numId w:val="6"/>
      </w:numPr>
      <w:spacing w:after="240"/>
      <w:outlineLvl w:val="7"/>
    </w:pPr>
    <w:rPr>
      <w:rFonts w:eastAsiaTheme="majorEastAsia"/>
      <w:color w:val="000000"/>
      <w:szCs w:val="21"/>
    </w:rPr>
  </w:style>
  <w:style w:type="paragraph" w:styleId="Heading9">
    <w:name w:val="heading 9"/>
    <w:basedOn w:val="Normal"/>
    <w:next w:val="BodyText2"/>
    <w:link w:val="Heading9Char"/>
    <w:semiHidden/>
    <w:unhideWhenUsed/>
    <w:rsid w:val="000F7811"/>
    <w:pPr>
      <w:widowControl w:val="0"/>
      <w:numPr>
        <w:ilvl w:val="8"/>
        <w:numId w:val="6"/>
      </w:numPr>
      <w:spacing w:after="240"/>
      <w:outlineLvl w:val="8"/>
    </w:pPr>
    <w:rPr>
      <w:rFonts w:eastAsiaTheme="majorEastAsia"/>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f"/>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paragraph" w:customStyle="1" w:styleId="BLOCKQUOTE">
    <w:name w:val="BLOCK QUOTE"/>
    <w:basedOn w:val="Normal"/>
    <w:qFormat/>
    <w:rsid w:val="00B34B87"/>
    <w:pPr>
      <w:spacing w:after="240"/>
      <w:ind w:left="720" w:right="720"/>
      <w:jc w:val="both"/>
    </w:pPr>
  </w:style>
  <w:style w:type="paragraph" w:customStyle="1" w:styleId="BLOCK">
    <w:name w:val="BLOCK"/>
    <w:basedOn w:val="Normal"/>
    <w:qFormat/>
    <w:rsid w:val="001E2559"/>
    <w:pPr>
      <w:spacing w:after="160"/>
      <w:ind w:left="720" w:right="720"/>
      <w:jc w:val="both"/>
    </w:pPr>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946BAD"/>
    <w:rPr>
      <w:rFonts w:eastAsiaTheme="majorEastAsia"/>
      <w:b/>
      <w:color w:val="000000"/>
      <w:sz w:val="24"/>
      <w:szCs w:val="24"/>
    </w:rPr>
  </w:style>
  <w:style w:type="character" w:customStyle="1" w:styleId="Heading6Char">
    <w:name w:val="Heading 6 Char"/>
    <w:basedOn w:val="DefaultParagraphFont"/>
    <w:link w:val="Heading6"/>
    <w:semiHidden/>
    <w:rsid w:val="00946BAD"/>
    <w:rPr>
      <w:rFonts w:eastAsiaTheme="majorEastAsia"/>
      <w:color w:val="000000"/>
      <w:sz w:val="24"/>
      <w:szCs w:val="24"/>
    </w:rPr>
  </w:style>
  <w:style w:type="character" w:customStyle="1" w:styleId="Heading8Char">
    <w:name w:val="Heading 8 Char"/>
    <w:basedOn w:val="DefaultParagraphFont"/>
    <w:link w:val="Heading8"/>
    <w:semiHidden/>
    <w:rsid w:val="00946BAD"/>
    <w:rPr>
      <w:rFonts w:eastAsiaTheme="majorEastAsia"/>
      <w:color w:val="000000"/>
      <w:sz w:val="24"/>
      <w:szCs w:val="21"/>
    </w:rPr>
  </w:style>
  <w:style w:type="character" w:customStyle="1" w:styleId="Heading9Char">
    <w:name w:val="Heading 9 Char"/>
    <w:basedOn w:val="DefaultParagraphFont"/>
    <w:link w:val="Heading9"/>
    <w:semiHidden/>
    <w:rsid w:val="00946BAD"/>
    <w:rPr>
      <w:rFonts w:eastAsiaTheme="majorEastAsia"/>
      <w:iCs/>
      <w:color w:val="000000"/>
      <w:sz w:val="24"/>
      <w:szCs w:val="21"/>
    </w:rPr>
  </w:style>
  <w:style w:type="paragraph" w:styleId="BodyText2">
    <w:name w:val="Body Text 2"/>
    <w:basedOn w:val="Normal"/>
    <w:link w:val="BodyText2Char"/>
    <w:rsid w:val="00946BAD"/>
    <w:pPr>
      <w:spacing w:after="120" w:line="480" w:lineRule="auto"/>
    </w:pPr>
  </w:style>
  <w:style w:type="character" w:customStyle="1" w:styleId="BodyText2Char">
    <w:name w:val="Body Text 2 Char"/>
    <w:basedOn w:val="DefaultParagraphFont"/>
    <w:link w:val="BodyText2"/>
    <w:rsid w:val="00946BAD"/>
    <w:rPr>
      <w:sz w:val="24"/>
      <w:szCs w:val="24"/>
    </w:rPr>
  </w:style>
  <w:style w:type="character" w:styleId="LineNumber">
    <w:name w:val="line number"/>
    <w:uiPriority w:val="99"/>
    <w:rsid w:val="00643360"/>
    <w:rPr>
      <w:rFonts w:ascii="Times New Roman" w:hAnsi="Times New Roman" w:cs="Times New Roman"/>
      <w:sz w:val="24"/>
      <w:szCs w:val="24"/>
    </w:rPr>
  </w:style>
  <w:style w:type="paragraph" w:styleId="TOC1">
    <w:name w:val="toc 1"/>
    <w:basedOn w:val="Normal"/>
    <w:next w:val="Normal"/>
    <w:autoRedefine/>
    <w:uiPriority w:val="39"/>
    <w:rsid w:val="009263A9"/>
    <w:pPr>
      <w:tabs>
        <w:tab w:val="right" w:leader="dot" w:pos="9090"/>
      </w:tabs>
      <w:spacing w:after="120"/>
      <w:ind w:left="720" w:right="540" w:hanging="720"/>
    </w:pPr>
  </w:style>
  <w:style w:type="paragraph" w:styleId="TOC2">
    <w:name w:val="toc 2"/>
    <w:basedOn w:val="Normal"/>
    <w:next w:val="Normal"/>
    <w:autoRedefine/>
    <w:uiPriority w:val="39"/>
    <w:rsid w:val="009263A9"/>
    <w:pPr>
      <w:tabs>
        <w:tab w:val="right" w:leader="dot" w:pos="9090"/>
      </w:tabs>
      <w:spacing w:after="100"/>
      <w:ind w:left="1440" w:right="630" w:hanging="720"/>
    </w:pPr>
  </w:style>
  <w:style w:type="paragraph" w:styleId="TOC3">
    <w:name w:val="toc 3"/>
    <w:basedOn w:val="Normal"/>
    <w:next w:val="Normal"/>
    <w:autoRedefine/>
    <w:uiPriority w:val="39"/>
    <w:rsid w:val="006D44FA"/>
    <w:pPr>
      <w:tabs>
        <w:tab w:val="right" w:leader="dot" w:pos="8640"/>
        <w:tab w:val="right" w:leader="dot" w:pos="9360"/>
      </w:tabs>
      <w:spacing w:after="100"/>
      <w:ind w:left="2160" w:hanging="720"/>
    </w:pPr>
  </w:style>
  <w:style w:type="paragraph" w:styleId="TOC4">
    <w:name w:val="toc 4"/>
    <w:basedOn w:val="Normal"/>
    <w:next w:val="Normal"/>
    <w:autoRedefine/>
    <w:uiPriority w:val="39"/>
    <w:rsid w:val="006D44FA"/>
    <w:pPr>
      <w:tabs>
        <w:tab w:val="right" w:leader="dot" w:pos="8640"/>
        <w:tab w:val="right" w:leader="dot" w:pos="9360"/>
      </w:tabs>
      <w:spacing w:after="100"/>
      <w:ind w:left="2880" w:hanging="720"/>
    </w:pPr>
  </w:style>
  <w:style w:type="paragraph" w:styleId="TOC5">
    <w:name w:val="toc 5"/>
    <w:basedOn w:val="Normal"/>
    <w:next w:val="Normal"/>
    <w:autoRedefine/>
    <w:uiPriority w:val="39"/>
    <w:rsid w:val="006D44FA"/>
    <w:pPr>
      <w:tabs>
        <w:tab w:val="right" w:leader="dot" w:pos="8640"/>
        <w:tab w:val="right" w:leader="dot" w:pos="9360"/>
      </w:tabs>
      <w:spacing w:after="100"/>
      <w:ind w:left="3600" w:hanging="720"/>
    </w:pPr>
  </w:style>
  <w:style w:type="paragraph" w:styleId="TOC6">
    <w:name w:val="toc 6"/>
    <w:basedOn w:val="Normal"/>
    <w:next w:val="Normal"/>
    <w:autoRedefine/>
    <w:rsid w:val="006D44FA"/>
    <w:pPr>
      <w:spacing w:after="100"/>
      <w:ind w:left="1200"/>
    </w:pPr>
  </w:style>
  <w:style w:type="paragraph" w:styleId="TOC7">
    <w:name w:val="toc 7"/>
    <w:basedOn w:val="Normal"/>
    <w:next w:val="Normal"/>
    <w:autoRedefine/>
    <w:rsid w:val="006D44FA"/>
    <w:pPr>
      <w:spacing w:after="100"/>
      <w:ind w:left="1440"/>
    </w:pPr>
  </w:style>
  <w:style w:type="paragraph" w:styleId="TOC8">
    <w:name w:val="toc 8"/>
    <w:basedOn w:val="Normal"/>
    <w:next w:val="Normal"/>
    <w:autoRedefine/>
    <w:rsid w:val="006D44FA"/>
    <w:pPr>
      <w:spacing w:after="100"/>
      <w:ind w:left="1680"/>
    </w:pPr>
  </w:style>
  <w:style w:type="paragraph" w:styleId="TOC9">
    <w:name w:val="toc 9"/>
    <w:basedOn w:val="Normal"/>
    <w:next w:val="Normal"/>
    <w:autoRedefine/>
    <w:rsid w:val="006D44FA"/>
    <w:pPr>
      <w:spacing w:after="100"/>
      <w:ind w:left="1920"/>
    </w:pPr>
  </w:style>
  <w:style w:type="paragraph" w:styleId="Signature">
    <w:name w:val="Signature"/>
    <w:basedOn w:val="Normal"/>
    <w:link w:val="SignatureChar"/>
    <w:rsid w:val="00E164BC"/>
    <w:pPr>
      <w:keepLines/>
      <w:spacing w:after="240"/>
      <w:ind w:left="4320"/>
      <w:contextualSpacing/>
    </w:pPr>
  </w:style>
  <w:style w:type="character" w:customStyle="1" w:styleId="SignatureChar">
    <w:name w:val="Signature Char"/>
    <w:basedOn w:val="DefaultParagraphFont"/>
    <w:link w:val="Signature"/>
    <w:rsid w:val="00E164BC"/>
    <w:rPr>
      <w:sz w:val="24"/>
      <w:szCs w:val="24"/>
    </w:rPr>
  </w:style>
  <w:style w:type="character" w:styleId="Strong">
    <w:name w:val="Strong"/>
    <w:basedOn w:val="DefaultParagraphFont"/>
    <w:qFormat/>
    <w:rsid w:val="00EA5A40"/>
    <w:rPr>
      <w:b/>
      <w:bCs/>
    </w:rPr>
  </w:style>
  <w:style w:type="paragraph" w:customStyle="1" w:styleId="Answer">
    <w:name w:val="Answer"/>
    <w:basedOn w:val="Normal"/>
    <w:link w:val="AnswerCharChar"/>
    <w:qFormat/>
    <w:rsid w:val="00153F0C"/>
    <w:pPr>
      <w:tabs>
        <w:tab w:val="left" w:pos="720"/>
        <w:tab w:val="left" w:pos="1440"/>
      </w:tabs>
      <w:suppressAutoHyphens/>
      <w:spacing w:line="480" w:lineRule="auto"/>
      <w:ind w:firstLine="720"/>
      <w:jc w:val="both"/>
    </w:pPr>
    <w:rPr>
      <w:kern w:val="16"/>
      <w:szCs w:val="20"/>
    </w:rPr>
  </w:style>
  <w:style w:type="character" w:customStyle="1" w:styleId="AnswerCharChar">
    <w:name w:val="Answer Char Char"/>
    <w:link w:val="Answer"/>
    <w:locked/>
    <w:rsid w:val="00153F0C"/>
    <w:rPr>
      <w:kern w:val="16"/>
      <w:sz w:val="24"/>
    </w:rPr>
  </w:style>
  <w:style w:type="paragraph" w:customStyle="1" w:styleId="TableCaption">
    <w:name w:val="Table Caption"/>
    <w:basedOn w:val="Normal"/>
    <w:next w:val="Normal"/>
    <w:rsid w:val="00D22AC7"/>
    <w:pPr>
      <w:keepNext/>
      <w:keepLines/>
      <w:spacing w:before="440" w:after="440" w:line="240" w:lineRule="atLeast"/>
      <w:jc w:val="center"/>
    </w:pPr>
    <w:rPr>
      <w:rFonts w:ascii="Times New Roman Bold" w:hAnsi="Times New Roman Bold"/>
      <w:b/>
      <w:caps/>
      <w:sz w:val="20"/>
      <w:szCs w:val="20"/>
    </w:rPr>
  </w:style>
  <w:style w:type="paragraph" w:customStyle="1" w:styleId="SignatureBlock">
    <w:name w:val="Signature Block"/>
    <w:basedOn w:val="Normal"/>
    <w:rsid w:val="00A545C5"/>
    <w:pPr>
      <w:keepNext/>
      <w:spacing w:line="240" w:lineRule="exact"/>
    </w:pPr>
  </w:style>
  <w:style w:type="paragraph" w:customStyle="1" w:styleId="SignatureName">
    <w:name w:val="Signature Name"/>
    <w:basedOn w:val="Normal"/>
    <w:rsid w:val="00A545C5"/>
    <w:pPr>
      <w:keepNext/>
      <w:spacing w:line="240" w:lineRule="exact"/>
      <w:ind w:left="547"/>
    </w:pPr>
  </w:style>
  <w:style w:type="character" w:customStyle="1" w:styleId="Heading2Char">
    <w:name w:val="Heading 2 Char"/>
    <w:basedOn w:val="DefaultParagraphFont"/>
    <w:link w:val="Heading2"/>
    <w:locked/>
    <w:rsid w:val="00C85CDD"/>
    <w:rPr>
      <w:b/>
      <w:bCs/>
      <w:color w:val="000000"/>
      <w:sz w:val="24"/>
      <w:szCs w:val="24"/>
      <w:u w:val="single"/>
    </w:rPr>
  </w:style>
  <w:style w:type="character" w:customStyle="1" w:styleId="HeaderChar">
    <w:name w:val="Header Char"/>
    <w:basedOn w:val="DefaultParagraphFont"/>
    <w:link w:val="Header"/>
    <w:uiPriority w:val="99"/>
    <w:locked/>
    <w:rsid w:val="00AF4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2017-01-20T08:00:00+00:00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160228</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512AF3-3E49-47D6-A983-4044ED075D84}">
  <ds:schemaRefs>
    <ds:schemaRef ds:uri="http://schemas.microsoft.com/sharepoint/v3/contenttype/forms"/>
  </ds:schemaRefs>
</ds:datastoreItem>
</file>

<file path=customXml/itemProps2.xml><?xml version="1.0" encoding="utf-8"?>
<ds:datastoreItem xmlns:ds="http://schemas.openxmlformats.org/officeDocument/2006/customXml" ds:itemID="{A3EA5F5B-9C21-481C-B93B-3BDFA0CDD9B6}">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fdbe071c-6926-4705-b29f-f52cff258abe"/>
    <ds:schemaRef ds:uri="http://schemas.microsoft.com/office/2006/metadata/properties"/>
  </ds:schemaRefs>
</ds:datastoreItem>
</file>

<file path=customXml/itemProps3.xml><?xml version="1.0" encoding="utf-8"?>
<ds:datastoreItem xmlns:ds="http://schemas.openxmlformats.org/officeDocument/2006/customXml" ds:itemID="{FA270884-D89B-4FBA-B51B-E63BAF50AAD0}"/>
</file>

<file path=customXml/itemProps4.xml><?xml version="1.0" encoding="utf-8"?>
<ds:datastoreItem xmlns:ds="http://schemas.openxmlformats.org/officeDocument/2006/customXml" ds:itemID="{FC81D514-14E4-4C72-982A-21488FF2B3C2}">
  <ds:schemaRefs>
    <ds:schemaRef ds:uri="http://schemas.openxmlformats.org/officeDocument/2006/bibliography"/>
  </ds:schemaRefs>
</ds:datastoreItem>
</file>

<file path=customXml/itemProps5.xml><?xml version="1.0" encoding="utf-8"?>
<ds:datastoreItem xmlns:ds="http://schemas.openxmlformats.org/officeDocument/2006/customXml" ds:itemID="{F444698E-4650-4343-AA28-3B7CF800785F}"/>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9031</Characters>
  <Application>Microsoft Office Word</Application>
  <DocSecurity>0</DocSecurity>
  <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Base/>
  <HLinks>
    <vt:vector size="228" baseType="variant">
      <vt:variant>
        <vt:i4>1769505</vt:i4>
      </vt:variant>
      <vt:variant>
        <vt:i4>111</vt:i4>
      </vt:variant>
      <vt:variant>
        <vt:i4>0</vt:i4>
      </vt:variant>
      <vt:variant>
        <vt:i4>5</vt:i4>
      </vt:variant>
      <vt:variant>
        <vt:lpwstr>mailto:michael@awish.net</vt:lpwstr>
      </vt:variant>
      <vt:variant>
        <vt:lpwstr/>
      </vt:variant>
      <vt:variant>
        <vt:i4>7536744</vt:i4>
      </vt:variant>
      <vt:variant>
        <vt:i4>108</vt:i4>
      </vt:variant>
      <vt:variant>
        <vt:i4>0</vt:i4>
      </vt:variant>
      <vt:variant>
        <vt:i4>5</vt:i4>
      </vt:variant>
      <vt:variant>
        <vt:lpwstr>mailto:shawn_collins@oppco.org</vt:lpwstr>
      </vt:variant>
      <vt:variant>
        <vt:lpwstr/>
      </vt:variant>
      <vt:variant>
        <vt:i4>1114175</vt:i4>
      </vt:variant>
      <vt:variant>
        <vt:i4>105</vt:i4>
      </vt:variant>
      <vt:variant>
        <vt:i4>0</vt:i4>
      </vt:variant>
      <vt:variant>
        <vt:i4>5</vt:i4>
      </vt:variant>
      <vt:variant>
        <vt:lpwstr>mailto:ronaldroseman@comcast.net</vt:lpwstr>
      </vt:variant>
      <vt:variant>
        <vt:lpwstr/>
      </vt:variant>
      <vt:variant>
        <vt:i4>7602277</vt:i4>
      </vt:variant>
      <vt:variant>
        <vt:i4>102</vt:i4>
      </vt:variant>
      <vt:variant>
        <vt:i4>0</vt:i4>
      </vt:variant>
      <vt:variant>
        <vt:i4>5</vt:i4>
      </vt:variant>
      <vt:variant>
        <vt:lpwstr>mailto:Chuck_eberdt@oppco.org</vt:lpwstr>
      </vt:variant>
      <vt:variant>
        <vt:lpwstr/>
      </vt:variant>
      <vt:variant>
        <vt:i4>5177446</vt:i4>
      </vt:variant>
      <vt:variant>
        <vt:i4>99</vt:i4>
      </vt:variant>
      <vt:variant>
        <vt:i4>0</vt:i4>
      </vt:variant>
      <vt:variant>
        <vt:i4>5</vt:i4>
      </vt:variant>
      <vt:variant>
        <vt:lpwstr>mailto:mgorman@consultbai.com</vt:lpwstr>
      </vt:variant>
      <vt:variant>
        <vt:lpwstr/>
      </vt:variant>
      <vt:variant>
        <vt:i4>8126545</vt:i4>
      </vt:variant>
      <vt:variant>
        <vt:i4>96</vt:i4>
      </vt:variant>
      <vt:variant>
        <vt:i4>0</vt:i4>
      </vt:variant>
      <vt:variant>
        <vt:i4>5</vt:i4>
      </vt:variant>
      <vt:variant>
        <vt:lpwstr>mailto:skimmel@cablehuston.com</vt:lpwstr>
      </vt:variant>
      <vt:variant>
        <vt:lpwstr/>
      </vt:variant>
      <vt:variant>
        <vt:i4>8192084</vt:i4>
      </vt:variant>
      <vt:variant>
        <vt:i4>93</vt:i4>
      </vt:variant>
      <vt:variant>
        <vt:i4>0</vt:i4>
      </vt:variant>
      <vt:variant>
        <vt:i4>5</vt:i4>
      </vt:variant>
      <vt:variant>
        <vt:lpwstr>mailto:tbrooks@cablehuston.com</vt:lpwstr>
      </vt:variant>
      <vt:variant>
        <vt:lpwstr/>
      </vt:variant>
      <vt:variant>
        <vt:i4>6815819</vt:i4>
      </vt:variant>
      <vt:variant>
        <vt:i4>90</vt:i4>
      </vt:variant>
      <vt:variant>
        <vt:i4>0</vt:i4>
      </vt:variant>
      <vt:variant>
        <vt:i4>5</vt:i4>
      </vt:variant>
      <vt:variant>
        <vt:lpwstr>mailto:cstokes@cablehuston.com</vt:lpwstr>
      </vt:variant>
      <vt:variant>
        <vt:lpwstr/>
      </vt:variant>
      <vt:variant>
        <vt:i4>7077970</vt:i4>
      </vt:variant>
      <vt:variant>
        <vt:i4>87</vt:i4>
      </vt:variant>
      <vt:variant>
        <vt:i4>0</vt:i4>
      </vt:variant>
      <vt:variant>
        <vt:i4>5</vt:i4>
      </vt:variant>
      <vt:variant>
        <vt:lpwstr>mailto:efinklea@nwigu.org</vt:lpwstr>
      </vt:variant>
      <vt:variant>
        <vt:lpwstr/>
      </vt:variant>
      <vt:variant>
        <vt:i4>1769516</vt:i4>
      </vt:variant>
      <vt:variant>
        <vt:i4>84</vt:i4>
      </vt:variant>
      <vt:variant>
        <vt:i4>0</vt:i4>
      </vt:variant>
      <vt:variant>
        <vt:i4>5</vt:i4>
      </vt:variant>
      <vt:variant>
        <vt:lpwstr>mailto:brmullins@mwanalytics.com</vt:lpwstr>
      </vt:variant>
      <vt:variant>
        <vt:lpwstr/>
      </vt:variant>
      <vt:variant>
        <vt:i4>2293761</vt:i4>
      </vt:variant>
      <vt:variant>
        <vt:i4>81</vt:i4>
      </vt:variant>
      <vt:variant>
        <vt:i4>0</vt:i4>
      </vt:variant>
      <vt:variant>
        <vt:i4>5</vt:i4>
      </vt:variant>
      <vt:variant>
        <vt:lpwstr>mailto:swilhelms@consultbai.com</vt:lpwstr>
      </vt:variant>
      <vt:variant>
        <vt:lpwstr/>
      </vt:variant>
      <vt:variant>
        <vt:i4>4063234</vt:i4>
      </vt:variant>
      <vt:variant>
        <vt:i4>78</vt:i4>
      </vt:variant>
      <vt:variant>
        <vt:i4>0</vt:i4>
      </vt:variant>
      <vt:variant>
        <vt:i4>5</vt:i4>
      </vt:variant>
      <vt:variant>
        <vt:lpwstr>mailto:bstephens@consultbai.com</vt:lpwstr>
      </vt:variant>
      <vt:variant>
        <vt:lpwstr/>
      </vt:variant>
      <vt:variant>
        <vt:i4>5177446</vt:i4>
      </vt:variant>
      <vt:variant>
        <vt:i4>75</vt:i4>
      </vt:variant>
      <vt:variant>
        <vt:i4>0</vt:i4>
      </vt:variant>
      <vt:variant>
        <vt:i4>5</vt:i4>
      </vt:variant>
      <vt:variant>
        <vt:lpwstr>mailto:mgorman@consultbai.com</vt:lpwstr>
      </vt:variant>
      <vt:variant>
        <vt:lpwstr/>
      </vt:variant>
      <vt:variant>
        <vt:i4>4718699</vt:i4>
      </vt:variant>
      <vt:variant>
        <vt:i4>72</vt:i4>
      </vt:variant>
      <vt:variant>
        <vt:i4>0</vt:i4>
      </vt:variant>
      <vt:variant>
        <vt:i4>5</vt:i4>
      </vt:variant>
      <vt:variant>
        <vt:lpwstr>mailto:jog@dvclaw.com</vt:lpwstr>
      </vt:variant>
      <vt:variant>
        <vt:lpwstr/>
      </vt:variant>
      <vt:variant>
        <vt:i4>4325472</vt:i4>
      </vt:variant>
      <vt:variant>
        <vt:i4>69</vt:i4>
      </vt:variant>
      <vt:variant>
        <vt:i4>0</vt:i4>
      </vt:variant>
      <vt:variant>
        <vt:i4>5</vt:i4>
      </vt:variant>
      <vt:variant>
        <vt:lpwstr>mailto:tds@dvclaw.com</vt:lpwstr>
      </vt:variant>
      <vt:variant>
        <vt:lpwstr/>
      </vt:variant>
      <vt:variant>
        <vt:i4>4980833</vt:i4>
      </vt:variant>
      <vt:variant>
        <vt:i4>66</vt:i4>
      </vt:variant>
      <vt:variant>
        <vt:i4>0</vt:i4>
      </vt:variant>
      <vt:variant>
        <vt:i4>5</vt:i4>
      </vt:variant>
      <vt:variant>
        <vt:lpwstr>mailto:jec@dvclaw.com</vt:lpwstr>
      </vt:variant>
      <vt:variant>
        <vt:lpwstr/>
      </vt:variant>
      <vt:variant>
        <vt:i4>2490447</vt:i4>
      </vt:variant>
      <vt:variant>
        <vt:i4>63</vt:i4>
      </vt:variant>
      <vt:variant>
        <vt:i4>0</vt:i4>
      </vt:variant>
      <vt:variant>
        <vt:i4>5</vt:i4>
      </vt:variant>
      <vt:variant>
        <vt:lpwstr>mailto:stefaniej@atg.wa.gov</vt:lpwstr>
      </vt:variant>
      <vt:variant>
        <vt:lpwstr/>
      </vt:variant>
      <vt:variant>
        <vt:i4>5832753</vt:i4>
      </vt:variant>
      <vt:variant>
        <vt:i4>60</vt:i4>
      </vt:variant>
      <vt:variant>
        <vt:i4>0</vt:i4>
      </vt:variant>
      <vt:variant>
        <vt:i4>5</vt:i4>
      </vt:variant>
      <vt:variant>
        <vt:lpwstr>mailto:chandam@atg.wa.gov</vt:lpwstr>
      </vt:variant>
      <vt:variant>
        <vt:lpwstr/>
      </vt:variant>
      <vt:variant>
        <vt:i4>917611</vt:i4>
      </vt:variant>
      <vt:variant>
        <vt:i4>57</vt:i4>
      </vt:variant>
      <vt:variant>
        <vt:i4>0</vt:i4>
      </vt:variant>
      <vt:variant>
        <vt:i4>5</vt:i4>
      </vt:variant>
      <vt:variant>
        <vt:lpwstr>mailto:kymh@atg.wa.gov</vt:lpwstr>
      </vt:variant>
      <vt:variant>
        <vt:lpwstr/>
      </vt:variant>
      <vt:variant>
        <vt:i4>2293765</vt:i4>
      </vt:variant>
      <vt:variant>
        <vt:i4>54</vt:i4>
      </vt:variant>
      <vt:variant>
        <vt:i4>0</vt:i4>
      </vt:variant>
      <vt:variant>
        <vt:i4>5</vt:i4>
      </vt:variant>
      <vt:variant>
        <vt:lpwstr>mailto:lisa4w@atg.wa.gov</vt:lpwstr>
      </vt:variant>
      <vt:variant>
        <vt:lpwstr/>
      </vt:variant>
      <vt:variant>
        <vt:i4>7864346</vt:i4>
      </vt:variant>
      <vt:variant>
        <vt:i4>51</vt:i4>
      </vt:variant>
      <vt:variant>
        <vt:i4>0</vt:i4>
      </vt:variant>
      <vt:variant>
        <vt:i4>5</vt:i4>
      </vt:variant>
      <vt:variant>
        <vt:lpwstr>mailto:simonf@atg.wa.gov</vt:lpwstr>
      </vt:variant>
      <vt:variant>
        <vt:lpwstr/>
      </vt:variant>
      <vt:variant>
        <vt:i4>1835131</vt:i4>
      </vt:variant>
      <vt:variant>
        <vt:i4>48</vt:i4>
      </vt:variant>
      <vt:variant>
        <vt:i4>0</vt:i4>
      </vt:variant>
      <vt:variant>
        <vt:i4>5</vt:i4>
      </vt:variant>
      <vt:variant>
        <vt:lpwstr>mailto:tschoole@utc.wa.gov</vt:lpwstr>
      </vt:variant>
      <vt:variant>
        <vt:lpwstr/>
      </vt:variant>
      <vt:variant>
        <vt:i4>852094</vt:i4>
      </vt:variant>
      <vt:variant>
        <vt:i4>45</vt:i4>
      </vt:variant>
      <vt:variant>
        <vt:i4>0</vt:i4>
      </vt:variant>
      <vt:variant>
        <vt:i4>5</vt:i4>
      </vt:variant>
      <vt:variant>
        <vt:lpwstr>mailto:bdemarco@utc.wa.gov</vt:lpwstr>
      </vt:variant>
      <vt:variant>
        <vt:lpwstr/>
      </vt:variant>
      <vt:variant>
        <vt:i4>6422545</vt:i4>
      </vt:variant>
      <vt:variant>
        <vt:i4>42</vt:i4>
      </vt:variant>
      <vt:variant>
        <vt:i4>0</vt:i4>
      </vt:variant>
      <vt:variant>
        <vt:i4>5</vt:i4>
      </vt:variant>
      <vt:variant>
        <vt:lpwstr>mailto:kgross@utc.wa.gov</vt:lpwstr>
      </vt:variant>
      <vt:variant>
        <vt:lpwstr/>
      </vt:variant>
      <vt:variant>
        <vt:i4>2555988</vt:i4>
      </vt:variant>
      <vt:variant>
        <vt:i4>39</vt:i4>
      </vt:variant>
      <vt:variant>
        <vt:i4>0</vt:i4>
      </vt:variant>
      <vt:variant>
        <vt:i4>5</vt:i4>
      </vt:variant>
      <vt:variant>
        <vt:lpwstr>mailto:aoconnell@utc.wa.gov</vt:lpwstr>
      </vt:variant>
      <vt:variant>
        <vt:lpwstr/>
      </vt:variant>
      <vt:variant>
        <vt:i4>589944</vt:i4>
      </vt:variant>
      <vt:variant>
        <vt:i4>36</vt:i4>
      </vt:variant>
      <vt:variant>
        <vt:i4>0</vt:i4>
      </vt:variant>
      <vt:variant>
        <vt:i4>5</vt:i4>
      </vt:variant>
      <vt:variant>
        <vt:lpwstr>mailto:jcameron@utc.wa.gov</vt:lpwstr>
      </vt:variant>
      <vt:variant>
        <vt:lpwstr/>
      </vt:variant>
      <vt:variant>
        <vt:i4>393340</vt:i4>
      </vt:variant>
      <vt:variant>
        <vt:i4>33</vt:i4>
      </vt:variant>
      <vt:variant>
        <vt:i4>0</vt:i4>
      </vt:variant>
      <vt:variant>
        <vt:i4>5</vt:i4>
      </vt:variant>
      <vt:variant>
        <vt:lpwstr>mailto:bshearer@utc.wa.gov</vt:lpwstr>
      </vt:variant>
      <vt:variant>
        <vt:lpwstr/>
      </vt:variant>
      <vt:variant>
        <vt:i4>6422536</vt:i4>
      </vt:variant>
      <vt:variant>
        <vt:i4>30</vt:i4>
      </vt:variant>
      <vt:variant>
        <vt:i4>0</vt:i4>
      </vt:variant>
      <vt:variant>
        <vt:i4>5</vt:i4>
      </vt:variant>
      <vt:variant>
        <vt:lpwstr>mailto:poshie@utc.wa.gov</vt:lpwstr>
      </vt:variant>
      <vt:variant>
        <vt:lpwstr/>
      </vt:variant>
      <vt:variant>
        <vt:i4>4915262</vt:i4>
      </vt:variant>
      <vt:variant>
        <vt:i4>27</vt:i4>
      </vt:variant>
      <vt:variant>
        <vt:i4>0</vt:i4>
      </vt:variant>
      <vt:variant>
        <vt:i4>5</vt:i4>
      </vt:variant>
      <vt:variant>
        <vt:lpwstr>mailto:liz.andrews@avistacorp.com</vt:lpwstr>
      </vt:variant>
      <vt:variant>
        <vt:lpwstr/>
      </vt:variant>
      <vt:variant>
        <vt:i4>2293766</vt:i4>
      </vt:variant>
      <vt:variant>
        <vt:i4>24</vt:i4>
      </vt:variant>
      <vt:variant>
        <vt:i4>0</vt:i4>
      </vt:variant>
      <vt:variant>
        <vt:i4>5</vt:i4>
      </vt:variant>
      <vt:variant>
        <vt:lpwstr>mailto:avistadockets@avistacorp.com</vt:lpwstr>
      </vt:variant>
      <vt:variant>
        <vt:lpwstr/>
      </vt:variant>
      <vt:variant>
        <vt:i4>2555968</vt:i4>
      </vt:variant>
      <vt:variant>
        <vt:i4>21</vt:i4>
      </vt:variant>
      <vt:variant>
        <vt:i4>0</vt:i4>
      </vt:variant>
      <vt:variant>
        <vt:i4>5</vt:i4>
      </vt:variant>
      <vt:variant>
        <vt:lpwstr>mailto:patrick.ehrbar@avistacorp.com</vt:lpwstr>
      </vt:variant>
      <vt:variant>
        <vt:lpwstr/>
      </vt:variant>
      <vt:variant>
        <vt:i4>6160436</vt:i4>
      </vt:variant>
      <vt:variant>
        <vt:i4>18</vt:i4>
      </vt:variant>
      <vt:variant>
        <vt:i4>0</vt:i4>
      </vt:variant>
      <vt:variant>
        <vt:i4>5</vt:i4>
      </vt:variant>
      <vt:variant>
        <vt:lpwstr>mailto:david.meyer@avistacorp.com</vt:lpwstr>
      </vt:variant>
      <vt:variant>
        <vt:lpwstr/>
      </vt:variant>
      <vt:variant>
        <vt:i4>2555970</vt:i4>
      </vt:variant>
      <vt:variant>
        <vt:i4>15</vt:i4>
      </vt:variant>
      <vt:variant>
        <vt:i4>0</vt:i4>
      </vt:variant>
      <vt:variant>
        <vt:i4>5</vt:i4>
      </vt:variant>
      <vt:variant>
        <vt:lpwstr>mailto:kelly.norwood@avistacorp.com</vt:lpwstr>
      </vt:variant>
      <vt:variant>
        <vt:lpwstr/>
      </vt:variant>
      <vt:variant>
        <vt:i4>7602192</vt:i4>
      </vt:variant>
      <vt:variant>
        <vt:i4>12</vt:i4>
      </vt:variant>
      <vt:variant>
        <vt:i4>0</vt:i4>
      </vt:variant>
      <vt:variant>
        <vt:i4>5</vt:i4>
      </vt:variant>
      <vt:variant>
        <vt:lpwstr>mailto:gkopta@utc.wa.gov</vt:lpwstr>
      </vt:variant>
      <vt:variant>
        <vt:lpwstr/>
      </vt:variant>
      <vt:variant>
        <vt:i4>131174</vt:i4>
      </vt:variant>
      <vt:variant>
        <vt:i4>9</vt:i4>
      </vt:variant>
      <vt:variant>
        <vt:i4>0</vt:i4>
      </vt:variant>
      <vt:variant>
        <vt:i4>5</vt:i4>
      </vt:variant>
      <vt:variant>
        <vt:lpwstr>mailto:rpearson@utc.wa.gov</vt:lpwstr>
      </vt:variant>
      <vt:variant>
        <vt:lpwstr/>
      </vt:variant>
      <vt:variant>
        <vt:i4>3801160</vt:i4>
      </vt:variant>
      <vt:variant>
        <vt:i4>6</vt:i4>
      </vt:variant>
      <vt:variant>
        <vt:i4>0</vt:i4>
      </vt:variant>
      <vt:variant>
        <vt:i4>5</vt:i4>
      </vt:variant>
      <vt:variant>
        <vt:lpwstr>mailto:dmoss@utc.wa.gov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2017-01-18T17:50:00Z</dcterms:created>
  <dcterms:modified xsi:type="dcterms:W3CDTF">2017-01-20T19:58:00Z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y fmtid="{D5CDD505-2E9C-101B-9397-08002B2CF9AE}" pid="4" name="IsEFSEC">
    <vt:bool>false</vt:bool>
  </property>
</Properties>
</file>