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7F" w:rsidRPr="00B952E0" w:rsidRDefault="00B2507F" w:rsidP="007E472A">
      <w:pPr>
        <w:spacing w:line="480" w:lineRule="auto"/>
        <w:jc w:val="center"/>
      </w:pPr>
    </w:p>
    <w:p w:rsidR="003F6A1E" w:rsidRPr="00B952E0" w:rsidRDefault="003F6A1E" w:rsidP="007E472A">
      <w:pPr>
        <w:spacing w:line="480" w:lineRule="auto"/>
        <w:jc w:val="center"/>
      </w:pPr>
    </w:p>
    <w:p w:rsidR="00B2507F" w:rsidRPr="00B952E0" w:rsidRDefault="00B2507F" w:rsidP="007E472A">
      <w:pPr>
        <w:spacing w:line="480" w:lineRule="auto"/>
        <w:jc w:val="center"/>
      </w:pPr>
    </w:p>
    <w:p w:rsidR="00B2507F" w:rsidRDefault="00B2507F" w:rsidP="007E472A">
      <w:pPr>
        <w:spacing w:line="480" w:lineRule="auto"/>
        <w:jc w:val="center"/>
      </w:pPr>
    </w:p>
    <w:p w:rsidR="008C50C2" w:rsidRPr="00B952E0" w:rsidRDefault="008C50C2" w:rsidP="007E472A">
      <w:pPr>
        <w:spacing w:line="480" w:lineRule="auto"/>
        <w:jc w:val="center"/>
      </w:pPr>
    </w:p>
    <w:p w:rsidR="00B2507F" w:rsidRPr="00B952E0" w:rsidRDefault="00B2507F" w:rsidP="007E472A">
      <w:pPr>
        <w:spacing w:line="480" w:lineRule="auto"/>
        <w:jc w:val="center"/>
      </w:pPr>
    </w:p>
    <w:p w:rsidR="00B2507F" w:rsidRPr="00B952E0" w:rsidRDefault="00B2507F" w:rsidP="007E472A">
      <w:pPr>
        <w:spacing w:line="480" w:lineRule="auto"/>
        <w:jc w:val="center"/>
      </w:pPr>
    </w:p>
    <w:p w:rsidR="00B2507F" w:rsidRPr="00902197" w:rsidRDefault="00B2507F" w:rsidP="007E472A">
      <w:pPr>
        <w:spacing w:line="480" w:lineRule="auto"/>
        <w:jc w:val="center"/>
      </w:pPr>
    </w:p>
    <w:p w:rsidR="00B2507F" w:rsidRPr="00B952E0" w:rsidRDefault="00B2507F" w:rsidP="007E472A">
      <w:pPr>
        <w:spacing w:line="480" w:lineRule="auto"/>
        <w:jc w:val="center"/>
      </w:pPr>
      <w:r w:rsidRPr="00B952E0">
        <w:t>BEFORE THE WASHINGTON UTILITIES AND TRANSPORTATION COMMISSION</w:t>
      </w:r>
    </w:p>
    <w:p w:rsidR="00B2507F" w:rsidRPr="00B952E0" w:rsidRDefault="00B2507F" w:rsidP="007E472A">
      <w:pPr>
        <w:spacing w:line="480" w:lineRule="auto"/>
        <w:jc w:val="center"/>
      </w:pPr>
    </w:p>
    <w:p w:rsidR="00B2507F" w:rsidRPr="00B952E0" w:rsidRDefault="00B2507F" w:rsidP="007E472A">
      <w:pPr>
        <w:tabs>
          <w:tab w:val="left" w:pos="1260"/>
        </w:tabs>
        <w:spacing w:line="480" w:lineRule="auto"/>
        <w:jc w:val="center"/>
      </w:pPr>
      <w:r w:rsidRPr="00B952E0">
        <w:t>DOCKET NO. UE-</w:t>
      </w:r>
      <w:r w:rsidR="00895C7F" w:rsidRPr="00B952E0">
        <w:t>1</w:t>
      </w:r>
      <w:r w:rsidR="00E322FA">
        <w:t>4</w:t>
      </w:r>
      <w:r w:rsidRPr="00B952E0">
        <w:t>_______</w:t>
      </w:r>
    </w:p>
    <w:p w:rsidR="00B2507F" w:rsidRPr="00B952E0" w:rsidRDefault="00B2507F" w:rsidP="007E472A">
      <w:pPr>
        <w:tabs>
          <w:tab w:val="left" w:pos="1260"/>
        </w:tabs>
        <w:spacing w:line="480" w:lineRule="auto"/>
        <w:jc w:val="center"/>
      </w:pPr>
      <w:r w:rsidRPr="00B952E0">
        <w:t>DOCKET NO. UG-</w:t>
      </w:r>
      <w:r w:rsidR="00895C7F" w:rsidRPr="00B952E0">
        <w:t>1</w:t>
      </w:r>
      <w:r w:rsidR="00E322FA">
        <w:t>4</w:t>
      </w:r>
      <w:r w:rsidRPr="00B952E0">
        <w:t>_______</w:t>
      </w:r>
    </w:p>
    <w:p w:rsidR="00B2507F" w:rsidRPr="00B952E0" w:rsidRDefault="00B2507F" w:rsidP="007E472A">
      <w:pPr>
        <w:spacing w:line="480" w:lineRule="auto"/>
        <w:jc w:val="center"/>
      </w:pPr>
    </w:p>
    <w:p w:rsidR="00B2507F" w:rsidRPr="00B952E0" w:rsidRDefault="00B2507F" w:rsidP="007E472A">
      <w:pPr>
        <w:spacing w:line="480" w:lineRule="auto"/>
        <w:jc w:val="center"/>
      </w:pPr>
    </w:p>
    <w:p w:rsidR="00B2507F" w:rsidRPr="00B952E0" w:rsidRDefault="00B2507F" w:rsidP="007E472A">
      <w:pPr>
        <w:tabs>
          <w:tab w:val="left" w:pos="1260"/>
        </w:tabs>
        <w:spacing w:line="480" w:lineRule="auto"/>
        <w:jc w:val="center"/>
      </w:pPr>
      <w:r w:rsidRPr="00B952E0">
        <w:t xml:space="preserve">DIRECT TESTIMONY OF </w:t>
      </w:r>
    </w:p>
    <w:p w:rsidR="00B2507F" w:rsidRPr="00B952E0" w:rsidRDefault="00895C7F" w:rsidP="007E472A">
      <w:pPr>
        <w:tabs>
          <w:tab w:val="left" w:pos="1260"/>
        </w:tabs>
        <w:spacing w:line="480" w:lineRule="auto"/>
        <w:jc w:val="center"/>
      </w:pPr>
      <w:r w:rsidRPr="00B952E0">
        <w:t>KELLY O. NORWOOD</w:t>
      </w:r>
    </w:p>
    <w:p w:rsidR="00B2507F" w:rsidRPr="00B952E0" w:rsidRDefault="00B2507F" w:rsidP="007E472A">
      <w:pPr>
        <w:tabs>
          <w:tab w:val="left" w:pos="1260"/>
        </w:tabs>
        <w:spacing w:line="480" w:lineRule="auto"/>
        <w:jc w:val="center"/>
      </w:pPr>
      <w:r w:rsidRPr="00B952E0">
        <w:t>REPRESENTING AVISTA CORPORATION</w:t>
      </w:r>
    </w:p>
    <w:p w:rsidR="00B2507F" w:rsidRPr="00B952E0" w:rsidRDefault="00B2507F" w:rsidP="007E472A">
      <w:pPr>
        <w:tabs>
          <w:tab w:val="left" w:pos="1260"/>
        </w:tabs>
        <w:spacing w:line="480" w:lineRule="auto"/>
        <w:ind w:firstLine="720"/>
        <w:jc w:val="both"/>
      </w:pPr>
    </w:p>
    <w:p w:rsidR="00B2507F" w:rsidRPr="00B952E0" w:rsidRDefault="00B2507F" w:rsidP="007E472A">
      <w:pPr>
        <w:tabs>
          <w:tab w:val="left" w:pos="1260"/>
        </w:tabs>
        <w:spacing w:line="480" w:lineRule="auto"/>
        <w:ind w:firstLine="720"/>
        <w:jc w:val="both"/>
        <w:sectPr w:rsidR="00B2507F" w:rsidRPr="00B952E0" w:rsidSect="00D425CF">
          <w:headerReference w:type="default" r:id="rId9"/>
          <w:footerReference w:type="default" r:id="rId10"/>
          <w:headerReference w:type="first" r:id="rId11"/>
          <w:footerReference w:type="first" r:id="rId12"/>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2507F" w:rsidRPr="00B952E0" w:rsidRDefault="000B4B03" w:rsidP="007E472A">
      <w:pPr>
        <w:pStyle w:val="Heading5"/>
        <w:rPr>
          <w:rStyle w:val="PageNumber"/>
          <w:u w:val="single"/>
        </w:rPr>
      </w:pPr>
      <w:r>
        <w:rPr>
          <w:rStyle w:val="PageNumber"/>
          <w:u w:val="single"/>
        </w:rPr>
        <w:lastRenderedPageBreak/>
        <w:t xml:space="preserve">I. </w:t>
      </w:r>
      <w:r w:rsidR="00B2507F" w:rsidRPr="00B952E0">
        <w:rPr>
          <w:rStyle w:val="PageNumber"/>
          <w:u w:val="single"/>
        </w:rPr>
        <w:t>INTRODUCTION</w:t>
      </w:r>
    </w:p>
    <w:p w:rsidR="00941F88" w:rsidRPr="00B952E0" w:rsidRDefault="00941F88" w:rsidP="00371FF5">
      <w:pPr>
        <w:pStyle w:val="TestBody"/>
        <w:tabs>
          <w:tab w:val="left" w:pos="1440"/>
        </w:tabs>
        <w:spacing w:line="480" w:lineRule="auto"/>
        <w:ind w:left="0" w:right="-432" w:firstLine="720"/>
        <w:rPr>
          <w:rFonts w:ascii="Times New Roman" w:hAnsi="Times New Roman" w:cs="Times New Roman"/>
          <w:b/>
          <w:bCs/>
        </w:rPr>
      </w:pPr>
      <w:bookmarkStart w:id="0" w:name="OLE_LINK4"/>
      <w:r w:rsidRPr="00B952E0">
        <w:rPr>
          <w:rFonts w:ascii="Times New Roman" w:hAnsi="Times New Roman" w:cs="Times New Roman"/>
          <w:b/>
          <w:bCs/>
        </w:rPr>
        <w:t>Q.</w:t>
      </w:r>
      <w:r w:rsidRPr="00B952E0">
        <w:rPr>
          <w:rFonts w:ascii="Times New Roman" w:hAnsi="Times New Roman" w:cs="Times New Roman"/>
          <w:b/>
          <w:bCs/>
        </w:rPr>
        <w:tab/>
        <w:t>Please state your name, employer and business address.</w:t>
      </w:r>
    </w:p>
    <w:p w:rsidR="00941F88" w:rsidRPr="00B952E0" w:rsidRDefault="00941F88" w:rsidP="00371FF5">
      <w:pPr>
        <w:pStyle w:val="TestBody"/>
        <w:tabs>
          <w:tab w:val="left" w:pos="1440"/>
        </w:tabs>
        <w:spacing w:line="480" w:lineRule="auto"/>
        <w:ind w:left="0" w:right="-432" w:firstLine="720"/>
        <w:rPr>
          <w:rFonts w:ascii="Times New Roman" w:hAnsi="Times New Roman" w:cs="Times New Roman"/>
        </w:rPr>
      </w:pPr>
      <w:r w:rsidRPr="00B952E0">
        <w:rPr>
          <w:rFonts w:ascii="Times New Roman" w:hAnsi="Times New Roman" w:cs="Times New Roman"/>
        </w:rPr>
        <w:t>A.</w:t>
      </w:r>
      <w:r w:rsidR="00B952E0">
        <w:rPr>
          <w:rFonts w:ascii="Times New Roman" w:hAnsi="Times New Roman" w:cs="Times New Roman"/>
        </w:rPr>
        <w:tab/>
      </w:r>
      <w:r w:rsidRPr="00B952E0">
        <w:rPr>
          <w:rFonts w:ascii="Times New Roman" w:hAnsi="Times New Roman" w:cs="Times New Roman"/>
        </w:rPr>
        <w:t xml:space="preserve">My name is </w:t>
      </w:r>
      <w:r w:rsidR="00A33421" w:rsidRPr="00B952E0">
        <w:rPr>
          <w:rFonts w:ascii="Times New Roman" w:hAnsi="Times New Roman" w:cs="Times New Roman"/>
        </w:rPr>
        <w:t>Kelly O. Norwood</w:t>
      </w:r>
      <w:r w:rsidRPr="00B952E0">
        <w:rPr>
          <w:rFonts w:ascii="Times New Roman" w:hAnsi="Times New Roman" w:cs="Times New Roman"/>
        </w:rPr>
        <w:t xml:space="preserve"> and I am employed as the </w:t>
      </w:r>
      <w:r w:rsidR="00A33421" w:rsidRPr="00B952E0">
        <w:rPr>
          <w:rFonts w:ascii="Times New Roman" w:hAnsi="Times New Roman" w:cs="Times New Roman"/>
        </w:rPr>
        <w:t>Vice President of State and Federal Regulation for Avista Utilities</w:t>
      </w:r>
      <w:r w:rsidRPr="00B952E0">
        <w:rPr>
          <w:rFonts w:ascii="Times New Roman" w:hAnsi="Times New Roman" w:cs="Times New Roman"/>
        </w:rPr>
        <w:t xml:space="preserve"> (Company or Avista), at 1411 East Mission Avenue, Spokane, Washington.</w:t>
      </w:r>
    </w:p>
    <w:p w:rsidR="00941F88" w:rsidRPr="00B952E0" w:rsidRDefault="00941F88" w:rsidP="00371FF5">
      <w:pPr>
        <w:tabs>
          <w:tab w:val="left" w:pos="0"/>
        </w:tabs>
        <w:spacing w:line="480" w:lineRule="auto"/>
        <w:ind w:right="-432" w:firstLine="720"/>
        <w:jc w:val="both"/>
        <w:rPr>
          <w:b/>
          <w:bCs/>
        </w:rPr>
      </w:pPr>
      <w:r w:rsidRPr="00B952E0">
        <w:rPr>
          <w:b/>
          <w:bCs/>
        </w:rPr>
        <w:t>Q.</w:t>
      </w:r>
      <w:r w:rsidRPr="00B952E0">
        <w:rPr>
          <w:b/>
          <w:bCs/>
        </w:rPr>
        <w:tab/>
        <w:t xml:space="preserve">Would you </w:t>
      </w:r>
      <w:r w:rsidR="00A8324E" w:rsidRPr="00B952E0">
        <w:rPr>
          <w:b/>
          <w:bCs/>
        </w:rPr>
        <w:t xml:space="preserve">please </w:t>
      </w:r>
      <w:r w:rsidRPr="00B952E0">
        <w:rPr>
          <w:b/>
          <w:bCs/>
        </w:rPr>
        <w:t>briefly describe your educational background and professional experience?</w:t>
      </w:r>
    </w:p>
    <w:p w:rsidR="00B952E0" w:rsidRPr="00B952E0" w:rsidRDefault="00941F88" w:rsidP="001562E7">
      <w:pPr>
        <w:pStyle w:val="TestBody"/>
        <w:spacing w:line="480" w:lineRule="auto"/>
        <w:ind w:left="0" w:right="-432" w:firstLine="720"/>
        <w:rPr>
          <w:rFonts w:ascii="Times New Roman" w:hAnsi="Times New Roman" w:cs="Times New Roman"/>
        </w:rPr>
      </w:pPr>
      <w:r w:rsidRPr="00B952E0">
        <w:rPr>
          <w:rFonts w:ascii="Times New Roman" w:hAnsi="Times New Roman" w:cs="Times New Roman"/>
          <w:bCs/>
        </w:rPr>
        <w:t>A.</w:t>
      </w:r>
      <w:r w:rsidRPr="00B952E0">
        <w:rPr>
          <w:rFonts w:ascii="Times New Roman" w:hAnsi="Times New Roman" w:cs="Times New Roman"/>
          <w:bCs/>
        </w:rPr>
        <w:tab/>
        <w:t xml:space="preserve">Yes. </w:t>
      </w:r>
      <w:r w:rsidR="00B952E0">
        <w:rPr>
          <w:rFonts w:ascii="Times New Roman" w:hAnsi="Times New Roman" w:cs="Times New Roman"/>
          <w:bCs/>
        </w:rPr>
        <w:t xml:space="preserve"> </w:t>
      </w:r>
      <w:r w:rsidRPr="00B952E0">
        <w:rPr>
          <w:rFonts w:ascii="Times New Roman" w:hAnsi="Times New Roman" w:cs="Times New Roman"/>
          <w:bCs/>
        </w:rPr>
        <w:t xml:space="preserve">I am a graduate of </w:t>
      </w:r>
      <w:bookmarkEnd w:id="0"/>
      <w:r w:rsidR="00B952E0" w:rsidRPr="00B952E0">
        <w:rPr>
          <w:rFonts w:ascii="Times New Roman" w:hAnsi="Times New Roman" w:cs="Times New Roman"/>
        </w:rPr>
        <w:t>Eastern Washington University with a Bachelor of Arts Degree in Business Administration, majoring in Accounting.  I joined the Company in</w:t>
      </w:r>
      <w:r w:rsidR="00AA7B0F">
        <w:rPr>
          <w:rFonts w:ascii="Times New Roman" w:hAnsi="Times New Roman" w:cs="Times New Roman"/>
        </w:rPr>
        <w:t xml:space="preserve"> June of 1981.  Over the past 32</w:t>
      </w:r>
      <w:r w:rsidR="00B952E0" w:rsidRPr="00B952E0">
        <w:rPr>
          <w:rFonts w:ascii="Times New Roman" w:hAnsi="Times New Roman" w:cs="Times New Roman"/>
        </w:rPr>
        <w:t xml:space="preserve"> year</w:t>
      </w:r>
      <w:r w:rsidR="00AA7B0F">
        <w:rPr>
          <w:rFonts w:ascii="Times New Roman" w:hAnsi="Times New Roman" w:cs="Times New Roman"/>
        </w:rPr>
        <w:t>s, I have spent approximately 21</w:t>
      </w:r>
      <w:r w:rsidR="00B952E0" w:rsidRPr="00B952E0">
        <w:rPr>
          <w:rFonts w:ascii="Times New Roman" w:hAnsi="Times New Roman" w:cs="Times New Roman"/>
        </w:rPr>
        <w:t xml:space="preserve"> years in the Rates Department with involvement in cost of service, rate design, revenue requirements and other aspects of ratemaking.  I spent approximately 11 years in the Energy Resources Department (power supply and natural gas supply) in a variety of roles, with involvement in resource planning, system operations, resource analysis, negotiation of power contracts, and risk management.  I was appointed Vice-President of State &amp; Federal Regulation in March 2002.</w:t>
      </w:r>
    </w:p>
    <w:p w:rsidR="00941F88" w:rsidRPr="00B952E0" w:rsidRDefault="00B44FCE" w:rsidP="00371FF5">
      <w:pPr>
        <w:pStyle w:val="BodyTextIndent3"/>
        <w:tabs>
          <w:tab w:val="clear" w:pos="1260"/>
        </w:tabs>
        <w:ind w:right="-432"/>
        <w:rPr>
          <w:b w:val="0"/>
          <w:bCs w:val="0"/>
          <w:iCs/>
        </w:rPr>
      </w:pPr>
      <w:r w:rsidRPr="00B952E0">
        <w:t>Q.</w:t>
      </w:r>
      <w:r w:rsidRPr="00B952E0">
        <w:tab/>
        <w:t>Please summarize</w:t>
      </w:r>
      <w:r w:rsidR="00941F88" w:rsidRPr="00B952E0">
        <w:t xml:space="preserve"> your testimony in this proceeding?</w:t>
      </w:r>
    </w:p>
    <w:p w:rsidR="00A074C6" w:rsidRDefault="00941F88" w:rsidP="00371FF5">
      <w:pPr>
        <w:pStyle w:val="TestBody"/>
        <w:spacing w:line="480" w:lineRule="auto"/>
        <w:ind w:left="0" w:right="-432" w:firstLine="720"/>
        <w:rPr>
          <w:rFonts w:ascii="Times New Roman" w:hAnsi="Times New Roman" w:cs="Times New Roman"/>
        </w:rPr>
      </w:pPr>
      <w:r w:rsidRPr="00B952E0">
        <w:rPr>
          <w:rFonts w:ascii="Times New Roman" w:hAnsi="Times New Roman" w:cs="Times New Roman"/>
        </w:rPr>
        <w:t>A.</w:t>
      </w:r>
      <w:r w:rsidRPr="00B952E0">
        <w:rPr>
          <w:rFonts w:ascii="Times New Roman" w:hAnsi="Times New Roman" w:cs="Times New Roman"/>
        </w:rPr>
        <w:tab/>
      </w:r>
      <w:r w:rsidR="00A074C6">
        <w:rPr>
          <w:rFonts w:ascii="Times New Roman" w:hAnsi="Times New Roman" w:cs="Times New Roman"/>
        </w:rPr>
        <w:t>Avista’s earned return in calendar year 2013 for its electric and natural gas operating results in the State of Washington</w:t>
      </w:r>
      <w:r w:rsidR="00FD6A35">
        <w:rPr>
          <w:rFonts w:ascii="Times New Roman" w:hAnsi="Times New Roman" w:cs="Times New Roman"/>
        </w:rPr>
        <w:t xml:space="preserve"> </w:t>
      </w:r>
      <w:r w:rsidR="00A074C6">
        <w:rPr>
          <w:rFonts w:ascii="Times New Roman" w:hAnsi="Times New Roman" w:cs="Times New Roman"/>
        </w:rPr>
        <w:t xml:space="preserve">improved significantly from prior periods, following the Washington Utilities and Transportation Commission’s </w:t>
      </w:r>
      <w:r w:rsidR="00D92083">
        <w:rPr>
          <w:rFonts w:ascii="Times New Roman" w:hAnsi="Times New Roman" w:cs="Times New Roman"/>
        </w:rPr>
        <w:t>(Commission</w:t>
      </w:r>
      <w:r w:rsidR="00FD6A35">
        <w:rPr>
          <w:rFonts w:ascii="Times New Roman" w:hAnsi="Times New Roman" w:cs="Times New Roman"/>
        </w:rPr>
        <w:t xml:space="preserve">’s) </w:t>
      </w:r>
      <w:r w:rsidR="00A074C6">
        <w:rPr>
          <w:rFonts w:ascii="Times New Roman" w:hAnsi="Times New Roman" w:cs="Times New Roman"/>
        </w:rPr>
        <w:t xml:space="preserve">approval of the settlement agreement in our last general rate case.  </w:t>
      </w:r>
      <w:r w:rsidR="00A074C6" w:rsidRPr="00B952E0">
        <w:rPr>
          <w:rFonts w:ascii="Times New Roman" w:hAnsi="Times New Roman" w:cs="Times New Roman"/>
        </w:rPr>
        <w:t xml:space="preserve">I will </w:t>
      </w:r>
      <w:r w:rsidR="00FD6A35">
        <w:rPr>
          <w:rFonts w:ascii="Times New Roman" w:hAnsi="Times New Roman" w:cs="Times New Roman"/>
        </w:rPr>
        <w:t xml:space="preserve">summarize the actual earned return, and the reasons why the earned return </w:t>
      </w:r>
      <w:r w:rsidR="00A34204">
        <w:rPr>
          <w:rFonts w:ascii="Times New Roman" w:hAnsi="Times New Roman" w:cs="Times New Roman"/>
        </w:rPr>
        <w:t xml:space="preserve">for 2013 </w:t>
      </w:r>
      <w:r w:rsidR="00D92083">
        <w:rPr>
          <w:rFonts w:ascii="Times New Roman" w:hAnsi="Times New Roman" w:cs="Times New Roman"/>
        </w:rPr>
        <w:t>improved from prior years</w:t>
      </w:r>
      <w:r w:rsidR="00FD6A35">
        <w:rPr>
          <w:rFonts w:ascii="Times New Roman" w:hAnsi="Times New Roman" w:cs="Times New Roman"/>
        </w:rPr>
        <w:t>.</w:t>
      </w:r>
    </w:p>
    <w:p w:rsidR="00A074C6" w:rsidRDefault="00FD6A35" w:rsidP="00371FF5">
      <w:pPr>
        <w:pStyle w:val="TestBody"/>
        <w:spacing w:line="480" w:lineRule="auto"/>
        <w:ind w:left="0" w:right="-432" w:firstLine="720"/>
        <w:rPr>
          <w:rFonts w:ascii="Times New Roman" w:hAnsi="Times New Roman" w:cs="Times New Roman"/>
        </w:rPr>
      </w:pPr>
      <w:r>
        <w:rPr>
          <w:rFonts w:ascii="Times New Roman" w:hAnsi="Times New Roman" w:cs="Times New Roman"/>
        </w:rPr>
        <w:lastRenderedPageBreak/>
        <w:t>I will also provide an overview of the Company’s ratemaking proposal in this</w:t>
      </w:r>
      <w:r w:rsidR="00D92083">
        <w:rPr>
          <w:rFonts w:ascii="Times New Roman" w:hAnsi="Times New Roman" w:cs="Times New Roman"/>
        </w:rPr>
        <w:t xml:space="preserve"> filing based on our Attrition A</w:t>
      </w:r>
      <w:r w:rsidR="00FF6683">
        <w:rPr>
          <w:rFonts w:ascii="Times New Roman" w:hAnsi="Times New Roman" w:cs="Times New Roman"/>
        </w:rPr>
        <w:t xml:space="preserve">nalysis, as well as the “cross </w:t>
      </w:r>
      <w:r>
        <w:rPr>
          <w:rFonts w:ascii="Times New Roman" w:hAnsi="Times New Roman" w:cs="Times New Roman"/>
        </w:rPr>
        <w:t xml:space="preserve">check” we have provided based on the development of pro forma adjustments from the historical test period to the future </w:t>
      </w:r>
      <w:r w:rsidR="00A613E1">
        <w:rPr>
          <w:rFonts w:ascii="Times New Roman" w:hAnsi="Times New Roman" w:cs="Times New Roman"/>
        </w:rPr>
        <w:t>rate year.  Both the Attrition Analysis and the P</w:t>
      </w:r>
      <w:r>
        <w:rPr>
          <w:rFonts w:ascii="Times New Roman" w:hAnsi="Times New Roman" w:cs="Times New Roman"/>
        </w:rPr>
        <w:t xml:space="preserve">ro forma </w:t>
      </w:r>
      <w:r w:rsidR="00A613E1">
        <w:rPr>
          <w:rFonts w:ascii="Times New Roman" w:hAnsi="Times New Roman" w:cs="Times New Roman"/>
        </w:rPr>
        <w:t>Cross Check A</w:t>
      </w:r>
      <w:r>
        <w:rPr>
          <w:rFonts w:ascii="Times New Roman" w:hAnsi="Times New Roman" w:cs="Times New Roman"/>
        </w:rPr>
        <w:t>nalysis produce similar results in</w:t>
      </w:r>
      <w:r w:rsidR="00553E3C">
        <w:rPr>
          <w:rFonts w:ascii="Times New Roman" w:hAnsi="Times New Roman" w:cs="Times New Roman"/>
        </w:rPr>
        <w:t xml:space="preserve"> terms of the need for electric and natural gas</w:t>
      </w:r>
      <w:r>
        <w:rPr>
          <w:rFonts w:ascii="Times New Roman" w:hAnsi="Times New Roman" w:cs="Times New Roman"/>
        </w:rPr>
        <w:t xml:space="preserve"> revenue increase</w:t>
      </w:r>
      <w:r w:rsidR="00553E3C">
        <w:rPr>
          <w:rFonts w:ascii="Times New Roman" w:hAnsi="Times New Roman" w:cs="Times New Roman"/>
        </w:rPr>
        <w:t>s</w:t>
      </w:r>
      <w:r>
        <w:rPr>
          <w:rFonts w:ascii="Times New Roman" w:hAnsi="Times New Roman" w:cs="Times New Roman"/>
        </w:rPr>
        <w:t xml:space="preserve"> for 2015, which is what you would expect if the proper adjustments are made to the historical test year </w:t>
      </w:r>
      <w:r w:rsidR="00984005">
        <w:rPr>
          <w:rFonts w:ascii="Times New Roman" w:hAnsi="Times New Roman" w:cs="Times New Roman"/>
        </w:rPr>
        <w:t xml:space="preserve">information </w:t>
      </w:r>
      <w:r>
        <w:rPr>
          <w:rFonts w:ascii="Times New Roman" w:hAnsi="Times New Roman" w:cs="Times New Roman"/>
        </w:rPr>
        <w:t xml:space="preserve">to reflect </w:t>
      </w:r>
      <w:r w:rsidR="00984005">
        <w:rPr>
          <w:rFonts w:ascii="Times New Roman" w:hAnsi="Times New Roman" w:cs="Times New Roman"/>
        </w:rPr>
        <w:t xml:space="preserve">the revenues, expenses and rate base for the </w:t>
      </w:r>
      <w:r w:rsidR="0063769C">
        <w:rPr>
          <w:rFonts w:ascii="Times New Roman" w:hAnsi="Times New Roman" w:cs="Times New Roman"/>
        </w:rPr>
        <w:t xml:space="preserve">future </w:t>
      </w:r>
      <w:r w:rsidR="00984005">
        <w:rPr>
          <w:rFonts w:ascii="Times New Roman" w:hAnsi="Times New Roman" w:cs="Times New Roman"/>
        </w:rPr>
        <w:t>rate year.</w:t>
      </w:r>
    </w:p>
    <w:p w:rsidR="00B2507F" w:rsidRDefault="00B2507F" w:rsidP="00371FF5">
      <w:pPr>
        <w:pStyle w:val="TestBody"/>
        <w:spacing w:line="480" w:lineRule="auto"/>
        <w:ind w:left="0" w:right="-432" w:firstLine="720"/>
        <w:rPr>
          <w:rFonts w:ascii="Times New Roman" w:hAnsi="Times New Roman" w:cs="Times New Roman"/>
        </w:rPr>
      </w:pPr>
      <w:r w:rsidRPr="00B952E0">
        <w:rPr>
          <w:rFonts w:ascii="Times New Roman" w:hAnsi="Times New Roman" w:cs="Times New Roman"/>
        </w:rPr>
        <w:t>A table of contents for my testimony is as follows:</w:t>
      </w:r>
    </w:p>
    <w:p w:rsidR="009A3B81" w:rsidRPr="00371FF5" w:rsidRDefault="009A3B81" w:rsidP="00FF6683">
      <w:pPr>
        <w:pStyle w:val="TestBody"/>
        <w:tabs>
          <w:tab w:val="left" w:pos="7740"/>
        </w:tabs>
        <w:spacing w:line="360" w:lineRule="auto"/>
        <w:ind w:left="0" w:right="-432" w:firstLine="720"/>
        <w:rPr>
          <w:rFonts w:ascii="Times New Roman" w:hAnsi="Times New Roman" w:cs="Times New Roman"/>
          <w:u w:val="single"/>
          <w:lang w:val="fr-FR"/>
        </w:rPr>
      </w:pPr>
      <w:r w:rsidRPr="00371FF5">
        <w:rPr>
          <w:rFonts w:ascii="Times New Roman" w:hAnsi="Times New Roman" w:cs="Times New Roman"/>
          <w:u w:val="single"/>
          <w:lang w:val="fr-FR"/>
        </w:rPr>
        <w:t>Description</w:t>
      </w:r>
      <w:r w:rsidRPr="00371FF5">
        <w:rPr>
          <w:rFonts w:ascii="Times New Roman" w:hAnsi="Times New Roman" w:cs="Times New Roman"/>
          <w:u w:val="single"/>
          <w:lang w:val="fr-FR"/>
        </w:rPr>
        <w:tab/>
        <w:t>Page</w:t>
      </w:r>
    </w:p>
    <w:p w:rsidR="009A3B81" w:rsidRPr="00371FF5" w:rsidRDefault="009A3B81" w:rsidP="00FF6683">
      <w:pPr>
        <w:tabs>
          <w:tab w:val="left" w:pos="0"/>
          <w:tab w:val="right" w:pos="8100"/>
        </w:tabs>
        <w:spacing w:line="360" w:lineRule="auto"/>
        <w:ind w:left="1440" w:right="-432" w:hanging="720"/>
        <w:jc w:val="both"/>
        <w:rPr>
          <w:lang w:val="fr-FR"/>
        </w:rPr>
      </w:pPr>
      <w:r w:rsidRPr="00371FF5">
        <w:rPr>
          <w:lang w:val="fr-FR"/>
        </w:rPr>
        <w:t>I.</w:t>
      </w:r>
      <w:r w:rsidRPr="00371FF5">
        <w:rPr>
          <w:lang w:val="fr-FR"/>
        </w:rPr>
        <w:tab/>
        <w:t>Introduction</w:t>
      </w:r>
      <w:r w:rsidRPr="00371FF5">
        <w:rPr>
          <w:lang w:val="fr-FR"/>
        </w:rPr>
        <w:tab/>
        <w:t>1</w:t>
      </w:r>
    </w:p>
    <w:p w:rsidR="009A3B81" w:rsidRPr="00984463" w:rsidRDefault="00981F9B" w:rsidP="00371FF5">
      <w:pPr>
        <w:tabs>
          <w:tab w:val="left" w:pos="0"/>
          <w:tab w:val="right" w:pos="8100"/>
        </w:tabs>
        <w:spacing w:line="360" w:lineRule="auto"/>
        <w:ind w:left="1440" w:right="-432" w:hanging="720"/>
        <w:jc w:val="both"/>
      </w:pPr>
      <w:r w:rsidRPr="00371FF5">
        <w:rPr>
          <w:lang w:val="fr-FR"/>
        </w:rPr>
        <w:t xml:space="preserve">II. </w:t>
      </w:r>
      <w:r w:rsidR="004D2633" w:rsidRPr="00371FF5">
        <w:rPr>
          <w:lang w:val="fr-FR"/>
        </w:rPr>
        <w:tab/>
      </w:r>
      <w:r w:rsidR="00F50FFA">
        <w:t>2013 Washington</w:t>
      </w:r>
      <w:r w:rsidR="0063769C">
        <w:t xml:space="preserve"> Operating Results</w:t>
      </w:r>
      <w:r w:rsidR="009A3B81">
        <w:tab/>
      </w:r>
      <w:r w:rsidR="003073BA">
        <w:t>2</w:t>
      </w:r>
    </w:p>
    <w:p w:rsidR="0082167E" w:rsidRDefault="009A3B81" w:rsidP="00371FF5">
      <w:pPr>
        <w:tabs>
          <w:tab w:val="left" w:pos="0"/>
          <w:tab w:val="right" w:pos="8100"/>
        </w:tabs>
        <w:spacing w:line="360" w:lineRule="auto"/>
        <w:ind w:left="1440" w:right="-432" w:hanging="720"/>
        <w:jc w:val="both"/>
      </w:pPr>
      <w:r>
        <w:t>III.</w:t>
      </w:r>
      <w:r>
        <w:tab/>
      </w:r>
      <w:r w:rsidR="003073BA">
        <w:t>Ongoing Attrition</w:t>
      </w:r>
      <w:r>
        <w:tab/>
      </w:r>
      <w:r w:rsidR="002F66D7">
        <w:t>11</w:t>
      </w:r>
      <w:r>
        <w:tab/>
      </w:r>
    </w:p>
    <w:p w:rsidR="009A3B81" w:rsidRPr="00984463" w:rsidRDefault="003073BA" w:rsidP="00371FF5">
      <w:pPr>
        <w:tabs>
          <w:tab w:val="left" w:pos="0"/>
          <w:tab w:val="right" w:pos="8100"/>
        </w:tabs>
        <w:spacing w:line="360" w:lineRule="auto"/>
        <w:ind w:left="1440" w:right="-432" w:hanging="720"/>
        <w:jc w:val="both"/>
      </w:pPr>
      <w:r>
        <w:t>IV</w:t>
      </w:r>
      <w:r w:rsidR="009A3B81">
        <w:t>.</w:t>
      </w:r>
      <w:r w:rsidR="009A3B81">
        <w:tab/>
      </w:r>
      <w:r>
        <w:t>Avista’s Proposed Attrition Adjustment</w:t>
      </w:r>
      <w:r w:rsidR="009A3B81">
        <w:tab/>
        <w:t>1</w:t>
      </w:r>
      <w:r w:rsidR="002F66D7">
        <w:t>4</w:t>
      </w:r>
    </w:p>
    <w:p w:rsidR="003F30B2" w:rsidRPr="00B952E0" w:rsidRDefault="003F30B2" w:rsidP="00371FF5">
      <w:pPr>
        <w:tabs>
          <w:tab w:val="left" w:pos="0"/>
          <w:tab w:val="right" w:pos="8100"/>
        </w:tabs>
        <w:spacing w:after="240"/>
        <w:ind w:left="1440" w:right="-432" w:hanging="720"/>
        <w:jc w:val="both"/>
      </w:pPr>
    </w:p>
    <w:p w:rsidR="00941F88" w:rsidRPr="00B952E0" w:rsidRDefault="00941F88" w:rsidP="00371FF5">
      <w:pPr>
        <w:tabs>
          <w:tab w:val="left" w:pos="1440"/>
        </w:tabs>
        <w:spacing w:line="480" w:lineRule="auto"/>
        <w:ind w:right="-432" w:firstLine="720"/>
        <w:jc w:val="both"/>
        <w:rPr>
          <w:b/>
          <w:bCs/>
        </w:rPr>
      </w:pPr>
      <w:r w:rsidRPr="00B952E0">
        <w:rPr>
          <w:b/>
          <w:bCs/>
        </w:rPr>
        <w:t>Q.</w:t>
      </w:r>
      <w:r w:rsidRPr="00B952E0">
        <w:rPr>
          <w:b/>
          <w:bCs/>
        </w:rPr>
        <w:tab/>
        <w:t>Are you sponsoring any exhibits in this proceeding?</w:t>
      </w:r>
    </w:p>
    <w:p w:rsidR="006512BA" w:rsidRDefault="006D662D" w:rsidP="00371FF5">
      <w:pPr>
        <w:tabs>
          <w:tab w:val="left" w:pos="1440"/>
        </w:tabs>
        <w:spacing w:line="480" w:lineRule="auto"/>
        <w:ind w:right="-432" w:firstLine="720"/>
        <w:jc w:val="both"/>
      </w:pPr>
      <w:r>
        <w:t>A.</w:t>
      </w:r>
      <w:r>
        <w:tab/>
        <w:t>No.</w:t>
      </w:r>
    </w:p>
    <w:p w:rsidR="006512BA" w:rsidRDefault="006512BA" w:rsidP="00371FF5">
      <w:pPr>
        <w:tabs>
          <w:tab w:val="left" w:pos="1440"/>
        </w:tabs>
        <w:spacing w:line="480" w:lineRule="auto"/>
        <w:ind w:right="-432" w:firstLine="720"/>
        <w:jc w:val="both"/>
      </w:pPr>
    </w:p>
    <w:p w:rsidR="00F764F2" w:rsidRPr="008F74AB" w:rsidRDefault="00FF056B" w:rsidP="005E5868">
      <w:pPr>
        <w:spacing w:line="480" w:lineRule="auto"/>
        <w:ind w:right="-432"/>
        <w:jc w:val="center"/>
        <w:rPr>
          <w:b/>
          <w:u w:val="single"/>
        </w:rPr>
      </w:pPr>
      <w:r>
        <w:rPr>
          <w:b/>
          <w:u w:val="single"/>
        </w:rPr>
        <w:t>II</w:t>
      </w:r>
      <w:proofErr w:type="gramStart"/>
      <w:r>
        <w:rPr>
          <w:b/>
          <w:u w:val="single"/>
        </w:rPr>
        <w:t xml:space="preserve">.  </w:t>
      </w:r>
      <w:r w:rsidR="00086BC1">
        <w:rPr>
          <w:b/>
          <w:u w:val="single"/>
        </w:rPr>
        <w:t>2013</w:t>
      </w:r>
      <w:proofErr w:type="gramEnd"/>
      <w:r w:rsidR="00086BC1">
        <w:rPr>
          <w:b/>
          <w:u w:val="single"/>
        </w:rPr>
        <w:t xml:space="preserve"> WASHINGTON</w:t>
      </w:r>
      <w:r w:rsidR="00BF4B0C">
        <w:rPr>
          <w:b/>
          <w:u w:val="single"/>
        </w:rPr>
        <w:t xml:space="preserve"> OPERATING RESULTS</w:t>
      </w:r>
    </w:p>
    <w:p w:rsidR="00D30860" w:rsidRPr="00B952E0" w:rsidRDefault="00D30860" w:rsidP="00371FF5">
      <w:pPr>
        <w:pStyle w:val="BodyTextIndent"/>
        <w:tabs>
          <w:tab w:val="left" w:pos="1440"/>
        </w:tabs>
        <w:ind w:right="-432" w:firstLine="720"/>
        <w:jc w:val="both"/>
        <w:rPr>
          <w:rStyle w:val="LineNumber"/>
        </w:rPr>
      </w:pPr>
      <w:r w:rsidRPr="00B952E0">
        <w:rPr>
          <w:rStyle w:val="LineNumber"/>
        </w:rPr>
        <w:t>Q.</w:t>
      </w:r>
      <w:r w:rsidRPr="00B952E0">
        <w:rPr>
          <w:rStyle w:val="LineNumber"/>
        </w:rPr>
        <w:tab/>
      </w:r>
      <w:r w:rsidR="001757A1">
        <w:rPr>
          <w:rStyle w:val="LineNumber"/>
        </w:rPr>
        <w:t>Please summarize Avista’</w:t>
      </w:r>
      <w:r w:rsidR="007577A4">
        <w:rPr>
          <w:rStyle w:val="LineNumber"/>
        </w:rPr>
        <w:t>s 201</w:t>
      </w:r>
      <w:r w:rsidR="001757A1">
        <w:rPr>
          <w:rStyle w:val="LineNumber"/>
        </w:rPr>
        <w:t>3 electric and natural gas operating results</w:t>
      </w:r>
      <w:r w:rsidR="00883779">
        <w:rPr>
          <w:rStyle w:val="LineNumber"/>
        </w:rPr>
        <w:t xml:space="preserve"> in the State of Washington</w:t>
      </w:r>
      <w:r w:rsidR="001757A1">
        <w:rPr>
          <w:rStyle w:val="LineNumber"/>
        </w:rPr>
        <w:t>.</w:t>
      </w:r>
    </w:p>
    <w:p w:rsidR="00874AAF" w:rsidRDefault="00364E6E" w:rsidP="00371FF5">
      <w:pPr>
        <w:pStyle w:val="BodyTextIndent"/>
        <w:tabs>
          <w:tab w:val="left" w:pos="1440"/>
        </w:tabs>
        <w:ind w:right="-432" w:firstLine="720"/>
        <w:jc w:val="both"/>
        <w:rPr>
          <w:rStyle w:val="LineNumber"/>
          <w:b w:val="0"/>
        </w:rPr>
      </w:pPr>
      <w:r w:rsidRPr="00364E6E">
        <w:rPr>
          <w:rStyle w:val="LineNumber"/>
          <w:b w:val="0"/>
        </w:rPr>
        <w:t>A.</w:t>
      </w:r>
      <w:r w:rsidRPr="00364E6E">
        <w:rPr>
          <w:rStyle w:val="LineNumber"/>
          <w:b w:val="0"/>
        </w:rPr>
        <w:tab/>
      </w:r>
      <w:r w:rsidR="00895CB2">
        <w:rPr>
          <w:rStyle w:val="LineNumber"/>
          <w:b w:val="0"/>
        </w:rPr>
        <w:t xml:space="preserve">For the calendar year 2013 Avista </w:t>
      </w:r>
      <w:r w:rsidR="00A613E1">
        <w:rPr>
          <w:rStyle w:val="LineNumber"/>
          <w:b w:val="0"/>
        </w:rPr>
        <w:t xml:space="preserve">earned a 10.5% </w:t>
      </w:r>
      <w:r w:rsidR="007577A4">
        <w:rPr>
          <w:rStyle w:val="LineNumber"/>
          <w:b w:val="0"/>
        </w:rPr>
        <w:t>return</w:t>
      </w:r>
      <w:r w:rsidR="00A613E1">
        <w:rPr>
          <w:rStyle w:val="LineNumber"/>
          <w:b w:val="0"/>
        </w:rPr>
        <w:t xml:space="preserve"> on equity</w:t>
      </w:r>
      <w:r w:rsidR="007577A4">
        <w:rPr>
          <w:rStyle w:val="LineNumber"/>
          <w:b w:val="0"/>
        </w:rPr>
        <w:t xml:space="preserve"> from</w:t>
      </w:r>
      <w:r w:rsidR="00895CB2">
        <w:rPr>
          <w:rStyle w:val="LineNumber"/>
          <w:b w:val="0"/>
        </w:rPr>
        <w:t xml:space="preserve"> its Washington electric </w:t>
      </w:r>
      <w:r w:rsidR="00A613E1">
        <w:rPr>
          <w:rStyle w:val="LineNumber"/>
          <w:b w:val="0"/>
        </w:rPr>
        <w:t xml:space="preserve">and natural gas </w:t>
      </w:r>
      <w:r w:rsidR="00895CB2">
        <w:rPr>
          <w:rStyle w:val="LineNumber"/>
          <w:b w:val="0"/>
        </w:rPr>
        <w:t>operations</w:t>
      </w:r>
      <w:r w:rsidR="00A613E1">
        <w:rPr>
          <w:rStyle w:val="LineNumber"/>
          <w:b w:val="0"/>
        </w:rPr>
        <w:t>.  This actual return has</w:t>
      </w:r>
      <w:r w:rsidR="00B24A7C">
        <w:rPr>
          <w:rStyle w:val="LineNumber"/>
          <w:b w:val="0"/>
        </w:rPr>
        <w:t xml:space="preserve"> not been adjusted in any way with “normalizing,” “restating,” or “commission basis” adjustments.</w:t>
      </w:r>
      <w:r w:rsidR="00A613E1">
        <w:rPr>
          <w:rStyle w:val="LineNumber"/>
          <w:b w:val="0"/>
        </w:rPr>
        <w:t xml:space="preserve">  The actual </w:t>
      </w:r>
      <w:r w:rsidR="007577A4">
        <w:rPr>
          <w:rStyle w:val="LineNumber"/>
          <w:b w:val="0"/>
        </w:rPr>
        <w:t>re</w:t>
      </w:r>
      <w:r w:rsidR="00A613E1">
        <w:rPr>
          <w:rStyle w:val="LineNumber"/>
          <w:b w:val="0"/>
        </w:rPr>
        <w:t>turn</w:t>
      </w:r>
      <w:r w:rsidR="003A0C68">
        <w:rPr>
          <w:rStyle w:val="LineNumber"/>
          <w:b w:val="0"/>
        </w:rPr>
        <w:t xml:space="preserve"> </w:t>
      </w:r>
      <w:r w:rsidR="003A0C68">
        <w:rPr>
          <w:rStyle w:val="LineNumber"/>
          <w:b w:val="0"/>
        </w:rPr>
        <w:lastRenderedPageBreak/>
        <w:t>reflect</w:t>
      </w:r>
      <w:r w:rsidR="00A613E1">
        <w:rPr>
          <w:rStyle w:val="LineNumber"/>
          <w:b w:val="0"/>
        </w:rPr>
        <w:t>s</w:t>
      </w:r>
      <w:r w:rsidR="003A0C68">
        <w:rPr>
          <w:rStyle w:val="LineNumber"/>
          <w:b w:val="0"/>
        </w:rPr>
        <w:t xml:space="preserve"> actual weather conditions, actual hydroelectric generation, and actual wholesale market conditions, among other variables, that can cause actual earned returns to be </w:t>
      </w:r>
      <w:r w:rsidR="00BE1504">
        <w:rPr>
          <w:rStyle w:val="LineNumber"/>
          <w:b w:val="0"/>
        </w:rPr>
        <w:t xml:space="preserve">significantly </w:t>
      </w:r>
      <w:r w:rsidR="003A0C68">
        <w:rPr>
          <w:rStyle w:val="LineNumber"/>
          <w:b w:val="0"/>
        </w:rPr>
        <w:t>different than the earned returns under normal operating conditions.</w:t>
      </w:r>
    </w:p>
    <w:p w:rsidR="00242855" w:rsidRPr="00917193" w:rsidRDefault="00242855" w:rsidP="00371FF5">
      <w:pPr>
        <w:pStyle w:val="BodyTextIndent"/>
        <w:tabs>
          <w:tab w:val="left" w:pos="1440"/>
        </w:tabs>
        <w:ind w:right="-432" w:firstLine="720"/>
        <w:jc w:val="both"/>
        <w:rPr>
          <w:rStyle w:val="LineNumber"/>
        </w:rPr>
      </w:pPr>
      <w:r w:rsidRPr="00917193">
        <w:rPr>
          <w:rStyle w:val="LineNumber"/>
        </w:rPr>
        <w:t>Q.</w:t>
      </w:r>
      <w:r w:rsidRPr="00917193">
        <w:rPr>
          <w:rStyle w:val="LineNumber"/>
        </w:rPr>
        <w:tab/>
      </w:r>
      <w:r w:rsidR="00917193" w:rsidRPr="00917193">
        <w:rPr>
          <w:rStyle w:val="LineNumber"/>
        </w:rPr>
        <w:t>Has the Company completed its analysis to normalize the 2013 calendar year electric and natural gas operating results to see what the earned return would have been under normal operating conditions?</w:t>
      </w:r>
    </w:p>
    <w:p w:rsidR="001757A1" w:rsidRDefault="00917193" w:rsidP="00371FF5">
      <w:pPr>
        <w:pStyle w:val="BodyTextIndent"/>
        <w:tabs>
          <w:tab w:val="left" w:pos="1440"/>
        </w:tabs>
        <w:ind w:right="-432" w:firstLine="720"/>
        <w:jc w:val="both"/>
        <w:rPr>
          <w:rStyle w:val="LineNumber"/>
          <w:b w:val="0"/>
        </w:rPr>
      </w:pPr>
      <w:r>
        <w:rPr>
          <w:rStyle w:val="LineNumber"/>
          <w:b w:val="0"/>
        </w:rPr>
        <w:t>A.</w:t>
      </w:r>
      <w:r>
        <w:rPr>
          <w:rStyle w:val="LineNumber"/>
          <w:b w:val="0"/>
        </w:rPr>
        <w:tab/>
        <w:t>No.  As of the date of this filing we had not completed that analysis.  However, Avista’s “Commission Basis Reports” (CBR) are due to be filed with t</w:t>
      </w:r>
      <w:r w:rsidR="000F5C71">
        <w:rPr>
          <w:rStyle w:val="LineNumber"/>
          <w:b w:val="0"/>
        </w:rPr>
        <w:t>he Commission</w:t>
      </w:r>
      <w:r>
        <w:rPr>
          <w:rStyle w:val="LineNumber"/>
          <w:b w:val="0"/>
        </w:rPr>
        <w:t xml:space="preserve"> by April 30, 2014.  In developing </w:t>
      </w:r>
      <w:r w:rsidR="000F7D3C">
        <w:rPr>
          <w:rStyle w:val="LineNumber"/>
          <w:b w:val="0"/>
        </w:rPr>
        <w:t>the CBRs, Avista will remove any prior period adjustments recorded in 2013</w:t>
      </w:r>
      <w:r w:rsidR="00E65899">
        <w:rPr>
          <w:rStyle w:val="LineNumber"/>
          <w:b w:val="0"/>
        </w:rPr>
        <w:t>, as well as non-recurring items,</w:t>
      </w:r>
      <w:r w:rsidR="000F7D3C">
        <w:rPr>
          <w:rStyle w:val="LineNumber"/>
          <w:b w:val="0"/>
        </w:rPr>
        <w:t xml:space="preserve"> and adjust operating re</w:t>
      </w:r>
      <w:r w:rsidR="00E65899">
        <w:rPr>
          <w:rStyle w:val="LineNumber"/>
          <w:b w:val="0"/>
        </w:rPr>
        <w:t>sults to reflect normal weather and</w:t>
      </w:r>
      <w:r w:rsidR="000F7D3C">
        <w:rPr>
          <w:rStyle w:val="LineNumber"/>
          <w:b w:val="0"/>
        </w:rPr>
        <w:t xml:space="preserve"> hydroelectric conditions</w:t>
      </w:r>
      <w:r w:rsidR="00E65899">
        <w:rPr>
          <w:rStyle w:val="LineNumber"/>
          <w:b w:val="0"/>
        </w:rPr>
        <w:t>,</w:t>
      </w:r>
      <w:r w:rsidR="000F7D3C">
        <w:rPr>
          <w:rStyle w:val="LineNumber"/>
          <w:b w:val="0"/>
        </w:rPr>
        <w:t xml:space="preserve"> and other appropriate adjustments approved b</w:t>
      </w:r>
      <w:r w:rsidR="000F5C71">
        <w:rPr>
          <w:rStyle w:val="LineNumber"/>
          <w:b w:val="0"/>
        </w:rPr>
        <w:t>y the Commission</w:t>
      </w:r>
      <w:r w:rsidR="00E65899">
        <w:rPr>
          <w:rStyle w:val="LineNumber"/>
          <w:b w:val="0"/>
        </w:rPr>
        <w:t xml:space="preserve"> in the last rate case</w:t>
      </w:r>
      <w:r w:rsidR="000F7D3C">
        <w:rPr>
          <w:rStyle w:val="LineNumber"/>
          <w:b w:val="0"/>
        </w:rPr>
        <w:t xml:space="preserve"> to arrive at 2013 calendar-year oper</w:t>
      </w:r>
      <w:r w:rsidR="000F5C71">
        <w:rPr>
          <w:rStyle w:val="LineNumber"/>
          <w:b w:val="0"/>
        </w:rPr>
        <w:t>ating results on a normalized, Commission B</w:t>
      </w:r>
      <w:r w:rsidR="000F7D3C">
        <w:rPr>
          <w:rStyle w:val="LineNumber"/>
          <w:b w:val="0"/>
        </w:rPr>
        <w:t>asis.</w:t>
      </w:r>
      <w:r w:rsidR="003667E6">
        <w:rPr>
          <w:rStyle w:val="LineNumber"/>
          <w:b w:val="0"/>
        </w:rPr>
        <w:t xml:space="preserve">  The resulting normalized rate of return can then be compared</w:t>
      </w:r>
      <w:r w:rsidR="007D1A7E">
        <w:rPr>
          <w:rStyle w:val="LineNumber"/>
          <w:b w:val="0"/>
        </w:rPr>
        <w:t>, after-the-fact, on an “apples-to-apples” basis</w:t>
      </w:r>
      <w:r w:rsidR="003667E6">
        <w:rPr>
          <w:rStyle w:val="LineNumber"/>
          <w:b w:val="0"/>
        </w:rPr>
        <w:t xml:space="preserve"> to the previously authorized rate of return</w:t>
      </w:r>
      <w:r w:rsidR="007D1A7E">
        <w:rPr>
          <w:rStyle w:val="LineNumber"/>
          <w:b w:val="0"/>
        </w:rPr>
        <w:t>, to see whether Avista over-</w:t>
      </w:r>
      <w:r w:rsidR="00E65899">
        <w:rPr>
          <w:rStyle w:val="LineNumber"/>
          <w:b w:val="0"/>
        </w:rPr>
        <w:t xml:space="preserve">earned or under-earned for 2013 on a </w:t>
      </w:r>
      <w:r w:rsidR="00176837">
        <w:rPr>
          <w:rStyle w:val="LineNumber"/>
          <w:b w:val="0"/>
        </w:rPr>
        <w:t>“</w:t>
      </w:r>
      <w:r w:rsidR="00E65899">
        <w:rPr>
          <w:rStyle w:val="LineNumber"/>
          <w:b w:val="0"/>
        </w:rPr>
        <w:t>normalized</w:t>
      </w:r>
      <w:r w:rsidR="00176837">
        <w:rPr>
          <w:rStyle w:val="LineNumber"/>
          <w:b w:val="0"/>
        </w:rPr>
        <w:t>”</w:t>
      </w:r>
      <w:r w:rsidR="00E65899">
        <w:rPr>
          <w:rStyle w:val="LineNumber"/>
          <w:b w:val="0"/>
        </w:rPr>
        <w:t xml:space="preserve"> basis.</w:t>
      </w:r>
    </w:p>
    <w:p w:rsidR="00CB4D63" w:rsidRPr="00E32994" w:rsidRDefault="00CB4D63" w:rsidP="00CB4D63">
      <w:pPr>
        <w:pStyle w:val="BodyTextIndent"/>
        <w:tabs>
          <w:tab w:val="left" w:pos="1440"/>
        </w:tabs>
        <w:ind w:right="-432" w:firstLine="720"/>
        <w:jc w:val="both"/>
        <w:rPr>
          <w:rStyle w:val="LineNumber"/>
          <w:bCs w:val="0"/>
        </w:rPr>
      </w:pPr>
      <w:r w:rsidRPr="00E32994">
        <w:rPr>
          <w:rStyle w:val="LineNumber"/>
          <w:bCs w:val="0"/>
        </w:rPr>
        <w:t>Q.</w:t>
      </w:r>
      <w:r w:rsidRPr="00E32994">
        <w:rPr>
          <w:rStyle w:val="LineNumber"/>
          <w:bCs w:val="0"/>
        </w:rPr>
        <w:tab/>
        <w:t xml:space="preserve">When the Company completes the Commission Basis Report for the 2013 calendar </w:t>
      </w:r>
      <w:r w:rsidR="00AD4E25">
        <w:rPr>
          <w:rStyle w:val="LineNumber"/>
          <w:bCs w:val="0"/>
        </w:rPr>
        <w:t>year,</w:t>
      </w:r>
      <w:r w:rsidRPr="00E32994">
        <w:rPr>
          <w:rStyle w:val="LineNumber"/>
          <w:bCs w:val="0"/>
        </w:rPr>
        <w:t xml:space="preserve"> do you expect the normalized ROE for 2013 to be </w:t>
      </w:r>
      <w:r>
        <w:rPr>
          <w:rStyle w:val="LineNumber"/>
          <w:bCs w:val="0"/>
        </w:rPr>
        <w:t>close to the 9.8% ROE approved by the Commission?</w:t>
      </w:r>
    </w:p>
    <w:p w:rsidR="008F016B" w:rsidRDefault="00AD4E25" w:rsidP="002F66D7">
      <w:pPr>
        <w:pStyle w:val="BodyTextIndent"/>
        <w:tabs>
          <w:tab w:val="left" w:pos="1440"/>
        </w:tabs>
        <w:ind w:right="-432" w:firstLine="720"/>
        <w:jc w:val="both"/>
        <w:rPr>
          <w:rStyle w:val="LineNumber"/>
          <w:b w:val="0"/>
          <w:bCs w:val="0"/>
        </w:rPr>
      </w:pPr>
      <w:r>
        <w:rPr>
          <w:rStyle w:val="LineNumber"/>
          <w:b w:val="0"/>
          <w:bCs w:val="0"/>
        </w:rPr>
        <w:t>A.</w:t>
      </w:r>
      <w:r>
        <w:rPr>
          <w:rStyle w:val="LineNumber"/>
          <w:b w:val="0"/>
          <w:bCs w:val="0"/>
        </w:rPr>
        <w:tab/>
        <w:t>Yes.  Temperatures in Avista’s service area for 2013 were warmer than normal in the summer and slightly cooler than normal in the winter months.  This resulted in increased weather-rela</w:t>
      </w:r>
      <w:r w:rsidR="008A7BFE">
        <w:rPr>
          <w:rStyle w:val="LineNumber"/>
          <w:b w:val="0"/>
          <w:bCs w:val="0"/>
        </w:rPr>
        <w:t>ted revenues for the Company in</w:t>
      </w:r>
      <w:r>
        <w:rPr>
          <w:rStyle w:val="LineNumber"/>
          <w:b w:val="0"/>
          <w:bCs w:val="0"/>
        </w:rPr>
        <w:t xml:space="preserve"> 2013.</w:t>
      </w:r>
      <w:r w:rsidR="005F4B51">
        <w:rPr>
          <w:rStyle w:val="LineNumber"/>
          <w:b w:val="0"/>
          <w:bCs w:val="0"/>
        </w:rPr>
        <w:t xml:space="preserve">  Preliminary estimates of the revenue normalization adjustment </w:t>
      </w:r>
      <w:r w:rsidR="008A7BFE">
        <w:rPr>
          <w:rStyle w:val="LineNumber"/>
          <w:b w:val="0"/>
          <w:bCs w:val="0"/>
        </w:rPr>
        <w:t xml:space="preserve">necessary </w:t>
      </w:r>
      <w:r w:rsidR="005F4B51">
        <w:rPr>
          <w:rStyle w:val="LineNumber"/>
          <w:b w:val="0"/>
          <w:bCs w:val="0"/>
        </w:rPr>
        <w:t xml:space="preserve">to reflect </w:t>
      </w:r>
      <w:r w:rsidR="008A7BFE">
        <w:rPr>
          <w:rStyle w:val="LineNumber"/>
          <w:b w:val="0"/>
          <w:bCs w:val="0"/>
        </w:rPr>
        <w:t xml:space="preserve">revenue under </w:t>
      </w:r>
      <w:r w:rsidR="005F4B51">
        <w:rPr>
          <w:rStyle w:val="LineNumber"/>
          <w:b w:val="0"/>
          <w:bCs w:val="0"/>
        </w:rPr>
        <w:t>normal temperatures</w:t>
      </w:r>
      <w:r w:rsidR="00C74771">
        <w:rPr>
          <w:rStyle w:val="LineNumber"/>
          <w:b w:val="0"/>
          <w:bCs w:val="0"/>
        </w:rPr>
        <w:t xml:space="preserve"> </w:t>
      </w:r>
      <w:r w:rsidR="008A7BFE">
        <w:rPr>
          <w:rStyle w:val="LineNumber"/>
          <w:b w:val="0"/>
          <w:bCs w:val="0"/>
        </w:rPr>
        <w:t xml:space="preserve">would reduce </w:t>
      </w:r>
      <w:r w:rsidR="008A7BFE">
        <w:rPr>
          <w:rStyle w:val="LineNumber"/>
          <w:b w:val="0"/>
          <w:bCs w:val="0"/>
        </w:rPr>
        <w:lastRenderedPageBreak/>
        <w:t>the actual 2013 earned return</w:t>
      </w:r>
      <w:r w:rsidR="00C74771">
        <w:rPr>
          <w:rStyle w:val="LineNumber"/>
          <w:b w:val="0"/>
          <w:bCs w:val="0"/>
        </w:rPr>
        <w:t>, by itself,</w:t>
      </w:r>
      <w:r w:rsidR="008A7BFE">
        <w:rPr>
          <w:rStyle w:val="LineNumber"/>
          <w:b w:val="0"/>
          <w:bCs w:val="0"/>
        </w:rPr>
        <w:t xml:space="preserve"> down close to the authorized ROE of 9.8%.</w:t>
      </w:r>
      <w:r w:rsidR="000542F5">
        <w:rPr>
          <w:rStyle w:val="LineNumber"/>
          <w:b w:val="0"/>
          <w:bCs w:val="0"/>
        </w:rPr>
        <w:t xml:space="preserve">  Again, a</w:t>
      </w:r>
      <w:r w:rsidR="00C57F24">
        <w:rPr>
          <w:rStyle w:val="LineNumber"/>
          <w:b w:val="0"/>
          <w:bCs w:val="0"/>
        </w:rPr>
        <w:t>s explained above, the Commission Basis normalized result</w:t>
      </w:r>
      <w:r w:rsidR="00266011">
        <w:rPr>
          <w:rStyle w:val="LineNumber"/>
          <w:b w:val="0"/>
          <w:bCs w:val="0"/>
        </w:rPr>
        <w:t>s</w:t>
      </w:r>
      <w:r w:rsidR="00C57F24">
        <w:rPr>
          <w:rStyle w:val="LineNumber"/>
          <w:b w:val="0"/>
          <w:bCs w:val="0"/>
        </w:rPr>
        <w:t xml:space="preserve"> for calendar year 2013 will be completed on or before April 30, 2014.</w:t>
      </w:r>
    </w:p>
    <w:p w:rsidR="008F016B" w:rsidRPr="00B952E0" w:rsidRDefault="008F016B" w:rsidP="00371FF5">
      <w:pPr>
        <w:pStyle w:val="BodyTextIndent"/>
        <w:tabs>
          <w:tab w:val="left" w:pos="1440"/>
        </w:tabs>
        <w:suppressAutoHyphens w:val="0"/>
        <w:ind w:right="-432" w:firstLine="720"/>
        <w:jc w:val="both"/>
        <w:rPr>
          <w:rStyle w:val="LineNumber"/>
          <w:bCs w:val="0"/>
        </w:rPr>
      </w:pPr>
      <w:r w:rsidRPr="00B952E0">
        <w:rPr>
          <w:rStyle w:val="LineNumber"/>
          <w:bCs w:val="0"/>
        </w:rPr>
        <w:t>Q.</w:t>
      </w:r>
      <w:r w:rsidRPr="00B952E0">
        <w:rPr>
          <w:rStyle w:val="LineNumber"/>
          <w:bCs w:val="0"/>
        </w:rPr>
        <w:tab/>
      </w:r>
      <w:r w:rsidR="00266011">
        <w:rPr>
          <w:rStyle w:val="LineNumber"/>
          <w:bCs w:val="0"/>
        </w:rPr>
        <w:t>How does this improved return for 2013 compare with Commission Basis normalized earned</w:t>
      </w:r>
      <w:r w:rsidR="00534A95">
        <w:rPr>
          <w:rStyle w:val="LineNumber"/>
          <w:bCs w:val="0"/>
        </w:rPr>
        <w:t xml:space="preserve"> returns</w:t>
      </w:r>
      <w:r w:rsidR="00266011">
        <w:rPr>
          <w:rStyle w:val="LineNumber"/>
          <w:bCs w:val="0"/>
        </w:rPr>
        <w:t xml:space="preserve"> for prior years?</w:t>
      </w:r>
    </w:p>
    <w:p w:rsidR="002D5A27" w:rsidRDefault="008F016B" w:rsidP="00371FF5">
      <w:pPr>
        <w:pStyle w:val="BodyTextIndent"/>
        <w:tabs>
          <w:tab w:val="left" w:pos="1440"/>
        </w:tabs>
        <w:suppressAutoHyphens w:val="0"/>
        <w:ind w:right="-432" w:firstLine="720"/>
        <w:jc w:val="both"/>
        <w:rPr>
          <w:rStyle w:val="LineNumber"/>
          <w:b w:val="0"/>
          <w:bCs w:val="0"/>
        </w:rPr>
      </w:pPr>
      <w:r w:rsidRPr="00B952E0">
        <w:rPr>
          <w:rStyle w:val="LineNumber"/>
          <w:b w:val="0"/>
          <w:bCs w:val="0"/>
        </w:rPr>
        <w:t>A.</w:t>
      </w:r>
      <w:r w:rsidRPr="00B952E0">
        <w:rPr>
          <w:rStyle w:val="LineNumber"/>
          <w:b w:val="0"/>
          <w:bCs w:val="0"/>
        </w:rPr>
        <w:tab/>
      </w:r>
      <w:r w:rsidR="000806B4" w:rsidRPr="00B952E0">
        <w:rPr>
          <w:rStyle w:val="LineNumber"/>
          <w:b w:val="0"/>
          <w:bCs w:val="0"/>
        </w:rPr>
        <w:t xml:space="preserve">The bar chart in Illustration </w:t>
      </w:r>
      <w:r w:rsidR="000806B4">
        <w:rPr>
          <w:rStyle w:val="LineNumber"/>
          <w:b w:val="0"/>
          <w:bCs w:val="0"/>
        </w:rPr>
        <w:t>No. 1</w:t>
      </w:r>
      <w:r w:rsidR="000806B4" w:rsidRPr="00B952E0">
        <w:rPr>
          <w:rStyle w:val="LineNumber"/>
          <w:b w:val="0"/>
          <w:bCs w:val="0"/>
        </w:rPr>
        <w:t xml:space="preserve"> below shows Av</w:t>
      </w:r>
      <w:r w:rsidR="000806B4">
        <w:rPr>
          <w:rStyle w:val="LineNumber"/>
          <w:b w:val="0"/>
          <w:bCs w:val="0"/>
        </w:rPr>
        <w:t>ista’s earned ROE each year from 2007 to 2012</w:t>
      </w:r>
      <w:r w:rsidR="000806B4" w:rsidRPr="00B952E0">
        <w:rPr>
          <w:rStyle w:val="LineNumber"/>
          <w:b w:val="0"/>
          <w:bCs w:val="0"/>
        </w:rPr>
        <w:t xml:space="preserve"> for our combined electric and natural gas operations i</w:t>
      </w:r>
      <w:r w:rsidR="000806B4">
        <w:rPr>
          <w:rStyle w:val="LineNumber"/>
          <w:b w:val="0"/>
          <w:bCs w:val="0"/>
        </w:rPr>
        <w:t>n the State of Washington, on a normalized basis from the Company’s annual Commission Basis Reports.</w:t>
      </w:r>
    </w:p>
    <w:p w:rsidR="008F016B" w:rsidRPr="00B952E0" w:rsidRDefault="008F016B" w:rsidP="00371FF5">
      <w:pPr>
        <w:pStyle w:val="BodyTextIndent"/>
        <w:tabs>
          <w:tab w:val="left" w:pos="1440"/>
        </w:tabs>
        <w:suppressAutoHyphens w:val="0"/>
        <w:ind w:right="-432" w:firstLine="720"/>
        <w:jc w:val="both"/>
        <w:rPr>
          <w:rStyle w:val="LineNumber"/>
          <w:b w:val="0"/>
          <w:bCs w:val="0"/>
        </w:rPr>
      </w:pPr>
      <w:r w:rsidRPr="00B952E0">
        <w:rPr>
          <w:rStyle w:val="LineNumber"/>
          <w:b w:val="0"/>
          <w:bCs w:val="0"/>
        </w:rPr>
        <w:t>In developing the</w:t>
      </w:r>
      <w:r w:rsidR="002D5A27">
        <w:rPr>
          <w:rStyle w:val="LineNumber"/>
          <w:b w:val="0"/>
          <w:bCs w:val="0"/>
        </w:rPr>
        <w:t>se</w:t>
      </w:r>
      <w:r w:rsidRPr="00B952E0">
        <w:rPr>
          <w:rStyle w:val="LineNumber"/>
          <w:b w:val="0"/>
          <w:bCs w:val="0"/>
        </w:rPr>
        <w:t xml:space="preserve"> reports, </w:t>
      </w:r>
      <w:r w:rsidR="002D5A27">
        <w:rPr>
          <w:rStyle w:val="LineNumber"/>
          <w:b w:val="0"/>
          <w:bCs w:val="0"/>
        </w:rPr>
        <w:t>which are filed on or before April 30</w:t>
      </w:r>
      <w:r w:rsidR="002D5A27" w:rsidRPr="002D5A27">
        <w:rPr>
          <w:rStyle w:val="LineNumber"/>
          <w:b w:val="0"/>
          <w:bCs w:val="0"/>
          <w:vertAlign w:val="superscript"/>
        </w:rPr>
        <w:t>th</w:t>
      </w:r>
      <w:r w:rsidR="002D5A27">
        <w:rPr>
          <w:rStyle w:val="LineNumber"/>
          <w:b w:val="0"/>
          <w:bCs w:val="0"/>
        </w:rPr>
        <w:t xml:space="preserve"> each year, </w:t>
      </w:r>
      <w:r w:rsidRPr="00B952E0">
        <w:rPr>
          <w:rStyle w:val="LineNumber"/>
          <w:b w:val="0"/>
          <w:bCs w:val="0"/>
        </w:rPr>
        <w:t xml:space="preserve">Avista normalizes the operating results for the prior calendar year to determine what its rate of return would have been if the Company had experienced normal operating conditions, including, among other things, normal temperatures, normal hydroelectric conditions and wholesale electric prices, removal of prior period adjustments, etc. </w:t>
      </w:r>
    </w:p>
    <w:p w:rsidR="00373AE9" w:rsidRDefault="002D5A27" w:rsidP="00371FF5">
      <w:pPr>
        <w:pStyle w:val="BodyTextIndent"/>
        <w:tabs>
          <w:tab w:val="left" w:pos="1440"/>
        </w:tabs>
        <w:suppressAutoHyphens w:val="0"/>
        <w:ind w:right="-432" w:firstLine="720"/>
        <w:jc w:val="both"/>
        <w:rPr>
          <w:rStyle w:val="LineNumber"/>
          <w:b w:val="0"/>
          <w:bCs w:val="0"/>
        </w:rPr>
      </w:pPr>
      <w:r>
        <w:rPr>
          <w:rStyle w:val="LineNumber"/>
          <w:b w:val="0"/>
          <w:bCs w:val="0"/>
        </w:rPr>
        <w:t xml:space="preserve">The bar chart shows that </w:t>
      </w:r>
      <w:r w:rsidR="008F016B" w:rsidRPr="00B952E0">
        <w:rPr>
          <w:rStyle w:val="LineNumber"/>
          <w:b w:val="0"/>
          <w:bCs w:val="0"/>
        </w:rPr>
        <w:t xml:space="preserve">all </w:t>
      </w:r>
      <w:r w:rsidR="004F725C">
        <w:rPr>
          <w:rStyle w:val="LineNumber"/>
          <w:b w:val="0"/>
          <w:bCs w:val="0"/>
        </w:rPr>
        <w:t xml:space="preserve">of the normalized ROEs for 2007 to 2012 </w:t>
      </w:r>
      <w:r>
        <w:rPr>
          <w:rStyle w:val="LineNumber"/>
          <w:b w:val="0"/>
          <w:bCs w:val="0"/>
        </w:rPr>
        <w:t>were</w:t>
      </w:r>
      <w:r w:rsidR="008F016B" w:rsidRPr="00B952E0">
        <w:rPr>
          <w:rStyle w:val="LineNumber"/>
          <w:b w:val="0"/>
          <w:bCs w:val="0"/>
        </w:rPr>
        <w:t xml:space="preserve"> well below </w:t>
      </w:r>
      <w:r w:rsidR="00085A79">
        <w:rPr>
          <w:rStyle w:val="LineNumber"/>
          <w:b w:val="0"/>
          <w:bCs w:val="0"/>
        </w:rPr>
        <w:t xml:space="preserve">the </w:t>
      </w:r>
      <w:r w:rsidR="008F016B" w:rsidRPr="00B952E0">
        <w:rPr>
          <w:rStyle w:val="LineNumber"/>
          <w:b w:val="0"/>
          <w:bCs w:val="0"/>
        </w:rPr>
        <w:t xml:space="preserve">ROEs </w:t>
      </w:r>
      <w:r w:rsidR="00085A79">
        <w:rPr>
          <w:rStyle w:val="LineNumber"/>
          <w:b w:val="0"/>
          <w:bCs w:val="0"/>
        </w:rPr>
        <w:t>approved by the Commission as being</w:t>
      </w:r>
      <w:r>
        <w:rPr>
          <w:rStyle w:val="LineNumber"/>
          <w:b w:val="0"/>
          <w:bCs w:val="0"/>
        </w:rPr>
        <w:t xml:space="preserve"> reasonable.  The current authorized ROE is 9.8%.</w:t>
      </w:r>
      <w:r w:rsidR="00373AE9">
        <w:rPr>
          <w:rStyle w:val="LineNumber"/>
          <w:b w:val="0"/>
          <w:bCs w:val="0"/>
        </w:rPr>
        <w:t xml:space="preserve">  The earned return in 2013 is a marked improvement over the prior years.</w:t>
      </w:r>
    </w:p>
    <w:p w:rsidR="00663CF3" w:rsidRDefault="00663CF3" w:rsidP="00371FF5">
      <w:pPr>
        <w:pStyle w:val="BodyTextIndent"/>
        <w:tabs>
          <w:tab w:val="left" w:pos="1440"/>
        </w:tabs>
        <w:suppressAutoHyphens w:val="0"/>
        <w:ind w:right="-432" w:firstLine="720"/>
        <w:jc w:val="both"/>
        <w:rPr>
          <w:rStyle w:val="LineNumber"/>
          <w:b w:val="0"/>
          <w:bCs w:val="0"/>
        </w:rPr>
      </w:pPr>
    </w:p>
    <w:p w:rsidR="00663CF3" w:rsidRDefault="00663CF3" w:rsidP="00371FF5">
      <w:pPr>
        <w:pStyle w:val="BodyTextIndent"/>
        <w:tabs>
          <w:tab w:val="left" w:pos="1440"/>
        </w:tabs>
        <w:suppressAutoHyphens w:val="0"/>
        <w:ind w:right="-432" w:firstLine="720"/>
        <w:jc w:val="both"/>
        <w:rPr>
          <w:rStyle w:val="LineNumber"/>
          <w:b w:val="0"/>
          <w:bCs w:val="0"/>
        </w:rPr>
      </w:pPr>
    </w:p>
    <w:p w:rsidR="00663CF3" w:rsidRDefault="00663CF3" w:rsidP="00371FF5">
      <w:pPr>
        <w:pStyle w:val="BodyTextIndent"/>
        <w:tabs>
          <w:tab w:val="left" w:pos="1440"/>
        </w:tabs>
        <w:suppressAutoHyphens w:val="0"/>
        <w:ind w:right="-432" w:firstLine="720"/>
        <w:jc w:val="both"/>
        <w:rPr>
          <w:rStyle w:val="LineNumber"/>
          <w:b w:val="0"/>
          <w:bCs w:val="0"/>
        </w:rPr>
      </w:pPr>
    </w:p>
    <w:p w:rsidR="00663CF3" w:rsidRDefault="00663CF3" w:rsidP="00371FF5">
      <w:pPr>
        <w:pStyle w:val="BodyTextIndent"/>
        <w:tabs>
          <w:tab w:val="left" w:pos="1440"/>
        </w:tabs>
        <w:suppressAutoHyphens w:val="0"/>
        <w:ind w:right="-432" w:firstLine="720"/>
        <w:jc w:val="both"/>
        <w:rPr>
          <w:rStyle w:val="LineNumber"/>
          <w:b w:val="0"/>
          <w:bCs w:val="0"/>
        </w:rPr>
      </w:pPr>
    </w:p>
    <w:p w:rsidR="00663CF3" w:rsidRDefault="00663CF3" w:rsidP="00371FF5">
      <w:pPr>
        <w:pStyle w:val="BodyTextIndent"/>
        <w:tabs>
          <w:tab w:val="left" w:pos="1440"/>
        </w:tabs>
        <w:suppressAutoHyphens w:val="0"/>
        <w:ind w:right="-432" w:firstLine="720"/>
        <w:jc w:val="both"/>
        <w:rPr>
          <w:rStyle w:val="LineNumber"/>
          <w:b w:val="0"/>
          <w:bCs w:val="0"/>
        </w:rPr>
      </w:pPr>
    </w:p>
    <w:p w:rsidR="002F66D7" w:rsidRDefault="002F66D7" w:rsidP="00371FF5">
      <w:pPr>
        <w:pStyle w:val="BodyTextIndent"/>
        <w:tabs>
          <w:tab w:val="left" w:pos="1440"/>
        </w:tabs>
        <w:suppressAutoHyphens w:val="0"/>
        <w:ind w:right="-432" w:firstLine="720"/>
        <w:jc w:val="both"/>
        <w:rPr>
          <w:rStyle w:val="LineNumber"/>
          <w:b w:val="0"/>
          <w:bCs w:val="0"/>
        </w:rPr>
      </w:pPr>
    </w:p>
    <w:p w:rsidR="008F016B" w:rsidRPr="00513773" w:rsidRDefault="008F016B" w:rsidP="00371FF5">
      <w:pPr>
        <w:pStyle w:val="BodyTextIndent"/>
        <w:tabs>
          <w:tab w:val="left" w:pos="1440"/>
        </w:tabs>
        <w:suppressAutoHyphens w:val="0"/>
        <w:ind w:right="-432"/>
        <w:jc w:val="both"/>
        <w:rPr>
          <w:rStyle w:val="LineNumber"/>
          <w:bCs w:val="0"/>
          <w:u w:val="single"/>
        </w:rPr>
      </w:pPr>
      <w:r w:rsidRPr="00513773">
        <w:rPr>
          <w:rStyle w:val="LineNumber"/>
          <w:bCs w:val="0"/>
          <w:u w:val="single"/>
        </w:rPr>
        <w:lastRenderedPageBreak/>
        <w:t xml:space="preserve">Illustration No. </w:t>
      </w:r>
      <w:r w:rsidR="002D5A27">
        <w:rPr>
          <w:rStyle w:val="LineNumber"/>
          <w:bCs w:val="0"/>
          <w:u w:val="single"/>
        </w:rPr>
        <w:t>1</w:t>
      </w:r>
    </w:p>
    <w:p w:rsidR="008F016B" w:rsidRDefault="000B4B03" w:rsidP="008F016B">
      <w:pPr>
        <w:pStyle w:val="BodyTextIndent"/>
        <w:tabs>
          <w:tab w:val="left" w:pos="1440"/>
        </w:tabs>
        <w:suppressAutoHyphens w:val="0"/>
        <w:ind w:firstLine="360"/>
        <w:jc w:val="both"/>
        <w:rPr>
          <w:rStyle w:val="LineNumber"/>
          <w:b w:val="0"/>
          <w:bCs w:val="0"/>
        </w:rPr>
      </w:pPr>
      <w:r w:rsidRPr="000B4B03">
        <w:rPr>
          <w:noProof/>
        </w:rPr>
        <w:drawing>
          <wp:anchor distT="0" distB="0" distL="114300" distR="114300" simplePos="0" relativeHeight="251671552" behindDoc="0" locked="0" layoutInCell="1" allowOverlap="1">
            <wp:simplePos x="0" y="0"/>
            <wp:positionH relativeFrom="column">
              <wp:posOffset>244192</wp:posOffset>
            </wp:positionH>
            <wp:positionV relativeFrom="paragraph">
              <wp:posOffset>2946</wp:posOffset>
            </wp:positionV>
            <wp:extent cx="5667199" cy="333487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667199" cy="3334870"/>
                    </a:xfrm>
                    <a:prstGeom prst="rect">
                      <a:avLst/>
                    </a:prstGeom>
                    <a:noFill/>
                    <a:ln w="9525">
                      <a:noFill/>
                      <a:miter lim="800000"/>
                      <a:headEnd/>
                      <a:tailEnd/>
                    </a:ln>
                  </pic:spPr>
                </pic:pic>
              </a:graphicData>
            </a:graphic>
          </wp:anchor>
        </w:drawing>
      </w:r>
    </w:p>
    <w:p w:rsidR="008F016B" w:rsidRDefault="008F016B" w:rsidP="008F016B">
      <w:pPr>
        <w:pStyle w:val="BodyTextIndent"/>
        <w:tabs>
          <w:tab w:val="left" w:pos="1440"/>
        </w:tabs>
        <w:suppressAutoHyphens w:val="0"/>
        <w:ind w:firstLine="360"/>
        <w:jc w:val="both"/>
        <w:rPr>
          <w:rStyle w:val="LineNumber"/>
          <w:b w:val="0"/>
          <w:bCs w:val="0"/>
        </w:rPr>
      </w:pPr>
    </w:p>
    <w:p w:rsidR="008F016B" w:rsidRDefault="008F016B" w:rsidP="008F016B">
      <w:pPr>
        <w:pStyle w:val="BodyTextIndent"/>
        <w:tabs>
          <w:tab w:val="left" w:pos="1440"/>
        </w:tabs>
        <w:suppressAutoHyphens w:val="0"/>
        <w:ind w:firstLine="360"/>
        <w:jc w:val="both"/>
        <w:rPr>
          <w:rStyle w:val="LineNumber"/>
          <w:b w:val="0"/>
          <w:bCs w:val="0"/>
        </w:rPr>
      </w:pPr>
    </w:p>
    <w:p w:rsidR="008F016B" w:rsidRDefault="008F016B" w:rsidP="008F016B">
      <w:pPr>
        <w:pStyle w:val="BodyTextIndent"/>
        <w:tabs>
          <w:tab w:val="left" w:pos="1440"/>
        </w:tabs>
        <w:suppressAutoHyphens w:val="0"/>
        <w:ind w:firstLine="360"/>
        <w:jc w:val="both"/>
        <w:rPr>
          <w:rStyle w:val="LineNumber"/>
          <w:b w:val="0"/>
          <w:bCs w:val="0"/>
        </w:rPr>
      </w:pPr>
    </w:p>
    <w:p w:rsidR="008F016B" w:rsidRDefault="008F016B" w:rsidP="008F016B">
      <w:pPr>
        <w:pStyle w:val="BodyTextIndent"/>
        <w:tabs>
          <w:tab w:val="left" w:pos="1440"/>
        </w:tabs>
        <w:suppressAutoHyphens w:val="0"/>
        <w:ind w:firstLine="360"/>
        <w:jc w:val="both"/>
        <w:rPr>
          <w:rStyle w:val="LineNumber"/>
          <w:b w:val="0"/>
          <w:bCs w:val="0"/>
        </w:rPr>
      </w:pPr>
    </w:p>
    <w:p w:rsidR="008F016B" w:rsidRDefault="008F016B" w:rsidP="008F016B">
      <w:pPr>
        <w:pStyle w:val="BodyTextIndent"/>
        <w:tabs>
          <w:tab w:val="left" w:pos="1440"/>
        </w:tabs>
        <w:suppressAutoHyphens w:val="0"/>
        <w:ind w:firstLine="360"/>
        <w:jc w:val="both"/>
        <w:rPr>
          <w:rStyle w:val="LineNumber"/>
          <w:b w:val="0"/>
          <w:bCs w:val="0"/>
        </w:rPr>
      </w:pPr>
    </w:p>
    <w:p w:rsidR="008F016B" w:rsidRDefault="008F016B" w:rsidP="008F016B">
      <w:pPr>
        <w:pStyle w:val="BodyTextIndent"/>
        <w:tabs>
          <w:tab w:val="left" w:pos="1440"/>
        </w:tabs>
        <w:suppressAutoHyphens w:val="0"/>
        <w:ind w:firstLine="360"/>
        <w:jc w:val="both"/>
        <w:rPr>
          <w:rStyle w:val="LineNumber"/>
          <w:b w:val="0"/>
          <w:bCs w:val="0"/>
        </w:rPr>
      </w:pPr>
    </w:p>
    <w:p w:rsidR="008F016B" w:rsidRDefault="008F016B" w:rsidP="008F016B">
      <w:pPr>
        <w:pStyle w:val="BodyTextIndent"/>
        <w:tabs>
          <w:tab w:val="left" w:pos="1440"/>
        </w:tabs>
        <w:suppressAutoHyphens w:val="0"/>
        <w:ind w:firstLine="360"/>
        <w:jc w:val="both"/>
        <w:rPr>
          <w:rStyle w:val="LineNumber"/>
          <w:b w:val="0"/>
          <w:bCs w:val="0"/>
        </w:rPr>
      </w:pPr>
    </w:p>
    <w:p w:rsidR="008F016B" w:rsidRDefault="008F016B" w:rsidP="008F016B">
      <w:pPr>
        <w:pStyle w:val="BodyTextIndent"/>
        <w:tabs>
          <w:tab w:val="left" w:pos="1440"/>
        </w:tabs>
        <w:suppressAutoHyphens w:val="0"/>
        <w:ind w:firstLine="360"/>
        <w:jc w:val="both"/>
        <w:rPr>
          <w:rStyle w:val="LineNumber"/>
          <w:b w:val="0"/>
          <w:bCs w:val="0"/>
        </w:rPr>
      </w:pPr>
    </w:p>
    <w:p w:rsidR="00D84B44" w:rsidRDefault="00D84B44" w:rsidP="008F016B">
      <w:pPr>
        <w:pStyle w:val="BodyTextIndent"/>
        <w:tabs>
          <w:tab w:val="left" w:pos="1440"/>
        </w:tabs>
        <w:ind w:firstLine="720"/>
        <w:jc w:val="both"/>
        <w:rPr>
          <w:rStyle w:val="LineNumber"/>
          <w:b w:val="0"/>
          <w:bCs w:val="0"/>
        </w:rPr>
      </w:pPr>
    </w:p>
    <w:p w:rsidR="001757A1" w:rsidRDefault="008F016B" w:rsidP="00371FF5">
      <w:pPr>
        <w:pStyle w:val="BodyTextIndent"/>
        <w:tabs>
          <w:tab w:val="left" w:pos="1440"/>
        </w:tabs>
        <w:ind w:right="-432" w:firstLine="720"/>
        <w:jc w:val="both"/>
        <w:rPr>
          <w:rStyle w:val="LineNumber"/>
          <w:b w:val="0"/>
          <w:bCs w:val="0"/>
        </w:rPr>
      </w:pPr>
      <w:r w:rsidRPr="00B952E0">
        <w:rPr>
          <w:rStyle w:val="LineNumber"/>
          <w:b w:val="0"/>
          <w:bCs w:val="0"/>
        </w:rPr>
        <w:t>The expectation under the regulator</w:t>
      </w:r>
      <w:r>
        <w:rPr>
          <w:rStyle w:val="LineNumber"/>
          <w:b w:val="0"/>
          <w:bCs w:val="0"/>
        </w:rPr>
        <w:t>y</w:t>
      </w:r>
      <w:r w:rsidRPr="00B952E0">
        <w:rPr>
          <w:rStyle w:val="LineNumber"/>
          <w:b w:val="0"/>
          <w:bCs w:val="0"/>
        </w:rPr>
        <w:t xml:space="preserve"> compact</w:t>
      </w:r>
      <w:r w:rsidRPr="00B952E0">
        <w:rPr>
          <w:rStyle w:val="FootnoteReference"/>
          <w:rFonts w:ascii="Times New Roman" w:hAnsi="Times New Roman"/>
          <w:b w:val="0"/>
          <w:bCs w:val="0"/>
        </w:rPr>
        <w:footnoteReference w:id="1"/>
      </w:r>
      <w:r w:rsidRPr="00B952E0">
        <w:rPr>
          <w:rStyle w:val="LineNumber"/>
          <w:b w:val="0"/>
          <w:bCs w:val="0"/>
        </w:rPr>
        <w:t xml:space="preserve"> is that, over time, there will be a </w:t>
      </w:r>
      <w:r w:rsidRPr="005A7021">
        <w:rPr>
          <w:rStyle w:val="LineNumber"/>
          <w:b w:val="0"/>
          <w:bCs w:val="0"/>
        </w:rPr>
        <w:t>reasonable opportunity</w:t>
      </w:r>
      <w:r w:rsidRPr="00B952E0">
        <w:rPr>
          <w:rStyle w:val="LineNumber"/>
          <w:b w:val="0"/>
          <w:bCs w:val="0"/>
        </w:rPr>
        <w:t>, but not a guarantee, to actually earn the return on equity authorized by the Commission.  It is understood that, in some years, the return will be below the authorized, and in other years it may be above the authorized.  It is not reasonable, however, for the earned return, whether on an actual or normalized basis, to be consistently well below the authorized return every year.</w:t>
      </w:r>
    </w:p>
    <w:p w:rsidR="00D842CB" w:rsidRPr="00D842CB" w:rsidRDefault="00D842CB" w:rsidP="00371FF5">
      <w:pPr>
        <w:pStyle w:val="BodyTextIndent"/>
        <w:tabs>
          <w:tab w:val="left" w:pos="1440"/>
        </w:tabs>
        <w:ind w:right="-432" w:firstLine="720"/>
        <w:jc w:val="both"/>
        <w:rPr>
          <w:rStyle w:val="LineNumber"/>
          <w:bCs w:val="0"/>
        </w:rPr>
      </w:pPr>
      <w:r w:rsidRPr="00D842CB">
        <w:rPr>
          <w:rStyle w:val="LineNumber"/>
          <w:bCs w:val="0"/>
        </w:rPr>
        <w:t>Q.</w:t>
      </w:r>
      <w:r w:rsidRPr="00D842CB">
        <w:rPr>
          <w:rStyle w:val="LineNumber"/>
          <w:bCs w:val="0"/>
        </w:rPr>
        <w:tab/>
        <w:t>Why did Avista experience an improved return in 2013?</w:t>
      </w:r>
    </w:p>
    <w:p w:rsidR="006D0FDC" w:rsidRDefault="00D842CB" w:rsidP="00371FF5">
      <w:pPr>
        <w:pStyle w:val="BodyTextIndent"/>
        <w:tabs>
          <w:tab w:val="left" w:pos="1440"/>
        </w:tabs>
        <w:ind w:right="-432" w:firstLine="720"/>
        <w:jc w:val="both"/>
        <w:rPr>
          <w:rStyle w:val="LineNumber"/>
          <w:b w:val="0"/>
          <w:bCs w:val="0"/>
        </w:rPr>
      </w:pPr>
      <w:r>
        <w:rPr>
          <w:rStyle w:val="LineNumber"/>
          <w:b w:val="0"/>
          <w:bCs w:val="0"/>
        </w:rPr>
        <w:t>A.</w:t>
      </w:r>
      <w:r>
        <w:rPr>
          <w:rStyle w:val="LineNumber"/>
          <w:b w:val="0"/>
          <w:bCs w:val="0"/>
        </w:rPr>
        <w:tab/>
      </w:r>
      <w:r w:rsidR="00C542AD">
        <w:rPr>
          <w:rStyle w:val="LineNumber"/>
          <w:b w:val="0"/>
          <w:bCs w:val="0"/>
        </w:rPr>
        <w:t>In the last few years the Commission and the Commission</w:t>
      </w:r>
      <w:r w:rsidR="00B4298A">
        <w:rPr>
          <w:rStyle w:val="LineNumber"/>
          <w:b w:val="0"/>
          <w:bCs w:val="0"/>
        </w:rPr>
        <w:t xml:space="preserve"> Staff </w:t>
      </w:r>
      <w:r w:rsidR="00C542AD">
        <w:rPr>
          <w:rStyle w:val="LineNumber"/>
          <w:b w:val="0"/>
          <w:bCs w:val="0"/>
        </w:rPr>
        <w:t xml:space="preserve">have </w:t>
      </w:r>
      <w:r w:rsidR="00B4298A">
        <w:rPr>
          <w:rStyle w:val="LineNumber"/>
          <w:b w:val="0"/>
          <w:bCs w:val="0"/>
        </w:rPr>
        <w:t xml:space="preserve">suggested that utilities consider the use of an attrition adjustment in the ratemaking process </w:t>
      </w:r>
      <w:r w:rsidR="00192CBC">
        <w:rPr>
          <w:rStyle w:val="LineNumber"/>
          <w:b w:val="0"/>
          <w:bCs w:val="0"/>
        </w:rPr>
        <w:t xml:space="preserve">as one possible </w:t>
      </w:r>
      <w:r w:rsidR="00192CBC">
        <w:rPr>
          <w:rStyle w:val="LineNumber"/>
          <w:b w:val="0"/>
          <w:bCs w:val="0"/>
        </w:rPr>
        <w:lastRenderedPageBreak/>
        <w:t xml:space="preserve">means </w:t>
      </w:r>
      <w:r w:rsidR="00B4298A">
        <w:rPr>
          <w:rStyle w:val="LineNumber"/>
          <w:b w:val="0"/>
          <w:bCs w:val="0"/>
        </w:rPr>
        <w:t>to address the p</w:t>
      </w:r>
      <w:r w:rsidR="00C542AD">
        <w:rPr>
          <w:rStyle w:val="LineNumber"/>
          <w:b w:val="0"/>
          <w:bCs w:val="0"/>
        </w:rPr>
        <w:t>ersistent under-earning that has</w:t>
      </w:r>
      <w:r w:rsidR="00336D83">
        <w:rPr>
          <w:rStyle w:val="LineNumber"/>
          <w:b w:val="0"/>
          <w:bCs w:val="0"/>
        </w:rPr>
        <w:t xml:space="preserve"> been occurring.</w:t>
      </w:r>
      <w:r w:rsidR="00073C7C">
        <w:rPr>
          <w:rStyle w:val="FootnoteReference"/>
          <w:rFonts w:ascii="Times New Roman" w:hAnsi="Times New Roman"/>
          <w:b w:val="0"/>
          <w:bCs w:val="0"/>
        </w:rPr>
        <w:footnoteReference w:id="2"/>
      </w:r>
      <w:r w:rsidR="00336D83">
        <w:rPr>
          <w:rStyle w:val="LineNumber"/>
          <w:b w:val="0"/>
          <w:bCs w:val="0"/>
        </w:rPr>
        <w:t xml:space="preserve">  </w:t>
      </w:r>
      <w:r w:rsidR="00E4759E">
        <w:rPr>
          <w:rStyle w:val="LineNumber"/>
          <w:b w:val="0"/>
          <w:bCs w:val="0"/>
        </w:rPr>
        <w:t>In the development of its</w:t>
      </w:r>
      <w:r w:rsidR="00E54527">
        <w:rPr>
          <w:rStyle w:val="LineNumber"/>
          <w:b w:val="0"/>
          <w:bCs w:val="0"/>
        </w:rPr>
        <w:t xml:space="preserve"> 2012 general rate case, f</w:t>
      </w:r>
      <w:r w:rsidR="00E4759E">
        <w:rPr>
          <w:rStyle w:val="LineNumber"/>
          <w:b w:val="0"/>
          <w:bCs w:val="0"/>
        </w:rPr>
        <w:t>iled April 15, 2012, Avista</w:t>
      </w:r>
      <w:r w:rsidR="00E54527">
        <w:rPr>
          <w:rStyle w:val="LineNumber"/>
          <w:b w:val="0"/>
          <w:bCs w:val="0"/>
        </w:rPr>
        <w:t xml:space="preserve"> partnered with a consultant</w:t>
      </w:r>
      <w:r w:rsidR="00D209B7">
        <w:rPr>
          <w:rStyle w:val="FootnoteReference"/>
          <w:rFonts w:ascii="Times New Roman" w:hAnsi="Times New Roman"/>
          <w:b w:val="0"/>
          <w:bCs w:val="0"/>
        </w:rPr>
        <w:footnoteReference w:id="3"/>
      </w:r>
      <w:r w:rsidR="00E54527">
        <w:rPr>
          <w:rStyle w:val="LineNumber"/>
          <w:b w:val="0"/>
          <w:bCs w:val="0"/>
        </w:rPr>
        <w:t xml:space="preserve"> to develop</w:t>
      </w:r>
      <w:r w:rsidR="007B3BEB">
        <w:rPr>
          <w:rStyle w:val="LineNumber"/>
          <w:b w:val="0"/>
          <w:bCs w:val="0"/>
        </w:rPr>
        <w:t xml:space="preserve"> an attrition study, and a proposed attrition adjustment.  </w:t>
      </w:r>
      <w:r w:rsidR="00267ED8">
        <w:rPr>
          <w:rStyle w:val="LineNumber"/>
          <w:b w:val="0"/>
          <w:bCs w:val="0"/>
        </w:rPr>
        <w:t>In that D</w:t>
      </w:r>
      <w:r w:rsidR="00676102">
        <w:rPr>
          <w:rStyle w:val="LineNumber"/>
          <w:b w:val="0"/>
          <w:bCs w:val="0"/>
        </w:rPr>
        <w:t>ocket</w:t>
      </w:r>
      <w:r w:rsidR="00192CBC">
        <w:rPr>
          <w:rStyle w:val="LineNumber"/>
          <w:b w:val="0"/>
          <w:bCs w:val="0"/>
        </w:rPr>
        <w:t xml:space="preserve"> the Commission</w:t>
      </w:r>
      <w:r w:rsidR="00355E30">
        <w:rPr>
          <w:rStyle w:val="LineNumber"/>
          <w:b w:val="0"/>
          <w:bCs w:val="0"/>
        </w:rPr>
        <w:t xml:space="preserve"> Staff reviewed the Company’s attrition analysis and conducted their own attrition study</w:t>
      </w:r>
      <w:r w:rsidR="002F66D7">
        <w:rPr>
          <w:rStyle w:val="LineNumber"/>
          <w:b w:val="0"/>
          <w:bCs w:val="0"/>
        </w:rPr>
        <w:t>, using, for the most part, the same basic methodology</w:t>
      </w:r>
      <w:r w:rsidR="00355E30">
        <w:rPr>
          <w:rStyle w:val="LineNumber"/>
          <w:b w:val="0"/>
          <w:bCs w:val="0"/>
        </w:rPr>
        <w:t>.</w:t>
      </w:r>
      <w:r w:rsidR="00C25435">
        <w:rPr>
          <w:rStyle w:val="LineNumber"/>
          <w:b w:val="0"/>
          <w:bCs w:val="0"/>
        </w:rPr>
        <w:t xml:space="preserve">  </w:t>
      </w:r>
      <w:r w:rsidR="006D0FDC">
        <w:rPr>
          <w:rStyle w:val="LineNumber"/>
          <w:b w:val="0"/>
          <w:bCs w:val="0"/>
        </w:rPr>
        <w:t xml:space="preserve">While the settlement agreement in that case did not explicitly include an attrition adjustment, the revenue increases reflected in the settlement agreement </w:t>
      </w:r>
      <w:r w:rsidR="00C660DA">
        <w:rPr>
          <w:rStyle w:val="LineNumber"/>
          <w:b w:val="0"/>
          <w:bCs w:val="0"/>
        </w:rPr>
        <w:t>did include</w:t>
      </w:r>
      <w:r w:rsidR="006D0FDC">
        <w:rPr>
          <w:rStyle w:val="LineNumber"/>
          <w:b w:val="0"/>
          <w:bCs w:val="0"/>
        </w:rPr>
        <w:t xml:space="preserve"> additional revenues to address, at least in part, the attrition problem the Company had been experiencing in prior years.</w:t>
      </w:r>
      <w:r w:rsidR="00EF33EA">
        <w:rPr>
          <w:rStyle w:val="LineNumber"/>
          <w:b w:val="0"/>
          <w:bCs w:val="0"/>
        </w:rPr>
        <w:t xml:space="preserve">  </w:t>
      </w:r>
    </w:p>
    <w:p w:rsidR="006D0FDC" w:rsidRDefault="00C660DA" w:rsidP="00371FF5">
      <w:pPr>
        <w:pStyle w:val="BodyTextIndent"/>
        <w:tabs>
          <w:tab w:val="left" w:pos="1440"/>
        </w:tabs>
        <w:ind w:right="-432" w:firstLine="720"/>
        <w:jc w:val="both"/>
        <w:rPr>
          <w:rStyle w:val="LineNumber"/>
          <w:b w:val="0"/>
          <w:bCs w:val="0"/>
        </w:rPr>
      </w:pPr>
      <w:r>
        <w:rPr>
          <w:rStyle w:val="LineNumber"/>
          <w:b w:val="0"/>
          <w:bCs w:val="0"/>
        </w:rPr>
        <w:t>In its testimony supporti</w:t>
      </w:r>
      <w:r w:rsidR="00192CBC">
        <w:rPr>
          <w:rStyle w:val="LineNumber"/>
          <w:b w:val="0"/>
          <w:bCs w:val="0"/>
        </w:rPr>
        <w:t>ng the settlement agreement, Commission</w:t>
      </w:r>
      <w:r>
        <w:rPr>
          <w:rStyle w:val="LineNumber"/>
          <w:b w:val="0"/>
          <w:bCs w:val="0"/>
        </w:rPr>
        <w:t xml:space="preserve"> Staff provided the following testimony</w:t>
      </w:r>
      <w:r w:rsidR="006974CC">
        <w:rPr>
          <w:rStyle w:val="LineNumber"/>
          <w:b w:val="0"/>
          <w:bCs w:val="0"/>
        </w:rPr>
        <w:t xml:space="preserve"> regarding its own attrition analysis</w:t>
      </w:r>
      <w:r>
        <w:rPr>
          <w:rStyle w:val="LineNumber"/>
          <w:b w:val="0"/>
          <w:bCs w:val="0"/>
        </w:rPr>
        <w:t xml:space="preserve">:  </w:t>
      </w:r>
    </w:p>
    <w:p w:rsidR="00C660DA" w:rsidRDefault="00C660DA" w:rsidP="005E5868">
      <w:pPr>
        <w:pStyle w:val="BodyTextIndent"/>
        <w:tabs>
          <w:tab w:val="left" w:pos="1440"/>
        </w:tabs>
        <w:spacing w:line="240" w:lineRule="auto"/>
        <w:ind w:left="720" w:right="18"/>
        <w:jc w:val="both"/>
        <w:rPr>
          <w:rStyle w:val="LineNumber"/>
          <w:b w:val="0"/>
        </w:rPr>
      </w:pPr>
      <w:r>
        <w:rPr>
          <w:rStyle w:val="LineNumber"/>
          <w:b w:val="0"/>
          <w:bCs w:val="0"/>
        </w:rPr>
        <w:t xml:space="preserve">First, Staff’s attrition analysis shows Avista is experiencing significant attrition in its utility operations.  </w:t>
      </w:r>
      <w:r w:rsidRPr="002F66D7">
        <w:rPr>
          <w:rStyle w:val="LineNumber"/>
          <w:b w:val="0"/>
          <w:bCs w:val="0"/>
          <w:u w:val="single"/>
        </w:rPr>
        <w:t>This is not a one-time phenomenon, because the historical trends demonstrate attrition is present and ongoing</w:t>
      </w:r>
      <w:r>
        <w:rPr>
          <w:rStyle w:val="LineNumber"/>
          <w:b w:val="0"/>
          <w:bCs w:val="0"/>
        </w:rPr>
        <w:t xml:space="preserve">. </w:t>
      </w:r>
      <w:r w:rsidR="002F66D7">
        <w:rPr>
          <w:rStyle w:val="LineNumber"/>
          <w:b w:val="0"/>
          <w:bCs w:val="0"/>
        </w:rPr>
        <w:t>(</w:t>
      </w:r>
      <w:proofErr w:type="gramStart"/>
      <w:r w:rsidR="002F66D7">
        <w:rPr>
          <w:rStyle w:val="LineNumber"/>
          <w:b w:val="0"/>
          <w:bCs w:val="0"/>
        </w:rPr>
        <w:t>emphasis</w:t>
      </w:r>
      <w:proofErr w:type="gramEnd"/>
      <w:r w:rsidR="002F66D7">
        <w:rPr>
          <w:rStyle w:val="LineNumber"/>
          <w:b w:val="0"/>
          <w:bCs w:val="0"/>
        </w:rPr>
        <w:t xml:space="preserve"> added)</w:t>
      </w:r>
      <w:r>
        <w:rPr>
          <w:rStyle w:val="LineNumber"/>
          <w:b w:val="0"/>
          <w:bCs w:val="0"/>
        </w:rPr>
        <w:t xml:space="preserve"> This is understandable, given Avista’s capital expenditures to replace facilities necessary to provide service to Avista customers, coupled with relatively little if any load growth that will continue in 2013 and 2014, based on the most recent load forecasts provided to the parties.  </w:t>
      </w:r>
      <w:proofErr w:type="gramStart"/>
      <w:r>
        <w:rPr>
          <w:rStyle w:val="LineNumber"/>
          <w:b w:val="0"/>
          <w:bCs w:val="0"/>
        </w:rPr>
        <w:t xml:space="preserve">(P.26, </w:t>
      </w:r>
      <w:r w:rsidR="008F6FAC">
        <w:rPr>
          <w:rStyle w:val="LineNumber"/>
          <w:b w:val="0"/>
          <w:bCs w:val="0"/>
        </w:rPr>
        <w:t>Exhibit JT-1T</w:t>
      </w:r>
      <w:r>
        <w:rPr>
          <w:rStyle w:val="LineNumber"/>
          <w:b w:val="0"/>
          <w:bCs w:val="0"/>
        </w:rPr>
        <w:t>, Docket Nos.</w:t>
      </w:r>
      <w:proofErr w:type="gramEnd"/>
      <w:r>
        <w:rPr>
          <w:rStyle w:val="LineNumber"/>
          <w:b w:val="0"/>
          <w:bCs w:val="0"/>
        </w:rPr>
        <w:t xml:space="preserve"> </w:t>
      </w:r>
      <w:r w:rsidR="008F6FAC">
        <w:rPr>
          <w:rStyle w:val="LineNumber"/>
          <w:b w:val="0"/>
        </w:rPr>
        <w:t>UE-120436/UG-120437 and UE-110876/UG-110877)</w:t>
      </w:r>
    </w:p>
    <w:p w:rsidR="008F6FAC" w:rsidRDefault="008F6FAC" w:rsidP="00371FF5">
      <w:pPr>
        <w:pStyle w:val="BodyTextIndent"/>
        <w:tabs>
          <w:tab w:val="left" w:pos="1440"/>
        </w:tabs>
        <w:ind w:right="-432" w:firstLine="720"/>
        <w:jc w:val="both"/>
        <w:rPr>
          <w:rStyle w:val="LineNumber"/>
          <w:b w:val="0"/>
        </w:rPr>
      </w:pPr>
    </w:p>
    <w:p w:rsidR="00267ED8" w:rsidRDefault="00267ED8" w:rsidP="00371FF5">
      <w:pPr>
        <w:pStyle w:val="BodyTextIndent"/>
        <w:tabs>
          <w:tab w:val="left" w:pos="1440"/>
        </w:tabs>
        <w:ind w:right="-432" w:firstLine="720"/>
        <w:jc w:val="both"/>
        <w:rPr>
          <w:rStyle w:val="LineNumber"/>
          <w:b w:val="0"/>
          <w:bCs w:val="0"/>
        </w:rPr>
      </w:pPr>
      <w:r>
        <w:rPr>
          <w:rStyle w:val="LineNumber"/>
          <w:b w:val="0"/>
          <w:bCs w:val="0"/>
        </w:rPr>
        <w:t xml:space="preserve">The revenue increases reflected in the settlement agreement, and approved by the Commission, provided meaningful progress in addressing the earnings shortfall Avista had been experiencing.  </w:t>
      </w:r>
    </w:p>
    <w:p w:rsidR="008F6FAC" w:rsidRDefault="00267ED8" w:rsidP="00371FF5">
      <w:pPr>
        <w:pStyle w:val="BodyTextIndent"/>
        <w:tabs>
          <w:tab w:val="left" w:pos="1440"/>
        </w:tabs>
        <w:ind w:right="-432" w:firstLine="720"/>
        <w:jc w:val="both"/>
        <w:rPr>
          <w:rStyle w:val="LineNumber"/>
          <w:bCs w:val="0"/>
        </w:rPr>
      </w:pPr>
      <w:r w:rsidRPr="00267ED8">
        <w:rPr>
          <w:rStyle w:val="LineNumber"/>
          <w:bCs w:val="0"/>
        </w:rPr>
        <w:t>Q.</w:t>
      </w:r>
      <w:r w:rsidRPr="00267ED8">
        <w:rPr>
          <w:rStyle w:val="LineNumber"/>
          <w:bCs w:val="0"/>
        </w:rPr>
        <w:tab/>
        <w:t>Did the revenue increases in the settlement agreement, standing alone, provide sufficient revenues to full</w:t>
      </w:r>
      <w:r w:rsidR="006030A3">
        <w:rPr>
          <w:rStyle w:val="LineNumber"/>
          <w:bCs w:val="0"/>
        </w:rPr>
        <w:t>y</w:t>
      </w:r>
      <w:r w:rsidRPr="00267ED8">
        <w:rPr>
          <w:rStyle w:val="LineNumber"/>
          <w:bCs w:val="0"/>
        </w:rPr>
        <w:t xml:space="preserve"> address the </w:t>
      </w:r>
      <w:r w:rsidR="006030A3">
        <w:rPr>
          <w:rStyle w:val="LineNumber"/>
          <w:bCs w:val="0"/>
        </w:rPr>
        <w:t>earnings shortfall?</w:t>
      </w:r>
    </w:p>
    <w:p w:rsidR="006030A3" w:rsidRDefault="006030A3" w:rsidP="00371FF5">
      <w:pPr>
        <w:pStyle w:val="BodyTextIndent"/>
        <w:tabs>
          <w:tab w:val="left" w:pos="1440"/>
        </w:tabs>
        <w:ind w:right="-432" w:firstLine="720"/>
        <w:jc w:val="both"/>
        <w:rPr>
          <w:rStyle w:val="LineNumber"/>
          <w:b w:val="0"/>
          <w:bCs w:val="0"/>
        </w:rPr>
      </w:pPr>
      <w:r w:rsidRPr="006030A3">
        <w:rPr>
          <w:rStyle w:val="LineNumber"/>
          <w:b w:val="0"/>
          <w:bCs w:val="0"/>
        </w:rPr>
        <w:lastRenderedPageBreak/>
        <w:t>A.</w:t>
      </w:r>
      <w:r w:rsidRPr="006030A3">
        <w:rPr>
          <w:rStyle w:val="LineNumber"/>
          <w:b w:val="0"/>
          <w:bCs w:val="0"/>
        </w:rPr>
        <w:tab/>
        <w:t>No, and th</w:t>
      </w:r>
      <w:r w:rsidR="00E360F1">
        <w:rPr>
          <w:rStyle w:val="LineNumber"/>
          <w:b w:val="0"/>
          <w:bCs w:val="0"/>
        </w:rPr>
        <w:t>is was made clear in Avista’s</w:t>
      </w:r>
      <w:r w:rsidRPr="006030A3">
        <w:rPr>
          <w:rStyle w:val="LineNumber"/>
          <w:b w:val="0"/>
          <w:bCs w:val="0"/>
        </w:rPr>
        <w:t xml:space="preserve"> testimony supp</w:t>
      </w:r>
      <w:r w:rsidR="00702162">
        <w:rPr>
          <w:rStyle w:val="LineNumber"/>
          <w:b w:val="0"/>
          <w:bCs w:val="0"/>
        </w:rPr>
        <w:t>orting the settlement agreement:</w:t>
      </w:r>
    </w:p>
    <w:p w:rsidR="00BC4FAB" w:rsidRDefault="009800CF" w:rsidP="005E5868">
      <w:pPr>
        <w:pStyle w:val="BodyTextIndent"/>
        <w:tabs>
          <w:tab w:val="left" w:pos="1440"/>
        </w:tabs>
        <w:spacing w:line="240" w:lineRule="auto"/>
        <w:ind w:left="720" w:right="18"/>
        <w:jc w:val="both"/>
        <w:rPr>
          <w:rStyle w:val="LineNumber"/>
          <w:b w:val="0"/>
        </w:rPr>
      </w:pPr>
      <w:r>
        <w:rPr>
          <w:rStyle w:val="LineNumber"/>
          <w:b w:val="0"/>
          <w:bCs w:val="0"/>
        </w:rPr>
        <w:t xml:space="preserve">For shareholders, the revenue increases reflected in the Settlement Stipulation provide meaningful movement toward addressing the regulatory lag in the State of Washington.  The Settlement, together with Avista’s aggressive management of the growth in utility costs going forward, will provide the opportunity for the Company to earn returns in 2013 and 2014 much closer to the Commission-authorized rate of return, as compared to prior years.  </w:t>
      </w:r>
      <w:r w:rsidRPr="009800CF">
        <w:rPr>
          <w:rStyle w:val="LineNumber"/>
          <w:b w:val="0"/>
          <w:bCs w:val="0"/>
          <w:u w:val="single"/>
        </w:rPr>
        <w:t>I will emphasize, however, that the revenue increases from the Settlement Stipulation will provide a sufficient earnings opportunity for Avista only with the implementation of additional, aggressive cost management measures that the Company will undertake going forward.</w:t>
      </w:r>
      <w:r>
        <w:rPr>
          <w:rStyle w:val="LineNumber"/>
          <w:b w:val="0"/>
          <w:bCs w:val="0"/>
        </w:rPr>
        <w:t xml:space="preserve"> (</w:t>
      </w:r>
      <w:proofErr w:type="gramStart"/>
      <w:r>
        <w:rPr>
          <w:rStyle w:val="LineNumber"/>
          <w:b w:val="0"/>
          <w:bCs w:val="0"/>
        </w:rPr>
        <w:t>emphasis</w:t>
      </w:r>
      <w:proofErr w:type="gramEnd"/>
      <w:r>
        <w:rPr>
          <w:rStyle w:val="LineNumber"/>
          <w:b w:val="0"/>
          <w:bCs w:val="0"/>
        </w:rPr>
        <w:t xml:space="preserve"> added)  </w:t>
      </w:r>
      <w:proofErr w:type="gramStart"/>
      <w:r w:rsidR="00BC4FAB">
        <w:rPr>
          <w:rStyle w:val="LineNumber"/>
          <w:b w:val="0"/>
          <w:bCs w:val="0"/>
        </w:rPr>
        <w:t>(P.21, Exhibit JT-1T, Docket Nos.</w:t>
      </w:r>
      <w:proofErr w:type="gramEnd"/>
      <w:r w:rsidR="00BC4FAB">
        <w:rPr>
          <w:rStyle w:val="LineNumber"/>
          <w:b w:val="0"/>
          <w:bCs w:val="0"/>
        </w:rPr>
        <w:t xml:space="preserve"> </w:t>
      </w:r>
      <w:r w:rsidR="00BC4FAB">
        <w:rPr>
          <w:rStyle w:val="LineNumber"/>
          <w:b w:val="0"/>
        </w:rPr>
        <w:t>UE-120436/UG-120437 and UE-110876/UG-110877)</w:t>
      </w:r>
    </w:p>
    <w:p w:rsidR="00CB46CC" w:rsidRDefault="00CB46CC" w:rsidP="00371FF5">
      <w:pPr>
        <w:pStyle w:val="BodyTextIndent"/>
        <w:tabs>
          <w:tab w:val="left" w:pos="1440"/>
        </w:tabs>
        <w:spacing w:line="240" w:lineRule="auto"/>
        <w:ind w:left="720" w:right="-432"/>
        <w:jc w:val="both"/>
        <w:rPr>
          <w:rStyle w:val="LineNumber"/>
          <w:b w:val="0"/>
        </w:rPr>
      </w:pPr>
    </w:p>
    <w:p w:rsidR="00702162" w:rsidRDefault="00702162" w:rsidP="00371FF5">
      <w:pPr>
        <w:pStyle w:val="BodyTextIndent"/>
        <w:tabs>
          <w:tab w:val="left" w:pos="1440"/>
        </w:tabs>
        <w:spacing w:line="240" w:lineRule="auto"/>
        <w:ind w:left="720" w:right="-432"/>
        <w:jc w:val="both"/>
        <w:rPr>
          <w:rStyle w:val="LineNumber"/>
          <w:b w:val="0"/>
          <w:bCs w:val="0"/>
        </w:rPr>
      </w:pPr>
    </w:p>
    <w:p w:rsidR="009800CF" w:rsidRDefault="00810CE9" w:rsidP="00371FF5">
      <w:pPr>
        <w:pStyle w:val="BodyTextIndent"/>
        <w:tabs>
          <w:tab w:val="left" w:pos="1440"/>
        </w:tabs>
        <w:ind w:right="-432" w:firstLine="720"/>
        <w:jc w:val="both"/>
        <w:rPr>
          <w:rStyle w:val="LineNumber"/>
          <w:b w:val="0"/>
          <w:bCs w:val="0"/>
        </w:rPr>
      </w:pPr>
      <w:r>
        <w:rPr>
          <w:rStyle w:val="LineNumber"/>
          <w:b w:val="0"/>
          <w:bCs w:val="0"/>
        </w:rPr>
        <w:t>In the fourth quarter of 2012</w:t>
      </w:r>
      <w:r w:rsidR="002F66D7">
        <w:rPr>
          <w:rStyle w:val="LineNumber"/>
          <w:b w:val="0"/>
          <w:bCs w:val="0"/>
        </w:rPr>
        <w:t>,</w:t>
      </w:r>
      <w:r>
        <w:rPr>
          <w:rStyle w:val="LineNumber"/>
          <w:b w:val="0"/>
          <w:bCs w:val="0"/>
        </w:rPr>
        <w:t xml:space="preserve"> Avista developed and implemented the Voluntary Severance Incentive Plan</w:t>
      </w:r>
      <w:r w:rsidR="0068630C">
        <w:rPr>
          <w:rStyle w:val="LineNumber"/>
          <w:b w:val="0"/>
          <w:bCs w:val="0"/>
        </w:rPr>
        <w:t xml:space="preserve"> (VSIP)</w:t>
      </w:r>
      <w:r>
        <w:rPr>
          <w:rStyle w:val="LineNumber"/>
          <w:b w:val="0"/>
          <w:bCs w:val="0"/>
        </w:rPr>
        <w:t xml:space="preserve">, which was directly related to the </w:t>
      </w:r>
      <w:r w:rsidR="00F935AA">
        <w:rPr>
          <w:rStyle w:val="LineNumber"/>
          <w:b w:val="0"/>
          <w:bCs w:val="0"/>
        </w:rPr>
        <w:t xml:space="preserve">need identified in </w:t>
      </w:r>
      <w:r w:rsidR="00CB46CC">
        <w:rPr>
          <w:rStyle w:val="LineNumber"/>
          <w:b w:val="0"/>
          <w:bCs w:val="0"/>
        </w:rPr>
        <w:t xml:space="preserve">Avista’s testimony above, i.e., </w:t>
      </w:r>
      <w:r w:rsidR="0068630C">
        <w:rPr>
          <w:rStyle w:val="LineNumber"/>
          <w:b w:val="0"/>
          <w:bCs w:val="0"/>
        </w:rPr>
        <w:t>the revenue increases from the settlement agreem</w:t>
      </w:r>
      <w:r w:rsidR="002F6D7D">
        <w:rPr>
          <w:rStyle w:val="LineNumber"/>
          <w:b w:val="0"/>
          <w:bCs w:val="0"/>
        </w:rPr>
        <w:t>ent alone were not sufficient for Avista to</w:t>
      </w:r>
      <w:r w:rsidR="0068630C">
        <w:rPr>
          <w:rStyle w:val="LineNumber"/>
          <w:b w:val="0"/>
          <w:bCs w:val="0"/>
        </w:rPr>
        <w:t xml:space="preserve"> earn a reasonable return in 2013; the Company </w:t>
      </w:r>
      <w:r w:rsidR="002F66D7">
        <w:rPr>
          <w:rStyle w:val="LineNumber"/>
          <w:b w:val="0"/>
          <w:bCs w:val="0"/>
        </w:rPr>
        <w:t>had to</w:t>
      </w:r>
      <w:r w:rsidR="0068630C">
        <w:rPr>
          <w:rStyle w:val="LineNumber"/>
          <w:b w:val="0"/>
          <w:bCs w:val="0"/>
        </w:rPr>
        <w:t xml:space="preserve"> aggressively cuts its costs.  </w:t>
      </w:r>
      <w:r w:rsidR="000B4B03">
        <w:rPr>
          <w:rStyle w:val="LineNumber"/>
          <w:b w:val="0"/>
          <w:bCs w:val="0"/>
        </w:rPr>
        <w:t xml:space="preserve">Company witness </w:t>
      </w:r>
      <w:r w:rsidR="0068630C">
        <w:rPr>
          <w:rStyle w:val="LineNumber"/>
          <w:b w:val="0"/>
          <w:bCs w:val="0"/>
        </w:rPr>
        <w:t xml:space="preserve">Mr. Morris provides a brief summary of the VSIP program, which reduced employee complement by 55, effective January 1, 2013.  The expenses associated with VSIP were recorded in December 2012, and the Company began realizing the benefits from reduced costs </w:t>
      </w:r>
      <w:r w:rsidR="0028195D">
        <w:rPr>
          <w:rStyle w:val="LineNumber"/>
          <w:b w:val="0"/>
          <w:bCs w:val="0"/>
        </w:rPr>
        <w:t xml:space="preserve">(approximately $5.1 million annually on a system basis) </w:t>
      </w:r>
      <w:r w:rsidR="0068630C">
        <w:rPr>
          <w:rStyle w:val="LineNumber"/>
          <w:b w:val="0"/>
          <w:bCs w:val="0"/>
        </w:rPr>
        <w:t xml:space="preserve">beginning in January 2013.  The reduced </w:t>
      </w:r>
      <w:proofErr w:type="gramStart"/>
      <w:r w:rsidR="0068630C">
        <w:rPr>
          <w:rStyle w:val="LineNumber"/>
          <w:b w:val="0"/>
          <w:bCs w:val="0"/>
        </w:rPr>
        <w:t>costs related to VSIP was</w:t>
      </w:r>
      <w:proofErr w:type="gramEnd"/>
      <w:r w:rsidR="0068630C">
        <w:rPr>
          <w:rStyle w:val="LineNumber"/>
          <w:b w:val="0"/>
          <w:bCs w:val="0"/>
        </w:rPr>
        <w:t xml:space="preserve"> another major component</w:t>
      </w:r>
      <w:r w:rsidR="0028195D">
        <w:rPr>
          <w:rStyle w:val="LineNumber"/>
          <w:b w:val="0"/>
          <w:bCs w:val="0"/>
        </w:rPr>
        <w:t xml:space="preserve"> contributing to an improved ROE in Washington in 2013.</w:t>
      </w:r>
    </w:p>
    <w:p w:rsidR="0028195D" w:rsidRPr="0028195D" w:rsidRDefault="0028195D" w:rsidP="00371FF5">
      <w:pPr>
        <w:pStyle w:val="BodyTextIndent"/>
        <w:tabs>
          <w:tab w:val="left" w:pos="1440"/>
        </w:tabs>
        <w:ind w:right="-432" w:firstLine="720"/>
        <w:jc w:val="both"/>
        <w:rPr>
          <w:rStyle w:val="LineNumber"/>
          <w:bCs w:val="0"/>
        </w:rPr>
      </w:pPr>
      <w:r w:rsidRPr="0028195D">
        <w:rPr>
          <w:rStyle w:val="LineNumber"/>
          <w:bCs w:val="0"/>
        </w:rPr>
        <w:t>Q.</w:t>
      </w:r>
      <w:r w:rsidRPr="0028195D">
        <w:rPr>
          <w:rStyle w:val="LineNumber"/>
          <w:bCs w:val="0"/>
        </w:rPr>
        <w:tab/>
        <w:t>We</w:t>
      </w:r>
      <w:r w:rsidR="001545DB">
        <w:rPr>
          <w:rStyle w:val="LineNumber"/>
          <w:bCs w:val="0"/>
        </w:rPr>
        <w:t>re there other components to Avista’s</w:t>
      </w:r>
      <w:r w:rsidRPr="0028195D">
        <w:rPr>
          <w:rStyle w:val="LineNumber"/>
          <w:bCs w:val="0"/>
        </w:rPr>
        <w:t xml:space="preserve"> improved ROE for 2013?</w:t>
      </w:r>
    </w:p>
    <w:p w:rsidR="00317DB6" w:rsidRDefault="0028195D" w:rsidP="00371FF5">
      <w:pPr>
        <w:pStyle w:val="BodyTextIndent"/>
        <w:tabs>
          <w:tab w:val="left" w:pos="1440"/>
        </w:tabs>
        <w:ind w:right="-432" w:firstLine="720"/>
        <w:jc w:val="both"/>
        <w:rPr>
          <w:rStyle w:val="LineNumber"/>
          <w:b w:val="0"/>
          <w:bCs w:val="0"/>
        </w:rPr>
      </w:pPr>
      <w:r>
        <w:rPr>
          <w:rStyle w:val="LineNumber"/>
          <w:b w:val="0"/>
          <w:bCs w:val="0"/>
        </w:rPr>
        <w:t>A.</w:t>
      </w:r>
      <w:r>
        <w:rPr>
          <w:rStyle w:val="LineNumber"/>
          <w:b w:val="0"/>
          <w:bCs w:val="0"/>
        </w:rPr>
        <w:tab/>
        <w:t>Yes.</w:t>
      </w:r>
      <w:r w:rsidR="003C6C05">
        <w:rPr>
          <w:rStyle w:val="LineNumber"/>
          <w:b w:val="0"/>
          <w:bCs w:val="0"/>
        </w:rPr>
        <w:t xml:space="preserve"> In a filing with the Commission</w:t>
      </w:r>
      <w:r w:rsidR="0003098E">
        <w:rPr>
          <w:rStyle w:val="LineNumber"/>
          <w:b w:val="0"/>
          <w:bCs w:val="0"/>
        </w:rPr>
        <w:t xml:space="preserve"> dated April 12, 2013, in Docket No. UE-130536, Avista proposed </w:t>
      </w:r>
      <w:r w:rsidR="0061329F">
        <w:rPr>
          <w:rStyle w:val="LineNumber"/>
          <w:b w:val="0"/>
          <w:bCs w:val="0"/>
        </w:rPr>
        <w:t>accounting treatment regarding</w:t>
      </w:r>
      <w:r w:rsidR="0003098E">
        <w:rPr>
          <w:rStyle w:val="LineNumber"/>
          <w:b w:val="0"/>
          <w:bCs w:val="0"/>
        </w:rPr>
        <w:t xml:space="preserve"> its investment to date in the Reardan Wind Project, as well as revenues received through a settlement agreement with the Bonneville </w:t>
      </w:r>
      <w:r w:rsidR="0003098E">
        <w:rPr>
          <w:rStyle w:val="LineNumber"/>
          <w:b w:val="0"/>
          <w:bCs w:val="0"/>
        </w:rPr>
        <w:lastRenderedPageBreak/>
        <w:t>Power Administration (BPA) related to BPA’s prior use of Avista’s transmission system.  The proposed accounting treatment</w:t>
      </w:r>
      <w:r w:rsidR="003C6C05">
        <w:rPr>
          <w:rStyle w:val="LineNumber"/>
          <w:b w:val="0"/>
          <w:bCs w:val="0"/>
        </w:rPr>
        <w:t xml:space="preserve"> supported by the Commission</w:t>
      </w:r>
      <w:r w:rsidR="00E613D8">
        <w:rPr>
          <w:rStyle w:val="LineNumber"/>
          <w:b w:val="0"/>
          <w:bCs w:val="0"/>
        </w:rPr>
        <w:t xml:space="preserve"> Staff and the Industrial Customers of Northwest Utilities (ICNU)</w:t>
      </w:r>
      <w:r w:rsidR="0061329F">
        <w:rPr>
          <w:rStyle w:val="LineNumber"/>
          <w:b w:val="0"/>
          <w:bCs w:val="0"/>
        </w:rPr>
        <w:t>,</w:t>
      </w:r>
      <w:r w:rsidR="003C6C05">
        <w:rPr>
          <w:rStyle w:val="LineNumber"/>
          <w:b w:val="0"/>
          <w:bCs w:val="0"/>
        </w:rPr>
        <w:t xml:space="preserve"> and approved by the Commission</w:t>
      </w:r>
      <w:r w:rsidR="00E613D8">
        <w:rPr>
          <w:rStyle w:val="LineNumber"/>
          <w:b w:val="0"/>
          <w:bCs w:val="0"/>
        </w:rPr>
        <w:t>, provided a net benefit to Avista during 2013 of approximately $3.1 million (Washington jurisdiction).</w:t>
      </w:r>
      <w:r w:rsidR="000F0FE2">
        <w:rPr>
          <w:rStyle w:val="LineNumber"/>
          <w:b w:val="0"/>
          <w:bCs w:val="0"/>
        </w:rPr>
        <w:t xml:space="preserve">  This</w:t>
      </w:r>
      <w:r w:rsidR="001545DB">
        <w:rPr>
          <w:rStyle w:val="LineNumber"/>
          <w:b w:val="0"/>
          <w:bCs w:val="0"/>
        </w:rPr>
        <w:t xml:space="preserve"> sharing of the BPA settlement benefits between customers and shareholders approved by the Commission also contributed to Avista’s improved earnings in 2013.</w:t>
      </w:r>
      <w:r w:rsidR="00821879">
        <w:rPr>
          <w:rStyle w:val="FootnoteReference"/>
          <w:rFonts w:ascii="Times New Roman" w:hAnsi="Times New Roman"/>
          <w:b w:val="0"/>
          <w:bCs w:val="0"/>
        </w:rPr>
        <w:footnoteReference w:id="4"/>
      </w:r>
    </w:p>
    <w:p w:rsidR="001545DB" w:rsidRPr="00F82F58" w:rsidRDefault="001545DB" w:rsidP="00371FF5">
      <w:pPr>
        <w:pStyle w:val="BodyTextIndent"/>
        <w:tabs>
          <w:tab w:val="left" w:pos="1440"/>
        </w:tabs>
        <w:ind w:right="-432" w:firstLine="720"/>
        <w:jc w:val="both"/>
        <w:rPr>
          <w:rStyle w:val="LineNumber"/>
          <w:bCs w:val="0"/>
        </w:rPr>
      </w:pPr>
      <w:r w:rsidRPr="00F82F58">
        <w:rPr>
          <w:rStyle w:val="LineNumber"/>
          <w:bCs w:val="0"/>
        </w:rPr>
        <w:t>Q.</w:t>
      </w:r>
      <w:r w:rsidRPr="00F82F58">
        <w:rPr>
          <w:rStyle w:val="LineNumber"/>
          <w:bCs w:val="0"/>
        </w:rPr>
        <w:tab/>
        <w:t>What conclusions can be drawn from your testimony related to Avista’s 2013 earned return for its Washington electric and natural gas utility operations?</w:t>
      </w:r>
    </w:p>
    <w:p w:rsidR="002140D9" w:rsidRDefault="001545DB" w:rsidP="00371FF5">
      <w:pPr>
        <w:pStyle w:val="BodyTextIndent"/>
        <w:tabs>
          <w:tab w:val="left" w:pos="1440"/>
        </w:tabs>
        <w:ind w:right="-432" w:firstLine="720"/>
        <w:jc w:val="both"/>
        <w:rPr>
          <w:rStyle w:val="LineNumber"/>
          <w:b w:val="0"/>
          <w:bCs w:val="0"/>
        </w:rPr>
      </w:pPr>
      <w:r>
        <w:rPr>
          <w:rStyle w:val="LineNumber"/>
          <w:b w:val="0"/>
          <w:bCs w:val="0"/>
        </w:rPr>
        <w:t>A.</w:t>
      </w:r>
      <w:r>
        <w:rPr>
          <w:rStyle w:val="LineNumber"/>
          <w:b w:val="0"/>
          <w:bCs w:val="0"/>
        </w:rPr>
        <w:tab/>
      </w:r>
      <w:r w:rsidR="002140D9">
        <w:rPr>
          <w:rStyle w:val="LineNumber"/>
          <w:b w:val="0"/>
          <w:bCs w:val="0"/>
        </w:rPr>
        <w:t>Now that 2013 is history, we can see that the retail revenue increases for 2013 from the GRC settlement agreement, together with the cost cuts by Avista, and the sharing of benefits from the BPA settlement</w:t>
      </w:r>
      <w:r w:rsidR="002F66D7">
        <w:rPr>
          <w:rStyle w:val="LineNumber"/>
          <w:b w:val="0"/>
          <w:bCs w:val="0"/>
        </w:rPr>
        <w:t>,</w:t>
      </w:r>
      <w:r w:rsidR="002140D9">
        <w:rPr>
          <w:rStyle w:val="LineNumber"/>
          <w:b w:val="0"/>
          <w:bCs w:val="0"/>
        </w:rPr>
        <w:t xml:space="preserve"> did in fact</w:t>
      </w:r>
      <w:r w:rsidR="002F66D7">
        <w:rPr>
          <w:rStyle w:val="LineNumber"/>
          <w:b w:val="0"/>
          <w:bCs w:val="0"/>
        </w:rPr>
        <w:t>,</w:t>
      </w:r>
      <w:r w:rsidR="002140D9">
        <w:rPr>
          <w:rStyle w:val="LineNumber"/>
          <w:b w:val="0"/>
          <w:bCs w:val="0"/>
        </w:rPr>
        <w:t xml:space="preserve"> provide Avista the opportunity to earn a return close to that approved by the Commission.</w:t>
      </w:r>
    </w:p>
    <w:p w:rsidR="00C660DA" w:rsidRDefault="00E20A6C" w:rsidP="00371FF5">
      <w:pPr>
        <w:pStyle w:val="BodyTextIndent"/>
        <w:tabs>
          <w:tab w:val="left" w:pos="1440"/>
        </w:tabs>
        <w:ind w:right="-432" w:firstLine="720"/>
        <w:jc w:val="both"/>
        <w:rPr>
          <w:rStyle w:val="LineNumber"/>
          <w:b w:val="0"/>
        </w:rPr>
      </w:pPr>
      <w:r>
        <w:rPr>
          <w:rStyle w:val="LineNumber"/>
          <w:b w:val="0"/>
          <w:bCs w:val="0"/>
        </w:rPr>
        <w:t>In Avista’s last GRC</w:t>
      </w:r>
      <w:r w:rsidR="002F66D7">
        <w:rPr>
          <w:rStyle w:val="LineNumber"/>
          <w:b w:val="0"/>
          <w:bCs w:val="0"/>
        </w:rPr>
        <w:t>,</w:t>
      </w:r>
      <w:r>
        <w:rPr>
          <w:rStyle w:val="LineNumber"/>
          <w:b w:val="0"/>
          <w:bCs w:val="0"/>
        </w:rPr>
        <w:t xml:space="preserve"> the Commission supported consideration of a different approach to ratemaking, by approving a settlement agreement that included revenue increases that recognized that the Company </w:t>
      </w:r>
      <w:r w:rsidR="00A83CDB">
        <w:rPr>
          <w:rStyle w:val="LineNumber"/>
          <w:b w:val="0"/>
          <w:bCs w:val="0"/>
        </w:rPr>
        <w:t>wa</w:t>
      </w:r>
      <w:r>
        <w:rPr>
          <w:rStyle w:val="LineNumber"/>
          <w:b w:val="0"/>
          <w:bCs w:val="0"/>
        </w:rPr>
        <w:t xml:space="preserve">s </w:t>
      </w:r>
      <w:r w:rsidR="00A83CDB">
        <w:rPr>
          <w:rStyle w:val="LineNumber"/>
          <w:b w:val="0"/>
          <w:bCs w:val="0"/>
        </w:rPr>
        <w:t>continuing to experience attrition</w:t>
      </w:r>
      <w:r>
        <w:rPr>
          <w:rStyle w:val="LineNumber"/>
          <w:b w:val="0"/>
          <w:bCs w:val="0"/>
        </w:rPr>
        <w:t>.  The Commission stated on page 4 of its Order</w:t>
      </w:r>
      <w:r w:rsidR="000533C4">
        <w:rPr>
          <w:rStyle w:val="LineNumber"/>
          <w:b w:val="0"/>
        </w:rPr>
        <w:t xml:space="preserve">:  “The Commission finds, on the basis of the evidence presented, that consideration of </w:t>
      </w:r>
      <w:r w:rsidR="000533C4">
        <w:rPr>
          <w:rStyle w:val="LineNumber"/>
          <w:b w:val="0"/>
        </w:rPr>
        <w:lastRenderedPageBreak/>
        <w:t>attrition in setting rates for 2013 is appropriate.”</w:t>
      </w:r>
      <w:r w:rsidR="00BB3837" w:rsidRPr="00BB3837">
        <w:rPr>
          <w:rStyle w:val="FootnoteReference"/>
          <w:rFonts w:ascii="Times New Roman" w:hAnsi="Times New Roman"/>
          <w:b w:val="0"/>
          <w:bCs w:val="0"/>
        </w:rPr>
        <w:t xml:space="preserve"> </w:t>
      </w:r>
      <w:r w:rsidR="00BB3837">
        <w:rPr>
          <w:rStyle w:val="FootnoteReference"/>
          <w:rFonts w:ascii="Times New Roman" w:hAnsi="Times New Roman"/>
          <w:b w:val="0"/>
          <w:bCs w:val="0"/>
        </w:rPr>
        <w:footnoteReference w:id="5"/>
      </w:r>
      <w:r w:rsidR="004317AB">
        <w:rPr>
          <w:rStyle w:val="LineNumber"/>
          <w:b w:val="0"/>
        </w:rPr>
        <w:t xml:space="preserve">  The Commission also found that a major portion of the Company’s need for rate relief for 2013 was related to attrition in stating that:  “We agree with the Company and Staff that the proposed 2013 rate increase is based significantly on attrition.”</w:t>
      </w:r>
      <w:r w:rsidR="00875EFD">
        <w:rPr>
          <w:rStyle w:val="FootnoteReference"/>
          <w:rFonts w:ascii="Times New Roman" w:hAnsi="Times New Roman"/>
          <w:b w:val="0"/>
        </w:rPr>
        <w:footnoteReference w:id="6"/>
      </w:r>
    </w:p>
    <w:p w:rsidR="00EF40D2" w:rsidRDefault="00EF40D2" w:rsidP="00371FF5">
      <w:pPr>
        <w:pStyle w:val="BodyTextIndent"/>
        <w:tabs>
          <w:tab w:val="left" w:pos="1440"/>
        </w:tabs>
        <w:ind w:right="-432" w:firstLine="720"/>
        <w:jc w:val="both"/>
        <w:rPr>
          <w:rStyle w:val="LineNumber"/>
          <w:b w:val="0"/>
        </w:rPr>
      </w:pPr>
      <w:r>
        <w:rPr>
          <w:rStyle w:val="LineNumber"/>
          <w:b w:val="0"/>
        </w:rPr>
        <w:t>The point of this after-the-fact review of the ratemaking decision</w:t>
      </w:r>
      <w:r w:rsidR="00030C27">
        <w:rPr>
          <w:rStyle w:val="LineNumber"/>
          <w:b w:val="0"/>
        </w:rPr>
        <w:t>s related to 2013</w:t>
      </w:r>
      <w:r w:rsidR="006B49D5">
        <w:rPr>
          <w:rStyle w:val="LineNumber"/>
          <w:b w:val="0"/>
        </w:rPr>
        <w:t>,</w:t>
      </w:r>
      <w:r w:rsidR="00030C27">
        <w:rPr>
          <w:rStyle w:val="LineNumber"/>
          <w:b w:val="0"/>
        </w:rPr>
        <w:t xml:space="preserve"> and the</w:t>
      </w:r>
      <w:r>
        <w:rPr>
          <w:rStyle w:val="LineNumber"/>
          <w:b w:val="0"/>
        </w:rPr>
        <w:t xml:space="preserve"> earned return for 2013</w:t>
      </w:r>
      <w:r w:rsidR="006B49D5">
        <w:rPr>
          <w:rStyle w:val="LineNumber"/>
          <w:b w:val="0"/>
        </w:rPr>
        <w:t>,</w:t>
      </w:r>
      <w:r>
        <w:rPr>
          <w:rStyle w:val="LineNumber"/>
          <w:b w:val="0"/>
        </w:rPr>
        <w:t xml:space="preserve"> is that if there had been no recognition of attrition in ratemaking for 2013, the Company would have significantly under-earned in 2013.  Avista could not have cut costs enough to cover the shortfall.  Even though approximately 110 employees signed up for the VSIP </w:t>
      </w:r>
      <w:r w:rsidR="005303FA">
        <w:rPr>
          <w:rStyle w:val="LineNumber"/>
          <w:b w:val="0"/>
        </w:rPr>
        <w:t xml:space="preserve">program, the Company found that, in order to be able to continue to provide safe and reliable service, </w:t>
      </w:r>
      <w:r>
        <w:rPr>
          <w:rStyle w:val="LineNumber"/>
          <w:b w:val="0"/>
        </w:rPr>
        <w:t>only 5</w:t>
      </w:r>
      <w:r w:rsidR="005303FA">
        <w:rPr>
          <w:rStyle w:val="LineNumber"/>
          <w:b w:val="0"/>
        </w:rPr>
        <w:t xml:space="preserve">5 positions could be eliminated.  </w:t>
      </w:r>
      <w:r>
        <w:rPr>
          <w:rStyle w:val="LineNumber"/>
          <w:b w:val="0"/>
        </w:rPr>
        <w:t xml:space="preserve">And these 55 positions were eliminated only after </w:t>
      </w:r>
      <w:r w:rsidR="004D2732">
        <w:rPr>
          <w:rStyle w:val="LineNumber"/>
          <w:b w:val="0"/>
        </w:rPr>
        <w:t>extensive reassignment</w:t>
      </w:r>
      <w:r>
        <w:rPr>
          <w:rStyle w:val="LineNumber"/>
          <w:b w:val="0"/>
        </w:rPr>
        <w:t xml:space="preserve"> and </w:t>
      </w:r>
      <w:r w:rsidR="005303FA">
        <w:rPr>
          <w:rStyle w:val="LineNumber"/>
          <w:b w:val="0"/>
        </w:rPr>
        <w:t xml:space="preserve">the </w:t>
      </w:r>
      <w:r>
        <w:rPr>
          <w:rStyle w:val="LineNumber"/>
          <w:b w:val="0"/>
        </w:rPr>
        <w:t>reshuffling</w:t>
      </w:r>
      <w:r w:rsidR="005303FA">
        <w:rPr>
          <w:rStyle w:val="LineNumber"/>
          <w:b w:val="0"/>
        </w:rPr>
        <w:t xml:space="preserve"> of</w:t>
      </w:r>
      <w:r>
        <w:rPr>
          <w:rStyle w:val="LineNumber"/>
          <w:b w:val="0"/>
        </w:rPr>
        <w:t xml:space="preserve"> responsibilities within and among departments to achieve that total.</w:t>
      </w:r>
    </w:p>
    <w:p w:rsidR="008A160B" w:rsidRDefault="00B05B9D" w:rsidP="00371FF5">
      <w:pPr>
        <w:pStyle w:val="BodyTextIndent"/>
        <w:tabs>
          <w:tab w:val="left" w:pos="1440"/>
        </w:tabs>
        <w:ind w:right="-432" w:firstLine="720"/>
        <w:jc w:val="both"/>
        <w:rPr>
          <w:rStyle w:val="LineNumber"/>
          <w:b w:val="0"/>
        </w:rPr>
      </w:pPr>
      <w:r>
        <w:rPr>
          <w:rStyle w:val="LineNumber"/>
          <w:b w:val="0"/>
        </w:rPr>
        <w:t>However, t</w:t>
      </w:r>
      <w:r w:rsidR="008A160B">
        <w:rPr>
          <w:rStyle w:val="LineNumber"/>
          <w:b w:val="0"/>
        </w:rPr>
        <w:t>he amount of attrition-related revenue embedded in the last settleme</w:t>
      </w:r>
      <w:r w:rsidR="00B21A2B">
        <w:rPr>
          <w:rStyle w:val="LineNumber"/>
          <w:b w:val="0"/>
        </w:rPr>
        <w:t xml:space="preserve">nt agreement was not sufficient, on its own, to provide a reasonable return.  The Company agreed to a lesser amount of attrition-related relief through settlement, </w:t>
      </w:r>
      <w:r w:rsidR="00085CFB">
        <w:rPr>
          <w:rStyle w:val="LineNumber"/>
          <w:b w:val="0"/>
        </w:rPr>
        <w:t xml:space="preserve">only </w:t>
      </w:r>
      <w:r w:rsidR="00B21A2B">
        <w:rPr>
          <w:rStyle w:val="LineNumber"/>
          <w:b w:val="0"/>
        </w:rPr>
        <w:t>because it had the opportunity to cut costs and retain a share of the one-time BPA settlement.</w:t>
      </w:r>
    </w:p>
    <w:p w:rsidR="00D2224F" w:rsidRDefault="00290C6F" w:rsidP="005A7590">
      <w:pPr>
        <w:pStyle w:val="BodyTextIndent"/>
        <w:tabs>
          <w:tab w:val="left" w:pos="1440"/>
        </w:tabs>
        <w:ind w:right="-432" w:firstLine="720"/>
        <w:jc w:val="both"/>
        <w:rPr>
          <w:rStyle w:val="LineNumber"/>
          <w:b w:val="0"/>
        </w:rPr>
      </w:pPr>
      <w:r>
        <w:rPr>
          <w:rStyle w:val="LineNumber"/>
          <w:b w:val="0"/>
        </w:rPr>
        <w:t>The three major components that contributed to the earnings improvement in 2013 are illustrated in the bar chart below.  The “Cost</w:t>
      </w:r>
      <w:r w:rsidR="00BB3837">
        <w:rPr>
          <w:rStyle w:val="LineNumber"/>
          <w:b w:val="0"/>
        </w:rPr>
        <w:t>s</w:t>
      </w:r>
      <w:r>
        <w:rPr>
          <w:rStyle w:val="LineNumber"/>
          <w:b w:val="0"/>
        </w:rPr>
        <w:t>” bar</w:t>
      </w:r>
      <w:r w:rsidR="0078412F">
        <w:rPr>
          <w:rStyle w:val="LineNumber"/>
          <w:b w:val="0"/>
        </w:rPr>
        <w:t xml:space="preserve"> in Illustration </w:t>
      </w:r>
      <w:r w:rsidR="00893010">
        <w:rPr>
          <w:rStyle w:val="LineNumber"/>
          <w:b w:val="0"/>
        </w:rPr>
        <w:t xml:space="preserve">No. </w:t>
      </w:r>
      <w:r w:rsidR="0078412F">
        <w:rPr>
          <w:rStyle w:val="LineNumber"/>
          <w:b w:val="0"/>
        </w:rPr>
        <w:t>2</w:t>
      </w:r>
      <w:r>
        <w:rPr>
          <w:rStyle w:val="LineNumber"/>
          <w:b w:val="0"/>
        </w:rPr>
        <w:t xml:space="preserve"> represents the ownership and operating costs of the utility, including the authorized return on investment.  The VSIP component represents the red</w:t>
      </w:r>
      <w:r w:rsidR="0078412F">
        <w:rPr>
          <w:rStyle w:val="LineNumber"/>
          <w:b w:val="0"/>
        </w:rPr>
        <w:t>uction in costs for 2013 related to</w:t>
      </w:r>
      <w:r>
        <w:rPr>
          <w:rStyle w:val="LineNumber"/>
          <w:b w:val="0"/>
        </w:rPr>
        <w:t xml:space="preserve"> the VSIP program.  The Attrition and BPA components </w:t>
      </w:r>
      <w:r w:rsidR="0078412F">
        <w:rPr>
          <w:rStyle w:val="LineNumber"/>
          <w:b w:val="0"/>
        </w:rPr>
        <w:t xml:space="preserve">in the </w:t>
      </w:r>
      <w:r w:rsidR="00BB3837">
        <w:rPr>
          <w:rStyle w:val="LineNumber"/>
          <w:b w:val="0"/>
        </w:rPr>
        <w:t>“</w:t>
      </w:r>
      <w:r w:rsidR="0078412F">
        <w:rPr>
          <w:rStyle w:val="LineNumber"/>
          <w:b w:val="0"/>
        </w:rPr>
        <w:t>Revenue</w:t>
      </w:r>
      <w:r w:rsidR="00BB3837">
        <w:rPr>
          <w:rStyle w:val="LineNumber"/>
          <w:b w:val="0"/>
        </w:rPr>
        <w:t>”</w:t>
      </w:r>
      <w:r w:rsidR="0078412F">
        <w:rPr>
          <w:rStyle w:val="LineNumber"/>
          <w:b w:val="0"/>
        </w:rPr>
        <w:t xml:space="preserve"> bar </w:t>
      </w:r>
      <w:r w:rsidR="0063092F">
        <w:rPr>
          <w:rStyle w:val="LineNumber"/>
          <w:b w:val="0"/>
        </w:rPr>
        <w:t xml:space="preserve">reflect the improved </w:t>
      </w:r>
      <w:r w:rsidR="0078412F">
        <w:rPr>
          <w:rStyle w:val="LineNumber"/>
          <w:b w:val="0"/>
        </w:rPr>
        <w:t>r</w:t>
      </w:r>
      <w:r>
        <w:rPr>
          <w:rStyle w:val="LineNumber"/>
          <w:b w:val="0"/>
        </w:rPr>
        <w:t xml:space="preserve">evenues in 2013 related to </w:t>
      </w:r>
      <w:r w:rsidR="0063092F">
        <w:rPr>
          <w:rStyle w:val="LineNumber"/>
          <w:b w:val="0"/>
        </w:rPr>
        <w:t xml:space="preserve">the </w:t>
      </w:r>
      <w:r w:rsidR="0063092F">
        <w:rPr>
          <w:rStyle w:val="LineNumber"/>
          <w:b w:val="0"/>
        </w:rPr>
        <w:lastRenderedPageBreak/>
        <w:t xml:space="preserve">last rate case settlement agreement that reflected improved revenues related to attrition, and the one-time revenue </w:t>
      </w:r>
      <w:proofErr w:type="gramStart"/>
      <w:r w:rsidR="0063092F">
        <w:rPr>
          <w:rStyle w:val="LineNumber"/>
          <w:b w:val="0"/>
        </w:rPr>
        <w:t>benefit</w:t>
      </w:r>
      <w:proofErr w:type="gramEnd"/>
      <w:r w:rsidR="0063092F">
        <w:rPr>
          <w:rStyle w:val="LineNumber"/>
          <w:b w:val="0"/>
        </w:rPr>
        <w:t xml:space="preserve"> from the sharing of the BPA settlement revenues.  The </w:t>
      </w:r>
      <w:r w:rsidR="00BB3837">
        <w:rPr>
          <w:rStyle w:val="LineNumber"/>
          <w:b w:val="0"/>
        </w:rPr>
        <w:t>“</w:t>
      </w:r>
      <w:r w:rsidR="0063092F">
        <w:rPr>
          <w:rStyle w:val="LineNumber"/>
          <w:b w:val="0"/>
        </w:rPr>
        <w:t>Revenue</w:t>
      </w:r>
      <w:r w:rsidR="00BB3837">
        <w:rPr>
          <w:rStyle w:val="LineNumber"/>
          <w:b w:val="0"/>
        </w:rPr>
        <w:t>”</w:t>
      </w:r>
      <w:r w:rsidR="0063092F">
        <w:rPr>
          <w:rStyle w:val="LineNumber"/>
          <w:b w:val="0"/>
        </w:rPr>
        <w:t xml:space="preserve"> and </w:t>
      </w:r>
      <w:r w:rsidR="00BB3837">
        <w:rPr>
          <w:rStyle w:val="LineNumber"/>
          <w:b w:val="0"/>
        </w:rPr>
        <w:t>“</w:t>
      </w:r>
      <w:r w:rsidR="0063092F">
        <w:rPr>
          <w:rStyle w:val="LineNumber"/>
          <w:b w:val="0"/>
        </w:rPr>
        <w:t>Cost</w:t>
      </w:r>
      <w:r w:rsidR="00BB3837">
        <w:rPr>
          <w:rStyle w:val="LineNumber"/>
          <w:b w:val="0"/>
        </w:rPr>
        <w:t>s”</w:t>
      </w:r>
      <w:r w:rsidR="0063092F">
        <w:rPr>
          <w:rStyle w:val="LineNumber"/>
          <w:b w:val="0"/>
        </w:rPr>
        <w:t xml:space="preserve"> bars are equal which is refle</w:t>
      </w:r>
      <w:r w:rsidR="0078412F">
        <w:rPr>
          <w:rStyle w:val="LineNumber"/>
          <w:b w:val="0"/>
        </w:rPr>
        <w:t>ctive of r</w:t>
      </w:r>
      <w:r w:rsidR="0063092F">
        <w:rPr>
          <w:rStyle w:val="LineNumber"/>
          <w:b w:val="0"/>
        </w:rPr>
        <w:t>evenues in 2013 being sufficient to cover Avista’s costs in 2013, and provide a return on investment equal to that authorized by the Commission.</w:t>
      </w:r>
    </w:p>
    <w:p w:rsidR="003C6C05" w:rsidRPr="005E5868" w:rsidRDefault="00814498" w:rsidP="003C6C05">
      <w:pPr>
        <w:pStyle w:val="BodyTextIndent"/>
        <w:tabs>
          <w:tab w:val="left" w:pos="1440"/>
        </w:tabs>
        <w:ind w:right="-432" w:firstLine="720"/>
        <w:jc w:val="both"/>
        <w:rPr>
          <w:rStyle w:val="LineNumber"/>
          <w:bCs w:val="0"/>
          <w:u w:val="single"/>
        </w:rPr>
      </w:pPr>
      <w:r>
        <w:rPr>
          <w:rStyle w:val="LineNumber"/>
          <w:bCs w:val="0"/>
          <w:u w:val="single"/>
        </w:rPr>
        <w:t>Illustration No. 2</w:t>
      </w:r>
    </w:p>
    <w:p w:rsidR="003C6C05" w:rsidRDefault="007D7547" w:rsidP="00371FF5">
      <w:pPr>
        <w:pStyle w:val="BodyTextIndent"/>
        <w:tabs>
          <w:tab w:val="left" w:pos="1440"/>
        </w:tabs>
        <w:ind w:right="-432" w:firstLine="720"/>
        <w:jc w:val="both"/>
        <w:rPr>
          <w:rStyle w:val="LineNumber"/>
          <w:b w:val="0"/>
        </w:rPr>
      </w:pPr>
      <w:r w:rsidRPr="007D7547">
        <w:rPr>
          <w:noProof/>
        </w:rPr>
        <w:drawing>
          <wp:anchor distT="0" distB="0" distL="114300" distR="114300" simplePos="0" relativeHeight="251676672" behindDoc="0" locked="0" layoutInCell="1" allowOverlap="1">
            <wp:simplePos x="0" y="0"/>
            <wp:positionH relativeFrom="column">
              <wp:posOffset>474714</wp:posOffset>
            </wp:positionH>
            <wp:positionV relativeFrom="paragraph">
              <wp:posOffset>1153</wp:posOffset>
            </wp:positionV>
            <wp:extent cx="4990940" cy="3911208"/>
            <wp:effectExtent l="19050" t="0" r="0" b="0"/>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4990940" cy="3911208"/>
                    </a:xfrm>
                    <a:prstGeom prst="rect">
                      <a:avLst/>
                    </a:prstGeom>
                    <a:noFill/>
                    <a:ln w="9525">
                      <a:noFill/>
                      <a:miter lim="800000"/>
                      <a:headEnd/>
                      <a:tailEnd/>
                    </a:ln>
                  </pic:spPr>
                </pic:pic>
              </a:graphicData>
            </a:graphic>
          </wp:anchor>
        </w:drawing>
      </w:r>
    </w:p>
    <w:p w:rsidR="003C6C05" w:rsidRDefault="003C6C05" w:rsidP="00371FF5">
      <w:pPr>
        <w:pStyle w:val="BodyTextIndent"/>
        <w:tabs>
          <w:tab w:val="left" w:pos="1440"/>
        </w:tabs>
        <w:ind w:right="-432" w:firstLine="720"/>
        <w:jc w:val="both"/>
        <w:rPr>
          <w:rStyle w:val="LineNumber"/>
          <w:b w:val="0"/>
        </w:rPr>
      </w:pPr>
    </w:p>
    <w:p w:rsidR="003C6C05" w:rsidRDefault="003C6C05" w:rsidP="00371FF5">
      <w:pPr>
        <w:pStyle w:val="BodyTextIndent"/>
        <w:tabs>
          <w:tab w:val="left" w:pos="1440"/>
        </w:tabs>
        <w:ind w:right="-432" w:firstLine="720"/>
        <w:jc w:val="both"/>
        <w:rPr>
          <w:rStyle w:val="LineNumber"/>
          <w:b w:val="0"/>
        </w:rPr>
      </w:pPr>
    </w:p>
    <w:p w:rsidR="003C6C05" w:rsidRDefault="003C6C05" w:rsidP="00371FF5">
      <w:pPr>
        <w:pStyle w:val="BodyTextIndent"/>
        <w:tabs>
          <w:tab w:val="left" w:pos="1440"/>
        </w:tabs>
        <w:ind w:right="-432" w:firstLine="720"/>
        <w:jc w:val="both"/>
        <w:rPr>
          <w:rStyle w:val="LineNumber"/>
          <w:b w:val="0"/>
        </w:rPr>
      </w:pPr>
    </w:p>
    <w:p w:rsidR="003C6C05" w:rsidRDefault="003C6C05" w:rsidP="00371FF5">
      <w:pPr>
        <w:pStyle w:val="BodyTextIndent"/>
        <w:tabs>
          <w:tab w:val="left" w:pos="1440"/>
        </w:tabs>
        <w:ind w:right="-432" w:firstLine="720"/>
        <w:jc w:val="both"/>
        <w:rPr>
          <w:rStyle w:val="LineNumber"/>
          <w:b w:val="0"/>
        </w:rPr>
      </w:pPr>
    </w:p>
    <w:p w:rsidR="003C6C05" w:rsidRDefault="003C6C05" w:rsidP="00371FF5">
      <w:pPr>
        <w:pStyle w:val="BodyTextIndent"/>
        <w:tabs>
          <w:tab w:val="left" w:pos="1440"/>
        </w:tabs>
        <w:ind w:right="-432" w:firstLine="720"/>
        <w:jc w:val="both"/>
        <w:rPr>
          <w:rStyle w:val="LineNumber"/>
          <w:b w:val="0"/>
        </w:rPr>
      </w:pPr>
    </w:p>
    <w:p w:rsidR="003C6C05" w:rsidRDefault="003C6C05" w:rsidP="00371FF5">
      <w:pPr>
        <w:pStyle w:val="BodyTextIndent"/>
        <w:tabs>
          <w:tab w:val="left" w:pos="1440"/>
        </w:tabs>
        <w:ind w:right="-432" w:firstLine="720"/>
        <w:jc w:val="both"/>
        <w:rPr>
          <w:rStyle w:val="LineNumber"/>
          <w:b w:val="0"/>
        </w:rPr>
      </w:pPr>
    </w:p>
    <w:p w:rsidR="003C6C05" w:rsidRDefault="003C6C05" w:rsidP="00371FF5">
      <w:pPr>
        <w:pStyle w:val="BodyTextIndent"/>
        <w:tabs>
          <w:tab w:val="left" w:pos="1440"/>
        </w:tabs>
        <w:ind w:right="-432" w:firstLine="720"/>
        <w:jc w:val="both"/>
        <w:rPr>
          <w:rStyle w:val="LineNumber"/>
          <w:b w:val="0"/>
        </w:rPr>
      </w:pPr>
    </w:p>
    <w:p w:rsidR="003C6C05" w:rsidRDefault="003C6C05" w:rsidP="00371FF5">
      <w:pPr>
        <w:pStyle w:val="BodyTextIndent"/>
        <w:tabs>
          <w:tab w:val="left" w:pos="1440"/>
        </w:tabs>
        <w:ind w:right="-432" w:firstLine="720"/>
        <w:jc w:val="both"/>
        <w:rPr>
          <w:rStyle w:val="LineNumber"/>
          <w:b w:val="0"/>
        </w:rPr>
      </w:pPr>
    </w:p>
    <w:p w:rsidR="003C6C05" w:rsidRDefault="003C6C05" w:rsidP="00371FF5">
      <w:pPr>
        <w:pStyle w:val="BodyTextIndent"/>
        <w:tabs>
          <w:tab w:val="left" w:pos="1440"/>
        </w:tabs>
        <w:ind w:right="-432" w:firstLine="720"/>
        <w:jc w:val="both"/>
        <w:rPr>
          <w:rStyle w:val="LineNumber"/>
          <w:b w:val="0"/>
        </w:rPr>
      </w:pPr>
    </w:p>
    <w:p w:rsidR="003C6C05" w:rsidRDefault="003C6C05" w:rsidP="00371FF5">
      <w:pPr>
        <w:pStyle w:val="BodyTextIndent"/>
        <w:tabs>
          <w:tab w:val="left" w:pos="1440"/>
        </w:tabs>
        <w:ind w:right="-432" w:firstLine="720"/>
        <w:jc w:val="both"/>
        <w:rPr>
          <w:rStyle w:val="LineNumber"/>
          <w:b w:val="0"/>
        </w:rPr>
      </w:pPr>
    </w:p>
    <w:p w:rsidR="003C6C05" w:rsidRDefault="003C6C05" w:rsidP="000B4B03">
      <w:pPr>
        <w:pStyle w:val="BodyTextIndent"/>
        <w:tabs>
          <w:tab w:val="left" w:pos="1440"/>
        </w:tabs>
        <w:ind w:right="-432"/>
        <w:jc w:val="both"/>
        <w:rPr>
          <w:rStyle w:val="LineNumber"/>
          <w:b w:val="0"/>
        </w:rPr>
      </w:pPr>
    </w:p>
    <w:p w:rsidR="00B21A2B" w:rsidRPr="00773733" w:rsidRDefault="00B21A2B" w:rsidP="00371FF5">
      <w:pPr>
        <w:pStyle w:val="BodyTextIndent"/>
        <w:tabs>
          <w:tab w:val="left" w:pos="1440"/>
        </w:tabs>
        <w:ind w:right="-432" w:firstLine="720"/>
        <w:jc w:val="both"/>
        <w:rPr>
          <w:rStyle w:val="LineNumber"/>
        </w:rPr>
      </w:pPr>
      <w:r w:rsidRPr="00773733">
        <w:rPr>
          <w:rStyle w:val="LineNumber"/>
        </w:rPr>
        <w:t>Q.</w:t>
      </w:r>
      <w:r w:rsidRPr="00773733">
        <w:rPr>
          <w:rStyle w:val="LineNumber"/>
        </w:rPr>
        <w:tab/>
        <w:t xml:space="preserve">What </w:t>
      </w:r>
      <w:r w:rsidR="004F7900">
        <w:rPr>
          <w:rStyle w:val="LineNumber"/>
        </w:rPr>
        <w:t>does this imply</w:t>
      </w:r>
      <w:r w:rsidR="00773733" w:rsidRPr="00773733">
        <w:rPr>
          <w:rStyle w:val="LineNumber"/>
        </w:rPr>
        <w:t xml:space="preserve"> for </w:t>
      </w:r>
      <w:r w:rsidR="004F7900">
        <w:rPr>
          <w:rStyle w:val="LineNumber"/>
        </w:rPr>
        <w:t xml:space="preserve">ratemaking in </w:t>
      </w:r>
      <w:r w:rsidR="00773733" w:rsidRPr="00773733">
        <w:rPr>
          <w:rStyle w:val="LineNumber"/>
        </w:rPr>
        <w:t>this rate case filing?</w:t>
      </w:r>
    </w:p>
    <w:p w:rsidR="0087704E" w:rsidRDefault="00773733" w:rsidP="00371FF5">
      <w:pPr>
        <w:pStyle w:val="BodyTextIndent"/>
        <w:tabs>
          <w:tab w:val="left" w:pos="1440"/>
        </w:tabs>
        <w:ind w:right="-432" w:firstLine="720"/>
        <w:jc w:val="both"/>
        <w:rPr>
          <w:rStyle w:val="LineNumber"/>
          <w:b w:val="0"/>
        </w:rPr>
      </w:pPr>
      <w:r>
        <w:rPr>
          <w:rStyle w:val="LineNumber"/>
          <w:b w:val="0"/>
        </w:rPr>
        <w:t>A.</w:t>
      </w:r>
      <w:r>
        <w:rPr>
          <w:rStyle w:val="LineNumber"/>
          <w:b w:val="0"/>
        </w:rPr>
        <w:tab/>
      </w:r>
      <w:r w:rsidR="00103DE0">
        <w:rPr>
          <w:rStyle w:val="LineNumber"/>
          <w:b w:val="0"/>
        </w:rPr>
        <w:t xml:space="preserve">Mr. Morris </w:t>
      </w:r>
      <w:r w:rsidR="00022175">
        <w:rPr>
          <w:rStyle w:val="LineNumber"/>
          <w:b w:val="0"/>
        </w:rPr>
        <w:t xml:space="preserve">explained in his testimony </w:t>
      </w:r>
      <w:r w:rsidR="00103DE0">
        <w:rPr>
          <w:rStyle w:val="LineNumber"/>
          <w:b w:val="0"/>
        </w:rPr>
        <w:t xml:space="preserve">that </w:t>
      </w:r>
      <w:r w:rsidR="00022175">
        <w:rPr>
          <w:rStyle w:val="LineNumber"/>
          <w:b w:val="0"/>
        </w:rPr>
        <w:t xml:space="preserve">the implementation of the VSIP met our expectations, and </w:t>
      </w:r>
      <w:r w:rsidR="00103DE0">
        <w:rPr>
          <w:rStyle w:val="LineNumber"/>
          <w:b w:val="0"/>
        </w:rPr>
        <w:t xml:space="preserve">that </w:t>
      </w:r>
      <w:r w:rsidR="00022175">
        <w:rPr>
          <w:rStyle w:val="LineNumber"/>
          <w:b w:val="0"/>
        </w:rPr>
        <w:t>senior management has a process in place to closely monitor headcount going forward to minimize costs w</w:t>
      </w:r>
      <w:r w:rsidR="00116F61">
        <w:rPr>
          <w:rStyle w:val="LineNumber"/>
          <w:b w:val="0"/>
        </w:rPr>
        <w:t>h</w:t>
      </w:r>
      <w:r w:rsidR="00022175">
        <w:rPr>
          <w:rStyle w:val="LineNumber"/>
          <w:b w:val="0"/>
        </w:rPr>
        <w:t>ere possible.  In addition, Mr. Morris explained the recent decisions to further reduce costs by eliminating Avista</w:t>
      </w:r>
      <w:r w:rsidR="007A6694">
        <w:rPr>
          <w:rStyle w:val="LineNumber"/>
          <w:b w:val="0"/>
        </w:rPr>
        <w:t>’s</w:t>
      </w:r>
      <w:r w:rsidR="00022175">
        <w:rPr>
          <w:rStyle w:val="LineNumber"/>
          <w:b w:val="0"/>
        </w:rPr>
        <w:t xml:space="preserve"> defined benefit pension plan </w:t>
      </w:r>
      <w:r w:rsidR="00022175">
        <w:rPr>
          <w:rStyle w:val="LineNumber"/>
          <w:b w:val="0"/>
        </w:rPr>
        <w:lastRenderedPageBreak/>
        <w:t>for new hires effective January 1, 2014, as well as transition</w:t>
      </w:r>
      <w:r w:rsidR="007A6694">
        <w:rPr>
          <w:rStyle w:val="LineNumber"/>
          <w:b w:val="0"/>
        </w:rPr>
        <w:t>ing</w:t>
      </w:r>
      <w:r w:rsidR="00022175">
        <w:rPr>
          <w:rStyle w:val="LineNumber"/>
          <w:b w:val="0"/>
        </w:rPr>
        <w:t xml:space="preserve"> out of funding post-retirement medica</w:t>
      </w:r>
      <w:r w:rsidR="00451CF4">
        <w:rPr>
          <w:rStyle w:val="LineNumber"/>
          <w:b w:val="0"/>
        </w:rPr>
        <w:t>l care for new hires beginning</w:t>
      </w:r>
      <w:r w:rsidR="00022175">
        <w:rPr>
          <w:rStyle w:val="LineNumber"/>
          <w:b w:val="0"/>
        </w:rPr>
        <w:t xml:space="preserve"> January 2014</w:t>
      </w:r>
      <w:r w:rsidR="00451CF4">
        <w:rPr>
          <w:rStyle w:val="LineNumber"/>
          <w:b w:val="0"/>
        </w:rPr>
        <w:t>, and for all retirees beginning in 2015.</w:t>
      </w:r>
      <w:r w:rsidR="00022175">
        <w:rPr>
          <w:rStyle w:val="LineNumber"/>
          <w:b w:val="0"/>
        </w:rPr>
        <w:t xml:space="preserve">  </w:t>
      </w:r>
      <w:r w:rsidR="007A6694">
        <w:rPr>
          <w:rStyle w:val="LineNumber"/>
          <w:b w:val="0"/>
        </w:rPr>
        <w:t>The benefits from the reduced employee complement through VSIP, as well as reduced costs associated with the changes in pens</w:t>
      </w:r>
      <w:r w:rsidR="00451CF4">
        <w:rPr>
          <w:rStyle w:val="LineNumber"/>
          <w:b w:val="0"/>
        </w:rPr>
        <w:t>ion and post-retirement medical have been passed on to customers</w:t>
      </w:r>
      <w:r w:rsidR="00085CFB">
        <w:rPr>
          <w:rStyle w:val="LineNumber"/>
          <w:b w:val="0"/>
        </w:rPr>
        <w:t xml:space="preserve"> through this filing</w:t>
      </w:r>
      <w:r w:rsidR="00451CF4">
        <w:rPr>
          <w:rStyle w:val="LineNumber"/>
          <w:b w:val="0"/>
        </w:rPr>
        <w:t>, and have served to lower our revenue increase request</w:t>
      </w:r>
      <w:r w:rsidR="00085CFB">
        <w:rPr>
          <w:rStyle w:val="LineNumber"/>
          <w:b w:val="0"/>
        </w:rPr>
        <w:t>s</w:t>
      </w:r>
      <w:r w:rsidR="00451CF4">
        <w:rPr>
          <w:rStyle w:val="LineNumber"/>
          <w:b w:val="0"/>
        </w:rPr>
        <w:t>.</w:t>
      </w:r>
      <w:r w:rsidR="007A6694">
        <w:rPr>
          <w:rStyle w:val="LineNumber"/>
          <w:b w:val="0"/>
        </w:rPr>
        <w:t xml:space="preserve">  </w:t>
      </w:r>
    </w:p>
    <w:p w:rsidR="00D95ED8" w:rsidRDefault="002D3B02" w:rsidP="00371FF5">
      <w:pPr>
        <w:pStyle w:val="BodyTextIndent"/>
        <w:tabs>
          <w:tab w:val="left" w:pos="1440"/>
        </w:tabs>
        <w:ind w:right="-432" w:firstLine="720"/>
        <w:jc w:val="both"/>
        <w:rPr>
          <w:rStyle w:val="LineNumber"/>
          <w:b w:val="0"/>
        </w:rPr>
      </w:pPr>
      <w:r>
        <w:rPr>
          <w:rStyle w:val="LineNumber"/>
          <w:b w:val="0"/>
        </w:rPr>
        <w:t xml:space="preserve">The evidence Avista has presented in this filing shows that the Company continues to experience attrition.  </w:t>
      </w:r>
      <w:r w:rsidR="0007528A">
        <w:rPr>
          <w:rStyle w:val="LineNumber"/>
          <w:b w:val="0"/>
        </w:rPr>
        <w:t>As I noted earlier, the Commission</w:t>
      </w:r>
      <w:r w:rsidR="00D95ED8">
        <w:rPr>
          <w:rStyle w:val="LineNumber"/>
          <w:b w:val="0"/>
        </w:rPr>
        <w:t xml:space="preserve"> Staff recognized</w:t>
      </w:r>
      <w:r w:rsidR="00853B26">
        <w:rPr>
          <w:rStyle w:val="LineNumber"/>
          <w:b w:val="0"/>
        </w:rPr>
        <w:t xml:space="preserve"> that</w:t>
      </w:r>
      <w:r w:rsidR="00D95ED8">
        <w:rPr>
          <w:rStyle w:val="LineNumber"/>
          <w:b w:val="0"/>
        </w:rPr>
        <w:t>, “</w:t>
      </w:r>
      <w:r w:rsidR="00D2636D">
        <w:rPr>
          <w:rStyle w:val="LineNumber"/>
          <w:b w:val="0"/>
          <w:bCs w:val="0"/>
        </w:rPr>
        <w:t>This is not a one-time phenomenon, because the historical trends demonstrate attrition is present and ongoing.”</w:t>
      </w:r>
      <w:r w:rsidR="00355304">
        <w:rPr>
          <w:rStyle w:val="FootnoteReference"/>
          <w:rFonts w:ascii="Times New Roman" w:hAnsi="Times New Roman"/>
          <w:b w:val="0"/>
          <w:bCs w:val="0"/>
        </w:rPr>
        <w:footnoteReference w:id="7"/>
      </w:r>
      <w:r w:rsidR="00D2636D">
        <w:rPr>
          <w:rStyle w:val="LineNumber"/>
          <w:b w:val="0"/>
          <w:bCs w:val="0"/>
        </w:rPr>
        <w:t xml:space="preserve">  </w:t>
      </w:r>
    </w:p>
    <w:p w:rsidR="002D3B02" w:rsidRDefault="002D3B02" w:rsidP="00371FF5">
      <w:pPr>
        <w:pStyle w:val="BodyTextIndent"/>
        <w:tabs>
          <w:tab w:val="left" w:pos="1440"/>
        </w:tabs>
        <w:ind w:right="-432" w:firstLine="720"/>
        <w:jc w:val="both"/>
        <w:rPr>
          <w:rStyle w:val="LineNumber"/>
          <w:b w:val="0"/>
        </w:rPr>
      </w:pPr>
      <w:r>
        <w:rPr>
          <w:rStyle w:val="LineNumber"/>
          <w:b w:val="0"/>
        </w:rPr>
        <w:t xml:space="preserve">I will </w:t>
      </w:r>
      <w:r w:rsidR="003C3986">
        <w:rPr>
          <w:rStyle w:val="LineNumber"/>
          <w:b w:val="0"/>
        </w:rPr>
        <w:t>explain</w:t>
      </w:r>
      <w:r>
        <w:rPr>
          <w:rStyle w:val="LineNumber"/>
          <w:b w:val="0"/>
        </w:rPr>
        <w:t xml:space="preserve"> this </w:t>
      </w:r>
      <w:r w:rsidR="00DD7728">
        <w:rPr>
          <w:rStyle w:val="LineNumber"/>
          <w:b w:val="0"/>
        </w:rPr>
        <w:t xml:space="preserve">ongoing </w:t>
      </w:r>
      <w:r>
        <w:rPr>
          <w:rStyle w:val="LineNumber"/>
          <w:b w:val="0"/>
        </w:rPr>
        <w:t xml:space="preserve">attrition immediately below in my testimony, and </w:t>
      </w:r>
      <w:r w:rsidR="00893010">
        <w:rPr>
          <w:rStyle w:val="LineNumber"/>
          <w:b w:val="0"/>
        </w:rPr>
        <w:t xml:space="preserve">Company witness </w:t>
      </w:r>
      <w:r>
        <w:rPr>
          <w:rStyle w:val="LineNumber"/>
          <w:b w:val="0"/>
        </w:rPr>
        <w:t xml:space="preserve">Ms. Andrews sponsors a detailed attrition study which demonstrates the revenue increases necessary to address attrition.  </w:t>
      </w:r>
      <w:r w:rsidR="003C3986">
        <w:rPr>
          <w:rStyle w:val="LineNumber"/>
          <w:b w:val="0"/>
        </w:rPr>
        <w:t>Absent the opportunity for</w:t>
      </w:r>
      <w:r>
        <w:rPr>
          <w:rStyle w:val="LineNumber"/>
          <w:b w:val="0"/>
        </w:rPr>
        <w:t xml:space="preserve"> one-time benefits, such as the BPA settlement, it will be very important that the revenue increases granted in this case reflect the full effect </w:t>
      </w:r>
      <w:r w:rsidR="003C43CC">
        <w:rPr>
          <w:rStyle w:val="LineNumber"/>
          <w:b w:val="0"/>
        </w:rPr>
        <w:t>of attrition on the Company, in order for Avista to have the opportun</w:t>
      </w:r>
      <w:r w:rsidR="003C3986">
        <w:rPr>
          <w:rStyle w:val="LineNumber"/>
          <w:b w:val="0"/>
        </w:rPr>
        <w:t>ity to earn a reasonable return in 2015.</w:t>
      </w:r>
    </w:p>
    <w:p w:rsidR="00893010" w:rsidRDefault="00893010" w:rsidP="00371FF5">
      <w:pPr>
        <w:pStyle w:val="BodyTextIndent"/>
        <w:tabs>
          <w:tab w:val="left" w:pos="1440"/>
        </w:tabs>
        <w:ind w:right="-432" w:firstLine="720"/>
        <w:jc w:val="both"/>
        <w:rPr>
          <w:rStyle w:val="LineNumber"/>
          <w:b w:val="0"/>
        </w:rPr>
      </w:pPr>
    </w:p>
    <w:p w:rsidR="008B6B02" w:rsidRPr="008F74AB" w:rsidRDefault="008B6B02" w:rsidP="005E5868">
      <w:pPr>
        <w:spacing w:line="480" w:lineRule="auto"/>
        <w:ind w:right="-432"/>
        <w:jc w:val="center"/>
        <w:rPr>
          <w:b/>
          <w:u w:val="single"/>
        </w:rPr>
      </w:pPr>
      <w:r>
        <w:rPr>
          <w:b/>
          <w:u w:val="single"/>
        </w:rPr>
        <w:t>III</w:t>
      </w:r>
      <w:proofErr w:type="gramStart"/>
      <w:r>
        <w:rPr>
          <w:b/>
          <w:u w:val="single"/>
        </w:rPr>
        <w:t>.  ONGOING</w:t>
      </w:r>
      <w:proofErr w:type="gramEnd"/>
      <w:r>
        <w:rPr>
          <w:b/>
          <w:u w:val="single"/>
        </w:rPr>
        <w:t xml:space="preserve"> ATTRITION</w:t>
      </w:r>
    </w:p>
    <w:p w:rsidR="000533C4" w:rsidRPr="00FF430F" w:rsidRDefault="00231ABF" w:rsidP="00371FF5">
      <w:pPr>
        <w:pStyle w:val="BodyTextIndent"/>
        <w:tabs>
          <w:tab w:val="left" w:pos="1440"/>
        </w:tabs>
        <w:ind w:right="-432" w:firstLine="720"/>
        <w:jc w:val="both"/>
        <w:rPr>
          <w:rStyle w:val="LineNumber"/>
          <w:bCs w:val="0"/>
        </w:rPr>
      </w:pPr>
      <w:r w:rsidRPr="00FF430F">
        <w:rPr>
          <w:rStyle w:val="LineNumber"/>
          <w:bCs w:val="0"/>
        </w:rPr>
        <w:t>Q.</w:t>
      </w:r>
      <w:r w:rsidRPr="00FF430F">
        <w:rPr>
          <w:rStyle w:val="LineNumber"/>
          <w:bCs w:val="0"/>
        </w:rPr>
        <w:tab/>
      </w:r>
      <w:proofErr w:type="gramStart"/>
      <w:r w:rsidR="00C231EF" w:rsidRPr="00FF430F">
        <w:rPr>
          <w:rStyle w:val="LineNumber"/>
          <w:bCs w:val="0"/>
        </w:rPr>
        <w:t>Before</w:t>
      </w:r>
      <w:proofErr w:type="gramEnd"/>
      <w:r w:rsidR="00C231EF" w:rsidRPr="00FF430F">
        <w:rPr>
          <w:rStyle w:val="LineNumber"/>
          <w:bCs w:val="0"/>
        </w:rPr>
        <w:t xml:space="preserve"> you </w:t>
      </w:r>
      <w:r w:rsidR="00002677">
        <w:rPr>
          <w:rStyle w:val="LineNumber"/>
          <w:bCs w:val="0"/>
        </w:rPr>
        <w:t>continue</w:t>
      </w:r>
      <w:r w:rsidR="00C231EF" w:rsidRPr="00FF430F">
        <w:rPr>
          <w:rStyle w:val="LineNumber"/>
          <w:bCs w:val="0"/>
        </w:rPr>
        <w:t xml:space="preserve"> your discussion of on</w:t>
      </w:r>
      <w:r w:rsidR="005F2BCD" w:rsidRPr="00FF430F">
        <w:rPr>
          <w:rStyle w:val="LineNumber"/>
          <w:bCs w:val="0"/>
        </w:rPr>
        <w:t>going attrition, would you please define attrition?</w:t>
      </w:r>
    </w:p>
    <w:p w:rsidR="005F2BCD" w:rsidRDefault="005F2BCD" w:rsidP="00371FF5">
      <w:pPr>
        <w:pStyle w:val="BodyTextIndent"/>
        <w:tabs>
          <w:tab w:val="left" w:pos="1440"/>
        </w:tabs>
        <w:ind w:right="-432" w:firstLine="720"/>
        <w:jc w:val="both"/>
        <w:rPr>
          <w:rStyle w:val="LineNumber"/>
          <w:b w:val="0"/>
          <w:bCs w:val="0"/>
        </w:rPr>
      </w:pPr>
      <w:r>
        <w:rPr>
          <w:rStyle w:val="LineNumber"/>
          <w:b w:val="0"/>
          <w:bCs w:val="0"/>
        </w:rPr>
        <w:t>A.</w:t>
      </w:r>
      <w:r>
        <w:rPr>
          <w:rStyle w:val="LineNumber"/>
          <w:b w:val="0"/>
          <w:bCs w:val="0"/>
        </w:rPr>
        <w:tab/>
        <w:t xml:space="preserve">Yes.  </w:t>
      </w:r>
      <w:r w:rsidR="00002677">
        <w:rPr>
          <w:rStyle w:val="LineNumber"/>
          <w:b w:val="0"/>
          <w:bCs w:val="0"/>
        </w:rPr>
        <w:t>I agree with the definition</w:t>
      </w:r>
      <w:r w:rsidR="00CB6E58">
        <w:rPr>
          <w:rStyle w:val="LineNumber"/>
          <w:b w:val="0"/>
          <w:bCs w:val="0"/>
        </w:rPr>
        <w:t xml:space="preserve"> of attrition</w:t>
      </w:r>
      <w:r w:rsidR="00002677">
        <w:rPr>
          <w:rStyle w:val="LineNumber"/>
          <w:b w:val="0"/>
          <w:bCs w:val="0"/>
        </w:rPr>
        <w:t xml:space="preserve"> that </w:t>
      </w:r>
      <w:r w:rsidR="00CB6E58">
        <w:rPr>
          <w:rStyle w:val="LineNumber"/>
          <w:b w:val="0"/>
          <w:bCs w:val="0"/>
        </w:rPr>
        <w:t xml:space="preserve">the </w:t>
      </w:r>
      <w:r w:rsidR="0090397B">
        <w:rPr>
          <w:rStyle w:val="LineNumber"/>
          <w:b w:val="0"/>
          <w:bCs w:val="0"/>
        </w:rPr>
        <w:t>Commission</w:t>
      </w:r>
      <w:r w:rsidR="00002677">
        <w:rPr>
          <w:rStyle w:val="LineNumber"/>
          <w:b w:val="0"/>
          <w:bCs w:val="0"/>
        </w:rPr>
        <w:t xml:space="preserve"> Staff has presented to the Commission i</w:t>
      </w:r>
      <w:r w:rsidR="00F83447">
        <w:rPr>
          <w:rStyle w:val="LineNumber"/>
          <w:b w:val="0"/>
          <w:bCs w:val="0"/>
        </w:rPr>
        <w:t>n prior dockets:</w:t>
      </w:r>
    </w:p>
    <w:p w:rsidR="00BB3837" w:rsidRDefault="00BB3837" w:rsidP="002F66D7">
      <w:pPr>
        <w:pStyle w:val="BodyTextIndent"/>
        <w:tabs>
          <w:tab w:val="left" w:pos="1440"/>
        </w:tabs>
        <w:spacing w:line="240" w:lineRule="auto"/>
        <w:ind w:left="720" w:right="-432"/>
        <w:jc w:val="both"/>
        <w:rPr>
          <w:rStyle w:val="LineNumber"/>
          <w:b w:val="0"/>
          <w:bCs w:val="0"/>
        </w:rPr>
      </w:pPr>
    </w:p>
    <w:p w:rsidR="00F83447" w:rsidRDefault="00F83447" w:rsidP="002F66D7">
      <w:pPr>
        <w:pStyle w:val="BodyTextIndent"/>
        <w:tabs>
          <w:tab w:val="left" w:pos="1440"/>
        </w:tabs>
        <w:spacing w:line="240" w:lineRule="auto"/>
        <w:ind w:left="720" w:right="-432"/>
        <w:jc w:val="both"/>
        <w:rPr>
          <w:rStyle w:val="LineNumber"/>
          <w:b w:val="0"/>
          <w:bCs w:val="0"/>
        </w:rPr>
      </w:pPr>
      <w:r>
        <w:rPr>
          <w:rStyle w:val="LineNumber"/>
          <w:b w:val="0"/>
          <w:bCs w:val="0"/>
        </w:rPr>
        <w:lastRenderedPageBreak/>
        <w:t xml:space="preserve">The term is typically used to refer to the erosion of a company’s rate of return over time when the historical test period relationship in revenues, expenses and rate base accepted by the Commission in a rate case does not </w:t>
      </w:r>
      <w:r w:rsidR="002F66D7">
        <w:rPr>
          <w:rStyle w:val="LineNumber"/>
          <w:b w:val="0"/>
          <w:bCs w:val="0"/>
        </w:rPr>
        <w:t>hold during a future rate year.</w:t>
      </w:r>
      <w:r w:rsidR="00D2025C">
        <w:rPr>
          <w:rStyle w:val="LineNumber"/>
          <w:b w:val="0"/>
          <w:bCs w:val="0"/>
        </w:rPr>
        <w:t xml:space="preserve"> (Page 64, Exhibit KLE-1T, Dockets UE-111048/UG-111049)</w:t>
      </w:r>
    </w:p>
    <w:p w:rsidR="00BB3837" w:rsidRDefault="00BB3837" w:rsidP="00371FF5">
      <w:pPr>
        <w:pStyle w:val="TestBody"/>
        <w:spacing w:line="480" w:lineRule="auto"/>
        <w:ind w:left="0" w:right="-432" w:firstLine="720"/>
        <w:rPr>
          <w:rStyle w:val="LineNumber"/>
          <w:b/>
        </w:rPr>
      </w:pPr>
    </w:p>
    <w:p w:rsidR="002B26DC" w:rsidRDefault="002D6F6D" w:rsidP="00371FF5">
      <w:pPr>
        <w:pStyle w:val="TestBody"/>
        <w:spacing w:line="480" w:lineRule="auto"/>
        <w:ind w:left="0" w:right="-432" w:firstLine="720"/>
        <w:rPr>
          <w:rFonts w:ascii="Times New Roman" w:hAnsi="Times New Roman" w:cs="Times New Roman"/>
          <w:b/>
        </w:rPr>
      </w:pPr>
      <w:r w:rsidRPr="00893010">
        <w:rPr>
          <w:rStyle w:val="LineNumber"/>
          <w:b/>
        </w:rPr>
        <w:t>Q.</w:t>
      </w:r>
      <w:r w:rsidRPr="00B952E0">
        <w:rPr>
          <w:rStyle w:val="LineNumber"/>
        </w:rPr>
        <w:tab/>
      </w:r>
      <w:r w:rsidR="002B26DC">
        <w:rPr>
          <w:rFonts w:ascii="Times New Roman" w:hAnsi="Times New Roman" w:cs="Times New Roman"/>
          <w:b/>
        </w:rPr>
        <w:t xml:space="preserve">How does Avista’s growth in </w:t>
      </w:r>
      <w:r w:rsidR="007131FD">
        <w:rPr>
          <w:rFonts w:ascii="Times New Roman" w:hAnsi="Times New Roman" w:cs="Times New Roman"/>
          <w:b/>
        </w:rPr>
        <w:t>revenue, expenses and rate base</w:t>
      </w:r>
      <w:r w:rsidR="002B26DC">
        <w:rPr>
          <w:rFonts w:ascii="Times New Roman" w:hAnsi="Times New Roman" w:cs="Times New Roman"/>
          <w:b/>
        </w:rPr>
        <w:t xml:space="preserve"> compare</w:t>
      </w:r>
      <w:r w:rsidR="007131FD">
        <w:rPr>
          <w:rFonts w:ascii="Times New Roman" w:hAnsi="Times New Roman" w:cs="Times New Roman"/>
          <w:b/>
        </w:rPr>
        <w:t xml:space="preserve"> over time</w:t>
      </w:r>
      <w:r w:rsidR="002B26DC">
        <w:rPr>
          <w:rFonts w:ascii="Times New Roman" w:hAnsi="Times New Roman" w:cs="Times New Roman"/>
          <w:b/>
        </w:rPr>
        <w:t>, both for the recent historical period as well as expectations for future years?</w:t>
      </w:r>
    </w:p>
    <w:p w:rsidR="002B26DC" w:rsidRDefault="002B26DC" w:rsidP="00371FF5">
      <w:pPr>
        <w:pStyle w:val="TestBody"/>
        <w:spacing w:line="480" w:lineRule="auto"/>
        <w:ind w:left="0" w:right="-432"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The graph below</w:t>
      </w:r>
      <w:r w:rsidR="005C44B8">
        <w:rPr>
          <w:rFonts w:ascii="Times New Roman" w:hAnsi="Times New Roman" w:cs="Times New Roman"/>
        </w:rPr>
        <w:t>, which is also included in Mr. Morris’s testimony,</w:t>
      </w:r>
      <w:r>
        <w:rPr>
          <w:rFonts w:ascii="Times New Roman" w:hAnsi="Times New Roman" w:cs="Times New Roman"/>
        </w:rPr>
        <w:t xml:space="preserve"> shows actual information for the period 2005 to 2013, and fore</w:t>
      </w:r>
      <w:r w:rsidR="005C44B8">
        <w:rPr>
          <w:rFonts w:ascii="Times New Roman" w:hAnsi="Times New Roman" w:cs="Times New Roman"/>
        </w:rPr>
        <w:t>casted information for 2014</w:t>
      </w:r>
      <w:r>
        <w:rPr>
          <w:rFonts w:ascii="Times New Roman" w:hAnsi="Times New Roman" w:cs="Times New Roman"/>
        </w:rPr>
        <w:t xml:space="preserve"> to 2017.  The red line on the graph shows the actual growth </w:t>
      </w:r>
      <w:r w:rsidR="00DC3FD0">
        <w:rPr>
          <w:rFonts w:ascii="Times New Roman" w:hAnsi="Times New Roman" w:cs="Times New Roman"/>
        </w:rPr>
        <w:t>in net utility plant investment</w:t>
      </w:r>
      <w:r w:rsidR="00E879D7">
        <w:rPr>
          <w:rFonts w:ascii="Times New Roman" w:hAnsi="Times New Roman" w:cs="Times New Roman"/>
        </w:rPr>
        <w:t xml:space="preserve"> through 2013</w:t>
      </w:r>
      <w:r w:rsidR="00DC3FD0">
        <w:rPr>
          <w:rFonts w:ascii="Times New Roman" w:hAnsi="Times New Roman" w:cs="Times New Roman"/>
        </w:rPr>
        <w:t>, which is representative of g</w:t>
      </w:r>
      <w:r w:rsidR="00E879D7">
        <w:rPr>
          <w:rFonts w:ascii="Times New Roman" w:hAnsi="Times New Roman" w:cs="Times New Roman"/>
        </w:rPr>
        <w:t>rowth in rate base,</w:t>
      </w:r>
      <w:r>
        <w:rPr>
          <w:rFonts w:ascii="Times New Roman" w:hAnsi="Times New Roman" w:cs="Times New Roman"/>
        </w:rPr>
        <w:t xml:space="preserve"> </w:t>
      </w:r>
      <w:r w:rsidR="00DC3FD0">
        <w:rPr>
          <w:rFonts w:ascii="Times New Roman" w:hAnsi="Times New Roman" w:cs="Times New Roman"/>
        </w:rPr>
        <w:t>and the expected growth for 2014</w:t>
      </w:r>
      <w:r>
        <w:rPr>
          <w:rFonts w:ascii="Times New Roman" w:hAnsi="Times New Roman" w:cs="Times New Roman"/>
        </w:rPr>
        <w:t xml:space="preserve"> through </w:t>
      </w:r>
      <w:r w:rsidR="00DC3FD0">
        <w:rPr>
          <w:rFonts w:ascii="Times New Roman" w:hAnsi="Times New Roman" w:cs="Times New Roman"/>
        </w:rPr>
        <w:t>2017.</w:t>
      </w:r>
      <w:r w:rsidR="00DC3FD0">
        <w:rPr>
          <w:rStyle w:val="FootnoteReference"/>
          <w:rFonts w:ascii="Times New Roman" w:hAnsi="Times New Roman"/>
        </w:rPr>
        <w:footnoteReference w:id="8"/>
      </w:r>
    </w:p>
    <w:p w:rsidR="00C4567C" w:rsidRPr="00C4567C" w:rsidRDefault="002B26DC" w:rsidP="00371FF5">
      <w:pPr>
        <w:pStyle w:val="TestBody"/>
        <w:spacing w:line="480" w:lineRule="auto"/>
        <w:ind w:left="0" w:right="-432" w:firstLine="720"/>
        <w:rPr>
          <w:rFonts w:ascii="Times New Roman" w:hAnsi="Times New Roman" w:cs="Times New Roman"/>
        </w:rPr>
      </w:pPr>
      <w:r>
        <w:rPr>
          <w:rFonts w:ascii="Times New Roman" w:hAnsi="Times New Roman" w:cs="Times New Roman"/>
        </w:rPr>
        <w:t>The purple and blue lines on the graph show the changes in retail kilowatt-hour (kWh) sales and retail therm sales, respectiv</w:t>
      </w:r>
      <w:r w:rsidR="00BB3837">
        <w:rPr>
          <w:rFonts w:ascii="Times New Roman" w:hAnsi="Times New Roman" w:cs="Times New Roman"/>
        </w:rPr>
        <w:t xml:space="preserve">ely, for the same time period. </w:t>
      </w:r>
      <w:r w:rsidR="00EA1AAF">
        <w:rPr>
          <w:rFonts w:ascii="Times New Roman" w:hAnsi="Times New Roman" w:cs="Times New Roman"/>
        </w:rPr>
        <w:t>The graph</w:t>
      </w:r>
      <w:r w:rsidRPr="00C4567C">
        <w:rPr>
          <w:rFonts w:ascii="Times New Roman" w:hAnsi="Times New Roman" w:cs="Times New Roman"/>
        </w:rPr>
        <w:t xml:space="preserve"> shows this mismatch </w:t>
      </w:r>
      <w:r w:rsidR="00C4567C" w:rsidRPr="00C4567C">
        <w:rPr>
          <w:rFonts w:ascii="Times New Roman" w:hAnsi="Times New Roman" w:cs="Times New Roman"/>
        </w:rPr>
        <w:t xml:space="preserve">in the growth of net plant investment and sales </w:t>
      </w:r>
      <w:r w:rsidRPr="00C4567C">
        <w:rPr>
          <w:rFonts w:ascii="Times New Roman" w:hAnsi="Times New Roman" w:cs="Times New Roman"/>
        </w:rPr>
        <w:t>is forecasted to continue to the future.</w:t>
      </w:r>
      <w:r w:rsidR="000F7DAE" w:rsidRPr="00C4567C">
        <w:rPr>
          <w:rFonts w:ascii="Times New Roman" w:hAnsi="Times New Roman" w:cs="Times New Roman"/>
        </w:rPr>
        <w:t xml:space="preserve">  </w:t>
      </w:r>
    </w:p>
    <w:p w:rsidR="0053740C" w:rsidRDefault="002B26DC" w:rsidP="00371FF5">
      <w:pPr>
        <w:pStyle w:val="TestBody"/>
        <w:spacing w:line="480" w:lineRule="auto"/>
        <w:ind w:left="0" w:right="-432" w:firstLine="720"/>
        <w:rPr>
          <w:rFonts w:ascii="Times New Roman" w:hAnsi="Times New Roman" w:cs="Times New Roman"/>
        </w:rPr>
      </w:pPr>
      <w:r w:rsidRPr="00E71F08">
        <w:rPr>
          <w:rFonts w:ascii="Times New Roman" w:hAnsi="Times New Roman" w:cs="Times New Roman"/>
        </w:rPr>
        <w:t xml:space="preserve">The green line on the graph also shows that non-fuel operations and maintenance (O&amp;M) expenses </w:t>
      </w:r>
      <w:r w:rsidR="00BB3837">
        <w:rPr>
          <w:rFonts w:ascii="Times New Roman" w:hAnsi="Times New Roman" w:cs="Times New Roman"/>
        </w:rPr>
        <w:t xml:space="preserve">and administrative and general (A&amp;G) expenses </w:t>
      </w:r>
      <w:r w:rsidRPr="00E71F08">
        <w:rPr>
          <w:rFonts w:ascii="Times New Roman" w:hAnsi="Times New Roman" w:cs="Times New Roman"/>
        </w:rPr>
        <w:t>are growing at a faster pace than sales.</w:t>
      </w:r>
    </w:p>
    <w:p w:rsidR="00893010" w:rsidRDefault="00893010" w:rsidP="00371FF5">
      <w:pPr>
        <w:pStyle w:val="TestBody"/>
        <w:spacing w:line="480" w:lineRule="auto"/>
        <w:ind w:left="0" w:right="-432" w:firstLine="720"/>
        <w:rPr>
          <w:rFonts w:ascii="Times New Roman" w:hAnsi="Times New Roman" w:cs="Times New Roman"/>
          <w:b/>
          <w:u w:val="single"/>
        </w:rPr>
      </w:pPr>
    </w:p>
    <w:p w:rsidR="00893010" w:rsidRDefault="00893010" w:rsidP="00371FF5">
      <w:pPr>
        <w:pStyle w:val="TestBody"/>
        <w:spacing w:line="480" w:lineRule="auto"/>
        <w:ind w:left="0" w:right="-432" w:firstLine="720"/>
        <w:rPr>
          <w:rFonts w:ascii="Times New Roman" w:hAnsi="Times New Roman" w:cs="Times New Roman"/>
          <w:b/>
          <w:u w:val="single"/>
        </w:rPr>
      </w:pPr>
    </w:p>
    <w:p w:rsidR="00893010" w:rsidRDefault="00893010" w:rsidP="00371FF5">
      <w:pPr>
        <w:pStyle w:val="TestBody"/>
        <w:spacing w:line="480" w:lineRule="auto"/>
        <w:ind w:left="0" w:right="-432" w:firstLine="720"/>
        <w:rPr>
          <w:rFonts w:ascii="Times New Roman" w:hAnsi="Times New Roman" w:cs="Times New Roman"/>
          <w:b/>
          <w:u w:val="single"/>
        </w:rPr>
      </w:pPr>
    </w:p>
    <w:p w:rsidR="00893010" w:rsidRDefault="00893010" w:rsidP="00371FF5">
      <w:pPr>
        <w:pStyle w:val="TestBody"/>
        <w:spacing w:line="480" w:lineRule="auto"/>
        <w:ind w:left="0" w:right="-432" w:firstLine="720"/>
        <w:rPr>
          <w:rFonts w:ascii="Times New Roman" w:hAnsi="Times New Roman" w:cs="Times New Roman"/>
          <w:b/>
          <w:u w:val="single"/>
        </w:rPr>
      </w:pPr>
    </w:p>
    <w:p w:rsidR="00893010" w:rsidRDefault="00893010" w:rsidP="00371FF5">
      <w:pPr>
        <w:pStyle w:val="TestBody"/>
        <w:spacing w:line="480" w:lineRule="auto"/>
        <w:ind w:left="0" w:right="-432" w:firstLine="720"/>
        <w:rPr>
          <w:rFonts w:ascii="Times New Roman" w:hAnsi="Times New Roman" w:cs="Times New Roman"/>
          <w:b/>
          <w:u w:val="single"/>
        </w:rPr>
      </w:pPr>
    </w:p>
    <w:p w:rsidR="00BB3837" w:rsidRDefault="00BB3837" w:rsidP="00371FF5">
      <w:pPr>
        <w:pStyle w:val="TestBody"/>
        <w:spacing w:line="480" w:lineRule="auto"/>
        <w:ind w:left="0" w:right="-432" w:firstLine="720"/>
        <w:rPr>
          <w:rFonts w:ascii="Times New Roman" w:hAnsi="Times New Roman" w:cs="Times New Roman"/>
          <w:b/>
          <w:u w:val="single"/>
        </w:rPr>
      </w:pPr>
    </w:p>
    <w:p w:rsidR="00893010" w:rsidRDefault="00893010" w:rsidP="00371FF5">
      <w:pPr>
        <w:pStyle w:val="TestBody"/>
        <w:spacing w:line="480" w:lineRule="auto"/>
        <w:ind w:left="0" w:right="-432" w:firstLine="720"/>
        <w:rPr>
          <w:rFonts w:ascii="Times New Roman" w:hAnsi="Times New Roman" w:cs="Times New Roman"/>
          <w:b/>
          <w:u w:val="single"/>
        </w:rPr>
      </w:pPr>
    </w:p>
    <w:p w:rsidR="005E0AF3" w:rsidRPr="005E5868" w:rsidRDefault="0090397B" w:rsidP="00371FF5">
      <w:pPr>
        <w:pStyle w:val="TestBody"/>
        <w:spacing w:line="480" w:lineRule="auto"/>
        <w:ind w:left="0" w:right="-432" w:firstLine="720"/>
        <w:rPr>
          <w:rFonts w:ascii="Times New Roman" w:hAnsi="Times New Roman" w:cs="Times New Roman"/>
          <w:b/>
          <w:u w:val="single"/>
        </w:rPr>
      </w:pPr>
      <w:r>
        <w:rPr>
          <w:rFonts w:ascii="Times New Roman" w:hAnsi="Times New Roman" w:cs="Times New Roman"/>
          <w:b/>
          <w:u w:val="single"/>
        </w:rPr>
        <w:lastRenderedPageBreak/>
        <w:t>Illustration No. 3</w:t>
      </w:r>
    </w:p>
    <w:p w:rsidR="0053740C" w:rsidRDefault="005A7590" w:rsidP="002D6F6D">
      <w:pPr>
        <w:pStyle w:val="BodyTextIndent"/>
        <w:tabs>
          <w:tab w:val="left" w:pos="1440"/>
        </w:tabs>
        <w:suppressAutoHyphens w:val="0"/>
        <w:ind w:firstLine="720"/>
        <w:jc w:val="both"/>
        <w:rPr>
          <w:rStyle w:val="LineNumber"/>
          <w:b w:val="0"/>
          <w:bCs w:val="0"/>
        </w:rPr>
      </w:pPr>
      <w:r w:rsidRPr="005A7590">
        <w:rPr>
          <w:noProof/>
        </w:rPr>
        <w:drawing>
          <wp:anchor distT="0" distB="0" distL="114300" distR="114300" simplePos="0" relativeHeight="251673600" behindDoc="0" locked="0" layoutInCell="1" allowOverlap="1">
            <wp:simplePos x="0" y="0"/>
            <wp:positionH relativeFrom="column">
              <wp:posOffset>175036</wp:posOffset>
            </wp:positionH>
            <wp:positionV relativeFrom="paragraph">
              <wp:posOffset>2982</wp:posOffset>
            </wp:positionV>
            <wp:extent cx="5667135" cy="3188873"/>
            <wp:effectExtent l="1905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667135" cy="3188873"/>
                    </a:xfrm>
                    <a:prstGeom prst="rect">
                      <a:avLst/>
                    </a:prstGeom>
                    <a:noFill/>
                    <a:ln w="9525">
                      <a:noFill/>
                      <a:miter lim="800000"/>
                      <a:headEnd/>
                      <a:tailEnd/>
                    </a:ln>
                  </pic:spPr>
                </pic:pic>
              </a:graphicData>
            </a:graphic>
          </wp:anchor>
        </w:drawing>
      </w:r>
    </w:p>
    <w:p w:rsidR="00002677" w:rsidRDefault="00002677" w:rsidP="008F016B">
      <w:pPr>
        <w:pStyle w:val="BodyTextIndent"/>
        <w:tabs>
          <w:tab w:val="left" w:pos="1440"/>
        </w:tabs>
        <w:ind w:firstLine="720"/>
        <w:jc w:val="both"/>
        <w:rPr>
          <w:rStyle w:val="LineNumber"/>
          <w:b w:val="0"/>
          <w:bCs w:val="0"/>
        </w:rPr>
      </w:pPr>
    </w:p>
    <w:p w:rsidR="00806BA9" w:rsidRDefault="00806BA9" w:rsidP="008F016B">
      <w:pPr>
        <w:pStyle w:val="BodyTextIndent"/>
        <w:tabs>
          <w:tab w:val="left" w:pos="1440"/>
        </w:tabs>
        <w:ind w:firstLine="720"/>
        <w:jc w:val="both"/>
        <w:rPr>
          <w:rStyle w:val="LineNumber"/>
          <w:b w:val="0"/>
          <w:bCs w:val="0"/>
        </w:rPr>
      </w:pPr>
    </w:p>
    <w:p w:rsidR="00806BA9" w:rsidRDefault="00806BA9" w:rsidP="008F016B">
      <w:pPr>
        <w:pStyle w:val="BodyTextIndent"/>
        <w:tabs>
          <w:tab w:val="left" w:pos="1440"/>
        </w:tabs>
        <w:ind w:firstLine="720"/>
        <w:jc w:val="both"/>
        <w:rPr>
          <w:rStyle w:val="LineNumber"/>
          <w:b w:val="0"/>
          <w:bCs w:val="0"/>
        </w:rPr>
      </w:pPr>
    </w:p>
    <w:p w:rsidR="00806BA9" w:rsidRDefault="00806BA9" w:rsidP="008F016B">
      <w:pPr>
        <w:pStyle w:val="BodyTextIndent"/>
        <w:tabs>
          <w:tab w:val="left" w:pos="1440"/>
        </w:tabs>
        <w:ind w:firstLine="720"/>
        <w:jc w:val="both"/>
        <w:rPr>
          <w:rStyle w:val="LineNumber"/>
          <w:b w:val="0"/>
          <w:bCs w:val="0"/>
        </w:rPr>
      </w:pPr>
    </w:p>
    <w:p w:rsidR="00806BA9" w:rsidRDefault="00806BA9" w:rsidP="008F016B">
      <w:pPr>
        <w:pStyle w:val="BodyTextIndent"/>
        <w:tabs>
          <w:tab w:val="left" w:pos="1440"/>
        </w:tabs>
        <w:ind w:firstLine="720"/>
        <w:jc w:val="both"/>
        <w:rPr>
          <w:rStyle w:val="LineNumber"/>
          <w:b w:val="0"/>
          <w:bCs w:val="0"/>
        </w:rPr>
      </w:pPr>
    </w:p>
    <w:p w:rsidR="00806BA9" w:rsidRDefault="00806BA9" w:rsidP="008F016B">
      <w:pPr>
        <w:pStyle w:val="BodyTextIndent"/>
        <w:tabs>
          <w:tab w:val="left" w:pos="1440"/>
        </w:tabs>
        <w:ind w:firstLine="720"/>
        <w:jc w:val="both"/>
        <w:rPr>
          <w:rStyle w:val="LineNumber"/>
          <w:b w:val="0"/>
          <w:bCs w:val="0"/>
        </w:rPr>
      </w:pPr>
    </w:p>
    <w:p w:rsidR="00806BA9" w:rsidRDefault="00806BA9" w:rsidP="008F016B">
      <w:pPr>
        <w:pStyle w:val="BodyTextIndent"/>
        <w:tabs>
          <w:tab w:val="left" w:pos="1440"/>
        </w:tabs>
        <w:ind w:firstLine="720"/>
        <w:jc w:val="both"/>
        <w:rPr>
          <w:rStyle w:val="LineNumber"/>
          <w:b w:val="0"/>
          <w:bCs w:val="0"/>
        </w:rPr>
      </w:pPr>
    </w:p>
    <w:p w:rsidR="00806BA9" w:rsidRDefault="00806BA9" w:rsidP="008F016B">
      <w:pPr>
        <w:pStyle w:val="BodyTextIndent"/>
        <w:tabs>
          <w:tab w:val="left" w:pos="1440"/>
        </w:tabs>
        <w:ind w:firstLine="720"/>
        <w:jc w:val="both"/>
        <w:rPr>
          <w:rStyle w:val="LineNumber"/>
          <w:b w:val="0"/>
          <w:bCs w:val="0"/>
        </w:rPr>
      </w:pPr>
    </w:p>
    <w:p w:rsidR="00F67E37" w:rsidRDefault="00F67E37" w:rsidP="00893010">
      <w:pPr>
        <w:pStyle w:val="TestBody"/>
        <w:spacing w:line="480" w:lineRule="auto"/>
        <w:ind w:left="0" w:right="-432" w:firstLine="0"/>
        <w:rPr>
          <w:rFonts w:ascii="Times New Roman" w:hAnsi="Times New Roman" w:cs="Times New Roman"/>
          <w:b/>
        </w:rPr>
      </w:pPr>
    </w:p>
    <w:p w:rsidR="00527547" w:rsidRPr="00257FBD" w:rsidRDefault="00527547" w:rsidP="00371FF5">
      <w:pPr>
        <w:pStyle w:val="TestBody"/>
        <w:spacing w:line="480" w:lineRule="auto"/>
        <w:ind w:left="0" w:right="-432" w:firstLine="720"/>
        <w:rPr>
          <w:rFonts w:ascii="Times New Roman" w:hAnsi="Times New Roman" w:cs="Times New Roman"/>
          <w:b/>
        </w:rPr>
      </w:pPr>
      <w:r w:rsidRPr="00257FBD">
        <w:rPr>
          <w:rFonts w:ascii="Times New Roman" w:hAnsi="Times New Roman" w:cs="Times New Roman"/>
          <w:b/>
        </w:rPr>
        <w:t>Q.</w:t>
      </w:r>
      <w:r w:rsidRPr="00257FBD">
        <w:rPr>
          <w:rFonts w:ascii="Times New Roman" w:hAnsi="Times New Roman" w:cs="Times New Roman"/>
          <w:b/>
        </w:rPr>
        <w:tab/>
      </w:r>
      <w:r>
        <w:rPr>
          <w:rFonts w:ascii="Times New Roman" w:hAnsi="Times New Roman" w:cs="Times New Roman"/>
          <w:b/>
        </w:rPr>
        <w:t xml:space="preserve">The </w:t>
      </w:r>
      <w:r w:rsidRPr="00257FBD">
        <w:rPr>
          <w:rFonts w:ascii="Times New Roman" w:hAnsi="Times New Roman" w:cs="Times New Roman"/>
          <w:b/>
        </w:rPr>
        <w:t>non-fuel O&amp;M</w:t>
      </w:r>
      <w:r w:rsidR="00893010">
        <w:rPr>
          <w:rFonts w:ascii="Times New Roman" w:hAnsi="Times New Roman" w:cs="Times New Roman"/>
          <w:b/>
        </w:rPr>
        <w:t>/A&amp;G</w:t>
      </w:r>
      <w:r w:rsidRPr="00257FBD">
        <w:rPr>
          <w:rFonts w:ascii="Times New Roman" w:hAnsi="Times New Roman" w:cs="Times New Roman"/>
          <w:b/>
        </w:rPr>
        <w:t xml:space="preserve"> costs</w:t>
      </w:r>
      <w:r>
        <w:rPr>
          <w:rFonts w:ascii="Times New Roman" w:hAnsi="Times New Roman" w:cs="Times New Roman"/>
          <w:b/>
        </w:rPr>
        <w:t xml:space="preserve"> </w:t>
      </w:r>
      <w:r w:rsidR="00DF5423">
        <w:rPr>
          <w:rFonts w:ascii="Times New Roman" w:hAnsi="Times New Roman" w:cs="Times New Roman"/>
          <w:b/>
        </w:rPr>
        <w:t>dip down in 2013, and then grow at a slower pace than in prior years.  Does this reflect the benefits from the VSIP program and other cost management measures?</w:t>
      </w:r>
    </w:p>
    <w:p w:rsidR="00FA200B" w:rsidRPr="00B439FC" w:rsidRDefault="00527547" w:rsidP="00371FF5">
      <w:pPr>
        <w:pStyle w:val="TestBody"/>
        <w:spacing w:line="480" w:lineRule="auto"/>
        <w:ind w:left="0" w:right="-432" w:firstLine="720"/>
        <w:rPr>
          <w:rStyle w:val="LineNumber"/>
        </w:rPr>
      </w:pPr>
      <w:r w:rsidRPr="00257FBD">
        <w:rPr>
          <w:rFonts w:ascii="Times New Roman" w:hAnsi="Times New Roman" w:cs="Times New Roman"/>
        </w:rPr>
        <w:t>A.</w:t>
      </w:r>
      <w:r w:rsidRPr="00257FBD">
        <w:rPr>
          <w:rFonts w:ascii="Times New Roman" w:hAnsi="Times New Roman" w:cs="Times New Roman"/>
        </w:rPr>
        <w:tab/>
      </w:r>
      <w:r w:rsidR="008549E5">
        <w:rPr>
          <w:rFonts w:ascii="Times New Roman" w:hAnsi="Times New Roman" w:cs="Times New Roman"/>
        </w:rPr>
        <w:t xml:space="preserve">Yes.  As </w:t>
      </w:r>
      <w:r w:rsidR="00BA4F82">
        <w:rPr>
          <w:rFonts w:ascii="Times New Roman" w:hAnsi="Times New Roman" w:cs="Times New Roman"/>
        </w:rPr>
        <w:t>Mr. Morris explained in his testimony</w:t>
      </w:r>
      <w:r w:rsidR="00DF5423">
        <w:rPr>
          <w:rFonts w:ascii="Times New Roman" w:hAnsi="Times New Roman" w:cs="Times New Roman"/>
        </w:rPr>
        <w:t>,</w:t>
      </w:r>
      <w:r w:rsidR="00C43DFE">
        <w:rPr>
          <w:rFonts w:ascii="Times New Roman" w:hAnsi="Times New Roman" w:cs="Times New Roman"/>
        </w:rPr>
        <w:t xml:space="preserve"> </w:t>
      </w:r>
      <w:r>
        <w:rPr>
          <w:rFonts w:ascii="Times New Roman" w:hAnsi="Times New Roman" w:cs="Times New Roman"/>
        </w:rPr>
        <w:t>in the fourth quarter of 2012</w:t>
      </w:r>
      <w:r w:rsidRPr="00050B53">
        <w:rPr>
          <w:rFonts w:ascii="Times New Roman" w:hAnsi="Times New Roman" w:cs="Times New Roman"/>
        </w:rPr>
        <w:t xml:space="preserve"> Av</w:t>
      </w:r>
      <w:r w:rsidR="00C43DFE">
        <w:rPr>
          <w:rFonts w:ascii="Times New Roman" w:hAnsi="Times New Roman" w:cs="Times New Roman"/>
        </w:rPr>
        <w:t>ista developed and implemented the</w:t>
      </w:r>
      <w:r w:rsidRPr="00050B53">
        <w:rPr>
          <w:rFonts w:ascii="Times New Roman" w:hAnsi="Times New Roman" w:cs="Times New Roman"/>
        </w:rPr>
        <w:t xml:space="preserve"> </w:t>
      </w:r>
      <w:r w:rsidR="00C43DFE">
        <w:rPr>
          <w:rFonts w:ascii="Times New Roman" w:hAnsi="Times New Roman" w:cs="Times New Roman"/>
        </w:rPr>
        <w:t>VSIP program</w:t>
      </w:r>
      <w:r w:rsidRPr="00050B53">
        <w:rPr>
          <w:rFonts w:ascii="Times New Roman" w:hAnsi="Times New Roman" w:cs="Times New Roman"/>
        </w:rPr>
        <w:t xml:space="preserve"> to reduce </w:t>
      </w:r>
      <w:r>
        <w:rPr>
          <w:rFonts w:ascii="Times New Roman" w:hAnsi="Times New Roman" w:cs="Times New Roman"/>
        </w:rPr>
        <w:t xml:space="preserve">employee </w:t>
      </w:r>
      <w:r w:rsidRPr="00050B53">
        <w:rPr>
          <w:rFonts w:ascii="Times New Roman" w:hAnsi="Times New Roman" w:cs="Times New Roman"/>
        </w:rPr>
        <w:t>co</w:t>
      </w:r>
      <w:r w:rsidR="00C43DFE">
        <w:rPr>
          <w:rFonts w:ascii="Times New Roman" w:hAnsi="Times New Roman" w:cs="Times New Roman"/>
        </w:rPr>
        <w:t>mplement at the Company.  This program</w:t>
      </w:r>
      <w:r w:rsidRPr="00050B53">
        <w:rPr>
          <w:rFonts w:ascii="Times New Roman" w:hAnsi="Times New Roman" w:cs="Times New Roman"/>
        </w:rPr>
        <w:t xml:space="preserve"> was </w:t>
      </w:r>
      <w:r>
        <w:rPr>
          <w:rFonts w:ascii="Times New Roman" w:hAnsi="Times New Roman" w:cs="Times New Roman"/>
        </w:rPr>
        <w:t>a direct response</w:t>
      </w:r>
      <w:r w:rsidRPr="00050B53">
        <w:rPr>
          <w:rFonts w:ascii="Times New Roman" w:hAnsi="Times New Roman" w:cs="Times New Roman"/>
        </w:rPr>
        <w:t xml:space="preserve"> to the continuing increase in non-fuel O&amp;M</w:t>
      </w:r>
      <w:r w:rsidR="00893010">
        <w:rPr>
          <w:rFonts w:ascii="Times New Roman" w:hAnsi="Times New Roman" w:cs="Times New Roman"/>
        </w:rPr>
        <w:t>/A&amp;</w:t>
      </w:r>
      <w:proofErr w:type="gramStart"/>
      <w:r w:rsidR="00893010">
        <w:rPr>
          <w:rFonts w:ascii="Times New Roman" w:hAnsi="Times New Roman" w:cs="Times New Roman"/>
        </w:rPr>
        <w:t>G</w:t>
      </w:r>
      <w:r w:rsidRPr="00050B53">
        <w:rPr>
          <w:rFonts w:ascii="Times New Roman" w:hAnsi="Times New Roman" w:cs="Times New Roman"/>
        </w:rPr>
        <w:t xml:space="preserve"> </w:t>
      </w:r>
      <w:r w:rsidR="00893010">
        <w:rPr>
          <w:rFonts w:ascii="Times New Roman" w:hAnsi="Times New Roman" w:cs="Times New Roman"/>
        </w:rPr>
        <w:t xml:space="preserve"> </w:t>
      </w:r>
      <w:r w:rsidRPr="00050B53">
        <w:rPr>
          <w:rFonts w:ascii="Times New Roman" w:hAnsi="Times New Roman" w:cs="Times New Roman"/>
        </w:rPr>
        <w:t>year</w:t>
      </w:r>
      <w:proofErr w:type="gramEnd"/>
      <w:r w:rsidRPr="00050B53">
        <w:rPr>
          <w:rFonts w:ascii="Times New Roman" w:hAnsi="Times New Roman" w:cs="Times New Roman"/>
        </w:rPr>
        <w:t xml:space="preserve"> over year, and a decision by senior management of the Company to take steps to redu</w:t>
      </w:r>
      <w:r>
        <w:rPr>
          <w:rFonts w:ascii="Times New Roman" w:hAnsi="Times New Roman" w:cs="Times New Roman"/>
        </w:rPr>
        <w:t xml:space="preserve">ce the growth in </w:t>
      </w:r>
      <w:r w:rsidR="00893010" w:rsidRPr="00050B53">
        <w:rPr>
          <w:rFonts w:ascii="Times New Roman" w:hAnsi="Times New Roman" w:cs="Times New Roman"/>
        </w:rPr>
        <w:t>O&amp;M</w:t>
      </w:r>
      <w:r w:rsidR="00893010">
        <w:rPr>
          <w:rFonts w:ascii="Times New Roman" w:hAnsi="Times New Roman" w:cs="Times New Roman"/>
        </w:rPr>
        <w:t>/A&amp;G</w:t>
      </w:r>
      <w:r>
        <w:rPr>
          <w:rFonts w:ascii="Times New Roman" w:hAnsi="Times New Roman" w:cs="Times New Roman"/>
        </w:rPr>
        <w:t xml:space="preserve"> expenses.  In addition, </w:t>
      </w:r>
      <w:r w:rsidR="007A3E30">
        <w:rPr>
          <w:rFonts w:ascii="Times New Roman" w:hAnsi="Times New Roman" w:cs="Times New Roman"/>
        </w:rPr>
        <w:t>as mentioned earlier</w:t>
      </w:r>
      <w:r w:rsidR="00242563">
        <w:rPr>
          <w:rFonts w:ascii="Times New Roman" w:hAnsi="Times New Roman" w:cs="Times New Roman"/>
        </w:rPr>
        <w:t xml:space="preserve">, </w:t>
      </w:r>
      <w:r>
        <w:rPr>
          <w:rFonts w:ascii="Times New Roman" w:hAnsi="Times New Roman" w:cs="Times New Roman"/>
        </w:rPr>
        <w:t xml:space="preserve">in 2013 senior management made changes to Avista’s pension and post-retirement medical plans, effective January 1, 2014, which has reduced future </w:t>
      </w:r>
      <w:r w:rsidR="00893010" w:rsidRPr="00050B53">
        <w:rPr>
          <w:rFonts w:ascii="Times New Roman" w:hAnsi="Times New Roman" w:cs="Times New Roman"/>
        </w:rPr>
        <w:t>O&amp;M</w:t>
      </w:r>
      <w:r w:rsidR="00893010">
        <w:rPr>
          <w:rFonts w:ascii="Times New Roman" w:hAnsi="Times New Roman" w:cs="Times New Roman"/>
        </w:rPr>
        <w:t>/A&amp;G</w:t>
      </w:r>
      <w:r>
        <w:rPr>
          <w:rFonts w:ascii="Times New Roman" w:hAnsi="Times New Roman" w:cs="Times New Roman"/>
        </w:rPr>
        <w:t xml:space="preserve"> costs.</w:t>
      </w:r>
      <w:r w:rsidR="00B439FC">
        <w:rPr>
          <w:rFonts w:ascii="Times New Roman" w:hAnsi="Times New Roman" w:cs="Times New Roman"/>
        </w:rPr>
        <w:t xml:space="preserve">  </w:t>
      </w:r>
      <w:r w:rsidR="00B439FC" w:rsidRPr="00B439FC">
        <w:rPr>
          <w:rStyle w:val="LineNumber"/>
          <w:bCs/>
        </w:rPr>
        <w:t xml:space="preserve">Even with these cost management </w:t>
      </w:r>
      <w:r w:rsidR="00B439FC" w:rsidRPr="00B439FC">
        <w:rPr>
          <w:rStyle w:val="LineNumber"/>
          <w:bCs/>
        </w:rPr>
        <w:lastRenderedPageBreak/>
        <w:t xml:space="preserve">measures, however, non-fuel </w:t>
      </w:r>
      <w:r w:rsidR="00893010" w:rsidRPr="00050B53">
        <w:rPr>
          <w:rFonts w:ascii="Times New Roman" w:hAnsi="Times New Roman" w:cs="Times New Roman"/>
        </w:rPr>
        <w:t>O&amp;M</w:t>
      </w:r>
      <w:r w:rsidR="00893010">
        <w:rPr>
          <w:rFonts w:ascii="Times New Roman" w:hAnsi="Times New Roman" w:cs="Times New Roman"/>
        </w:rPr>
        <w:t>/A&amp;G</w:t>
      </w:r>
      <w:r w:rsidR="00B439FC" w:rsidRPr="00B439FC">
        <w:rPr>
          <w:rStyle w:val="LineNumber"/>
          <w:bCs/>
        </w:rPr>
        <w:t xml:space="preserve"> is still increasing </w:t>
      </w:r>
      <w:r w:rsidR="00893010">
        <w:rPr>
          <w:rStyle w:val="LineNumber"/>
          <w:bCs/>
        </w:rPr>
        <w:t>at a faster pace than sales of k</w:t>
      </w:r>
      <w:r w:rsidR="00B439FC" w:rsidRPr="00B439FC">
        <w:rPr>
          <w:rStyle w:val="LineNumber"/>
          <w:bCs/>
        </w:rPr>
        <w:t>Wh and therms.</w:t>
      </w:r>
    </w:p>
    <w:p w:rsidR="00FA200B" w:rsidRDefault="00B439FC" w:rsidP="00371FF5">
      <w:pPr>
        <w:pStyle w:val="BodyTextIndent"/>
        <w:tabs>
          <w:tab w:val="left" w:pos="1440"/>
        </w:tabs>
        <w:ind w:right="-432" w:firstLine="720"/>
        <w:jc w:val="both"/>
        <w:rPr>
          <w:rStyle w:val="LineNumber"/>
          <w:b w:val="0"/>
          <w:bCs w:val="0"/>
        </w:rPr>
      </w:pPr>
      <w:r>
        <w:rPr>
          <w:rStyle w:val="LineNumber"/>
          <w:b w:val="0"/>
          <w:bCs w:val="0"/>
        </w:rPr>
        <w:t xml:space="preserve">Because net plant investment (rate base) and non-fuel </w:t>
      </w:r>
      <w:r w:rsidR="00893010" w:rsidRPr="00893010">
        <w:rPr>
          <w:rFonts w:ascii="Times New Roman" w:hAnsi="Times New Roman" w:cs="Times New Roman"/>
          <w:b w:val="0"/>
        </w:rPr>
        <w:t>O&amp;M/A&amp;G</w:t>
      </w:r>
      <w:r>
        <w:rPr>
          <w:rStyle w:val="LineNumber"/>
          <w:b w:val="0"/>
          <w:bCs w:val="0"/>
        </w:rPr>
        <w:t xml:space="preserve"> are grow</w:t>
      </w:r>
      <w:r w:rsidR="00272161">
        <w:rPr>
          <w:rStyle w:val="LineNumber"/>
          <w:b w:val="0"/>
          <w:bCs w:val="0"/>
        </w:rPr>
        <w:t>ing at a faster pace than</w:t>
      </w:r>
      <w:r>
        <w:rPr>
          <w:rStyle w:val="LineNumber"/>
          <w:b w:val="0"/>
          <w:bCs w:val="0"/>
        </w:rPr>
        <w:t xml:space="preserve"> sales, Avista will still experience attrition going forward.</w:t>
      </w:r>
    </w:p>
    <w:p w:rsidR="00AA251A" w:rsidRDefault="00AA251A" w:rsidP="00371FF5">
      <w:pPr>
        <w:pStyle w:val="BodyTextIndent"/>
        <w:tabs>
          <w:tab w:val="left" w:pos="1440"/>
        </w:tabs>
        <w:ind w:right="-432" w:firstLine="720"/>
        <w:jc w:val="both"/>
        <w:rPr>
          <w:rStyle w:val="LineNumber"/>
          <w:b w:val="0"/>
          <w:bCs w:val="0"/>
        </w:rPr>
      </w:pPr>
    </w:p>
    <w:p w:rsidR="00AA251A" w:rsidRPr="005E5868" w:rsidRDefault="00AA251A" w:rsidP="005E5868">
      <w:pPr>
        <w:pStyle w:val="BodyTextIndent"/>
        <w:ind w:right="-432"/>
        <w:jc w:val="center"/>
        <w:rPr>
          <w:rStyle w:val="LineNumber"/>
          <w:bCs w:val="0"/>
          <w:u w:val="single"/>
        </w:rPr>
      </w:pPr>
      <w:r w:rsidRPr="005E5868">
        <w:rPr>
          <w:rStyle w:val="LineNumber"/>
          <w:bCs w:val="0"/>
          <w:u w:val="single"/>
        </w:rPr>
        <w:t>IV. AVISTA</w:t>
      </w:r>
      <w:r w:rsidR="00893010">
        <w:rPr>
          <w:rStyle w:val="LineNumber"/>
          <w:bCs w:val="0"/>
          <w:u w:val="single"/>
        </w:rPr>
        <w:t>’S</w:t>
      </w:r>
      <w:r w:rsidRPr="005E5868">
        <w:rPr>
          <w:rStyle w:val="LineNumber"/>
          <w:bCs w:val="0"/>
          <w:u w:val="single"/>
        </w:rPr>
        <w:t xml:space="preserve"> PROPOSED ATTRITION ADJUSTMENT</w:t>
      </w:r>
    </w:p>
    <w:p w:rsidR="007B12FC" w:rsidRPr="007B12FC" w:rsidRDefault="007B12FC" w:rsidP="00371FF5">
      <w:pPr>
        <w:pStyle w:val="BodyTextIndent"/>
        <w:tabs>
          <w:tab w:val="left" w:pos="1440"/>
        </w:tabs>
        <w:ind w:right="-432" w:firstLine="720"/>
        <w:jc w:val="both"/>
        <w:rPr>
          <w:rStyle w:val="LineNumber"/>
          <w:bCs w:val="0"/>
        </w:rPr>
      </w:pPr>
      <w:r w:rsidRPr="007B12FC">
        <w:rPr>
          <w:rStyle w:val="LineNumber"/>
          <w:bCs w:val="0"/>
        </w:rPr>
        <w:t>Q.</w:t>
      </w:r>
      <w:r w:rsidRPr="007B12FC">
        <w:rPr>
          <w:rStyle w:val="LineNumber"/>
          <w:bCs w:val="0"/>
        </w:rPr>
        <w:tab/>
        <w:t>What has the Company propose</w:t>
      </w:r>
      <w:r w:rsidR="00ED18A3">
        <w:rPr>
          <w:rStyle w:val="LineNumber"/>
          <w:bCs w:val="0"/>
        </w:rPr>
        <w:t>d in this filing to address</w:t>
      </w:r>
      <w:r w:rsidRPr="007B12FC">
        <w:rPr>
          <w:rStyle w:val="LineNumber"/>
          <w:bCs w:val="0"/>
        </w:rPr>
        <w:t xml:space="preserve"> attrition?</w:t>
      </w:r>
    </w:p>
    <w:p w:rsidR="00ED18A3" w:rsidRDefault="007B12FC" w:rsidP="00371FF5">
      <w:pPr>
        <w:pStyle w:val="BodyTextIndent"/>
        <w:tabs>
          <w:tab w:val="left" w:pos="1440"/>
        </w:tabs>
        <w:ind w:right="-432" w:firstLine="720"/>
        <w:jc w:val="both"/>
        <w:rPr>
          <w:rStyle w:val="LineNumber"/>
          <w:b w:val="0"/>
          <w:bCs w:val="0"/>
        </w:rPr>
      </w:pPr>
      <w:r>
        <w:rPr>
          <w:rStyle w:val="LineNumber"/>
          <w:b w:val="0"/>
          <w:bCs w:val="0"/>
        </w:rPr>
        <w:t>A.</w:t>
      </w:r>
      <w:r>
        <w:rPr>
          <w:rStyle w:val="LineNumber"/>
          <w:b w:val="0"/>
          <w:bCs w:val="0"/>
        </w:rPr>
        <w:tab/>
      </w:r>
      <w:r w:rsidR="001C5698">
        <w:rPr>
          <w:rStyle w:val="LineNumber"/>
          <w:b w:val="0"/>
          <w:bCs w:val="0"/>
        </w:rPr>
        <w:t>Avista prepared an</w:t>
      </w:r>
      <w:r w:rsidR="00944479">
        <w:rPr>
          <w:rStyle w:val="LineNumber"/>
          <w:b w:val="0"/>
          <w:bCs w:val="0"/>
        </w:rPr>
        <w:t xml:space="preserve"> </w:t>
      </w:r>
      <w:r w:rsidR="00BB3837">
        <w:rPr>
          <w:rStyle w:val="LineNumber"/>
          <w:b w:val="0"/>
          <w:bCs w:val="0"/>
        </w:rPr>
        <w:t>A</w:t>
      </w:r>
      <w:r w:rsidR="00944479">
        <w:rPr>
          <w:rStyle w:val="LineNumber"/>
          <w:b w:val="0"/>
          <w:bCs w:val="0"/>
        </w:rPr>
        <w:t xml:space="preserve">ttrition </w:t>
      </w:r>
      <w:r w:rsidR="00BB3837">
        <w:rPr>
          <w:rStyle w:val="LineNumber"/>
          <w:b w:val="0"/>
          <w:bCs w:val="0"/>
        </w:rPr>
        <w:t>S</w:t>
      </w:r>
      <w:r w:rsidR="00944479">
        <w:rPr>
          <w:rStyle w:val="LineNumber"/>
          <w:b w:val="0"/>
          <w:bCs w:val="0"/>
        </w:rPr>
        <w:t xml:space="preserve">tudy to </w:t>
      </w:r>
      <w:r w:rsidR="001742B0">
        <w:rPr>
          <w:rStyle w:val="LineNumber"/>
          <w:b w:val="0"/>
          <w:bCs w:val="0"/>
        </w:rPr>
        <w:t>quantify</w:t>
      </w:r>
      <w:r w:rsidR="0067171F">
        <w:rPr>
          <w:rStyle w:val="LineNumber"/>
          <w:b w:val="0"/>
          <w:bCs w:val="0"/>
        </w:rPr>
        <w:t xml:space="preserve"> this mismatch in the growth of revenues, expenses and rate base</w:t>
      </w:r>
      <w:r w:rsidR="0082253B">
        <w:rPr>
          <w:rStyle w:val="LineNumber"/>
          <w:b w:val="0"/>
          <w:bCs w:val="0"/>
        </w:rPr>
        <w:t xml:space="preserve"> f</w:t>
      </w:r>
      <w:r w:rsidR="0067171F">
        <w:rPr>
          <w:rStyle w:val="LineNumber"/>
          <w:b w:val="0"/>
          <w:bCs w:val="0"/>
        </w:rPr>
        <w:t>or ratemaking purposes.</w:t>
      </w:r>
      <w:r w:rsidR="00AE168A">
        <w:rPr>
          <w:rStyle w:val="LineNumber"/>
          <w:b w:val="0"/>
          <w:bCs w:val="0"/>
        </w:rPr>
        <w:t xml:space="preserve">  The Company’s proposed electric and natural gas revenue increases i</w:t>
      </w:r>
      <w:r w:rsidR="00BB3837">
        <w:rPr>
          <w:rStyle w:val="LineNumber"/>
          <w:b w:val="0"/>
          <w:bCs w:val="0"/>
        </w:rPr>
        <w:t>n this filing are based on the Attrition A</w:t>
      </w:r>
      <w:r w:rsidR="00AE168A">
        <w:rPr>
          <w:rStyle w:val="LineNumber"/>
          <w:b w:val="0"/>
          <w:bCs w:val="0"/>
        </w:rPr>
        <w:t>djustments derived fro</w:t>
      </w:r>
      <w:r w:rsidR="00BB3837">
        <w:rPr>
          <w:rStyle w:val="LineNumber"/>
          <w:b w:val="0"/>
          <w:bCs w:val="0"/>
        </w:rPr>
        <w:t>m the electric and natural gas Attrition S</w:t>
      </w:r>
      <w:r w:rsidR="00AE168A">
        <w:rPr>
          <w:rStyle w:val="LineNumber"/>
          <w:b w:val="0"/>
          <w:bCs w:val="0"/>
        </w:rPr>
        <w:t>tudies.</w:t>
      </w:r>
      <w:r w:rsidR="005D0AFE">
        <w:rPr>
          <w:rStyle w:val="LineNumber"/>
          <w:b w:val="0"/>
          <w:bCs w:val="0"/>
        </w:rPr>
        <w:t xml:space="preserve">  </w:t>
      </w:r>
      <w:r w:rsidR="00BB3837">
        <w:rPr>
          <w:rStyle w:val="LineNumber"/>
          <w:b w:val="0"/>
          <w:bCs w:val="0"/>
        </w:rPr>
        <w:t>These Attrition S</w:t>
      </w:r>
      <w:r w:rsidR="00AE168A">
        <w:rPr>
          <w:rStyle w:val="LineNumber"/>
          <w:b w:val="0"/>
          <w:bCs w:val="0"/>
        </w:rPr>
        <w:t>tudies, which are sponsored and explained by Ms. Andrews, used the same methodo</w:t>
      </w:r>
      <w:r w:rsidR="00224011">
        <w:rPr>
          <w:rStyle w:val="LineNumber"/>
          <w:b w:val="0"/>
          <w:bCs w:val="0"/>
        </w:rPr>
        <w:t>logy Avista used in our last general rate case</w:t>
      </w:r>
      <w:r w:rsidR="002F66D7">
        <w:rPr>
          <w:rStyle w:val="LineNumber"/>
          <w:b w:val="0"/>
          <w:bCs w:val="0"/>
        </w:rPr>
        <w:t xml:space="preserve">, and are generally consistent with the approach taken by </w:t>
      </w:r>
      <w:r w:rsidR="00BB3837">
        <w:rPr>
          <w:rStyle w:val="LineNumber"/>
          <w:b w:val="0"/>
          <w:bCs w:val="0"/>
        </w:rPr>
        <w:t>Commission S</w:t>
      </w:r>
      <w:r w:rsidR="002F66D7">
        <w:rPr>
          <w:rStyle w:val="LineNumber"/>
          <w:b w:val="0"/>
          <w:bCs w:val="0"/>
        </w:rPr>
        <w:t>taff to address attrition in our last case</w:t>
      </w:r>
      <w:r w:rsidR="00AE168A">
        <w:rPr>
          <w:rStyle w:val="LineNumber"/>
          <w:b w:val="0"/>
          <w:bCs w:val="0"/>
        </w:rPr>
        <w:t xml:space="preserve">.  </w:t>
      </w:r>
    </w:p>
    <w:p w:rsidR="005D0AFE" w:rsidRDefault="00BB3837" w:rsidP="00371FF5">
      <w:pPr>
        <w:pStyle w:val="BodyTextIndent"/>
        <w:tabs>
          <w:tab w:val="left" w:pos="1440"/>
        </w:tabs>
        <w:ind w:right="-432" w:firstLine="720"/>
        <w:jc w:val="both"/>
        <w:rPr>
          <w:rStyle w:val="LineNumber"/>
          <w:b w:val="0"/>
          <w:bCs w:val="0"/>
        </w:rPr>
      </w:pPr>
      <w:r>
        <w:rPr>
          <w:rStyle w:val="LineNumber"/>
          <w:b w:val="0"/>
          <w:bCs w:val="0"/>
        </w:rPr>
        <w:t>The A</w:t>
      </w:r>
      <w:r w:rsidR="005D0AFE">
        <w:rPr>
          <w:rStyle w:val="LineNumber"/>
          <w:b w:val="0"/>
          <w:bCs w:val="0"/>
        </w:rPr>
        <w:t>ttrit</w:t>
      </w:r>
      <w:r>
        <w:rPr>
          <w:rStyle w:val="LineNumber"/>
          <w:b w:val="0"/>
          <w:bCs w:val="0"/>
        </w:rPr>
        <w:t>ion S</w:t>
      </w:r>
      <w:r w:rsidR="00CF1240">
        <w:rPr>
          <w:rStyle w:val="LineNumber"/>
          <w:b w:val="0"/>
          <w:bCs w:val="0"/>
        </w:rPr>
        <w:t>tudies</w:t>
      </w:r>
      <w:r w:rsidR="005D0AFE">
        <w:rPr>
          <w:rStyle w:val="LineNumber"/>
          <w:b w:val="0"/>
          <w:bCs w:val="0"/>
        </w:rPr>
        <w:t xml:space="preserve"> use</w:t>
      </w:r>
      <w:r w:rsidR="00CF1240">
        <w:rPr>
          <w:rStyle w:val="LineNumber"/>
          <w:b w:val="0"/>
          <w:bCs w:val="0"/>
        </w:rPr>
        <w:t xml:space="preserve"> </w:t>
      </w:r>
      <w:r w:rsidR="005D0AFE">
        <w:rPr>
          <w:rStyle w:val="LineNumber"/>
          <w:b w:val="0"/>
          <w:bCs w:val="0"/>
        </w:rPr>
        <w:t xml:space="preserve">normalized expense and rate base data for prior years from Commission Basis Reports to develop </w:t>
      </w:r>
      <w:r w:rsidR="00F615FB">
        <w:rPr>
          <w:rStyle w:val="LineNumber"/>
          <w:b w:val="0"/>
          <w:bCs w:val="0"/>
        </w:rPr>
        <w:t>growth trends in expenses</w:t>
      </w:r>
      <w:r w:rsidR="005D0AFE">
        <w:rPr>
          <w:rStyle w:val="LineNumber"/>
          <w:b w:val="0"/>
          <w:bCs w:val="0"/>
        </w:rPr>
        <w:t xml:space="preserve"> and rate base.  </w:t>
      </w:r>
      <w:r w:rsidR="00F615FB">
        <w:rPr>
          <w:rStyle w:val="LineNumber"/>
          <w:b w:val="0"/>
          <w:bCs w:val="0"/>
        </w:rPr>
        <w:t xml:space="preserve">The data in the Commission Basis Reports reflect normalized numbers based on normalizing methods previously approved by the Commission.  The trend in </w:t>
      </w:r>
      <w:r w:rsidR="00893010" w:rsidRPr="00893010">
        <w:rPr>
          <w:rFonts w:ascii="Times New Roman" w:hAnsi="Times New Roman" w:cs="Times New Roman"/>
          <w:b w:val="0"/>
        </w:rPr>
        <w:t>O&amp;M/A&amp;G</w:t>
      </w:r>
      <w:r w:rsidR="00F615FB">
        <w:rPr>
          <w:rStyle w:val="LineNumber"/>
          <w:b w:val="0"/>
          <w:bCs w:val="0"/>
        </w:rPr>
        <w:t xml:space="preserve"> expenses was adjusted downward to reflect the cost-cutting recently implemented by Avista.  The annual growth rates from these trends were applied to test year expenses and rate base to arrive at the level of expenses and rate base for the 2015 rate year.  Power supply revenues and expenses for the rate year </w:t>
      </w:r>
      <w:r w:rsidR="005D5F71">
        <w:rPr>
          <w:rStyle w:val="LineNumber"/>
          <w:b w:val="0"/>
          <w:bCs w:val="0"/>
        </w:rPr>
        <w:t xml:space="preserve">included </w:t>
      </w:r>
      <w:r w:rsidR="00F615FB">
        <w:rPr>
          <w:rStyle w:val="LineNumber"/>
          <w:b w:val="0"/>
          <w:bCs w:val="0"/>
        </w:rPr>
        <w:t xml:space="preserve">in the </w:t>
      </w:r>
      <w:r>
        <w:rPr>
          <w:rStyle w:val="LineNumber"/>
          <w:b w:val="0"/>
          <w:bCs w:val="0"/>
        </w:rPr>
        <w:t>electric A</w:t>
      </w:r>
      <w:r w:rsidR="00CF1240">
        <w:rPr>
          <w:rStyle w:val="LineNumber"/>
          <w:b w:val="0"/>
          <w:bCs w:val="0"/>
        </w:rPr>
        <w:t xml:space="preserve">ttrition </w:t>
      </w:r>
      <w:r>
        <w:rPr>
          <w:rStyle w:val="LineNumber"/>
          <w:b w:val="0"/>
          <w:bCs w:val="0"/>
        </w:rPr>
        <w:t>S</w:t>
      </w:r>
      <w:r w:rsidR="00F615FB">
        <w:rPr>
          <w:rStyle w:val="LineNumber"/>
          <w:b w:val="0"/>
          <w:bCs w:val="0"/>
        </w:rPr>
        <w:t xml:space="preserve">tudy are based on those developed using the AURORA </w:t>
      </w:r>
      <w:r w:rsidR="00F615FB">
        <w:rPr>
          <w:rStyle w:val="LineNumber"/>
          <w:b w:val="0"/>
          <w:bCs w:val="0"/>
        </w:rPr>
        <w:lastRenderedPageBreak/>
        <w:t xml:space="preserve">model as explained by </w:t>
      </w:r>
      <w:r w:rsidR="00893010">
        <w:rPr>
          <w:rStyle w:val="LineNumber"/>
          <w:b w:val="0"/>
          <w:bCs w:val="0"/>
        </w:rPr>
        <w:t xml:space="preserve">Company witness </w:t>
      </w:r>
      <w:r w:rsidR="00F615FB">
        <w:rPr>
          <w:rStyle w:val="LineNumber"/>
          <w:b w:val="0"/>
          <w:bCs w:val="0"/>
        </w:rPr>
        <w:t>Mr. Kalich, and other adjusted power supply costs presented</w:t>
      </w:r>
      <w:r w:rsidR="005D5F71">
        <w:rPr>
          <w:rStyle w:val="LineNumber"/>
          <w:b w:val="0"/>
          <w:bCs w:val="0"/>
        </w:rPr>
        <w:t xml:space="preserve"> by </w:t>
      </w:r>
      <w:r w:rsidR="00893010">
        <w:rPr>
          <w:rStyle w:val="LineNumber"/>
          <w:b w:val="0"/>
          <w:bCs w:val="0"/>
        </w:rPr>
        <w:t xml:space="preserve">Company witness </w:t>
      </w:r>
      <w:r w:rsidR="005D5F71">
        <w:rPr>
          <w:rStyle w:val="LineNumber"/>
          <w:b w:val="0"/>
          <w:bCs w:val="0"/>
        </w:rPr>
        <w:t>Mr. Johnson, all of which are</w:t>
      </w:r>
      <w:r w:rsidR="00F615FB">
        <w:rPr>
          <w:rStyle w:val="LineNumber"/>
          <w:b w:val="0"/>
          <w:bCs w:val="0"/>
        </w:rPr>
        <w:t xml:space="preserve"> based on </w:t>
      </w:r>
      <w:r w:rsidR="000442EF">
        <w:rPr>
          <w:rStyle w:val="LineNumber"/>
          <w:b w:val="0"/>
          <w:bCs w:val="0"/>
        </w:rPr>
        <w:t>methodologies used and approved for ratemaking in Washington for many years.  Retail revenues for the rate year are based on the Company’s most recent retail load forecast.  The methodologies employed for the load forecast have been refined over time and have been shared regularly with stakeholders in the Integrated Resource Planning process</w:t>
      </w:r>
      <w:r w:rsidR="00CF1240">
        <w:rPr>
          <w:rStyle w:val="LineNumber"/>
          <w:b w:val="0"/>
          <w:bCs w:val="0"/>
        </w:rPr>
        <w:t>es</w:t>
      </w:r>
      <w:r w:rsidR="000442EF">
        <w:rPr>
          <w:rStyle w:val="LineNumber"/>
          <w:b w:val="0"/>
          <w:bCs w:val="0"/>
        </w:rPr>
        <w:t xml:space="preserve"> in Technical Advisory Committee meetings.</w:t>
      </w:r>
    </w:p>
    <w:p w:rsidR="000442EF" w:rsidRDefault="00BB3837" w:rsidP="00371FF5">
      <w:pPr>
        <w:pStyle w:val="BodyTextIndent"/>
        <w:tabs>
          <w:tab w:val="left" w:pos="1440"/>
        </w:tabs>
        <w:ind w:right="-432" w:firstLine="720"/>
        <w:jc w:val="both"/>
        <w:rPr>
          <w:rStyle w:val="LineNumber"/>
          <w:b w:val="0"/>
          <w:bCs w:val="0"/>
        </w:rPr>
      </w:pPr>
      <w:r>
        <w:rPr>
          <w:rStyle w:val="LineNumber"/>
          <w:b w:val="0"/>
          <w:bCs w:val="0"/>
        </w:rPr>
        <w:t>The Attrition Adjustment produced by the Attrition S</w:t>
      </w:r>
      <w:r w:rsidR="00E657B1">
        <w:rPr>
          <w:rStyle w:val="LineNumber"/>
          <w:b w:val="0"/>
          <w:bCs w:val="0"/>
        </w:rPr>
        <w:t>tudy reflects the revenue increase necessary for Avista to earn the proposed rate of return, accounting for the fact that rate base and expenses will grow at a faster pace than revenue.</w:t>
      </w:r>
    </w:p>
    <w:p w:rsidR="00C92345" w:rsidRDefault="00257DB9" w:rsidP="00371FF5">
      <w:pPr>
        <w:pStyle w:val="BodyTextIndent"/>
        <w:tabs>
          <w:tab w:val="left" w:pos="1440"/>
        </w:tabs>
        <w:ind w:right="-432" w:firstLine="720"/>
        <w:jc w:val="both"/>
        <w:rPr>
          <w:rStyle w:val="LineNumber"/>
          <w:b w:val="0"/>
          <w:bCs w:val="0"/>
        </w:rPr>
      </w:pPr>
      <w:r>
        <w:rPr>
          <w:rStyle w:val="LineNumber"/>
          <w:b w:val="0"/>
          <w:bCs w:val="0"/>
        </w:rPr>
        <w:t xml:space="preserve">As explained in Ms. </w:t>
      </w:r>
      <w:proofErr w:type="gramStart"/>
      <w:r>
        <w:rPr>
          <w:rStyle w:val="LineNumber"/>
          <w:b w:val="0"/>
          <w:bCs w:val="0"/>
        </w:rPr>
        <w:t>A</w:t>
      </w:r>
      <w:r w:rsidR="00BB3837">
        <w:rPr>
          <w:rStyle w:val="LineNumber"/>
          <w:b w:val="0"/>
          <w:bCs w:val="0"/>
        </w:rPr>
        <w:t>ndrews</w:t>
      </w:r>
      <w:proofErr w:type="gramEnd"/>
      <w:r w:rsidR="00BB3837">
        <w:rPr>
          <w:rStyle w:val="LineNumber"/>
          <w:b w:val="0"/>
          <w:bCs w:val="0"/>
        </w:rPr>
        <w:t xml:space="preserve"> testimony, the electric Attrition S</w:t>
      </w:r>
      <w:r>
        <w:rPr>
          <w:rStyle w:val="LineNumber"/>
          <w:b w:val="0"/>
          <w:bCs w:val="0"/>
        </w:rPr>
        <w:t xml:space="preserve">tudy produces </w:t>
      </w:r>
      <w:r w:rsidR="00877BDA">
        <w:rPr>
          <w:rStyle w:val="LineNumber"/>
          <w:b w:val="0"/>
          <w:bCs w:val="0"/>
        </w:rPr>
        <w:t>an attrition adjust</w:t>
      </w:r>
      <w:r w:rsidR="00893010">
        <w:rPr>
          <w:rStyle w:val="LineNumber"/>
          <w:b w:val="0"/>
          <w:bCs w:val="0"/>
        </w:rPr>
        <w:t>ed revenue requirement</w:t>
      </w:r>
      <w:r w:rsidR="00877BDA">
        <w:rPr>
          <w:rStyle w:val="LineNumber"/>
          <w:b w:val="0"/>
          <w:bCs w:val="0"/>
        </w:rPr>
        <w:t xml:space="preserve"> of $</w:t>
      </w:r>
      <w:r w:rsidR="00893010">
        <w:rPr>
          <w:rStyle w:val="LineNumber"/>
          <w:b w:val="0"/>
          <w:bCs w:val="0"/>
        </w:rPr>
        <w:t>18.2</w:t>
      </w:r>
      <w:r w:rsidR="00877BDA">
        <w:rPr>
          <w:rStyle w:val="LineNumber"/>
          <w:b w:val="0"/>
          <w:bCs w:val="0"/>
        </w:rPr>
        <w:t xml:space="preserve"> million</w:t>
      </w:r>
      <w:r w:rsidR="002F66D7">
        <w:rPr>
          <w:rStyle w:val="LineNumber"/>
          <w:b w:val="0"/>
          <w:bCs w:val="0"/>
        </w:rPr>
        <w:t xml:space="preserve"> over rates currently in effect</w:t>
      </w:r>
      <w:r w:rsidR="00877BDA">
        <w:rPr>
          <w:rStyle w:val="LineNumber"/>
          <w:b w:val="0"/>
          <w:bCs w:val="0"/>
        </w:rPr>
        <w:t>.</w:t>
      </w:r>
      <w:r>
        <w:rPr>
          <w:rStyle w:val="LineNumber"/>
          <w:b w:val="0"/>
          <w:bCs w:val="0"/>
        </w:rPr>
        <w:t xml:space="preserve"> </w:t>
      </w:r>
      <w:r w:rsidR="00877BDA">
        <w:rPr>
          <w:rStyle w:val="LineNumber"/>
          <w:b w:val="0"/>
          <w:bCs w:val="0"/>
        </w:rPr>
        <w:t xml:space="preserve"> T</w:t>
      </w:r>
      <w:r w:rsidR="00BB3837">
        <w:rPr>
          <w:rStyle w:val="LineNumber"/>
          <w:b w:val="0"/>
          <w:bCs w:val="0"/>
        </w:rPr>
        <w:t>he natural gas Attrition S</w:t>
      </w:r>
      <w:r>
        <w:rPr>
          <w:rStyle w:val="LineNumber"/>
          <w:b w:val="0"/>
          <w:bCs w:val="0"/>
        </w:rPr>
        <w:t xml:space="preserve">tudy produces </w:t>
      </w:r>
      <w:r w:rsidR="00877BDA">
        <w:rPr>
          <w:rStyle w:val="LineNumber"/>
          <w:b w:val="0"/>
          <w:bCs w:val="0"/>
        </w:rPr>
        <w:t>an attrition adjust</w:t>
      </w:r>
      <w:r w:rsidR="005A7590">
        <w:rPr>
          <w:rStyle w:val="LineNumber"/>
          <w:b w:val="0"/>
          <w:bCs w:val="0"/>
        </w:rPr>
        <w:t>ed revenue requirement</w:t>
      </w:r>
      <w:r w:rsidR="00877BDA">
        <w:rPr>
          <w:rStyle w:val="LineNumber"/>
          <w:b w:val="0"/>
          <w:bCs w:val="0"/>
        </w:rPr>
        <w:t xml:space="preserve"> of </w:t>
      </w:r>
      <w:r w:rsidR="002F66D7">
        <w:rPr>
          <w:rStyle w:val="LineNumber"/>
          <w:b w:val="0"/>
          <w:bCs w:val="0"/>
        </w:rPr>
        <w:t xml:space="preserve">an additional </w:t>
      </w:r>
      <w:r w:rsidR="00877BDA">
        <w:rPr>
          <w:rStyle w:val="LineNumber"/>
          <w:b w:val="0"/>
          <w:bCs w:val="0"/>
        </w:rPr>
        <w:t>$</w:t>
      </w:r>
      <w:r w:rsidR="005A7590">
        <w:rPr>
          <w:rStyle w:val="LineNumber"/>
          <w:b w:val="0"/>
          <w:bCs w:val="0"/>
        </w:rPr>
        <w:t>12.1</w:t>
      </w:r>
      <w:r w:rsidR="00877BDA">
        <w:rPr>
          <w:rStyle w:val="LineNumber"/>
          <w:b w:val="0"/>
          <w:bCs w:val="0"/>
        </w:rPr>
        <w:t xml:space="preserve"> million</w:t>
      </w:r>
      <w:r>
        <w:rPr>
          <w:rStyle w:val="LineNumber"/>
          <w:b w:val="0"/>
          <w:bCs w:val="0"/>
        </w:rPr>
        <w:t>.</w:t>
      </w:r>
    </w:p>
    <w:p w:rsidR="007A3E30" w:rsidRPr="00F651FD" w:rsidRDefault="007A3E30" w:rsidP="00371FF5">
      <w:pPr>
        <w:pStyle w:val="BodyTextIndent"/>
        <w:tabs>
          <w:tab w:val="left" w:pos="1440"/>
        </w:tabs>
        <w:ind w:right="-432" w:firstLine="720"/>
        <w:jc w:val="both"/>
        <w:rPr>
          <w:rStyle w:val="LineNumber"/>
          <w:bCs w:val="0"/>
        </w:rPr>
      </w:pPr>
      <w:r w:rsidRPr="00F651FD">
        <w:rPr>
          <w:rStyle w:val="LineNumber"/>
          <w:bCs w:val="0"/>
        </w:rPr>
        <w:t>Q.</w:t>
      </w:r>
      <w:r w:rsidRPr="00F651FD">
        <w:rPr>
          <w:rStyle w:val="LineNumber"/>
          <w:bCs w:val="0"/>
        </w:rPr>
        <w:tab/>
        <w:t xml:space="preserve">Do you have an illustration that shows how the Attrition Adjustment </w:t>
      </w:r>
      <w:r w:rsidR="00F651FD" w:rsidRPr="00F651FD">
        <w:rPr>
          <w:rStyle w:val="LineNumber"/>
          <w:bCs w:val="0"/>
        </w:rPr>
        <w:t>covers this mismatch in the growth in revenues and costs over time?</w:t>
      </w:r>
    </w:p>
    <w:p w:rsidR="001F19DE" w:rsidRDefault="00F651FD" w:rsidP="00371FF5">
      <w:pPr>
        <w:pStyle w:val="BodyTextIndent"/>
        <w:tabs>
          <w:tab w:val="left" w:pos="1440"/>
        </w:tabs>
        <w:ind w:right="-432" w:firstLine="720"/>
        <w:jc w:val="both"/>
        <w:rPr>
          <w:rStyle w:val="LineNumber"/>
          <w:b w:val="0"/>
          <w:bCs w:val="0"/>
        </w:rPr>
      </w:pPr>
      <w:r>
        <w:rPr>
          <w:rStyle w:val="LineNumber"/>
          <w:b w:val="0"/>
          <w:bCs w:val="0"/>
        </w:rPr>
        <w:t>A.</w:t>
      </w:r>
      <w:r>
        <w:rPr>
          <w:rStyle w:val="LineNumber"/>
          <w:b w:val="0"/>
          <w:bCs w:val="0"/>
        </w:rPr>
        <w:tab/>
        <w:t xml:space="preserve">Yes.  </w:t>
      </w:r>
      <w:r w:rsidR="00AC3809">
        <w:rPr>
          <w:rStyle w:val="LineNumber"/>
          <w:b w:val="0"/>
          <w:bCs w:val="0"/>
        </w:rPr>
        <w:t xml:space="preserve">The bar chart in Illustration </w:t>
      </w:r>
      <w:r w:rsidR="005A7590">
        <w:rPr>
          <w:rStyle w:val="LineNumber"/>
          <w:b w:val="0"/>
          <w:bCs w:val="0"/>
        </w:rPr>
        <w:t xml:space="preserve">No. </w:t>
      </w:r>
      <w:r w:rsidR="00AC3809">
        <w:rPr>
          <w:rStyle w:val="LineNumber"/>
          <w:b w:val="0"/>
          <w:bCs w:val="0"/>
        </w:rPr>
        <w:t xml:space="preserve">3 below shows how the Attrition Adjustment over time provides additional revenues to cover the growth in costs that are increasing at a faster pace than revenues.  The </w:t>
      </w:r>
      <w:r w:rsidR="00BB3837">
        <w:rPr>
          <w:rStyle w:val="LineNumber"/>
          <w:b w:val="0"/>
          <w:bCs w:val="0"/>
        </w:rPr>
        <w:t>“</w:t>
      </w:r>
      <w:r w:rsidR="00AC3809">
        <w:rPr>
          <w:rStyle w:val="LineNumber"/>
          <w:b w:val="0"/>
          <w:bCs w:val="0"/>
        </w:rPr>
        <w:t>Revenue</w:t>
      </w:r>
      <w:r w:rsidR="00BB3837">
        <w:rPr>
          <w:rStyle w:val="LineNumber"/>
          <w:b w:val="0"/>
          <w:bCs w:val="0"/>
        </w:rPr>
        <w:t>”</w:t>
      </w:r>
      <w:r w:rsidR="00AC3809">
        <w:rPr>
          <w:rStyle w:val="LineNumber"/>
          <w:b w:val="0"/>
          <w:bCs w:val="0"/>
        </w:rPr>
        <w:t xml:space="preserve"> and </w:t>
      </w:r>
      <w:r w:rsidR="00BB3837">
        <w:rPr>
          <w:rStyle w:val="LineNumber"/>
          <w:b w:val="0"/>
          <w:bCs w:val="0"/>
        </w:rPr>
        <w:t>“</w:t>
      </w:r>
      <w:r w:rsidR="00AC3809">
        <w:rPr>
          <w:rStyle w:val="LineNumber"/>
          <w:b w:val="0"/>
          <w:bCs w:val="0"/>
        </w:rPr>
        <w:t>Cost</w:t>
      </w:r>
      <w:r w:rsidR="00BB3837">
        <w:rPr>
          <w:rStyle w:val="LineNumber"/>
          <w:b w:val="0"/>
          <w:bCs w:val="0"/>
        </w:rPr>
        <w:t>s”</w:t>
      </w:r>
      <w:r w:rsidR="00AC3809">
        <w:rPr>
          <w:rStyle w:val="LineNumber"/>
          <w:b w:val="0"/>
          <w:bCs w:val="0"/>
        </w:rPr>
        <w:t xml:space="preserve"> bars for 2013 are identical to those shown in Illustration </w:t>
      </w:r>
      <w:r w:rsidR="005A7590">
        <w:rPr>
          <w:rStyle w:val="LineNumber"/>
          <w:b w:val="0"/>
          <w:bCs w:val="0"/>
        </w:rPr>
        <w:t xml:space="preserve">No. </w:t>
      </w:r>
      <w:r w:rsidR="00AC3809">
        <w:rPr>
          <w:rStyle w:val="LineNumber"/>
          <w:b w:val="0"/>
          <w:bCs w:val="0"/>
        </w:rPr>
        <w:t xml:space="preserve">2 above.  The chart illustrates that between 2013 and 2014, Costs </w:t>
      </w:r>
      <w:r w:rsidR="00AA5FB1">
        <w:rPr>
          <w:rStyle w:val="LineNumber"/>
          <w:b w:val="0"/>
          <w:bCs w:val="0"/>
        </w:rPr>
        <w:t>(from P</w:t>
      </w:r>
      <w:r w:rsidR="00E81939">
        <w:rPr>
          <w:rStyle w:val="LineNumber"/>
          <w:b w:val="0"/>
          <w:bCs w:val="0"/>
        </w:rPr>
        <w:t xml:space="preserve">oints </w:t>
      </w:r>
      <w:r w:rsidR="00AA5FB1">
        <w:rPr>
          <w:rStyle w:val="LineNumber"/>
          <w:b w:val="0"/>
          <w:bCs w:val="0"/>
        </w:rPr>
        <w:t xml:space="preserve">A to C) </w:t>
      </w:r>
      <w:r w:rsidR="00AC3809">
        <w:rPr>
          <w:rStyle w:val="LineNumber"/>
          <w:b w:val="0"/>
          <w:bCs w:val="0"/>
        </w:rPr>
        <w:t>are increasing at a higher rate than Revenues</w:t>
      </w:r>
      <w:r w:rsidR="00AA5FB1">
        <w:rPr>
          <w:rStyle w:val="LineNumber"/>
          <w:b w:val="0"/>
          <w:bCs w:val="0"/>
        </w:rPr>
        <w:t xml:space="preserve"> (from Points A to B).  The Attrition Adjustment provides addition revenues to make up the difference between the higher growth in costs, and the lower growth in revenues, such that the </w:t>
      </w:r>
      <w:r w:rsidR="00BB3837">
        <w:rPr>
          <w:rStyle w:val="LineNumber"/>
          <w:b w:val="0"/>
          <w:bCs w:val="0"/>
        </w:rPr>
        <w:t>“</w:t>
      </w:r>
      <w:r w:rsidR="00AA5FB1">
        <w:rPr>
          <w:rStyle w:val="LineNumber"/>
          <w:b w:val="0"/>
          <w:bCs w:val="0"/>
        </w:rPr>
        <w:t>Revenues</w:t>
      </w:r>
      <w:r w:rsidR="00BB3837">
        <w:rPr>
          <w:rStyle w:val="LineNumber"/>
          <w:b w:val="0"/>
          <w:bCs w:val="0"/>
        </w:rPr>
        <w:t>”</w:t>
      </w:r>
      <w:r w:rsidR="00AA5FB1">
        <w:rPr>
          <w:rStyle w:val="LineNumber"/>
          <w:b w:val="0"/>
          <w:bCs w:val="0"/>
        </w:rPr>
        <w:t xml:space="preserve"> for 2014 are equal to the </w:t>
      </w:r>
      <w:r w:rsidR="00BB3837">
        <w:rPr>
          <w:rStyle w:val="LineNumber"/>
          <w:b w:val="0"/>
          <w:bCs w:val="0"/>
        </w:rPr>
        <w:t>“</w:t>
      </w:r>
      <w:r w:rsidR="00AA5FB1">
        <w:rPr>
          <w:rStyle w:val="LineNumber"/>
          <w:b w:val="0"/>
          <w:bCs w:val="0"/>
        </w:rPr>
        <w:t>Costs</w:t>
      </w:r>
      <w:r w:rsidR="00BB3837">
        <w:rPr>
          <w:rStyle w:val="LineNumber"/>
          <w:b w:val="0"/>
          <w:bCs w:val="0"/>
        </w:rPr>
        <w:t>”</w:t>
      </w:r>
      <w:r w:rsidR="00AA5FB1">
        <w:rPr>
          <w:rStyle w:val="LineNumber"/>
          <w:b w:val="0"/>
          <w:bCs w:val="0"/>
        </w:rPr>
        <w:t xml:space="preserve"> in 2014, including the authorized return on investment.</w:t>
      </w:r>
      <w:r w:rsidR="001F19DE">
        <w:rPr>
          <w:rStyle w:val="LineNumber"/>
          <w:b w:val="0"/>
          <w:bCs w:val="0"/>
        </w:rPr>
        <w:t xml:space="preserve">  </w:t>
      </w:r>
    </w:p>
    <w:p w:rsidR="00754906" w:rsidRDefault="001F19DE" w:rsidP="00427BFD">
      <w:pPr>
        <w:pStyle w:val="BodyTextIndent"/>
        <w:tabs>
          <w:tab w:val="left" w:pos="1440"/>
        </w:tabs>
        <w:ind w:right="-432" w:firstLine="720"/>
        <w:jc w:val="both"/>
        <w:rPr>
          <w:rStyle w:val="LineNumber"/>
          <w:b w:val="0"/>
          <w:bCs w:val="0"/>
        </w:rPr>
      </w:pPr>
      <w:r>
        <w:rPr>
          <w:rStyle w:val="LineNumber"/>
          <w:b w:val="0"/>
          <w:bCs w:val="0"/>
        </w:rPr>
        <w:lastRenderedPageBreak/>
        <w:t>The Attrition Adjustment in 2014 represents the second-step revenue increase effective January 1, 2014 from Avista’s last general rate case settlement.</w:t>
      </w:r>
      <w:r w:rsidR="009213E2">
        <w:rPr>
          <w:rStyle w:val="LineNumber"/>
          <w:b w:val="0"/>
          <w:bCs w:val="0"/>
        </w:rPr>
        <w:t xml:space="preserve">  The Attrition Adjustment for 2015 represents the Attrition Adjustment necessary from this rate case filing to allow Avista the opportunity to recover its operating costs, and earn the return on investment to be authorized by the Commission in this case.</w:t>
      </w:r>
    </w:p>
    <w:p w:rsidR="00E05F22" w:rsidRPr="005E5868" w:rsidRDefault="00052898" w:rsidP="00E05F22">
      <w:pPr>
        <w:pStyle w:val="BodyTextIndent"/>
        <w:tabs>
          <w:tab w:val="left" w:pos="1440"/>
        </w:tabs>
        <w:ind w:right="-432" w:firstLine="720"/>
        <w:jc w:val="both"/>
        <w:rPr>
          <w:rStyle w:val="LineNumber"/>
          <w:bCs w:val="0"/>
          <w:u w:val="single"/>
        </w:rPr>
      </w:pPr>
      <w:r>
        <w:rPr>
          <w:rFonts w:ascii="Times New Roman" w:hAnsi="Times New Roman" w:cs="Times New Roman"/>
          <w:bCs w:val="0"/>
          <w:noProof/>
          <w:u w:val="single"/>
        </w:rPr>
        <w:drawing>
          <wp:anchor distT="0" distB="0" distL="114300" distR="114300" simplePos="0" relativeHeight="251677696" behindDoc="0" locked="0" layoutInCell="1" allowOverlap="1">
            <wp:simplePos x="0" y="0"/>
            <wp:positionH relativeFrom="column">
              <wp:posOffset>90170</wp:posOffset>
            </wp:positionH>
            <wp:positionV relativeFrom="paragraph">
              <wp:posOffset>298450</wp:posOffset>
            </wp:positionV>
            <wp:extent cx="5666740" cy="357251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666740" cy="3572510"/>
                    </a:xfrm>
                    <a:prstGeom prst="rect">
                      <a:avLst/>
                    </a:prstGeom>
                    <a:noFill/>
                    <a:ln w="9525">
                      <a:noFill/>
                      <a:miter lim="800000"/>
                      <a:headEnd/>
                      <a:tailEnd/>
                    </a:ln>
                  </pic:spPr>
                </pic:pic>
              </a:graphicData>
            </a:graphic>
          </wp:anchor>
        </w:drawing>
      </w:r>
      <w:r w:rsidR="00E05F22">
        <w:rPr>
          <w:rStyle w:val="LineNumber"/>
          <w:bCs w:val="0"/>
          <w:u w:val="single"/>
        </w:rPr>
        <w:t>Illustration No. 4</w:t>
      </w:r>
    </w:p>
    <w:p w:rsidR="00754906" w:rsidRDefault="00754906" w:rsidP="00371FF5">
      <w:pPr>
        <w:pStyle w:val="BodyTextIndent"/>
        <w:tabs>
          <w:tab w:val="left" w:pos="1440"/>
        </w:tabs>
        <w:ind w:right="-432" w:firstLine="720"/>
        <w:jc w:val="both"/>
        <w:rPr>
          <w:rStyle w:val="LineNumber"/>
          <w:b w:val="0"/>
          <w:bCs w:val="0"/>
        </w:rPr>
      </w:pPr>
    </w:p>
    <w:p w:rsidR="00754906" w:rsidRDefault="00754906" w:rsidP="00371FF5">
      <w:pPr>
        <w:pStyle w:val="BodyTextIndent"/>
        <w:tabs>
          <w:tab w:val="left" w:pos="1440"/>
        </w:tabs>
        <w:ind w:right="-432" w:firstLine="720"/>
        <w:jc w:val="both"/>
        <w:rPr>
          <w:rStyle w:val="LineNumber"/>
          <w:b w:val="0"/>
          <w:bCs w:val="0"/>
        </w:rPr>
      </w:pPr>
    </w:p>
    <w:p w:rsidR="00754906" w:rsidRDefault="00754906" w:rsidP="00371FF5">
      <w:pPr>
        <w:pStyle w:val="BodyTextIndent"/>
        <w:tabs>
          <w:tab w:val="left" w:pos="1440"/>
        </w:tabs>
        <w:ind w:right="-432" w:firstLine="720"/>
        <w:jc w:val="both"/>
        <w:rPr>
          <w:rStyle w:val="LineNumber"/>
          <w:b w:val="0"/>
          <w:bCs w:val="0"/>
        </w:rPr>
      </w:pPr>
    </w:p>
    <w:p w:rsidR="00754906" w:rsidRDefault="00754906" w:rsidP="00371FF5">
      <w:pPr>
        <w:pStyle w:val="BodyTextIndent"/>
        <w:tabs>
          <w:tab w:val="left" w:pos="1440"/>
        </w:tabs>
        <w:ind w:right="-432" w:firstLine="720"/>
        <w:jc w:val="both"/>
        <w:rPr>
          <w:rStyle w:val="LineNumber"/>
          <w:b w:val="0"/>
          <w:bCs w:val="0"/>
        </w:rPr>
      </w:pPr>
    </w:p>
    <w:p w:rsidR="00754906" w:rsidRDefault="00754906" w:rsidP="00371FF5">
      <w:pPr>
        <w:pStyle w:val="BodyTextIndent"/>
        <w:tabs>
          <w:tab w:val="left" w:pos="1440"/>
        </w:tabs>
        <w:ind w:right="-432" w:firstLine="720"/>
        <w:jc w:val="both"/>
        <w:rPr>
          <w:rStyle w:val="LineNumber"/>
          <w:b w:val="0"/>
          <w:bCs w:val="0"/>
        </w:rPr>
      </w:pPr>
    </w:p>
    <w:p w:rsidR="00754906" w:rsidRDefault="00754906" w:rsidP="00371FF5">
      <w:pPr>
        <w:pStyle w:val="BodyTextIndent"/>
        <w:tabs>
          <w:tab w:val="left" w:pos="1440"/>
        </w:tabs>
        <w:ind w:right="-432" w:firstLine="720"/>
        <w:jc w:val="both"/>
        <w:rPr>
          <w:rStyle w:val="LineNumber"/>
          <w:b w:val="0"/>
          <w:bCs w:val="0"/>
        </w:rPr>
      </w:pPr>
    </w:p>
    <w:p w:rsidR="00754906" w:rsidRDefault="00754906" w:rsidP="00371FF5">
      <w:pPr>
        <w:pStyle w:val="BodyTextIndent"/>
        <w:tabs>
          <w:tab w:val="left" w:pos="1440"/>
        </w:tabs>
        <w:ind w:right="-432" w:firstLine="720"/>
        <w:jc w:val="both"/>
        <w:rPr>
          <w:rStyle w:val="LineNumber"/>
          <w:b w:val="0"/>
          <w:bCs w:val="0"/>
        </w:rPr>
      </w:pPr>
    </w:p>
    <w:p w:rsidR="00754906" w:rsidRDefault="00754906" w:rsidP="00371FF5">
      <w:pPr>
        <w:pStyle w:val="BodyTextIndent"/>
        <w:tabs>
          <w:tab w:val="left" w:pos="1440"/>
        </w:tabs>
        <w:ind w:right="-432" w:firstLine="720"/>
        <w:jc w:val="both"/>
        <w:rPr>
          <w:rStyle w:val="LineNumber"/>
          <w:b w:val="0"/>
          <w:bCs w:val="0"/>
        </w:rPr>
      </w:pPr>
    </w:p>
    <w:p w:rsidR="00754906" w:rsidRDefault="00754906" w:rsidP="00371FF5">
      <w:pPr>
        <w:pStyle w:val="BodyTextIndent"/>
        <w:tabs>
          <w:tab w:val="left" w:pos="1440"/>
        </w:tabs>
        <w:ind w:right="-432" w:firstLine="720"/>
        <w:jc w:val="both"/>
        <w:rPr>
          <w:rStyle w:val="LineNumber"/>
          <w:b w:val="0"/>
          <w:bCs w:val="0"/>
        </w:rPr>
      </w:pPr>
    </w:p>
    <w:p w:rsidR="00754906" w:rsidRDefault="00754906" w:rsidP="00371FF5">
      <w:pPr>
        <w:pStyle w:val="BodyTextIndent"/>
        <w:tabs>
          <w:tab w:val="left" w:pos="1440"/>
        </w:tabs>
        <w:ind w:right="-432" w:firstLine="720"/>
        <w:jc w:val="both"/>
        <w:rPr>
          <w:rStyle w:val="LineNumber"/>
          <w:b w:val="0"/>
          <w:bCs w:val="0"/>
        </w:rPr>
      </w:pPr>
    </w:p>
    <w:p w:rsidR="007A3E30" w:rsidRPr="00B439FC" w:rsidRDefault="007A3E30" w:rsidP="00371FF5">
      <w:pPr>
        <w:pStyle w:val="BodyTextIndent"/>
        <w:tabs>
          <w:tab w:val="left" w:pos="1440"/>
        </w:tabs>
        <w:ind w:right="-432" w:firstLine="720"/>
        <w:jc w:val="both"/>
        <w:rPr>
          <w:rStyle w:val="LineNumber"/>
          <w:b w:val="0"/>
          <w:bCs w:val="0"/>
        </w:rPr>
      </w:pPr>
    </w:p>
    <w:p w:rsidR="008D2FB4" w:rsidRDefault="008D2FB4" w:rsidP="005A7590">
      <w:pPr>
        <w:pStyle w:val="BodyTextIndent"/>
        <w:tabs>
          <w:tab w:val="left" w:pos="1440"/>
        </w:tabs>
        <w:ind w:right="-432"/>
        <w:jc w:val="both"/>
        <w:rPr>
          <w:rStyle w:val="LineNumber"/>
          <w:bCs w:val="0"/>
        </w:rPr>
      </w:pPr>
    </w:p>
    <w:p w:rsidR="00FA200B" w:rsidRPr="006F7FCD" w:rsidRDefault="006F7FCD" w:rsidP="00371FF5">
      <w:pPr>
        <w:pStyle w:val="BodyTextIndent"/>
        <w:tabs>
          <w:tab w:val="left" w:pos="1440"/>
        </w:tabs>
        <w:ind w:right="-432" w:firstLine="720"/>
        <w:jc w:val="both"/>
        <w:rPr>
          <w:rStyle w:val="LineNumber"/>
          <w:bCs w:val="0"/>
        </w:rPr>
      </w:pPr>
      <w:r w:rsidRPr="006F7FCD">
        <w:rPr>
          <w:rStyle w:val="LineNumber"/>
          <w:bCs w:val="0"/>
        </w:rPr>
        <w:t>Q.</w:t>
      </w:r>
      <w:r w:rsidRPr="006F7FCD">
        <w:rPr>
          <w:rStyle w:val="LineNumber"/>
          <w:bCs w:val="0"/>
        </w:rPr>
        <w:tab/>
        <w:t>In Avista’s la</w:t>
      </w:r>
      <w:r w:rsidR="00F27360">
        <w:rPr>
          <w:rStyle w:val="LineNumber"/>
          <w:bCs w:val="0"/>
        </w:rPr>
        <w:t>st general rate case in 2012, the Company</w:t>
      </w:r>
      <w:r w:rsidRPr="006F7FCD">
        <w:rPr>
          <w:rStyle w:val="LineNumber"/>
          <w:bCs w:val="0"/>
        </w:rPr>
        <w:t xml:space="preserve"> provided, in addition to the attrition analysis, a pro forma study as a </w:t>
      </w:r>
      <w:r w:rsidR="00AF17B6">
        <w:rPr>
          <w:rStyle w:val="LineNumber"/>
          <w:bCs w:val="0"/>
        </w:rPr>
        <w:t>“</w:t>
      </w:r>
      <w:r w:rsidR="00FF6683">
        <w:rPr>
          <w:rStyle w:val="LineNumber"/>
          <w:bCs w:val="0"/>
        </w:rPr>
        <w:t xml:space="preserve">cross </w:t>
      </w:r>
      <w:r w:rsidRPr="006F7FCD">
        <w:rPr>
          <w:rStyle w:val="LineNumber"/>
          <w:bCs w:val="0"/>
        </w:rPr>
        <w:t>check</w:t>
      </w:r>
      <w:r w:rsidR="00AF17B6">
        <w:rPr>
          <w:rStyle w:val="LineNumber"/>
          <w:bCs w:val="0"/>
        </w:rPr>
        <w:t>”</w:t>
      </w:r>
      <w:r w:rsidRPr="006F7FCD">
        <w:rPr>
          <w:rStyle w:val="LineNumber"/>
          <w:bCs w:val="0"/>
        </w:rPr>
        <w:t xml:space="preserve"> on the prop</w:t>
      </w:r>
      <w:r w:rsidR="00BB3837">
        <w:rPr>
          <w:rStyle w:val="LineNumber"/>
          <w:bCs w:val="0"/>
        </w:rPr>
        <w:t>osed Attrition A</w:t>
      </w:r>
      <w:r w:rsidR="00F27360">
        <w:rPr>
          <w:rStyle w:val="LineNumber"/>
          <w:bCs w:val="0"/>
        </w:rPr>
        <w:t>djustment</w:t>
      </w:r>
      <w:r w:rsidRPr="006F7FCD">
        <w:rPr>
          <w:rStyle w:val="LineNumber"/>
          <w:bCs w:val="0"/>
        </w:rPr>
        <w:t>.  Has the Company also included a pro forma study in this filing to compare with the attrition analysis?</w:t>
      </w:r>
    </w:p>
    <w:p w:rsidR="0008449E" w:rsidRDefault="00AD73BB" w:rsidP="00371FF5">
      <w:pPr>
        <w:pStyle w:val="BodyTextIndent"/>
        <w:tabs>
          <w:tab w:val="left" w:pos="1440"/>
        </w:tabs>
        <w:suppressAutoHyphens w:val="0"/>
        <w:ind w:right="-432" w:firstLine="720"/>
        <w:jc w:val="both"/>
        <w:rPr>
          <w:rStyle w:val="LineNumber"/>
          <w:b w:val="0"/>
          <w:bCs w:val="0"/>
        </w:rPr>
      </w:pPr>
      <w:r>
        <w:rPr>
          <w:rStyle w:val="LineNumber"/>
          <w:b w:val="0"/>
          <w:bCs w:val="0"/>
        </w:rPr>
        <w:lastRenderedPageBreak/>
        <w:t>A.</w:t>
      </w:r>
      <w:r>
        <w:rPr>
          <w:rStyle w:val="LineNumber"/>
          <w:b w:val="0"/>
          <w:bCs w:val="0"/>
        </w:rPr>
        <w:tab/>
        <w:t xml:space="preserve">Yes.  </w:t>
      </w:r>
      <w:r w:rsidR="00A50047">
        <w:rPr>
          <w:rStyle w:val="LineNumber"/>
          <w:b w:val="0"/>
          <w:bCs w:val="0"/>
        </w:rPr>
        <w:t xml:space="preserve">Ms. Andrews </w:t>
      </w:r>
      <w:r w:rsidR="00D05D98">
        <w:rPr>
          <w:rStyle w:val="LineNumber"/>
          <w:b w:val="0"/>
          <w:bCs w:val="0"/>
        </w:rPr>
        <w:t xml:space="preserve">includes this pro forma analysis </w:t>
      </w:r>
      <w:r w:rsidR="00E63C63">
        <w:rPr>
          <w:rStyle w:val="LineNumber"/>
          <w:b w:val="0"/>
          <w:bCs w:val="0"/>
        </w:rPr>
        <w:t xml:space="preserve">(Pro Forma Cross Check Study) </w:t>
      </w:r>
      <w:r w:rsidR="00D05D98">
        <w:rPr>
          <w:rStyle w:val="LineNumber"/>
          <w:b w:val="0"/>
          <w:bCs w:val="0"/>
        </w:rPr>
        <w:t xml:space="preserve">in her testimony and exhibits.  Ms. Andrews </w:t>
      </w:r>
      <w:r w:rsidR="00A50047">
        <w:rPr>
          <w:rStyle w:val="LineNumber"/>
          <w:b w:val="0"/>
          <w:bCs w:val="0"/>
        </w:rPr>
        <w:t xml:space="preserve">started with the unadjusted results of operations for the 12-months ended June 2013 and prepared specific restating and pro forma adjustments that have, at various times, been adopted </w:t>
      </w:r>
      <w:r w:rsidR="0008449E">
        <w:rPr>
          <w:rStyle w:val="LineNumber"/>
          <w:b w:val="0"/>
          <w:bCs w:val="0"/>
        </w:rPr>
        <w:t>in prior rate cases.  S</w:t>
      </w:r>
      <w:r w:rsidR="00A50047">
        <w:rPr>
          <w:rStyle w:val="LineNumber"/>
          <w:b w:val="0"/>
          <w:bCs w:val="0"/>
        </w:rPr>
        <w:t xml:space="preserve">he pro formed </w:t>
      </w:r>
      <w:r w:rsidR="00A50047" w:rsidRPr="00B952E0">
        <w:rPr>
          <w:rStyle w:val="LineNumber"/>
          <w:b w:val="0"/>
          <w:bCs w:val="0"/>
        </w:rPr>
        <w:t xml:space="preserve">plant investment through the end of the </w:t>
      </w:r>
      <w:r w:rsidR="00D05D98">
        <w:rPr>
          <w:rStyle w:val="LineNumber"/>
          <w:b w:val="0"/>
          <w:bCs w:val="0"/>
        </w:rPr>
        <w:t>June 2013</w:t>
      </w:r>
      <w:r w:rsidR="00A50047" w:rsidRPr="00B952E0">
        <w:rPr>
          <w:rStyle w:val="LineNumber"/>
          <w:b w:val="0"/>
          <w:bCs w:val="0"/>
        </w:rPr>
        <w:t xml:space="preserve"> historical test period (</w:t>
      </w:r>
      <w:r w:rsidR="0008449E">
        <w:rPr>
          <w:rStyle w:val="LineNumber"/>
          <w:b w:val="0"/>
          <w:bCs w:val="0"/>
        </w:rPr>
        <w:t>year-end test period rate base), and then added incremental rate base investment through the 2015 rate year on an average of monthly average basis.</w:t>
      </w:r>
      <w:r w:rsidR="00A50047" w:rsidRPr="00B952E0">
        <w:rPr>
          <w:rStyle w:val="LineNumber"/>
          <w:b w:val="0"/>
          <w:bCs w:val="0"/>
        </w:rPr>
        <w:t xml:space="preserve">  </w:t>
      </w:r>
    </w:p>
    <w:p w:rsidR="00D25102" w:rsidRDefault="00D05D98" w:rsidP="00371FF5">
      <w:pPr>
        <w:pStyle w:val="BodyTextIndent"/>
        <w:tabs>
          <w:tab w:val="left" w:pos="1440"/>
        </w:tabs>
        <w:suppressAutoHyphens w:val="0"/>
        <w:ind w:right="-432" w:firstLine="720"/>
        <w:jc w:val="both"/>
        <w:rPr>
          <w:rStyle w:val="LineNumber"/>
          <w:b w:val="0"/>
          <w:bCs w:val="0"/>
        </w:rPr>
      </w:pPr>
      <w:r>
        <w:rPr>
          <w:rStyle w:val="LineNumber"/>
          <w:b w:val="0"/>
          <w:bCs w:val="0"/>
        </w:rPr>
        <w:t>Ms. Andrews also includes a number of pro forma adjustments to utility operating expenses in order to reflect the level of expe</w:t>
      </w:r>
      <w:r w:rsidR="00047B70">
        <w:rPr>
          <w:rStyle w:val="LineNumber"/>
          <w:b w:val="0"/>
          <w:bCs w:val="0"/>
        </w:rPr>
        <w:t xml:space="preserve">nses that are expected </w:t>
      </w:r>
      <w:r>
        <w:rPr>
          <w:rStyle w:val="LineNumber"/>
          <w:b w:val="0"/>
          <w:bCs w:val="0"/>
        </w:rPr>
        <w:t xml:space="preserve">in the 2015 rate year.  Finally, </w:t>
      </w:r>
      <w:r w:rsidR="00A50047">
        <w:rPr>
          <w:rStyle w:val="LineNumber"/>
          <w:b w:val="0"/>
          <w:bCs w:val="0"/>
        </w:rPr>
        <w:t xml:space="preserve">Ms. Andrews captured in her analysis the impact of the ongoing </w:t>
      </w:r>
      <w:r w:rsidR="007A3D8F">
        <w:rPr>
          <w:rStyle w:val="LineNumber"/>
          <w:b w:val="0"/>
          <w:bCs w:val="0"/>
        </w:rPr>
        <w:t>electric energy efficiency</w:t>
      </w:r>
      <w:r w:rsidR="00A50047">
        <w:rPr>
          <w:rStyle w:val="LineNumber"/>
          <w:b w:val="0"/>
          <w:bCs w:val="0"/>
        </w:rPr>
        <w:t xml:space="preserve"> program.  </w:t>
      </w:r>
      <w:r w:rsidR="00A50047" w:rsidRPr="00B952E0">
        <w:rPr>
          <w:rStyle w:val="LineNumber"/>
          <w:b w:val="0"/>
          <w:bCs w:val="0"/>
        </w:rPr>
        <w:t>In a general rate case</w:t>
      </w:r>
      <w:r w:rsidR="00A50047">
        <w:rPr>
          <w:rStyle w:val="LineNumber"/>
          <w:b w:val="0"/>
          <w:bCs w:val="0"/>
        </w:rPr>
        <w:t>,</w:t>
      </w:r>
      <w:r w:rsidR="00A50047" w:rsidRPr="00B952E0">
        <w:rPr>
          <w:rStyle w:val="LineNumber"/>
          <w:b w:val="0"/>
          <w:bCs w:val="0"/>
        </w:rPr>
        <w:t xml:space="preserve"> we begin with h</w:t>
      </w:r>
      <w:r w:rsidR="000E62DB">
        <w:rPr>
          <w:rStyle w:val="LineNumber"/>
          <w:b w:val="0"/>
          <w:bCs w:val="0"/>
        </w:rPr>
        <w:t>i</w:t>
      </w:r>
      <w:r w:rsidR="00B40FEC">
        <w:rPr>
          <w:rStyle w:val="LineNumber"/>
          <w:b w:val="0"/>
          <w:bCs w:val="0"/>
        </w:rPr>
        <w:t>storical test period kWh sales, b</w:t>
      </w:r>
      <w:r w:rsidR="000E62DB">
        <w:rPr>
          <w:rStyle w:val="LineNumber"/>
          <w:b w:val="0"/>
          <w:bCs w:val="0"/>
        </w:rPr>
        <w:t>ut those kWh</w:t>
      </w:r>
      <w:r>
        <w:rPr>
          <w:rStyle w:val="LineNumber"/>
          <w:b w:val="0"/>
          <w:bCs w:val="0"/>
        </w:rPr>
        <w:t xml:space="preserve"> sales need to be reduced to reflect the reduced consumption by </w:t>
      </w:r>
      <w:r w:rsidR="00A50047" w:rsidRPr="00B952E0">
        <w:rPr>
          <w:rStyle w:val="LineNumber"/>
          <w:b w:val="0"/>
          <w:bCs w:val="0"/>
        </w:rPr>
        <w:t xml:space="preserve">customers </w:t>
      </w:r>
      <w:r>
        <w:rPr>
          <w:rStyle w:val="LineNumber"/>
          <w:b w:val="0"/>
          <w:bCs w:val="0"/>
        </w:rPr>
        <w:t>related to Avista’s energy efficiency program</w:t>
      </w:r>
      <w:r w:rsidR="007A3D8F">
        <w:rPr>
          <w:rStyle w:val="LineNumber"/>
          <w:b w:val="0"/>
          <w:bCs w:val="0"/>
        </w:rPr>
        <w:t>, from the historical test year to the rate year.</w:t>
      </w:r>
      <w:r w:rsidR="00A50047" w:rsidRPr="00B952E0">
        <w:rPr>
          <w:rStyle w:val="LineNumber"/>
          <w:b w:val="0"/>
          <w:bCs w:val="0"/>
        </w:rPr>
        <w:t xml:space="preserve">  </w:t>
      </w:r>
    </w:p>
    <w:p w:rsidR="007A3D8F" w:rsidRDefault="00A50047" w:rsidP="00371FF5">
      <w:pPr>
        <w:pStyle w:val="BodyTextIndent"/>
        <w:tabs>
          <w:tab w:val="left" w:pos="1440"/>
        </w:tabs>
        <w:suppressAutoHyphens w:val="0"/>
        <w:ind w:right="-432" w:firstLine="720"/>
        <w:jc w:val="both"/>
        <w:rPr>
          <w:rFonts w:ascii="Times New Roman" w:hAnsi="Times New Roman" w:cs="Times New Roman"/>
          <w:b w:val="0"/>
        </w:rPr>
      </w:pPr>
      <w:r w:rsidRPr="004A7018">
        <w:rPr>
          <w:rFonts w:ascii="Times New Roman" w:hAnsi="Times New Roman" w:cs="Times New Roman"/>
          <w:b w:val="0"/>
        </w:rPr>
        <w:t xml:space="preserve">The total revenue requirement associated with Ms. Andrews' </w:t>
      </w:r>
      <w:r w:rsidR="00DC4549">
        <w:rPr>
          <w:rFonts w:ascii="Times New Roman" w:hAnsi="Times New Roman" w:cs="Times New Roman"/>
          <w:b w:val="0"/>
        </w:rPr>
        <w:t xml:space="preserve">electric </w:t>
      </w:r>
      <w:r w:rsidR="00E63C63">
        <w:rPr>
          <w:rFonts w:ascii="Times New Roman" w:hAnsi="Times New Roman" w:cs="Times New Roman"/>
          <w:b w:val="0"/>
        </w:rPr>
        <w:t>Pro F</w:t>
      </w:r>
      <w:r w:rsidR="002C2990">
        <w:rPr>
          <w:rFonts w:ascii="Times New Roman" w:hAnsi="Times New Roman" w:cs="Times New Roman"/>
          <w:b w:val="0"/>
        </w:rPr>
        <w:t xml:space="preserve">orma </w:t>
      </w:r>
      <w:r w:rsidR="00E63C63">
        <w:rPr>
          <w:rFonts w:ascii="Times New Roman" w:hAnsi="Times New Roman" w:cs="Times New Roman"/>
          <w:b w:val="0"/>
        </w:rPr>
        <w:t>Cross C</w:t>
      </w:r>
      <w:r w:rsidR="00FF6683">
        <w:rPr>
          <w:rFonts w:ascii="Times New Roman" w:hAnsi="Times New Roman" w:cs="Times New Roman"/>
          <w:b w:val="0"/>
        </w:rPr>
        <w:t xml:space="preserve">heck </w:t>
      </w:r>
      <w:r w:rsidR="00E63C63">
        <w:rPr>
          <w:rFonts w:ascii="Times New Roman" w:hAnsi="Times New Roman" w:cs="Times New Roman"/>
          <w:b w:val="0"/>
        </w:rPr>
        <w:t>Study</w:t>
      </w:r>
      <w:r w:rsidR="002C2990">
        <w:rPr>
          <w:rFonts w:ascii="Times New Roman" w:hAnsi="Times New Roman" w:cs="Times New Roman"/>
          <w:b w:val="0"/>
        </w:rPr>
        <w:t xml:space="preserve"> is $</w:t>
      </w:r>
      <w:r w:rsidR="00FF6683">
        <w:rPr>
          <w:rFonts w:ascii="Times New Roman" w:hAnsi="Times New Roman" w:cs="Times New Roman"/>
          <w:b w:val="0"/>
        </w:rPr>
        <w:t>18.3</w:t>
      </w:r>
      <w:r w:rsidRPr="004A7018">
        <w:rPr>
          <w:rFonts w:ascii="Times New Roman" w:hAnsi="Times New Roman" w:cs="Times New Roman"/>
          <w:b w:val="0"/>
        </w:rPr>
        <w:t xml:space="preserve"> mi</w:t>
      </w:r>
      <w:r w:rsidR="001B186C">
        <w:rPr>
          <w:rFonts w:ascii="Times New Roman" w:hAnsi="Times New Roman" w:cs="Times New Roman"/>
          <w:b w:val="0"/>
        </w:rPr>
        <w:t>llion.  By comparison, Ms. Andrews’</w:t>
      </w:r>
      <w:r w:rsidRPr="004A7018">
        <w:rPr>
          <w:rFonts w:ascii="Times New Roman" w:hAnsi="Times New Roman" w:cs="Times New Roman"/>
          <w:b w:val="0"/>
        </w:rPr>
        <w:t xml:space="preserve"> </w:t>
      </w:r>
      <w:r w:rsidR="00DC4549">
        <w:rPr>
          <w:rFonts w:ascii="Times New Roman" w:hAnsi="Times New Roman" w:cs="Times New Roman"/>
          <w:b w:val="0"/>
        </w:rPr>
        <w:t>electri</w:t>
      </w:r>
      <w:r w:rsidR="00E63C63">
        <w:rPr>
          <w:rFonts w:ascii="Times New Roman" w:hAnsi="Times New Roman" w:cs="Times New Roman"/>
          <w:b w:val="0"/>
        </w:rPr>
        <w:t>c revenue requirement from the A</w:t>
      </w:r>
      <w:r w:rsidRPr="004A7018">
        <w:rPr>
          <w:rFonts w:ascii="Times New Roman" w:hAnsi="Times New Roman" w:cs="Times New Roman"/>
          <w:b w:val="0"/>
        </w:rPr>
        <w:t xml:space="preserve">ttrition </w:t>
      </w:r>
      <w:r w:rsidR="00E63C63">
        <w:rPr>
          <w:rFonts w:ascii="Times New Roman" w:hAnsi="Times New Roman" w:cs="Times New Roman"/>
          <w:b w:val="0"/>
        </w:rPr>
        <w:t>S</w:t>
      </w:r>
      <w:r w:rsidR="00DC4549">
        <w:rPr>
          <w:rFonts w:ascii="Times New Roman" w:hAnsi="Times New Roman" w:cs="Times New Roman"/>
          <w:b w:val="0"/>
        </w:rPr>
        <w:t>tudy</w:t>
      </w:r>
      <w:r w:rsidR="007A3D8F">
        <w:rPr>
          <w:rFonts w:ascii="Times New Roman" w:hAnsi="Times New Roman" w:cs="Times New Roman"/>
          <w:b w:val="0"/>
        </w:rPr>
        <w:t xml:space="preserve"> is $</w:t>
      </w:r>
      <w:r w:rsidR="00FF6683">
        <w:rPr>
          <w:rFonts w:ascii="Times New Roman" w:hAnsi="Times New Roman" w:cs="Times New Roman"/>
          <w:b w:val="0"/>
        </w:rPr>
        <w:t>18.2</w:t>
      </w:r>
      <w:r w:rsidRPr="004A7018">
        <w:rPr>
          <w:rFonts w:ascii="Times New Roman" w:hAnsi="Times New Roman" w:cs="Times New Roman"/>
          <w:b w:val="0"/>
        </w:rPr>
        <w:t xml:space="preserve"> million.</w:t>
      </w:r>
      <w:r w:rsidR="00DC4549">
        <w:rPr>
          <w:rFonts w:ascii="Times New Roman" w:hAnsi="Times New Roman" w:cs="Times New Roman"/>
          <w:b w:val="0"/>
        </w:rPr>
        <w:t xml:space="preserve">  It is</w:t>
      </w:r>
      <w:r w:rsidR="007A3D8F">
        <w:rPr>
          <w:rFonts w:ascii="Times New Roman" w:hAnsi="Times New Roman" w:cs="Times New Roman"/>
          <w:b w:val="0"/>
        </w:rPr>
        <w:t xml:space="preserve"> not </w:t>
      </w:r>
      <w:r w:rsidR="00DC4549">
        <w:rPr>
          <w:rFonts w:ascii="Times New Roman" w:hAnsi="Times New Roman" w:cs="Times New Roman"/>
          <w:b w:val="0"/>
        </w:rPr>
        <w:t xml:space="preserve">surprising that the difference between </w:t>
      </w:r>
      <w:r w:rsidR="008D389C">
        <w:rPr>
          <w:rFonts w:ascii="Times New Roman" w:hAnsi="Times New Roman" w:cs="Times New Roman"/>
          <w:b w:val="0"/>
        </w:rPr>
        <w:t>the two is small, because if</w:t>
      </w:r>
      <w:r w:rsidR="00DC4549">
        <w:rPr>
          <w:rFonts w:ascii="Times New Roman" w:hAnsi="Times New Roman" w:cs="Times New Roman"/>
          <w:b w:val="0"/>
        </w:rPr>
        <w:t xml:space="preserve"> both analyses properly capture the changes in the growth in rate base, expenses and revenues between the historical test yea</w:t>
      </w:r>
      <w:r w:rsidR="008D389C">
        <w:rPr>
          <w:rFonts w:ascii="Times New Roman" w:hAnsi="Times New Roman" w:cs="Times New Roman"/>
          <w:b w:val="0"/>
        </w:rPr>
        <w:t>r and the future rate year,</w:t>
      </w:r>
      <w:r w:rsidR="00DC4549">
        <w:rPr>
          <w:rFonts w:ascii="Times New Roman" w:hAnsi="Times New Roman" w:cs="Times New Roman"/>
          <w:b w:val="0"/>
        </w:rPr>
        <w:t xml:space="preserve"> both should yield similar results.</w:t>
      </w:r>
    </w:p>
    <w:p w:rsidR="00DC4549" w:rsidRDefault="00DC4549" w:rsidP="00371FF5">
      <w:pPr>
        <w:pStyle w:val="BodyTextIndent"/>
        <w:tabs>
          <w:tab w:val="left" w:pos="1440"/>
        </w:tabs>
        <w:suppressAutoHyphens w:val="0"/>
        <w:ind w:right="-432" w:firstLine="720"/>
        <w:jc w:val="both"/>
        <w:rPr>
          <w:rFonts w:ascii="Times New Roman" w:hAnsi="Times New Roman" w:cs="Times New Roman"/>
          <w:b w:val="0"/>
        </w:rPr>
      </w:pPr>
      <w:r>
        <w:rPr>
          <w:rFonts w:ascii="Times New Roman" w:hAnsi="Times New Roman" w:cs="Times New Roman"/>
          <w:b w:val="0"/>
        </w:rPr>
        <w:t>For natural gas, t</w:t>
      </w:r>
      <w:r w:rsidRPr="004A7018">
        <w:rPr>
          <w:rFonts w:ascii="Times New Roman" w:hAnsi="Times New Roman" w:cs="Times New Roman"/>
          <w:b w:val="0"/>
        </w:rPr>
        <w:t xml:space="preserve">he total revenue requirement associated with Ms. Andrews' </w:t>
      </w:r>
      <w:r w:rsidR="00E63C63">
        <w:rPr>
          <w:rFonts w:ascii="Times New Roman" w:hAnsi="Times New Roman" w:cs="Times New Roman"/>
          <w:b w:val="0"/>
        </w:rPr>
        <w:t>Pro F</w:t>
      </w:r>
      <w:r>
        <w:rPr>
          <w:rFonts w:ascii="Times New Roman" w:hAnsi="Times New Roman" w:cs="Times New Roman"/>
          <w:b w:val="0"/>
        </w:rPr>
        <w:t xml:space="preserve">orma </w:t>
      </w:r>
      <w:r w:rsidR="00E63C63">
        <w:rPr>
          <w:rFonts w:ascii="Times New Roman" w:hAnsi="Times New Roman" w:cs="Times New Roman"/>
          <w:b w:val="0"/>
        </w:rPr>
        <w:t>Cross C</w:t>
      </w:r>
      <w:r w:rsidR="00FF6683">
        <w:rPr>
          <w:rFonts w:ascii="Times New Roman" w:hAnsi="Times New Roman" w:cs="Times New Roman"/>
          <w:b w:val="0"/>
        </w:rPr>
        <w:t xml:space="preserve">heck </w:t>
      </w:r>
      <w:r w:rsidR="00E63C63">
        <w:rPr>
          <w:rFonts w:ascii="Times New Roman" w:hAnsi="Times New Roman" w:cs="Times New Roman"/>
          <w:b w:val="0"/>
        </w:rPr>
        <w:t>Study</w:t>
      </w:r>
      <w:r>
        <w:rPr>
          <w:rFonts w:ascii="Times New Roman" w:hAnsi="Times New Roman" w:cs="Times New Roman"/>
          <w:b w:val="0"/>
        </w:rPr>
        <w:t xml:space="preserve"> is $</w:t>
      </w:r>
      <w:r w:rsidR="00FF6683">
        <w:rPr>
          <w:rFonts w:ascii="Times New Roman" w:hAnsi="Times New Roman" w:cs="Times New Roman"/>
          <w:b w:val="0"/>
        </w:rPr>
        <w:t>12.6</w:t>
      </w:r>
      <w:r w:rsidRPr="004A7018">
        <w:rPr>
          <w:rFonts w:ascii="Times New Roman" w:hAnsi="Times New Roman" w:cs="Times New Roman"/>
          <w:b w:val="0"/>
        </w:rPr>
        <w:t xml:space="preserve"> mi</w:t>
      </w:r>
      <w:r>
        <w:rPr>
          <w:rFonts w:ascii="Times New Roman" w:hAnsi="Times New Roman" w:cs="Times New Roman"/>
          <w:b w:val="0"/>
        </w:rPr>
        <w:t>llion.  By comparison, Ms. Andrews’</w:t>
      </w:r>
      <w:r w:rsidRPr="004A7018">
        <w:rPr>
          <w:rFonts w:ascii="Times New Roman" w:hAnsi="Times New Roman" w:cs="Times New Roman"/>
          <w:b w:val="0"/>
        </w:rPr>
        <w:t xml:space="preserve"> </w:t>
      </w:r>
      <w:r w:rsidR="00A025EF">
        <w:rPr>
          <w:rFonts w:ascii="Times New Roman" w:hAnsi="Times New Roman" w:cs="Times New Roman"/>
          <w:b w:val="0"/>
        </w:rPr>
        <w:t>natural gas</w:t>
      </w:r>
      <w:r w:rsidR="00E63C63">
        <w:rPr>
          <w:rFonts w:ascii="Times New Roman" w:hAnsi="Times New Roman" w:cs="Times New Roman"/>
          <w:b w:val="0"/>
        </w:rPr>
        <w:t xml:space="preserve"> revenue requirement from the A</w:t>
      </w:r>
      <w:r w:rsidRPr="004A7018">
        <w:rPr>
          <w:rFonts w:ascii="Times New Roman" w:hAnsi="Times New Roman" w:cs="Times New Roman"/>
          <w:b w:val="0"/>
        </w:rPr>
        <w:t xml:space="preserve">ttrition </w:t>
      </w:r>
      <w:r w:rsidR="00E63C63">
        <w:rPr>
          <w:rFonts w:ascii="Times New Roman" w:hAnsi="Times New Roman" w:cs="Times New Roman"/>
          <w:b w:val="0"/>
        </w:rPr>
        <w:t>S</w:t>
      </w:r>
      <w:r>
        <w:rPr>
          <w:rFonts w:ascii="Times New Roman" w:hAnsi="Times New Roman" w:cs="Times New Roman"/>
          <w:b w:val="0"/>
        </w:rPr>
        <w:t>tudy is $</w:t>
      </w:r>
      <w:r w:rsidR="00FF6683">
        <w:rPr>
          <w:rFonts w:ascii="Times New Roman" w:hAnsi="Times New Roman" w:cs="Times New Roman"/>
          <w:b w:val="0"/>
        </w:rPr>
        <w:t>12.1</w:t>
      </w:r>
      <w:r w:rsidRPr="004A7018">
        <w:rPr>
          <w:rFonts w:ascii="Times New Roman" w:hAnsi="Times New Roman" w:cs="Times New Roman"/>
          <w:b w:val="0"/>
        </w:rPr>
        <w:t xml:space="preserve"> million.</w:t>
      </w:r>
      <w:r>
        <w:rPr>
          <w:rFonts w:ascii="Times New Roman" w:hAnsi="Times New Roman" w:cs="Times New Roman"/>
          <w:b w:val="0"/>
        </w:rPr>
        <w:t xml:space="preserve">  </w:t>
      </w:r>
    </w:p>
    <w:p w:rsidR="00A025EF" w:rsidRPr="00A025EF" w:rsidRDefault="00A025EF" w:rsidP="00371FF5">
      <w:pPr>
        <w:pStyle w:val="BodyTextIndent"/>
        <w:tabs>
          <w:tab w:val="left" w:pos="1440"/>
        </w:tabs>
        <w:suppressAutoHyphens w:val="0"/>
        <w:ind w:right="-432" w:firstLine="720"/>
        <w:jc w:val="both"/>
        <w:rPr>
          <w:rFonts w:ascii="Times New Roman" w:hAnsi="Times New Roman" w:cs="Times New Roman"/>
        </w:rPr>
      </w:pPr>
      <w:r w:rsidRPr="00A025EF">
        <w:rPr>
          <w:rFonts w:ascii="Times New Roman" w:hAnsi="Times New Roman" w:cs="Times New Roman"/>
        </w:rPr>
        <w:lastRenderedPageBreak/>
        <w:t>Q.</w:t>
      </w:r>
      <w:r w:rsidRPr="00A025EF">
        <w:rPr>
          <w:rFonts w:ascii="Times New Roman" w:hAnsi="Times New Roman" w:cs="Times New Roman"/>
        </w:rPr>
        <w:tab/>
        <w:t>Are the Company’s proposed electric and natural gas revenue increases in this filin</w:t>
      </w:r>
      <w:r w:rsidR="00E63C63">
        <w:rPr>
          <w:rFonts w:ascii="Times New Roman" w:hAnsi="Times New Roman" w:cs="Times New Roman"/>
        </w:rPr>
        <w:t>g based on the A</w:t>
      </w:r>
      <w:r w:rsidR="00596D81">
        <w:rPr>
          <w:rFonts w:ascii="Times New Roman" w:hAnsi="Times New Roman" w:cs="Times New Roman"/>
        </w:rPr>
        <w:t>ttrition Studies or the Pro F</w:t>
      </w:r>
      <w:r w:rsidRPr="00A025EF">
        <w:rPr>
          <w:rFonts w:ascii="Times New Roman" w:hAnsi="Times New Roman" w:cs="Times New Roman"/>
        </w:rPr>
        <w:t xml:space="preserve">orma </w:t>
      </w:r>
      <w:r w:rsidR="00596D81">
        <w:rPr>
          <w:rFonts w:ascii="Times New Roman" w:hAnsi="Times New Roman" w:cs="Times New Roman"/>
        </w:rPr>
        <w:t>Cross Check Studies</w:t>
      </w:r>
      <w:r w:rsidRPr="00A025EF">
        <w:rPr>
          <w:rFonts w:ascii="Times New Roman" w:hAnsi="Times New Roman" w:cs="Times New Roman"/>
        </w:rPr>
        <w:t>?</w:t>
      </w:r>
    </w:p>
    <w:p w:rsidR="00A025EF" w:rsidRDefault="00A025EF" w:rsidP="00371FF5">
      <w:pPr>
        <w:pStyle w:val="BodyTextIndent"/>
        <w:tabs>
          <w:tab w:val="left" w:pos="1440"/>
        </w:tabs>
        <w:suppressAutoHyphens w:val="0"/>
        <w:ind w:right="-432" w:firstLine="720"/>
        <w:jc w:val="both"/>
        <w:rPr>
          <w:rFonts w:ascii="Times New Roman" w:hAnsi="Times New Roman" w:cs="Times New Roman"/>
          <w:b w:val="0"/>
        </w:rPr>
      </w:pPr>
      <w:r>
        <w:rPr>
          <w:rFonts w:ascii="Times New Roman" w:hAnsi="Times New Roman" w:cs="Times New Roman"/>
          <w:b w:val="0"/>
        </w:rPr>
        <w:t>A.</w:t>
      </w:r>
      <w:r>
        <w:rPr>
          <w:rFonts w:ascii="Times New Roman" w:hAnsi="Times New Roman" w:cs="Times New Roman"/>
          <w:b w:val="0"/>
        </w:rPr>
        <w:tab/>
        <w:t>The Company’s proposed electric and natural gas revenue increases i</w:t>
      </w:r>
      <w:r w:rsidR="00596D81">
        <w:rPr>
          <w:rFonts w:ascii="Times New Roman" w:hAnsi="Times New Roman" w:cs="Times New Roman"/>
          <w:b w:val="0"/>
        </w:rPr>
        <w:t>n this filing are based on the Attrition S</w:t>
      </w:r>
      <w:r>
        <w:rPr>
          <w:rFonts w:ascii="Times New Roman" w:hAnsi="Times New Roman" w:cs="Times New Roman"/>
          <w:b w:val="0"/>
        </w:rPr>
        <w:t>tudies.  The</w:t>
      </w:r>
      <w:r w:rsidR="00B65BD2">
        <w:rPr>
          <w:rFonts w:ascii="Times New Roman" w:hAnsi="Times New Roman" w:cs="Times New Roman"/>
          <w:b w:val="0"/>
        </w:rPr>
        <w:t xml:space="preserve"> pro forma analyse</w:t>
      </w:r>
      <w:r>
        <w:rPr>
          <w:rFonts w:ascii="Times New Roman" w:hAnsi="Times New Roman" w:cs="Times New Roman"/>
          <w:b w:val="0"/>
        </w:rPr>
        <w:t>s</w:t>
      </w:r>
      <w:r w:rsidR="00B65BD2">
        <w:rPr>
          <w:rFonts w:ascii="Times New Roman" w:hAnsi="Times New Roman" w:cs="Times New Roman"/>
          <w:b w:val="0"/>
        </w:rPr>
        <w:t xml:space="preserve"> are</w:t>
      </w:r>
      <w:r>
        <w:rPr>
          <w:rFonts w:ascii="Times New Roman" w:hAnsi="Times New Roman" w:cs="Times New Roman"/>
          <w:b w:val="0"/>
        </w:rPr>
        <w:t xml:space="preserve"> provided for informational purposes only.  </w:t>
      </w:r>
    </w:p>
    <w:p w:rsidR="006F7FCD" w:rsidRDefault="00F74782" w:rsidP="00371FF5">
      <w:pPr>
        <w:pStyle w:val="BodyTextIndent"/>
        <w:tabs>
          <w:tab w:val="left" w:pos="1440"/>
        </w:tabs>
        <w:ind w:right="-432" w:firstLine="720"/>
        <w:jc w:val="both"/>
        <w:rPr>
          <w:rStyle w:val="LineNumber"/>
          <w:bCs w:val="0"/>
        </w:rPr>
      </w:pPr>
      <w:r>
        <w:rPr>
          <w:rStyle w:val="LineNumber"/>
          <w:bCs w:val="0"/>
        </w:rPr>
        <w:t>Q.</w:t>
      </w:r>
      <w:r>
        <w:rPr>
          <w:rStyle w:val="LineNumber"/>
          <w:bCs w:val="0"/>
        </w:rPr>
        <w:tab/>
        <w:t>Did the Company review the Expedited Rate Filing</w:t>
      </w:r>
      <w:r w:rsidR="00B40FEC">
        <w:rPr>
          <w:rStyle w:val="LineNumber"/>
          <w:bCs w:val="0"/>
        </w:rPr>
        <w:t xml:space="preserve"> (ERF) and K-Factor</w:t>
      </w:r>
      <w:r w:rsidR="00761588">
        <w:rPr>
          <w:rStyle w:val="LineNumber"/>
          <w:bCs w:val="0"/>
        </w:rPr>
        <w:t xml:space="preserve"> mechanism </w:t>
      </w:r>
      <w:r w:rsidR="00B40FEC">
        <w:rPr>
          <w:rStyle w:val="LineNumber"/>
          <w:bCs w:val="0"/>
        </w:rPr>
        <w:t>recently approved by the Commission</w:t>
      </w:r>
      <w:r>
        <w:rPr>
          <w:rStyle w:val="LineNumber"/>
          <w:bCs w:val="0"/>
        </w:rPr>
        <w:t xml:space="preserve"> for Puget Sound Energy?</w:t>
      </w:r>
    </w:p>
    <w:p w:rsidR="00F74782" w:rsidRDefault="00F74782" w:rsidP="00371FF5">
      <w:pPr>
        <w:pStyle w:val="BodyTextIndent"/>
        <w:tabs>
          <w:tab w:val="left" w:pos="1440"/>
        </w:tabs>
        <w:ind w:right="-432" w:firstLine="720"/>
        <w:jc w:val="both"/>
        <w:rPr>
          <w:rStyle w:val="LineNumber"/>
          <w:b w:val="0"/>
          <w:bCs w:val="0"/>
        </w:rPr>
      </w:pPr>
      <w:r w:rsidRPr="00F74782">
        <w:rPr>
          <w:rStyle w:val="LineNumber"/>
          <w:b w:val="0"/>
          <w:bCs w:val="0"/>
        </w:rPr>
        <w:t>A.</w:t>
      </w:r>
      <w:r w:rsidRPr="00F74782">
        <w:rPr>
          <w:rStyle w:val="LineNumber"/>
          <w:b w:val="0"/>
          <w:bCs w:val="0"/>
        </w:rPr>
        <w:tab/>
        <w:t xml:space="preserve">Yes.  </w:t>
      </w:r>
      <w:r w:rsidR="00761588">
        <w:rPr>
          <w:rStyle w:val="LineNumber"/>
          <w:b w:val="0"/>
          <w:bCs w:val="0"/>
        </w:rPr>
        <w:t>Avista reviewed this mechanism</w:t>
      </w:r>
      <w:r w:rsidR="000A49D6">
        <w:rPr>
          <w:rStyle w:val="LineNumber"/>
          <w:b w:val="0"/>
          <w:bCs w:val="0"/>
        </w:rPr>
        <w:t xml:space="preserve"> (Puget Mechanism)</w:t>
      </w:r>
      <w:r w:rsidR="00761588">
        <w:rPr>
          <w:rStyle w:val="LineNumber"/>
          <w:b w:val="0"/>
          <w:bCs w:val="0"/>
        </w:rPr>
        <w:t xml:space="preserve">, but chose to not propose a similar mechanism.  </w:t>
      </w:r>
      <w:r w:rsidR="000A49D6">
        <w:rPr>
          <w:rStyle w:val="LineNumber"/>
          <w:b w:val="0"/>
          <w:bCs w:val="0"/>
        </w:rPr>
        <w:t xml:space="preserve">The Puget Mechanism appears to be designed to accomplish the same thing as an attrition adjustment.  In general terms, </w:t>
      </w:r>
      <w:r w:rsidR="002F66D7">
        <w:rPr>
          <w:rStyle w:val="LineNumber"/>
          <w:b w:val="0"/>
          <w:bCs w:val="0"/>
        </w:rPr>
        <w:t>in</w:t>
      </w:r>
      <w:r w:rsidR="000A49D6">
        <w:rPr>
          <w:rStyle w:val="LineNumber"/>
          <w:b w:val="0"/>
          <w:bCs w:val="0"/>
        </w:rPr>
        <w:t xml:space="preserve"> the </w:t>
      </w:r>
      <w:r w:rsidR="002F66D7">
        <w:rPr>
          <w:rStyle w:val="LineNumber"/>
          <w:b w:val="0"/>
          <w:bCs w:val="0"/>
        </w:rPr>
        <w:t xml:space="preserve">Puget </w:t>
      </w:r>
      <w:r w:rsidR="000A49D6">
        <w:rPr>
          <w:rStyle w:val="LineNumber"/>
          <w:b w:val="0"/>
          <w:bCs w:val="0"/>
        </w:rPr>
        <w:t>Mechanism</w:t>
      </w:r>
      <w:r w:rsidR="002F66D7">
        <w:rPr>
          <w:rStyle w:val="LineNumber"/>
          <w:b w:val="0"/>
          <w:bCs w:val="0"/>
        </w:rPr>
        <w:t>,</w:t>
      </w:r>
      <w:r w:rsidR="000A49D6">
        <w:rPr>
          <w:rStyle w:val="LineNumber"/>
          <w:b w:val="0"/>
          <w:bCs w:val="0"/>
        </w:rPr>
        <w:t xml:space="preserve"> the historical test year is reviewed to determine whether the utility under-earned or over-earned on a normalized basis during the period.  The revenue adjustment necessary for the utility to earn its authorized rate of return is calculated.  </w:t>
      </w:r>
    </w:p>
    <w:p w:rsidR="000A49D6" w:rsidRDefault="000A49D6" w:rsidP="00371FF5">
      <w:pPr>
        <w:pStyle w:val="BodyTextIndent"/>
        <w:tabs>
          <w:tab w:val="left" w:pos="1440"/>
        </w:tabs>
        <w:ind w:right="-432" w:firstLine="720"/>
        <w:jc w:val="both"/>
        <w:rPr>
          <w:rStyle w:val="LineNumber"/>
          <w:b w:val="0"/>
          <w:bCs w:val="0"/>
        </w:rPr>
      </w:pPr>
      <w:r>
        <w:rPr>
          <w:rStyle w:val="LineNumber"/>
          <w:b w:val="0"/>
          <w:bCs w:val="0"/>
        </w:rPr>
        <w:t xml:space="preserve">Next, trends in the growth </w:t>
      </w:r>
      <w:r w:rsidR="00712E2F">
        <w:rPr>
          <w:rStyle w:val="LineNumber"/>
          <w:b w:val="0"/>
          <w:bCs w:val="0"/>
        </w:rPr>
        <w:t xml:space="preserve">rates </w:t>
      </w:r>
      <w:r>
        <w:rPr>
          <w:rStyle w:val="LineNumber"/>
          <w:b w:val="0"/>
          <w:bCs w:val="0"/>
        </w:rPr>
        <w:t xml:space="preserve">of rate base, expenses, and revenues over time are assessed to determine a K-Factor.  The test year normalized revenue per customer </w:t>
      </w:r>
      <w:r w:rsidR="00712E2F">
        <w:rPr>
          <w:rStyle w:val="LineNumber"/>
          <w:b w:val="0"/>
          <w:bCs w:val="0"/>
        </w:rPr>
        <w:t>is escalated by this K-Factor for</w:t>
      </w:r>
      <w:r>
        <w:rPr>
          <w:rStyle w:val="LineNumber"/>
          <w:b w:val="0"/>
          <w:bCs w:val="0"/>
        </w:rPr>
        <w:t xml:space="preserve"> the number of years from the historical test year to the future rate year</w:t>
      </w:r>
      <w:r w:rsidR="00E85E28">
        <w:rPr>
          <w:rStyle w:val="LineNumber"/>
          <w:b w:val="0"/>
          <w:bCs w:val="0"/>
        </w:rPr>
        <w:t>, which provides increased revenues</w:t>
      </w:r>
      <w:r w:rsidR="00476A13">
        <w:rPr>
          <w:rStyle w:val="LineNumber"/>
          <w:b w:val="0"/>
          <w:bCs w:val="0"/>
        </w:rPr>
        <w:t xml:space="preserve"> to the utility</w:t>
      </w:r>
      <w:r w:rsidR="00E85E28">
        <w:rPr>
          <w:rStyle w:val="LineNumber"/>
          <w:b w:val="0"/>
          <w:bCs w:val="0"/>
        </w:rPr>
        <w:t>.  This K-Factor is representative of the difference in the annual growth rates of rate base and expenses versus revenues.  For example, if rate base and expenses (weighted together) are growing at an annual rate of 4% per year, and revenues are growing at 1% per year, revenue</w:t>
      </w:r>
      <w:r w:rsidR="00E63C63">
        <w:rPr>
          <w:rStyle w:val="LineNumber"/>
          <w:b w:val="0"/>
          <w:bCs w:val="0"/>
        </w:rPr>
        <w:t>s</w:t>
      </w:r>
      <w:r w:rsidR="00E85E28">
        <w:rPr>
          <w:rStyle w:val="LineNumber"/>
          <w:b w:val="0"/>
          <w:bCs w:val="0"/>
        </w:rPr>
        <w:t xml:space="preserve"> </w:t>
      </w:r>
      <w:r w:rsidR="00651E9B">
        <w:rPr>
          <w:rStyle w:val="LineNumber"/>
          <w:b w:val="0"/>
          <w:bCs w:val="0"/>
        </w:rPr>
        <w:t>would need to increase by the difference between the two, wh</w:t>
      </w:r>
      <w:r w:rsidR="003A7B66">
        <w:rPr>
          <w:rStyle w:val="LineNumber"/>
          <w:b w:val="0"/>
          <w:bCs w:val="0"/>
        </w:rPr>
        <w:t>ich is 3% per year, i.e., a K-Factor of 3%.</w:t>
      </w:r>
      <w:r w:rsidR="00712E2F">
        <w:rPr>
          <w:rStyle w:val="LineNumber"/>
          <w:b w:val="0"/>
          <w:bCs w:val="0"/>
        </w:rPr>
        <w:t xml:space="preserve">  </w:t>
      </w:r>
    </w:p>
    <w:p w:rsidR="007D6D92" w:rsidRDefault="00E63C63" w:rsidP="00371FF5">
      <w:pPr>
        <w:pStyle w:val="BodyTextIndent"/>
        <w:tabs>
          <w:tab w:val="left" w:pos="1440"/>
        </w:tabs>
        <w:ind w:right="-432" w:firstLine="720"/>
        <w:jc w:val="both"/>
        <w:rPr>
          <w:rStyle w:val="LineNumber"/>
          <w:b w:val="0"/>
          <w:bCs w:val="0"/>
        </w:rPr>
      </w:pPr>
      <w:r>
        <w:rPr>
          <w:rStyle w:val="LineNumber"/>
          <w:b w:val="0"/>
          <w:bCs w:val="0"/>
        </w:rPr>
        <w:lastRenderedPageBreak/>
        <w:t>Similar to the Attrition Adjustment produced by the Attrition S</w:t>
      </w:r>
      <w:r w:rsidR="007D6D92">
        <w:rPr>
          <w:rStyle w:val="LineNumber"/>
          <w:b w:val="0"/>
          <w:bCs w:val="0"/>
        </w:rPr>
        <w:t>tudy, the Puget Mechanism determines the revenue increase necessary to earn the proposed rate of return, accounting for the fact that rate base and expenses will grow at a faster pace than revenue.</w:t>
      </w:r>
    </w:p>
    <w:p w:rsidR="00BF5BB3" w:rsidRPr="003F6EED" w:rsidRDefault="003F6EED" w:rsidP="00371FF5">
      <w:pPr>
        <w:pStyle w:val="TestBody"/>
        <w:spacing w:line="480" w:lineRule="auto"/>
        <w:ind w:left="0" w:right="-432" w:firstLine="720"/>
        <w:rPr>
          <w:rStyle w:val="LineNumber"/>
          <w:b/>
        </w:rPr>
      </w:pPr>
      <w:r w:rsidRPr="003F6EED">
        <w:rPr>
          <w:rStyle w:val="LineNumber"/>
          <w:b/>
        </w:rPr>
        <w:t>Q.</w:t>
      </w:r>
      <w:r w:rsidRPr="003F6EED">
        <w:rPr>
          <w:rStyle w:val="LineNumber"/>
          <w:b/>
        </w:rPr>
        <w:tab/>
        <w:t>Why is approval of the attrition-adjusted revenue requirement necessary?</w:t>
      </w:r>
    </w:p>
    <w:p w:rsidR="003F6EED" w:rsidRDefault="00686FF2" w:rsidP="00371FF5">
      <w:pPr>
        <w:pStyle w:val="TestBody"/>
        <w:spacing w:line="480" w:lineRule="auto"/>
        <w:ind w:left="0" w:right="-432" w:firstLine="720"/>
        <w:rPr>
          <w:rStyle w:val="LineNumber"/>
        </w:rPr>
      </w:pPr>
      <w:r>
        <w:rPr>
          <w:rStyle w:val="LineNumber"/>
        </w:rPr>
        <w:t>A.</w:t>
      </w:r>
      <w:r>
        <w:rPr>
          <w:rStyle w:val="LineNumber"/>
        </w:rPr>
        <w:tab/>
      </w:r>
      <w:r w:rsidR="00D558AF">
        <w:rPr>
          <w:rStyle w:val="LineNumber"/>
        </w:rPr>
        <w:t>Through this filing Avista has demonstrated that it continues to experience attrition, where rate base and operating expenses are growing at a</w:t>
      </w:r>
      <w:r w:rsidR="00476A13">
        <w:rPr>
          <w:rStyle w:val="LineNumber"/>
        </w:rPr>
        <w:t xml:space="preserve"> faster rate than revenues.  Commission</w:t>
      </w:r>
      <w:r w:rsidR="00D558AF">
        <w:rPr>
          <w:rStyle w:val="LineNumber"/>
        </w:rPr>
        <w:t xml:space="preserve"> Staff, in our last rate case, conducted its own attrition analysis and arrived at a similar conclusion that, “attrition is present and ongoing.”</w:t>
      </w:r>
      <w:r w:rsidR="009A369D">
        <w:rPr>
          <w:rStyle w:val="FootnoteReference"/>
          <w:rFonts w:ascii="Times New Roman" w:hAnsi="Times New Roman"/>
        </w:rPr>
        <w:footnoteReference w:id="9"/>
      </w:r>
    </w:p>
    <w:p w:rsidR="003F6EED" w:rsidRDefault="00CB5424" w:rsidP="00371FF5">
      <w:pPr>
        <w:pStyle w:val="BodyTextIndent"/>
        <w:tabs>
          <w:tab w:val="left" w:pos="1440"/>
        </w:tabs>
        <w:ind w:right="-432" w:firstLine="720"/>
        <w:jc w:val="both"/>
        <w:rPr>
          <w:rStyle w:val="LineNumber"/>
          <w:b w:val="0"/>
        </w:rPr>
      </w:pPr>
      <w:r w:rsidRPr="004B66D2">
        <w:rPr>
          <w:rStyle w:val="LineNumber"/>
          <w:b w:val="0"/>
        </w:rPr>
        <w:t>In reviewing the actual</w:t>
      </w:r>
      <w:r w:rsidR="00177DFB">
        <w:rPr>
          <w:rStyle w:val="LineNumber"/>
          <w:b w:val="0"/>
        </w:rPr>
        <w:t>,</w:t>
      </w:r>
      <w:r w:rsidRPr="004B66D2">
        <w:rPr>
          <w:rStyle w:val="LineNumber"/>
          <w:b w:val="0"/>
        </w:rPr>
        <w:t xml:space="preserve"> after-the-fact operating results for 2013, the results demonstrate that if the Commission had not approved the rate relief for 2013 in the settlement, which was driven in large part by attrition, the Company would have significantly under-earned in 2013.  </w:t>
      </w:r>
      <w:r w:rsidR="008231C3">
        <w:rPr>
          <w:rStyle w:val="LineNumber"/>
          <w:b w:val="0"/>
        </w:rPr>
        <w:t>Absent</w:t>
      </w:r>
      <w:r w:rsidRPr="004B66D2">
        <w:rPr>
          <w:rStyle w:val="LineNumber"/>
          <w:b w:val="0"/>
        </w:rPr>
        <w:t xml:space="preserve"> </w:t>
      </w:r>
      <w:r w:rsidR="00177DFB">
        <w:rPr>
          <w:rStyle w:val="LineNumber"/>
          <w:b w:val="0"/>
        </w:rPr>
        <w:t xml:space="preserve">the </w:t>
      </w:r>
      <w:r w:rsidR="004B66D2" w:rsidRPr="004B66D2">
        <w:rPr>
          <w:rStyle w:val="LineNumber"/>
          <w:b w:val="0"/>
        </w:rPr>
        <w:t>opportunity for one-time benefits, such as the BPA settlement, it will be very important that the revenue increases granted in this case reflect the full effect of attrition on the Company, in order for Avista to have the opportun</w:t>
      </w:r>
      <w:r w:rsidR="00177DFB">
        <w:rPr>
          <w:rStyle w:val="LineNumber"/>
          <w:b w:val="0"/>
        </w:rPr>
        <w:t>ity to earn a reasonable return in 2015.</w:t>
      </w:r>
    </w:p>
    <w:p w:rsidR="002F66D7" w:rsidRPr="007F29B1" w:rsidRDefault="002F66D7" w:rsidP="00A15D49">
      <w:pPr>
        <w:spacing w:line="480" w:lineRule="auto"/>
        <w:ind w:right="-432" w:firstLine="720"/>
        <w:jc w:val="both"/>
        <w:rPr>
          <w:b/>
        </w:rPr>
      </w:pPr>
      <w:proofErr w:type="gramStart"/>
      <w:r w:rsidRPr="007F29B1">
        <w:rPr>
          <w:b/>
        </w:rPr>
        <w:t xml:space="preserve">Q.  </w:t>
      </w:r>
      <w:r w:rsidRPr="007F29B1">
        <w:rPr>
          <w:b/>
        </w:rPr>
        <w:tab/>
      </w:r>
      <w:r>
        <w:rPr>
          <w:b/>
        </w:rPr>
        <w:t>In</w:t>
      </w:r>
      <w:proofErr w:type="gramEnd"/>
      <w:r>
        <w:rPr>
          <w:b/>
        </w:rPr>
        <w:t xml:space="preserve"> closing, how were the </w:t>
      </w:r>
      <w:r w:rsidRPr="007F29B1">
        <w:rPr>
          <w:b/>
        </w:rPr>
        <w:t>“temporary”</w:t>
      </w:r>
      <w:r>
        <w:rPr>
          <w:b/>
        </w:rPr>
        <w:t xml:space="preserve"> electric and natural gas</w:t>
      </w:r>
      <w:r w:rsidRPr="007F29B1">
        <w:rPr>
          <w:b/>
        </w:rPr>
        <w:t xml:space="preserve"> 2014 rates approved by the Commission in the C</w:t>
      </w:r>
      <w:r>
        <w:rPr>
          <w:b/>
        </w:rPr>
        <w:t>ompany’s last general rate case addressed in this filing?</w:t>
      </w:r>
    </w:p>
    <w:p w:rsidR="002F66D7" w:rsidRPr="007F29B1" w:rsidRDefault="002F66D7" w:rsidP="00A15D49">
      <w:pPr>
        <w:spacing w:line="480" w:lineRule="auto"/>
        <w:ind w:right="-432" w:firstLine="720"/>
        <w:jc w:val="both"/>
      </w:pPr>
      <w:r w:rsidRPr="007F29B1">
        <w:t>A.</w:t>
      </w:r>
      <w:r w:rsidRPr="007F29B1">
        <w:tab/>
        <w:t xml:space="preserve">In Order No. 9 (Dockets UE-120436 &amp; UG-120437), </w:t>
      </w:r>
      <w:r>
        <w:t xml:space="preserve">at </w:t>
      </w:r>
      <w:proofErr w:type="spellStart"/>
      <w:r>
        <w:t>para</w:t>
      </w:r>
      <w:proofErr w:type="spellEnd"/>
      <w:r>
        <w:t xml:space="preserve">. 72, </w:t>
      </w:r>
      <w:r w:rsidRPr="007F29B1">
        <w:t xml:space="preserve">the Commission stated: </w:t>
      </w:r>
    </w:p>
    <w:p w:rsidR="002F66D7" w:rsidRDefault="002F66D7" w:rsidP="00A15D49">
      <w:pPr>
        <w:ind w:left="720" w:right="18"/>
        <w:jc w:val="both"/>
      </w:pPr>
      <w:r w:rsidRPr="007F29B1">
        <w:t xml:space="preserve">However, we make clear that the testimony and trending data offered in support of the proposed rate increase for 2014 are substantially less precise than we would require in a fully-litigated rate case. For this reason, we find that the 2014 rate increase should be instituted on a temporary basis such that, on January 1, 2015, </w:t>
      </w:r>
      <w:r w:rsidRPr="007F29B1">
        <w:lastRenderedPageBreak/>
        <w:t xml:space="preserve">Avista’s rates would revert back to their 2013 levels, </w:t>
      </w:r>
      <w:r w:rsidRPr="007F29B1">
        <w:rPr>
          <w:u w:val="single"/>
        </w:rPr>
        <w:t>absent intervening Commission action</w:t>
      </w:r>
      <w:r>
        <w:t>.</w:t>
      </w:r>
      <w:r w:rsidRPr="007F29B1">
        <w:t xml:space="preserve"> (</w:t>
      </w:r>
      <w:proofErr w:type="gramStart"/>
      <w:r w:rsidRPr="007F29B1">
        <w:t>emphasis</w:t>
      </w:r>
      <w:proofErr w:type="gramEnd"/>
      <w:r w:rsidRPr="007F29B1">
        <w:t xml:space="preserve"> added)</w:t>
      </w:r>
    </w:p>
    <w:p w:rsidR="002F66D7" w:rsidRDefault="002F66D7" w:rsidP="00A15D49">
      <w:pPr>
        <w:ind w:left="720" w:right="-432"/>
        <w:jc w:val="both"/>
      </w:pPr>
    </w:p>
    <w:p w:rsidR="002F66D7" w:rsidRDefault="002F66D7" w:rsidP="00A15D49">
      <w:pPr>
        <w:spacing w:line="480" w:lineRule="auto"/>
        <w:ind w:right="-432" w:firstLine="720"/>
        <w:jc w:val="both"/>
      </w:pPr>
      <w:r>
        <w:t xml:space="preserve">The Company is requesting an increase in electric base rates of $18.2 million and an increase in natural gas base rates of $12.1 million effective January 1, 2015 </w:t>
      </w:r>
      <w:r w:rsidRPr="0039296C">
        <w:rPr>
          <w:u w:val="single"/>
        </w:rPr>
        <w:t>over and above</w:t>
      </w:r>
      <w:r>
        <w:t xml:space="preserve"> </w:t>
      </w:r>
      <w:r w:rsidRPr="0039296C">
        <w:t>existing 2014 base rates</w:t>
      </w:r>
      <w:r w:rsidRPr="007F29B1">
        <w:t>.</w:t>
      </w:r>
      <w:r>
        <w:t xml:space="preserve">  The Company’s Attrition Study demonstrates the need not only for the $18.2 million electric and $12.1 million requests, but also assumes the </w:t>
      </w:r>
      <w:r w:rsidRPr="00956E33">
        <w:rPr>
          <w:u w:val="single"/>
        </w:rPr>
        <w:t>continuation</w:t>
      </w:r>
      <w:r>
        <w:t xml:space="preserve"> of the $14.0 million electric and $1.4 million </w:t>
      </w:r>
      <w:r w:rsidR="00E63C63">
        <w:t xml:space="preserve">natural gas </w:t>
      </w:r>
      <w:r>
        <w:t xml:space="preserve">rate increases that went into effective January 1, 2014 (i.e., the “temporary” rate increases).   In addition, the Pro Forma Cross Check Study also supports the continuation of not only the 2014 rates, but an incremental 2015 revenue requirement of $18.2 million (electric) and $12.1 million (natural gas) as well.  Documentation related to its capital expenditure plans and trending analysis more than supports what the Commission previously approved for 2014.  As such, the Company not only requests approval of the proposed revenue requirement above 2014 levels, but, in the process, to make the 2014 revenue increase permanent as well.  </w:t>
      </w:r>
    </w:p>
    <w:p w:rsidR="00177DFB" w:rsidRPr="00177DFB" w:rsidRDefault="00177DFB" w:rsidP="00371FF5">
      <w:pPr>
        <w:pStyle w:val="BodyTextIndent"/>
        <w:tabs>
          <w:tab w:val="left" w:pos="1440"/>
        </w:tabs>
        <w:ind w:right="-432" w:firstLine="720"/>
        <w:jc w:val="both"/>
        <w:rPr>
          <w:rStyle w:val="LineNumber"/>
        </w:rPr>
      </w:pPr>
      <w:r w:rsidRPr="00177DFB">
        <w:rPr>
          <w:rStyle w:val="LineNumber"/>
        </w:rPr>
        <w:t>Q.</w:t>
      </w:r>
      <w:r w:rsidRPr="00177DFB">
        <w:rPr>
          <w:rStyle w:val="LineNumber"/>
        </w:rPr>
        <w:tab/>
        <w:t>Does that conclude your pre-filed direct testimony?</w:t>
      </w:r>
    </w:p>
    <w:p w:rsidR="00177DFB" w:rsidRPr="00177DFB" w:rsidRDefault="00177DFB" w:rsidP="00371FF5">
      <w:pPr>
        <w:pStyle w:val="BodyTextIndent"/>
        <w:tabs>
          <w:tab w:val="left" w:pos="1440"/>
        </w:tabs>
        <w:ind w:right="-432" w:firstLine="720"/>
        <w:jc w:val="both"/>
        <w:rPr>
          <w:rStyle w:val="LineNumber"/>
          <w:b w:val="0"/>
        </w:rPr>
      </w:pPr>
      <w:r>
        <w:rPr>
          <w:rStyle w:val="LineNumber"/>
          <w:b w:val="0"/>
        </w:rPr>
        <w:t>A.</w:t>
      </w:r>
      <w:r>
        <w:rPr>
          <w:rStyle w:val="LineNumber"/>
          <w:b w:val="0"/>
        </w:rPr>
        <w:tab/>
        <w:t>Yes.</w:t>
      </w:r>
    </w:p>
    <w:sectPr w:rsidR="00177DFB" w:rsidRPr="00177DFB" w:rsidSect="00427BFD">
      <w:pgSz w:w="12240" w:h="15840" w:code="1"/>
      <w:pgMar w:top="1440" w:right="1440" w:bottom="2160" w:left="1872" w:header="720" w:footer="59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837" w:rsidRDefault="00BB3837">
      <w:r>
        <w:separator/>
      </w:r>
    </w:p>
  </w:endnote>
  <w:endnote w:type="continuationSeparator" w:id="0">
    <w:p w:rsidR="00BB3837" w:rsidRDefault="00BB38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37" w:rsidRPr="00371FF5" w:rsidRDefault="00BB3837" w:rsidP="00B952E0">
    <w:pPr>
      <w:pStyle w:val="Footer"/>
      <w:tabs>
        <w:tab w:val="clear" w:pos="4320"/>
        <w:tab w:val="clear" w:pos="8640"/>
        <w:tab w:val="left" w:pos="180"/>
        <w:tab w:val="right" w:pos="9360"/>
      </w:tabs>
    </w:pPr>
    <w:r w:rsidRPr="00371FF5">
      <w:t>Direct Testimony of Kelly O. Norwood</w:t>
    </w:r>
  </w:p>
  <w:p w:rsidR="00BB3837" w:rsidRPr="00371FF5" w:rsidRDefault="00BB3837" w:rsidP="00B952E0">
    <w:pPr>
      <w:pStyle w:val="Footer"/>
      <w:tabs>
        <w:tab w:val="clear" w:pos="4320"/>
        <w:tab w:val="clear" w:pos="8640"/>
        <w:tab w:val="left" w:pos="180"/>
        <w:tab w:val="right" w:pos="9360"/>
      </w:tabs>
      <w:rPr>
        <w:lang w:val="fr-FR"/>
      </w:rPr>
    </w:pPr>
    <w:r w:rsidRPr="00371FF5">
      <w:rPr>
        <w:lang w:val="fr-FR"/>
      </w:rPr>
      <w:t>Avista Corporation</w:t>
    </w:r>
  </w:p>
  <w:p w:rsidR="00BB3837" w:rsidRPr="00371FF5" w:rsidRDefault="00BB3837" w:rsidP="00B952E0">
    <w:pPr>
      <w:pStyle w:val="Footer"/>
      <w:tabs>
        <w:tab w:val="clear" w:pos="4320"/>
        <w:tab w:val="clear" w:pos="8640"/>
        <w:tab w:val="left" w:pos="180"/>
        <w:tab w:val="right" w:pos="9360"/>
      </w:tabs>
      <w:rPr>
        <w:lang w:val="fr-FR"/>
      </w:rPr>
    </w:pPr>
    <w:r w:rsidRPr="00371FF5">
      <w:rPr>
        <w:lang w:val="fr-FR"/>
      </w:rPr>
      <w:t>Docket Nos. UE-14___ and UG-14___</w:t>
    </w:r>
    <w:r w:rsidRPr="00371FF5">
      <w:rPr>
        <w:lang w:val="fr-FR"/>
      </w:rPr>
      <w:tab/>
      <w:t xml:space="preserve">Page </w:t>
    </w:r>
    <w:r w:rsidR="00693A35" w:rsidRPr="00371FF5">
      <w:rPr>
        <w:lang w:val="fr-FR"/>
      </w:rPr>
      <w:fldChar w:fldCharType="begin"/>
    </w:r>
    <w:r w:rsidRPr="00371FF5">
      <w:rPr>
        <w:lang w:val="fr-FR"/>
      </w:rPr>
      <w:instrText xml:space="preserve"> PAGE </w:instrText>
    </w:r>
    <w:r w:rsidR="00693A35" w:rsidRPr="00371FF5">
      <w:rPr>
        <w:lang w:val="fr-FR"/>
      </w:rPr>
      <w:fldChar w:fldCharType="separate"/>
    </w:r>
    <w:r w:rsidR="00596D81">
      <w:rPr>
        <w:noProof/>
        <w:lang w:val="fr-FR"/>
      </w:rPr>
      <w:t>20</w:t>
    </w:r>
    <w:r w:rsidR="00693A35" w:rsidRPr="00371FF5">
      <w:rPr>
        <w:lang w:val="fr-FR"/>
      </w:rPr>
      <w:fldChar w:fldCharType="end"/>
    </w:r>
  </w:p>
  <w:p w:rsidR="00BB3837" w:rsidRDefault="00BB3837">
    <w:pPr>
      <w:pStyle w:val="Footer"/>
      <w:tabs>
        <w:tab w:val="clear" w:pos="4320"/>
        <w:tab w:val="clear" w:pos="8640"/>
        <w:tab w:val="left" w:pos="180"/>
        <w:tab w:val="right" w:pos="9360"/>
      </w:tabs>
      <w:rPr>
        <w:sz w:val="20"/>
        <w:szCs w:val="20"/>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37" w:rsidRDefault="00BB3837">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837" w:rsidRDefault="00BB3837">
      <w:r>
        <w:separator/>
      </w:r>
    </w:p>
  </w:footnote>
  <w:footnote w:type="continuationSeparator" w:id="0">
    <w:p w:rsidR="00BB3837" w:rsidRDefault="00BB3837">
      <w:r>
        <w:continuationSeparator/>
      </w:r>
    </w:p>
  </w:footnote>
  <w:footnote w:id="1">
    <w:p w:rsidR="00BB3837" w:rsidRPr="00EC2609" w:rsidRDefault="00BB3837" w:rsidP="002F66D7">
      <w:pPr>
        <w:autoSpaceDE/>
        <w:autoSpaceDN/>
        <w:ind w:right="-432"/>
        <w:jc w:val="both"/>
        <w:rPr>
          <w:sz w:val="20"/>
          <w:szCs w:val="20"/>
        </w:rPr>
      </w:pPr>
      <w:r>
        <w:rPr>
          <w:rStyle w:val="FootnoteReference"/>
        </w:rPr>
        <w:footnoteRef/>
      </w:r>
      <w:r>
        <w:t xml:space="preserve"> </w:t>
      </w:r>
      <w:r w:rsidRPr="00BF18F5">
        <w:rPr>
          <w:sz w:val="20"/>
          <w:szCs w:val="20"/>
        </w:rPr>
        <w:t>As an inve</w:t>
      </w:r>
      <w:r>
        <w:rPr>
          <w:sz w:val="20"/>
          <w:szCs w:val="20"/>
        </w:rPr>
        <w:t>stor-owned utility Avista has the</w:t>
      </w:r>
      <w:r w:rsidRPr="00BF18F5">
        <w:rPr>
          <w:sz w:val="20"/>
          <w:szCs w:val="20"/>
        </w:rPr>
        <w:t xml:space="preserve"> obligation to pro</w:t>
      </w:r>
      <w:r>
        <w:rPr>
          <w:sz w:val="20"/>
          <w:szCs w:val="20"/>
        </w:rPr>
        <w:t>vide service to its customers a</w:t>
      </w:r>
      <w:r w:rsidRPr="00BF18F5">
        <w:rPr>
          <w:sz w:val="20"/>
          <w:szCs w:val="20"/>
        </w:rPr>
        <w:t>n</w:t>
      </w:r>
      <w:r>
        <w:rPr>
          <w:sz w:val="20"/>
          <w:szCs w:val="20"/>
        </w:rPr>
        <w:t>d, in</w:t>
      </w:r>
      <w:r w:rsidRPr="00BF18F5">
        <w:rPr>
          <w:sz w:val="20"/>
          <w:szCs w:val="20"/>
        </w:rPr>
        <w:t xml:space="preserve"> exchange for that obligation</w:t>
      </w:r>
      <w:r>
        <w:rPr>
          <w:sz w:val="20"/>
          <w:szCs w:val="20"/>
        </w:rPr>
        <w:t>,</w:t>
      </w:r>
      <w:r w:rsidRPr="00BF18F5">
        <w:rPr>
          <w:sz w:val="20"/>
          <w:szCs w:val="20"/>
        </w:rPr>
        <w:t xml:space="preserve"> the Company is entitled to c</w:t>
      </w:r>
      <w:r>
        <w:rPr>
          <w:sz w:val="20"/>
          <w:szCs w:val="20"/>
        </w:rPr>
        <w:t xml:space="preserve">harge retail rates that are fair, just and reasonable for the customer, and sufficient for the Company to earn a reasonable return for shareholders as determined by the Commission (the authorized ROE). </w:t>
      </w:r>
    </w:p>
  </w:footnote>
  <w:footnote w:id="2">
    <w:p w:rsidR="00BB3837" w:rsidRDefault="00BB3837" w:rsidP="00596D81">
      <w:pPr>
        <w:pStyle w:val="FootnoteText"/>
        <w:ind w:right="-432"/>
        <w:jc w:val="both"/>
      </w:pPr>
      <w:r>
        <w:rPr>
          <w:rStyle w:val="FootnoteReference"/>
        </w:rPr>
        <w:footnoteRef/>
      </w:r>
      <w:r>
        <w:t xml:space="preserve"> See page 67 of Exhibit No.__</w:t>
      </w:r>
      <w:proofErr w:type="gramStart"/>
      <w:r>
        <w:t>_(</w:t>
      </w:r>
      <w:proofErr w:type="gramEnd"/>
      <w:r>
        <w:t xml:space="preserve">KLE-1T) in Docket Nos. UE-111048 and UG-111049 (consolidated) and page 22 of the “Report and Policy Statement on Regulatory Mechanisms, Including Decoupling, to Encourage Utilities to Meet or Exceed Their Conservation Targets” in Docket No. </w:t>
      </w:r>
      <w:proofErr w:type="gramStart"/>
      <w:r>
        <w:t>U-100522.</w:t>
      </w:r>
      <w:proofErr w:type="gramEnd"/>
    </w:p>
  </w:footnote>
  <w:footnote w:id="3">
    <w:p w:rsidR="00BB3837" w:rsidRDefault="00BB3837" w:rsidP="00596D81">
      <w:pPr>
        <w:pStyle w:val="FootnoteText"/>
        <w:ind w:right="-432"/>
        <w:jc w:val="both"/>
      </w:pPr>
      <w:r>
        <w:rPr>
          <w:rStyle w:val="FootnoteReference"/>
        </w:rPr>
        <w:footnoteRef/>
      </w:r>
      <w:r>
        <w:t xml:space="preserve"> </w:t>
      </w:r>
      <w:proofErr w:type="gramStart"/>
      <w:r>
        <w:t>Dr. Mark Lowry of Pacific Economics Group Research (LLC).</w:t>
      </w:r>
      <w:proofErr w:type="gramEnd"/>
    </w:p>
  </w:footnote>
  <w:footnote w:id="4">
    <w:p w:rsidR="00BB3837" w:rsidRPr="00A44536" w:rsidRDefault="00BB3837" w:rsidP="00A44536">
      <w:pPr>
        <w:pStyle w:val="BodyTextIndent"/>
        <w:tabs>
          <w:tab w:val="left" w:pos="1440"/>
        </w:tabs>
        <w:spacing w:line="240" w:lineRule="auto"/>
        <w:ind w:right="-432"/>
        <w:jc w:val="both"/>
        <w:rPr>
          <w:rFonts w:ascii="Times New Roman" w:hAnsi="Times New Roman" w:cs="Times New Roman"/>
          <w:b w:val="0"/>
          <w:bCs w:val="0"/>
          <w:sz w:val="20"/>
          <w:szCs w:val="20"/>
        </w:rPr>
      </w:pPr>
      <w:r>
        <w:rPr>
          <w:rStyle w:val="FootnoteReference"/>
        </w:rPr>
        <w:footnoteRef/>
      </w:r>
      <w:r>
        <w:t xml:space="preserve"> </w:t>
      </w:r>
      <w:r w:rsidRPr="00A44536">
        <w:rPr>
          <w:rStyle w:val="LineNumber"/>
          <w:b w:val="0"/>
          <w:bCs w:val="0"/>
          <w:sz w:val="20"/>
          <w:szCs w:val="20"/>
        </w:rPr>
        <w:t xml:space="preserve">In the settlement discussions in Avista’s last general rate case in 2012, the Company disclosed the settlement negotiations with BPA, and the likelihood that an agreement would be executed in late 2012 or early 2013.  Avista proposed a sharing of the benefits from the BPA settlement as a component of the general rate case settlement package, but it was not incorporated as part of the final general rate case settlement.  </w:t>
      </w:r>
      <w:r w:rsidRPr="00A44536">
        <w:rPr>
          <w:rStyle w:val="LineNumber"/>
          <w:b w:val="0"/>
          <w:sz w:val="20"/>
          <w:szCs w:val="20"/>
        </w:rPr>
        <w:t xml:space="preserve">Avista appreciates </w:t>
      </w:r>
      <w:r>
        <w:rPr>
          <w:rStyle w:val="LineNumber"/>
          <w:b w:val="0"/>
          <w:sz w:val="20"/>
          <w:szCs w:val="20"/>
        </w:rPr>
        <w:t>Commission</w:t>
      </w:r>
      <w:r w:rsidRPr="00A44536">
        <w:rPr>
          <w:rStyle w:val="LineNumber"/>
          <w:b w:val="0"/>
          <w:sz w:val="20"/>
          <w:szCs w:val="20"/>
        </w:rPr>
        <w:t xml:space="preserve"> Staff’s creativity in the development of the final structure of the proposed accounting treatment related to the Reardan Wind Project costs and BPA settlement revenues, which was ultimately approved by the Commission</w:t>
      </w:r>
      <w:r>
        <w:rPr>
          <w:rStyle w:val="LineNumber"/>
          <w:b w:val="0"/>
          <w:sz w:val="20"/>
          <w:szCs w:val="20"/>
        </w:rPr>
        <w:t xml:space="preserve">.  </w:t>
      </w:r>
      <w:r w:rsidRPr="00A44536">
        <w:rPr>
          <w:rStyle w:val="LineNumber"/>
          <w:b w:val="0"/>
          <w:sz w:val="20"/>
          <w:szCs w:val="20"/>
        </w:rPr>
        <w:t xml:space="preserve">The Company will also be mindful in the future of the Commission’s admonition in Footnote 1, page 4 of its Order 01 in the Reardan/BPA Docket </w:t>
      </w:r>
      <w:r w:rsidR="001562E7">
        <w:rPr>
          <w:rStyle w:val="LineNumber"/>
          <w:b w:val="0"/>
          <w:sz w:val="20"/>
          <w:szCs w:val="20"/>
        </w:rPr>
        <w:t xml:space="preserve">No. </w:t>
      </w:r>
      <w:r w:rsidRPr="00A44536">
        <w:rPr>
          <w:rStyle w:val="LineNumber"/>
          <w:b w:val="0"/>
          <w:sz w:val="20"/>
          <w:szCs w:val="20"/>
        </w:rPr>
        <w:t xml:space="preserve">UE-130536 that the parties should inform the Commission of all components that may affect the </w:t>
      </w:r>
      <w:r>
        <w:rPr>
          <w:rStyle w:val="LineNumber"/>
          <w:b w:val="0"/>
          <w:sz w:val="20"/>
          <w:szCs w:val="20"/>
        </w:rPr>
        <w:t xml:space="preserve">future </w:t>
      </w:r>
      <w:r w:rsidRPr="00A44536">
        <w:rPr>
          <w:rStyle w:val="LineNumber"/>
          <w:b w:val="0"/>
          <w:sz w:val="20"/>
          <w:szCs w:val="20"/>
        </w:rPr>
        <w:t>rate period, even if items such as the BPA agreement are not yet completed and signed, but are likely to occur.</w:t>
      </w:r>
    </w:p>
  </w:footnote>
  <w:footnote w:id="5">
    <w:p w:rsidR="00BB3837" w:rsidRPr="00875EFD" w:rsidRDefault="00BB3837" w:rsidP="00BB3837">
      <w:pPr>
        <w:pStyle w:val="FootnoteText"/>
      </w:pPr>
      <w:r>
        <w:rPr>
          <w:rStyle w:val="FootnoteReference"/>
        </w:rPr>
        <w:footnoteRef/>
      </w:r>
      <w:r>
        <w:t xml:space="preserve"> </w:t>
      </w:r>
      <w:proofErr w:type="gramStart"/>
      <w:r>
        <w:t xml:space="preserve">Page 4, </w:t>
      </w:r>
      <w:r w:rsidRPr="00875EFD">
        <w:t xml:space="preserve">Order </w:t>
      </w:r>
      <w:r w:rsidRPr="00875EFD">
        <w:rPr>
          <w:rStyle w:val="LineNumber"/>
          <w:sz w:val="20"/>
          <w:szCs w:val="20"/>
        </w:rPr>
        <w:t>09/14 in Docket Nos.</w:t>
      </w:r>
      <w:proofErr w:type="gramEnd"/>
      <w:r w:rsidRPr="00875EFD">
        <w:rPr>
          <w:rStyle w:val="LineNumber"/>
          <w:sz w:val="20"/>
          <w:szCs w:val="20"/>
        </w:rPr>
        <w:t xml:space="preserve"> </w:t>
      </w:r>
      <w:proofErr w:type="gramStart"/>
      <w:r w:rsidRPr="00875EFD">
        <w:rPr>
          <w:rStyle w:val="LineNumber"/>
          <w:sz w:val="20"/>
          <w:szCs w:val="20"/>
        </w:rPr>
        <w:t>UE-120436/UG-120437 and UE-110876/UG-110877</w:t>
      </w:r>
      <w:r>
        <w:rPr>
          <w:rStyle w:val="LineNumber"/>
          <w:sz w:val="20"/>
          <w:szCs w:val="20"/>
        </w:rPr>
        <w:t>.</w:t>
      </w:r>
      <w:proofErr w:type="gramEnd"/>
    </w:p>
  </w:footnote>
  <w:footnote w:id="6">
    <w:p w:rsidR="00BB3837" w:rsidRDefault="00BB3837">
      <w:pPr>
        <w:pStyle w:val="FootnoteText"/>
      </w:pPr>
      <w:r>
        <w:rPr>
          <w:rStyle w:val="FootnoteReference"/>
        </w:rPr>
        <w:footnoteRef/>
      </w:r>
      <w:r>
        <w:t xml:space="preserve"> </w:t>
      </w:r>
      <w:proofErr w:type="gramStart"/>
      <w:r>
        <w:t xml:space="preserve">Page 27, </w:t>
      </w:r>
      <w:r w:rsidRPr="00875EFD">
        <w:t xml:space="preserve">Order </w:t>
      </w:r>
      <w:r w:rsidRPr="00875EFD">
        <w:rPr>
          <w:rStyle w:val="LineNumber"/>
          <w:sz w:val="20"/>
          <w:szCs w:val="20"/>
        </w:rPr>
        <w:t>09/14 in Docket Nos.</w:t>
      </w:r>
      <w:proofErr w:type="gramEnd"/>
      <w:r w:rsidRPr="00875EFD">
        <w:rPr>
          <w:rStyle w:val="LineNumber"/>
          <w:sz w:val="20"/>
          <w:szCs w:val="20"/>
        </w:rPr>
        <w:t xml:space="preserve"> UE-120436/UG-120437 and UE-110876/UG-110877</w:t>
      </w:r>
    </w:p>
  </w:footnote>
  <w:footnote w:id="7">
    <w:p w:rsidR="00BB3837" w:rsidRPr="00355304" w:rsidRDefault="00BB3837">
      <w:pPr>
        <w:pStyle w:val="FootnoteText"/>
      </w:pPr>
      <w:r>
        <w:rPr>
          <w:rStyle w:val="FootnoteReference"/>
        </w:rPr>
        <w:footnoteRef/>
      </w:r>
      <w:r w:rsidRPr="00376ADC">
        <w:rPr>
          <w:lang w:val="fr-FR"/>
        </w:rPr>
        <w:t xml:space="preserve"> </w:t>
      </w:r>
      <w:r w:rsidRPr="00376ADC">
        <w:rPr>
          <w:rStyle w:val="LineNumber"/>
          <w:sz w:val="20"/>
          <w:szCs w:val="20"/>
          <w:lang w:val="fr-FR"/>
        </w:rPr>
        <w:t xml:space="preserve">P.26, </w:t>
      </w:r>
      <w:r>
        <w:rPr>
          <w:rStyle w:val="LineNumber"/>
          <w:sz w:val="20"/>
          <w:szCs w:val="20"/>
          <w:lang w:val="fr-FR"/>
        </w:rPr>
        <w:t xml:space="preserve"> </w:t>
      </w:r>
      <w:proofErr w:type="spellStart"/>
      <w:r>
        <w:rPr>
          <w:rStyle w:val="LineNumber"/>
          <w:sz w:val="20"/>
          <w:szCs w:val="20"/>
          <w:lang w:val="fr-FR"/>
        </w:rPr>
        <w:t>Exhibit</w:t>
      </w:r>
      <w:proofErr w:type="spellEnd"/>
      <w:r>
        <w:rPr>
          <w:rStyle w:val="LineNumber"/>
          <w:sz w:val="20"/>
          <w:szCs w:val="20"/>
          <w:lang w:val="fr-FR"/>
        </w:rPr>
        <w:t xml:space="preserve"> </w:t>
      </w:r>
      <w:r w:rsidRPr="00376ADC">
        <w:rPr>
          <w:rStyle w:val="LineNumber"/>
          <w:sz w:val="20"/>
          <w:szCs w:val="20"/>
          <w:lang w:val="fr-FR"/>
        </w:rPr>
        <w:t xml:space="preserve">JT-1T, Docket Nos. </w:t>
      </w:r>
      <w:proofErr w:type="gramStart"/>
      <w:r w:rsidRPr="00355304">
        <w:rPr>
          <w:rStyle w:val="LineNumber"/>
          <w:sz w:val="20"/>
          <w:szCs w:val="20"/>
        </w:rPr>
        <w:t>UE-120436/UG</w:t>
      </w:r>
      <w:r>
        <w:rPr>
          <w:rStyle w:val="LineNumber"/>
          <w:sz w:val="20"/>
          <w:szCs w:val="20"/>
        </w:rPr>
        <w:t>-120437 and UE-110876/UG-110877.</w:t>
      </w:r>
      <w:proofErr w:type="gramEnd"/>
    </w:p>
  </w:footnote>
  <w:footnote w:id="8">
    <w:p w:rsidR="00BB3837" w:rsidRDefault="00BB3837" w:rsidP="00893010">
      <w:pPr>
        <w:pStyle w:val="FootnoteText"/>
        <w:ind w:right="-432"/>
      </w:pPr>
      <w:r>
        <w:rPr>
          <w:rStyle w:val="FootnoteReference"/>
        </w:rPr>
        <w:footnoteRef/>
      </w:r>
      <w:r>
        <w:t xml:space="preserve"> The net plant numbers include total utility electric and natural gas investment in all three states (WA, ID, and OR).</w:t>
      </w:r>
    </w:p>
  </w:footnote>
  <w:footnote w:id="9">
    <w:p w:rsidR="00BB3837" w:rsidRDefault="00BB3837">
      <w:pPr>
        <w:pStyle w:val="FootnoteText"/>
      </w:pPr>
      <w:r>
        <w:rPr>
          <w:rStyle w:val="FootnoteReference"/>
        </w:rPr>
        <w:footnoteRef/>
      </w:r>
      <w:r w:rsidRPr="000B4B03">
        <w:rPr>
          <w:lang w:val="fr-FR"/>
        </w:rPr>
        <w:t xml:space="preserve"> </w:t>
      </w:r>
      <w:r w:rsidRPr="00376ADC">
        <w:rPr>
          <w:rStyle w:val="LineNumber"/>
          <w:sz w:val="20"/>
          <w:szCs w:val="20"/>
          <w:lang w:val="fr-FR"/>
        </w:rPr>
        <w:t xml:space="preserve">P.26, </w:t>
      </w:r>
      <w:proofErr w:type="spellStart"/>
      <w:r w:rsidRPr="00376ADC">
        <w:rPr>
          <w:rStyle w:val="LineNumber"/>
          <w:sz w:val="20"/>
          <w:szCs w:val="20"/>
          <w:lang w:val="fr-FR"/>
        </w:rPr>
        <w:t>Exhibit</w:t>
      </w:r>
      <w:proofErr w:type="spellEnd"/>
      <w:r w:rsidRPr="00376ADC">
        <w:rPr>
          <w:rStyle w:val="LineNumber"/>
          <w:sz w:val="20"/>
          <w:szCs w:val="20"/>
          <w:lang w:val="fr-FR"/>
        </w:rPr>
        <w:t xml:space="preserve"> JT-1T, Docket Nos. </w:t>
      </w:r>
      <w:proofErr w:type="gramStart"/>
      <w:r w:rsidRPr="00355304">
        <w:rPr>
          <w:rStyle w:val="LineNumber"/>
          <w:sz w:val="20"/>
          <w:szCs w:val="20"/>
        </w:rPr>
        <w:t>UE-120436/UG</w:t>
      </w:r>
      <w:r>
        <w:rPr>
          <w:rStyle w:val="LineNumber"/>
          <w:sz w:val="20"/>
          <w:szCs w:val="20"/>
        </w:rPr>
        <w:t>-120437 and UE-110876/UG-110877.</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37" w:rsidRPr="00984463" w:rsidRDefault="00BB3837" w:rsidP="000B4B03">
    <w:pPr>
      <w:pStyle w:val="Header"/>
      <w:tabs>
        <w:tab w:val="clear" w:pos="8640"/>
      </w:tabs>
      <w:ind w:right="-432"/>
      <w:jc w:val="right"/>
    </w:pPr>
    <w:r w:rsidRPr="00984463">
      <w:t>Exhibit No. __</w:t>
    </w:r>
    <w:r>
      <w:t>__</w:t>
    </w:r>
    <w:r w:rsidRPr="00984463">
      <w:t>_</w:t>
    </w:r>
    <w:r>
      <w:t xml:space="preserve"> </w:t>
    </w:r>
    <w:r w:rsidRPr="00984463">
      <w:t>(KON-1T)</w:t>
    </w:r>
  </w:p>
  <w:p w:rsidR="00BB3837" w:rsidRPr="00B952E0" w:rsidRDefault="00BB3837" w:rsidP="00B952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37" w:rsidRDefault="00BB3837" w:rsidP="00807E5C">
    <w:pPr>
      <w:pStyle w:val="Header"/>
      <w:jc w:val="right"/>
    </w:pPr>
    <w:r>
      <w:t>Exhibit No. ____ (KON-1T)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FFFFFFFE"/>
    <w:multiLevelType w:val="singleLevel"/>
    <w:tmpl w:val="59E29896"/>
    <w:lvl w:ilvl="0">
      <w:numFmt w:val="bullet"/>
      <w:lvlText w:val="*"/>
      <w:lvlJc w:val="left"/>
    </w:lvl>
  </w:abstractNum>
  <w:abstractNum w:abstractNumId="2">
    <w:nsid w:val="00000001"/>
    <w:multiLevelType w:val="hybridMultilevel"/>
    <w:tmpl w:val="00000000"/>
    <w:lvl w:ilvl="0" w:tplc="FFFFFFFF">
      <w:start w:val="1"/>
      <w:numFmt w:val="bullet"/>
      <w:lvlText w:val="·"/>
      <w:lvlJc w:val="left"/>
      <w:pPr>
        <w:tabs>
          <w:tab w:val="num" w:pos="360"/>
        </w:tabs>
      </w:pPr>
      <w:rPr>
        <w:rFonts w:ascii="Symbol" w:hAnsi="Symbol" w:cs="Symbol"/>
      </w:rPr>
    </w:lvl>
    <w:lvl w:ilvl="1" w:tplc="FFFFFFFF">
      <w:start w:val="1"/>
      <w:numFmt w:val="decimal"/>
      <w:lvlText w:val="%2."/>
      <w:lvlJc w:val="left"/>
      <w:pPr>
        <w:tabs>
          <w:tab w:val="num" w:pos="360"/>
        </w:tabs>
      </w:pPr>
    </w:lvl>
    <w:lvl w:ilvl="2" w:tplc="FFFFFFFF">
      <w:start w:val="1"/>
      <w:numFmt w:val="bullet"/>
      <w:lvlText w:val="·"/>
      <w:lvlJc w:val="left"/>
      <w:pPr>
        <w:tabs>
          <w:tab w:val="num" w:pos="360"/>
        </w:tabs>
      </w:pPr>
      <w:rPr>
        <w:rFonts w:ascii="Symbol" w:hAnsi="Symbol" w:cs="Symbol"/>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8E1FE1"/>
    <w:multiLevelType w:val="hybridMultilevel"/>
    <w:tmpl w:val="4C526C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7D22962"/>
    <w:multiLevelType w:val="hybridMultilevel"/>
    <w:tmpl w:val="C456C548"/>
    <w:lvl w:ilvl="0" w:tplc="76D089B0">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141808"/>
    <w:multiLevelType w:val="hybridMultilevel"/>
    <w:tmpl w:val="CAE65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9D44504"/>
    <w:multiLevelType w:val="hybridMultilevel"/>
    <w:tmpl w:val="D1646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CC50351"/>
    <w:multiLevelType w:val="hybridMultilevel"/>
    <w:tmpl w:val="DCB6B7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0D146E27"/>
    <w:multiLevelType w:val="hybridMultilevel"/>
    <w:tmpl w:val="5830C0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E627D1A"/>
    <w:multiLevelType w:val="multilevel"/>
    <w:tmpl w:val="FC04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start w:val="1"/>
      <w:numFmt w:val="bullet"/>
      <w:lvlText w:val="o"/>
      <w:lvlJc w:val="left"/>
      <w:pPr>
        <w:tabs>
          <w:tab w:val="num" w:pos="2227"/>
        </w:tabs>
        <w:ind w:left="2227" w:hanging="360"/>
      </w:pPr>
      <w:rPr>
        <w:rFonts w:ascii="Courier New" w:hAnsi="Courier New" w:hint="default"/>
      </w:rPr>
    </w:lvl>
    <w:lvl w:ilvl="2" w:tplc="04090005">
      <w:start w:val="1"/>
      <w:numFmt w:val="bullet"/>
      <w:lvlText w:val=""/>
      <w:lvlJc w:val="left"/>
      <w:pPr>
        <w:tabs>
          <w:tab w:val="num" w:pos="2947"/>
        </w:tabs>
        <w:ind w:left="2947" w:hanging="360"/>
      </w:pPr>
      <w:rPr>
        <w:rFonts w:ascii="Wingdings" w:hAnsi="Wingdings" w:hint="default"/>
      </w:rPr>
    </w:lvl>
    <w:lvl w:ilvl="3" w:tplc="04090001">
      <w:start w:val="1"/>
      <w:numFmt w:val="bullet"/>
      <w:lvlText w:val=""/>
      <w:lvlJc w:val="left"/>
      <w:pPr>
        <w:tabs>
          <w:tab w:val="num" w:pos="3667"/>
        </w:tabs>
        <w:ind w:left="3667" w:hanging="360"/>
      </w:pPr>
      <w:rPr>
        <w:rFonts w:ascii="Symbol" w:hAnsi="Symbol" w:hint="default"/>
      </w:rPr>
    </w:lvl>
    <w:lvl w:ilvl="4" w:tplc="04090003">
      <w:start w:val="1"/>
      <w:numFmt w:val="bullet"/>
      <w:lvlText w:val="o"/>
      <w:lvlJc w:val="left"/>
      <w:pPr>
        <w:tabs>
          <w:tab w:val="num" w:pos="4387"/>
        </w:tabs>
        <w:ind w:left="4387" w:hanging="360"/>
      </w:pPr>
      <w:rPr>
        <w:rFonts w:ascii="Courier New" w:hAnsi="Courier New" w:hint="default"/>
      </w:rPr>
    </w:lvl>
    <w:lvl w:ilvl="5" w:tplc="04090005">
      <w:start w:val="1"/>
      <w:numFmt w:val="bullet"/>
      <w:lvlText w:val=""/>
      <w:lvlJc w:val="left"/>
      <w:pPr>
        <w:tabs>
          <w:tab w:val="num" w:pos="5107"/>
        </w:tabs>
        <w:ind w:left="5107" w:hanging="360"/>
      </w:pPr>
      <w:rPr>
        <w:rFonts w:ascii="Wingdings" w:hAnsi="Wingdings" w:hint="default"/>
      </w:rPr>
    </w:lvl>
    <w:lvl w:ilvl="6" w:tplc="04090001">
      <w:start w:val="1"/>
      <w:numFmt w:val="bullet"/>
      <w:lvlText w:val=""/>
      <w:lvlJc w:val="left"/>
      <w:pPr>
        <w:tabs>
          <w:tab w:val="num" w:pos="5827"/>
        </w:tabs>
        <w:ind w:left="5827" w:hanging="360"/>
      </w:pPr>
      <w:rPr>
        <w:rFonts w:ascii="Symbol" w:hAnsi="Symbol" w:hint="default"/>
      </w:rPr>
    </w:lvl>
    <w:lvl w:ilvl="7" w:tplc="04090003">
      <w:start w:val="1"/>
      <w:numFmt w:val="bullet"/>
      <w:lvlText w:val="o"/>
      <w:lvlJc w:val="left"/>
      <w:pPr>
        <w:tabs>
          <w:tab w:val="num" w:pos="6547"/>
        </w:tabs>
        <w:ind w:left="6547" w:hanging="360"/>
      </w:pPr>
      <w:rPr>
        <w:rFonts w:ascii="Courier New" w:hAnsi="Courier New" w:hint="default"/>
      </w:rPr>
    </w:lvl>
    <w:lvl w:ilvl="8" w:tplc="04090005">
      <w:start w:val="1"/>
      <w:numFmt w:val="bullet"/>
      <w:lvlText w:val=""/>
      <w:lvlJc w:val="left"/>
      <w:pPr>
        <w:tabs>
          <w:tab w:val="num" w:pos="7267"/>
        </w:tabs>
        <w:ind w:left="7267" w:hanging="360"/>
      </w:pPr>
      <w:rPr>
        <w:rFonts w:ascii="Wingdings" w:hAnsi="Wingdings" w:hint="default"/>
      </w:rPr>
    </w:lvl>
  </w:abstractNum>
  <w:abstractNum w:abstractNumId="11">
    <w:nsid w:val="16BC6F11"/>
    <w:multiLevelType w:val="hybridMultilevel"/>
    <w:tmpl w:val="5792F58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17C93A11"/>
    <w:multiLevelType w:val="hybridMultilevel"/>
    <w:tmpl w:val="C95086D4"/>
    <w:lvl w:ilvl="0" w:tplc="A35ED6C0">
      <w:start w:val="1"/>
      <w:numFmt w:val="bullet"/>
      <w:lvlText w:val=""/>
      <w:lvlJc w:val="left"/>
      <w:pPr>
        <w:tabs>
          <w:tab w:val="num" w:pos="1440"/>
        </w:tabs>
        <w:ind w:left="1440" w:hanging="1440"/>
      </w:pPr>
      <w:rPr>
        <w:rFonts w:ascii="Symbol" w:eastAsia="Times New Roman" w:hAnsi="Symbol" w:hint="default"/>
      </w:rPr>
    </w:lvl>
    <w:lvl w:ilvl="1" w:tplc="04090003">
      <w:start w:val="1"/>
      <w:numFmt w:val="bullet"/>
      <w:lvlText w:val="o"/>
      <w:lvlJc w:val="left"/>
      <w:pPr>
        <w:tabs>
          <w:tab w:val="num" w:pos="90"/>
        </w:tabs>
        <w:ind w:left="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219F0A4A"/>
    <w:multiLevelType w:val="hybridMultilevel"/>
    <w:tmpl w:val="CD38814E"/>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1104E2"/>
    <w:multiLevelType w:val="hybridMultilevel"/>
    <w:tmpl w:val="E0745296"/>
    <w:lvl w:ilvl="0" w:tplc="20D02F48">
      <w:start w:val="1"/>
      <w:numFmt w:val="bullet"/>
      <w:lvlText w:val="-"/>
      <w:lvlJc w:val="left"/>
      <w:pPr>
        <w:tabs>
          <w:tab w:val="num" w:pos="1080"/>
        </w:tabs>
        <w:ind w:left="1080" w:hanging="360"/>
      </w:pPr>
      <w:rPr>
        <w:rFonts w:ascii="Courier New" w:hAnsi="Courier New" w:hint="default"/>
      </w:r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16">
    <w:nsid w:val="31C76063"/>
    <w:multiLevelType w:val="multilevel"/>
    <w:tmpl w:val="E438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3D0B22"/>
    <w:multiLevelType w:val="multilevel"/>
    <w:tmpl w:val="345C2A6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B9A42DE"/>
    <w:multiLevelType w:val="hybridMultilevel"/>
    <w:tmpl w:val="273A3F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nsid w:val="3EA05397"/>
    <w:multiLevelType w:val="hybridMultilevel"/>
    <w:tmpl w:val="416C2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2">
    <w:nsid w:val="41650DE8"/>
    <w:multiLevelType w:val="hybridMultilevel"/>
    <w:tmpl w:val="B61856FE"/>
    <w:lvl w:ilvl="0" w:tplc="C64E20B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nsid w:val="43A0108B"/>
    <w:multiLevelType w:val="hybridMultilevel"/>
    <w:tmpl w:val="903AA740"/>
    <w:lvl w:ilvl="0" w:tplc="BA3C12C4">
      <w:start w:val="1"/>
      <w:numFmt w:val="decimal"/>
      <w:lvlText w:val="%1."/>
      <w:lvlJc w:val="left"/>
      <w:pPr>
        <w:tabs>
          <w:tab w:val="num" w:pos="1080"/>
        </w:tabs>
        <w:ind w:left="1080" w:hanging="360"/>
      </w:pPr>
    </w:lvl>
    <w:lvl w:ilvl="1" w:tplc="2DE40418" w:tentative="1">
      <w:start w:val="1"/>
      <w:numFmt w:val="decimal"/>
      <w:lvlText w:val="%2."/>
      <w:lvlJc w:val="left"/>
      <w:pPr>
        <w:tabs>
          <w:tab w:val="num" w:pos="1800"/>
        </w:tabs>
        <w:ind w:left="1800" w:hanging="360"/>
      </w:pPr>
    </w:lvl>
    <w:lvl w:ilvl="2" w:tplc="86CEF964" w:tentative="1">
      <w:start w:val="1"/>
      <w:numFmt w:val="decimal"/>
      <w:lvlText w:val="%3."/>
      <w:lvlJc w:val="left"/>
      <w:pPr>
        <w:tabs>
          <w:tab w:val="num" w:pos="2520"/>
        </w:tabs>
        <w:ind w:left="2520" w:hanging="360"/>
      </w:pPr>
    </w:lvl>
    <w:lvl w:ilvl="3" w:tplc="39500D44" w:tentative="1">
      <w:start w:val="1"/>
      <w:numFmt w:val="decimal"/>
      <w:lvlText w:val="%4."/>
      <w:lvlJc w:val="left"/>
      <w:pPr>
        <w:tabs>
          <w:tab w:val="num" w:pos="3240"/>
        </w:tabs>
        <w:ind w:left="3240" w:hanging="360"/>
      </w:pPr>
    </w:lvl>
    <w:lvl w:ilvl="4" w:tplc="5AB8A40A" w:tentative="1">
      <w:start w:val="1"/>
      <w:numFmt w:val="decimal"/>
      <w:lvlText w:val="%5."/>
      <w:lvlJc w:val="left"/>
      <w:pPr>
        <w:tabs>
          <w:tab w:val="num" w:pos="3960"/>
        </w:tabs>
        <w:ind w:left="3960" w:hanging="360"/>
      </w:pPr>
    </w:lvl>
    <w:lvl w:ilvl="5" w:tplc="C32603A8" w:tentative="1">
      <w:start w:val="1"/>
      <w:numFmt w:val="decimal"/>
      <w:lvlText w:val="%6."/>
      <w:lvlJc w:val="left"/>
      <w:pPr>
        <w:tabs>
          <w:tab w:val="num" w:pos="4680"/>
        </w:tabs>
        <w:ind w:left="4680" w:hanging="360"/>
      </w:pPr>
    </w:lvl>
    <w:lvl w:ilvl="6" w:tplc="B384569E" w:tentative="1">
      <w:start w:val="1"/>
      <w:numFmt w:val="decimal"/>
      <w:lvlText w:val="%7."/>
      <w:lvlJc w:val="left"/>
      <w:pPr>
        <w:tabs>
          <w:tab w:val="num" w:pos="5400"/>
        </w:tabs>
        <w:ind w:left="5400" w:hanging="360"/>
      </w:pPr>
    </w:lvl>
    <w:lvl w:ilvl="7" w:tplc="455C4A70" w:tentative="1">
      <w:start w:val="1"/>
      <w:numFmt w:val="decimal"/>
      <w:lvlText w:val="%8."/>
      <w:lvlJc w:val="left"/>
      <w:pPr>
        <w:tabs>
          <w:tab w:val="num" w:pos="6120"/>
        </w:tabs>
        <w:ind w:left="6120" w:hanging="360"/>
      </w:pPr>
    </w:lvl>
    <w:lvl w:ilvl="8" w:tplc="06809936" w:tentative="1">
      <w:start w:val="1"/>
      <w:numFmt w:val="decimal"/>
      <w:lvlText w:val="%9."/>
      <w:lvlJc w:val="left"/>
      <w:pPr>
        <w:tabs>
          <w:tab w:val="num" w:pos="6840"/>
        </w:tabs>
        <w:ind w:left="6840" w:hanging="360"/>
      </w:pPr>
    </w:lvl>
  </w:abstractNum>
  <w:abstractNum w:abstractNumId="24">
    <w:nsid w:val="446643ED"/>
    <w:multiLevelType w:val="hybridMultilevel"/>
    <w:tmpl w:val="05DAC714"/>
    <w:lvl w:ilvl="0" w:tplc="9A40EE86">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1623362">
      <w:start w:val="1"/>
      <w:numFmt w:val="bullet"/>
      <w:lvlText w:val="-"/>
      <w:lvlJc w:val="left"/>
      <w:pPr>
        <w:tabs>
          <w:tab w:val="num" w:pos="2160"/>
        </w:tabs>
        <w:ind w:left="2160" w:hanging="360"/>
      </w:pPr>
      <w:rPr>
        <w:rFonts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7195425"/>
    <w:multiLevelType w:val="hybridMultilevel"/>
    <w:tmpl w:val="894A65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6">
    <w:nsid w:val="514F7CDE"/>
    <w:multiLevelType w:val="hybridMultilevel"/>
    <w:tmpl w:val="48042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00448"/>
    <w:multiLevelType w:val="hybridMultilevel"/>
    <w:tmpl w:val="9F7869E2"/>
    <w:lvl w:ilvl="0" w:tplc="843697B2">
      <w:start w:val="1"/>
      <w:numFmt w:val="upp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7535BE5"/>
    <w:multiLevelType w:val="hybridMultilevel"/>
    <w:tmpl w:val="3836B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EE66CE"/>
    <w:multiLevelType w:val="hybridMultilevel"/>
    <w:tmpl w:val="24145750"/>
    <w:lvl w:ilvl="0" w:tplc="A4E69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805394"/>
    <w:multiLevelType w:val="hybridMultilevel"/>
    <w:tmpl w:val="A6CE9614"/>
    <w:lvl w:ilvl="0" w:tplc="5EEE5372">
      <w:start w:val="10"/>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0FD1398"/>
    <w:multiLevelType w:val="hybridMultilevel"/>
    <w:tmpl w:val="CB6EC9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2">
    <w:nsid w:val="61AE19E6"/>
    <w:multiLevelType w:val="hybridMultilevel"/>
    <w:tmpl w:val="CBDE7B82"/>
    <w:lvl w:ilvl="0" w:tplc="C8AABB60">
      <w:start w:val="17"/>
      <w:numFmt w:val="upperLetter"/>
      <w:lvlText w:val="%1."/>
      <w:lvlJc w:val="left"/>
      <w:pPr>
        <w:tabs>
          <w:tab w:val="num" w:pos="2160"/>
        </w:tabs>
        <w:ind w:left="2160" w:hanging="144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3">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4">
    <w:nsid w:val="68985135"/>
    <w:multiLevelType w:val="hybridMultilevel"/>
    <w:tmpl w:val="4460A7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9B06294"/>
    <w:multiLevelType w:val="hybridMultilevel"/>
    <w:tmpl w:val="1A42BF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6">
    <w:nsid w:val="6A3F4CBA"/>
    <w:multiLevelType w:val="hybridMultilevel"/>
    <w:tmpl w:val="37DEBC3A"/>
    <w:lvl w:ilvl="0" w:tplc="783C37B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7">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4C0375D"/>
    <w:multiLevelType w:val="multilevel"/>
    <w:tmpl w:val="B7221FD0"/>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9">
    <w:nsid w:val="750C1401"/>
    <w:multiLevelType w:val="hybridMultilevel"/>
    <w:tmpl w:val="48542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79C6995"/>
    <w:multiLevelType w:val="hybridMultilevel"/>
    <w:tmpl w:val="ADC6F6B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CEA60B2"/>
    <w:multiLevelType w:val="hybridMultilevel"/>
    <w:tmpl w:val="B7221FD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nsid w:val="7FF81837"/>
    <w:multiLevelType w:val="hybridMultilevel"/>
    <w:tmpl w:val="53CC0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12"/>
  </w:num>
  <w:num w:numId="4">
    <w:abstractNumId w:val="35"/>
  </w:num>
  <w:num w:numId="5">
    <w:abstractNumId w:val="24"/>
  </w:num>
  <w:num w:numId="6">
    <w:abstractNumId w:val="22"/>
  </w:num>
  <w:num w:numId="7">
    <w:abstractNumId w:val="36"/>
  </w:num>
  <w:num w:numId="8">
    <w:abstractNumId w:val="32"/>
  </w:num>
  <w:num w:numId="9">
    <w:abstractNumId w:val="3"/>
  </w:num>
  <w:num w:numId="10">
    <w:abstractNumId w:val="25"/>
  </w:num>
  <w:num w:numId="11">
    <w:abstractNumId w:val="31"/>
  </w:num>
  <w:num w:numId="12">
    <w:abstractNumId w:val="10"/>
  </w:num>
  <w:num w:numId="13">
    <w:abstractNumId w:val="17"/>
  </w:num>
  <w:num w:numId="14">
    <w:abstractNumId w:val="33"/>
  </w:num>
  <w:num w:numId="15">
    <w:abstractNumId w:val="5"/>
  </w:num>
  <w:num w:numId="16">
    <w:abstractNumId w:val="7"/>
  </w:num>
  <w:num w:numId="17">
    <w:abstractNumId w:val="0"/>
  </w:num>
  <w:num w:numId="18">
    <w:abstractNumId w:val="39"/>
  </w:num>
  <w:num w:numId="19">
    <w:abstractNumId w:val="18"/>
  </w:num>
  <w:num w:numId="20">
    <w:abstractNumId w:val="29"/>
  </w:num>
  <w:num w:numId="21">
    <w:abstractNumId w:val="40"/>
  </w:num>
  <w:num w:numId="22">
    <w:abstractNumId w:val="34"/>
  </w:num>
  <w:num w:numId="23">
    <w:abstractNumId w:val="1"/>
    <w:lvlOverride w:ilvl="0">
      <w:lvl w:ilvl="0">
        <w:numFmt w:val="bullet"/>
        <w:lvlText w:val=""/>
        <w:legacy w:legacy="1" w:legacySpace="0" w:legacyIndent="360"/>
        <w:lvlJc w:val="left"/>
        <w:rPr>
          <w:rFonts w:ascii="Symbol" w:hAnsi="Symbol" w:hint="default"/>
        </w:rPr>
      </w:lvl>
    </w:lvlOverride>
  </w:num>
  <w:num w:numId="24">
    <w:abstractNumId w:val="23"/>
  </w:num>
  <w:num w:numId="25">
    <w:abstractNumId w:val="15"/>
  </w:num>
  <w:num w:numId="26">
    <w:abstractNumId w:val="2"/>
  </w:num>
  <w:num w:numId="27">
    <w:abstractNumId w:val="8"/>
  </w:num>
  <w:num w:numId="28">
    <w:abstractNumId w:val="11"/>
  </w:num>
  <w:num w:numId="29">
    <w:abstractNumId w:val="41"/>
  </w:num>
  <w:num w:numId="30">
    <w:abstractNumId w:val="4"/>
  </w:num>
  <w:num w:numId="31">
    <w:abstractNumId w:val="38"/>
  </w:num>
  <w:num w:numId="32">
    <w:abstractNumId w:val="13"/>
  </w:num>
  <w:num w:numId="33">
    <w:abstractNumId w:val="30"/>
  </w:num>
  <w:num w:numId="34">
    <w:abstractNumId w:val="20"/>
  </w:num>
  <w:num w:numId="35">
    <w:abstractNumId w:val="6"/>
  </w:num>
  <w:num w:numId="36">
    <w:abstractNumId w:val="37"/>
  </w:num>
  <w:num w:numId="37">
    <w:abstractNumId w:val="14"/>
  </w:num>
  <w:num w:numId="38">
    <w:abstractNumId w:val="9"/>
  </w:num>
  <w:num w:numId="39">
    <w:abstractNumId w:val="42"/>
  </w:num>
  <w:num w:numId="40">
    <w:abstractNumId w:val="26"/>
  </w:num>
  <w:num w:numId="41">
    <w:abstractNumId w:val="28"/>
  </w:num>
  <w:num w:numId="42">
    <w:abstractNumId w:val="16"/>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8609">
      <o:colormenu v:ext="edit" strokecolor="none"/>
    </o:shapedefaults>
  </w:hdrShapeDefaults>
  <w:footnotePr>
    <w:footnote w:id="-1"/>
    <w:footnote w:id="0"/>
  </w:footnotePr>
  <w:endnotePr>
    <w:endnote w:id="-1"/>
    <w:endnote w:id="0"/>
  </w:endnotePr>
  <w:compat/>
  <w:rsids>
    <w:rsidRoot w:val="00E03EA4"/>
    <w:rsid w:val="00001850"/>
    <w:rsid w:val="00001BDC"/>
    <w:rsid w:val="00002677"/>
    <w:rsid w:val="00002688"/>
    <w:rsid w:val="0000281C"/>
    <w:rsid w:val="00002BCB"/>
    <w:rsid w:val="00004868"/>
    <w:rsid w:val="00005B44"/>
    <w:rsid w:val="000074E5"/>
    <w:rsid w:val="0001087C"/>
    <w:rsid w:val="00010E3C"/>
    <w:rsid w:val="0001106E"/>
    <w:rsid w:val="00013290"/>
    <w:rsid w:val="00013884"/>
    <w:rsid w:val="00013D7A"/>
    <w:rsid w:val="0001485C"/>
    <w:rsid w:val="00015BD1"/>
    <w:rsid w:val="00015CF4"/>
    <w:rsid w:val="00016818"/>
    <w:rsid w:val="00020606"/>
    <w:rsid w:val="00020B56"/>
    <w:rsid w:val="000216E4"/>
    <w:rsid w:val="00021DCF"/>
    <w:rsid w:val="00022175"/>
    <w:rsid w:val="0002365B"/>
    <w:rsid w:val="0002378E"/>
    <w:rsid w:val="00024366"/>
    <w:rsid w:val="0002580B"/>
    <w:rsid w:val="00026D24"/>
    <w:rsid w:val="00026F28"/>
    <w:rsid w:val="0003078D"/>
    <w:rsid w:val="0003098E"/>
    <w:rsid w:val="00030C27"/>
    <w:rsid w:val="000320DE"/>
    <w:rsid w:val="0003290F"/>
    <w:rsid w:val="00032FBB"/>
    <w:rsid w:val="000341C4"/>
    <w:rsid w:val="0003426E"/>
    <w:rsid w:val="00034AF5"/>
    <w:rsid w:val="00035AB3"/>
    <w:rsid w:val="0003685F"/>
    <w:rsid w:val="00036BD0"/>
    <w:rsid w:val="00036E2C"/>
    <w:rsid w:val="0004058C"/>
    <w:rsid w:val="00041FF8"/>
    <w:rsid w:val="0004255D"/>
    <w:rsid w:val="00044115"/>
    <w:rsid w:val="000442EF"/>
    <w:rsid w:val="0004484E"/>
    <w:rsid w:val="0004552D"/>
    <w:rsid w:val="00045C35"/>
    <w:rsid w:val="0004621B"/>
    <w:rsid w:val="00047B70"/>
    <w:rsid w:val="000501E1"/>
    <w:rsid w:val="00050227"/>
    <w:rsid w:val="00051974"/>
    <w:rsid w:val="00052271"/>
    <w:rsid w:val="00052898"/>
    <w:rsid w:val="000533C4"/>
    <w:rsid w:val="00053677"/>
    <w:rsid w:val="000542F5"/>
    <w:rsid w:val="000552E6"/>
    <w:rsid w:val="0005695E"/>
    <w:rsid w:val="00061193"/>
    <w:rsid w:val="000632FF"/>
    <w:rsid w:val="0006412E"/>
    <w:rsid w:val="00064447"/>
    <w:rsid w:val="00064BA8"/>
    <w:rsid w:val="00064BD8"/>
    <w:rsid w:val="00064F77"/>
    <w:rsid w:val="0006562A"/>
    <w:rsid w:val="00065D80"/>
    <w:rsid w:val="00066160"/>
    <w:rsid w:val="00067A87"/>
    <w:rsid w:val="00067C89"/>
    <w:rsid w:val="000709C9"/>
    <w:rsid w:val="00072049"/>
    <w:rsid w:val="00073922"/>
    <w:rsid w:val="00073C7C"/>
    <w:rsid w:val="00073CAC"/>
    <w:rsid w:val="00073F7E"/>
    <w:rsid w:val="00074B67"/>
    <w:rsid w:val="00074D94"/>
    <w:rsid w:val="00074E9B"/>
    <w:rsid w:val="0007528A"/>
    <w:rsid w:val="0007559D"/>
    <w:rsid w:val="000758EE"/>
    <w:rsid w:val="00076C7E"/>
    <w:rsid w:val="00077F82"/>
    <w:rsid w:val="000806B4"/>
    <w:rsid w:val="00080E2A"/>
    <w:rsid w:val="000817E7"/>
    <w:rsid w:val="00081F59"/>
    <w:rsid w:val="00081FCE"/>
    <w:rsid w:val="000833E1"/>
    <w:rsid w:val="0008381C"/>
    <w:rsid w:val="0008449E"/>
    <w:rsid w:val="000853A7"/>
    <w:rsid w:val="00085A79"/>
    <w:rsid w:val="00085AEA"/>
    <w:rsid w:val="00085CFB"/>
    <w:rsid w:val="00085D62"/>
    <w:rsid w:val="00086BC1"/>
    <w:rsid w:val="0008766E"/>
    <w:rsid w:val="0009118C"/>
    <w:rsid w:val="000912BC"/>
    <w:rsid w:val="000915B9"/>
    <w:rsid w:val="000924ED"/>
    <w:rsid w:val="00094191"/>
    <w:rsid w:val="00094335"/>
    <w:rsid w:val="000967B1"/>
    <w:rsid w:val="00096E1A"/>
    <w:rsid w:val="000975A2"/>
    <w:rsid w:val="000A0314"/>
    <w:rsid w:val="000A0B30"/>
    <w:rsid w:val="000A1509"/>
    <w:rsid w:val="000A18EF"/>
    <w:rsid w:val="000A1BD1"/>
    <w:rsid w:val="000A2179"/>
    <w:rsid w:val="000A238B"/>
    <w:rsid w:val="000A4831"/>
    <w:rsid w:val="000A49D6"/>
    <w:rsid w:val="000A4C6E"/>
    <w:rsid w:val="000A529B"/>
    <w:rsid w:val="000A58DA"/>
    <w:rsid w:val="000A6087"/>
    <w:rsid w:val="000A7B7C"/>
    <w:rsid w:val="000A7C4B"/>
    <w:rsid w:val="000A7D83"/>
    <w:rsid w:val="000B02A5"/>
    <w:rsid w:val="000B2A62"/>
    <w:rsid w:val="000B4B03"/>
    <w:rsid w:val="000B6245"/>
    <w:rsid w:val="000B7028"/>
    <w:rsid w:val="000B7094"/>
    <w:rsid w:val="000B738D"/>
    <w:rsid w:val="000C06DE"/>
    <w:rsid w:val="000C1218"/>
    <w:rsid w:val="000C1A34"/>
    <w:rsid w:val="000C2DCA"/>
    <w:rsid w:val="000C3ACC"/>
    <w:rsid w:val="000C6B37"/>
    <w:rsid w:val="000C6BED"/>
    <w:rsid w:val="000C6D7D"/>
    <w:rsid w:val="000D03F4"/>
    <w:rsid w:val="000D1E56"/>
    <w:rsid w:val="000D2F13"/>
    <w:rsid w:val="000D30D0"/>
    <w:rsid w:val="000D37F2"/>
    <w:rsid w:val="000D38E1"/>
    <w:rsid w:val="000D3E2F"/>
    <w:rsid w:val="000D4895"/>
    <w:rsid w:val="000D581C"/>
    <w:rsid w:val="000E0D2F"/>
    <w:rsid w:val="000E116F"/>
    <w:rsid w:val="000E2E11"/>
    <w:rsid w:val="000E4D52"/>
    <w:rsid w:val="000E62DB"/>
    <w:rsid w:val="000E6921"/>
    <w:rsid w:val="000E7497"/>
    <w:rsid w:val="000E7583"/>
    <w:rsid w:val="000E761A"/>
    <w:rsid w:val="000F0AB6"/>
    <w:rsid w:val="000F0FE2"/>
    <w:rsid w:val="000F1F59"/>
    <w:rsid w:val="000F2C14"/>
    <w:rsid w:val="000F39B6"/>
    <w:rsid w:val="000F4CF9"/>
    <w:rsid w:val="000F4E4E"/>
    <w:rsid w:val="000F4F28"/>
    <w:rsid w:val="000F5918"/>
    <w:rsid w:val="000F5C71"/>
    <w:rsid w:val="000F619B"/>
    <w:rsid w:val="000F7D3C"/>
    <w:rsid w:val="000F7DAE"/>
    <w:rsid w:val="00101005"/>
    <w:rsid w:val="0010111D"/>
    <w:rsid w:val="00101320"/>
    <w:rsid w:val="0010254D"/>
    <w:rsid w:val="001025D7"/>
    <w:rsid w:val="001026E0"/>
    <w:rsid w:val="00102834"/>
    <w:rsid w:val="00103737"/>
    <w:rsid w:val="00103DE0"/>
    <w:rsid w:val="00103FBA"/>
    <w:rsid w:val="00104B88"/>
    <w:rsid w:val="00105107"/>
    <w:rsid w:val="00105A8B"/>
    <w:rsid w:val="0010641C"/>
    <w:rsid w:val="00107618"/>
    <w:rsid w:val="0011128D"/>
    <w:rsid w:val="0011194E"/>
    <w:rsid w:val="001124CF"/>
    <w:rsid w:val="001126DD"/>
    <w:rsid w:val="00113CBD"/>
    <w:rsid w:val="001157EC"/>
    <w:rsid w:val="00115972"/>
    <w:rsid w:val="00116BB0"/>
    <w:rsid w:val="00116D7B"/>
    <w:rsid w:val="00116F61"/>
    <w:rsid w:val="0011787F"/>
    <w:rsid w:val="00117F3D"/>
    <w:rsid w:val="00120362"/>
    <w:rsid w:val="001203BE"/>
    <w:rsid w:val="00120A58"/>
    <w:rsid w:val="0012136E"/>
    <w:rsid w:val="0012190D"/>
    <w:rsid w:val="00121BAC"/>
    <w:rsid w:val="00121BD3"/>
    <w:rsid w:val="001225E7"/>
    <w:rsid w:val="00122E8D"/>
    <w:rsid w:val="001230D5"/>
    <w:rsid w:val="00123806"/>
    <w:rsid w:val="00123F43"/>
    <w:rsid w:val="00126F6E"/>
    <w:rsid w:val="00127D98"/>
    <w:rsid w:val="001300FE"/>
    <w:rsid w:val="00131CB9"/>
    <w:rsid w:val="001345B7"/>
    <w:rsid w:val="00135805"/>
    <w:rsid w:val="00135D1E"/>
    <w:rsid w:val="00137A2C"/>
    <w:rsid w:val="0014018A"/>
    <w:rsid w:val="0014018D"/>
    <w:rsid w:val="00140F53"/>
    <w:rsid w:val="00143390"/>
    <w:rsid w:val="0014350A"/>
    <w:rsid w:val="00143626"/>
    <w:rsid w:val="0014436A"/>
    <w:rsid w:val="001448EA"/>
    <w:rsid w:val="00144914"/>
    <w:rsid w:val="00145194"/>
    <w:rsid w:val="00145974"/>
    <w:rsid w:val="00146FEC"/>
    <w:rsid w:val="00147F76"/>
    <w:rsid w:val="0015093E"/>
    <w:rsid w:val="00151845"/>
    <w:rsid w:val="00151995"/>
    <w:rsid w:val="00152F63"/>
    <w:rsid w:val="00154345"/>
    <w:rsid w:val="001545DB"/>
    <w:rsid w:val="001546C1"/>
    <w:rsid w:val="0015476A"/>
    <w:rsid w:val="001562E7"/>
    <w:rsid w:val="00157594"/>
    <w:rsid w:val="00160984"/>
    <w:rsid w:val="00160B7F"/>
    <w:rsid w:val="00165326"/>
    <w:rsid w:val="00165A01"/>
    <w:rsid w:val="00166069"/>
    <w:rsid w:val="001662F9"/>
    <w:rsid w:val="0016631C"/>
    <w:rsid w:val="00166847"/>
    <w:rsid w:val="0017079D"/>
    <w:rsid w:val="001717E4"/>
    <w:rsid w:val="00171BDB"/>
    <w:rsid w:val="00172582"/>
    <w:rsid w:val="001725CF"/>
    <w:rsid w:val="001726CE"/>
    <w:rsid w:val="001742B0"/>
    <w:rsid w:val="001748B6"/>
    <w:rsid w:val="00174941"/>
    <w:rsid w:val="00175758"/>
    <w:rsid w:val="001757A1"/>
    <w:rsid w:val="00175C89"/>
    <w:rsid w:val="00176837"/>
    <w:rsid w:val="0017744A"/>
    <w:rsid w:val="00177567"/>
    <w:rsid w:val="00177747"/>
    <w:rsid w:val="00177DFB"/>
    <w:rsid w:val="0018042B"/>
    <w:rsid w:val="00181014"/>
    <w:rsid w:val="0018126B"/>
    <w:rsid w:val="00181ACB"/>
    <w:rsid w:val="00182E14"/>
    <w:rsid w:val="00185877"/>
    <w:rsid w:val="001859BB"/>
    <w:rsid w:val="00185F44"/>
    <w:rsid w:val="001863C9"/>
    <w:rsid w:val="00187190"/>
    <w:rsid w:val="00187803"/>
    <w:rsid w:val="00187A5E"/>
    <w:rsid w:val="00190726"/>
    <w:rsid w:val="00190A87"/>
    <w:rsid w:val="00190EEA"/>
    <w:rsid w:val="0019127A"/>
    <w:rsid w:val="0019206C"/>
    <w:rsid w:val="0019260C"/>
    <w:rsid w:val="00192CBC"/>
    <w:rsid w:val="001947E7"/>
    <w:rsid w:val="00194825"/>
    <w:rsid w:val="00194CEA"/>
    <w:rsid w:val="0019568A"/>
    <w:rsid w:val="001A007B"/>
    <w:rsid w:val="001A0B81"/>
    <w:rsid w:val="001A1234"/>
    <w:rsid w:val="001A1D99"/>
    <w:rsid w:val="001A2220"/>
    <w:rsid w:val="001A2759"/>
    <w:rsid w:val="001A464A"/>
    <w:rsid w:val="001A4D07"/>
    <w:rsid w:val="001A61FE"/>
    <w:rsid w:val="001A6624"/>
    <w:rsid w:val="001A7695"/>
    <w:rsid w:val="001B0482"/>
    <w:rsid w:val="001B05FB"/>
    <w:rsid w:val="001B186C"/>
    <w:rsid w:val="001B3713"/>
    <w:rsid w:val="001B3AC7"/>
    <w:rsid w:val="001B409C"/>
    <w:rsid w:val="001B5C98"/>
    <w:rsid w:val="001B6017"/>
    <w:rsid w:val="001B62E8"/>
    <w:rsid w:val="001B74B7"/>
    <w:rsid w:val="001B74F9"/>
    <w:rsid w:val="001B7813"/>
    <w:rsid w:val="001B7DBB"/>
    <w:rsid w:val="001B7E95"/>
    <w:rsid w:val="001C00B2"/>
    <w:rsid w:val="001C02AB"/>
    <w:rsid w:val="001C03EE"/>
    <w:rsid w:val="001C0D1A"/>
    <w:rsid w:val="001C1D03"/>
    <w:rsid w:val="001C2A05"/>
    <w:rsid w:val="001C4900"/>
    <w:rsid w:val="001C5698"/>
    <w:rsid w:val="001C5B26"/>
    <w:rsid w:val="001C7C22"/>
    <w:rsid w:val="001D05FA"/>
    <w:rsid w:val="001D084D"/>
    <w:rsid w:val="001D08E0"/>
    <w:rsid w:val="001D3FF4"/>
    <w:rsid w:val="001D4D5F"/>
    <w:rsid w:val="001D50D5"/>
    <w:rsid w:val="001D56FF"/>
    <w:rsid w:val="001D603B"/>
    <w:rsid w:val="001D6724"/>
    <w:rsid w:val="001D68A9"/>
    <w:rsid w:val="001D6BE9"/>
    <w:rsid w:val="001E082A"/>
    <w:rsid w:val="001E0A3A"/>
    <w:rsid w:val="001E0F53"/>
    <w:rsid w:val="001E1478"/>
    <w:rsid w:val="001E1D20"/>
    <w:rsid w:val="001E35E1"/>
    <w:rsid w:val="001E3633"/>
    <w:rsid w:val="001E37CD"/>
    <w:rsid w:val="001E3DF9"/>
    <w:rsid w:val="001E554A"/>
    <w:rsid w:val="001E5CE3"/>
    <w:rsid w:val="001E6C44"/>
    <w:rsid w:val="001F19DE"/>
    <w:rsid w:val="001F2726"/>
    <w:rsid w:val="001F3AFB"/>
    <w:rsid w:val="001F630E"/>
    <w:rsid w:val="001F6B72"/>
    <w:rsid w:val="00201817"/>
    <w:rsid w:val="002020A8"/>
    <w:rsid w:val="00202894"/>
    <w:rsid w:val="00203726"/>
    <w:rsid w:val="00205AC5"/>
    <w:rsid w:val="00206109"/>
    <w:rsid w:val="00206146"/>
    <w:rsid w:val="0020661D"/>
    <w:rsid w:val="00207CFA"/>
    <w:rsid w:val="00210178"/>
    <w:rsid w:val="0021045F"/>
    <w:rsid w:val="002107E7"/>
    <w:rsid w:val="002108B2"/>
    <w:rsid w:val="00210CB0"/>
    <w:rsid w:val="002112B7"/>
    <w:rsid w:val="00211B58"/>
    <w:rsid w:val="00212FB7"/>
    <w:rsid w:val="00213AC9"/>
    <w:rsid w:val="00213BF7"/>
    <w:rsid w:val="002140D9"/>
    <w:rsid w:val="002141E7"/>
    <w:rsid w:val="00215261"/>
    <w:rsid w:val="00215A6E"/>
    <w:rsid w:val="00215FAA"/>
    <w:rsid w:val="00215FBC"/>
    <w:rsid w:val="002165CE"/>
    <w:rsid w:val="00216CAC"/>
    <w:rsid w:val="00217A5C"/>
    <w:rsid w:val="00217F5D"/>
    <w:rsid w:val="002207D1"/>
    <w:rsid w:val="00220C0F"/>
    <w:rsid w:val="0022117C"/>
    <w:rsid w:val="00221E85"/>
    <w:rsid w:val="00223EF5"/>
    <w:rsid w:val="00224011"/>
    <w:rsid w:val="00224A6A"/>
    <w:rsid w:val="002254A8"/>
    <w:rsid w:val="00225B27"/>
    <w:rsid w:val="00225D46"/>
    <w:rsid w:val="002268EB"/>
    <w:rsid w:val="00226CAC"/>
    <w:rsid w:val="002300D6"/>
    <w:rsid w:val="00230AC8"/>
    <w:rsid w:val="00231ABF"/>
    <w:rsid w:val="00233513"/>
    <w:rsid w:val="002335D4"/>
    <w:rsid w:val="0023369D"/>
    <w:rsid w:val="002352F8"/>
    <w:rsid w:val="00237187"/>
    <w:rsid w:val="00240AA3"/>
    <w:rsid w:val="00240BCA"/>
    <w:rsid w:val="002411D5"/>
    <w:rsid w:val="002414B0"/>
    <w:rsid w:val="00242563"/>
    <w:rsid w:val="00242855"/>
    <w:rsid w:val="00242D70"/>
    <w:rsid w:val="002431F2"/>
    <w:rsid w:val="0024347B"/>
    <w:rsid w:val="00243759"/>
    <w:rsid w:val="002438E1"/>
    <w:rsid w:val="00244AD4"/>
    <w:rsid w:val="00245E6C"/>
    <w:rsid w:val="00246068"/>
    <w:rsid w:val="0024682F"/>
    <w:rsid w:val="0024702A"/>
    <w:rsid w:val="002515AB"/>
    <w:rsid w:val="00251D6F"/>
    <w:rsid w:val="0025203F"/>
    <w:rsid w:val="0025214A"/>
    <w:rsid w:val="00252692"/>
    <w:rsid w:val="0025285F"/>
    <w:rsid w:val="002529A7"/>
    <w:rsid w:val="00253016"/>
    <w:rsid w:val="002534B9"/>
    <w:rsid w:val="00254398"/>
    <w:rsid w:val="00255681"/>
    <w:rsid w:val="00255A79"/>
    <w:rsid w:val="00255AF0"/>
    <w:rsid w:val="00257191"/>
    <w:rsid w:val="00257215"/>
    <w:rsid w:val="00257958"/>
    <w:rsid w:val="00257BE8"/>
    <w:rsid w:val="00257DB9"/>
    <w:rsid w:val="002600DD"/>
    <w:rsid w:val="00260330"/>
    <w:rsid w:val="0026037A"/>
    <w:rsid w:val="0026052D"/>
    <w:rsid w:val="002607BD"/>
    <w:rsid w:val="00260893"/>
    <w:rsid w:val="0026105D"/>
    <w:rsid w:val="00261273"/>
    <w:rsid w:val="00261ABA"/>
    <w:rsid w:val="002623A7"/>
    <w:rsid w:val="00262998"/>
    <w:rsid w:val="00262C66"/>
    <w:rsid w:val="0026394E"/>
    <w:rsid w:val="00264756"/>
    <w:rsid w:val="002649C2"/>
    <w:rsid w:val="002658CB"/>
    <w:rsid w:val="00266011"/>
    <w:rsid w:val="00266111"/>
    <w:rsid w:val="00266524"/>
    <w:rsid w:val="00266893"/>
    <w:rsid w:val="00267507"/>
    <w:rsid w:val="00267C97"/>
    <w:rsid w:val="00267ED8"/>
    <w:rsid w:val="00271376"/>
    <w:rsid w:val="00271E19"/>
    <w:rsid w:val="00271EE2"/>
    <w:rsid w:val="00272161"/>
    <w:rsid w:val="00273334"/>
    <w:rsid w:val="00273E3A"/>
    <w:rsid w:val="00274019"/>
    <w:rsid w:val="002740CA"/>
    <w:rsid w:val="00275730"/>
    <w:rsid w:val="00275F09"/>
    <w:rsid w:val="0027621F"/>
    <w:rsid w:val="00277E10"/>
    <w:rsid w:val="002815F2"/>
    <w:rsid w:val="0028195D"/>
    <w:rsid w:val="002831BE"/>
    <w:rsid w:val="0028325C"/>
    <w:rsid w:val="0028359A"/>
    <w:rsid w:val="0028414F"/>
    <w:rsid w:val="00284D9E"/>
    <w:rsid w:val="00285D28"/>
    <w:rsid w:val="00286C4C"/>
    <w:rsid w:val="00287A6E"/>
    <w:rsid w:val="00287A73"/>
    <w:rsid w:val="00287D52"/>
    <w:rsid w:val="00290C6F"/>
    <w:rsid w:val="00292B8E"/>
    <w:rsid w:val="002943F7"/>
    <w:rsid w:val="0029491E"/>
    <w:rsid w:val="00295843"/>
    <w:rsid w:val="002960E5"/>
    <w:rsid w:val="002968E5"/>
    <w:rsid w:val="00296A3D"/>
    <w:rsid w:val="002A09FF"/>
    <w:rsid w:val="002A1CFF"/>
    <w:rsid w:val="002A200D"/>
    <w:rsid w:val="002A27CD"/>
    <w:rsid w:val="002A28E7"/>
    <w:rsid w:val="002A3411"/>
    <w:rsid w:val="002A56E8"/>
    <w:rsid w:val="002A5AEC"/>
    <w:rsid w:val="002A64E4"/>
    <w:rsid w:val="002A6EA8"/>
    <w:rsid w:val="002B023D"/>
    <w:rsid w:val="002B03B1"/>
    <w:rsid w:val="002B0727"/>
    <w:rsid w:val="002B0D1D"/>
    <w:rsid w:val="002B10CD"/>
    <w:rsid w:val="002B120F"/>
    <w:rsid w:val="002B12E9"/>
    <w:rsid w:val="002B2505"/>
    <w:rsid w:val="002B26DC"/>
    <w:rsid w:val="002B4CA2"/>
    <w:rsid w:val="002B4E09"/>
    <w:rsid w:val="002B55CF"/>
    <w:rsid w:val="002B5C37"/>
    <w:rsid w:val="002C03D7"/>
    <w:rsid w:val="002C17F1"/>
    <w:rsid w:val="002C2990"/>
    <w:rsid w:val="002C3072"/>
    <w:rsid w:val="002C323E"/>
    <w:rsid w:val="002C35B0"/>
    <w:rsid w:val="002C376E"/>
    <w:rsid w:val="002C3F66"/>
    <w:rsid w:val="002C4719"/>
    <w:rsid w:val="002C4DFB"/>
    <w:rsid w:val="002C5575"/>
    <w:rsid w:val="002C55DF"/>
    <w:rsid w:val="002C5834"/>
    <w:rsid w:val="002D0090"/>
    <w:rsid w:val="002D0300"/>
    <w:rsid w:val="002D10F6"/>
    <w:rsid w:val="002D1C06"/>
    <w:rsid w:val="002D2384"/>
    <w:rsid w:val="002D2A35"/>
    <w:rsid w:val="002D3210"/>
    <w:rsid w:val="002D3B02"/>
    <w:rsid w:val="002D3BCF"/>
    <w:rsid w:val="002D4915"/>
    <w:rsid w:val="002D5A27"/>
    <w:rsid w:val="002D6C56"/>
    <w:rsid w:val="002D6F6D"/>
    <w:rsid w:val="002D7A3F"/>
    <w:rsid w:val="002E21E3"/>
    <w:rsid w:val="002E2D91"/>
    <w:rsid w:val="002E35B7"/>
    <w:rsid w:val="002E4EE5"/>
    <w:rsid w:val="002E5102"/>
    <w:rsid w:val="002E5598"/>
    <w:rsid w:val="002E75F0"/>
    <w:rsid w:val="002F02BE"/>
    <w:rsid w:val="002F0E76"/>
    <w:rsid w:val="002F180A"/>
    <w:rsid w:val="002F1D88"/>
    <w:rsid w:val="002F4F9F"/>
    <w:rsid w:val="002F52DA"/>
    <w:rsid w:val="002F64E5"/>
    <w:rsid w:val="002F66D7"/>
    <w:rsid w:val="002F6D7D"/>
    <w:rsid w:val="00300F75"/>
    <w:rsid w:val="00302034"/>
    <w:rsid w:val="00302239"/>
    <w:rsid w:val="00302282"/>
    <w:rsid w:val="00302887"/>
    <w:rsid w:val="0030385A"/>
    <w:rsid w:val="00303EBA"/>
    <w:rsid w:val="00303FFF"/>
    <w:rsid w:val="00304179"/>
    <w:rsid w:val="003043B1"/>
    <w:rsid w:val="00304F27"/>
    <w:rsid w:val="0030541C"/>
    <w:rsid w:val="00305E49"/>
    <w:rsid w:val="003062D9"/>
    <w:rsid w:val="003066D0"/>
    <w:rsid w:val="00306E8D"/>
    <w:rsid w:val="003073BA"/>
    <w:rsid w:val="00307AC3"/>
    <w:rsid w:val="0031035E"/>
    <w:rsid w:val="00310E4E"/>
    <w:rsid w:val="003113F3"/>
    <w:rsid w:val="00313413"/>
    <w:rsid w:val="00313892"/>
    <w:rsid w:val="00313A19"/>
    <w:rsid w:val="00314790"/>
    <w:rsid w:val="00314971"/>
    <w:rsid w:val="00314AF3"/>
    <w:rsid w:val="003151F9"/>
    <w:rsid w:val="00316824"/>
    <w:rsid w:val="00316C92"/>
    <w:rsid w:val="00317DB6"/>
    <w:rsid w:val="00321D0A"/>
    <w:rsid w:val="00322B8D"/>
    <w:rsid w:val="0032301D"/>
    <w:rsid w:val="003252D2"/>
    <w:rsid w:val="0032560F"/>
    <w:rsid w:val="00326386"/>
    <w:rsid w:val="00327810"/>
    <w:rsid w:val="00330BEA"/>
    <w:rsid w:val="00330D9C"/>
    <w:rsid w:val="00331157"/>
    <w:rsid w:val="003313CA"/>
    <w:rsid w:val="00332925"/>
    <w:rsid w:val="00332AEA"/>
    <w:rsid w:val="003330CB"/>
    <w:rsid w:val="00333591"/>
    <w:rsid w:val="00334616"/>
    <w:rsid w:val="00336C95"/>
    <w:rsid w:val="00336D83"/>
    <w:rsid w:val="00340873"/>
    <w:rsid w:val="00341565"/>
    <w:rsid w:val="00341FBB"/>
    <w:rsid w:val="0034268E"/>
    <w:rsid w:val="00342CF4"/>
    <w:rsid w:val="00343206"/>
    <w:rsid w:val="00343B6F"/>
    <w:rsid w:val="00344830"/>
    <w:rsid w:val="00344C16"/>
    <w:rsid w:val="00344C37"/>
    <w:rsid w:val="003458BC"/>
    <w:rsid w:val="00346893"/>
    <w:rsid w:val="00346981"/>
    <w:rsid w:val="0034777A"/>
    <w:rsid w:val="0034791E"/>
    <w:rsid w:val="00347E54"/>
    <w:rsid w:val="00350B5D"/>
    <w:rsid w:val="003510DB"/>
    <w:rsid w:val="003528D9"/>
    <w:rsid w:val="0035399E"/>
    <w:rsid w:val="00355304"/>
    <w:rsid w:val="00355E30"/>
    <w:rsid w:val="00356AB4"/>
    <w:rsid w:val="00356B96"/>
    <w:rsid w:val="003578D1"/>
    <w:rsid w:val="00361CC4"/>
    <w:rsid w:val="00362593"/>
    <w:rsid w:val="00363D31"/>
    <w:rsid w:val="003643DD"/>
    <w:rsid w:val="0036476D"/>
    <w:rsid w:val="00364930"/>
    <w:rsid w:val="00364E6E"/>
    <w:rsid w:val="00365834"/>
    <w:rsid w:val="003667E6"/>
    <w:rsid w:val="003667FE"/>
    <w:rsid w:val="00366AF5"/>
    <w:rsid w:val="00366FD4"/>
    <w:rsid w:val="00367509"/>
    <w:rsid w:val="00367E65"/>
    <w:rsid w:val="00370D6A"/>
    <w:rsid w:val="003715B4"/>
    <w:rsid w:val="00371FF5"/>
    <w:rsid w:val="0037206E"/>
    <w:rsid w:val="00372277"/>
    <w:rsid w:val="00372F92"/>
    <w:rsid w:val="00373324"/>
    <w:rsid w:val="00373949"/>
    <w:rsid w:val="00373AE9"/>
    <w:rsid w:val="00373BBE"/>
    <w:rsid w:val="00374CAC"/>
    <w:rsid w:val="00374F8B"/>
    <w:rsid w:val="00376ADC"/>
    <w:rsid w:val="00376E81"/>
    <w:rsid w:val="00376E98"/>
    <w:rsid w:val="003777E4"/>
    <w:rsid w:val="00377AF7"/>
    <w:rsid w:val="00377E25"/>
    <w:rsid w:val="0038095D"/>
    <w:rsid w:val="00381042"/>
    <w:rsid w:val="003810B7"/>
    <w:rsid w:val="00382856"/>
    <w:rsid w:val="00382C2C"/>
    <w:rsid w:val="003836E7"/>
    <w:rsid w:val="00383B34"/>
    <w:rsid w:val="00384222"/>
    <w:rsid w:val="0038464C"/>
    <w:rsid w:val="003847E2"/>
    <w:rsid w:val="00384CBD"/>
    <w:rsid w:val="00384EED"/>
    <w:rsid w:val="00385B19"/>
    <w:rsid w:val="00385FF2"/>
    <w:rsid w:val="00387688"/>
    <w:rsid w:val="003907BA"/>
    <w:rsid w:val="0039093B"/>
    <w:rsid w:val="0039178D"/>
    <w:rsid w:val="003923DB"/>
    <w:rsid w:val="003923F0"/>
    <w:rsid w:val="0039288C"/>
    <w:rsid w:val="00392AF6"/>
    <w:rsid w:val="00393328"/>
    <w:rsid w:val="00393F00"/>
    <w:rsid w:val="00395B27"/>
    <w:rsid w:val="00395BEF"/>
    <w:rsid w:val="00395CCB"/>
    <w:rsid w:val="00396D66"/>
    <w:rsid w:val="0039700C"/>
    <w:rsid w:val="003A0C68"/>
    <w:rsid w:val="003A17B8"/>
    <w:rsid w:val="003A18C1"/>
    <w:rsid w:val="003A197A"/>
    <w:rsid w:val="003A1E6D"/>
    <w:rsid w:val="003A3108"/>
    <w:rsid w:val="003A3177"/>
    <w:rsid w:val="003A3576"/>
    <w:rsid w:val="003A3CCF"/>
    <w:rsid w:val="003A488D"/>
    <w:rsid w:val="003A5ABE"/>
    <w:rsid w:val="003A5D15"/>
    <w:rsid w:val="003A6C9B"/>
    <w:rsid w:val="003A70AA"/>
    <w:rsid w:val="003A7B66"/>
    <w:rsid w:val="003B0CE8"/>
    <w:rsid w:val="003B0D78"/>
    <w:rsid w:val="003B1459"/>
    <w:rsid w:val="003B28F0"/>
    <w:rsid w:val="003B3FB3"/>
    <w:rsid w:val="003B49F0"/>
    <w:rsid w:val="003B71BA"/>
    <w:rsid w:val="003B72D4"/>
    <w:rsid w:val="003B7E08"/>
    <w:rsid w:val="003C0167"/>
    <w:rsid w:val="003C05F4"/>
    <w:rsid w:val="003C062D"/>
    <w:rsid w:val="003C0D1D"/>
    <w:rsid w:val="003C32B6"/>
    <w:rsid w:val="003C3986"/>
    <w:rsid w:val="003C3990"/>
    <w:rsid w:val="003C3EA4"/>
    <w:rsid w:val="003C43CC"/>
    <w:rsid w:val="003C552E"/>
    <w:rsid w:val="003C6918"/>
    <w:rsid w:val="003C6C05"/>
    <w:rsid w:val="003C744F"/>
    <w:rsid w:val="003C7D54"/>
    <w:rsid w:val="003D0DA7"/>
    <w:rsid w:val="003D129D"/>
    <w:rsid w:val="003D1866"/>
    <w:rsid w:val="003D3A8E"/>
    <w:rsid w:val="003D3B84"/>
    <w:rsid w:val="003D3CBD"/>
    <w:rsid w:val="003D4C21"/>
    <w:rsid w:val="003D5C55"/>
    <w:rsid w:val="003D6F54"/>
    <w:rsid w:val="003D708E"/>
    <w:rsid w:val="003D7495"/>
    <w:rsid w:val="003E1A95"/>
    <w:rsid w:val="003E1B3A"/>
    <w:rsid w:val="003E2FAE"/>
    <w:rsid w:val="003E4470"/>
    <w:rsid w:val="003E6ABD"/>
    <w:rsid w:val="003E71BD"/>
    <w:rsid w:val="003E74EC"/>
    <w:rsid w:val="003F232B"/>
    <w:rsid w:val="003F27DD"/>
    <w:rsid w:val="003F29D9"/>
    <w:rsid w:val="003F2A41"/>
    <w:rsid w:val="003F30B2"/>
    <w:rsid w:val="003F357E"/>
    <w:rsid w:val="003F3AB5"/>
    <w:rsid w:val="003F3BEE"/>
    <w:rsid w:val="003F3EE4"/>
    <w:rsid w:val="003F4414"/>
    <w:rsid w:val="003F460F"/>
    <w:rsid w:val="003F49B8"/>
    <w:rsid w:val="003F5079"/>
    <w:rsid w:val="003F56D9"/>
    <w:rsid w:val="003F5F9A"/>
    <w:rsid w:val="003F6A1E"/>
    <w:rsid w:val="003F6EED"/>
    <w:rsid w:val="003F735A"/>
    <w:rsid w:val="003F7C6E"/>
    <w:rsid w:val="00401CB1"/>
    <w:rsid w:val="00402907"/>
    <w:rsid w:val="00402947"/>
    <w:rsid w:val="004059DC"/>
    <w:rsid w:val="00406FE7"/>
    <w:rsid w:val="00407180"/>
    <w:rsid w:val="004102BD"/>
    <w:rsid w:val="00410701"/>
    <w:rsid w:val="00411547"/>
    <w:rsid w:val="00411C69"/>
    <w:rsid w:val="00412141"/>
    <w:rsid w:val="00412EB9"/>
    <w:rsid w:val="00413046"/>
    <w:rsid w:val="00413914"/>
    <w:rsid w:val="00413E47"/>
    <w:rsid w:val="004148B4"/>
    <w:rsid w:val="004159EE"/>
    <w:rsid w:val="00417A96"/>
    <w:rsid w:val="00417CEF"/>
    <w:rsid w:val="00421343"/>
    <w:rsid w:val="0042152E"/>
    <w:rsid w:val="00422DAD"/>
    <w:rsid w:val="004230B5"/>
    <w:rsid w:val="004242C3"/>
    <w:rsid w:val="00424578"/>
    <w:rsid w:val="004249DC"/>
    <w:rsid w:val="00425772"/>
    <w:rsid w:val="004258F8"/>
    <w:rsid w:val="00426220"/>
    <w:rsid w:val="0042694C"/>
    <w:rsid w:val="00426CF4"/>
    <w:rsid w:val="00427BFD"/>
    <w:rsid w:val="004317AB"/>
    <w:rsid w:val="00431B0B"/>
    <w:rsid w:val="00433C85"/>
    <w:rsid w:val="004340CE"/>
    <w:rsid w:val="0043431F"/>
    <w:rsid w:val="00434571"/>
    <w:rsid w:val="00435FE9"/>
    <w:rsid w:val="00436836"/>
    <w:rsid w:val="00437561"/>
    <w:rsid w:val="004405BF"/>
    <w:rsid w:val="004416F7"/>
    <w:rsid w:val="0044200B"/>
    <w:rsid w:val="004425A4"/>
    <w:rsid w:val="00442F0D"/>
    <w:rsid w:val="00443069"/>
    <w:rsid w:val="00443D29"/>
    <w:rsid w:val="00443D8F"/>
    <w:rsid w:val="004464F0"/>
    <w:rsid w:val="00447BF9"/>
    <w:rsid w:val="004503BB"/>
    <w:rsid w:val="004518E9"/>
    <w:rsid w:val="00451CF4"/>
    <w:rsid w:val="00451CFA"/>
    <w:rsid w:val="004522EC"/>
    <w:rsid w:val="00453428"/>
    <w:rsid w:val="00454601"/>
    <w:rsid w:val="004554A4"/>
    <w:rsid w:val="00455FC0"/>
    <w:rsid w:val="00456986"/>
    <w:rsid w:val="00456B75"/>
    <w:rsid w:val="0046000F"/>
    <w:rsid w:val="0046052D"/>
    <w:rsid w:val="004613E1"/>
    <w:rsid w:val="00461519"/>
    <w:rsid w:val="004628A8"/>
    <w:rsid w:val="0046391B"/>
    <w:rsid w:val="0046480D"/>
    <w:rsid w:val="00464984"/>
    <w:rsid w:val="00464A9E"/>
    <w:rsid w:val="00464F14"/>
    <w:rsid w:val="00464FCC"/>
    <w:rsid w:val="00465CC4"/>
    <w:rsid w:val="00467B6B"/>
    <w:rsid w:val="004700A4"/>
    <w:rsid w:val="0047037B"/>
    <w:rsid w:val="004716A3"/>
    <w:rsid w:val="004728F6"/>
    <w:rsid w:val="0047437B"/>
    <w:rsid w:val="004748F6"/>
    <w:rsid w:val="00475CB7"/>
    <w:rsid w:val="00475D7A"/>
    <w:rsid w:val="004769E0"/>
    <w:rsid w:val="00476A13"/>
    <w:rsid w:val="00476C5F"/>
    <w:rsid w:val="00480322"/>
    <w:rsid w:val="004815C9"/>
    <w:rsid w:val="00481B8B"/>
    <w:rsid w:val="00481DD6"/>
    <w:rsid w:val="004824C9"/>
    <w:rsid w:val="0048349D"/>
    <w:rsid w:val="00484735"/>
    <w:rsid w:val="0048688A"/>
    <w:rsid w:val="00486F9A"/>
    <w:rsid w:val="004879FC"/>
    <w:rsid w:val="00487BA6"/>
    <w:rsid w:val="00490E5C"/>
    <w:rsid w:val="00491F14"/>
    <w:rsid w:val="00491FD8"/>
    <w:rsid w:val="0049283B"/>
    <w:rsid w:val="00493210"/>
    <w:rsid w:val="00493E35"/>
    <w:rsid w:val="004948E2"/>
    <w:rsid w:val="00494F36"/>
    <w:rsid w:val="00495AAC"/>
    <w:rsid w:val="00497FE5"/>
    <w:rsid w:val="004A1BA5"/>
    <w:rsid w:val="004A1C96"/>
    <w:rsid w:val="004A44FD"/>
    <w:rsid w:val="004A7018"/>
    <w:rsid w:val="004B00C0"/>
    <w:rsid w:val="004B4283"/>
    <w:rsid w:val="004B4E1A"/>
    <w:rsid w:val="004B547B"/>
    <w:rsid w:val="004B579B"/>
    <w:rsid w:val="004B6061"/>
    <w:rsid w:val="004B64EE"/>
    <w:rsid w:val="004B66D2"/>
    <w:rsid w:val="004C0A77"/>
    <w:rsid w:val="004C1C5E"/>
    <w:rsid w:val="004C263D"/>
    <w:rsid w:val="004C2EEF"/>
    <w:rsid w:val="004C421D"/>
    <w:rsid w:val="004C4FA0"/>
    <w:rsid w:val="004C527B"/>
    <w:rsid w:val="004C5292"/>
    <w:rsid w:val="004C6FE1"/>
    <w:rsid w:val="004C746A"/>
    <w:rsid w:val="004D0529"/>
    <w:rsid w:val="004D05EB"/>
    <w:rsid w:val="004D1216"/>
    <w:rsid w:val="004D2633"/>
    <w:rsid w:val="004D2732"/>
    <w:rsid w:val="004D47AD"/>
    <w:rsid w:val="004D5483"/>
    <w:rsid w:val="004D5A63"/>
    <w:rsid w:val="004D5B7A"/>
    <w:rsid w:val="004D6D89"/>
    <w:rsid w:val="004D7C20"/>
    <w:rsid w:val="004E1483"/>
    <w:rsid w:val="004E1A55"/>
    <w:rsid w:val="004E4F68"/>
    <w:rsid w:val="004E56AC"/>
    <w:rsid w:val="004E5D63"/>
    <w:rsid w:val="004E63F6"/>
    <w:rsid w:val="004E6911"/>
    <w:rsid w:val="004E6BDF"/>
    <w:rsid w:val="004E7CD9"/>
    <w:rsid w:val="004F1C34"/>
    <w:rsid w:val="004F2CDA"/>
    <w:rsid w:val="004F311C"/>
    <w:rsid w:val="004F3954"/>
    <w:rsid w:val="004F554E"/>
    <w:rsid w:val="004F6083"/>
    <w:rsid w:val="004F725C"/>
    <w:rsid w:val="004F7693"/>
    <w:rsid w:val="004F7900"/>
    <w:rsid w:val="00502FAA"/>
    <w:rsid w:val="005034AD"/>
    <w:rsid w:val="00503C77"/>
    <w:rsid w:val="00503D1D"/>
    <w:rsid w:val="00504339"/>
    <w:rsid w:val="0050433F"/>
    <w:rsid w:val="00504391"/>
    <w:rsid w:val="00504E96"/>
    <w:rsid w:val="00504FAC"/>
    <w:rsid w:val="005050CF"/>
    <w:rsid w:val="005055F8"/>
    <w:rsid w:val="0050716C"/>
    <w:rsid w:val="00510485"/>
    <w:rsid w:val="00511570"/>
    <w:rsid w:val="00511745"/>
    <w:rsid w:val="005124E7"/>
    <w:rsid w:val="00513773"/>
    <w:rsid w:val="00513D13"/>
    <w:rsid w:val="00513DEB"/>
    <w:rsid w:val="00514280"/>
    <w:rsid w:val="00515A9A"/>
    <w:rsid w:val="0051638B"/>
    <w:rsid w:val="00516EE7"/>
    <w:rsid w:val="00520098"/>
    <w:rsid w:val="005203CC"/>
    <w:rsid w:val="005208EF"/>
    <w:rsid w:val="00521E30"/>
    <w:rsid w:val="0052309F"/>
    <w:rsid w:val="00523150"/>
    <w:rsid w:val="00524215"/>
    <w:rsid w:val="00524EA8"/>
    <w:rsid w:val="0052556E"/>
    <w:rsid w:val="00525931"/>
    <w:rsid w:val="00525A7D"/>
    <w:rsid w:val="00526088"/>
    <w:rsid w:val="005274C6"/>
    <w:rsid w:val="00527547"/>
    <w:rsid w:val="00530062"/>
    <w:rsid w:val="00530338"/>
    <w:rsid w:val="005303FA"/>
    <w:rsid w:val="005308D9"/>
    <w:rsid w:val="00531D52"/>
    <w:rsid w:val="005324EA"/>
    <w:rsid w:val="0053253F"/>
    <w:rsid w:val="005325DF"/>
    <w:rsid w:val="00532E22"/>
    <w:rsid w:val="0053301B"/>
    <w:rsid w:val="0053389C"/>
    <w:rsid w:val="00533CC6"/>
    <w:rsid w:val="00533F8B"/>
    <w:rsid w:val="00534A95"/>
    <w:rsid w:val="00535783"/>
    <w:rsid w:val="005371F8"/>
    <w:rsid w:val="0053740C"/>
    <w:rsid w:val="005403C3"/>
    <w:rsid w:val="00541DB1"/>
    <w:rsid w:val="005420BC"/>
    <w:rsid w:val="005427E8"/>
    <w:rsid w:val="00542C5C"/>
    <w:rsid w:val="005430C7"/>
    <w:rsid w:val="00543995"/>
    <w:rsid w:val="00544819"/>
    <w:rsid w:val="00545AE7"/>
    <w:rsid w:val="00545DA2"/>
    <w:rsid w:val="00546504"/>
    <w:rsid w:val="00546555"/>
    <w:rsid w:val="00547039"/>
    <w:rsid w:val="00550DBB"/>
    <w:rsid w:val="00551B85"/>
    <w:rsid w:val="00551F8B"/>
    <w:rsid w:val="00552659"/>
    <w:rsid w:val="00552830"/>
    <w:rsid w:val="0055311C"/>
    <w:rsid w:val="005533A8"/>
    <w:rsid w:val="005539DC"/>
    <w:rsid w:val="00553E3C"/>
    <w:rsid w:val="005548D2"/>
    <w:rsid w:val="00554DCA"/>
    <w:rsid w:val="00555E96"/>
    <w:rsid w:val="005576F3"/>
    <w:rsid w:val="00557C77"/>
    <w:rsid w:val="00557CE5"/>
    <w:rsid w:val="00557F69"/>
    <w:rsid w:val="005613D5"/>
    <w:rsid w:val="00561640"/>
    <w:rsid w:val="00562326"/>
    <w:rsid w:val="00562F0E"/>
    <w:rsid w:val="005630E6"/>
    <w:rsid w:val="00563D3A"/>
    <w:rsid w:val="00563ED8"/>
    <w:rsid w:val="00565B74"/>
    <w:rsid w:val="00566152"/>
    <w:rsid w:val="00566765"/>
    <w:rsid w:val="00567BB9"/>
    <w:rsid w:val="0057010F"/>
    <w:rsid w:val="0057096A"/>
    <w:rsid w:val="00570DD0"/>
    <w:rsid w:val="00573238"/>
    <w:rsid w:val="00573486"/>
    <w:rsid w:val="00573999"/>
    <w:rsid w:val="00573BC0"/>
    <w:rsid w:val="005754B2"/>
    <w:rsid w:val="0057579B"/>
    <w:rsid w:val="00575C1E"/>
    <w:rsid w:val="00576FE4"/>
    <w:rsid w:val="005806A8"/>
    <w:rsid w:val="00580DB3"/>
    <w:rsid w:val="00581094"/>
    <w:rsid w:val="00583192"/>
    <w:rsid w:val="00583EE0"/>
    <w:rsid w:val="00583F77"/>
    <w:rsid w:val="005845BE"/>
    <w:rsid w:val="00584876"/>
    <w:rsid w:val="00587C3A"/>
    <w:rsid w:val="005900D2"/>
    <w:rsid w:val="00591B43"/>
    <w:rsid w:val="00592B9D"/>
    <w:rsid w:val="0059321E"/>
    <w:rsid w:val="00593C55"/>
    <w:rsid w:val="005949C4"/>
    <w:rsid w:val="00594DF1"/>
    <w:rsid w:val="0059562C"/>
    <w:rsid w:val="00596273"/>
    <w:rsid w:val="005964F0"/>
    <w:rsid w:val="00596D81"/>
    <w:rsid w:val="005A02E4"/>
    <w:rsid w:val="005A1D1D"/>
    <w:rsid w:val="005A2076"/>
    <w:rsid w:val="005A2870"/>
    <w:rsid w:val="005A2982"/>
    <w:rsid w:val="005A30F3"/>
    <w:rsid w:val="005A342A"/>
    <w:rsid w:val="005A36A7"/>
    <w:rsid w:val="005A39F0"/>
    <w:rsid w:val="005A3AF1"/>
    <w:rsid w:val="005A3BB7"/>
    <w:rsid w:val="005A433B"/>
    <w:rsid w:val="005A44AB"/>
    <w:rsid w:val="005A51B9"/>
    <w:rsid w:val="005A61BA"/>
    <w:rsid w:val="005A6C5B"/>
    <w:rsid w:val="005A7021"/>
    <w:rsid w:val="005A7590"/>
    <w:rsid w:val="005A7D5C"/>
    <w:rsid w:val="005B2B00"/>
    <w:rsid w:val="005B39FC"/>
    <w:rsid w:val="005B4ED6"/>
    <w:rsid w:val="005B65C6"/>
    <w:rsid w:val="005B79D2"/>
    <w:rsid w:val="005C1C59"/>
    <w:rsid w:val="005C285D"/>
    <w:rsid w:val="005C3A5C"/>
    <w:rsid w:val="005C40A7"/>
    <w:rsid w:val="005C432C"/>
    <w:rsid w:val="005C44B8"/>
    <w:rsid w:val="005C4549"/>
    <w:rsid w:val="005C483E"/>
    <w:rsid w:val="005C4E51"/>
    <w:rsid w:val="005C51A2"/>
    <w:rsid w:val="005C5E4B"/>
    <w:rsid w:val="005C63F5"/>
    <w:rsid w:val="005C79C6"/>
    <w:rsid w:val="005D0AFE"/>
    <w:rsid w:val="005D0FAC"/>
    <w:rsid w:val="005D23E8"/>
    <w:rsid w:val="005D2682"/>
    <w:rsid w:val="005D29B3"/>
    <w:rsid w:val="005D3B39"/>
    <w:rsid w:val="005D46C2"/>
    <w:rsid w:val="005D4993"/>
    <w:rsid w:val="005D4D3D"/>
    <w:rsid w:val="005D552E"/>
    <w:rsid w:val="005D55FF"/>
    <w:rsid w:val="005D5F71"/>
    <w:rsid w:val="005D66FF"/>
    <w:rsid w:val="005D7933"/>
    <w:rsid w:val="005D7FAB"/>
    <w:rsid w:val="005E0679"/>
    <w:rsid w:val="005E0AF3"/>
    <w:rsid w:val="005E0C8C"/>
    <w:rsid w:val="005E11B4"/>
    <w:rsid w:val="005E346B"/>
    <w:rsid w:val="005E4EE4"/>
    <w:rsid w:val="005E5477"/>
    <w:rsid w:val="005E5689"/>
    <w:rsid w:val="005E5868"/>
    <w:rsid w:val="005E5E51"/>
    <w:rsid w:val="005E6010"/>
    <w:rsid w:val="005E63A8"/>
    <w:rsid w:val="005E73AC"/>
    <w:rsid w:val="005E7469"/>
    <w:rsid w:val="005E7611"/>
    <w:rsid w:val="005E7F17"/>
    <w:rsid w:val="005F17EB"/>
    <w:rsid w:val="005F1D31"/>
    <w:rsid w:val="005F2BCD"/>
    <w:rsid w:val="005F3B39"/>
    <w:rsid w:val="005F4B51"/>
    <w:rsid w:val="005F4D5A"/>
    <w:rsid w:val="005F5723"/>
    <w:rsid w:val="005F59AC"/>
    <w:rsid w:val="005F5C95"/>
    <w:rsid w:val="005F6BD6"/>
    <w:rsid w:val="005F6E16"/>
    <w:rsid w:val="005F798A"/>
    <w:rsid w:val="00600571"/>
    <w:rsid w:val="006007FB"/>
    <w:rsid w:val="00601CDB"/>
    <w:rsid w:val="00601D80"/>
    <w:rsid w:val="006024E5"/>
    <w:rsid w:val="006030A3"/>
    <w:rsid w:val="0060406B"/>
    <w:rsid w:val="006041C0"/>
    <w:rsid w:val="006045E4"/>
    <w:rsid w:val="00604EEF"/>
    <w:rsid w:val="006068BA"/>
    <w:rsid w:val="00606C12"/>
    <w:rsid w:val="00606D7C"/>
    <w:rsid w:val="006073C5"/>
    <w:rsid w:val="00607670"/>
    <w:rsid w:val="00610591"/>
    <w:rsid w:val="0061089A"/>
    <w:rsid w:val="00610AED"/>
    <w:rsid w:val="006128BC"/>
    <w:rsid w:val="0061329F"/>
    <w:rsid w:val="0061333B"/>
    <w:rsid w:val="00613880"/>
    <w:rsid w:val="00613C47"/>
    <w:rsid w:val="006161C9"/>
    <w:rsid w:val="006165FE"/>
    <w:rsid w:val="00617380"/>
    <w:rsid w:val="006179DC"/>
    <w:rsid w:val="00620A9E"/>
    <w:rsid w:val="006224CB"/>
    <w:rsid w:val="006237B2"/>
    <w:rsid w:val="00623B4C"/>
    <w:rsid w:val="006242D3"/>
    <w:rsid w:val="00624FE2"/>
    <w:rsid w:val="00625196"/>
    <w:rsid w:val="006252C5"/>
    <w:rsid w:val="006257F3"/>
    <w:rsid w:val="0062780D"/>
    <w:rsid w:val="00627D1E"/>
    <w:rsid w:val="0063092F"/>
    <w:rsid w:val="00630E71"/>
    <w:rsid w:val="00633245"/>
    <w:rsid w:val="00634CFD"/>
    <w:rsid w:val="006365C8"/>
    <w:rsid w:val="0063769C"/>
    <w:rsid w:val="00637E32"/>
    <w:rsid w:val="00640CE9"/>
    <w:rsid w:val="00640ECF"/>
    <w:rsid w:val="0064272A"/>
    <w:rsid w:val="0064352B"/>
    <w:rsid w:val="00643646"/>
    <w:rsid w:val="0064477A"/>
    <w:rsid w:val="00645E17"/>
    <w:rsid w:val="00645F98"/>
    <w:rsid w:val="006475D8"/>
    <w:rsid w:val="006506FB"/>
    <w:rsid w:val="00650860"/>
    <w:rsid w:val="006512BA"/>
    <w:rsid w:val="00651E9B"/>
    <w:rsid w:val="006525AA"/>
    <w:rsid w:val="0065631E"/>
    <w:rsid w:val="006563C7"/>
    <w:rsid w:val="00657763"/>
    <w:rsid w:val="006612A9"/>
    <w:rsid w:val="0066160E"/>
    <w:rsid w:val="00662589"/>
    <w:rsid w:val="00663031"/>
    <w:rsid w:val="00663CF3"/>
    <w:rsid w:val="00664571"/>
    <w:rsid w:val="0066545E"/>
    <w:rsid w:val="00665D6F"/>
    <w:rsid w:val="00666055"/>
    <w:rsid w:val="0066675F"/>
    <w:rsid w:val="00666BF0"/>
    <w:rsid w:val="006671FB"/>
    <w:rsid w:val="00667543"/>
    <w:rsid w:val="00667A06"/>
    <w:rsid w:val="006700EE"/>
    <w:rsid w:val="006701FD"/>
    <w:rsid w:val="006710F0"/>
    <w:rsid w:val="0067171F"/>
    <w:rsid w:val="006717B2"/>
    <w:rsid w:val="00672A34"/>
    <w:rsid w:val="00672E72"/>
    <w:rsid w:val="00673255"/>
    <w:rsid w:val="00675AD1"/>
    <w:rsid w:val="00676102"/>
    <w:rsid w:val="0067623F"/>
    <w:rsid w:val="00677277"/>
    <w:rsid w:val="006774AF"/>
    <w:rsid w:val="006775AA"/>
    <w:rsid w:val="00677956"/>
    <w:rsid w:val="00680128"/>
    <w:rsid w:val="0068035D"/>
    <w:rsid w:val="0068120B"/>
    <w:rsid w:val="00681623"/>
    <w:rsid w:val="0068283A"/>
    <w:rsid w:val="00683116"/>
    <w:rsid w:val="00683192"/>
    <w:rsid w:val="00684737"/>
    <w:rsid w:val="00684902"/>
    <w:rsid w:val="0068527C"/>
    <w:rsid w:val="006856E8"/>
    <w:rsid w:val="00685DF7"/>
    <w:rsid w:val="0068630C"/>
    <w:rsid w:val="00686744"/>
    <w:rsid w:val="00686FF2"/>
    <w:rsid w:val="006870E8"/>
    <w:rsid w:val="00687121"/>
    <w:rsid w:val="00687EF9"/>
    <w:rsid w:val="00691871"/>
    <w:rsid w:val="00691AF4"/>
    <w:rsid w:val="00692C49"/>
    <w:rsid w:val="00693A35"/>
    <w:rsid w:val="006945AE"/>
    <w:rsid w:val="00694CC9"/>
    <w:rsid w:val="00694F8A"/>
    <w:rsid w:val="006951EC"/>
    <w:rsid w:val="00696639"/>
    <w:rsid w:val="00696A28"/>
    <w:rsid w:val="00696DCC"/>
    <w:rsid w:val="006974CC"/>
    <w:rsid w:val="00697A95"/>
    <w:rsid w:val="00697D0F"/>
    <w:rsid w:val="006A15E9"/>
    <w:rsid w:val="006A2BDC"/>
    <w:rsid w:val="006A43A9"/>
    <w:rsid w:val="006A5C73"/>
    <w:rsid w:val="006A5EC0"/>
    <w:rsid w:val="006A6D45"/>
    <w:rsid w:val="006A6F20"/>
    <w:rsid w:val="006A7148"/>
    <w:rsid w:val="006A7324"/>
    <w:rsid w:val="006A7D7D"/>
    <w:rsid w:val="006B19EC"/>
    <w:rsid w:val="006B1E37"/>
    <w:rsid w:val="006B22BC"/>
    <w:rsid w:val="006B2C1E"/>
    <w:rsid w:val="006B3F94"/>
    <w:rsid w:val="006B447A"/>
    <w:rsid w:val="006B49D5"/>
    <w:rsid w:val="006B7596"/>
    <w:rsid w:val="006B7F7B"/>
    <w:rsid w:val="006C089B"/>
    <w:rsid w:val="006C0F2C"/>
    <w:rsid w:val="006C1FBE"/>
    <w:rsid w:val="006C2771"/>
    <w:rsid w:val="006C3EDC"/>
    <w:rsid w:val="006C4780"/>
    <w:rsid w:val="006C49B4"/>
    <w:rsid w:val="006C4E47"/>
    <w:rsid w:val="006C5408"/>
    <w:rsid w:val="006C5C4E"/>
    <w:rsid w:val="006C6CAF"/>
    <w:rsid w:val="006C6D98"/>
    <w:rsid w:val="006C7AA8"/>
    <w:rsid w:val="006D0FDC"/>
    <w:rsid w:val="006D140D"/>
    <w:rsid w:val="006D153D"/>
    <w:rsid w:val="006D166D"/>
    <w:rsid w:val="006D18D3"/>
    <w:rsid w:val="006D1DCE"/>
    <w:rsid w:val="006D374E"/>
    <w:rsid w:val="006D662D"/>
    <w:rsid w:val="006D73D9"/>
    <w:rsid w:val="006D7897"/>
    <w:rsid w:val="006E166F"/>
    <w:rsid w:val="006E2371"/>
    <w:rsid w:val="006E23B5"/>
    <w:rsid w:val="006E329F"/>
    <w:rsid w:val="006E35A0"/>
    <w:rsid w:val="006E4B27"/>
    <w:rsid w:val="006E570B"/>
    <w:rsid w:val="006E5C13"/>
    <w:rsid w:val="006E613A"/>
    <w:rsid w:val="006E6F31"/>
    <w:rsid w:val="006E771E"/>
    <w:rsid w:val="006E7B9C"/>
    <w:rsid w:val="006F06C2"/>
    <w:rsid w:val="006F0F5A"/>
    <w:rsid w:val="006F0FF5"/>
    <w:rsid w:val="006F152A"/>
    <w:rsid w:val="006F1D4A"/>
    <w:rsid w:val="006F1F6F"/>
    <w:rsid w:val="006F2A5B"/>
    <w:rsid w:val="006F3038"/>
    <w:rsid w:val="006F34F8"/>
    <w:rsid w:val="006F410F"/>
    <w:rsid w:val="006F46D9"/>
    <w:rsid w:val="006F4A7C"/>
    <w:rsid w:val="006F4B35"/>
    <w:rsid w:val="006F560B"/>
    <w:rsid w:val="006F5A0E"/>
    <w:rsid w:val="006F6EAD"/>
    <w:rsid w:val="006F77D1"/>
    <w:rsid w:val="006F7FCD"/>
    <w:rsid w:val="00700907"/>
    <w:rsid w:val="00702162"/>
    <w:rsid w:val="00702C4E"/>
    <w:rsid w:val="007045D4"/>
    <w:rsid w:val="00704933"/>
    <w:rsid w:val="00705F19"/>
    <w:rsid w:val="007060C2"/>
    <w:rsid w:val="00706D1B"/>
    <w:rsid w:val="00706D27"/>
    <w:rsid w:val="00706FEA"/>
    <w:rsid w:val="007078A1"/>
    <w:rsid w:val="00710090"/>
    <w:rsid w:val="00710C0A"/>
    <w:rsid w:val="00710C33"/>
    <w:rsid w:val="007111B0"/>
    <w:rsid w:val="00712E2F"/>
    <w:rsid w:val="007131FD"/>
    <w:rsid w:val="00714731"/>
    <w:rsid w:val="00714885"/>
    <w:rsid w:val="00714BAE"/>
    <w:rsid w:val="00714C97"/>
    <w:rsid w:val="00715C0C"/>
    <w:rsid w:val="00715F41"/>
    <w:rsid w:val="00715FF9"/>
    <w:rsid w:val="00716EF1"/>
    <w:rsid w:val="0071789C"/>
    <w:rsid w:val="00717B4F"/>
    <w:rsid w:val="007211CD"/>
    <w:rsid w:val="007214F2"/>
    <w:rsid w:val="00721609"/>
    <w:rsid w:val="007216E1"/>
    <w:rsid w:val="007217FC"/>
    <w:rsid w:val="0072193F"/>
    <w:rsid w:val="00721BBF"/>
    <w:rsid w:val="00721FD9"/>
    <w:rsid w:val="0072225E"/>
    <w:rsid w:val="0072343B"/>
    <w:rsid w:val="007234B3"/>
    <w:rsid w:val="007239D8"/>
    <w:rsid w:val="00724011"/>
    <w:rsid w:val="00724163"/>
    <w:rsid w:val="00725961"/>
    <w:rsid w:val="007260FD"/>
    <w:rsid w:val="007264A2"/>
    <w:rsid w:val="00726C72"/>
    <w:rsid w:val="00727693"/>
    <w:rsid w:val="00727733"/>
    <w:rsid w:val="00730363"/>
    <w:rsid w:val="0073066E"/>
    <w:rsid w:val="00730CE3"/>
    <w:rsid w:val="007314D3"/>
    <w:rsid w:val="0073180B"/>
    <w:rsid w:val="00731BF8"/>
    <w:rsid w:val="00731E96"/>
    <w:rsid w:val="007335CD"/>
    <w:rsid w:val="00734286"/>
    <w:rsid w:val="007346CE"/>
    <w:rsid w:val="00734719"/>
    <w:rsid w:val="007347B5"/>
    <w:rsid w:val="00735037"/>
    <w:rsid w:val="0073514A"/>
    <w:rsid w:val="007363B8"/>
    <w:rsid w:val="007366FF"/>
    <w:rsid w:val="00736D9E"/>
    <w:rsid w:val="00737607"/>
    <w:rsid w:val="00740624"/>
    <w:rsid w:val="00740C81"/>
    <w:rsid w:val="0074135D"/>
    <w:rsid w:val="0074154C"/>
    <w:rsid w:val="00741F63"/>
    <w:rsid w:val="00741FE6"/>
    <w:rsid w:val="00742B63"/>
    <w:rsid w:val="00743EA0"/>
    <w:rsid w:val="007444F6"/>
    <w:rsid w:val="00747FD6"/>
    <w:rsid w:val="00751095"/>
    <w:rsid w:val="007515BD"/>
    <w:rsid w:val="0075411D"/>
    <w:rsid w:val="007547D5"/>
    <w:rsid w:val="00754906"/>
    <w:rsid w:val="007563B1"/>
    <w:rsid w:val="007565A0"/>
    <w:rsid w:val="00756C03"/>
    <w:rsid w:val="0075776D"/>
    <w:rsid w:val="007577A4"/>
    <w:rsid w:val="0075784A"/>
    <w:rsid w:val="007609DA"/>
    <w:rsid w:val="00760C9F"/>
    <w:rsid w:val="00761588"/>
    <w:rsid w:val="0076214F"/>
    <w:rsid w:val="00762300"/>
    <w:rsid w:val="007625FD"/>
    <w:rsid w:val="007635D6"/>
    <w:rsid w:val="00763DA9"/>
    <w:rsid w:val="0076522B"/>
    <w:rsid w:val="007668D2"/>
    <w:rsid w:val="00766985"/>
    <w:rsid w:val="00766A75"/>
    <w:rsid w:val="0076799E"/>
    <w:rsid w:val="007679C3"/>
    <w:rsid w:val="00767A6D"/>
    <w:rsid w:val="00767CF7"/>
    <w:rsid w:val="00770E8C"/>
    <w:rsid w:val="00771308"/>
    <w:rsid w:val="00771F29"/>
    <w:rsid w:val="00771F55"/>
    <w:rsid w:val="007731F7"/>
    <w:rsid w:val="007735B5"/>
    <w:rsid w:val="00773733"/>
    <w:rsid w:val="0077396D"/>
    <w:rsid w:val="00773A2A"/>
    <w:rsid w:val="0077413A"/>
    <w:rsid w:val="007742BA"/>
    <w:rsid w:val="00774AE7"/>
    <w:rsid w:val="00775094"/>
    <w:rsid w:val="0077612F"/>
    <w:rsid w:val="00777279"/>
    <w:rsid w:val="00777871"/>
    <w:rsid w:val="00777991"/>
    <w:rsid w:val="00777D30"/>
    <w:rsid w:val="00780607"/>
    <w:rsid w:val="0078215B"/>
    <w:rsid w:val="00782781"/>
    <w:rsid w:val="00782A0D"/>
    <w:rsid w:val="00783B99"/>
    <w:rsid w:val="00783DD1"/>
    <w:rsid w:val="0078412F"/>
    <w:rsid w:val="007853F9"/>
    <w:rsid w:val="00786EEC"/>
    <w:rsid w:val="0078728C"/>
    <w:rsid w:val="007906CF"/>
    <w:rsid w:val="00790CF3"/>
    <w:rsid w:val="00792BF1"/>
    <w:rsid w:val="007945A0"/>
    <w:rsid w:val="00794679"/>
    <w:rsid w:val="00794C62"/>
    <w:rsid w:val="00795E81"/>
    <w:rsid w:val="00795FA9"/>
    <w:rsid w:val="0079743F"/>
    <w:rsid w:val="00797E51"/>
    <w:rsid w:val="007A032E"/>
    <w:rsid w:val="007A07AC"/>
    <w:rsid w:val="007A0A91"/>
    <w:rsid w:val="007A0F13"/>
    <w:rsid w:val="007A1E10"/>
    <w:rsid w:val="007A228C"/>
    <w:rsid w:val="007A29EF"/>
    <w:rsid w:val="007A30F8"/>
    <w:rsid w:val="007A3D8F"/>
    <w:rsid w:val="007A3E30"/>
    <w:rsid w:val="007A47C6"/>
    <w:rsid w:val="007A48D5"/>
    <w:rsid w:val="007A4D42"/>
    <w:rsid w:val="007A5523"/>
    <w:rsid w:val="007A55EF"/>
    <w:rsid w:val="007A5EBD"/>
    <w:rsid w:val="007A62FB"/>
    <w:rsid w:val="007A6694"/>
    <w:rsid w:val="007A7910"/>
    <w:rsid w:val="007A7F47"/>
    <w:rsid w:val="007B0854"/>
    <w:rsid w:val="007B0A15"/>
    <w:rsid w:val="007B0C86"/>
    <w:rsid w:val="007B12FC"/>
    <w:rsid w:val="007B1711"/>
    <w:rsid w:val="007B1850"/>
    <w:rsid w:val="007B1927"/>
    <w:rsid w:val="007B1946"/>
    <w:rsid w:val="007B383D"/>
    <w:rsid w:val="007B3BEB"/>
    <w:rsid w:val="007B4ED7"/>
    <w:rsid w:val="007B5F2D"/>
    <w:rsid w:val="007B7648"/>
    <w:rsid w:val="007B7A5F"/>
    <w:rsid w:val="007C00C0"/>
    <w:rsid w:val="007C115F"/>
    <w:rsid w:val="007C1ABE"/>
    <w:rsid w:val="007C1F77"/>
    <w:rsid w:val="007C2F17"/>
    <w:rsid w:val="007C31C6"/>
    <w:rsid w:val="007C6BA5"/>
    <w:rsid w:val="007C7378"/>
    <w:rsid w:val="007D05F1"/>
    <w:rsid w:val="007D1975"/>
    <w:rsid w:val="007D1A7E"/>
    <w:rsid w:val="007D25A8"/>
    <w:rsid w:val="007D4073"/>
    <w:rsid w:val="007D6B85"/>
    <w:rsid w:val="007D6D92"/>
    <w:rsid w:val="007D7547"/>
    <w:rsid w:val="007E0655"/>
    <w:rsid w:val="007E2382"/>
    <w:rsid w:val="007E353F"/>
    <w:rsid w:val="007E3E83"/>
    <w:rsid w:val="007E472A"/>
    <w:rsid w:val="007E4DDD"/>
    <w:rsid w:val="007E5E7B"/>
    <w:rsid w:val="007E699B"/>
    <w:rsid w:val="007E6BF8"/>
    <w:rsid w:val="007F0840"/>
    <w:rsid w:val="007F1407"/>
    <w:rsid w:val="007F2C25"/>
    <w:rsid w:val="007F2F1E"/>
    <w:rsid w:val="007F3D1B"/>
    <w:rsid w:val="007F4FFC"/>
    <w:rsid w:val="007F528E"/>
    <w:rsid w:val="007F59E4"/>
    <w:rsid w:val="007F634B"/>
    <w:rsid w:val="007F7A2E"/>
    <w:rsid w:val="007F7E9B"/>
    <w:rsid w:val="00800270"/>
    <w:rsid w:val="0080108C"/>
    <w:rsid w:val="00801730"/>
    <w:rsid w:val="008023EA"/>
    <w:rsid w:val="00804BEC"/>
    <w:rsid w:val="008055DD"/>
    <w:rsid w:val="008056F5"/>
    <w:rsid w:val="008067F2"/>
    <w:rsid w:val="008069DB"/>
    <w:rsid w:val="00806BA9"/>
    <w:rsid w:val="00807C22"/>
    <w:rsid w:val="00807E5C"/>
    <w:rsid w:val="00810566"/>
    <w:rsid w:val="00810734"/>
    <w:rsid w:val="0081090C"/>
    <w:rsid w:val="00810CE9"/>
    <w:rsid w:val="008114BA"/>
    <w:rsid w:val="00811DDC"/>
    <w:rsid w:val="00812415"/>
    <w:rsid w:val="008129EE"/>
    <w:rsid w:val="00812EE7"/>
    <w:rsid w:val="0081398D"/>
    <w:rsid w:val="00813F60"/>
    <w:rsid w:val="00814498"/>
    <w:rsid w:val="00815DD3"/>
    <w:rsid w:val="00816C9E"/>
    <w:rsid w:val="00817206"/>
    <w:rsid w:val="00820723"/>
    <w:rsid w:val="0082167E"/>
    <w:rsid w:val="00821879"/>
    <w:rsid w:val="008218FA"/>
    <w:rsid w:val="0082253B"/>
    <w:rsid w:val="00823025"/>
    <w:rsid w:val="008231C3"/>
    <w:rsid w:val="008235B6"/>
    <w:rsid w:val="00823813"/>
    <w:rsid w:val="00824587"/>
    <w:rsid w:val="0082471C"/>
    <w:rsid w:val="0082486A"/>
    <w:rsid w:val="00824AFB"/>
    <w:rsid w:val="00825473"/>
    <w:rsid w:val="008254AF"/>
    <w:rsid w:val="00825D6D"/>
    <w:rsid w:val="00826842"/>
    <w:rsid w:val="00826D26"/>
    <w:rsid w:val="00827320"/>
    <w:rsid w:val="00830C99"/>
    <w:rsid w:val="00831955"/>
    <w:rsid w:val="00832542"/>
    <w:rsid w:val="00833508"/>
    <w:rsid w:val="0083387F"/>
    <w:rsid w:val="00833B02"/>
    <w:rsid w:val="0083408F"/>
    <w:rsid w:val="008340C7"/>
    <w:rsid w:val="00834D23"/>
    <w:rsid w:val="0083510F"/>
    <w:rsid w:val="00835481"/>
    <w:rsid w:val="008358C6"/>
    <w:rsid w:val="00835EED"/>
    <w:rsid w:val="0083618E"/>
    <w:rsid w:val="0083638B"/>
    <w:rsid w:val="00836EAC"/>
    <w:rsid w:val="0084031D"/>
    <w:rsid w:val="0084119B"/>
    <w:rsid w:val="0084260C"/>
    <w:rsid w:val="00842AF1"/>
    <w:rsid w:val="00842C8E"/>
    <w:rsid w:val="008431DC"/>
    <w:rsid w:val="008458F5"/>
    <w:rsid w:val="00846652"/>
    <w:rsid w:val="008467FF"/>
    <w:rsid w:val="0084687B"/>
    <w:rsid w:val="00846A7A"/>
    <w:rsid w:val="008470B7"/>
    <w:rsid w:val="008474F0"/>
    <w:rsid w:val="00850763"/>
    <w:rsid w:val="00850C9A"/>
    <w:rsid w:val="00851617"/>
    <w:rsid w:val="008516A8"/>
    <w:rsid w:val="00852695"/>
    <w:rsid w:val="00852C6A"/>
    <w:rsid w:val="0085377A"/>
    <w:rsid w:val="00853B26"/>
    <w:rsid w:val="008549E5"/>
    <w:rsid w:val="00856659"/>
    <w:rsid w:val="00857209"/>
    <w:rsid w:val="008578BC"/>
    <w:rsid w:val="00857D52"/>
    <w:rsid w:val="0086075F"/>
    <w:rsid w:val="008608D9"/>
    <w:rsid w:val="008609DC"/>
    <w:rsid w:val="00860F5D"/>
    <w:rsid w:val="0086165D"/>
    <w:rsid w:val="008616A1"/>
    <w:rsid w:val="008623AB"/>
    <w:rsid w:val="00862897"/>
    <w:rsid w:val="00863F0F"/>
    <w:rsid w:val="00864494"/>
    <w:rsid w:val="00864743"/>
    <w:rsid w:val="00864AE1"/>
    <w:rsid w:val="00864FA4"/>
    <w:rsid w:val="00865EFF"/>
    <w:rsid w:val="00866206"/>
    <w:rsid w:val="00866583"/>
    <w:rsid w:val="00866B68"/>
    <w:rsid w:val="00867EF0"/>
    <w:rsid w:val="00870A03"/>
    <w:rsid w:val="00872530"/>
    <w:rsid w:val="00872967"/>
    <w:rsid w:val="00873CB1"/>
    <w:rsid w:val="008746E7"/>
    <w:rsid w:val="00874AAF"/>
    <w:rsid w:val="00874DDD"/>
    <w:rsid w:val="0087592A"/>
    <w:rsid w:val="00875B18"/>
    <w:rsid w:val="00875BD1"/>
    <w:rsid w:val="00875EFD"/>
    <w:rsid w:val="00876438"/>
    <w:rsid w:val="0087704E"/>
    <w:rsid w:val="0087706D"/>
    <w:rsid w:val="00877BDA"/>
    <w:rsid w:val="0088186F"/>
    <w:rsid w:val="00883779"/>
    <w:rsid w:val="00884106"/>
    <w:rsid w:val="00884B46"/>
    <w:rsid w:val="00884EBE"/>
    <w:rsid w:val="008873CE"/>
    <w:rsid w:val="00887618"/>
    <w:rsid w:val="00887748"/>
    <w:rsid w:val="0088776C"/>
    <w:rsid w:val="008878A9"/>
    <w:rsid w:val="00887A2D"/>
    <w:rsid w:val="00887B1E"/>
    <w:rsid w:val="00890B5D"/>
    <w:rsid w:val="0089143B"/>
    <w:rsid w:val="00893010"/>
    <w:rsid w:val="00893750"/>
    <w:rsid w:val="00893B74"/>
    <w:rsid w:val="00893CA7"/>
    <w:rsid w:val="00894111"/>
    <w:rsid w:val="008947F4"/>
    <w:rsid w:val="008949A7"/>
    <w:rsid w:val="00895C7F"/>
    <w:rsid w:val="00895CB2"/>
    <w:rsid w:val="00896363"/>
    <w:rsid w:val="00897141"/>
    <w:rsid w:val="008A06D3"/>
    <w:rsid w:val="008A160B"/>
    <w:rsid w:val="008A1E51"/>
    <w:rsid w:val="008A20B3"/>
    <w:rsid w:val="008A4318"/>
    <w:rsid w:val="008A4F19"/>
    <w:rsid w:val="008A5250"/>
    <w:rsid w:val="008A582B"/>
    <w:rsid w:val="008A5839"/>
    <w:rsid w:val="008A5C37"/>
    <w:rsid w:val="008A5F38"/>
    <w:rsid w:val="008A61EA"/>
    <w:rsid w:val="008A798F"/>
    <w:rsid w:val="008A7991"/>
    <w:rsid w:val="008A7BFE"/>
    <w:rsid w:val="008B14F4"/>
    <w:rsid w:val="008B22F8"/>
    <w:rsid w:val="008B39E0"/>
    <w:rsid w:val="008B3F6E"/>
    <w:rsid w:val="008B4058"/>
    <w:rsid w:val="008B4CAD"/>
    <w:rsid w:val="008B52FF"/>
    <w:rsid w:val="008B6308"/>
    <w:rsid w:val="008B63D3"/>
    <w:rsid w:val="008B6B02"/>
    <w:rsid w:val="008B6D79"/>
    <w:rsid w:val="008B724F"/>
    <w:rsid w:val="008C0141"/>
    <w:rsid w:val="008C0B0C"/>
    <w:rsid w:val="008C1059"/>
    <w:rsid w:val="008C1AC4"/>
    <w:rsid w:val="008C318A"/>
    <w:rsid w:val="008C50C2"/>
    <w:rsid w:val="008C53D4"/>
    <w:rsid w:val="008C5465"/>
    <w:rsid w:val="008C69ED"/>
    <w:rsid w:val="008C6A22"/>
    <w:rsid w:val="008C7277"/>
    <w:rsid w:val="008C750D"/>
    <w:rsid w:val="008C7B38"/>
    <w:rsid w:val="008D13EA"/>
    <w:rsid w:val="008D15E1"/>
    <w:rsid w:val="008D17B0"/>
    <w:rsid w:val="008D1FA8"/>
    <w:rsid w:val="008D2524"/>
    <w:rsid w:val="008D2FB4"/>
    <w:rsid w:val="008D389C"/>
    <w:rsid w:val="008D4E84"/>
    <w:rsid w:val="008D6691"/>
    <w:rsid w:val="008D6B51"/>
    <w:rsid w:val="008D6D87"/>
    <w:rsid w:val="008D793D"/>
    <w:rsid w:val="008D7DF5"/>
    <w:rsid w:val="008E018F"/>
    <w:rsid w:val="008E066F"/>
    <w:rsid w:val="008E23DF"/>
    <w:rsid w:val="008E2D7C"/>
    <w:rsid w:val="008E31B7"/>
    <w:rsid w:val="008E33B5"/>
    <w:rsid w:val="008E36B0"/>
    <w:rsid w:val="008E3EF9"/>
    <w:rsid w:val="008E41F4"/>
    <w:rsid w:val="008E4200"/>
    <w:rsid w:val="008E4745"/>
    <w:rsid w:val="008E7601"/>
    <w:rsid w:val="008E79C7"/>
    <w:rsid w:val="008F016B"/>
    <w:rsid w:val="008F0794"/>
    <w:rsid w:val="008F11A4"/>
    <w:rsid w:val="008F19C8"/>
    <w:rsid w:val="008F1D68"/>
    <w:rsid w:val="008F3383"/>
    <w:rsid w:val="008F3A7D"/>
    <w:rsid w:val="008F4226"/>
    <w:rsid w:val="008F42BA"/>
    <w:rsid w:val="008F45A2"/>
    <w:rsid w:val="008F50D2"/>
    <w:rsid w:val="008F52DF"/>
    <w:rsid w:val="008F5671"/>
    <w:rsid w:val="008F6FAC"/>
    <w:rsid w:val="00901334"/>
    <w:rsid w:val="009019D7"/>
    <w:rsid w:val="00901AEB"/>
    <w:rsid w:val="00902197"/>
    <w:rsid w:val="0090397B"/>
    <w:rsid w:val="009043DA"/>
    <w:rsid w:val="00904CA9"/>
    <w:rsid w:val="009060C6"/>
    <w:rsid w:val="00906F46"/>
    <w:rsid w:val="00907619"/>
    <w:rsid w:val="009100CC"/>
    <w:rsid w:val="009102BB"/>
    <w:rsid w:val="009105E1"/>
    <w:rsid w:val="009106AE"/>
    <w:rsid w:val="00910866"/>
    <w:rsid w:val="00911656"/>
    <w:rsid w:val="0091182E"/>
    <w:rsid w:val="0091254B"/>
    <w:rsid w:val="00912B4C"/>
    <w:rsid w:val="00912D5D"/>
    <w:rsid w:val="00912FBB"/>
    <w:rsid w:val="009136F8"/>
    <w:rsid w:val="00913BC0"/>
    <w:rsid w:val="009143D0"/>
    <w:rsid w:val="00914AEE"/>
    <w:rsid w:val="0091527B"/>
    <w:rsid w:val="00915361"/>
    <w:rsid w:val="00915AEC"/>
    <w:rsid w:val="00915C32"/>
    <w:rsid w:val="00915DC6"/>
    <w:rsid w:val="00916136"/>
    <w:rsid w:val="00916372"/>
    <w:rsid w:val="00916703"/>
    <w:rsid w:val="00917193"/>
    <w:rsid w:val="00917806"/>
    <w:rsid w:val="00917D5A"/>
    <w:rsid w:val="0092006C"/>
    <w:rsid w:val="00920EED"/>
    <w:rsid w:val="00921295"/>
    <w:rsid w:val="009213E2"/>
    <w:rsid w:val="00921A08"/>
    <w:rsid w:val="00921A8E"/>
    <w:rsid w:val="00921C41"/>
    <w:rsid w:val="00922344"/>
    <w:rsid w:val="0092256E"/>
    <w:rsid w:val="00923157"/>
    <w:rsid w:val="00923159"/>
    <w:rsid w:val="00923765"/>
    <w:rsid w:val="00923CD8"/>
    <w:rsid w:val="00924382"/>
    <w:rsid w:val="009249D9"/>
    <w:rsid w:val="0092677A"/>
    <w:rsid w:val="00927F83"/>
    <w:rsid w:val="009312F5"/>
    <w:rsid w:val="00932D0B"/>
    <w:rsid w:val="00933C4E"/>
    <w:rsid w:val="00935B82"/>
    <w:rsid w:val="00935C31"/>
    <w:rsid w:val="00935CB8"/>
    <w:rsid w:val="00935F9F"/>
    <w:rsid w:val="0093612A"/>
    <w:rsid w:val="00940545"/>
    <w:rsid w:val="00941F88"/>
    <w:rsid w:val="00941FED"/>
    <w:rsid w:val="009426EA"/>
    <w:rsid w:val="00942B19"/>
    <w:rsid w:val="0094313F"/>
    <w:rsid w:val="00944479"/>
    <w:rsid w:val="0094586A"/>
    <w:rsid w:val="00945D70"/>
    <w:rsid w:val="00946448"/>
    <w:rsid w:val="009469C5"/>
    <w:rsid w:val="00953828"/>
    <w:rsid w:val="00953D4F"/>
    <w:rsid w:val="00954A41"/>
    <w:rsid w:val="009550FB"/>
    <w:rsid w:val="009562AD"/>
    <w:rsid w:val="00957B1C"/>
    <w:rsid w:val="00957B42"/>
    <w:rsid w:val="009605D1"/>
    <w:rsid w:val="00960E3B"/>
    <w:rsid w:val="0096126E"/>
    <w:rsid w:val="00961932"/>
    <w:rsid w:val="00962D54"/>
    <w:rsid w:val="00962FB9"/>
    <w:rsid w:val="00964E15"/>
    <w:rsid w:val="00965568"/>
    <w:rsid w:val="00965BB0"/>
    <w:rsid w:val="009661B9"/>
    <w:rsid w:val="00966206"/>
    <w:rsid w:val="00966799"/>
    <w:rsid w:val="00967309"/>
    <w:rsid w:val="00967A4F"/>
    <w:rsid w:val="0097057C"/>
    <w:rsid w:val="009728BC"/>
    <w:rsid w:val="00973D05"/>
    <w:rsid w:val="009746FD"/>
    <w:rsid w:val="00974814"/>
    <w:rsid w:val="00974B2D"/>
    <w:rsid w:val="00976277"/>
    <w:rsid w:val="00976EE4"/>
    <w:rsid w:val="009800CF"/>
    <w:rsid w:val="00980233"/>
    <w:rsid w:val="009812F9"/>
    <w:rsid w:val="0098134D"/>
    <w:rsid w:val="0098158E"/>
    <w:rsid w:val="00981D0F"/>
    <w:rsid w:val="00981F9B"/>
    <w:rsid w:val="00983256"/>
    <w:rsid w:val="00983531"/>
    <w:rsid w:val="00984005"/>
    <w:rsid w:val="0098438E"/>
    <w:rsid w:val="0098455F"/>
    <w:rsid w:val="00985A35"/>
    <w:rsid w:val="00986436"/>
    <w:rsid w:val="0099014C"/>
    <w:rsid w:val="0099067F"/>
    <w:rsid w:val="00991B7C"/>
    <w:rsid w:val="00992D22"/>
    <w:rsid w:val="0099390D"/>
    <w:rsid w:val="00993B32"/>
    <w:rsid w:val="00993F79"/>
    <w:rsid w:val="0099651C"/>
    <w:rsid w:val="0099709A"/>
    <w:rsid w:val="009977B6"/>
    <w:rsid w:val="009A0CE8"/>
    <w:rsid w:val="009A1B66"/>
    <w:rsid w:val="009A369D"/>
    <w:rsid w:val="009A3B81"/>
    <w:rsid w:val="009A3D4A"/>
    <w:rsid w:val="009A4B7D"/>
    <w:rsid w:val="009B00AD"/>
    <w:rsid w:val="009B35AC"/>
    <w:rsid w:val="009B4B08"/>
    <w:rsid w:val="009B6808"/>
    <w:rsid w:val="009B7B25"/>
    <w:rsid w:val="009C0BA1"/>
    <w:rsid w:val="009C0D29"/>
    <w:rsid w:val="009C2767"/>
    <w:rsid w:val="009C3494"/>
    <w:rsid w:val="009C44B2"/>
    <w:rsid w:val="009C44D4"/>
    <w:rsid w:val="009C637D"/>
    <w:rsid w:val="009C6BE7"/>
    <w:rsid w:val="009D0921"/>
    <w:rsid w:val="009D141C"/>
    <w:rsid w:val="009D1547"/>
    <w:rsid w:val="009D1CCE"/>
    <w:rsid w:val="009D2902"/>
    <w:rsid w:val="009D4299"/>
    <w:rsid w:val="009D50D1"/>
    <w:rsid w:val="009D5E18"/>
    <w:rsid w:val="009D61EC"/>
    <w:rsid w:val="009D7240"/>
    <w:rsid w:val="009E021E"/>
    <w:rsid w:val="009E0896"/>
    <w:rsid w:val="009E14CB"/>
    <w:rsid w:val="009E2789"/>
    <w:rsid w:val="009E2905"/>
    <w:rsid w:val="009E2E35"/>
    <w:rsid w:val="009E3FAD"/>
    <w:rsid w:val="009E5277"/>
    <w:rsid w:val="009E5509"/>
    <w:rsid w:val="009E570E"/>
    <w:rsid w:val="009F07A7"/>
    <w:rsid w:val="009F0813"/>
    <w:rsid w:val="009F10CF"/>
    <w:rsid w:val="009F1960"/>
    <w:rsid w:val="009F28E1"/>
    <w:rsid w:val="009F2C42"/>
    <w:rsid w:val="009F2DEC"/>
    <w:rsid w:val="009F396A"/>
    <w:rsid w:val="009F421E"/>
    <w:rsid w:val="009F4DB3"/>
    <w:rsid w:val="009F5673"/>
    <w:rsid w:val="009F5AFE"/>
    <w:rsid w:val="009F71FC"/>
    <w:rsid w:val="00A00C13"/>
    <w:rsid w:val="00A01CAA"/>
    <w:rsid w:val="00A025EF"/>
    <w:rsid w:val="00A03AC8"/>
    <w:rsid w:val="00A04254"/>
    <w:rsid w:val="00A05457"/>
    <w:rsid w:val="00A05F7E"/>
    <w:rsid w:val="00A06232"/>
    <w:rsid w:val="00A07435"/>
    <w:rsid w:val="00A074C6"/>
    <w:rsid w:val="00A076DC"/>
    <w:rsid w:val="00A07BB7"/>
    <w:rsid w:val="00A07D8B"/>
    <w:rsid w:val="00A07DB0"/>
    <w:rsid w:val="00A101F9"/>
    <w:rsid w:val="00A109A8"/>
    <w:rsid w:val="00A10C12"/>
    <w:rsid w:val="00A1198D"/>
    <w:rsid w:val="00A128B0"/>
    <w:rsid w:val="00A12A2D"/>
    <w:rsid w:val="00A13069"/>
    <w:rsid w:val="00A1326A"/>
    <w:rsid w:val="00A13743"/>
    <w:rsid w:val="00A13A63"/>
    <w:rsid w:val="00A15A18"/>
    <w:rsid w:val="00A15C87"/>
    <w:rsid w:val="00A15D49"/>
    <w:rsid w:val="00A171A8"/>
    <w:rsid w:val="00A20CB5"/>
    <w:rsid w:val="00A20EA1"/>
    <w:rsid w:val="00A2228B"/>
    <w:rsid w:val="00A22302"/>
    <w:rsid w:val="00A224D3"/>
    <w:rsid w:val="00A237E2"/>
    <w:rsid w:val="00A2390B"/>
    <w:rsid w:val="00A24259"/>
    <w:rsid w:val="00A24AD5"/>
    <w:rsid w:val="00A2543C"/>
    <w:rsid w:val="00A27262"/>
    <w:rsid w:val="00A275BD"/>
    <w:rsid w:val="00A27640"/>
    <w:rsid w:val="00A305CC"/>
    <w:rsid w:val="00A30728"/>
    <w:rsid w:val="00A318F2"/>
    <w:rsid w:val="00A31A85"/>
    <w:rsid w:val="00A327B5"/>
    <w:rsid w:val="00A3328B"/>
    <w:rsid w:val="00A33421"/>
    <w:rsid w:val="00A3382C"/>
    <w:rsid w:val="00A34204"/>
    <w:rsid w:val="00A35640"/>
    <w:rsid w:val="00A366C8"/>
    <w:rsid w:val="00A36972"/>
    <w:rsid w:val="00A36CA9"/>
    <w:rsid w:val="00A36F40"/>
    <w:rsid w:val="00A37421"/>
    <w:rsid w:val="00A378DA"/>
    <w:rsid w:val="00A41703"/>
    <w:rsid w:val="00A41950"/>
    <w:rsid w:val="00A42081"/>
    <w:rsid w:val="00A422C3"/>
    <w:rsid w:val="00A42442"/>
    <w:rsid w:val="00A4390F"/>
    <w:rsid w:val="00A442B8"/>
    <w:rsid w:val="00A44536"/>
    <w:rsid w:val="00A4457D"/>
    <w:rsid w:val="00A452BE"/>
    <w:rsid w:val="00A46887"/>
    <w:rsid w:val="00A47030"/>
    <w:rsid w:val="00A4713C"/>
    <w:rsid w:val="00A47635"/>
    <w:rsid w:val="00A50047"/>
    <w:rsid w:val="00A502BB"/>
    <w:rsid w:val="00A50CCB"/>
    <w:rsid w:val="00A516B6"/>
    <w:rsid w:val="00A5177A"/>
    <w:rsid w:val="00A52557"/>
    <w:rsid w:val="00A52E18"/>
    <w:rsid w:val="00A536A4"/>
    <w:rsid w:val="00A53EEB"/>
    <w:rsid w:val="00A545FE"/>
    <w:rsid w:val="00A55259"/>
    <w:rsid w:val="00A564B3"/>
    <w:rsid w:val="00A56BD0"/>
    <w:rsid w:val="00A6061D"/>
    <w:rsid w:val="00A613E1"/>
    <w:rsid w:val="00A615D0"/>
    <w:rsid w:val="00A62C67"/>
    <w:rsid w:val="00A63A4C"/>
    <w:rsid w:val="00A63C95"/>
    <w:rsid w:val="00A64225"/>
    <w:rsid w:val="00A64272"/>
    <w:rsid w:val="00A6468C"/>
    <w:rsid w:val="00A64A3A"/>
    <w:rsid w:val="00A64DCD"/>
    <w:rsid w:val="00A65DBB"/>
    <w:rsid w:val="00A67624"/>
    <w:rsid w:val="00A70A6C"/>
    <w:rsid w:val="00A71771"/>
    <w:rsid w:val="00A71D95"/>
    <w:rsid w:val="00A72000"/>
    <w:rsid w:val="00A72600"/>
    <w:rsid w:val="00A72744"/>
    <w:rsid w:val="00A72F95"/>
    <w:rsid w:val="00A731E7"/>
    <w:rsid w:val="00A732D7"/>
    <w:rsid w:val="00A75867"/>
    <w:rsid w:val="00A75ABD"/>
    <w:rsid w:val="00A7644E"/>
    <w:rsid w:val="00A764A7"/>
    <w:rsid w:val="00A77A1E"/>
    <w:rsid w:val="00A77B93"/>
    <w:rsid w:val="00A808D7"/>
    <w:rsid w:val="00A81202"/>
    <w:rsid w:val="00A8204C"/>
    <w:rsid w:val="00A82105"/>
    <w:rsid w:val="00A82469"/>
    <w:rsid w:val="00A82B71"/>
    <w:rsid w:val="00A82D81"/>
    <w:rsid w:val="00A82DBE"/>
    <w:rsid w:val="00A8315D"/>
    <w:rsid w:val="00A8324E"/>
    <w:rsid w:val="00A83CDB"/>
    <w:rsid w:val="00A847E7"/>
    <w:rsid w:val="00A8480A"/>
    <w:rsid w:val="00A84A8A"/>
    <w:rsid w:val="00A86211"/>
    <w:rsid w:val="00A86C1B"/>
    <w:rsid w:val="00A86D7E"/>
    <w:rsid w:val="00A8715A"/>
    <w:rsid w:val="00A87EB9"/>
    <w:rsid w:val="00A87F8A"/>
    <w:rsid w:val="00A90D26"/>
    <w:rsid w:val="00A92DFE"/>
    <w:rsid w:val="00A960FD"/>
    <w:rsid w:val="00A964C5"/>
    <w:rsid w:val="00A96658"/>
    <w:rsid w:val="00A96876"/>
    <w:rsid w:val="00A975A7"/>
    <w:rsid w:val="00A97F59"/>
    <w:rsid w:val="00AA039B"/>
    <w:rsid w:val="00AA18B7"/>
    <w:rsid w:val="00AA1B6F"/>
    <w:rsid w:val="00AA1D23"/>
    <w:rsid w:val="00AA223C"/>
    <w:rsid w:val="00AA251A"/>
    <w:rsid w:val="00AA2666"/>
    <w:rsid w:val="00AA3972"/>
    <w:rsid w:val="00AA3BD3"/>
    <w:rsid w:val="00AA45A4"/>
    <w:rsid w:val="00AA5DA8"/>
    <w:rsid w:val="00AA5FB1"/>
    <w:rsid w:val="00AA6430"/>
    <w:rsid w:val="00AA6518"/>
    <w:rsid w:val="00AA764D"/>
    <w:rsid w:val="00AA7B0F"/>
    <w:rsid w:val="00AB0563"/>
    <w:rsid w:val="00AB1420"/>
    <w:rsid w:val="00AB322D"/>
    <w:rsid w:val="00AB368A"/>
    <w:rsid w:val="00AB683B"/>
    <w:rsid w:val="00AC0D22"/>
    <w:rsid w:val="00AC0DC2"/>
    <w:rsid w:val="00AC1EE4"/>
    <w:rsid w:val="00AC3809"/>
    <w:rsid w:val="00AC4898"/>
    <w:rsid w:val="00AC4B60"/>
    <w:rsid w:val="00AC5369"/>
    <w:rsid w:val="00AC56AE"/>
    <w:rsid w:val="00AC5956"/>
    <w:rsid w:val="00AD01C8"/>
    <w:rsid w:val="00AD1446"/>
    <w:rsid w:val="00AD1D1B"/>
    <w:rsid w:val="00AD2173"/>
    <w:rsid w:val="00AD33F0"/>
    <w:rsid w:val="00AD363D"/>
    <w:rsid w:val="00AD37E0"/>
    <w:rsid w:val="00AD3B05"/>
    <w:rsid w:val="00AD4805"/>
    <w:rsid w:val="00AD4E25"/>
    <w:rsid w:val="00AD53E9"/>
    <w:rsid w:val="00AD572A"/>
    <w:rsid w:val="00AD70A4"/>
    <w:rsid w:val="00AD73BB"/>
    <w:rsid w:val="00AE07EF"/>
    <w:rsid w:val="00AE093E"/>
    <w:rsid w:val="00AE09B5"/>
    <w:rsid w:val="00AE09DB"/>
    <w:rsid w:val="00AE168A"/>
    <w:rsid w:val="00AE1DFC"/>
    <w:rsid w:val="00AE1F1B"/>
    <w:rsid w:val="00AE30B7"/>
    <w:rsid w:val="00AE3211"/>
    <w:rsid w:val="00AE33CB"/>
    <w:rsid w:val="00AE3BFC"/>
    <w:rsid w:val="00AE4035"/>
    <w:rsid w:val="00AE425A"/>
    <w:rsid w:val="00AE52A4"/>
    <w:rsid w:val="00AE6EF8"/>
    <w:rsid w:val="00AE72CB"/>
    <w:rsid w:val="00AF17B6"/>
    <w:rsid w:val="00AF2B14"/>
    <w:rsid w:val="00AF2CB7"/>
    <w:rsid w:val="00AF2E25"/>
    <w:rsid w:val="00AF3353"/>
    <w:rsid w:val="00AF45EA"/>
    <w:rsid w:val="00AF4E5A"/>
    <w:rsid w:val="00AF4F26"/>
    <w:rsid w:val="00AF5602"/>
    <w:rsid w:val="00AF5ADF"/>
    <w:rsid w:val="00AF79AA"/>
    <w:rsid w:val="00AF7BE8"/>
    <w:rsid w:val="00AF7E74"/>
    <w:rsid w:val="00B00AB3"/>
    <w:rsid w:val="00B00E07"/>
    <w:rsid w:val="00B01A98"/>
    <w:rsid w:val="00B02135"/>
    <w:rsid w:val="00B0227D"/>
    <w:rsid w:val="00B05B9D"/>
    <w:rsid w:val="00B064DA"/>
    <w:rsid w:val="00B075C0"/>
    <w:rsid w:val="00B10B96"/>
    <w:rsid w:val="00B12F83"/>
    <w:rsid w:val="00B134AB"/>
    <w:rsid w:val="00B14C04"/>
    <w:rsid w:val="00B14CEB"/>
    <w:rsid w:val="00B14D1B"/>
    <w:rsid w:val="00B15794"/>
    <w:rsid w:val="00B15D35"/>
    <w:rsid w:val="00B163D2"/>
    <w:rsid w:val="00B16DF7"/>
    <w:rsid w:val="00B179DC"/>
    <w:rsid w:val="00B17E43"/>
    <w:rsid w:val="00B20596"/>
    <w:rsid w:val="00B205B3"/>
    <w:rsid w:val="00B20EB3"/>
    <w:rsid w:val="00B21A2B"/>
    <w:rsid w:val="00B21DFC"/>
    <w:rsid w:val="00B2221F"/>
    <w:rsid w:val="00B22C67"/>
    <w:rsid w:val="00B235C6"/>
    <w:rsid w:val="00B23E5B"/>
    <w:rsid w:val="00B24A7C"/>
    <w:rsid w:val="00B2507F"/>
    <w:rsid w:val="00B25261"/>
    <w:rsid w:val="00B25D3F"/>
    <w:rsid w:val="00B265B4"/>
    <w:rsid w:val="00B266B1"/>
    <w:rsid w:val="00B27EEE"/>
    <w:rsid w:val="00B30350"/>
    <w:rsid w:val="00B30CEA"/>
    <w:rsid w:val="00B30E40"/>
    <w:rsid w:val="00B315D2"/>
    <w:rsid w:val="00B31942"/>
    <w:rsid w:val="00B31FF8"/>
    <w:rsid w:val="00B32244"/>
    <w:rsid w:val="00B337EB"/>
    <w:rsid w:val="00B34322"/>
    <w:rsid w:val="00B34AAC"/>
    <w:rsid w:val="00B3691D"/>
    <w:rsid w:val="00B37866"/>
    <w:rsid w:val="00B37E11"/>
    <w:rsid w:val="00B37E2C"/>
    <w:rsid w:val="00B40104"/>
    <w:rsid w:val="00B40950"/>
    <w:rsid w:val="00B40FEC"/>
    <w:rsid w:val="00B415C3"/>
    <w:rsid w:val="00B417F5"/>
    <w:rsid w:val="00B4298A"/>
    <w:rsid w:val="00B429F9"/>
    <w:rsid w:val="00B43656"/>
    <w:rsid w:val="00B438B7"/>
    <w:rsid w:val="00B438F0"/>
    <w:rsid w:val="00B439FC"/>
    <w:rsid w:val="00B44B36"/>
    <w:rsid w:val="00B44C85"/>
    <w:rsid w:val="00B44FCE"/>
    <w:rsid w:val="00B454F0"/>
    <w:rsid w:val="00B459D9"/>
    <w:rsid w:val="00B45A91"/>
    <w:rsid w:val="00B45FB1"/>
    <w:rsid w:val="00B4619C"/>
    <w:rsid w:val="00B466F5"/>
    <w:rsid w:val="00B4681A"/>
    <w:rsid w:val="00B47025"/>
    <w:rsid w:val="00B47819"/>
    <w:rsid w:val="00B50ABD"/>
    <w:rsid w:val="00B50DC7"/>
    <w:rsid w:val="00B5123B"/>
    <w:rsid w:val="00B520AF"/>
    <w:rsid w:val="00B52CE4"/>
    <w:rsid w:val="00B53DCC"/>
    <w:rsid w:val="00B5519A"/>
    <w:rsid w:val="00B55C99"/>
    <w:rsid w:val="00B57C30"/>
    <w:rsid w:val="00B57CEA"/>
    <w:rsid w:val="00B60CFF"/>
    <w:rsid w:val="00B610E3"/>
    <w:rsid w:val="00B613D2"/>
    <w:rsid w:val="00B61AA0"/>
    <w:rsid w:val="00B61CA3"/>
    <w:rsid w:val="00B624EE"/>
    <w:rsid w:val="00B626BA"/>
    <w:rsid w:val="00B62E2C"/>
    <w:rsid w:val="00B6470F"/>
    <w:rsid w:val="00B64E83"/>
    <w:rsid w:val="00B65BD2"/>
    <w:rsid w:val="00B65EF9"/>
    <w:rsid w:val="00B6691A"/>
    <w:rsid w:val="00B66D5C"/>
    <w:rsid w:val="00B66F9E"/>
    <w:rsid w:val="00B6752F"/>
    <w:rsid w:val="00B70576"/>
    <w:rsid w:val="00B71549"/>
    <w:rsid w:val="00B71E0D"/>
    <w:rsid w:val="00B742E5"/>
    <w:rsid w:val="00B745C7"/>
    <w:rsid w:val="00B7604B"/>
    <w:rsid w:val="00B761F7"/>
    <w:rsid w:val="00B7788C"/>
    <w:rsid w:val="00B80848"/>
    <w:rsid w:val="00B81400"/>
    <w:rsid w:val="00B81D2C"/>
    <w:rsid w:val="00B83007"/>
    <w:rsid w:val="00B83970"/>
    <w:rsid w:val="00B85164"/>
    <w:rsid w:val="00B85438"/>
    <w:rsid w:val="00B86F77"/>
    <w:rsid w:val="00B878F5"/>
    <w:rsid w:val="00B910CB"/>
    <w:rsid w:val="00B91199"/>
    <w:rsid w:val="00B913B3"/>
    <w:rsid w:val="00B91581"/>
    <w:rsid w:val="00B9200B"/>
    <w:rsid w:val="00B92544"/>
    <w:rsid w:val="00B93AD3"/>
    <w:rsid w:val="00B93B86"/>
    <w:rsid w:val="00B94EF7"/>
    <w:rsid w:val="00B952E0"/>
    <w:rsid w:val="00B95D80"/>
    <w:rsid w:val="00B96F75"/>
    <w:rsid w:val="00B97303"/>
    <w:rsid w:val="00BA0101"/>
    <w:rsid w:val="00BA0CA0"/>
    <w:rsid w:val="00BA1301"/>
    <w:rsid w:val="00BA2C18"/>
    <w:rsid w:val="00BA4737"/>
    <w:rsid w:val="00BA48C4"/>
    <w:rsid w:val="00BA497C"/>
    <w:rsid w:val="00BA4D0E"/>
    <w:rsid w:val="00BA4F82"/>
    <w:rsid w:val="00BA571A"/>
    <w:rsid w:val="00BA58D8"/>
    <w:rsid w:val="00BA6FD8"/>
    <w:rsid w:val="00BA7499"/>
    <w:rsid w:val="00BA78E2"/>
    <w:rsid w:val="00BB10BE"/>
    <w:rsid w:val="00BB2F8B"/>
    <w:rsid w:val="00BB3837"/>
    <w:rsid w:val="00BB40EA"/>
    <w:rsid w:val="00BB4CE3"/>
    <w:rsid w:val="00BB59C2"/>
    <w:rsid w:val="00BB6934"/>
    <w:rsid w:val="00BB6E81"/>
    <w:rsid w:val="00BB6E8B"/>
    <w:rsid w:val="00BB70DA"/>
    <w:rsid w:val="00BB7106"/>
    <w:rsid w:val="00BB7780"/>
    <w:rsid w:val="00BC1185"/>
    <w:rsid w:val="00BC21EF"/>
    <w:rsid w:val="00BC287A"/>
    <w:rsid w:val="00BC2C78"/>
    <w:rsid w:val="00BC466B"/>
    <w:rsid w:val="00BC46E2"/>
    <w:rsid w:val="00BC49C7"/>
    <w:rsid w:val="00BC4F4B"/>
    <w:rsid w:val="00BC4FAB"/>
    <w:rsid w:val="00BC5AA2"/>
    <w:rsid w:val="00BC66D2"/>
    <w:rsid w:val="00BC67C3"/>
    <w:rsid w:val="00BC7088"/>
    <w:rsid w:val="00BC7AF7"/>
    <w:rsid w:val="00BC7FA7"/>
    <w:rsid w:val="00BD0D63"/>
    <w:rsid w:val="00BD10AE"/>
    <w:rsid w:val="00BD176C"/>
    <w:rsid w:val="00BD549E"/>
    <w:rsid w:val="00BD6742"/>
    <w:rsid w:val="00BD7B1B"/>
    <w:rsid w:val="00BD7BB4"/>
    <w:rsid w:val="00BE012F"/>
    <w:rsid w:val="00BE0AC6"/>
    <w:rsid w:val="00BE0E74"/>
    <w:rsid w:val="00BE10A7"/>
    <w:rsid w:val="00BE1504"/>
    <w:rsid w:val="00BE1904"/>
    <w:rsid w:val="00BE1F71"/>
    <w:rsid w:val="00BE2934"/>
    <w:rsid w:val="00BE2CEE"/>
    <w:rsid w:val="00BE3197"/>
    <w:rsid w:val="00BE3AD6"/>
    <w:rsid w:val="00BE3B11"/>
    <w:rsid w:val="00BE49DF"/>
    <w:rsid w:val="00BE63ED"/>
    <w:rsid w:val="00BF006C"/>
    <w:rsid w:val="00BF061A"/>
    <w:rsid w:val="00BF088D"/>
    <w:rsid w:val="00BF1033"/>
    <w:rsid w:val="00BF1133"/>
    <w:rsid w:val="00BF16E0"/>
    <w:rsid w:val="00BF18F5"/>
    <w:rsid w:val="00BF19E6"/>
    <w:rsid w:val="00BF1A5D"/>
    <w:rsid w:val="00BF237D"/>
    <w:rsid w:val="00BF312A"/>
    <w:rsid w:val="00BF38B8"/>
    <w:rsid w:val="00BF3BD9"/>
    <w:rsid w:val="00BF3DBD"/>
    <w:rsid w:val="00BF3F55"/>
    <w:rsid w:val="00BF4B0C"/>
    <w:rsid w:val="00BF53C5"/>
    <w:rsid w:val="00BF5527"/>
    <w:rsid w:val="00BF599C"/>
    <w:rsid w:val="00BF5A6C"/>
    <w:rsid w:val="00BF5BB3"/>
    <w:rsid w:val="00BF6951"/>
    <w:rsid w:val="00BF6EF3"/>
    <w:rsid w:val="00C0020A"/>
    <w:rsid w:val="00C00D4F"/>
    <w:rsid w:val="00C010D2"/>
    <w:rsid w:val="00C028F9"/>
    <w:rsid w:val="00C02FE8"/>
    <w:rsid w:val="00C03206"/>
    <w:rsid w:val="00C04C94"/>
    <w:rsid w:val="00C05768"/>
    <w:rsid w:val="00C05CF6"/>
    <w:rsid w:val="00C0695A"/>
    <w:rsid w:val="00C06DCB"/>
    <w:rsid w:val="00C06EF7"/>
    <w:rsid w:val="00C074F1"/>
    <w:rsid w:val="00C07796"/>
    <w:rsid w:val="00C07941"/>
    <w:rsid w:val="00C07ED2"/>
    <w:rsid w:val="00C10345"/>
    <w:rsid w:val="00C10595"/>
    <w:rsid w:val="00C11785"/>
    <w:rsid w:val="00C11DF6"/>
    <w:rsid w:val="00C12733"/>
    <w:rsid w:val="00C13046"/>
    <w:rsid w:val="00C13843"/>
    <w:rsid w:val="00C15568"/>
    <w:rsid w:val="00C15895"/>
    <w:rsid w:val="00C15FAE"/>
    <w:rsid w:val="00C16356"/>
    <w:rsid w:val="00C17BF4"/>
    <w:rsid w:val="00C17E2D"/>
    <w:rsid w:val="00C206FC"/>
    <w:rsid w:val="00C20C47"/>
    <w:rsid w:val="00C214F4"/>
    <w:rsid w:val="00C21A6D"/>
    <w:rsid w:val="00C21B6D"/>
    <w:rsid w:val="00C2272E"/>
    <w:rsid w:val="00C22AA8"/>
    <w:rsid w:val="00C23179"/>
    <w:rsid w:val="00C231EF"/>
    <w:rsid w:val="00C23A10"/>
    <w:rsid w:val="00C25435"/>
    <w:rsid w:val="00C27D63"/>
    <w:rsid w:val="00C303A4"/>
    <w:rsid w:val="00C3062F"/>
    <w:rsid w:val="00C308B0"/>
    <w:rsid w:val="00C30B38"/>
    <w:rsid w:val="00C30BDF"/>
    <w:rsid w:val="00C323C3"/>
    <w:rsid w:val="00C33241"/>
    <w:rsid w:val="00C33E47"/>
    <w:rsid w:val="00C3434B"/>
    <w:rsid w:val="00C36F76"/>
    <w:rsid w:val="00C372DF"/>
    <w:rsid w:val="00C40A8F"/>
    <w:rsid w:val="00C41E26"/>
    <w:rsid w:val="00C424DD"/>
    <w:rsid w:val="00C42962"/>
    <w:rsid w:val="00C43DFE"/>
    <w:rsid w:val="00C43FE2"/>
    <w:rsid w:val="00C4567C"/>
    <w:rsid w:val="00C47FE1"/>
    <w:rsid w:val="00C517A9"/>
    <w:rsid w:val="00C519AF"/>
    <w:rsid w:val="00C52695"/>
    <w:rsid w:val="00C54177"/>
    <w:rsid w:val="00C542AD"/>
    <w:rsid w:val="00C55289"/>
    <w:rsid w:val="00C55AEE"/>
    <w:rsid w:val="00C55EED"/>
    <w:rsid w:val="00C562F0"/>
    <w:rsid w:val="00C56D58"/>
    <w:rsid w:val="00C57CD6"/>
    <w:rsid w:val="00C57F24"/>
    <w:rsid w:val="00C62F37"/>
    <w:rsid w:val="00C637AF"/>
    <w:rsid w:val="00C63A9A"/>
    <w:rsid w:val="00C651F6"/>
    <w:rsid w:val="00C660DA"/>
    <w:rsid w:val="00C6695D"/>
    <w:rsid w:val="00C71722"/>
    <w:rsid w:val="00C72109"/>
    <w:rsid w:val="00C73121"/>
    <w:rsid w:val="00C73BD1"/>
    <w:rsid w:val="00C74771"/>
    <w:rsid w:val="00C7487B"/>
    <w:rsid w:val="00C750A7"/>
    <w:rsid w:val="00C77109"/>
    <w:rsid w:val="00C77856"/>
    <w:rsid w:val="00C77A45"/>
    <w:rsid w:val="00C802A7"/>
    <w:rsid w:val="00C806DF"/>
    <w:rsid w:val="00C82D4B"/>
    <w:rsid w:val="00C82EE4"/>
    <w:rsid w:val="00C83274"/>
    <w:rsid w:val="00C83B33"/>
    <w:rsid w:val="00C85739"/>
    <w:rsid w:val="00C85D57"/>
    <w:rsid w:val="00C8631E"/>
    <w:rsid w:val="00C86431"/>
    <w:rsid w:val="00C903DC"/>
    <w:rsid w:val="00C910CD"/>
    <w:rsid w:val="00C91981"/>
    <w:rsid w:val="00C91B4F"/>
    <w:rsid w:val="00C91CB7"/>
    <w:rsid w:val="00C92345"/>
    <w:rsid w:val="00C9312C"/>
    <w:rsid w:val="00C95361"/>
    <w:rsid w:val="00C961A1"/>
    <w:rsid w:val="00C96A26"/>
    <w:rsid w:val="00C96B3D"/>
    <w:rsid w:val="00C97185"/>
    <w:rsid w:val="00CA00C1"/>
    <w:rsid w:val="00CA04FF"/>
    <w:rsid w:val="00CA25F9"/>
    <w:rsid w:val="00CA4577"/>
    <w:rsid w:val="00CA4B10"/>
    <w:rsid w:val="00CA5FE8"/>
    <w:rsid w:val="00CA6F7A"/>
    <w:rsid w:val="00CA7418"/>
    <w:rsid w:val="00CB153D"/>
    <w:rsid w:val="00CB19B4"/>
    <w:rsid w:val="00CB2590"/>
    <w:rsid w:val="00CB2F32"/>
    <w:rsid w:val="00CB370E"/>
    <w:rsid w:val="00CB46CC"/>
    <w:rsid w:val="00CB4D63"/>
    <w:rsid w:val="00CB5424"/>
    <w:rsid w:val="00CB6090"/>
    <w:rsid w:val="00CB69DA"/>
    <w:rsid w:val="00CB6E58"/>
    <w:rsid w:val="00CC0BCA"/>
    <w:rsid w:val="00CC23A5"/>
    <w:rsid w:val="00CC33EA"/>
    <w:rsid w:val="00CC3D38"/>
    <w:rsid w:val="00CC5371"/>
    <w:rsid w:val="00CC5C24"/>
    <w:rsid w:val="00CC66E7"/>
    <w:rsid w:val="00CC6DBC"/>
    <w:rsid w:val="00CD06CE"/>
    <w:rsid w:val="00CD1B00"/>
    <w:rsid w:val="00CD2038"/>
    <w:rsid w:val="00CD2982"/>
    <w:rsid w:val="00CD364E"/>
    <w:rsid w:val="00CD3B3C"/>
    <w:rsid w:val="00CD4D1F"/>
    <w:rsid w:val="00CD4E6D"/>
    <w:rsid w:val="00CD652A"/>
    <w:rsid w:val="00CD69C6"/>
    <w:rsid w:val="00CD6BCF"/>
    <w:rsid w:val="00CE08CC"/>
    <w:rsid w:val="00CE3A9D"/>
    <w:rsid w:val="00CE454C"/>
    <w:rsid w:val="00CE4599"/>
    <w:rsid w:val="00CE5400"/>
    <w:rsid w:val="00CE570C"/>
    <w:rsid w:val="00CE5778"/>
    <w:rsid w:val="00CE59C5"/>
    <w:rsid w:val="00CE6061"/>
    <w:rsid w:val="00CE6BDA"/>
    <w:rsid w:val="00CE6C9B"/>
    <w:rsid w:val="00CF1240"/>
    <w:rsid w:val="00CF1D6D"/>
    <w:rsid w:val="00CF2630"/>
    <w:rsid w:val="00CF2955"/>
    <w:rsid w:val="00CF4724"/>
    <w:rsid w:val="00CF5AA2"/>
    <w:rsid w:val="00CF609F"/>
    <w:rsid w:val="00CF6F9A"/>
    <w:rsid w:val="00CF7AD7"/>
    <w:rsid w:val="00D00C11"/>
    <w:rsid w:val="00D01E99"/>
    <w:rsid w:val="00D02FD4"/>
    <w:rsid w:val="00D04959"/>
    <w:rsid w:val="00D05B0A"/>
    <w:rsid w:val="00D05D98"/>
    <w:rsid w:val="00D05F03"/>
    <w:rsid w:val="00D063AA"/>
    <w:rsid w:val="00D07421"/>
    <w:rsid w:val="00D0769D"/>
    <w:rsid w:val="00D100AC"/>
    <w:rsid w:val="00D100D4"/>
    <w:rsid w:val="00D103EC"/>
    <w:rsid w:val="00D114CF"/>
    <w:rsid w:val="00D114D1"/>
    <w:rsid w:val="00D1283A"/>
    <w:rsid w:val="00D129F3"/>
    <w:rsid w:val="00D14478"/>
    <w:rsid w:val="00D14C22"/>
    <w:rsid w:val="00D15122"/>
    <w:rsid w:val="00D161DA"/>
    <w:rsid w:val="00D162E0"/>
    <w:rsid w:val="00D16509"/>
    <w:rsid w:val="00D16755"/>
    <w:rsid w:val="00D17880"/>
    <w:rsid w:val="00D20143"/>
    <w:rsid w:val="00D2025C"/>
    <w:rsid w:val="00D20439"/>
    <w:rsid w:val="00D209B7"/>
    <w:rsid w:val="00D20FFC"/>
    <w:rsid w:val="00D214AE"/>
    <w:rsid w:val="00D21A38"/>
    <w:rsid w:val="00D22206"/>
    <w:rsid w:val="00D2224F"/>
    <w:rsid w:val="00D22523"/>
    <w:rsid w:val="00D232A5"/>
    <w:rsid w:val="00D23C80"/>
    <w:rsid w:val="00D25087"/>
    <w:rsid w:val="00D25102"/>
    <w:rsid w:val="00D25BFA"/>
    <w:rsid w:val="00D2636D"/>
    <w:rsid w:val="00D26974"/>
    <w:rsid w:val="00D2789F"/>
    <w:rsid w:val="00D30860"/>
    <w:rsid w:val="00D31562"/>
    <w:rsid w:val="00D316DA"/>
    <w:rsid w:val="00D32644"/>
    <w:rsid w:val="00D32F81"/>
    <w:rsid w:val="00D32F87"/>
    <w:rsid w:val="00D33EA7"/>
    <w:rsid w:val="00D33F25"/>
    <w:rsid w:val="00D33F85"/>
    <w:rsid w:val="00D35E77"/>
    <w:rsid w:val="00D361BD"/>
    <w:rsid w:val="00D36B23"/>
    <w:rsid w:val="00D37132"/>
    <w:rsid w:val="00D376B3"/>
    <w:rsid w:val="00D37970"/>
    <w:rsid w:val="00D37DAF"/>
    <w:rsid w:val="00D407B2"/>
    <w:rsid w:val="00D425B9"/>
    <w:rsid w:val="00D425CF"/>
    <w:rsid w:val="00D430B1"/>
    <w:rsid w:val="00D43BB2"/>
    <w:rsid w:val="00D43D34"/>
    <w:rsid w:val="00D43E0A"/>
    <w:rsid w:val="00D4466F"/>
    <w:rsid w:val="00D44A44"/>
    <w:rsid w:val="00D505D9"/>
    <w:rsid w:val="00D511E4"/>
    <w:rsid w:val="00D5196A"/>
    <w:rsid w:val="00D54AED"/>
    <w:rsid w:val="00D55044"/>
    <w:rsid w:val="00D5524F"/>
    <w:rsid w:val="00D558AF"/>
    <w:rsid w:val="00D55A59"/>
    <w:rsid w:val="00D56368"/>
    <w:rsid w:val="00D56969"/>
    <w:rsid w:val="00D56E76"/>
    <w:rsid w:val="00D57389"/>
    <w:rsid w:val="00D6101D"/>
    <w:rsid w:val="00D619A5"/>
    <w:rsid w:val="00D61F36"/>
    <w:rsid w:val="00D64A3C"/>
    <w:rsid w:val="00D64BD4"/>
    <w:rsid w:val="00D65408"/>
    <w:rsid w:val="00D65DB9"/>
    <w:rsid w:val="00D65F1D"/>
    <w:rsid w:val="00D66BCF"/>
    <w:rsid w:val="00D673DF"/>
    <w:rsid w:val="00D702C4"/>
    <w:rsid w:val="00D70DD7"/>
    <w:rsid w:val="00D71022"/>
    <w:rsid w:val="00D721EF"/>
    <w:rsid w:val="00D765AB"/>
    <w:rsid w:val="00D80D79"/>
    <w:rsid w:val="00D816CC"/>
    <w:rsid w:val="00D82339"/>
    <w:rsid w:val="00D8350C"/>
    <w:rsid w:val="00D83E16"/>
    <w:rsid w:val="00D842CB"/>
    <w:rsid w:val="00D84B44"/>
    <w:rsid w:val="00D877A6"/>
    <w:rsid w:val="00D903EE"/>
    <w:rsid w:val="00D91C65"/>
    <w:rsid w:val="00D91EE0"/>
    <w:rsid w:val="00D92083"/>
    <w:rsid w:val="00D93062"/>
    <w:rsid w:val="00D9340C"/>
    <w:rsid w:val="00D93765"/>
    <w:rsid w:val="00D943DA"/>
    <w:rsid w:val="00D9474E"/>
    <w:rsid w:val="00D95ED8"/>
    <w:rsid w:val="00D96767"/>
    <w:rsid w:val="00D96A5B"/>
    <w:rsid w:val="00D96AD6"/>
    <w:rsid w:val="00D97035"/>
    <w:rsid w:val="00D9744F"/>
    <w:rsid w:val="00DA09A5"/>
    <w:rsid w:val="00DA0CA2"/>
    <w:rsid w:val="00DA13D3"/>
    <w:rsid w:val="00DA28DB"/>
    <w:rsid w:val="00DA3371"/>
    <w:rsid w:val="00DA3AF0"/>
    <w:rsid w:val="00DA579C"/>
    <w:rsid w:val="00DA6399"/>
    <w:rsid w:val="00DA6BA3"/>
    <w:rsid w:val="00DA74F4"/>
    <w:rsid w:val="00DA76F2"/>
    <w:rsid w:val="00DA777E"/>
    <w:rsid w:val="00DB0F98"/>
    <w:rsid w:val="00DB1B7D"/>
    <w:rsid w:val="00DB225D"/>
    <w:rsid w:val="00DB2CD7"/>
    <w:rsid w:val="00DB33BE"/>
    <w:rsid w:val="00DB5799"/>
    <w:rsid w:val="00DB57A7"/>
    <w:rsid w:val="00DB623D"/>
    <w:rsid w:val="00DB6F58"/>
    <w:rsid w:val="00DB74E7"/>
    <w:rsid w:val="00DB7706"/>
    <w:rsid w:val="00DB7B69"/>
    <w:rsid w:val="00DB7BAF"/>
    <w:rsid w:val="00DC1034"/>
    <w:rsid w:val="00DC285B"/>
    <w:rsid w:val="00DC29C7"/>
    <w:rsid w:val="00DC2AFC"/>
    <w:rsid w:val="00DC3FD0"/>
    <w:rsid w:val="00DC4549"/>
    <w:rsid w:val="00DC4891"/>
    <w:rsid w:val="00DC4BA9"/>
    <w:rsid w:val="00DC53A7"/>
    <w:rsid w:val="00DC59DD"/>
    <w:rsid w:val="00DC59F8"/>
    <w:rsid w:val="00DC68C4"/>
    <w:rsid w:val="00DD003E"/>
    <w:rsid w:val="00DD0C53"/>
    <w:rsid w:val="00DD0D0C"/>
    <w:rsid w:val="00DD4605"/>
    <w:rsid w:val="00DD4B71"/>
    <w:rsid w:val="00DD73E6"/>
    <w:rsid w:val="00DD7728"/>
    <w:rsid w:val="00DE1001"/>
    <w:rsid w:val="00DE15D6"/>
    <w:rsid w:val="00DE487D"/>
    <w:rsid w:val="00DE53B2"/>
    <w:rsid w:val="00DE5C65"/>
    <w:rsid w:val="00DE5D4C"/>
    <w:rsid w:val="00DE6729"/>
    <w:rsid w:val="00DE693C"/>
    <w:rsid w:val="00DE6BF4"/>
    <w:rsid w:val="00DE6CF0"/>
    <w:rsid w:val="00DE6D5B"/>
    <w:rsid w:val="00DF035F"/>
    <w:rsid w:val="00DF161A"/>
    <w:rsid w:val="00DF1FF7"/>
    <w:rsid w:val="00DF3126"/>
    <w:rsid w:val="00DF4010"/>
    <w:rsid w:val="00DF4EAE"/>
    <w:rsid w:val="00DF5423"/>
    <w:rsid w:val="00DF5562"/>
    <w:rsid w:val="00DF6251"/>
    <w:rsid w:val="00DF6317"/>
    <w:rsid w:val="00DF782C"/>
    <w:rsid w:val="00DF7E32"/>
    <w:rsid w:val="00E001C9"/>
    <w:rsid w:val="00E00382"/>
    <w:rsid w:val="00E0099F"/>
    <w:rsid w:val="00E01A3F"/>
    <w:rsid w:val="00E01BBE"/>
    <w:rsid w:val="00E01E4A"/>
    <w:rsid w:val="00E02126"/>
    <w:rsid w:val="00E02344"/>
    <w:rsid w:val="00E02974"/>
    <w:rsid w:val="00E030AC"/>
    <w:rsid w:val="00E03237"/>
    <w:rsid w:val="00E03EA4"/>
    <w:rsid w:val="00E04220"/>
    <w:rsid w:val="00E04261"/>
    <w:rsid w:val="00E05F22"/>
    <w:rsid w:val="00E06243"/>
    <w:rsid w:val="00E0629A"/>
    <w:rsid w:val="00E06547"/>
    <w:rsid w:val="00E06DD5"/>
    <w:rsid w:val="00E074BB"/>
    <w:rsid w:val="00E07717"/>
    <w:rsid w:val="00E10B38"/>
    <w:rsid w:val="00E10DE7"/>
    <w:rsid w:val="00E1200E"/>
    <w:rsid w:val="00E120F2"/>
    <w:rsid w:val="00E12382"/>
    <w:rsid w:val="00E127EE"/>
    <w:rsid w:val="00E12FEF"/>
    <w:rsid w:val="00E14DCE"/>
    <w:rsid w:val="00E153E6"/>
    <w:rsid w:val="00E155B6"/>
    <w:rsid w:val="00E15F71"/>
    <w:rsid w:val="00E167E0"/>
    <w:rsid w:val="00E1706B"/>
    <w:rsid w:val="00E20964"/>
    <w:rsid w:val="00E20A6C"/>
    <w:rsid w:val="00E2121D"/>
    <w:rsid w:val="00E21A24"/>
    <w:rsid w:val="00E21A68"/>
    <w:rsid w:val="00E227FE"/>
    <w:rsid w:val="00E24971"/>
    <w:rsid w:val="00E24E23"/>
    <w:rsid w:val="00E25612"/>
    <w:rsid w:val="00E25809"/>
    <w:rsid w:val="00E25926"/>
    <w:rsid w:val="00E25EEE"/>
    <w:rsid w:val="00E26144"/>
    <w:rsid w:val="00E2615B"/>
    <w:rsid w:val="00E26AB7"/>
    <w:rsid w:val="00E30B47"/>
    <w:rsid w:val="00E30C45"/>
    <w:rsid w:val="00E31632"/>
    <w:rsid w:val="00E322FA"/>
    <w:rsid w:val="00E323ED"/>
    <w:rsid w:val="00E327C5"/>
    <w:rsid w:val="00E32994"/>
    <w:rsid w:val="00E32E36"/>
    <w:rsid w:val="00E34AB2"/>
    <w:rsid w:val="00E34F1D"/>
    <w:rsid w:val="00E3500E"/>
    <w:rsid w:val="00E35DAD"/>
    <w:rsid w:val="00E360F1"/>
    <w:rsid w:val="00E37535"/>
    <w:rsid w:val="00E404B4"/>
    <w:rsid w:val="00E41448"/>
    <w:rsid w:val="00E41D38"/>
    <w:rsid w:val="00E43C1D"/>
    <w:rsid w:val="00E457E2"/>
    <w:rsid w:val="00E461B4"/>
    <w:rsid w:val="00E467AC"/>
    <w:rsid w:val="00E46A12"/>
    <w:rsid w:val="00E4759E"/>
    <w:rsid w:val="00E504BB"/>
    <w:rsid w:val="00E511A8"/>
    <w:rsid w:val="00E51469"/>
    <w:rsid w:val="00E522BC"/>
    <w:rsid w:val="00E53366"/>
    <w:rsid w:val="00E5362A"/>
    <w:rsid w:val="00E54527"/>
    <w:rsid w:val="00E54786"/>
    <w:rsid w:val="00E54DE3"/>
    <w:rsid w:val="00E556DA"/>
    <w:rsid w:val="00E5638F"/>
    <w:rsid w:val="00E566D5"/>
    <w:rsid w:val="00E56F6D"/>
    <w:rsid w:val="00E57B14"/>
    <w:rsid w:val="00E57CE0"/>
    <w:rsid w:val="00E611F1"/>
    <w:rsid w:val="00E613D8"/>
    <w:rsid w:val="00E6264A"/>
    <w:rsid w:val="00E63364"/>
    <w:rsid w:val="00E63C63"/>
    <w:rsid w:val="00E64BD4"/>
    <w:rsid w:val="00E64CC7"/>
    <w:rsid w:val="00E65645"/>
    <w:rsid w:val="00E657B1"/>
    <w:rsid w:val="00E65899"/>
    <w:rsid w:val="00E65938"/>
    <w:rsid w:val="00E65F89"/>
    <w:rsid w:val="00E65FE8"/>
    <w:rsid w:val="00E66122"/>
    <w:rsid w:val="00E70754"/>
    <w:rsid w:val="00E71231"/>
    <w:rsid w:val="00E715EE"/>
    <w:rsid w:val="00E71B8E"/>
    <w:rsid w:val="00E71C65"/>
    <w:rsid w:val="00E71F08"/>
    <w:rsid w:val="00E7369D"/>
    <w:rsid w:val="00E747FE"/>
    <w:rsid w:val="00E74A64"/>
    <w:rsid w:val="00E77079"/>
    <w:rsid w:val="00E77735"/>
    <w:rsid w:val="00E805FC"/>
    <w:rsid w:val="00E80CC8"/>
    <w:rsid w:val="00E8117B"/>
    <w:rsid w:val="00E81262"/>
    <w:rsid w:val="00E8145F"/>
    <w:rsid w:val="00E81939"/>
    <w:rsid w:val="00E81B65"/>
    <w:rsid w:val="00E82265"/>
    <w:rsid w:val="00E824D0"/>
    <w:rsid w:val="00E82C53"/>
    <w:rsid w:val="00E8304C"/>
    <w:rsid w:val="00E840E7"/>
    <w:rsid w:val="00E84637"/>
    <w:rsid w:val="00E85E28"/>
    <w:rsid w:val="00E85E71"/>
    <w:rsid w:val="00E86483"/>
    <w:rsid w:val="00E86ED0"/>
    <w:rsid w:val="00E87071"/>
    <w:rsid w:val="00E879D7"/>
    <w:rsid w:val="00E87EF1"/>
    <w:rsid w:val="00E9063A"/>
    <w:rsid w:val="00E90655"/>
    <w:rsid w:val="00E90676"/>
    <w:rsid w:val="00E90F0F"/>
    <w:rsid w:val="00E912D8"/>
    <w:rsid w:val="00E91D60"/>
    <w:rsid w:val="00E923B0"/>
    <w:rsid w:val="00E93078"/>
    <w:rsid w:val="00E939B4"/>
    <w:rsid w:val="00E93ECB"/>
    <w:rsid w:val="00E945F7"/>
    <w:rsid w:val="00E9522E"/>
    <w:rsid w:val="00E95296"/>
    <w:rsid w:val="00E9543B"/>
    <w:rsid w:val="00E9574A"/>
    <w:rsid w:val="00E95BFD"/>
    <w:rsid w:val="00E9633A"/>
    <w:rsid w:val="00E96F78"/>
    <w:rsid w:val="00E97530"/>
    <w:rsid w:val="00EA08E4"/>
    <w:rsid w:val="00EA1AAF"/>
    <w:rsid w:val="00EA1F84"/>
    <w:rsid w:val="00EA2239"/>
    <w:rsid w:val="00EA22D6"/>
    <w:rsid w:val="00EA2776"/>
    <w:rsid w:val="00EA2947"/>
    <w:rsid w:val="00EA428E"/>
    <w:rsid w:val="00EA4DC2"/>
    <w:rsid w:val="00EA5884"/>
    <w:rsid w:val="00EA7E84"/>
    <w:rsid w:val="00EA7F34"/>
    <w:rsid w:val="00EB1B90"/>
    <w:rsid w:val="00EB1CA4"/>
    <w:rsid w:val="00EB1F13"/>
    <w:rsid w:val="00EB20D0"/>
    <w:rsid w:val="00EB229A"/>
    <w:rsid w:val="00EB3212"/>
    <w:rsid w:val="00EB5429"/>
    <w:rsid w:val="00EB5BCC"/>
    <w:rsid w:val="00EB5C8F"/>
    <w:rsid w:val="00EB6DE5"/>
    <w:rsid w:val="00EB78AF"/>
    <w:rsid w:val="00EC04E3"/>
    <w:rsid w:val="00EC1C81"/>
    <w:rsid w:val="00EC2609"/>
    <w:rsid w:val="00EC4B3E"/>
    <w:rsid w:val="00EC5BC7"/>
    <w:rsid w:val="00EC69F7"/>
    <w:rsid w:val="00EC6BA9"/>
    <w:rsid w:val="00EC6F09"/>
    <w:rsid w:val="00EC77C1"/>
    <w:rsid w:val="00ED06D0"/>
    <w:rsid w:val="00ED143B"/>
    <w:rsid w:val="00ED1592"/>
    <w:rsid w:val="00ED18A3"/>
    <w:rsid w:val="00ED475B"/>
    <w:rsid w:val="00ED47BA"/>
    <w:rsid w:val="00ED4C37"/>
    <w:rsid w:val="00ED6713"/>
    <w:rsid w:val="00ED6DF5"/>
    <w:rsid w:val="00ED7500"/>
    <w:rsid w:val="00ED77EF"/>
    <w:rsid w:val="00EE28FC"/>
    <w:rsid w:val="00EE2D93"/>
    <w:rsid w:val="00EE3802"/>
    <w:rsid w:val="00EE3CB6"/>
    <w:rsid w:val="00EE3ED3"/>
    <w:rsid w:val="00EE5D10"/>
    <w:rsid w:val="00EE5D6F"/>
    <w:rsid w:val="00EE5FE5"/>
    <w:rsid w:val="00EE69E5"/>
    <w:rsid w:val="00EE75DE"/>
    <w:rsid w:val="00EE7ECB"/>
    <w:rsid w:val="00EF0B78"/>
    <w:rsid w:val="00EF0E0C"/>
    <w:rsid w:val="00EF158D"/>
    <w:rsid w:val="00EF2206"/>
    <w:rsid w:val="00EF22CA"/>
    <w:rsid w:val="00EF2DED"/>
    <w:rsid w:val="00EF2F90"/>
    <w:rsid w:val="00EF33EA"/>
    <w:rsid w:val="00EF3561"/>
    <w:rsid w:val="00EF36DD"/>
    <w:rsid w:val="00EF3802"/>
    <w:rsid w:val="00EF39B6"/>
    <w:rsid w:val="00EF40D2"/>
    <w:rsid w:val="00EF51E8"/>
    <w:rsid w:val="00EF760E"/>
    <w:rsid w:val="00F00ABC"/>
    <w:rsid w:val="00F00CA2"/>
    <w:rsid w:val="00F01F90"/>
    <w:rsid w:val="00F02942"/>
    <w:rsid w:val="00F02BEA"/>
    <w:rsid w:val="00F02D15"/>
    <w:rsid w:val="00F033D0"/>
    <w:rsid w:val="00F0469B"/>
    <w:rsid w:val="00F04BC6"/>
    <w:rsid w:val="00F04D25"/>
    <w:rsid w:val="00F0518B"/>
    <w:rsid w:val="00F05650"/>
    <w:rsid w:val="00F05AD0"/>
    <w:rsid w:val="00F065CB"/>
    <w:rsid w:val="00F067D8"/>
    <w:rsid w:val="00F06D10"/>
    <w:rsid w:val="00F07584"/>
    <w:rsid w:val="00F100F5"/>
    <w:rsid w:val="00F11584"/>
    <w:rsid w:val="00F143A3"/>
    <w:rsid w:val="00F14CC2"/>
    <w:rsid w:val="00F1548A"/>
    <w:rsid w:val="00F1556C"/>
    <w:rsid w:val="00F15D0A"/>
    <w:rsid w:val="00F172D3"/>
    <w:rsid w:val="00F201B4"/>
    <w:rsid w:val="00F203C1"/>
    <w:rsid w:val="00F20929"/>
    <w:rsid w:val="00F22AF0"/>
    <w:rsid w:val="00F2420D"/>
    <w:rsid w:val="00F24EC1"/>
    <w:rsid w:val="00F27360"/>
    <w:rsid w:val="00F2789F"/>
    <w:rsid w:val="00F279A7"/>
    <w:rsid w:val="00F30E59"/>
    <w:rsid w:val="00F35350"/>
    <w:rsid w:val="00F35F2B"/>
    <w:rsid w:val="00F35FB2"/>
    <w:rsid w:val="00F36109"/>
    <w:rsid w:val="00F36A76"/>
    <w:rsid w:val="00F37347"/>
    <w:rsid w:val="00F37AB6"/>
    <w:rsid w:val="00F412F0"/>
    <w:rsid w:val="00F43AF5"/>
    <w:rsid w:val="00F43B7E"/>
    <w:rsid w:val="00F43F29"/>
    <w:rsid w:val="00F43F67"/>
    <w:rsid w:val="00F44588"/>
    <w:rsid w:val="00F44747"/>
    <w:rsid w:val="00F459ED"/>
    <w:rsid w:val="00F46CF4"/>
    <w:rsid w:val="00F47E45"/>
    <w:rsid w:val="00F508EF"/>
    <w:rsid w:val="00F50FFA"/>
    <w:rsid w:val="00F5102E"/>
    <w:rsid w:val="00F518BB"/>
    <w:rsid w:val="00F51FF9"/>
    <w:rsid w:val="00F52743"/>
    <w:rsid w:val="00F52857"/>
    <w:rsid w:val="00F54D1B"/>
    <w:rsid w:val="00F56156"/>
    <w:rsid w:val="00F56903"/>
    <w:rsid w:val="00F577A0"/>
    <w:rsid w:val="00F57D50"/>
    <w:rsid w:val="00F60144"/>
    <w:rsid w:val="00F6099A"/>
    <w:rsid w:val="00F60AF5"/>
    <w:rsid w:val="00F60B44"/>
    <w:rsid w:val="00F60D8F"/>
    <w:rsid w:val="00F60F9B"/>
    <w:rsid w:val="00F615FB"/>
    <w:rsid w:val="00F61FE8"/>
    <w:rsid w:val="00F624A1"/>
    <w:rsid w:val="00F651FD"/>
    <w:rsid w:val="00F66EE2"/>
    <w:rsid w:val="00F67656"/>
    <w:rsid w:val="00F67E37"/>
    <w:rsid w:val="00F71BC2"/>
    <w:rsid w:val="00F71FE4"/>
    <w:rsid w:val="00F71FE9"/>
    <w:rsid w:val="00F720BD"/>
    <w:rsid w:val="00F73A1E"/>
    <w:rsid w:val="00F74782"/>
    <w:rsid w:val="00F74AD7"/>
    <w:rsid w:val="00F753B6"/>
    <w:rsid w:val="00F75452"/>
    <w:rsid w:val="00F761ED"/>
    <w:rsid w:val="00F764F2"/>
    <w:rsid w:val="00F76C7E"/>
    <w:rsid w:val="00F77087"/>
    <w:rsid w:val="00F77ED4"/>
    <w:rsid w:val="00F80804"/>
    <w:rsid w:val="00F80CB4"/>
    <w:rsid w:val="00F8121A"/>
    <w:rsid w:val="00F81556"/>
    <w:rsid w:val="00F82F58"/>
    <w:rsid w:val="00F83447"/>
    <w:rsid w:val="00F84968"/>
    <w:rsid w:val="00F85941"/>
    <w:rsid w:val="00F85D9E"/>
    <w:rsid w:val="00F87025"/>
    <w:rsid w:val="00F8726E"/>
    <w:rsid w:val="00F87DCD"/>
    <w:rsid w:val="00F914FA"/>
    <w:rsid w:val="00F91FE4"/>
    <w:rsid w:val="00F92133"/>
    <w:rsid w:val="00F92CAC"/>
    <w:rsid w:val="00F9318C"/>
    <w:rsid w:val="00F935AA"/>
    <w:rsid w:val="00F937CF"/>
    <w:rsid w:val="00F95716"/>
    <w:rsid w:val="00F9682E"/>
    <w:rsid w:val="00F96A59"/>
    <w:rsid w:val="00F97823"/>
    <w:rsid w:val="00FA02C5"/>
    <w:rsid w:val="00FA13A5"/>
    <w:rsid w:val="00FA200B"/>
    <w:rsid w:val="00FA223C"/>
    <w:rsid w:val="00FA3DC8"/>
    <w:rsid w:val="00FA3DDF"/>
    <w:rsid w:val="00FA5F0C"/>
    <w:rsid w:val="00FA62CF"/>
    <w:rsid w:val="00FA6CF3"/>
    <w:rsid w:val="00FA71AD"/>
    <w:rsid w:val="00FA7D52"/>
    <w:rsid w:val="00FB0E1A"/>
    <w:rsid w:val="00FB0E4B"/>
    <w:rsid w:val="00FB0F25"/>
    <w:rsid w:val="00FB1C25"/>
    <w:rsid w:val="00FB3618"/>
    <w:rsid w:val="00FB56F8"/>
    <w:rsid w:val="00FB6608"/>
    <w:rsid w:val="00FB674B"/>
    <w:rsid w:val="00FB6EBF"/>
    <w:rsid w:val="00FC0A43"/>
    <w:rsid w:val="00FC2251"/>
    <w:rsid w:val="00FC2BA8"/>
    <w:rsid w:val="00FC355E"/>
    <w:rsid w:val="00FC6DC0"/>
    <w:rsid w:val="00FC798D"/>
    <w:rsid w:val="00FC7EF2"/>
    <w:rsid w:val="00FD012C"/>
    <w:rsid w:val="00FD0636"/>
    <w:rsid w:val="00FD0DAD"/>
    <w:rsid w:val="00FD1888"/>
    <w:rsid w:val="00FD40B4"/>
    <w:rsid w:val="00FD4CF0"/>
    <w:rsid w:val="00FD4F16"/>
    <w:rsid w:val="00FD60BA"/>
    <w:rsid w:val="00FD655A"/>
    <w:rsid w:val="00FD6A35"/>
    <w:rsid w:val="00FD794B"/>
    <w:rsid w:val="00FD7BDD"/>
    <w:rsid w:val="00FE12DC"/>
    <w:rsid w:val="00FE144F"/>
    <w:rsid w:val="00FE1606"/>
    <w:rsid w:val="00FE1A96"/>
    <w:rsid w:val="00FE28E8"/>
    <w:rsid w:val="00FE2A45"/>
    <w:rsid w:val="00FE3640"/>
    <w:rsid w:val="00FE385A"/>
    <w:rsid w:val="00FE40FB"/>
    <w:rsid w:val="00FE4592"/>
    <w:rsid w:val="00FE482A"/>
    <w:rsid w:val="00FE50B3"/>
    <w:rsid w:val="00FE526E"/>
    <w:rsid w:val="00FE5F2E"/>
    <w:rsid w:val="00FE76DD"/>
    <w:rsid w:val="00FF056B"/>
    <w:rsid w:val="00FF1A27"/>
    <w:rsid w:val="00FF281A"/>
    <w:rsid w:val="00FF3428"/>
    <w:rsid w:val="00FF3900"/>
    <w:rsid w:val="00FF41DE"/>
    <w:rsid w:val="00FF430F"/>
    <w:rsid w:val="00FF5194"/>
    <w:rsid w:val="00FF6683"/>
    <w:rsid w:val="00FF73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colormenu v:ext="edit"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line number"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4CF"/>
    <w:pPr>
      <w:autoSpaceDE w:val="0"/>
      <w:autoSpaceDN w:val="0"/>
    </w:pPr>
    <w:rPr>
      <w:sz w:val="24"/>
      <w:szCs w:val="24"/>
    </w:rPr>
  </w:style>
  <w:style w:type="paragraph" w:styleId="Heading1">
    <w:name w:val="heading 1"/>
    <w:basedOn w:val="Normal"/>
    <w:next w:val="Normal"/>
    <w:qFormat/>
    <w:rsid w:val="001124C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1124C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1124C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1124CF"/>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1124CF"/>
    <w:pPr>
      <w:keepNext/>
      <w:spacing w:line="480" w:lineRule="auto"/>
      <w:jc w:val="center"/>
      <w:outlineLvl w:val="4"/>
    </w:pPr>
    <w:rPr>
      <w:b/>
      <w:bCs/>
    </w:rPr>
  </w:style>
  <w:style w:type="paragraph" w:styleId="Heading6">
    <w:name w:val="heading 6"/>
    <w:basedOn w:val="Normal"/>
    <w:next w:val="Normal"/>
    <w:qFormat/>
    <w:rsid w:val="001124C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1124CF"/>
    <w:pPr>
      <w:keepNext/>
      <w:tabs>
        <w:tab w:val="left" w:pos="1260"/>
      </w:tabs>
      <w:jc w:val="right"/>
      <w:outlineLvl w:val="6"/>
    </w:pPr>
    <w:rPr>
      <w:sz w:val="20"/>
      <w:szCs w:val="20"/>
    </w:rPr>
  </w:style>
  <w:style w:type="paragraph" w:styleId="Heading8">
    <w:name w:val="heading 8"/>
    <w:basedOn w:val="Normal"/>
    <w:next w:val="Normal"/>
    <w:qFormat/>
    <w:rsid w:val="001124C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1124C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24CF"/>
    <w:pPr>
      <w:tabs>
        <w:tab w:val="center" w:pos="4320"/>
        <w:tab w:val="right" w:pos="8640"/>
      </w:tabs>
    </w:pPr>
  </w:style>
  <w:style w:type="paragraph" w:styleId="Footer">
    <w:name w:val="footer"/>
    <w:basedOn w:val="Normal"/>
    <w:rsid w:val="001124CF"/>
    <w:pPr>
      <w:tabs>
        <w:tab w:val="center" w:pos="4320"/>
        <w:tab w:val="right" w:pos="8640"/>
      </w:tabs>
    </w:pPr>
  </w:style>
  <w:style w:type="character" w:styleId="PageNumber">
    <w:name w:val="page number"/>
    <w:basedOn w:val="DefaultParagraphFont"/>
    <w:rsid w:val="001124CF"/>
    <w:rPr>
      <w:rFonts w:ascii="Times New Roman" w:hAnsi="Times New Roman" w:cs="Times New Roman"/>
      <w:sz w:val="24"/>
      <w:szCs w:val="24"/>
    </w:rPr>
  </w:style>
  <w:style w:type="character" w:styleId="LineNumber">
    <w:name w:val="line number"/>
    <w:basedOn w:val="DefaultParagraphFont"/>
    <w:uiPriority w:val="99"/>
    <w:rsid w:val="001124CF"/>
    <w:rPr>
      <w:rFonts w:ascii="Times New Roman" w:hAnsi="Times New Roman" w:cs="Times New Roman"/>
      <w:sz w:val="24"/>
      <w:szCs w:val="24"/>
    </w:rPr>
  </w:style>
  <w:style w:type="paragraph" w:styleId="BodyTextIndent">
    <w:name w:val="Body Text Indent"/>
    <w:basedOn w:val="Normal"/>
    <w:link w:val="BodyTextIndentChar"/>
    <w:rsid w:val="001124CF"/>
    <w:pPr>
      <w:suppressAutoHyphens/>
      <w:spacing w:line="480" w:lineRule="auto"/>
    </w:pPr>
    <w:rPr>
      <w:rFonts w:ascii="Palatino Linotype" w:hAnsi="Palatino Linotype" w:cs="Palatino Linotype"/>
      <w:b/>
      <w:bCs/>
    </w:rPr>
  </w:style>
  <w:style w:type="paragraph" w:styleId="BodyTextIndent2">
    <w:name w:val="Body Text Indent 2"/>
    <w:basedOn w:val="Normal"/>
    <w:rsid w:val="001124CF"/>
    <w:pPr>
      <w:tabs>
        <w:tab w:val="left" w:pos="1260"/>
      </w:tabs>
      <w:spacing w:line="480" w:lineRule="auto"/>
      <w:ind w:left="540" w:hanging="540"/>
      <w:jc w:val="both"/>
    </w:pPr>
  </w:style>
  <w:style w:type="paragraph" w:styleId="BodyTextIndent3">
    <w:name w:val="Body Text Indent 3"/>
    <w:basedOn w:val="Normal"/>
    <w:rsid w:val="001124CF"/>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1124CF"/>
    <w:rPr>
      <w:sz w:val="20"/>
      <w:szCs w:val="20"/>
    </w:rPr>
  </w:style>
  <w:style w:type="character" w:styleId="FootnoteReference">
    <w:name w:val="footnote reference"/>
    <w:basedOn w:val="DefaultParagraphFont"/>
    <w:uiPriority w:val="99"/>
    <w:rsid w:val="001124CF"/>
    <w:rPr>
      <w:rFonts w:cs="Times New Roman"/>
      <w:vertAlign w:val="superscript"/>
    </w:rPr>
  </w:style>
  <w:style w:type="paragraph" w:styleId="BodyText">
    <w:name w:val="Body Text"/>
    <w:basedOn w:val="Normal"/>
    <w:link w:val="BodyTextChar"/>
    <w:rsid w:val="001124CF"/>
    <w:pPr>
      <w:spacing w:line="360" w:lineRule="auto"/>
      <w:jc w:val="center"/>
    </w:pPr>
    <w:rPr>
      <w:b/>
      <w:bCs/>
    </w:rPr>
  </w:style>
  <w:style w:type="paragraph" w:styleId="DocumentMap">
    <w:name w:val="Document Map"/>
    <w:basedOn w:val="Normal"/>
    <w:semiHidden/>
    <w:rsid w:val="001124CF"/>
    <w:pPr>
      <w:shd w:val="clear" w:color="auto" w:fill="000080"/>
    </w:pPr>
    <w:rPr>
      <w:rFonts w:ascii="Tahoma" w:hAnsi="Tahoma" w:cs="Tahoma"/>
    </w:rPr>
  </w:style>
  <w:style w:type="paragraph" w:customStyle="1" w:styleId="TestBody">
    <w:name w:val="Test Body"/>
    <w:rsid w:val="001124C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1124CF"/>
    <w:pPr>
      <w:numPr>
        <w:numId w:val="1"/>
      </w:numPr>
    </w:pPr>
  </w:style>
  <w:style w:type="paragraph" w:styleId="BodyText3">
    <w:name w:val="Body Text 3"/>
    <w:basedOn w:val="Normal"/>
    <w:rsid w:val="001124CF"/>
    <w:pPr>
      <w:autoSpaceDE/>
      <w:autoSpaceDN/>
    </w:pPr>
  </w:style>
  <w:style w:type="character" w:styleId="Emphasis">
    <w:name w:val="Emphasis"/>
    <w:basedOn w:val="DefaultParagraphFont"/>
    <w:qFormat/>
    <w:rsid w:val="00AE07EF"/>
    <w:rPr>
      <w:rFonts w:cs="Times New Roman"/>
      <w:i/>
      <w:iCs/>
    </w:rPr>
  </w:style>
  <w:style w:type="paragraph" w:styleId="BalloonText">
    <w:name w:val="Balloon Text"/>
    <w:basedOn w:val="Normal"/>
    <w:semiHidden/>
    <w:rsid w:val="00C17BF4"/>
    <w:rPr>
      <w:rFonts w:ascii="Tahoma" w:hAnsi="Tahoma" w:cs="Tahoma"/>
      <w:sz w:val="16"/>
      <w:szCs w:val="16"/>
    </w:rPr>
  </w:style>
  <w:style w:type="paragraph" w:customStyle="1" w:styleId="TestimonyText">
    <w:name w:val="Testimony Text"/>
    <w:basedOn w:val="Normal"/>
    <w:next w:val="Normal"/>
    <w:rsid w:val="0003290F"/>
    <w:pPr>
      <w:tabs>
        <w:tab w:val="left" w:pos="720"/>
        <w:tab w:val="left" w:pos="1440"/>
        <w:tab w:val="left" w:pos="2160"/>
      </w:tabs>
      <w:autoSpaceDE/>
      <w:autoSpaceDN/>
      <w:spacing w:after="120" w:line="360" w:lineRule="auto"/>
      <w:ind w:left="720" w:hanging="720"/>
    </w:pPr>
    <w:rPr>
      <w:rFonts w:ascii="Palatino Linotype" w:hAnsi="Palatino Linotype"/>
      <w:kern w:val="16"/>
      <w:szCs w:val="20"/>
    </w:rPr>
  </w:style>
  <w:style w:type="character" w:styleId="Hyperlink">
    <w:name w:val="Hyperlink"/>
    <w:basedOn w:val="DefaultParagraphFont"/>
    <w:rsid w:val="00D25087"/>
    <w:rPr>
      <w:rFonts w:cs="Times New Roman"/>
      <w:color w:val="0000FF"/>
      <w:u w:val="single"/>
    </w:rPr>
  </w:style>
  <w:style w:type="paragraph" w:styleId="TOC8">
    <w:name w:val="toc 8"/>
    <w:basedOn w:val="Normal"/>
    <w:next w:val="Normal"/>
    <w:autoRedefine/>
    <w:semiHidden/>
    <w:rsid w:val="00DC4891"/>
    <w:pPr>
      <w:widowControl w:val="0"/>
      <w:tabs>
        <w:tab w:val="right" w:pos="9360"/>
      </w:tabs>
      <w:suppressAutoHyphens/>
      <w:autoSpaceDE/>
      <w:autoSpaceDN/>
      <w:ind w:left="720" w:hanging="720"/>
    </w:pPr>
    <w:rPr>
      <w:szCs w:val="20"/>
    </w:rPr>
  </w:style>
  <w:style w:type="paragraph" w:styleId="BodyText2">
    <w:name w:val="Body Text 2"/>
    <w:basedOn w:val="Normal"/>
    <w:rsid w:val="007B7648"/>
    <w:pPr>
      <w:spacing w:after="120" w:line="480" w:lineRule="auto"/>
    </w:pPr>
  </w:style>
  <w:style w:type="character" w:styleId="Strong">
    <w:name w:val="Strong"/>
    <w:basedOn w:val="DefaultParagraphFont"/>
    <w:uiPriority w:val="22"/>
    <w:qFormat/>
    <w:rsid w:val="00C13843"/>
    <w:rPr>
      <w:b/>
      <w:bCs/>
    </w:rPr>
  </w:style>
  <w:style w:type="character" w:customStyle="1" w:styleId="FootnoteTextChar">
    <w:name w:val="Footnote Text Char"/>
    <w:basedOn w:val="DefaultParagraphFont"/>
    <w:link w:val="FootnoteText"/>
    <w:uiPriority w:val="99"/>
    <w:rsid w:val="005F1D31"/>
  </w:style>
  <w:style w:type="paragraph" w:styleId="ListParagraph">
    <w:name w:val="List Paragraph"/>
    <w:basedOn w:val="Normal"/>
    <w:uiPriority w:val="34"/>
    <w:qFormat/>
    <w:rsid w:val="00967309"/>
    <w:pPr>
      <w:ind w:left="720"/>
      <w:contextualSpacing/>
    </w:pPr>
  </w:style>
  <w:style w:type="paragraph" w:styleId="NormalWeb">
    <w:name w:val="Normal (Web)"/>
    <w:basedOn w:val="Normal"/>
    <w:uiPriority w:val="99"/>
    <w:unhideWhenUsed/>
    <w:rsid w:val="00613880"/>
    <w:pPr>
      <w:autoSpaceDE/>
      <w:autoSpaceDN/>
      <w:spacing w:before="100" w:beforeAutospacing="1" w:after="100" w:afterAutospacing="1"/>
    </w:pPr>
  </w:style>
  <w:style w:type="character" w:customStyle="1" w:styleId="BodyTextChar">
    <w:name w:val="Body Text Char"/>
    <w:basedOn w:val="DefaultParagraphFont"/>
    <w:link w:val="BodyText"/>
    <w:rsid w:val="001863C9"/>
    <w:rPr>
      <w:b/>
      <w:bCs/>
      <w:sz w:val="24"/>
      <w:szCs w:val="24"/>
    </w:rPr>
  </w:style>
  <w:style w:type="character" w:customStyle="1" w:styleId="BodyTextIndentChar">
    <w:name w:val="Body Text Indent Char"/>
    <w:basedOn w:val="DefaultParagraphFont"/>
    <w:link w:val="BodyTextIndent"/>
    <w:rsid w:val="00F02D15"/>
    <w:rPr>
      <w:rFonts w:ascii="Palatino Linotype" w:hAnsi="Palatino Linotype" w:cs="Palatino Linotype"/>
      <w:b/>
      <w:bCs/>
      <w:sz w:val="24"/>
      <w:szCs w:val="24"/>
    </w:rPr>
  </w:style>
</w:styles>
</file>

<file path=word/webSettings.xml><?xml version="1.0" encoding="utf-8"?>
<w:webSettings xmlns:r="http://schemas.openxmlformats.org/officeDocument/2006/relationships" xmlns:w="http://schemas.openxmlformats.org/wordprocessingml/2006/main">
  <w:divs>
    <w:div w:id="423914602">
      <w:bodyDiv w:val="1"/>
      <w:marLeft w:val="0"/>
      <w:marRight w:val="0"/>
      <w:marTop w:val="0"/>
      <w:marBottom w:val="0"/>
      <w:divBdr>
        <w:top w:val="none" w:sz="0" w:space="0" w:color="auto"/>
        <w:left w:val="none" w:sz="0" w:space="0" w:color="auto"/>
        <w:bottom w:val="none" w:sz="0" w:space="0" w:color="auto"/>
        <w:right w:val="none" w:sz="0" w:space="0" w:color="auto"/>
      </w:divBdr>
    </w:div>
    <w:div w:id="1523279560">
      <w:bodyDiv w:val="1"/>
      <w:marLeft w:val="0"/>
      <w:marRight w:val="0"/>
      <w:marTop w:val="0"/>
      <w:marBottom w:val="0"/>
      <w:divBdr>
        <w:top w:val="none" w:sz="0" w:space="0" w:color="auto"/>
        <w:left w:val="none" w:sz="0" w:space="0" w:color="auto"/>
        <w:bottom w:val="none" w:sz="0" w:space="0" w:color="auto"/>
        <w:right w:val="none" w:sz="0" w:space="0" w:color="auto"/>
      </w:divBdr>
    </w:div>
    <w:div w:id="1588923972">
      <w:bodyDiv w:val="1"/>
      <w:marLeft w:val="0"/>
      <w:marRight w:val="0"/>
      <w:marTop w:val="0"/>
      <w:marBottom w:val="0"/>
      <w:divBdr>
        <w:top w:val="none" w:sz="0" w:space="0" w:color="auto"/>
        <w:left w:val="none" w:sz="0" w:space="0" w:color="auto"/>
        <w:bottom w:val="none" w:sz="0" w:space="0" w:color="auto"/>
        <w:right w:val="none" w:sz="0" w:space="0" w:color="auto"/>
      </w:divBdr>
    </w:div>
    <w:div w:id="1790658360">
      <w:bodyDiv w:val="1"/>
      <w:marLeft w:val="0"/>
      <w:marRight w:val="0"/>
      <w:marTop w:val="0"/>
      <w:marBottom w:val="0"/>
      <w:divBdr>
        <w:top w:val="none" w:sz="0" w:space="0" w:color="auto"/>
        <w:left w:val="none" w:sz="0" w:space="0" w:color="auto"/>
        <w:bottom w:val="none" w:sz="0" w:space="0" w:color="auto"/>
        <w:right w:val="none" w:sz="0" w:space="0" w:color="auto"/>
      </w:divBdr>
      <w:divsChild>
        <w:div w:id="1279988723">
          <w:marLeft w:val="0"/>
          <w:marRight w:val="0"/>
          <w:marTop w:val="0"/>
          <w:marBottom w:val="0"/>
          <w:divBdr>
            <w:top w:val="none" w:sz="0" w:space="0" w:color="auto"/>
            <w:left w:val="none" w:sz="0" w:space="0" w:color="auto"/>
            <w:bottom w:val="none" w:sz="0" w:space="0" w:color="auto"/>
            <w:right w:val="none" w:sz="0" w:space="0" w:color="auto"/>
          </w:divBdr>
          <w:divsChild>
            <w:div w:id="613293237">
              <w:marLeft w:val="0"/>
              <w:marRight w:val="0"/>
              <w:marTop w:val="0"/>
              <w:marBottom w:val="0"/>
              <w:divBdr>
                <w:top w:val="none" w:sz="0" w:space="0" w:color="auto"/>
                <w:left w:val="none" w:sz="0" w:space="0" w:color="auto"/>
                <w:bottom w:val="none" w:sz="0" w:space="0" w:color="auto"/>
                <w:right w:val="none" w:sz="0" w:space="0" w:color="auto"/>
              </w:divBdr>
            </w:div>
            <w:div w:id="665288121">
              <w:marLeft w:val="0"/>
              <w:marRight w:val="0"/>
              <w:marTop w:val="0"/>
              <w:marBottom w:val="0"/>
              <w:divBdr>
                <w:top w:val="none" w:sz="0" w:space="0" w:color="auto"/>
                <w:left w:val="none" w:sz="0" w:space="0" w:color="auto"/>
                <w:bottom w:val="none" w:sz="0" w:space="0" w:color="auto"/>
                <w:right w:val="none" w:sz="0" w:space="0" w:color="auto"/>
              </w:divBdr>
            </w:div>
            <w:div w:id="1780877730">
              <w:marLeft w:val="0"/>
              <w:marRight w:val="0"/>
              <w:marTop w:val="0"/>
              <w:marBottom w:val="0"/>
              <w:divBdr>
                <w:top w:val="none" w:sz="0" w:space="0" w:color="auto"/>
                <w:left w:val="none" w:sz="0" w:space="0" w:color="auto"/>
                <w:bottom w:val="none" w:sz="0" w:space="0" w:color="auto"/>
                <w:right w:val="none" w:sz="0" w:space="0" w:color="auto"/>
              </w:divBdr>
            </w:div>
            <w:div w:id="17860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155D1A13B81845BCDB9E0BC8A67242" ma:contentTypeVersion="175" ma:contentTypeDescription="" ma:contentTypeScope="" ma:versionID="497aa7b913c45b4e49d8e41b8d971fe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F2D52F1-DCA7-4374-A726-7D98F8C51B7E}"/>
</file>

<file path=customXml/itemProps2.xml><?xml version="1.0" encoding="utf-8"?>
<ds:datastoreItem xmlns:ds="http://schemas.openxmlformats.org/officeDocument/2006/customXml" ds:itemID="{84BC779E-6C22-40A6-80BC-7F401375CC0B}"/>
</file>

<file path=customXml/itemProps3.xml><?xml version="1.0" encoding="utf-8"?>
<ds:datastoreItem xmlns:ds="http://schemas.openxmlformats.org/officeDocument/2006/customXml" ds:itemID="{FE7FC38E-C704-4BB1-B9D6-46A75E3644BE}"/>
</file>

<file path=customXml/itemProps4.xml><?xml version="1.0" encoding="utf-8"?>
<ds:datastoreItem xmlns:ds="http://schemas.openxmlformats.org/officeDocument/2006/customXml" ds:itemID="{FD905DEC-DD37-4548-8DE6-7FA92125A038}"/>
</file>

<file path=customXml/itemProps5.xml><?xml version="1.0" encoding="utf-8"?>
<ds:datastoreItem xmlns:ds="http://schemas.openxmlformats.org/officeDocument/2006/customXml" ds:itemID="{9CBCE763-887C-4297-9BF9-6DF7EDC3C2AF}"/>
</file>

<file path=customXml/itemProps6.xml><?xml version="1.0" encoding="utf-8"?>
<ds:datastoreItem xmlns:ds="http://schemas.openxmlformats.org/officeDocument/2006/customXml" ds:itemID="{D2E30F41-3C86-4D6A-A62C-4494ACEAEDDE}"/>
</file>

<file path=docProps/app.xml><?xml version="1.0" encoding="utf-8"?>
<Properties xmlns="http://schemas.openxmlformats.org/officeDocument/2006/extended-properties" xmlns:vt="http://schemas.openxmlformats.org/officeDocument/2006/docPropsVTypes">
  <Template>Normal.dotm</Template>
  <TotalTime>80</TotalTime>
  <Pages>21</Pages>
  <Words>4562</Words>
  <Characters>24695</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Linda Gervais</cp:lastModifiedBy>
  <cp:revision>7</cp:revision>
  <cp:lastPrinted>2014-01-31T19:11:00Z</cp:lastPrinted>
  <dcterms:created xsi:type="dcterms:W3CDTF">2014-01-31T03:02:00Z</dcterms:created>
  <dcterms:modified xsi:type="dcterms:W3CDTF">2014-01-31T20:51:00Z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0x0101006E56B4D1795A2E4DB2F0B01679ED314A00B4155D1A13B81845BCDB9E0BC8A67242</vt:lpwstr>
  </property>
  <property fmtid="{D5CDD505-2E9C-101B-9397-08002B2CF9AE}" pid="3" name="_docset_NoMedatataSyncRequired">
    <vt:lpwstr>False</vt:lpwstr>
  </property>
</Properties>
</file>