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30E0E" w14:textId="77777777" w:rsidR="00C72203" w:rsidRDefault="00C72203" w:rsidP="00C72203">
      <w:pPr>
        <w:rPr>
          <w:rFonts w:eastAsia="Times New Roman"/>
          <w:szCs w:val="24"/>
        </w:rPr>
      </w:pPr>
      <w:bookmarkStart w:id="0" w:name="_GoBack"/>
      <w:bookmarkEnd w:id="0"/>
      <w:r>
        <w:rPr>
          <w:rFonts w:eastAsia="Times New Roman"/>
          <w:szCs w:val="24"/>
        </w:rPr>
        <w:t xml:space="preserve">November </w:t>
      </w:r>
      <w:r w:rsidR="00822066">
        <w:rPr>
          <w:rFonts w:eastAsia="Times New Roman"/>
          <w:szCs w:val="24"/>
        </w:rPr>
        <w:t>30</w:t>
      </w:r>
      <w:r>
        <w:rPr>
          <w:rFonts w:eastAsia="Times New Roman"/>
          <w:szCs w:val="24"/>
        </w:rPr>
        <w:t>, 2017</w:t>
      </w:r>
    </w:p>
    <w:p w14:paraId="375EE962" w14:textId="77777777" w:rsidR="00C72203" w:rsidRDefault="00C72203" w:rsidP="00C72203">
      <w:pPr>
        <w:rPr>
          <w:rFonts w:eastAsia="Times New Roman"/>
          <w:szCs w:val="24"/>
        </w:rPr>
      </w:pPr>
    </w:p>
    <w:p w14:paraId="4F2C1437" w14:textId="77777777" w:rsidR="00C72203" w:rsidRPr="00334AAF" w:rsidRDefault="00C72203" w:rsidP="00C72203">
      <w:pPr>
        <w:rPr>
          <w:rFonts w:eastAsia="Times New Roman"/>
          <w:szCs w:val="24"/>
        </w:rPr>
      </w:pPr>
      <w:r w:rsidRPr="00334AAF">
        <w:rPr>
          <w:rFonts w:eastAsia="Times New Roman"/>
          <w:szCs w:val="24"/>
        </w:rPr>
        <w:t>Steven V. King,</w:t>
      </w:r>
    </w:p>
    <w:p w14:paraId="691063FC" w14:textId="77777777" w:rsidR="00C72203" w:rsidRDefault="00C72203" w:rsidP="00C72203">
      <w:pPr>
        <w:rPr>
          <w:rFonts w:eastAsia="Times New Roman"/>
          <w:szCs w:val="24"/>
        </w:rPr>
      </w:pPr>
      <w:r w:rsidRPr="00334AAF">
        <w:rPr>
          <w:rFonts w:eastAsia="Times New Roman"/>
          <w:szCs w:val="24"/>
        </w:rPr>
        <w:t>E</w:t>
      </w:r>
      <w:r>
        <w:rPr>
          <w:rFonts w:eastAsia="Times New Roman"/>
          <w:szCs w:val="24"/>
        </w:rPr>
        <w:t>xecutive Director and Secretary</w:t>
      </w:r>
      <w:r w:rsidRPr="00334AAF">
        <w:rPr>
          <w:rFonts w:eastAsia="Times New Roman"/>
          <w:szCs w:val="24"/>
        </w:rPr>
        <w:t xml:space="preserve"> </w:t>
      </w:r>
    </w:p>
    <w:p w14:paraId="34D8AADE" w14:textId="77777777" w:rsidR="00C72203" w:rsidRDefault="00C72203" w:rsidP="00C72203">
      <w:pPr>
        <w:rPr>
          <w:rFonts w:eastAsia="Times New Roman"/>
          <w:szCs w:val="24"/>
        </w:rPr>
      </w:pPr>
      <w:r w:rsidRPr="00334AAF">
        <w:rPr>
          <w:rFonts w:eastAsia="Times New Roman"/>
          <w:szCs w:val="24"/>
        </w:rPr>
        <w:t>Washington Utilitie</w:t>
      </w:r>
      <w:r>
        <w:rPr>
          <w:rFonts w:eastAsia="Times New Roman"/>
          <w:szCs w:val="24"/>
        </w:rPr>
        <w:t>s and Transportation Commission</w:t>
      </w:r>
    </w:p>
    <w:p w14:paraId="771FC4D6" w14:textId="77777777" w:rsidR="00C72203" w:rsidRDefault="00C72203" w:rsidP="00C72203">
      <w:pPr>
        <w:rPr>
          <w:rFonts w:eastAsia="Times New Roman"/>
          <w:szCs w:val="24"/>
        </w:rPr>
      </w:pPr>
      <w:r>
        <w:rPr>
          <w:rFonts w:eastAsia="Times New Roman"/>
          <w:szCs w:val="24"/>
        </w:rPr>
        <w:t>P.O. Box 47250</w:t>
      </w:r>
      <w:r w:rsidRPr="00334AAF">
        <w:rPr>
          <w:rFonts w:eastAsia="Times New Roman"/>
          <w:szCs w:val="24"/>
        </w:rPr>
        <w:t xml:space="preserve"> </w:t>
      </w:r>
    </w:p>
    <w:p w14:paraId="18CF3CCE" w14:textId="77777777" w:rsidR="00C72203" w:rsidRDefault="00C72203" w:rsidP="00C72203">
      <w:pPr>
        <w:rPr>
          <w:rFonts w:eastAsia="Times New Roman"/>
          <w:szCs w:val="24"/>
        </w:rPr>
      </w:pPr>
      <w:r w:rsidRPr="00334AAF">
        <w:rPr>
          <w:rFonts w:eastAsia="Times New Roman"/>
          <w:szCs w:val="24"/>
        </w:rPr>
        <w:t>13</w:t>
      </w:r>
      <w:r>
        <w:rPr>
          <w:rFonts w:eastAsia="Times New Roman"/>
          <w:szCs w:val="24"/>
        </w:rPr>
        <w:t>00 S. Evergreen Park Drive S.W.</w:t>
      </w:r>
      <w:r w:rsidRPr="00334AAF">
        <w:rPr>
          <w:rFonts w:eastAsia="Times New Roman"/>
          <w:szCs w:val="24"/>
        </w:rPr>
        <w:t xml:space="preserve"> </w:t>
      </w:r>
    </w:p>
    <w:p w14:paraId="615C7670" w14:textId="77777777" w:rsidR="00C72203" w:rsidRDefault="00C72203" w:rsidP="00C72203">
      <w:pPr>
        <w:rPr>
          <w:rFonts w:eastAsia="Times New Roman"/>
          <w:szCs w:val="24"/>
        </w:rPr>
      </w:pPr>
      <w:r w:rsidRPr="00334AAF">
        <w:rPr>
          <w:rFonts w:eastAsia="Times New Roman"/>
          <w:szCs w:val="24"/>
        </w:rPr>
        <w:t>Olympia, WA 98504-7250.</w:t>
      </w:r>
    </w:p>
    <w:p w14:paraId="33388B18" w14:textId="77777777" w:rsidR="00C72203" w:rsidRPr="00334AAF" w:rsidRDefault="00C72203" w:rsidP="00C72203">
      <w:pPr>
        <w:rPr>
          <w:rFonts w:eastAsia="Times New Roman"/>
          <w:szCs w:val="24"/>
        </w:rPr>
      </w:pPr>
    </w:p>
    <w:p w14:paraId="1B3CDA7C" w14:textId="77777777" w:rsidR="00C72203" w:rsidRPr="00364ABD" w:rsidRDefault="00C72203" w:rsidP="00C72203">
      <w:pPr>
        <w:ind w:left="720" w:hanging="720"/>
        <w:rPr>
          <w:rFonts w:eastAsia="Times New Roman"/>
          <w:b/>
          <w:szCs w:val="24"/>
        </w:rPr>
      </w:pPr>
      <w:r w:rsidRPr="00364ABD">
        <w:rPr>
          <w:rFonts w:eastAsia="Times New Roman"/>
          <w:b/>
          <w:szCs w:val="24"/>
        </w:rPr>
        <w:t>Re:</w:t>
      </w:r>
      <w:r w:rsidRPr="00364ABD">
        <w:rPr>
          <w:rFonts w:eastAsia="Times New Roman"/>
          <w:b/>
          <w:szCs w:val="24"/>
        </w:rPr>
        <w:tab/>
        <w:t>Avista Corporation, Report identifying its ten-year achievable electric conservation</w:t>
      </w:r>
      <w:r>
        <w:rPr>
          <w:rFonts w:eastAsia="Times New Roman"/>
          <w:b/>
          <w:szCs w:val="24"/>
        </w:rPr>
        <w:t xml:space="preserve"> </w:t>
      </w:r>
      <w:r w:rsidRPr="00364ABD">
        <w:rPr>
          <w:rFonts w:eastAsia="Times New Roman"/>
          <w:b/>
          <w:szCs w:val="24"/>
        </w:rPr>
        <w:t>potential and its electric biennial conservation target, Docket No. UE-171091</w:t>
      </w:r>
    </w:p>
    <w:p w14:paraId="08967475" w14:textId="77777777" w:rsidR="00C72203" w:rsidRDefault="00C72203" w:rsidP="00C72203">
      <w:pPr>
        <w:rPr>
          <w:rFonts w:eastAsia="Times New Roman"/>
          <w:szCs w:val="24"/>
        </w:rPr>
      </w:pPr>
    </w:p>
    <w:p w14:paraId="0EFE62D5" w14:textId="77777777" w:rsidR="00C72203" w:rsidRDefault="00C72203" w:rsidP="00C72203">
      <w:pPr>
        <w:rPr>
          <w:rFonts w:eastAsia="Times New Roman"/>
          <w:szCs w:val="24"/>
        </w:rPr>
      </w:pPr>
      <w:r>
        <w:rPr>
          <w:rFonts w:eastAsia="Times New Roman"/>
          <w:szCs w:val="24"/>
        </w:rPr>
        <w:t>Dear Mr. King,</w:t>
      </w:r>
    </w:p>
    <w:p w14:paraId="50222CF1" w14:textId="77777777" w:rsidR="00C72203" w:rsidRDefault="00C72203" w:rsidP="00C72203">
      <w:pPr>
        <w:rPr>
          <w:rFonts w:eastAsia="Times New Roman"/>
          <w:szCs w:val="24"/>
        </w:rPr>
      </w:pPr>
    </w:p>
    <w:p w14:paraId="4A22EFCB" w14:textId="77777777" w:rsidR="00C72203" w:rsidRDefault="00C72203" w:rsidP="00C72203">
      <w:pPr>
        <w:rPr>
          <w:rFonts w:eastAsia="Times New Roman"/>
          <w:szCs w:val="24"/>
        </w:rPr>
      </w:pPr>
      <w:r>
        <w:rPr>
          <w:rFonts w:eastAsia="Times New Roman"/>
          <w:szCs w:val="24"/>
        </w:rPr>
        <w:t>The Energy Project respectfully submits these comments in response to the Commission’s November 6, 2017, Notice of Opportunity to Comment regarding Avista’s 2018-2019 Biennial Conservation Plan (BCP).   Our comments are focused on the fuel conversion measures within Avista’s low income weatherization program.  We recognize that Commission Staff and other stakeholders have raised concerns with Avista’s residential fuel conversion program.  We do not take a position on the residential fuel conversion program generally, but we do strongly encourage retention of fuel conversion incentives for the low</w:t>
      </w:r>
      <w:r w:rsidR="00B7327D">
        <w:rPr>
          <w:rFonts w:eastAsia="Times New Roman"/>
          <w:szCs w:val="24"/>
        </w:rPr>
        <w:t xml:space="preserve"> </w:t>
      </w:r>
      <w:r>
        <w:rPr>
          <w:rFonts w:eastAsia="Times New Roman"/>
          <w:szCs w:val="24"/>
        </w:rPr>
        <w:t xml:space="preserve">income weatherization program. Low income fuel conversion measures are offered separately from the residential fuel conversion program, and have been found to achieve higher than expected savings. We understand Staff supports retention of low income fuel conversion offerings.  These issues are discussed further below. </w:t>
      </w:r>
    </w:p>
    <w:p w14:paraId="39561B35" w14:textId="77777777" w:rsidR="00C72203" w:rsidRPr="002769DC" w:rsidRDefault="00C72203" w:rsidP="00C72203">
      <w:pPr>
        <w:rPr>
          <w:rFonts w:eastAsia="Times New Roman"/>
          <w:b/>
          <w:szCs w:val="24"/>
          <w:u w:val="single"/>
        </w:rPr>
      </w:pPr>
    </w:p>
    <w:p w14:paraId="375E9FA3" w14:textId="77777777" w:rsidR="00C72203" w:rsidRDefault="00C72203" w:rsidP="00C72203">
      <w:pPr>
        <w:rPr>
          <w:rFonts w:eastAsia="Times New Roman"/>
          <w:szCs w:val="24"/>
        </w:rPr>
      </w:pPr>
      <w:r>
        <w:rPr>
          <w:rFonts w:eastAsia="Times New Roman"/>
          <w:szCs w:val="24"/>
        </w:rPr>
        <w:t>Avista’s low income weatherization program is administered through six Community Action Partnership (CAP) agencies and one tribal organization.</w:t>
      </w:r>
      <w:r>
        <w:rPr>
          <w:rStyle w:val="FootnoteReference"/>
          <w:rFonts w:eastAsia="Times New Roman"/>
        </w:rPr>
        <w:footnoteReference w:id="1"/>
      </w:r>
      <w:r>
        <w:rPr>
          <w:rFonts w:eastAsia="Times New Roman"/>
          <w:szCs w:val="24"/>
        </w:rPr>
        <w:t xml:space="preserve">  In this regard, low income fuel conversion measures are offered separately from Avista’s residential fuel conversion program. Weatherization</w:t>
      </w:r>
      <w:r w:rsidRPr="00770138">
        <w:rPr>
          <w:rFonts w:eastAsia="Times New Roman"/>
          <w:szCs w:val="24"/>
        </w:rPr>
        <w:t xml:space="preserve"> h</w:t>
      </w:r>
      <w:r>
        <w:rPr>
          <w:rFonts w:eastAsia="Times New Roman"/>
          <w:szCs w:val="24"/>
        </w:rPr>
        <w:t>elps low-income customers maintain their electric or natural gas service by lowering energy bills through investments in energy efficiency measures.  I</w:t>
      </w:r>
      <w:r w:rsidRPr="00770138">
        <w:rPr>
          <w:rFonts w:eastAsia="Times New Roman"/>
          <w:szCs w:val="24"/>
        </w:rPr>
        <w:t>n some cas</w:t>
      </w:r>
      <w:r>
        <w:rPr>
          <w:rFonts w:eastAsia="Times New Roman"/>
          <w:szCs w:val="24"/>
        </w:rPr>
        <w:t>es</w:t>
      </w:r>
      <w:r w:rsidR="00B7327D">
        <w:rPr>
          <w:rFonts w:eastAsia="Times New Roman"/>
          <w:szCs w:val="24"/>
        </w:rPr>
        <w:t>,</w:t>
      </w:r>
      <w:r w:rsidRPr="00770138">
        <w:rPr>
          <w:rFonts w:eastAsia="Times New Roman"/>
          <w:szCs w:val="24"/>
        </w:rPr>
        <w:t xml:space="preserve"> the scope of work on a weatherization pro</w:t>
      </w:r>
      <w:r>
        <w:rPr>
          <w:rFonts w:eastAsia="Times New Roman"/>
          <w:szCs w:val="24"/>
        </w:rPr>
        <w:t>ject includes fuel conversion from electric to natural gas space heat or hot water heaters. In those cases, u</w:t>
      </w:r>
      <w:r w:rsidRPr="00770138">
        <w:rPr>
          <w:rFonts w:eastAsia="Times New Roman"/>
          <w:szCs w:val="24"/>
        </w:rPr>
        <w:t>tility affordability (based on today’s</w:t>
      </w:r>
      <w:r>
        <w:rPr>
          <w:rFonts w:eastAsia="Times New Roman"/>
          <w:szCs w:val="24"/>
        </w:rPr>
        <w:t xml:space="preserve"> costs per kWh and therm) is a major</w:t>
      </w:r>
      <w:r w:rsidRPr="00770138">
        <w:rPr>
          <w:rFonts w:eastAsia="Times New Roman"/>
          <w:szCs w:val="24"/>
        </w:rPr>
        <w:t xml:space="preserve"> consideration in </w:t>
      </w:r>
      <w:r>
        <w:rPr>
          <w:rFonts w:eastAsia="Times New Roman"/>
          <w:szCs w:val="24"/>
        </w:rPr>
        <w:t xml:space="preserve">assessing fuel switching for potential </w:t>
      </w:r>
      <w:r w:rsidRPr="00770138">
        <w:rPr>
          <w:rFonts w:eastAsia="Times New Roman"/>
          <w:szCs w:val="24"/>
        </w:rPr>
        <w:t>low</w:t>
      </w:r>
      <w:r w:rsidR="00B7327D">
        <w:rPr>
          <w:rFonts w:eastAsia="Times New Roman"/>
          <w:szCs w:val="24"/>
        </w:rPr>
        <w:t xml:space="preserve"> </w:t>
      </w:r>
      <w:r w:rsidRPr="00770138">
        <w:rPr>
          <w:rFonts w:eastAsia="Times New Roman"/>
          <w:szCs w:val="24"/>
        </w:rPr>
        <w:t>income weatherization project</w:t>
      </w:r>
      <w:r>
        <w:rPr>
          <w:rFonts w:eastAsia="Times New Roman"/>
          <w:szCs w:val="24"/>
        </w:rPr>
        <w:t>s.</w:t>
      </w:r>
    </w:p>
    <w:p w14:paraId="69402D12" w14:textId="77777777" w:rsidR="00C72203" w:rsidRPr="00770138" w:rsidRDefault="00C72203" w:rsidP="00C72203">
      <w:pPr>
        <w:rPr>
          <w:rFonts w:eastAsia="Times New Roman"/>
          <w:szCs w:val="24"/>
        </w:rPr>
      </w:pPr>
    </w:p>
    <w:p w14:paraId="5E0E05BF" w14:textId="77777777" w:rsidR="00C72203" w:rsidRDefault="00C72203" w:rsidP="00C72203">
      <w:pPr>
        <w:rPr>
          <w:rFonts w:eastAsia="Times New Roman"/>
          <w:szCs w:val="24"/>
        </w:rPr>
      </w:pPr>
      <w:r>
        <w:rPr>
          <w:rFonts w:eastAsia="Times New Roman"/>
          <w:szCs w:val="24"/>
        </w:rPr>
        <w:t xml:space="preserve">Low income fuel conversion represents a modest, but not insignificant component of the low income weatherization program, and is also much smaller scale than the residential fuel conversion program.  Avista’s BCP </w:t>
      </w:r>
      <w:r>
        <w:rPr>
          <w:rFonts w:eastAsia="Times New Roman"/>
          <w:szCs w:val="24"/>
        </w:rPr>
        <w:lastRenderedPageBreak/>
        <w:t>for 2018-2019 includes a proposed budget for low income fuel conversions of $296,672, which is 12% of the $2.36M total electric low income weatherization budget and slightly less than one percent of the total electric energy efficiency portfolio budget of $31.5M.</w:t>
      </w:r>
      <w:r>
        <w:rPr>
          <w:rStyle w:val="FootnoteReference"/>
          <w:rFonts w:eastAsia="Times New Roman"/>
        </w:rPr>
        <w:footnoteReference w:id="2"/>
      </w:r>
      <w:r>
        <w:rPr>
          <w:rFonts w:eastAsia="Times New Roman"/>
          <w:szCs w:val="24"/>
        </w:rPr>
        <w:t xml:space="preserve">  Projected savings from low income fuel conversion are 233 MWh, 14% of the total projected savings of 1,696 MWh for the low income weatherization program.  The proposed residential fuel conversion program is much larger, with a budget of $4.9M and projected savings of 25,022 MWh.</w:t>
      </w:r>
      <w:r>
        <w:rPr>
          <w:rStyle w:val="FootnoteReference"/>
          <w:rFonts w:eastAsia="Times New Roman"/>
        </w:rPr>
        <w:footnoteReference w:id="3"/>
      </w:r>
    </w:p>
    <w:p w14:paraId="3360D617" w14:textId="77777777" w:rsidR="00C72203" w:rsidRDefault="00C72203" w:rsidP="00C72203">
      <w:pPr>
        <w:rPr>
          <w:rFonts w:eastAsia="Times New Roman"/>
          <w:szCs w:val="24"/>
        </w:rPr>
      </w:pPr>
    </w:p>
    <w:p w14:paraId="2502094C" w14:textId="77777777" w:rsidR="00C72203" w:rsidRDefault="00C72203" w:rsidP="00C72203">
      <w:pPr>
        <w:rPr>
          <w:rFonts w:eastAsia="Times New Roman"/>
          <w:szCs w:val="24"/>
        </w:rPr>
      </w:pPr>
      <w:r>
        <w:rPr>
          <w:rFonts w:eastAsia="Times New Roman"/>
          <w:szCs w:val="24"/>
        </w:rPr>
        <w:t>Fuel conversion measures in the low income weatherization program have been found to achieve higher than expected energy savings.  The electric impact evaluation for the 2014-2015 biennium determined that low income fuel conversion customers experienced savings of almost 10,000 kwh annually.  Specifically, Avista projected savings of 3,909 kwh per home, but the impact evaluation found average annual savings of 9,876 kwh per home, a verification rate of 253%.</w:t>
      </w:r>
      <w:r>
        <w:rPr>
          <w:rStyle w:val="FootnoteReference"/>
          <w:rFonts w:eastAsia="Times New Roman"/>
        </w:rPr>
        <w:footnoteReference w:id="4"/>
      </w:r>
      <w:r>
        <w:rPr>
          <w:rFonts w:eastAsia="Times New Roman"/>
          <w:szCs w:val="24"/>
        </w:rPr>
        <w:t xml:space="preserve">  </w:t>
      </w:r>
    </w:p>
    <w:p w14:paraId="4FF68171" w14:textId="77777777" w:rsidR="00C72203" w:rsidRDefault="00C72203" w:rsidP="00C72203">
      <w:pPr>
        <w:rPr>
          <w:rFonts w:eastAsia="Times New Roman"/>
          <w:szCs w:val="24"/>
        </w:rPr>
      </w:pPr>
    </w:p>
    <w:p w14:paraId="3ED0BC25" w14:textId="77777777" w:rsidR="00C72203" w:rsidRPr="00770138" w:rsidRDefault="00C72203" w:rsidP="00C72203">
      <w:pPr>
        <w:rPr>
          <w:rFonts w:eastAsia="Times New Roman"/>
          <w:szCs w:val="24"/>
        </w:rPr>
      </w:pPr>
      <w:r>
        <w:rPr>
          <w:rFonts w:eastAsia="Times New Roman"/>
          <w:szCs w:val="24"/>
        </w:rPr>
        <w:t xml:space="preserve">In the event the Commission considers discontinuation of Avista’s residential fuel conversion program, the Energy Project respectfully requests that fuel conversion measures be retained for the low income weatherization program.  These measures represent another option to help reduce the energy burden for low income households and should be preserved. In our conversations with Commission Staff, we understand that there is support for the retention of fuel conversion measures within the low income weatherization program. To the extent necessary, modifications to Avista’s electric tariff Schedule 90 could be made to clarify that fuel conversion measures for the low income weatherization program are to be retained. A conversation pertaining to this specific topic is underway as part of Avista’s submitted Biannual Conservation Plan. </w:t>
      </w:r>
      <w:r>
        <w:rPr>
          <w:rFonts w:eastAsia="Times New Roman"/>
          <w:szCs w:val="24"/>
        </w:rPr>
        <w:br/>
      </w:r>
    </w:p>
    <w:p w14:paraId="68CEA717" w14:textId="77777777" w:rsidR="00C72203" w:rsidRDefault="00C72203" w:rsidP="00C72203">
      <w:pPr>
        <w:rPr>
          <w:rFonts w:eastAsia="Times New Roman"/>
          <w:szCs w:val="24"/>
        </w:rPr>
      </w:pPr>
      <w:r>
        <w:rPr>
          <w:rFonts w:eastAsia="Times New Roman"/>
          <w:szCs w:val="24"/>
        </w:rPr>
        <w:t>I plan to attend the Commission’s December 20</w:t>
      </w:r>
      <w:r w:rsidRPr="00B55063">
        <w:rPr>
          <w:rFonts w:eastAsia="Times New Roman"/>
          <w:szCs w:val="24"/>
          <w:vertAlign w:val="superscript"/>
        </w:rPr>
        <w:t>th</w:t>
      </w:r>
      <w:r>
        <w:rPr>
          <w:rFonts w:eastAsia="Times New Roman"/>
          <w:szCs w:val="24"/>
        </w:rPr>
        <w:t xml:space="preserve"> Open Meeting and will be available for any questions regarding these comments.</w:t>
      </w:r>
    </w:p>
    <w:p w14:paraId="5AECFA6A" w14:textId="77777777" w:rsidR="00C72203" w:rsidRDefault="00C72203" w:rsidP="00C72203">
      <w:pPr>
        <w:rPr>
          <w:rFonts w:eastAsia="Times New Roman"/>
          <w:szCs w:val="24"/>
        </w:rPr>
      </w:pPr>
    </w:p>
    <w:p w14:paraId="504FA546" w14:textId="77777777" w:rsidR="00C72203" w:rsidRDefault="00C72203" w:rsidP="00C72203">
      <w:pPr>
        <w:rPr>
          <w:rFonts w:eastAsia="Times New Roman"/>
          <w:szCs w:val="24"/>
        </w:rPr>
      </w:pPr>
      <w:r>
        <w:rPr>
          <w:rFonts w:eastAsia="Times New Roman"/>
          <w:szCs w:val="24"/>
        </w:rPr>
        <w:t>Sincerely,</w:t>
      </w:r>
    </w:p>
    <w:p w14:paraId="1A84566F" w14:textId="77777777" w:rsidR="00C72203" w:rsidRDefault="00C72203" w:rsidP="00C72203">
      <w:pPr>
        <w:rPr>
          <w:rFonts w:eastAsia="Times New Roman"/>
          <w:szCs w:val="24"/>
        </w:rPr>
      </w:pPr>
    </w:p>
    <w:p w14:paraId="61F4984B" w14:textId="77777777" w:rsidR="00B7327D" w:rsidRDefault="00B7327D" w:rsidP="00C72203">
      <w:pPr>
        <w:rPr>
          <w:rFonts w:eastAsia="Times New Roman"/>
          <w:szCs w:val="24"/>
        </w:rPr>
      </w:pPr>
      <w:r>
        <w:rPr>
          <w:rFonts w:eastAsia="Times New Roman"/>
          <w:szCs w:val="24"/>
        </w:rPr>
        <w:t>/</w:t>
      </w:r>
      <w:r w:rsidR="002D34AD">
        <w:rPr>
          <w:rFonts w:eastAsia="Times New Roman"/>
          <w:szCs w:val="24"/>
        </w:rPr>
        <w:t>s</w:t>
      </w:r>
      <w:r>
        <w:rPr>
          <w:rFonts w:eastAsia="Times New Roman"/>
          <w:szCs w:val="24"/>
        </w:rPr>
        <w:t>/</w:t>
      </w:r>
      <w:r w:rsidR="00822066">
        <w:rPr>
          <w:rFonts w:eastAsia="Times New Roman"/>
          <w:szCs w:val="24"/>
        </w:rPr>
        <w:t xml:space="preserve"> </w:t>
      </w:r>
      <w:r w:rsidR="002D34AD">
        <w:rPr>
          <w:rFonts w:eastAsia="Times New Roman"/>
          <w:szCs w:val="24"/>
        </w:rPr>
        <w:t xml:space="preserve"> Shawn Collins</w:t>
      </w:r>
    </w:p>
    <w:p w14:paraId="7F836962" w14:textId="77777777" w:rsidR="00C72203" w:rsidRDefault="00C72203" w:rsidP="00C72203">
      <w:pPr>
        <w:rPr>
          <w:rFonts w:eastAsia="Times New Roman"/>
          <w:szCs w:val="24"/>
        </w:rPr>
      </w:pPr>
    </w:p>
    <w:p w14:paraId="6F6EC345" w14:textId="77777777" w:rsidR="00C72203" w:rsidRDefault="00C72203" w:rsidP="00C72203">
      <w:pPr>
        <w:rPr>
          <w:rFonts w:eastAsia="Times New Roman"/>
          <w:szCs w:val="24"/>
        </w:rPr>
      </w:pPr>
      <w:r>
        <w:rPr>
          <w:rFonts w:eastAsia="Times New Roman"/>
          <w:szCs w:val="24"/>
        </w:rPr>
        <w:t>Shawn Collins</w:t>
      </w:r>
      <w:r w:rsidRPr="00C72203">
        <w:rPr>
          <w:rFonts w:eastAsia="Times New Roman"/>
          <w:szCs w:val="24"/>
        </w:rPr>
        <w:t xml:space="preserve"> </w:t>
      </w:r>
    </w:p>
    <w:p w14:paraId="074612D9" w14:textId="77777777" w:rsidR="00C72203" w:rsidRDefault="00C72203" w:rsidP="00C72203">
      <w:pPr>
        <w:rPr>
          <w:rFonts w:eastAsia="Times New Roman"/>
          <w:szCs w:val="24"/>
        </w:rPr>
      </w:pPr>
      <w:r>
        <w:rPr>
          <w:rFonts w:eastAsia="Times New Roman"/>
          <w:szCs w:val="24"/>
        </w:rPr>
        <w:t>Director</w:t>
      </w:r>
    </w:p>
    <w:p w14:paraId="264DCE26" w14:textId="77777777" w:rsidR="00C72203" w:rsidRDefault="00C72203" w:rsidP="00C72203">
      <w:pPr>
        <w:rPr>
          <w:rFonts w:eastAsia="Times New Roman"/>
          <w:szCs w:val="24"/>
        </w:rPr>
      </w:pPr>
      <w:r>
        <w:rPr>
          <w:rFonts w:eastAsia="Times New Roman"/>
          <w:szCs w:val="24"/>
        </w:rPr>
        <w:t>The Energy Project</w:t>
      </w:r>
    </w:p>
    <w:p w14:paraId="11EA4DF1" w14:textId="77777777" w:rsidR="007D0341" w:rsidRPr="00E758E7" w:rsidRDefault="007D0341">
      <w:pPr>
        <w:rPr>
          <w:rFonts w:asciiTheme="minorHAnsi" w:hAnsiTheme="minorHAnsi"/>
          <w:szCs w:val="24"/>
        </w:rPr>
      </w:pPr>
    </w:p>
    <w:sectPr w:rsidR="007D0341" w:rsidRPr="00E758E7" w:rsidSect="0098683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800" w:bottom="1440" w:left="32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D71A2" w14:textId="77777777" w:rsidR="00C835F3" w:rsidRDefault="00C835F3" w:rsidP="007D0341">
      <w:r>
        <w:separator/>
      </w:r>
    </w:p>
  </w:endnote>
  <w:endnote w:type="continuationSeparator" w:id="0">
    <w:p w14:paraId="5CBD5759" w14:textId="77777777" w:rsidR="00C835F3" w:rsidRDefault="00C835F3" w:rsidP="007D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438BD" w14:textId="77777777" w:rsidR="007E5772" w:rsidRDefault="007E57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8101B" w14:textId="77777777" w:rsidR="007E5772" w:rsidRDefault="007E57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92BB6" w14:textId="77777777" w:rsidR="00E758E7" w:rsidRDefault="00201C0C">
    <w:pPr>
      <w:pStyle w:val="Footer"/>
    </w:pPr>
    <w:r>
      <w:rPr>
        <w:noProof/>
      </w:rPr>
      <mc:AlternateContent>
        <mc:Choice Requires="wps">
          <w:drawing>
            <wp:anchor distT="0" distB="0" distL="114300" distR="114300" simplePos="0" relativeHeight="251657728" behindDoc="0" locked="0" layoutInCell="1" allowOverlap="1" wp14:anchorId="11135747" wp14:editId="2E0800F5">
              <wp:simplePos x="0" y="0"/>
              <wp:positionH relativeFrom="column">
                <wp:posOffset>-2005330</wp:posOffset>
              </wp:positionH>
              <wp:positionV relativeFrom="paragraph">
                <wp:posOffset>-2904490</wp:posOffset>
              </wp:positionV>
              <wp:extent cx="1694815" cy="3215640"/>
              <wp:effectExtent l="0" t="0" r="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4815" cy="32156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51CCCA40" w14:textId="77777777" w:rsidR="00E758E7" w:rsidRDefault="006C398B">
                          <w:r w:rsidRPr="006C398B">
                            <w:rPr>
                              <w:noProof/>
                            </w:rPr>
                            <w:drawing>
                              <wp:inline distT="0" distB="0" distL="0" distR="0" wp14:anchorId="5D8FC05A" wp14:editId="6ED3248B">
                                <wp:extent cx="1511300" cy="31115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11300" cy="3111500"/>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1135747" id="_x0000_t202" coordsize="21600,21600" o:spt="202" path="m,l,21600r21600,l21600,xe">
              <v:stroke joinstyle="miter"/>
              <v:path gradientshapeok="t" o:connecttype="rect"/>
            </v:shapetype>
            <v:shape id="Text Box 1" o:spid="_x0000_s1026" type="#_x0000_t202" style="position:absolute;margin-left:-157.9pt;margin-top:-228.7pt;width:133.45pt;height:253.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" filled="f" stroked="f">
              <v:path arrowok="t"/>
              <v:textbox style="mso-fit-shape-to-text:t">
                <w:txbxContent>
                  <w:p w14:paraId="51CCCA40" w14:textId="77777777" w:rsidR="00E758E7" w:rsidRDefault="006C398B">
                    <w:r w:rsidRPr="006C398B">
                      <w:rPr>
                        <w:noProof/>
                      </w:rPr>
                      <w:drawing>
                        <wp:inline distT="0" distB="0" distL="0" distR="0" wp14:anchorId="5D8FC05A" wp14:editId="6ED3248B">
                          <wp:extent cx="1511300" cy="31115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11300" cy="3111500"/>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7DB2F" w14:textId="77777777" w:rsidR="00C835F3" w:rsidRDefault="00C835F3" w:rsidP="007D0341">
      <w:r>
        <w:separator/>
      </w:r>
    </w:p>
  </w:footnote>
  <w:footnote w:type="continuationSeparator" w:id="0">
    <w:p w14:paraId="69205D0F" w14:textId="77777777" w:rsidR="00C835F3" w:rsidRDefault="00C835F3" w:rsidP="007D0341">
      <w:r>
        <w:continuationSeparator/>
      </w:r>
    </w:p>
  </w:footnote>
  <w:footnote w:id="1">
    <w:p w14:paraId="199EF120" w14:textId="77777777" w:rsidR="00C72203" w:rsidRPr="0080312C" w:rsidRDefault="00C72203" w:rsidP="00C72203">
      <w:pPr>
        <w:pStyle w:val="FootnoteText"/>
        <w:rPr>
          <w:rFonts w:ascii="Times New Roman" w:hAnsi="Times New Roman" w:cs="Times New Roman"/>
        </w:rPr>
      </w:pPr>
      <w:r w:rsidRPr="0080312C">
        <w:rPr>
          <w:rStyle w:val="FootnoteReference"/>
          <w:rFonts w:ascii="Times New Roman" w:hAnsi="Times New Roman" w:cs="Times New Roman"/>
        </w:rPr>
        <w:footnoteRef/>
      </w:r>
      <w:r w:rsidRPr="0080312C">
        <w:rPr>
          <w:rFonts w:ascii="Times New Roman" w:hAnsi="Times New Roman" w:cs="Times New Roman"/>
        </w:rPr>
        <w:t xml:space="preserve"> Avista 2018-2019 BCP, Appendix B (2018 Annual Conservation Plan), p. 14.</w:t>
      </w:r>
    </w:p>
  </w:footnote>
  <w:footnote w:id="2">
    <w:p w14:paraId="019528F4" w14:textId="77777777" w:rsidR="00C72203" w:rsidRPr="0080312C" w:rsidRDefault="00C72203" w:rsidP="00C72203">
      <w:pPr>
        <w:pStyle w:val="FootnoteText"/>
        <w:rPr>
          <w:rFonts w:ascii="Times New Roman" w:hAnsi="Times New Roman" w:cs="Times New Roman"/>
        </w:rPr>
      </w:pPr>
      <w:r w:rsidRPr="0080312C">
        <w:rPr>
          <w:rStyle w:val="FootnoteReference"/>
          <w:rFonts w:ascii="Times New Roman" w:hAnsi="Times New Roman" w:cs="Times New Roman"/>
        </w:rPr>
        <w:footnoteRef/>
      </w:r>
      <w:r w:rsidRPr="0080312C">
        <w:rPr>
          <w:rFonts w:ascii="Times New Roman" w:hAnsi="Times New Roman" w:cs="Times New Roman"/>
        </w:rPr>
        <w:t xml:space="preserve"> Avista 2018-2019 BCP, Appendix A.</w:t>
      </w:r>
    </w:p>
  </w:footnote>
  <w:footnote w:id="3">
    <w:p w14:paraId="5250C153" w14:textId="77777777" w:rsidR="00C72203" w:rsidRDefault="00C72203" w:rsidP="00C72203">
      <w:pPr>
        <w:pStyle w:val="FootnoteText"/>
      </w:pPr>
      <w:r w:rsidRPr="0080312C">
        <w:rPr>
          <w:rStyle w:val="FootnoteReference"/>
          <w:rFonts w:ascii="Times New Roman" w:hAnsi="Times New Roman" w:cs="Times New Roman"/>
        </w:rPr>
        <w:footnoteRef/>
      </w:r>
      <w:r w:rsidRPr="0080312C">
        <w:rPr>
          <w:rFonts w:ascii="Times New Roman" w:hAnsi="Times New Roman" w:cs="Times New Roman"/>
        </w:rPr>
        <w:t xml:space="preserve"> Avista 2018-2019 BCP, Appendix A.</w:t>
      </w:r>
    </w:p>
  </w:footnote>
  <w:footnote w:id="4">
    <w:p w14:paraId="7F157F31" w14:textId="77777777" w:rsidR="00C72203" w:rsidRPr="0080312C" w:rsidRDefault="00C72203" w:rsidP="00C72203">
      <w:pPr>
        <w:pStyle w:val="FootnoteText"/>
        <w:rPr>
          <w:rFonts w:ascii="Times New Roman" w:hAnsi="Times New Roman" w:cs="Times New Roman"/>
        </w:rPr>
      </w:pPr>
      <w:r w:rsidRPr="0080312C">
        <w:rPr>
          <w:rStyle w:val="FootnoteReference"/>
          <w:rFonts w:ascii="Times New Roman" w:hAnsi="Times New Roman" w:cs="Times New Roman"/>
        </w:rPr>
        <w:footnoteRef/>
      </w:r>
      <w:r w:rsidRPr="0080312C">
        <w:rPr>
          <w:rFonts w:ascii="Times New Roman" w:hAnsi="Times New Roman" w:cs="Times New Roman"/>
        </w:rPr>
        <w:t xml:space="preserve"> UE-132054, 2014-2015 Biennial Conservation Report (BCR) of Avista Corp., filed June 1, 2016, Appendix A, Impact Evaluation of Washington Electric 2014-2015 Energy Efficiency Programs, Nexant, Table 6-55, p. 145.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63F2E" w14:textId="77777777" w:rsidR="007E5772" w:rsidRDefault="007E57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A275C" w14:textId="77777777" w:rsidR="007E5772" w:rsidRDefault="007E57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5264D" w14:textId="77777777" w:rsidR="007E5772" w:rsidRDefault="007E57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EE623D"/>
    <w:multiLevelType w:val="multilevel"/>
    <w:tmpl w:val="FFC2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22027D"/>
    <w:multiLevelType w:val="hybridMultilevel"/>
    <w:tmpl w:val="5ADE5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772"/>
    <w:rsid w:val="00201C0C"/>
    <w:rsid w:val="002D34AD"/>
    <w:rsid w:val="003A0629"/>
    <w:rsid w:val="00636B18"/>
    <w:rsid w:val="006B4953"/>
    <w:rsid w:val="006C398B"/>
    <w:rsid w:val="007D0341"/>
    <w:rsid w:val="007E5772"/>
    <w:rsid w:val="00822066"/>
    <w:rsid w:val="0098683E"/>
    <w:rsid w:val="00AD143C"/>
    <w:rsid w:val="00B7327D"/>
    <w:rsid w:val="00C72203"/>
    <w:rsid w:val="00C835F3"/>
    <w:rsid w:val="00C90918"/>
    <w:rsid w:val="00CC5E18"/>
    <w:rsid w:val="00E758E7"/>
    <w:rsid w:val="00FA0487"/>
    <w:rsid w:val="00FC38B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348C67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8E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341"/>
    <w:pPr>
      <w:tabs>
        <w:tab w:val="center" w:pos="4320"/>
        <w:tab w:val="right" w:pos="8640"/>
      </w:tabs>
    </w:pPr>
  </w:style>
  <w:style w:type="character" w:customStyle="1" w:styleId="HeaderChar">
    <w:name w:val="Header Char"/>
    <w:link w:val="Header"/>
    <w:uiPriority w:val="99"/>
    <w:rsid w:val="007D0341"/>
    <w:rPr>
      <w:sz w:val="24"/>
      <w:szCs w:val="24"/>
    </w:rPr>
  </w:style>
  <w:style w:type="paragraph" w:styleId="Footer">
    <w:name w:val="footer"/>
    <w:basedOn w:val="Normal"/>
    <w:link w:val="FooterChar"/>
    <w:uiPriority w:val="99"/>
    <w:unhideWhenUsed/>
    <w:rsid w:val="007D0341"/>
    <w:pPr>
      <w:tabs>
        <w:tab w:val="center" w:pos="4320"/>
        <w:tab w:val="right" w:pos="8640"/>
      </w:tabs>
    </w:pPr>
  </w:style>
  <w:style w:type="character" w:customStyle="1" w:styleId="FooterChar">
    <w:name w:val="Footer Char"/>
    <w:link w:val="Footer"/>
    <w:uiPriority w:val="99"/>
    <w:rsid w:val="007D0341"/>
    <w:rPr>
      <w:sz w:val="24"/>
      <w:szCs w:val="24"/>
    </w:rPr>
  </w:style>
  <w:style w:type="paragraph" w:styleId="BalloonText">
    <w:name w:val="Balloon Text"/>
    <w:basedOn w:val="Normal"/>
    <w:link w:val="BalloonTextChar"/>
    <w:uiPriority w:val="99"/>
    <w:semiHidden/>
    <w:unhideWhenUsed/>
    <w:rsid w:val="007D0341"/>
    <w:rPr>
      <w:rFonts w:ascii="Lucida Grande" w:hAnsi="Lucida Grande" w:cs="Lucida Grande"/>
      <w:sz w:val="18"/>
      <w:szCs w:val="18"/>
    </w:rPr>
  </w:style>
  <w:style w:type="character" w:customStyle="1" w:styleId="BalloonTextChar">
    <w:name w:val="Balloon Text Char"/>
    <w:link w:val="BalloonText"/>
    <w:uiPriority w:val="99"/>
    <w:semiHidden/>
    <w:rsid w:val="007D0341"/>
    <w:rPr>
      <w:rFonts w:ascii="Lucida Grande" w:hAnsi="Lucida Grande" w:cs="Lucida Grande"/>
      <w:sz w:val="18"/>
      <w:szCs w:val="18"/>
    </w:rPr>
  </w:style>
  <w:style w:type="character" w:styleId="PageNumber">
    <w:name w:val="page number"/>
    <w:uiPriority w:val="99"/>
    <w:semiHidden/>
    <w:unhideWhenUsed/>
    <w:rsid w:val="007D0341"/>
  </w:style>
  <w:style w:type="paragraph" w:styleId="NormalWeb">
    <w:name w:val="Normal (Web)"/>
    <w:basedOn w:val="Normal"/>
    <w:uiPriority w:val="99"/>
    <w:unhideWhenUsed/>
    <w:rsid w:val="00E758E7"/>
    <w:pPr>
      <w:spacing w:before="100" w:beforeAutospacing="1" w:after="100" w:afterAutospacing="1"/>
    </w:pPr>
    <w:rPr>
      <w:rFonts w:ascii="Times" w:hAnsi="Times"/>
      <w:sz w:val="20"/>
    </w:rPr>
  </w:style>
  <w:style w:type="paragraph" w:styleId="FootnoteText">
    <w:name w:val="footnote text"/>
    <w:basedOn w:val="Normal"/>
    <w:link w:val="FootnoteTextChar"/>
    <w:uiPriority w:val="99"/>
    <w:unhideWhenUsed/>
    <w:rsid w:val="00C72203"/>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C72203"/>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C722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E19956C76CA024588BF50755657D23D" ma:contentTypeVersion="104" ma:contentTypeDescription="" ma:contentTypeScope="" ma:versionID="0ef36183366847ea17253d72375140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2017-11-01T07:00:00+00:00</OpenedDate>
    <Date1 xmlns="dc463f71-b30c-4ab2-9473-d307f9d35888">2017-11-30T08:00:00+00:00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171091</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BCF4B4A-19C1-4934-8BE5-6334082B1DB5}">
  <ds:schemaRefs>
    <ds:schemaRef ds:uri="http://schemas.microsoft.com/sharepoint/v3/contenttype/forms"/>
  </ds:schemaRefs>
</ds:datastoreItem>
</file>

<file path=customXml/itemProps2.xml><?xml version="1.0" encoding="utf-8"?>
<ds:datastoreItem xmlns:ds="http://schemas.openxmlformats.org/officeDocument/2006/customXml" ds:itemID="{B32ED56C-0EAA-4143-87D7-7C69E74222F7}"/>
</file>

<file path=customXml/itemProps3.xml><?xml version="1.0" encoding="utf-8"?>
<ds:datastoreItem xmlns:ds="http://schemas.openxmlformats.org/officeDocument/2006/customXml" ds:itemID="{12680A56-6043-471C-A3DB-155DD0FC8415}">
  <ds:schemaRefs>
    <ds:schemaRef ds:uri="http://purl.org/dc/elements/1.1/"/>
    <ds:schemaRef ds:uri="6a7bd91e-004b-490a-8704-e368d63d59a0"/>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50E08F9-59FD-4502-8510-6554A6E06663}">
  <ds:schemaRefs>
    <ds:schemaRef ds:uri="http://schemas.openxmlformats.org/officeDocument/2006/bibliography"/>
  </ds:schemaRefs>
</ds:datastoreItem>
</file>

<file path=customXml/itemProps5.xml><?xml version="1.0" encoding="utf-8"?>
<ds:datastoreItem xmlns:ds="http://schemas.openxmlformats.org/officeDocument/2006/customXml" ds:itemID="{132DF0E6-37AA-4A1C-A6E0-16EC470F8112}"/>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Opportunity Council</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Collins</dc:creator>
  <cp:keywords/>
  <dc:description/>
  <cp:lastModifiedBy>Huey, Lorilyn (UTC)</cp:lastModifiedBy>
  <cp:revision>2</cp:revision>
  <cp:lastPrinted>2017-11-30T19:22:00Z</cp:lastPrinted>
  <dcterms:created xsi:type="dcterms:W3CDTF">2017-11-30T19:53:00Z</dcterms:created>
  <dcterms:modified xsi:type="dcterms:W3CDTF">2017-11-30T19:53:00Z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0x0101006E56B4D1795A2E4DB2F0B01679ED314A00CE19956C76CA024588BF50755657D23D</vt:lpwstr>
  </property>
  <property fmtid="{D5CDD505-2E9C-101B-9397-08002B2CF9AE}" pid="3" name="_docset_NoMedatataSyncRequired">
    <vt:lpwstr>False</vt:lpwstr>
  </property>
  <property fmtid="{D5CDD505-2E9C-101B-9397-08002B2CF9AE}" pid="4" name="IsEFSEC">
    <vt:bool>false</vt:bool>
  </property>
</Properties>
</file>