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C7C7" w14:textId="530B2292" w:rsidR="00036FCB" w:rsidRPr="00442319" w:rsidRDefault="00036FCB" w:rsidP="00036FCB">
      <w:pPr>
        <w:rPr>
          <w:rFonts w:ascii="Times New Roman" w:hAnsi="Times New Roman"/>
        </w:rPr>
      </w:pPr>
      <w:bookmarkStart w:id="0" w:name="_GoBack"/>
      <w:bookmarkEnd w:id="0"/>
      <w:r w:rsidRPr="00442319">
        <w:rPr>
          <w:rFonts w:ascii="Times New Roman" w:hAnsi="Times New Roman"/>
        </w:rPr>
        <w:t>Agenda Date:</w:t>
      </w:r>
      <w:r w:rsidRPr="00442319">
        <w:rPr>
          <w:rFonts w:ascii="Times New Roman" w:hAnsi="Times New Roman"/>
        </w:rPr>
        <w:tab/>
      </w:r>
      <w:r w:rsidRPr="00442319">
        <w:rPr>
          <w:rFonts w:ascii="Times New Roman" w:hAnsi="Times New Roman"/>
        </w:rPr>
        <w:tab/>
      </w:r>
      <w:r w:rsidR="00442319" w:rsidRPr="00442319">
        <w:rPr>
          <w:rFonts w:ascii="Times New Roman" w:hAnsi="Times New Roman"/>
        </w:rPr>
        <w:t>December 11, 2014</w:t>
      </w:r>
    </w:p>
    <w:p w14:paraId="0427C7C8" w14:textId="0C083C2F" w:rsidR="00036FCB" w:rsidRPr="00442319" w:rsidRDefault="00036FCB" w:rsidP="00036FCB">
      <w:pPr>
        <w:rPr>
          <w:rFonts w:ascii="Times New Roman" w:hAnsi="Times New Roman"/>
        </w:rPr>
      </w:pPr>
      <w:r w:rsidRPr="00442319">
        <w:rPr>
          <w:rFonts w:ascii="Times New Roman" w:hAnsi="Times New Roman"/>
        </w:rPr>
        <w:t>Item Number:</w:t>
      </w:r>
      <w:r w:rsidRPr="00442319">
        <w:rPr>
          <w:rFonts w:ascii="Times New Roman" w:hAnsi="Times New Roman"/>
        </w:rPr>
        <w:tab/>
      </w:r>
      <w:r w:rsidRPr="00442319">
        <w:rPr>
          <w:rFonts w:ascii="Times New Roman" w:hAnsi="Times New Roman"/>
        </w:rPr>
        <w:tab/>
      </w:r>
      <w:r w:rsidR="00442319" w:rsidRPr="00442319">
        <w:rPr>
          <w:rFonts w:ascii="Times New Roman" w:hAnsi="Times New Roman"/>
        </w:rPr>
        <w:t>B</w:t>
      </w:r>
      <w:r w:rsidR="00D107BC">
        <w:rPr>
          <w:rFonts w:ascii="Times New Roman" w:hAnsi="Times New Roman"/>
        </w:rPr>
        <w:t>1</w:t>
      </w:r>
    </w:p>
    <w:p w14:paraId="0427C7C9" w14:textId="77777777" w:rsidR="00036FCB" w:rsidRPr="00442319" w:rsidRDefault="00036FCB" w:rsidP="00036FCB">
      <w:pPr>
        <w:rPr>
          <w:rFonts w:ascii="Times New Roman" w:hAnsi="Times New Roman"/>
        </w:rPr>
      </w:pPr>
    </w:p>
    <w:p w14:paraId="0427C7CA" w14:textId="4D14E0C7" w:rsidR="00036FCB" w:rsidRPr="00442319" w:rsidRDefault="00036FCB" w:rsidP="00036FCB">
      <w:pPr>
        <w:rPr>
          <w:rFonts w:ascii="Times New Roman" w:hAnsi="Times New Roman"/>
          <w:b/>
          <w:bCs/>
        </w:rPr>
      </w:pPr>
      <w:r w:rsidRPr="00442319">
        <w:rPr>
          <w:rFonts w:ascii="Times New Roman" w:hAnsi="Times New Roman"/>
          <w:b/>
          <w:bCs/>
        </w:rPr>
        <w:t>Docket:</w:t>
      </w:r>
      <w:r w:rsidRPr="00442319">
        <w:rPr>
          <w:rFonts w:ascii="Times New Roman" w:hAnsi="Times New Roman"/>
          <w:b/>
          <w:bCs/>
        </w:rPr>
        <w:tab/>
      </w:r>
      <w:r w:rsidRPr="00442319">
        <w:rPr>
          <w:rFonts w:ascii="Times New Roman" w:hAnsi="Times New Roman"/>
          <w:b/>
          <w:bCs/>
        </w:rPr>
        <w:tab/>
        <w:t>TV-</w:t>
      </w:r>
      <w:r w:rsidR="0058286A" w:rsidRPr="00442319">
        <w:rPr>
          <w:rFonts w:ascii="Times New Roman" w:hAnsi="Times New Roman"/>
          <w:b/>
          <w:bCs/>
        </w:rPr>
        <w:t>1</w:t>
      </w:r>
      <w:r w:rsidR="00442319" w:rsidRPr="00442319">
        <w:rPr>
          <w:rFonts w:ascii="Times New Roman" w:hAnsi="Times New Roman"/>
          <w:b/>
          <w:bCs/>
        </w:rPr>
        <w:t>43221</w:t>
      </w:r>
    </w:p>
    <w:p w14:paraId="5112E9BE" w14:textId="77777777" w:rsidR="00055132" w:rsidRDefault="00055132" w:rsidP="00036FCB">
      <w:pPr>
        <w:rPr>
          <w:rFonts w:ascii="Times New Roman" w:hAnsi="Times New Roman"/>
        </w:rPr>
      </w:pPr>
    </w:p>
    <w:p w14:paraId="0427C7CB" w14:textId="15CB3F4F" w:rsidR="00036FCB" w:rsidRPr="00442319" w:rsidRDefault="00036FCB" w:rsidP="00036FCB">
      <w:pPr>
        <w:rPr>
          <w:rFonts w:ascii="Times New Roman" w:hAnsi="Times New Roman"/>
        </w:rPr>
      </w:pPr>
      <w:r w:rsidRPr="00442319">
        <w:rPr>
          <w:rFonts w:ascii="Times New Roman" w:hAnsi="Times New Roman"/>
        </w:rPr>
        <w:t>Petitioner:</w:t>
      </w:r>
      <w:r w:rsidRPr="00442319">
        <w:rPr>
          <w:rFonts w:ascii="Times New Roman" w:hAnsi="Times New Roman"/>
        </w:rPr>
        <w:tab/>
      </w:r>
      <w:r w:rsidRPr="00442319">
        <w:rPr>
          <w:rFonts w:ascii="Times New Roman" w:hAnsi="Times New Roman"/>
        </w:rPr>
        <w:tab/>
      </w:r>
      <w:r w:rsidR="00442319" w:rsidRPr="00442319">
        <w:rPr>
          <w:rFonts w:ascii="Times New Roman" w:hAnsi="Times New Roman"/>
        </w:rPr>
        <w:t>PMC Moving, LLC</w:t>
      </w:r>
    </w:p>
    <w:p w14:paraId="0427C7CC" w14:textId="77777777" w:rsidR="00036FCB" w:rsidRPr="00442319" w:rsidRDefault="00036FCB" w:rsidP="00036FCB">
      <w:pPr>
        <w:rPr>
          <w:rFonts w:ascii="Times New Roman" w:hAnsi="Times New Roman"/>
        </w:rPr>
      </w:pPr>
    </w:p>
    <w:p w14:paraId="0427C7CD" w14:textId="138C7B18" w:rsidR="00036FCB" w:rsidRPr="00442319" w:rsidRDefault="000E39BD" w:rsidP="00036FCB">
      <w:pPr>
        <w:rPr>
          <w:rFonts w:ascii="Times New Roman" w:hAnsi="Times New Roman"/>
        </w:rPr>
      </w:pPr>
      <w:r w:rsidRPr="00442319">
        <w:rPr>
          <w:rFonts w:ascii="Times New Roman" w:hAnsi="Times New Roman"/>
        </w:rPr>
        <w:t>Staff</w:t>
      </w:r>
      <w:r w:rsidR="00036FCB" w:rsidRPr="00442319">
        <w:rPr>
          <w:rFonts w:ascii="Times New Roman" w:hAnsi="Times New Roman"/>
        </w:rPr>
        <w:t>:</w:t>
      </w:r>
      <w:r w:rsidR="00036FCB" w:rsidRPr="00442319">
        <w:rPr>
          <w:rFonts w:ascii="Times New Roman" w:hAnsi="Times New Roman"/>
        </w:rPr>
        <w:tab/>
      </w:r>
      <w:r w:rsidR="00036FCB" w:rsidRPr="00442319">
        <w:rPr>
          <w:rFonts w:ascii="Times New Roman" w:hAnsi="Times New Roman"/>
        </w:rPr>
        <w:tab/>
      </w:r>
      <w:r w:rsidR="00036FCB" w:rsidRPr="00442319">
        <w:rPr>
          <w:rFonts w:ascii="Times New Roman" w:hAnsi="Times New Roman"/>
        </w:rPr>
        <w:tab/>
      </w:r>
      <w:r w:rsidR="00442319" w:rsidRPr="00442319">
        <w:rPr>
          <w:rFonts w:ascii="Times New Roman" w:hAnsi="Times New Roman"/>
        </w:rPr>
        <w:t>Betty Young</w:t>
      </w:r>
      <w:r w:rsidR="00036FCB" w:rsidRPr="00442319">
        <w:rPr>
          <w:rFonts w:ascii="Times New Roman" w:hAnsi="Times New Roman"/>
        </w:rPr>
        <w:t>, Compliance Investigator</w:t>
      </w:r>
    </w:p>
    <w:p w14:paraId="0427C7CE" w14:textId="77777777" w:rsidR="00036FCB" w:rsidRPr="00442319" w:rsidRDefault="00036FCB" w:rsidP="00036FCB">
      <w:pPr>
        <w:rPr>
          <w:rFonts w:ascii="Times New Roman" w:hAnsi="Times New Roman"/>
        </w:rPr>
      </w:pPr>
    </w:p>
    <w:p w14:paraId="0427C7CF" w14:textId="77777777" w:rsidR="00036FCB" w:rsidRPr="00442319" w:rsidRDefault="00036FCB" w:rsidP="00036FCB">
      <w:pPr>
        <w:rPr>
          <w:rFonts w:ascii="Times New Roman" w:hAnsi="Times New Roman"/>
          <w:b/>
          <w:u w:val="single"/>
        </w:rPr>
      </w:pPr>
    </w:p>
    <w:p w14:paraId="0427C7D0" w14:textId="77777777" w:rsidR="00036FCB" w:rsidRPr="00442319" w:rsidRDefault="00036FCB" w:rsidP="00036FCB">
      <w:pPr>
        <w:rPr>
          <w:rFonts w:ascii="Times New Roman" w:hAnsi="Times New Roman"/>
          <w:b/>
          <w:u w:val="single"/>
        </w:rPr>
      </w:pPr>
      <w:r w:rsidRPr="00442319">
        <w:rPr>
          <w:rFonts w:ascii="Times New Roman" w:hAnsi="Times New Roman"/>
          <w:b/>
          <w:u w:val="single"/>
        </w:rPr>
        <w:t>Recommendation</w:t>
      </w:r>
    </w:p>
    <w:p w14:paraId="0427C7D1" w14:textId="77777777" w:rsidR="00036FCB" w:rsidRPr="00442319" w:rsidRDefault="00036FCB" w:rsidP="00036FCB">
      <w:pPr>
        <w:rPr>
          <w:rFonts w:ascii="Times New Roman" w:hAnsi="Times New Roman"/>
        </w:rPr>
      </w:pPr>
    </w:p>
    <w:p w14:paraId="0427C7D2" w14:textId="19BC6912" w:rsidR="00A64CE6" w:rsidRPr="00442319" w:rsidRDefault="00094F43" w:rsidP="00570871">
      <w:pPr>
        <w:spacing w:line="276" w:lineRule="auto"/>
        <w:rPr>
          <w:rFonts w:ascii="Times New Roman" w:hAnsi="Times New Roman"/>
        </w:rPr>
      </w:pPr>
      <w:r w:rsidRPr="00442319">
        <w:rPr>
          <w:rFonts w:ascii="Times New Roman" w:hAnsi="Times New Roman"/>
        </w:rPr>
        <w:t>Issue an order</w:t>
      </w:r>
      <w:r w:rsidR="00036FCB" w:rsidRPr="00442319">
        <w:rPr>
          <w:rFonts w:ascii="Times New Roman" w:hAnsi="Times New Roman"/>
        </w:rPr>
        <w:t xml:space="preserve"> in Docket TV-</w:t>
      </w:r>
      <w:r w:rsidR="0058286A" w:rsidRPr="00442319">
        <w:rPr>
          <w:rFonts w:ascii="Times New Roman" w:hAnsi="Times New Roman"/>
        </w:rPr>
        <w:t>1</w:t>
      </w:r>
      <w:r w:rsidR="00442319" w:rsidRPr="00442319">
        <w:rPr>
          <w:rFonts w:ascii="Times New Roman" w:hAnsi="Times New Roman"/>
        </w:rPr>
        <w:t>43221</w:t>
      </w:r>
      <w:r w:rsidRPr="00442319">
        <w:rPr>
          <w:rFonts w:ascii="Times New Roman" w:hAnsi="Times New Roman"/>
        </w:rPr>
        <w:t xml:space="preserve">, </w:t>
      </w:r>
      <w:r w:rsidR="00601E4B">
        <w:rPr>
          <w:rFonts w:ascii="Times New Roman" w:hAnsi="Times New Roman"/>
        </w:rPr>
        <w:t>affirming Order 01 denying</w:t>
      </w:r>
      <w:r w:rsidR="00A64CE6" w:rsidRPr="00442319">
        <w:rPr>
          <w:rFonts w:ascii="Times New Roman" w:hAnsi="Times New Roman"/>
        </w:rPr>
        <w:t xml:space="preserve"> mitigation of </w:t>
      </w:r>
      <w:r w:rsidR="00442319" w:rsidRPr="00442319">
        <w:rPr>
          <w:rFonts w:ascii="Times New Roman" w:hAnsi="Times New Roman"/>
        </w:rPr>
        <w:t>PMC Moving, LLC</w:t>
      </w:r>
      <w:r w:rsidR="000E39BD" w:rsidRPr="00442319">
        <w:rPr>
          <w:rFonts w:ascii="Times New Roman" w:hAnsi="Times New Roman"/>
        </w:rPr>
        <w:t>’</w:t>
      </w:r>
      <w:r w:rsidR="00284504" w:rsidRPr="00442319">
        <w:rPr>
          <w:rFonts w:ascii="Times New Roman" w:hAnsi="Times New Roman"/>
        </w:rPr>
        <w:t>s</w:t>
      </w:r>
      <w:r w:rsidR="00442319" w:rsidRPr="00442319">
        <w:rPr>
          <w:rFonts w:ascii="Times New Roman" w:hAnsi="Times New Roman"/>
        </w:rPr>
        <w:t xml:space="preserve"> (PMC Moving)</w:t>
      </w:r>
      <w:r w:rsidR="00284504" w:rsidRPr="00442319">
        <w:rPr>
          <w:rFonts w:ascii="Times New Roman" w:hAnsi="Times New Roman"/>
        </w:rPr>
        <w:t xml:space="preserve"> </w:t>
      </w:r>
      <w:r w:rsidR="005F4B98" w:rsidRPr="00442319">
        <w:rPr>
          <w:rFonts w:ascii="Times New Roman" w:hAnsi="Times New Roman"/>
        </w:rPr>
        <w:t>penalty</w:t>
      </w:r>
      <w:r w:rsidR="000A3371" w:rsidRPr="00442319">
        <w:rPr>
          <w:rFonts w:ascii="Times New Roman" w:hAnsi="Times New Roman"/>
        </w:rPr>
        <w:t xml:space="preserve"> for </w:t>
      </w:r>
      <w:r w:rsidR="00442319" w:rsidRPr="00442319">
        <w:rPr>
          <w:rFonts w:ascii="Times New Roman" w:hAnsi="Times New Roman"/>
        </w:rPr>
        <w:t xml:space="preserve">safety violations found </w:t>
      </w:r>
      <w:r w:rsidR="00601E4B">
        <w:rPr>
          <w:rFonts w:ascii="Times New Roman" w:hAnsi="Times New Roman"/>
        </w:rPr>
        <w:t xml:space="preserve">by staff </w:t>
      </w:r>
      <w:r w:rsidR="00442319" w:rsidRPr="00442319">
        <w:rPr>
          <w:rFonts w:ascii="Times New Roman" w:hAnsi="Times New Roman"/>
        </w:rPr>
        <w:t xml:space="preserve">during a </w:t>
      </w:r>
      <w:r w:rsidR="00601E4B">
        <w:rPr>
          <w:rFonts w:ascii="Times New Roman" w:hAnsi="Times New Roman"/>
        </w:rPr>
        <w:t>July</w:t>
      </w:r>
      <w:r w:rsidR="00442319" w:rsidRPr="00442319">
        <w:rPr>
          <w:rFonts w:ascii="Times New Roman" w:hAnsi="Times New Roman"/>
        </w:rPr>
        <w:t xml:space="preserve"> 2014 compliance review</w:t>
      </w:r>
      <w:r w:rsidR="005F4B98" w:rsidRPr="00442319">
        <w:rPr>
          <w:rFonts w:ascii="Times New Roman" w:hAnsi="Times New Roman"/>
        </w:rPr>
        <w:t xml:space="preserve">. </w:t>
      </w:r>
    </w:p>
    <w:p w14:paraId="0427C7D3" w14:textId="77777777" w:rsidR="00A64CE6" w:rsidRPr="00442319" w:rsidRDefault="00A64CE6" w:rsidP="00036FCB">
      <w:pPr>
        <w:rPr>
          <w:rFonts w:ascii="Times New Roman" w:hAnsi="Times New Roman"/>
        </w:rPr>
      </w:pPr>
    </w:p>
    <w:p w14:paraId="2B33C603" w14:textId="77777777" w:rsidR="00C67C12" w:rsidRPr="00442319" w:rsidRDefault="00C67C12" w:rsidP="00C67C12">
      <w:pPr>
        <w:rPr>
          <w:rFonts w:ascii="Times New Roman" w:hAnsi="Times New Roman"/>
          <w:b/>
          <w:bCs/>
          <w:u w:val="single"/>
        </w:rPr>
      </w:pPr>
      <w:r w:rsidRPr="00442319">
        <w:rPr>
          <w:rFonts w:ascii="Times New Roman" w:hAnsi="Times New Roman"/>
          <w:b/>
          <w:bCs/>
          <w:u w:val="single"/>
        </w:rPr>
        <w:t>Background</w:t>
      </w:r>
    </w:p>
    <w:p w14:paraId="7C401829" w14:textId="77777777" w:rsidR="00C67C12" w:rsidRPr="00442319" w:rsidRDefault="00C67C12" w:rsidP="00C67C12">
      <w:pPr>
        <w:rPr>
          <w:rFonts w:ascii="Times New Roman" w:hAnsi="Times New Roman"/>
          <w:b/>
          <w:bCs/>
          <w:u w:val="single"/>
        </w:rPr>
      </w:pPr>
    </w:p>
    <w:p w14:paraId="0DB69A7A" w14:textId="18CD23E1" w:rsidR="00C67C12" w:rsidRDefault="00442319" w:rsidP="00570871">
      <w:pPr>
        <w:spacing w:line="276" w:lineRule="auto"/>
        <w:rPr>
          <w:rFonts w:ascii="Times New Roman" w:hAnsi="Times New Roman"/>
          <w:bCs/>
        </w:rPr>
      </w:pPr>
      <w:r w:rsidRPr="00442319">
        <w:rPr>
          <w:rFonts w:ascii="Times New Roman" w:hAnsi="Times New Roman"/>
          <w:bCs/>
        </w:rPr>
        <w:t>On September 18, 2014, the Washington Utilities and Transportation Commission (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 xml:space="preserve">ommission) assessed a penalty of $5,900 (Penalty Assessment) against PMC Moving, LLC for 58 violations of Washington Administrative Code (WAC) 480-15-570, which adopts by reference 49 C.F.R. Part 391 related to driver qualifications and hours of service, and one violation of WAC 480-15-560, which adopts 49 C.F.R. Part 396 related to vehicle inspection, repair, and maintenance.  </w:t>
      </w:r>
    </w:p>
    <w:p w14:paraId="4D168142" w14:textId="77777777" w:rsidR="00442319" w:rsidRPr="00442319" w:rsidRDefault="00442319" w:rsidP="00570871">
      <w:pPr>
        <w:spacing w:line="276" w:lineRule="auto"/>
        <w:rPr>
          <w:rFonts w:ascii="Times New Roman" w:hAnsi="Times New Roman"/>
          <w:bCs/>
        </w:rPr>
      </w:pPr>
    </w:p>
    <w:p w14:paraId="43CAAF11" w14:textId="749BADA8" w:rsidR="00442319" w:rsidRPr="00442319" w:rsidRDefault="00442319" w:rsidP="00570871">
      <w:pPr>
        <w:spacing w:line="276" w:lineRule="auto"/>
        <w:rPr>
          <w:rFonts w:ascii="Times New Roman" w:hAnsi="Times New Roman"/>
          <w:bCs/>
        </w:rPr>
      </w:pPr>
      <w:r w:rsidRPr="00442319">
        <w:rPr>
          <w:rFonts w:ascii="Times New Roman" w:hAnsi="Times New Roman"/>
          <w:bCs/>
        </w:rPr>
        <w:t>On October 6, 2014, PMC</w:t>
      </w:r>
      <w:r w:rsidR="00C04490">
        <w:rPr>
          <w:rFonts w:ascii="Times New Roman" w:hAnsi="Times New Roman"/>
          <w:bCs/>
        </w:rPr>
        <w:t xml:space="preserve"> Moving</w:t>
      </w:r>
      <w:r w:rsidRPr="00442319">
        <w:rPr>
          <w:rFonts w:ascii="Times New Roman" w:hAnsi="Times New Roman"/>
          <w:bCs/>
        </w:rPr>
        <w:t xml:space="preserve"> responded to the Penalty Assessment admitting the violations and requesting mitigation of the penalty based on the written information provided. </w:t>
      </w:r>
      <w:r>
        <w:rPr>
          <w:rFonts w:ascii="Times New Roman" w:hAnsi="Times New Roman"/>
          <w:bCs/>
        </w:rPr>
        <w:t>PMC Moving</w:t>
      </w:r>
      <w:r w:rsidRPr="00442319">
        <w:rPr>
          <w:rFonts w:ascii="Times New Roman" w:hAnsi="Times New Roman"/>
          <w:bCs/>
        </w:rPr>
        <w:t xml:space="preserve"> state</w:t>
      </w:r>
      <w:r>
        <w:rPr>
          <w:rFonts w:ascii="Times New Roman" w:hAnsi="Times New Roman"/>
          <w:bCs/>
        </w:rPr>
        <w:t>d</w:t>
      </w:r>
      <w:r w:rsidRPr="00442319">
        <w:rPr>
          <w:rFonts w:ascii="Times New Roman" w:hAnsi="Times New Roman"/>
          <w:bCs/>
        </w:rPr>
        <w:t xml:space="preserve"> that prior to receiving the Penalty Assessment, it was unaware of</w:t>
      </w:r>
      <w:r>
        <w:rPr>
          <w:rFonts w:ascii="Times New Roman" w:hAnsi="Times New Roman"/>
          <w:bCs/>
        </w:rPr>
        <w:t xml:space="preserve"> c</w:t>
      </w:r>
      <w:r w:rsidRPr="00442319">
        <w:rPr>
          <w:rFonts w:ascii="Times New Roman" w:hAnsi="Times New Roman"/>
          <w:bCs/>
        </w:rPr>
        <w:t>ommission safety requirements, but ha</w:t>
      </w:r>
      <w:r w:rsidR="00570871">
        <w:rPr>
          <w:rFonts w:ascii="Times New Roman" w:hAnsi="Times New Roman"/>
          <w:bCs/>
        </w:rPr>
        <w:t>d</w:t>
      </w:r>
      <w:r w:rsidRPr="00442319">
        <w:rPr>
          <w:rFonts w:ascii="Times New Roman" w:hAnsi="Times New Roman"/>
          <w:bCs/>
        </w:rPr>
        <w:t xml:space="preserve"> since implemented a compliance program.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>ompany also claim</w:t>
      </w:r>
      <w:r w:rsidR="00570871">
        <w:rPr>
          <w:rFonts w:ascii="Times New Roman" w:hAnsi="Times New Roman"/>
          <w:bCs/>
        </w:rPr>
        <w:t>ed</w:t>
      </w:r>
      <w:r w:rsidRPr="00442319">
        <w:rPr>
          <w:rFonts w:ascii="Times New Roman" w:hAnsi="Times New Roman"/>
          <w:bCs/>
        </w:rPr>
        <w:t xml:space="preserve"> that </w:t>
      </w:r>
      <w:r w:rsidR="00C04490">
        <w:rPr>
          <w:rFonts w:ascii="Times New Roman" w:hAnsi="Times New Roman"/>
          <w:bCs/>
        </w:rPr>
        <w:t>some violations</w:t>
      </w:r>
      <w:r w:rsidRPr="00442319">
        <w:rPr>
          <w:rFonts w:ascii="Times New Roman" w:hAnsi="Times New Roman"/>
          <w:bCs/>
        </w:rPr>
        <w:t xml:space="preserve"> were cited because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>ommission’s safety inspector</w:t>
      </w:r>
      <w:r>
        <w:rPr>
          <w:rFonts w:ascii="Times New Roman" w:hAnsi="Times New Roman"/>
          <w:bCs/>
        </w:rPr>
        <w:t xml:space="preserve"> Alan Dickson</w:t>
      </w:r>
      <w:r w:rsidRPr="00442319">
        <w:rPr>
          <w:rFonts w:ascii="Times New Roman" w:hAnsi="Times New Roman"/>
          <w:bCs/>
        </w:rPr>
        <w:t xml:space="preserve"> “misconstrued”</w:t>
      </w:r>
      <w:r>
        <w:rPr>
          <w:rFonts w:ascii="Times New Roman" w:hAnsi="Times New Roman"/>
          <w:bCs/>
        </w:rPr>
        <w:t xml:space="preserve"> c</w:t>
      </w:r>
      <w:r w:rsidRPr="00442319">
        <w:rPr>
          <w:rFonts w:ascii="Times New Roman" w:hAnsi="Times New Roman"/>
          <w:bCs/>
        </w:rPr>
        <w:t xml:space="preserve">ompany data. </w:t>
      </w:r>
      <w:r w:rsidRPr="00442319">
        <w:rPr>
          <w:rFonts w:ascii="Times New Roman" w:hAnsi="Times New Roman"/>
          <w:bCs/>
        </w:rPr>
        <w:br/>
      </w:r>
    </w:p>
    <w:p w14:paraId="26C10465" w14:textId="51DC0C23" w:rsidR="00442319" w:rsidRPr="00442319" w:rsidRDefault="00442319" w:rsidP="00570871">
      <w:pPr>
        <w:spacing w:line="276" w:lineRule="auto"/>
        <w:rPr>
          <w:rFonts w:ascii="Times New Roman" w:hAnsi="Times New Roman"/>
          <w:bCs/>
        </w:rPr>
      </w:pPr>
      <w:r w:rsidRPr="00442319">
        <w:rPr>
          <w:rFonts w:ascii="Times New Roman" w:hAnsi="Times New Roman"/>
          <w:bCs/>
        </w:rPr>
        <w:t xml:space="preserve">On October 17, 2014, </w:t>
      </w:r>
      <w:r>
        <w:rPr>
          <w:rFonts w:ascii="Times New Roman" w:hAnsi="Times New Roman"/>
          <w:bCs/>
        </w:rPr>
        <w:t>s</w:t>
      </w:r>
      <w:r w:rsidRPr="00442319">
        <w:rPr>
          <w:rFonts w:ascii="Times New Roman" w:hAnsi="Times New Roman"/>
          <w:bCs/>
        </w:rPr>
        <w:t xml:space="preserve">taff filed a response recommending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 xml:space="preserve">ommission deny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>ompany’s request for mitigation. Staff explain</w:t>
      </w:r>
      <w:r>
        <w:rPr>
          <w:rFonts w:ascii="Times New Roman" w:hAnsi="Times New Roman"/>
          <w:bCs/>
        </w:rPr>
        <w:t>ed</w:t>
      </w:r>
      <w:r w:rsidRPr="00442319">
        <w:rPr>
          <w:rFonts w:ascii="Times New Roman" w:hAnsi="Times New Roman"/>
          <w:bCs/>
        </w:rPr>
        <w:t xml:space="preserve"> that although all 168 violations cited in the Penalty Assessment are first-time offenses, 59 warrant</w:t>
      </w:r>
      <w:r w:rsidR="00DA338B">
        <w:rPr>
          <w:rFonts w:ascii="Times New Roman" w:hAnsi="Times New Roman"/>
          <w:bCs/>
        </w:rPr>
        <w:t>ed</w:t>
      </w:r>
      <w:r w:rsidRPr="00442319">
        <w:rPr>
          <w:rFonts w:ascii="Times New Roman" w:hAnsi="Times New Roman"/>
          <w:bCs/>
        </w:rPr>
        <w:t xml:space="preserve"> penalties because they present</w:t>
      </w:r>
      <w:r w:rsidR="00DA338B">
        <w:rPr>
          <w:rFonts w:ascii="Times New Roman" w:hAnsi="Times New Roman"/>
          <w:bCs/>
        </w:rPr>
        <w:t>ed</w:t>
      </w:r>
      <w:r w:rsidRPr="00442319">
        <w:rPr>
          <w:rFonts w:ascii="Times New Roman" w:hAnsi="Times New Roman"/>
          <w:bCs/>
        </w:rPr>
        <w:t xml:space="preserve"> a risk of serious harm to the public. </w:t>
      </w:r>
      <w:r w:rsidR="00601E4B">
        <w:rPr>
          <w:rFonts w:ascii="Times New Roman" w:hAnsi="Times New Roman"/>
          <w:bCs/>
        </w:rPr>
        <w:t>The commission assessed a</w:t>
      </w:r>
      <w:r w:rsidRPr="00442319">
        <w:rPr>
          <w:rFonts w:ascii="Times New Roman" w:hAnsi="Times New Roman"/>
          <w:bCs/>
        </w:rPr>
        <w:t xml:space="preserve"> reduced penalty of $100 for three violations of 49 C.F.R. Part 396.17(a) </w:t>
      </w:r>
      <w:r w:rsidR="00570871">
        <w:rPr>
          <w:rFonts w:ascii="Times New Roman" w:hAnsi="Times New Roman"/>
          <w:bCs/>
        </w:rPr>
        <w:t>where</w:t>
      </w:r>
      <w:r w:rsidRPr="00442319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 xml:space="preserve">ompany used three vehicles that were not periodically inspected as required. </w:t>
      </w:r>
      <w:r w:rsidR="00601E4B">
        <w:rPr>
          <w:rFonts w:ascii="Times New Roman" w:hAnsi="Times New Roman"/>
          <w:bCs/>
        </w:rPr>
        <w:t>The commission assessed</w:t>
      </w:r>
      <w:r w:rsidRPr="00442319">
        <w:rPr>
          <w:rFonts w:ascii="Times New Roman" w:hAnsi="Times New Roman"/>
          <w:bCs/>
        </w:rPr>
        <w:t xml:space="preserve"> a penalty of $100 per violation for the remaining 58 violations of 49 C.F.R. Part 391.45(b)(1) for using drivers who were not medically certified, which is a category of violation that is ineligible for reduced penalties even for a first-time offense. Because the </w:t>
      </w:r>
      <w:r>
        <w:rPr>
          <w:rFonts w:ascii="Times New Roman" w:hAnsi="Times New Roman"/>
          <w:bCs/>
        </w:rPr>
        <w:t>c</w:t>
      </w:r>
      <w:r w:rsidRPr="00442319">
        <w:rPr>
          <w:rFonts w:ascii="Times New Roman" w:hAnsi="Times New Roman"/>
          <w:bCs/>
        </w:rPr>
        <w:t>ompany presented no new information</w:t>
      </w:r>
      <w:r w:rsidR="00544FA9">
        <w:rPr>
          <w:rFonts w:ascii="Times New Roman" w:hAnsi="Times New Roman"/>
          <w:bCs/>
        </w:rPr>
        <w:t xml:space="preserve"> in its mitigation request</w:t>
      </w:r>
      <w:r w:rsidRPr="00442319">
        <w:rPr>
          <w:rFonts w:ascii="Times New Roman" w:hAnsi="Times New Roman"/>
          <w:bCs/>
        </w:rPr>
        <w:t xml:space="preserve"> that would support reducing the penalty, </w:t>
      </w:r>
      <w:r>
        <w:rPr>
          <w:rFonts w:ascii="Times New Roman" w:hAnsi="Times New Roman"/>
          <w:bCs/>
        </w:rPr>
        <w:t>s</w:t>
      </w:r>
      <w:r w:rsidRPr="00442319">
        <w:rPr>
          <w:rFonts w:ascii="Times New Roman" w:hAnsi="Times New Roman"/>
          <w:bCs/>
        </w:rPr>
        <w:t>taff oppose</w:t>
      </w:r>
      <w:r>
        <w:rPr>
          <w:rFonts w:ascii="Times New Roman" w:hAnsi="Times New Roman"/>
          <w:bCs/>
        </w:rPr>
        <w:t>d</w:t>
      </w:r>
      <w:r w:rsidRPr="00442319">
        <w:rPr>
          <w:rFonts w:ascii="Times New Roman" w:hAnsi="Times New Roman"/>
          <w:bCs/>
        </w:rPr>
        <w:t xml:space="preserve"> mitigation.</w:t>
      </w:r>
    </w:p>
    <w:p w14:paraId="2E03E1D2" w14:textId="77777777" w:rsidR="00C67C12" w:rsidRPr="00442319" w:rsidRDefault="00C67C12" w:rsidP="00570871">
      <w:pPr>
        <w:spacing w:line="276" w:lineRule="auto"/>
        <w:rPr>
          <w:rFonts w:ascii="Times New Roman" w:hAnsi="Times New Roman"/>
          <w:bCs/>
        </w:rPr>
      </w:pPr>
    </w:p>
    <w:p w14:paraId="36CFCE4C" w14:textId="3978FA0D" w:rsidR="00C67C12" w:rsidRPr="00442319" w:rsidRDefault="00442319" w:rsidP="0057087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On November 4, 2014</w:t>
      </w:r>
      <w:r w:rsidR="00C67C12" w:rsidRPr="00442319">
        <w:rPr>
          <w:rFonts w:ascii="Times New Roman" w:hAnsi="Times New Roman"/>
        </w:rPr>
        <w:t xml:space="preserve">, the commission </w:t>
      </w:r>
      <w:r w:rsidR="00B14270">
        <w:rPr>
          <w:rFonts w:ascii="Times New Roman" w:hAnsi="Times New Roman"/>
        </w:rPr>
        <w:t xml:space="preserve">issued Order 01, </w:t>
      </w:r>
      <w:r>
        <w:rPr>
          <w:rFonts w:ascii="Times New Roman" w:hAnsi="Times New Roman"/>
        </w:rPr>
        <w:t>den</w:t>
      </w:r>
      <w:r w:rsidR="00B14270">
        <w:rPr>
          <w:rFonts w:ascii="Times New Roman" w:hAnsi="Times New Roman"/>
        </w:rPr>
        <w:t xml:space="preserve">ying </w:t>
      </w:r>
      <w:r>
        <w:rPr>
          <w:rFonts w:ascii="Times New Roman" w:hAnsi="Times New Roman"/>
        </w:rPr>
        <w:t>the</w:t>
      </w:r>
      <w:r w:rsidR="00C67C12" w:rsidRPr="00442319">
        <w:rPr>
          <w:rFonts w:ascii="Times New Roman" w:hAnsi="Times New Roman"/>
        </w:rPr>
        <w:t xml:space="preserve"> company’s mitigation re</w:t>
      </w:r>
      <w:r w:rsidR="00B144A1" w:rsidRPr="00442319">
        <w:rPr>
          <w:rFonts w:ascii="Times New Roman" w:hAnsi="Times New Roman"/>
        </w:rPr>
        <w:t>quest</w:t>
      </w:r>
      <w:r>
        <w:rPr>
          <w:rFonts w:ascii="Times New Roman" w:hAnsi="Times New Roman"/>
        </w:rPr>
        <w:t>.</w:t>
      </w:r>
      <w:r w:rsidR="00B144A1" w:rsidRPr="00442319">
        <w:rPr>
          <w:rFonts w:ascii="Times New Roman" w:hAnsi="Times New Roman"/>
        </w:rPr>
        <w:t xml:space="preserve"> </w:t>
      </w:r>
      <w:r w:rsidR="00C67C12" w:rsidRPr="00442319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November 13, 2014</w:t>
      </w:r>
      <w:r w:rsidR="00C67C12" w:rsidRPr="00442319">
        <w:rPr>
          <w:rFonts w:ascii="Times New Roman" w:hAnsi="Times New Roman"/>
        </w:rPr>
        <w:t xml:space="preserve">, the commission received a letter from </w:t>
      </w:r>
      <w:r>
        <w:rPr>
          <w:rFonts w:ascii="Times New Roman" w:hAnsi="Times New Roman"/>
        </w:rPr>
        <w:t>John Lutz of PMC Moving</w:t>
      </w:r>
      <w:r w:rsidR="00B144A1" w:rsidRPr="00442319">
        <w:rPr>
          <w:rFonts w:ascii="Times New Roman" w:hAnsi="Times New Roman"/>
        </w:rPr>
        <w:t xml:space="preserve"> </w:t>
      </w:r>
      <w:r w:rsidR="00C67C12" w:rsidRPr="00442319">
        <w:rPr>
          <w:rFonts w:ascii="Times New Roman" w:hAnsi="Times New Roman"/>
        </w:rPr>
        <w:t>requesting commission review</w:t>
      </w:r>
      <w:r w:rsidR="006413D8" w:rsidRPr="00442319">
        <w:rPr>
          <w:rFonts w:ascii="Times New Roman" w:hAnsi="Times New Roman"/>
        </w:rPr>
        <w:t xml:space="preserve"> of</w:t>
      </w:r>
      <w:r w:rsidR="00C67C12" w:rsidRPr="00442319">
        <w:rPr>
          <w:rFonts w:ascii="Times New Roman" w:hAnsi="Times New Roman"/>
        </w:rPr>
        <w:t xml:space="preserve"> Order 01. </w:t>
      </w:r>
      <w:r w:rsidR="00630976">
        <w:rPr>
          <w:rFonts w:ascii="Times New Roman" w:hAnsi="Times New Roman"/>
        </w:rPr>
        <w:t>According to commission rules in WAC 480-07-904(3), the commission’s review takes place at the Open Meeting.</w:t>
      </w:r>
    </w:p>
    <w:p w14:paraId="5D2A0D9A" w14:textId="77777777" w:rsidR="00C67C12" w:rsidRPr="00442319" w:rsidRDefault="00C67C12" w:rsidP="00570871">
      <w:pPr>
        <w:spacing w:line="276" w:lineRule="auto"/>
        <w:rPr>
          <w:rFonts w:ascii="Times New Roman" w:hAnsi="Times New Roman"/>
        </w:rPr>
      </w:pPr>
    </w:p>
    <w:p w14:paraId="3158BE8A" w14:textId="77777777" w:rsidR="00C67C12" w:rsidRPr="00442319" w:rsidRDefault="00C67C12" w:rsidP="00C67C12">
      <w:pPr>
        <w:rPr>
          <w:rFonts w:ascii="Times New Roman" w:hAnsi="Times New Roman"/>
          <w:b/>
          <w:u w:val="single"/>
        </w:rPr>
      </w:pPr>
      <w:r w:rsidRPr="00442319">
        <w:rPr>
          <w:rFonts w:ascii="Times New Roman" w:hAnsi="Times New Roman"/>
          <w:b/>
          <w:u w:val="single"/>
        </w:rPr>
        <w:t>Discussion</w:t>
      </w:r>
    </w:p>
    <w:p w14:paraId="349275B2" w14:textId="77777777" w:rsidR="00C67C12" w:rsidRPr="00442319" w:rsidRDefault="00C67C12" w:rsidP="00C67C12">
      <w:pPr>
        <w:rPr>
          <w:rFonts w:ascii="Times New Roman" w:hAnsi="Times New Roman"/>
        </w:rPr>
      </w:pPr>
    </w:p>
    <w:p w14:paraId="556DFBF7" w14:textId="0C7D0890" w:rsidR="00F609DC" w:rsidRDefault="00F609DC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Lutz’s November 13, 2014, petition for </w:t>
      </w:r>
      <w:r w:rsidR="00570871">
        <w:rPr>
          <w:rFonts w:ascii="Times New Roman" w:hAnsi="Times New Roman"/>
          <w:bCs/>
        </w:rPr>
        <w:t xml:space="preserve">commission </w:t>
      </w:r>
      <w:r>
        <w:rPr>
          <w:rFonts w:ascii="Times New Roman" w:hAnsi="Times New Roman"/>
          <w:bCs/>
        </w:rPr>
        <w:t xml:space="preserve">review </w:t>
      </w:r>
      <w:r w:rsidR="00570871">
        <w:rPr>
          <w:rFonts w:ascii="Times New Roman" w:hAnsi="Times New Roman"/>
          <w:bCs/>
        </w:rPr>
        <w:t xml:space="preserve">of Order 01 </w:t>
      </w:r>
      <w:r>
        <w:rPr>
          <w:rFonts w:ascii="Times New Roman" w:hAnsi="Times New Roman"/>
          <w:bCs/>
        </w:rPr>
        <w:t xml:space="preserve">requests a hearing to address </w:t>
      </w:r>
      <w:r w:rsidR="00B14270">
        <w:rPr>
          <w:rFonts w:ascii="Times New Roman" w:hAnsi="Times New Roman"/>
          <w:bCs/>
        </w:rPr>
        <w:t xml:space="preserve">some of the points in </w:t>
      </w:r>
      <w:r w:rsidR="00570871">
        <w:rPr>
          <w:rFonts w:ascii="Times New Roman" w:hAnsi="Times New Roman"/>
          <w:bCs/>
        </w:rPr>
        <w:t>PMC Moving’s</w:t>
      </w:r>
      <w:r w:rsidR="00B14270">
        <w:rPr>
          <w:rFonts w:ascii="Times New Roman" w:hAnsi="Times New Roman"/>
          <w:bCs/>
        </w:rPr>
        <w:t xml:space="preserve"> mitigation request which Mr. Lutz believes were overlooked, including </w:t>
      </w:r>
      <w:r w:rsidR="00570871">
        <w:rPr>
          <w:rFonts w:ascii="Times New Roman" w:hAnsi="Times New Roman"/>
          <w:bCs/>
        </w:rPr>
        <w:t xml:space="preserve">alleged </w:t>
      </w:r>
      <w:r w:rsidR="00B14270">
        <w:rPr>
          <w:rFonts w:ascii="Times New Roman" w:hAnsi="Times New Roman"/>
          <w:bCs/>
        </w:rPr>
        <w:t>inaccuracies in Mr. Dickson’s report.</w:t>
      </w:r>
    </w:p>
    <w:p w14:paraId="6F1E5E8B" w14:textId="77777777" w:rsidR="00F609DC" w:rsidRDefault="00F609DC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</w:p>
    <w:p w14:paraId="63C39E16" w14:textId="3930F9F5" w:rsidR="00B14270" w:rsidRDefault="00F609DC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  <w:r w:rsidRPr="00F609DC">
        <w:rPr>
          <w:rFonts w:ascii="Times New Roman" w:hAnsi="Times New Roman"/>
          <w:bCs/>
        </w:rPr>
        <w:t xml:space="preserve">The Penalty Assessment </w:t>
      </w:r>
      <w:r>
        <w:rPr>
          <w:rFonts w:ascii="Times New Roman" w:hAnsi="Times New Roman"/>
          <w:bCs/>
        </w:rPr>
        <w:t>included</w:t>
      </w:r>
      <w:r w:rsidRPr="00F609DC">
        <w:rPr>
          <w:rFonts w:ascii="Times New Roman" w:hAnsi="Times New Roman"/>
          <w:bCs/>
        </w:rPr>
        <w:t xml:space="preserve"> penalties of $100 each for 58 violations of 49 C.F.R. Part 391.45(b</w:t>
      </w:r>
      <w:proofErr w:type="gramStart"/>
      <w:r w:rsidRPr="00F609DC">
        <w:rPr>
          <w:rFonts w:ascii="Times New Roman" w:hAnsi="Times New Roman"/>
          <w:bCs/>
        </w:rPr>
        <w:t>)(</w:t>
      </w:r>
      <w:proofErr w:type="gramEnd"/>
      <w:r w:rsidRPr="00F609DC">
        <w:rPr>
          <w:rFonts w:ascii="Times New Roman" w:hAnsi="Times New Roman"/>
          <w:bCs/>
        </w:rPr>
        <w:t xml:space="preserve">1) because the </w:t>
      </w:r>
      <w:r>
        <w:rPr>
          <w:rFonts w:ascii="Times New Roman" w:hAnsi="Times New Roman"/>
          <w:bCs/>
        </w:rPr>
        <w:t>c</w:t>
      </w:r>
      <w:r w:rsidRPr="00F609DC">
        <w:rPr>
          <w:rFonts w:ascii="Times New Roman" w:hAnsi="Times New Roman"/>
          <w:bCs/>
        </w:rPr>
        <w:t xml:space="preserve">ompany failed to ensure its three drivers were medically examined and certified. </w:t>
      </w:r>
      <w:r w:rsidR="00B14270">
        <w:rPr>
          <w:rFonts w:ascii="Times New Roman" w:hAnsi="Times New Roman"/>
          <w:bCs/>
        </w:rPr>
        <w:t>During the compliance review, s</w:t>
      </w:r>
      <w:r w:rsidRPr="00F609DC">
        <w:rPr>
          <w:rFonts w:ascii="Times New Roman" w:hAnsi="Times New Roman"/>
          <w:bCs/>
        </w:rPr>
        <w:t xml:space="preserve">taff found that in June 2014, </w:t>
      </w:r>
      <w:r w:rsidR="00B31C43">
        <w:rPr>
          <w:rFonts w:ascii="Times New Roman" w:hAnsi="Times New Roman"/>
          <w:bCs/>
        </w:rPr>
        <w:t>three company drivers drove without the required medical certification</w:t>
      </w:r>
      <w:r w:rsidR="00B14270">
        <w:rPr>
          <w:rFonts w:ascii="Times New Roman" w:hAnsi="Times New Roman"/>
          <w:bCs/>
        </w:rPr>
        <w:t xml:space="preserve"> for a total of 58 days</w:t>
      </w:r>
      <w:r w:rsidR="00DC7B42">
        <w:rPr>
          <w:rFonts w:ascii="Times New Roman" w:hAnsi="Times New Roman"/>
          <w:bCs/>
        </w:rPr>
        <w:t>:</w:t>
      </w:r>
      <w:r w:rsidR="00B31C43">
        <w:rPr>
          <w:rFonts w:ascii="Times New Roman" w:hAnsi="Times New Roman"/>
          <w:bCs/>
        </w:rPr>
        <w:t xml:space="preserve"> </w:t>
      </w:r>
      <w:r w:rsidRPr="00F609DC">
        <w:rPr>
          <w:rFonts w:ascii="Times New Roman" w:hAnsi="Times New Roman"/>
          <w:bCs/>
        </w:rPr>
        <w:t xml:space="preserve">Nickolas </w:t>
      </w:r>
      <w:proofErr w:type="spellStart"/>
      <w:r w:rsidRPr="00F609DC">
        <w:rPr>
          <w:rFonts w:ascii="Times New Roman" w:hAnsi="Times New Roman"/>
          <w:bCs/>
        </w:rPr>
        <w:t>Urbach</w:t>
      </w:r>
      <w:proofErr w:type="spellEnd"/>
      <w:r w:rsidRPr="00F609DC">
        <w:rPr>
          <w:rFonts w:ascii="Times New Roman" w:hAnsi="Times New Roman"/>
          <w:bCs/>
        </w:rPr>
        <w:t xml:space="preserve"> drove 17 days, Julian Lave drove 20 days,</w:t>
      </w:r>
      <w:r w:rsidR="000F50C1">
        <w:rPr>
          <w:rFonts w:ascii="Times New Roman" w:hAnsi="Times New Roman"/>
          <w:bCs/>
        </w:rPr>
        <w:t xml:space="preserve"> and Tyler </w:t>
      </w:r>
      <w:proofErr w:type="spellStart"/>
      <w:r w:rsidR="000F50C1">
        <w:rPr>
          <w:rFonts w:ascii="Times New Roman" w:hAnsi="Times New Roman"/>
          <w:bCs/>
        </w:rPr>
        <w:t>Prall</w:t>
      </w:r>
      <w:proofErr w:type="spellEnd"/>
      <w:r w:rsidR="000F50C1">
        <w:rPr>
          <w:rFonts w:ascii="Times New Roman" w:hAnsi="Times New Roman"/>
          <w:bCs/>
        </w:rPr>
        <w:t xml:space="preserve"> drove 21 days.</w:t>
      </w:r>
      <w:r w:rsidR="00570871">
        <w:rPr>
          <w:rFonts w:ascii="Times New Roman" w:hAnsi="Times New Roman"/>
          <w:bCs/>
        </w:rPr>
        <w:t xml:space="preserve">  </w:t>
      </w:r>
      <w:r w:rsidR="000432EC">
        <w:rPr>
          <w:rFonts w:ascii="Times New Roman" w:hAnsi="Times New Roman"/>
          <w:bCs/>
        </w:rPr>
        <w:t xml:space="preserve"> </w:t>
      </w:r>
    </w:p>
    <w:p w14:paraId="7CF2606E" w14:textId="77777777" w:rsidR="00B14270" w:rsidRDefault="00B14270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</w:p>
    <w:p w14:paraId="67604571" w14:textId="5D5FEDAE" w:rsidR="00F609DC" w:rsidRDefault="00F609DC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Prior to the compliance review, Mr. Dickson requested the specific records that he would review during the inspection, including driver hours of service records for each PMC Moving employee. </w:t>
      </w:r>
      <w:r w:rsidRPr="00F609DC">
        <w:rPr>
          <w:rFonts w:ascii="Times New Roman" w:hAnsi="Times New Roman"/>
          <w:bCs/>
        </w:rPr>
        <w:t xml:space="preserve">PMC </w:t>
      </w:r>
      <w:r>
        <w:rPr>
          <w:rFonts w:ascii="Times New Roman" w:hAnsi="Times New Roman"/>
          <w:bCs/>
        </w:rPr>
        <w:t>Moving provided records</w:t>
      </w:r>
      <w:r w:rsidRPr="00F609D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which </w:t>
      </w:r>
      <w:r w:rsidRPr="00F609DC">
        <w:rPr>
          <w:rFonts w:ascii="Times New Roman" w:hAnsi="Times New Roman"/>
          <w:bCs/>
        </w:rPr>
        <w:t xml:space="preserve">reflected hours for Mr. </w:t>
      </w:r>
      <w:proofErr w:type="spellStart"/>
      <w:r w:rsidRPr="00F609DC">
        <w:rPr>
          <w:rFonts w:ascii="Times New Roman" w:hAnsi="Times New Roman"/>
          <w:bCs/>
        </w:rPr>
        <w:t>Prall</w:t>
      </w:r>
      <w:proofErr w:type="spellEnd"/>
      <w:r w:rsidRPr="00F609DC">
        <w:rPr>
          <w:rFonts w:ascii="Times New Roman" w:hAnsi="Times New Roman"/>
          <w:bCs/>
        </w:rPr>
        <w:t xml:space="preserve"> on 21 days in June. </w:t>
      </w:r>
      <w:r w:rsidR="00570871">
        <w:rPr>
          <w:rFonts w:ascii="Times New Roman" w:hAnsi="Times New Roman"/>
          <w:bCs/>
        </w:rPr>
        <w:t>PMC Moving</w:t>
      </w:r>
      <w:r w:rsidR="00570871" w:rsidRPr="00F609DC">
        <w:rPr>
          <w:rFonts w:ascii="Times New Roman" w:hAnsi="Times New Roman"/>
          <w:bCs/>
        </w:rPr>
        <w:t xml:space="preserve"> disputes </w:t>
      </w:r>
      <w:r w:rsidR="00570871">
        <w:rPr>
          <w:rFonts w:ascii="Times New Roman" w:hAnsi="Times New Roman"/>
          <w:bCs/>
        </w:rPr>
        <w:t>s</w:t>
      </w:r>
      <w:r w:rsidR="00570871" w:rsidRPr="00F609DC">
        <w:rPr>
          <w:rFonts w:ascii="Times New Roman" w:hAnsi="Times New Roman"/>
          <w:bCs/>
        </w:rPr>
        <w:t xml:space="preserve">taff’s finding with respect to Mr. </w:t>
      </w:r>
      <w:proofErr w:type="spellStart"/>
      <w:r w:rsidR="00570871" w:rsidRPr="00F609DC">
        <w:rPr>
          <w:rFonts w:ascii="Times New Roman" w:hAnsi="Times New Roman"/>
          <w:bCs/>
        </w:rPr>
        <w:t>Prall</w:t>
      </w:r>
      <w:proofErr w:type="spellEnd"/>
      <w:r w:rsidR="00570871" w:rsidRPr="00F609DC">
        <w:rPr>
          <w:rFonts w:ascii="Times New Roman" w:hAnsi="Times New Roman"/>
          <w:bCs/>
        </w:rPr>
        <w:t xml:space="preserve">, but </w:t>
      </w:r>
      <w:r w:rsidR="00570871">
        <w:rPr>
          <w:rFonts w:ascii="Times New Roman" w:hAnsi="Times New Roman"/>
          <w:bCs/>
        </w:rPr>
        <w:t xml:space="preserve">has </w:t>
      </w:r>
      <w:r w:rsidR="00570871" w:rsidRPr="00F609DC">
        <w:rPr>
          <w:rFonts w:ascii="Times New Roman" w:hAnsi="Times New Roman"/>
          <w:bCs/>
        </w:rPr>
        <w:t>offer</w:t>
      </w:r>
      <w:r w:rsidR="00570871">
        <w:rPr>
          <w:rFonts w:ascii="Times New Roman" w:hAnsi="Times New Roman"/>
          <w:bCs/>
        </w:rPr>
        <w:t>ed</w:t>
      </w:r>
      <w:r w:rsidR="00570871" w:rsidRPr="00F609DC">
        <w:rPr>
          <w:rFonts w:ascii="Times New Roman" w:hAnsi="Times New Roman"/>
          <w:bCs/>
        </w:rPr>
        <w:t xml:space="preserve"> no explanatio</w:t>
      </w:r>
      <w:r w:rsidR="00570871">
        <w:rPr>
          <w:rFonts w:ascii="Times New Roman" w:hAnsi="Times New Roman"/>
          <w:bCs/>
        </w:rPr>
        <w:t>n to support its claim that Mr. Dickson misread or misconstrued c</w:t>
      </w:r>
      <w:r w:rsidR="00570871" w:rsidRPr="00F609DC">
        <w:rPr>
          <w:rFonts w:ascii="Times New Roman" w:hAnsi="Times New Roman"/>
          <w:bCs/>
        </w:rPr>
        <w:t>ompany time sheets.</w:t>
      </w:r>
      <w:r w:rsidR="00570871">
        <w:rPr>
          <w:rFonts w:ascii="Times New Roman" w:hAnsi="Times New Roman"/>
          <w:bCs/>
        </w:rPr>
        <w:t xml:space="preserve"> </w:t>
      </w:r>
      <w:r w:rsidR="005F1896">
        <w:rPr>
          <w:rFonts w:ascii="Times New Roman" w:hAnsi="Times New Roman"/>
          <w:bCs/>
        </w:rPr>
        <w:t xml:space="preserve">To date, </w:t>
      </w:r>
      <w:r w:rsidRPr="00F609DC">
        <w:rPr>
          <w:rFonts w:ascii="Times New Roman" w:hAnsi="Times New Roman"/>
          <w:bCs/>
        </w:rPr>
        <w:t xml:space="preserve">PMC </w:t>
      </w:r>
      <w:r w:rsidR="007274FA">
        <w:rPr>
          <w:rFonts w:ascii="Times New Roman" w:hAnsi="Times New Roman"/>
          <w:bCs/>
        </w:rPr>
        <w:t xml:space="preserve">Moving </w:t>
      </w:r>
      <w:r w:rsidR="006E561C">
        <w:rPr>
          <w:rFonts w:ascii="Times New Roman" w:hAnsi="Times New Roman"/>
          <w:bCs/>
        </w:rPr>
        <w:t xml:space="preserve">has </w:t>
      </w:r>
      <w:r w:rsidRPr="00F609DC">
        <w:rPr>
          <w:rFonts w:ascii="Times New Roman" w:hAnsi="Times New Roman"/>
          <w:bCs/>
        </w:rPr>
        <w:t>not submit</w:t>
      </w:r>
      <w:r w:rsidR="006E561C">
        <w:rPr>
          <w:rFonts w:ascii="Times New Roman" w:hAnsi="Times New Roman"/>
          <w:bCs/>
        </w:rPr>
        <w:t>ted</w:t>
      </w:r>
      <w:r w:rsidRPr="00F609DC">
        <w:rPr>
          <w:rFonts w:ascii="Times New Roman" w:hAnsi="Times New Roman"/>
          <w:bCs/>
        </w:rPr>
        <w:t xml:space="preserve"> any evidence to refute </w:t>
      </w:r>
      <w:r>
        <w:rPr>
          <w:rFonts w:ascii="Times New Roman" w:hAnsi="Times New Roman"/>
          <w:bCs/>
        </w:rPr>
        <w:t>s</w:t>
      </w:r>
      <w:r w:rsidRPr="00F609DC">
        <w:rPr>
          <w:rFonts w:ascii="Times New Roman" w:hAnsi="Times New Roman"/>
          <w:bCs/>
        </w:rPr>
        <w:t xml:space="preserve">taff’s finding that Mr. </w:t>
      </w:r>
      <w:proofErr w:type="spellStart"/>
      <w:r w:rsidRPr="00F609DC">
        <w:rPr>
          <w:rFonts w:ascii="Times New Roman" w:hAnsi="Times New Roman"/>
          <w:bCs/>
        </w:rPr>
        <w:t>Prall</w:t>
      </w:r>
      <w:proofErr w:type="spellEnd"/>
      <w:r w:rsidRPr="00F609DC">
        <w:rPr>
          <w:rFonts w:ascii="Times New Roman" w:hAnsi="Times New Roman"/>
          <w:bCs/>
        </w:rPr>
        <w:t xml:space="preserve"> drove uncertified on 21 days.</w:t>
      </w:r>
    </w:p>
    <w:p w14:paraId="6199ABFE" w14:textId="77777777" w:rsidR="000F50C1" w:rsidRDefault="000F50C1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</w:p>
    <w:p w14:paraId="409FED3B" w14:textId="430EDFC8" w:rsidR="000F50C1" w:rsidRDefault="000F50C1" w:rsidP="00DC7B42">
      <w:pPr>
        <w:tabs>
          <w:tab w:val="num" w:pos="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Penalty Assessment also included a penalty of $100 for three violations of </w:t>
      </w:r>
      <w:r w:rsidRPr="00442319">
        <w:rPr>
          <w:rFonts w:ascii="Times New Roman" w:hAnsi="Times New Roman"/>
          <w:bCs/>
        </w:rPr>
        <w:t>49 C.F.R. Part 396 related to vehicle inspection, repair, and maintenance</w:t>
      </w:r>
      <w:r>
        <w:rPr>
          <w:rFonts w:ascii="Times New Roman" w:hAnsi="Times New Roman"/>
          <w:bCs/>
        </w:rPr>
        <w:t xml:space="preserve">. </w:t>
      </w:r>
      <w:r w:rsidR="00DC7B42">
        <w:rPr>
          <w:rFonts w:ascii="Times New Roman" w:hAnsi="Times New Roman"/>
          <w:bCs/>
        </w:rPr>
        <w:t>Because t</w:t>
      </w:r>
      <w:r>
        <w:rPr>
          <w:rFonts w:ascii="Times New Roman" w:hAnsi="Times New Roman"/>
          <w:bCs/>
        </w:rPr>
        <w:t>he commission could have assessed a</w:t>
      </w:r>
      <w:r w:rsidR="000432EC">
        <w:rPr>
          <w:rFonts w:ascii="Times New Roman" w:hAnsi="Times New Roman"/>
          <w:bCs/>
        </w:rPr>
        <w:t xml:space="preserve"> </w:t>
      </w:r>
      <w:r w:rsidR="00DC7B42">
        <w:rPr>
          <w:rFonts w:ascii="Times New Roman" w:hAnsi="Times New Roman"/>
          <w:bCs/>
        </w:rPr>
        <w:t xml:space="preserve">$100 </w:t>
      </w:r>
      <w:r w:rsidR="000432EC">
        <w:rPr>
          <w:rFonts w:ascii="Times New Roman" w:hAnsi="Times New Roman"/>
          <w:bCs/>
        </w:rPr>
        <w:t xml:space="preserve">penalty for each </w:t>
      </w:r>
      <w:r w:rsidR="00DC7B42">
        <w:rPr>
          <w:rFonts w:ascii="Times New Roman" w:hAnsi="Times New Roman"/>
          <w:bCs/>
        </w:rPr>
        <w:t xml:space="preserve">of the three </w:t>
      </w:r>
      <w:r w:rsidR="000432EC">
        <w:rPr>
          <w:rFonts w:ascii="Times New Roman" w:hAnsi="Times New Roman"/>
          <w:bCs/>
        </w:rPr>
        <w:t>violatio</w:t>
      </w:r>
      <w:r w:rsidR="00DC7B42">
        <w:rPr>
          <w:rFonts w:ascii="Times New Roman" w:hAnsi="Times New Roman"/>
          <w:bCs/>
        </w:rPr>
        <w:t>ns, staff believes the penalty has already been sufficiently reduced and does not support any further reduction of the penalty.</w:t>
      </w:r>
    </w:p>
    <w:p w14:paraId="085FD5CE" w14:textId="08203F1F" w:rsidR="00C67C12" w:rsidRDefault="00C67C12" w:rsidP="00DC7B42">
      <w:pPr>
        <w:spacing w:line="276" w:lineRule="auto"/>
        <w:rPr>
          <w:rFonts w:ascii="Times New Roman" w:hAnsi="Times New Roman"/>
        </w:rPr>
      </w:pPr>
    </w:p>
    <w:p w14:paraId="4CE353B8" w14:textId="5CD255F2" w:rsidR="00C67C12" w:rsidRPr="00442319" w:rsidRDefault="00C67C12" w:rsidP="00DC7B42">
      <w:pPr>
        <w:spacing w:line="276" w:lineRule="auto"/>
        <w:rPr>
          <w:rFonts w:ascii="Times New Roman" w:hAnsi="Times New Roman"/>
        </w:rPr>
      </w:pPr>
      <w:r w:rsidRPr="00442319">
        <w:rPr>
          <w:rFonts w:ascii="Times New Roman" w:hAnsi="Times New Roman"/>
        </w:rPr>
        <w:t>Commission staff reviewed</w:t>
      </w:r>
      <w:r w:rsidR="00DC7B42">
        <w:rPr>
          <w:rFonts w:ascii="Times New Roman" w:hAnsi="Times New Roman"/>
        </w:rPr>
        <w:t xml:space="preserve"> Mr. Lutz’s November 13, 2014, petition</w:t>
      </w:r>
      <w:r w:rsidR="003937BE">
        <w:rPr>
          <w:rFonts w:ascii="Times New Roman" w:hAnsi="Times New Roman"/>
        </w:rPr>
        <w:t xml:space="preserve"> for review</w:t>
      </w:r>
      <w:r w:rsidR="00DC7B42">
        <w:rPr>
          <w:rFonts w:ascii="Times New Roman" w:hAnsi="Times New Roman"/>
        </w:rPr>
        <w:t xml:space="preserve"> </w:t>
      </w:r>
      <w:r w:rsidRPr="00442319">
        <w:rPr>
          <w:rFonts w:ascii="Times New Roman" w:hAnsi="Times New Roman"/>
        </w:rPr>
        <w:t xml:space="preserve">and </w:t>
      </w:r>
      <w:r w:rsidR="003937BE" w:rsidRPr="00442319">
        <w:rPr>
          <w:rFonts w:ascii="Times New Roman" w:hAnsi="Times New Roman"/>
          <w:bCs/>
        </w:rPr>
        <w:t>does not find any</w:t>
      </w:r>
      <w:r w:rsidR="003937BE">
        <w:rPr>
          <w:rFonts w:ascii="Times New Roman" w:hAnsi="Times New Roman"/>
          <w:bCs/>
        </w:rPr>
        <w:t xml:space="preserve"> new</w:t>
      </w:r>
      <w:r w:rsidR="003937BE" w:rsidRPr="00442319">
        <w:rPr>
          <w:rFonts w:ascii="Times New Roman" w:hAnsi="Times New Roman"/>
          <w:bCs/>
        </w:rPr>
        <w:t xml:space="preserve"> information which would support mitigation</w:t>
      </w:r>
      <w:r w:rsidR="003937BE">
        <w:rPr>
          <w:rFonts w:ascii="Times New Roman" w:hAnsi="Times New Roman"/>
          <w:bCs/>
        </w:rPr>
        <w:t xml:space="preserve">. </w:t>
      </w:r>
    </w:p>
    <w:p w14:paraId="480FA61D" w14:textId="77777777" w:rsidR="00C67C12" w:rsidRPr="00442319" w:rsidRDefault="00C67C12" w:rsidP="00DC7B42">
      <w:pPr>
        <w:spacing w:line="276" w:lineRule="auto"/>
        <w:rPr>
          <w:rFonts w:ascii="Times New Roman" w:hAnsi="Times New Roman"/>
          <w:color w:val="FF0000"/>
        </w:rPr>
      </w:pPr>
    </w:p>
    <w:p w14:paraId="1B64926F" w14:textId="77777777" w:rsidR="00C67C12" w:rsidRPr="00442319" w:rsidRDefault="00C67C12" w:rsidP="00DC7B42">
      <w:pPr>
        <w:spacing w:line="276" w:lineRule="auto"/>
        <w:rPr>
          <w:rFonts w:ascii="Times New Roman" w:hAnsi="Times New Roman"/>
          <w:b/>
          <w:u w:val="single"/>
        </w:rPr>
      </w:pPr>
      <w:r w:rsidRPr="00442319">
        <w:rPr>
          <w:rFonts w:ascii="Times New Roman" w:hAnsi="Times New Roman"/>
          <w:b/>
          <w:u w:val="single"/>
        </w:rPr>
        <w:t>Conclusion</w:t>
      </w:r>
    </w:p>
    <w:p w14:paraId="7C527560" w14:textId="77777777" w:rsidR="00C67C12" w:rsidRPr="00442319" w:rsidRDefault="00C67C12" w:rsidP="00DC7B42">
      <w:pPr>
        <w:spacing w:line="276" w:lineRule="auto"/>
        <w:rPr>
          <w:rFonts w:ascii="Times New Roman" w:hAnsi="Times New Roman"/>
          <w:b/>
          <w:color w:val="FF0000"/>
          <w:u w:val="single"/>
        </w:rPr>
      </w:pPr>
    </w:p>
    <w:p w14:paraId="0427C7EE" w14:textId="473EBA85" w:rsidR="0076155B" w:rsidRPr="00442319" w:rsidRDefault="00C67C12" w:rsidP="00DC7B42">
      <w:pPr>
        <w:spacing w:line="276" w:lineRule="auto"/>
        <w:rPr>
          <w:rFonts w:ascii="Times New Roman" w:hAnsi="Times New Roman"/>
        </w:rPr>
      </w:pPr>
      <w:r w:rsidRPr="00442319">
        <w:rPr>
          <w:rFonts w:ascii="Times New Roman" w:hAnsi="Times New Roman"/>
        </w:rPr>
        <w:t xml:space="preserve">Issue an </w:t>
      </w:r>
      <w:r w:rsidR="00DC7B42">
        <w:rPr>
          <w:rFonts w:ascii="Times New Roman" w:hAnsi="Times New Roman"/>
        </w:rPr>
        <w:t>O</w:t>
      </w:r>
      <w:r w:rsidRPr="00442319">
        <w:rPr>
          <w:rFonts w:ascii="Times New Roman" w:hAnsi="Times New Roman"/>
        </w:rPr>
        <w:t>rder in Docket TV-</w:t>
      </w:r>
      <w:r w:rsidR="006E561C">
        <w:rPr>
          <w:rFonts w:ascii="Times New Roman" w:hAnsi="Times New Roman"/>
        </w:rPr>
        <w:t>143221</w:t>
      </w:r>
      <w:r w:rsidRPr="00442319">
        <w:rPr>
          <w:rFonts w:ascii="Times New Roman" w:hAnsi="Times New Roman"/>
        </w:rPr>
        <w:t xml:space="preserve">, </w:t>
      </w:r>
      <w:r w:rsidR="00DC7B42">
        <w:rPr>
          <w:rFonts w:ascii="Times New Roman" w:hAnsi="Times New Roman"/>
        </w:rPr>
        <w:t xml:space="preserve">affirming Order 01 </w:t>
      </w:r>
      <w:r w:rsidR="00D23927">
        <w:rPr>
          <w:rFonts w:ascii="Times New Roman" w:hAnsi="Times New Roman"/>
        </w:rPr>
        <w:t>denying</w:t>
      </w:r>
      <w:r w:rsidRPr="00442319">
        <w:rPr>
          <w:rFonts w:ascii="Times New Roman" w:hAnsi="Times New Roman"/>
        </w:rPr>
        <w:t xml:space="preserve"> mitigation of </w:t>
      </w:r>
      <w:r w:rsidR="006E561C">
        <w:rPr>
          <w:rFonts w:ascii="Times New Roman" w:hAnsi="Times New Roman"/>
        </w:rPr>
        <w:t xml:space="preserve">PMC Moving, Inc.’s </w:t>
      </w:r>
      <w:r w:rsidRPr="00442319">
        <w:rPr>
          <w:rFonts w:ascii="Times New Roman" w:hAnsi="Times New Roman"/>
        </w:rPr>
        <w:t>penalty assessment.</w:t>
      </w:r>
    </w:p>
    <w:sectPr w:rsidR="0076155B" w:rsidRPr="00442319" w:rsidSect="00436B53">
      <w:headerReference w:type="default" r:id="rId10"/>
      <w:footerReference w:type="default" r:id="rId11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97EC" w14:textId="77777777" w:rsidR="00041C94" w:rsidRDefault="00041C94" w:rsidP="00036FCB">
      <w:r>
        <w:separator/>
      </w:r>
    </w:p>
  </w:endnote>
  <w:endnote w:type="continuationSeparator" w:id="0">
    <w:p w14:paraId="38B21675" w14:textId="77777777" w:rsidR="00041C94" w:rsidRDefault="00041C94" w:rsidP="000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C7F9" w14:textId="77777777" w:rsidR="000A3371" w:rsidRDefault="000A3371">
    <w:pPr>
      <w:pStyle w:val="Footer"/>
    </w:pPr>
  </w:p>
  <w:p w14:paraId="0427C7FA" w14:textId="77777777" w:rsidR="000A3371" w:rsidRDefault="000A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7BF6" w14:textId="77777777" w:rsidR="00041C94" w:rsidRDefault="00041C94" w:rsidP="00036FCB">
      <w:r>
        <w:separator/>
      </w:r>
    </w:p>
  </w:footnote>
  <w:footnote w:type="continuationSeparator" w:id="0">
    <w:p w14:paraId="29B8939A" w14:textId="77777777" w:rsidR="00041C94" w:rsidRDefault="00041C94" w:rsidP="000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C7F4" w14:textId="724E0168" w:rsidR="000A3371" w:rsidRPr="00777586" w:rsidRDefault="000A3371" w:rsidP="00036FCB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 TV-</w:t>
    </w:r>
    <w:r w:rsidR="00442319">
      <w:rPr>
        <w:rFonts w:ascii="Times New Roman" w:hAnsi="Times New Roman"/>
        <w:sz w:val="20"/>
        <w:szCs w:val="20"/>
      </w:rPr>
      <w:t>143221</w:t>
    </w:r>
  </w:p>
  <w:p w14:paraId="0427C7F5" w14:textId="6059988B" w:rsidR="000A3371" w:rsidRPr="00777586" w:rsidRDefault="00442319" w:rsidP="00036FCB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11, 2014</w:t>
    </w:r>
  </w:p>
  <w:p w14:paraId="0427C7F6" w14:textId="77777777" w:rsidR="000A3371" w:rsidRDefault="000A3371" w:rsidP="00036FCB">
    <w:pPr>
      <w:pStyle w:val="Header"/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5A6EE6">
      <w:rPr>
        <w:rStyle w:val="PageNumber"/>
        <w:rFonts w:ascii="Times New Roman" w:hAnsi="Times New Roman"/>
        <w:noProof/>
        <w:sz w:val="20"/>
        <w:szCs w:val="20"/>
      </w:rPr>
      <w:t>2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14:paraId="0427C7F7" w14:textId="77777777" w:rsidR="000A3371" w:rsidRDefault="000A3371">
    <w:pPr>
      <w:pStyle w:val="Header"/>
    </w:pPr>
  </w:p>
  <w:p w14:paraId="766A0E4A" w14:textId="77777777" w:rsidR="00436B53" w:rsidRDefault="00436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128D0"/>
    <w:multiLevelType w:val="hybridMultilevel"/>
    <w:tmpl w:val="34F4E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B"/>
    <w:rsid w:val="0000549A"/>
    <w:rsid w:val="00016322"/>
    <w:rsid w:val="00036FCB"/>
    <w:rsid w:val="00041C94"/>
    <w:rsid w:val="000432EC"/>
    <w:rsid w:val="00050019"/>
    <w:rsid w:val="00055132"/>
    <w:rsid w:val="00094F43"/>
    <w:rsid w:val="000A3371"/>
    <w:rsid w:val="000D76EA"/>
    <w:rsid w:val="000E39BD"/>
    <w:rsid w:val="000E640C"/>
    <w:rsid w:val="000F195D"/>
    <w:rsid w:val="000F50C1"/>
    <w:rsid w:val="0012773D"/>
    <w:rsid w:val="001408DE"/>
    <w:rsid w:val="00164176"/>
    <w:rsid w:val="00171BC2"/>
    <w:rsid w:val="001C0676"/>
    <w:rsid w:val="001C124A"/>
    <w:rsid w:val="001C5AB1"/>
    <w:rsid w:val="001E1D7A"/>
    <w:rsid w:val="001E22CC"/>
    <w:rsid w:val="002410DA"/>
    <w:rsid w:val="00284504"/>
    <w:rsid w:val="002C039A"/>
    <w:rsid w:val="002F0535"/>
    <w:rsid w:val="00311672"/>
    <w:rsid w:val="00377F91"/>
    <w:rsid w:val="00384917"/>
    <w:rsid w:val="003937BE"/>
    <w:rsid w:val="003A08A8"/>
    <w:rsid w:val="003B1E2B"/>
    <w:rsid w:val="003B2009"/>
    <w:rsid w:val="003B486F"/>
    <w:rsid w:val="003C318C"/>
    <w:rsid w:val="003D2FD6"/>
    <w:rsid w:val="00407C11"/>
    <w:rsid w:val="00436B53"/>
    <w:rsid w:val="00442319"/>
    <w:rsid w:val="0048403B"/>
    <w:rsid w:val="004C614E"/>
    <w:rsid w:val="004F2B8B"/>
    <w:rsid w:val="00512BD7"/>
    <w:rsid w:val="00544FA9"/>
    <w:rsid w:val="00552600"/>
    <w:rsid w:val="00570871"/>
    <w:rsid w:val="0058286A"/>
    <w:rsid w:val="005A3377"/>
    <w:rsid w:val="005A3BE4"/>
    <w:rsid w:val="005A6C74"/>
    <w:rsid w:val="005A6EE6"/>
    <w:rsid w:val="005B45D1"/>
    <w:rsid w:val="005C232C"/>
    <w:rsid w:val="005C2815"/>
    <w:rsid w:val="005E06C8"/>
    <w:rsid w:val="005F1896"/>
    <w:rsid w:val="005F4B98"/>
    <w:rsid w:val="00601E4B"/>
    <w:rsid w:val="00630976"/>
    <w:rsid w:val="006413D8"/>
    <w:rsid w:val="00643152"/>
    <w:rsid w:val="006606ED"/>
    <w:rsid w:val="00672F7B"/>
    <w:rsid w:val="0069321D"/>
    <w:rsid w:val="00694464"/>
    <w:rsid w:val="006A06C7"/>
    <w:rsid w:val="006A41EE"/>
    <w:rsid w:val="006E561C"/>
    <w:rsid w:val="007274FA"/>
    <w:rsid w:val="00744D67"/>
    <w:rsid w:val="0076155B"/>
    <w:rsid w:val="00781A93"/>
    <w:rsid w:val="00784A91"/>
    <w:rsid w:val="008112E7"/>
    <w:rsid w:val="008247AF"/>
    <w:rsid w:val="00850B0E"/>
    <w:rsid w:val="00881628"/>
    <w:rsid w:val="008A3600"/>
    <w:rsid w:val="008A5EA4"/>
    <w:rsid w:val="008C0805"/>
    <w:rsid w:val="008E0CF8"/>
    <w:rsid w:val="008E3132"/>
    <w:rsid w:val="008E7F99"/>
    <w:rsid w:val="00912812"/>
    <w:rsid w:val="00936165"/>
    <w:rsid w:val="009373D0"/>
    <w:rsid w:val="00985F41"/>
    <w:rsid w:val="009A031B"/>
    <w:rsid w:val="009A0BD7"/>
    <w:rsid w:val="009C305C"/>
    <w:rsid w:val="00A004A4"/>
    <w:rsid w:val="00A463A7"/>
    <w:rsid w:val="00A64CE6"/>
    <w:rsid w:val="00A763E1"/>
    <w:rsid w:val="00A84C2A"/>
    <w:rsid w:val="00AA6D3C"/>
    <w:rsid w:val="00AB382B"/>
    <w:rsid w:val="00AB5B6E"/>
    <w:rsid w:val="00AD3312"/>
    <w:rsid w:val="00AE1290"/>
    <w:rsid w:val="00AE273E"/>
    <w:rsid w:val="00B13041"/>
    <w:rsid w:val="00B14270"/>
    <w:rsid w:val="00B144A1"/>
    <w:rsid w:val="00B31C43"/>
    <w:rsid w:val="00B46363"/>
    <w:rsid w:val="00B61EF1"/>
    <w:rsid w:val="00BF40B1"/>
    <w:rsid w:val="00C04490"/>
    <w:rsid w:val="00C04A34"/>
    <w:rsid w:val="00C47398"/>
    <w:rsid w:val="00C65CCC"/>
    <w:rsid w:val="00C67C12"/>
    <w:rsid w:val="00C70AB3"/>
    <w:rsid w:val="00C849A3"/>
    <w:rsid w:val="00CE167C"/>
    <w:rsid w:val="00CE2824"/>
    <w:rsid w:val="00D042B3"/>
    <w:rsid w:val="00D05794"/>
    <w:rsid w:val="00D107BC"/>
    <w:rsid w:val="00D23927"/>
    <w:rsid w:val="00D82AEE"/>
    <w:rsid w:val="00DA1B86"/>
    <w:rsid w:val="00DA338B"/>
    <w:rsid w:val="00DA4D9B"/>
    <w:rsid w:val="00DC7B42"/>
    <w:rsid w:val="00DD2A47"/>
    <w:rsid w:val="00DE4461"/>
    <w:rsid w:val="00DE4681"/>
    <w:rsid w:val="00E31C99"/>
    <w:rsid w:val="00E772D5"/>
    <w:rsid w:val="00E94864"/>
    <w:rsid w:val="00EB5F81"/>
    <w:rsid w:val="00ED34C3"/>
    <w:rsid w:val="00EF0401"/>
    <w:rsid w:val="00F077A8"/>
    <w:rsid w:val="00F21B68"/>
    <w:rsid w:val="00F55C80"/>
    <w:rsid w:val="00F56FA2"/>
    <w:rsid w:val="00F609DC"/>
    <w:rsid w:val="00F6603E"/>
    <w:rsid w:val="00F81A88"/>
    <w:rsid w:val="00F97BB0"/>
    <w:rsid w:val="00FB78BE"/>
    <w:rsid w:val="00FF0F7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C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CB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036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6FCB"/>
  </w:style>
  <w:style w:type="paragraph" w:styleId="Footer">
    <w:name w:val="footer"/>
    <w:basedOn w:val="Normal"/>
    <w:link w:val="FooterChar"/>
    <w:uiPriority w:val="99"/>
    <w:unhideWhenUsed/>
    <w:rsid w:val="00036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CB"/>
  </w:style>
  <w:style w:type="paragraph" w:styleId="BalloonText">
    <w:name w:val="Balloon Text"/>
    <w:basedOn w:val="Normal"/>
    <w:link w:val="BalloonTextChar"/>
    <w:uiPriority w:val="99"/>
    <w:semiHidden/>
    <w:unhideWhenUsed/>
    <w:rsid w:val="00036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CB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036FCB"/>
  </w:style>
  <w:style w:type="character" w:styleId="FootnoteReference">
    <w:name w:val="footnote reference"/>
    <w:semiHidden/>
    <w:rsid w:val="008E3132"/>
  </w:style>
  <w:style w:type="paragraph" w:styleId="FootnoteText">
    <w:name w:val="footnote text"/>
    <w:basedOn w:val="Normal"/>
    <w:link w:val="FootnoteTextChar"/>
    <w:rsid w:val="008E313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3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88B5C8C6E0A846AD09C05DDFAEFD90" ma:contentTypeVersion="175" ma:contentTypeDescription="" ma:contentTypeScope="" ma:versionID="fbc6b97dda59d89f296e2e581c9722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PMC Moving, LLC</CaseCompanyNames>
    <DocketNumber xmlns="dc463f71-b30c-4ab2-9473-d307f9d35888">143221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948804-B524-4536-98EC-1B97077AE033}"/>
</file>

<file path=customXml/itemProps2.xml><?xml version="1.0" encoding="utf-8"?>
<ds:datastoreItem xmlns:ds="http://schemas.openxmlformats.org/officeDocument/2006/customXml" ds:itemID="{D8831B3E-8EB6-479C-AA3D-D5E5A5555886}"/>
</file>

<file path=customXml/itemProps3.xml><?xml version="1.0" encoding="utf-8"?>
<ds:datastoreItem xmlns:ds="http://schemas.openxmlformats.org/officeDocument/2006/customXml" ds:itemID="{F889E43A-3563-4F70-B7C1-8AAAC0F23C6E}"/>
</file>

<file path=customXml/itemProps4.xml><?xml version="1.0" encoding="utf-8"?>
<ds:datastoreItem xmlns:ds="http://schemas.openxmlformats.org/officeDocument/2006/customXml" ds:itemID="{4B8BD7CB-6DB6-4B0B-BA27-05F692B26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2014-12-09T17:47:00Z</dcterms:created>
  <dcterms:modified xsi:type="dcterms:W3CDTF">2014-12-09T17:48:00Z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0x0101006E56B4D1795A2E4DB2F0B01679ED314A001C88B5C8C6E0A846AD09C05DDFAEFD90</vt:lpwstr>
  </property>
  <property fmtid="{D5CDD505-2E9C-101B-9397-08002B2CF9AE}" pid="3" name="_docset_NoMedatataSyncRequired">
    <vt:lpwstr>False</vt:lpwstr>
  </property>
</Properties>
</file>