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B7383" w14:textId="3A41EE0B" w:rsidR="00817315" w:rsidRDefault="00817315" w:rsidP="00817315">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CC3BAE">
        <w:rPr>
          <w:rFonts w:ascii="Times New Roman" w:hAnsi="Times New Roman" w:cs="Times New Roman"/>
          <w:sz w:val="24"/>
          <w:szCs w:val="24"/>
        </w:rPr>
        <w:t>July 24</w:t>
      </w:r>
      <w:r>
        <w:rPr>
          <w:rFonts w:ascii="Times New Roman" w:hAnsi="Times New Roman" w:cs="Times New Roman"/>
          <w:sz w:val="24"/>
          <w:szCs w:val="24"/>
        </w:rPr>
        <w:t>, 2014</w:t>
      </w:r>
    </w:p>
    <w:p w14:paraId="19DB7384" w14:textId="7B05FC12" w:rsidR="00817315" w:rsidRDefault="00817315" w:rsidP="00817315">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7E2CAA">
        <w:rPr>
          <w:rFonts w:ascii="Times New Roman" w:hAnsi="Times New Roman" w:cs="Times New Roman"/>
          <w:sz w:val="24"/>
          <w:szCs w:val="24"/>
        </w:rPr>
        <w:t>B1</w:t>
      </w:r>
    </w:p>
    <w:p w14:paraId="19DB7385" w14:textId="77777777" w:rsidR="00817315" w:rsidRDefault="00817315" w:rsidP="00817315">
      <w:pPr>
        <w:rPr>
          <w:rFonts w:ascii="Times New Roman" w:hAnsi="Times New Roman" w:cs="Times New Roman"/>
          <w:sz w:val="24"/>
          <w:szCs w:val="24"/>
        </w:rPr>
      </w:pPr>
    </w:p>
    <w:p w14:paraId="19DB7386" w14:textId="6E5E32BA" w:rsidR="00817315" w:rsidRDefault="00817315" w:rsidP="00817315">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w:t>
      </w:r>
      <w:r w:rsidR="00A02C96">
        <w:rPr>
          <w:rFonts w:ascii="Times New Roman" w:hAnsi="Times New Roman" w:cs="Times New Roman"/>
          <w:b/>
          <w:sz w:val="24"/>
          <w:szCs w:val="24"/>
        </w:rPr>
        <w:t>141092</w:t>
      </w:r>
    </w:p>
    <w:p w14:paraId="19DB7387" w14:textId="23EA42E5" w:rsidR="00817315" w:rsidRDefault="00817315" w:rsidP="00817315">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A02C96">
        <w:rPr>
          <w:rFonts w:ascii="Times New Roman" w:hAnsi="Times New Roman" w:cs="Times New Roman"/>
          <w:sz w:val="24"/>
          <w:szCs w:val="24"/>
        </w:rPr>
        <w:t>Methow Valley Sanitation Service</w:t>
      </w:r>
      <w:r>
        <w:rPr>
          <w:rFonts w:ascii="Times New Roman" w:hAnsi="Times New Roman" w:cs="Times New Roman"/>
          <w:sz w:val="24"/>
          <w:szCs w:val="24"/>
        </w:rPr>
        <w:t xml:space="preserve">, </w:t>
      </w:r>
      <w:r w:rsidR="000E1342">
        <w:rPr>
          <w:rFonts w:ascii="Times New Roman" w:hAnsi="Times New Roman" w:cs="Times New Roman"/>
          <w:sz w:val="24"/>
          <w:szCs w:val="24"/>
        </w:rPr>
        <w:t>Inc.,</w:t>
      </w:r>
      <w:r w:rsidR="009E657B">
        <w:rPr>
          <w:rFonts w:ascii="Times New Roman" w:hAnsi="Times New Roman" w:cs="Times New Roman"/>
          <w:sz w:val="24"/>
          <w:szCs w:val="24"/>
        </w:rPr>
        <w:t xml:space="preserve"> </w:t>
      </w:r>
      <w:r w:rsidR="00A02C96">
        <w:rPr>
          <w:rFonts w:ascii="Times New Roman" w:hAnsi="Times New Roman" w:cs="Times New Roman"/>
          <w:sz w:val="24"/>
          <w:szCs w:val="24"/>
        </w:rPr>
        <w:t>dba WasteWise Methow</w:t>
      </w:r>
      <w:r w:rsidR="00115A7C">
        <w:rPr>
          <w:rFonts w:ascii="Times New Roman" w:hAnsi="Times New Roman" w:cs="Times New Roman"/>
          <w:sz w:val="24"/>
          <w:szCs w:val="24"/>
        </w:rPr>
        <w:t xml:space="preserve">. </w:t>
      </w:r>
      <w:r w:rsidR="00A02C96">
        <w:rPr>
          <w:rFonts w:ascii="Times New Roman" w:hAnsi="Times New Roman" w:cs="Times New Roman"/>
          <w:sz w:val="24"/>
          <w:szCs w:val="24"/>
        </w:rPr>
        <w:t xml:space="preserve"> </w:t>
      </w:r>
      <w:r>
        <w:rPr>
          <w:rFonts w:ascii="Times New Roman" w:hAnsi="Times New Roman" w:cs="Times New Roman"/>
          <w:sz w:val="24"/>
          <w:szCs w:val="24"/>
        </w:rPr>
        <w:t>G-</w:t>
      </w:r>
      <w:r w:rsidR="00A02C96">
        <w:rPr>
          <w:rFonts w:ascii="Times New Roman" w:hAnsi="Times New Roman" w:cs="Times New Roman"/>
          <w:sz w:val="24"/>
          <w:szCs w:val="24"/>
        </w:rPr>
        <w:t>146</w:t>
      </w:r>
    </w:p>
    <w:p w14:paraId="19DB7388" w14:textId="77777777" w:rsidR="00817315" w:rsidRDefault="00817315" w:rsidP="00817315">
      <w:pPr>
        <w:rPr>
          <w:rFonts w:ascii="Times New Roman" w:hAnsi="Times New Roman" w:cs="Times New Roman"/>
          <w:sz w:val="24"/>
          <w:szCs w:val="24"/>
        </w:rPr>
      </w:pPr>
    </w:p>
    <w:p w14:paraId="19DB738A" w14:textId="7823C37A" w:rsidR="00817315" w:rsidRDefault="00817315" w:rsidP="00A02C96">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Mike Young, Regulatory Analyst</w:t>
      </w:r>
    </w:p>
    <w:p w14:paraId="19DB738B" w14:textId="77777777" w:rsidR="00817315" w:rsidRDefault="00817315" w:rsidP="00817315">
      <w:pPr>
        <w:ind w:left="1440" w:firstLine="720"/>
        <w:rPr>
          <w:rFonts w:ascii="Times New Roman" w:hAnsi="Times New Roman" w:cs="Times New Roman"/>
          <w:sz w:val="24"/>
          <w:szCs w:val="24"/>
        </w:rPr>
      </w:pPr>
      <w:r>
        <w:rPr>
          <w:rFonts w:ascii="Times New Roman" w:hAnsi="Times New Roman" w:cs="Times New Roman"/>
          <w:sz w:val="24"/>
          <w:szCs w:val="24"/>
        </w:rPr>
        <w:t>John Cupp, Consumer Protection Staff</w:t>
      </w:r>
    </w:p>
    <w:p w14:paraId="19DB738C" w14:textId="77777777" w:rsidR="00817315" w:rsidRDefault="00817315" w:rsidP="00817315">
      <w:pPr>
        <w:rPr>
          <w:rFonts w:ascii="Times New Roman" w:hAnsi="Times New Roman" w:cs="Times New Roman"/>
          <w:sz w:val="24"/>
          <w:szCs w:val="24"/>
        </w:rPr>
      </w:pPr>
    </w:p>
    <w:p w14:paraId="19DB738D"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Recommendation</w:t>
      </w:r>
    </w:p>
    <w:p w14:paraId="19DB738E" w14:textId="77777777" w:rsidR="00817315" w:rsidRDefault="00817315" w:rsidP="00817315">
      <w:pPr>
        <w:rPr>
          <w:rFonts w:ascii="Times New Roman" w:hAnsi="Times New Roman" w:cs="Times New Roman"/>
          <w:sz w:val="24"/>
          <w:szCs w:val="24"/>
        </w:rPr>
      </w:pPr>
    </w:p>
    <w:p w14:paraId="19DB738F" w14:textId="7D686EFD" w:rsidR="00817315" w:rsidRPr="009F02CD" w:rsidRDefault="00A90ABA" w:rsidP="009F02CD">
      <w:pPr>
        <w:rPr>
          <w:rFonts w:ascii="Times New Roman" w:hAnsi="Times New Roman" w:cs="Times New Roman"/>
          <w:sz w:val="24"/>
          <w:szCs w:val="24"/>
        </w:rPr>
      </w:pPr>
      <w:r>
        <w:rPr>
          <w:rFonts w:ascii="Times New Roman" w:hAnsi="Times New Roman" w:cs="Times New Roman"/>
          <w:sz w:val="24"/>
          <w:szCs w:val="24"/>
        </w:rPr>
        <w:t>Take no action</w:t>
      </w:r>
      <w:r w:rsidR="00115A7C">
        <w:rPr>
          <w:rFonts w:ascii="Times New Roman" w:hAnsi="Times New Roman" w:cs="Times New Roman"/>
          <w:sz w:val="24"/>
          <w:szCs w:val="24"/>
        </w:rPr>
        <w:t>,</w:t>
      </w:r>
      <w:r>
        <w:rPr>
          <w:rFonts w:ascii="Times New Roman" w:hAnsi="Times New Roman" w:cs="Times New Roman"/>
          <w:sz w:val="24"/>
          <w:szCs w:val="24"/>
        </w:rPr>
        <w:t xml:space="preserve"> allowing</w:t>
      </w:r>
      <w:r w:rsidR="0076521C" w:rsidRPr="009F02CD">
        <w:rPr>
          <w:rFonts w:ascii="Times New Roman" w:hAnsi="Times New Roman" w:cs="Times New Roman"/>
          <w:sz w:val="24"/>
          <w:szCs w:val="24"/>
        </w:rPr>
        <w:t xml:space="preserve"> </w:t>
      </w:r>
      <w:r w:rsidR="00CC3BAE">
        <w:rPr>
          <w:rFonts w:ascii="Times New Roman" w:hAnsi="Times New Roman" w:cs="Times New Roman"/>
          <w:sz w:val="24"/>
          <w:szCs w:val="24"/>
        </w:rPr>
        <w:t xml:space="preserve">revised </w:t>
      </w:r>
      <w:r w:rsidR="00101DED" w:rsidRPr="009F02CD">
        <w:rPr>
          <w:rFonts w:ascii="Times New Roman" w:hAnsi="Times New Roman" w:cs="Times New Roman"/>
          <w:sz w:val="24"/>
          <w:szCs w:val="24"/>
        </w:rPr>
        <w:t xml:space="preserve">Tariff </w:t>
      </w:r>
      <w:r w:rsidR="00101DED">
        <w:rPr>
          <w:rFonts w:ascii="Times New Roman" w:hAnsi="Times New Roman" w:cs="Times New Roman"/>
          <w:sz w:val="24"/>
          <w:szCs w:val="24"/>
        </w:rPr>
        <w:t>No</w:t>
      </w:r>
      <w:r w:rsidR="0076521C" w:rsidRPr="009F02CD">
        <w:rPr>
          <w:rFonts w:ascii="Times New Roman" w:hAnsi="Times New Roman" w:cs="Times New Roman"/>
          <w:sz w:val="24"/>
          <w:szCs w:val="24"/>
        </w:rPr>
        <w:t xml:space="preserve">. </w:t>
      </w:r>
      <w:r w:rsidR="003B7217">
        <w:rPr>
          <w:rFonts w:ascii="Times New Roman" w:hAnsi="Times New Roman" w:cs="Times New Roman"/>
          <w:sz w:val="24"/>
          <w:szCs w:val="24"/>
        </w:rPr>
        <w:t>9</w:t>
      </w:r>
      <w:r w:rsidR="0076521C" w:rsidRPr="009F02CD">
        <w:rPr>
          <w:rFonts w:ascii="Times New Roman" w:hAnsi="Times New Roman" w:cs="Times New Roman"/>
          <w:sz w:val="24"/>
          <w:szCs w:val="24"/>
        </w:rPr>
        <w:t xml:space="preserve"> </w:t>
      </w:r>
      <w:r w:rsidR="00817315" w:rsidRPr="009F02CD">
        <w:rPr>
          <w:rFonts w:ascii="Times New Roman" w:hAnsi="Times New Roman" w:cs="Times New Roman"/>
          <w:sz w:val="24"/>
          <w:szCs w:val="24"/>
        </w:rPr>
        <w:t xml:space="preserve">filed by </w:t>
      </w:r>
      <w:r w:rsidR="00A02C96">
        <w:rPr>
          <w:rFonts w:ascii="Times New Roman" w:hAnsi="Times New Roman" w:cs="Times New Roman"/>
          <w:sz w:val="24"/>
          <w:szCs w:val="24"/>
        </w:rPr>
        <w:t>Methow Valley Sanitation Service</w:t>
      </w:r>
      <w:r w:rsidR="0076521C" w:rsidRPr="009F02CD">
        <w:rPr>
          <w:rFonts w:ascii="Times New Roman" w:hAnsi="Times New Roman" w:cs="Times New Roman"/>
          <w:sz w:val="24"/>
          <w:szCs w:val="24"/>
        </w:rPr>
        <w:t xml:space="preserve">, </w:t>
      </w:r>
      <w:r w:rsidR="000E1342">
        <w:rPr>
          <w:rFonts w:ascii="Times New Roman" w:hAnsi="Times New Roman" w:cs="Times New Roman"/>
          <w:sz w:val="24"/>
          <w:szCs w:val="24"/>
        </w:rPr>
        <w:t>Inc.,</w:t>
      </w:r>
      <w:r w:rsidR="00643C08">
        <w:rPr>
          <w:rFonts w:ascii="Times New Roman" w:hAnsi="Times New Roman" w:cs="Times New Roman"/>
          <w:sz w:val="24"/>
          <w:szCs w:val="24"/>
        </w:rPr>
        <w:t xml:space="preserve"> </w:t>
      </w:r>
      <w:r w:rsidR="00A02C96">
        <w:rPr>
          <w:rFonts w:ascii="Times New Roman" w:hAnsi="Times New Roman" w:cs="Times New Roman"/>
          <w:sz w:val="24"/>
          <w:szCs w:val="24"/>
        </w:rPr>
        <w:t xml:space="preserve">dba WasteWise Methow, </w:t>
      </w:r>
      <w:r w:rsidR="00817315" w:rsidRPr="009F02CD">
        <w:rPr>
          <w:rFonts w:ascii="Times New Roman" w:hAnsi="Times New Roman" w:cs="Times New Roman"/>
          <w:sz w:val="24"/>
          <w:szCs w:val="24"/>
        </w:rPr>
        <w:t xml:space="preserve">on </w:t>
      </w:r>
      <w:r w:rsidR="00CC3BAE">
        <w:rPr>
          <w:rFonts w:ascii="Times New Roman" w:hAnsi="Times New Roman" w:cs="Times New Roman"/>
          <w:sz w:val="24"/>
          <w:szCs w:val="24"/>
        </w:rPr>
        <w:t>June 25</w:t>
      </w:r>
      <w:r w:rsidR="0076521C" w:rsidRPr="009F02CD">
        <w:rPr>
          <w:rFonts w:ascii="Times New Roman" w:hAnsi="Times New Roman" w:cs="Times New Roman"/>
          <w:sz w:val="24"/>
          <w:szCs w:val="24"/>
        </w:rPr>
        <w:t>, 201</w:t>
      </w:r>
      <w:r w:rsidR="00A02C96">
        <w:rPr>
          <w:rFonts w:ascii="Times New Roman" w:hAnsi="Times New Roman" w:cs="Times New Roman"/>
          <w:sz w:val="24"/>
          <w:szCs w:val="24"/>
        </w:rPr>
        <w:t>4</w:t>
      </w:r>
      <w:r w:rsidR="00C93325">
        <w:rPr>
          <w:rFonts w:ascii="Times New Roman" w:hAnsi="Times New Roman" w:cs="Times New Roman"/>
          <w:sz w:val="24"/>
          <w:szCs w:val="24"/>
        </w:rPr>
        <w:t>,</w:t>
      </w:r>
      <w:r>
        <w:rPr>
          <w:rFonts w:ascii="Times New Roman" w:hAnsi="Times New Roman" w:cs="Times New Roman"/>
          <w:sz w:val="24"/>
          <w:szCs w:val="24"/>
        </w:rPr>
        <w:t xml:space="preserve"> to become effective </w:t>
      </w:r>
      <w:r w:rsidR="00CC3BAE">
        <w:rPr>
          <w:rFonts w:ascii="Times New Roman" w:hAnsi="Times New Roman" w:cs="Times New Roman"/>
          <w:sz w:val="24"/>
          <w:szCs w:val="24"/>
        </w:rPr>
        <w:t>August</w:t>
      </w:r>
      <w:r>
        <w:rPr>
          <w:rFonts w:ascii="Times New Roman" w:hAnsi="Times New Roman" w:cs="Times New Roman"/>
          <w:sz w:val="24"/>
          <w:szCs w:val="24"/>
        </w:rPr>
        <w:t xml:space="preserve"> 1, 2014, by operation of law</w:t>
      </w:r>
      <w:r w:rsidR="00817315" w:rsidRPr="009F02CD">
        <w:rPr>
          <w:rFonts w:ascii="Times New Roman" w:hAnsi="Times New Roman" w:cs="Times New Roman"/>
          <w:sz w:val="24"/>
          <w:szCs w:val="24"/>
        </w:rPr>
        <w:t>.</w:t>
      </w:r>
    </w:p>
    <w:p w14:paraId="19DB7390" w14:textId="77777777" w:rsidR="00817315" w:rsidRDefault="00817315" w:rsidP="00817315">
      <w:pPr>
        <w:rPr>
          <w:rFonts w:ascii="Times New Roman" w:hAnsi="Times New Roman" w:cs="Times New Roman"/>
          <w:sz w:val="24"/>
          <w:szCs w:val="24"/>
        </w:rPr>
      </w:pPr>
    </w:p>
    <w:p w14:paraId="19DB7391"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Discussion</w:t>
      </w:r>
    </w:p>
    <w:p w14:paraId="19DB7392" w14:textId="77777777" w:rsidR="00817315" w:rsidRDefault="00817315" w:rsidP="00817315">
      <w:pPr>
        <w:rPr>
          <w:rFonts w:ascii="Times New Roman" w:hAnsi="Times New Roman" w:cs="Times New Roman"/>
          <w:sz w:val="24"/>
          <w:szCs w:val="24"/>
        </w:rPr>
      </w:pPr>
    </w:p>
    <w:p w14:paraId="19DB7393" w14:textId="76B48667" w:rsidR="00817315" w:rsidRDefault="00817315" w:rsidP="00817315">
      <w:pPr>
        <w:rPr>
          <w:rFonts w:ascii="Times New Roman" w:hAnsi="Times New Roman" w:cs="Times New Roman"/>
          <w:sz w:val="24"/>
          <w:szCs w:val="24"/>
        </w:rPr>
      </w:pPr>
      <w:r>
        <w:rPr>
          <w:rFonts w:ascii="Times New Roman" w:hAnsi="Times New Roman" w:cs="Times New Roman"/>
          <w:sz w:val="24"/>
          <w:szCs w:val="24"/>
        </w:rPr>
        <w:t xml:space="preserve">On </w:t>
      </w:r>
      <w:smartTag w:uri="urn:schemas-microsoft-com:office:smarttags" w:element="date">
        <w:smartTagPr>
          <w:attr w:name="Year" w:val="2014"/>
          <w:attr w:name="Day" w:val="15"/>
          <w:attr w:name="Month" w:val="5"/>
          <w:attr w:name="ls" w:val="trans"/>
        </w:smartTagPr>
        <w:r w:rsidR="00480657">
          <w:rPr>
            <w:rFonts w:ascii="Times New Roman" w:hAnsi="Times New Roman" w:cs="Times New Roman"/>
            <w:sz w:val="24"/>
            <w:szCs w:val="24"/>
          </w:rPr>
          <w:t>May 15</w:t>
        </w:r>
        <w:r w:rsidR="0076521C">
          <w:rPr>
            <w:rFonts w:ascii="Times New Roman" w:hAnsi="Times New Roman" w:cs="Times New Roman"/>
            <w:sz w:val="24"/>
            <w:szCs w:val="24"/>
          </w:rPr>
          <w:t>, 201</w:t>
        </w:r>
        <w:r w:rsidR="003B7217">
          <w:rPr>
            <w:rFonts w:ascii="Times New Roman" w:hAnsi="Times New Roman" w:cs="Times New Roman"/>
            <w:sz w:val="24"/>
            <w:szCs w:val="24"/>
          </w:rPr>
          <w:t>4</w:t>
        </w:r>
      </w:smartTag>
      <w:r w:rsidR="0076521C">
        <w:rPr>
          <w:rFonts w:ascii="Times New Roman" w:hAnsi="Times New Roman" w:cs="Times New Roman"/>
          <w:sz w:val="24"/>
          <w:szCs w:val="24"/>
        </w:rPr>
        <w:t xml:space="preserve">, </w:t>
      </w:r>
      <w:r w:rsidR="00A02C96">
        <w:rPr>
          <w:rFonts w:ascii="Times New Roman" w:hAnsi="Times New Roman" w:cs="Times New Roman"/>
          <w:sz w:val="24"/>
          <w:szCs w:val="24"/>
        </w:rPr>
        <w:t>Methow Valley Sanitation Service</w:t>
      </w:r>
      <w:r w:rsidR="0076521C">
        <w:rPr>
          <w:rFonts w:ascii="Times New Roman" w:hAnsi="Times New Roman" w:cs="Times New Roman"/>
          <w:sz w:val="24"/>
          <w:szCs w:val="24"/>
        </w:rPr>
        <w:t xml:space="preserve">, </w:t>
      </w:r>
      <w:r w:rsidR="000E1342">
        <w:rPr>
          <w:rFonts w:ascii="Times New Roman" w:hAnsi="Times New Roman" w:cs="Times New Roman"/>
          <w:sz w:val="24"/>
          <w:szCs w:val="24"/>
        </w:rPr>
        <w:t>Inc.,</w:t>
      </w:r>
      <w:r w:rsidR="005A70EA">
        <w:rPr>
          <w:rFonts w:ascii="Times New Roman" w:hAnsi="Times New Roman" w:cs="Times New Roman"/>
          <w:sz w:val="24"/>
          <w:szCs w:val="24"/>
        </w:rPr>
        <w:t xml:space="preserve"> </w:t>
      </w:r>
      <w:r w:rsidR="00480657">
        <w:rPr>
          <w:rFonts w:ascii="Times New Roman" w:hAnsi="Times New Roman" w:cs="Times New Roman"/>
          <w:sz w:val="24"/>
          <w:szCs w:val="24"/>
        </w:rPr>
        <w:t xml:space="preserve">dba WasteWise Methow </w:t>
      </w:r>
      <w:r>
        <w:rPr>
          <w:rFonts w:ascii="Times New Roman" w:hAnsi="Times New Roman" w:cs="Times New Roman"/>
          <w:sz w:val="24"/>
          <w:szCs w:val="24"/>
        </w:rPr>
        <w:t>(</w:t>
      </w:r>
      <w:r w:rsidR="00A02C96">
        <w:rPr>
          <w:rFonts w:ascii="Times New Roman" w:hAnsi="Times New Roman" w:cs="Times New Roman"/>
          <w:sz w:val="24"/>
          <w:szCs w:val="24"/>
        </w:rPr>
        <w:t>Methow</w:t>
      </w:r>
      <w:r>
        <w:rPr>
          <w:rFonts w:ascii="Times New Roman" w:hAnsi="Times New Roman" w:cs="Times New Roman"/>
          <w:sz w:val="24"/>
          <w:szCs w:val="24"/>
        </w:rPr>
        <w:t xml:space="preserve"> or company), filed Tariff No. </w:t>
      </w:r>
      <w:r w:rsidR="00480657">
        <w:rPr>
          <w:rFonts w:ascii="Times New Roman" w:hAnsi="Times New Roman" w:cs="Times New Roman"/>
          <w:sz w:val="24"/>
          <w:szCs w:val="24"/>
        </w:rPr>
        <w:t>9</w:t>
      </w:r>
      <w:r>
        <w:rPr>
          <w:rFonts w:ascii="Times New Roman" w:hAnsi="Times New Roman" w:cs="Times New Roman"/>
          <w:sz w:val="24"/>
          <w:szCs w:val="24"/>
        </w:rPr>
        <w:t xml:space="preserve"> with the Utilities and Transportation Commission (commission) </w:t>
      </w:r>
      <w:r w:rsidR="00480657">
        <w:rPr>
          <w:rFonts w:ascii="Times New Roman" w:hAnsi="Times New Roman" w:cs="Times New Roman"/>
          <w:sz w:val="24"/>
          <w:szCs w:val="24"/>
        </w:rPr>
        <w:t xml:space="preserve">that </w:t>
      </w:r>
      <w:r>
        <w:rPr>
          <w:rFonts w:ascii="Times New Roman" w:hAnsi="Times New Roman" w:cs="Times New Roman"/>
          <w:sz w:val="24"/>
          <w:szCs w:val="24"/>
        </w:rPr>
        <w:t xml:space="preserve">would generate approximately </w:t>
      </w:r>
      <w:r w:rsidRPr="00175B07">
        <w:t>$</w:t>
      </w:r>
      <w:r w:rsidR="00480657">
        <w:rPr>
          <w:rFonts w:ascii="Times New Roman" w:hAnsi="Times New Roman" w:cs="Times New Roman"/>
          <w:sz w:val="24"/>
          <w:szCs w:val="24"/>
        </w:rPr>
        <w:t>126,000</w:t>
      </w:r>
      <w:r w:rsidRPr="00175B07">
        <w:rPr>
          <w:rFonts w:ascii="Times New Roman" w:hAnsi="Times New Roman" w:cs="Times New Roman"/>
          <w:sz w:val="24"/>
          <w:szCs w:val="24"/>
        </w:rPr>
        <w:t xml:space="preserve"> </w:t>
      </w:r>
      <w:r>
        <w:rPr>
          <w:rFonts w:ascii="Times New Roman" w:hAnsi="Times New Roman" w:cs="Times New Roman"/>
          <w:sz w:val="24"/>
          <w:szCs w:val="24"/>
        </w:rPr>
        <w:t>(</w:t>
      </w:r>
      <w:r w:rsidR="00480657">
        <w:rPr>
          <w:rFonts w:ascii="Times New Roman" w:hAnsi="Times New Roman" w:cs="Times New Roman"/>
          <w:sz w:val="24"/>
          <w:szCs w:val="24"/>
        </w:rPr>
        <w:t>23</w:t>
      </w:r>
      <w:r w:rsidR="003B7217">
        <w:rPr>
          <w:rFonts w:ascii="Times New Roman" w:hAnsi="Times New Roman" w:cs="Times New Roman"/>
          <w:sz w:val="24"/>
          <w:szCs w:val="24"/>
        </w:rPr>
        <w:t>.5</w:t>
      </w:r>
      <w:r>
        <w:rPr>
          <w:rFonts w:ascii="Times New Roman" w:hAnsi="Times New Roman" w:cs="Times New Roman"/>
          <w:sz w:val="24"/>
          <w:szCs w:val="24"/>
        </w:rPr>
        <w:t xml:space="preserve"> percent) additional annual revenue. </w:t>
      </w:r>
      <w:r w:rsidR="00E65B7C">
        <w:rPr>
          <w:rFonts w:ascii="Times New Roman" w:hAnsi="Times New Roman" w:cs="Times New Roman"/>
          <w:sz w:val="24"/>
          <w:szCs w:val="24"/>
        </w:rPr>
        <w:t xml:space="preserve">The </w:t>
      </w:r>
      <w:r w:rsidR="0076521C">
        <w:rPr>
          <w:rFonts w:ascii="Times New Roman" w:hAnsi="Times New Roman" w:cs="Times New Roman"/>
          <w:sz w:val="24"/>
          <w:szCs w:val="24"/>
        </w:rPr>
        <w:t>p</w:t>
      </w:r>
      <w:r w:rsidR="00BA29AB">
        <w:rPr>
          <w:rFonts w:ascii="Times New Roman" w:hAnsi="Times New Roman" w:cs="Times New Roman"/>
          <w:sz w:val="24"/>
          <w:szCs w:val="24"/>
        </w:rPr>
        <w:t>roposed rates</w:t>
      </w:r>
      <w:r>
        <w:rPr>
          <w:rFonts w:ascii="Times New Roman" w:hAnsi="Times New Roman" w:cs="Times New Roman"/>
          <w:sz w:val="24"/>
          <w:szCs w:val="24"/>
        </w:rPr>
        <w:t xml:space="preserve"> are </w:t>
      </w:r>
      <w:r w:rsidR="00480657">
        <w:rPr>
          <w:rFonts w:ascii="Times New Roman" w:hAnsi="Times New Roman" w:cs="Times New Roman"/>
          <w:sz w:val="24"/>
          <w:szCs w:val="24"/>
        </w:rPr>
        <w:t xml:space="preserve">to </w:t>
      </w:r>
      <w:r w:rsidR="00115A7C">
        <w:rPr>
          <w:rFonts w:ascii="Times New Roman" w:hAnsi="Times New Roman" w:cs="Times New Roman"/>
          <w:sz w:val="24"/>
          <w:szCs w:val="24"/>
        </w:rPr>
        <w:t xml:space="preserve">recover </w:t>
      </w:r>
      <w:r w:rsidR="000E0CDC">
        <w:rPr>
          <w:rFonts w:ascii="Times New Roman" w:hAnsi="Times New Roman" w:cs="Times New Roman"/>
          <w:sz w:val="24"/>
          <w:szCs w:val="24"/>
        </w:rPr>
        <w:t xml:space="preserve">increases in </w:t>
      </w:r>
      <w:r>
        <w:rPr>
          <w:rFonts w:ascii="Times New Roman" w:hAnsi="Times New Roman" w:cs="Times New Roman"/>
          <w:sz w:val="24"/>
          <w:szCs w:val="24"/>
        </w:rPr>
        <w:t xml:space="preserve">employee wages and benefits, fuel, </w:t>
      </w:r>
      <w:r w:rsidR="00480657">
        <w:rPr>
          <w:rFonts w:ascii="Times New Roman" w:hAnsi="Times New Roman" w:cs="Times New Roman"/>
          <w:sz w:val="24"/>
          <w:szCs w:val="24"/>
        </w:rPr>
        <w:t xml:space="preserve">maintenance, </w:t>
      </w:r>
      <w:r>
        <w:rPr>
          <w:rFonts w:ascii="Times New Roman" w:hAnsi="Times New Roman" w:cs="Times New Roman"/>
          <w:sz w:val="24"/>
          <w:szCs w:val="24"/>
        </w:rPr>
        <w:t xml:space="preserve">and other general operating expenses </w:t>
      </w:r>
      <w:r w:rsidR="00480657">
        <w:rPr>
          <w:rFonts w:ascii="Times New Roman" w:hAnsi="Times New Roman" w:cs="Times New Roman"/>
          <w:sz w:val="24"/>
          <w:szCs w:val="24"/>
        </w:rPr>
        <w:t xml:space="preserve">since the </w:t>
      </w:r>
      <w:r>
        <w:rPr>
          <w:rFonts w:ascii="Times New Roman" w:hAnsi="Times New Roman" w:cs="Times New Roman"/>
          <w:sz w:val="24"/>
          <w:szCs w:val="24"/>
        </w:rPr>
        <w:t xml:space="preserve">company’s last general rate increase became effective </w:t>
      </w:r>
      <w:r w:rsidR="00115A7C">
        <w:rPr>
          <w:rFonts w:ascii="Times New Roman" w:hAnsi="Times New Roman" w:cs="Times New Roman"/>
          <w:sz w:val="24"/>
          <w:szCs w:val="24"/>
        </w:rPr>
        <w:t xml:space="preserve">on </w:t>
      </w:r>
      <w:smartTag w:uri="urn:schemas-microsoft-com:office:smarttags" w:element="date">
        <w:smartTagPr>
          <w:attr w:name="Year" w:val="1995"/>
          <w:attr w:name="Day" w:val="1"/>
          <w:attr w:name="Month" w:val="12"/>
          <w:attr w:name="ls" w:val="trans"/>
        </w:smartTagPr>
        <w:r w:rsidR="00480657">
          <w:rPr>
            <w:rFonts w:ascii="Times New Roman" w:hAnsi="Times New Roman" w:cs="Times New Roman"/>
            <w:sz w:val="24"/>
            <w:szCs w:val="24"/>
          </w:rPr>
          <w:t>December 1, 1995</w:t>
        </w:r>
      </w:smartTag>
      <w:r>
        <w:rPr>
          <w:rFonts w:ascii="Times New Roman" w:hAnsi="Times New Roman" w:cs="Times New Roman"/>
          <w:sz w:val="24"/>
          <w:szCs w:val="24"/>
        </w:rPr>
        <w:t xml:space="preserve">. The company serves approximately </w:t>
      </w:r>
      <w:r w:rsidR="00480657">
        <w:rPr>
          <w:rFonts w:ascii="Times New Roman" w:hAnsi="Times New Roman" w:cs="Times New Roman"/>
          <w:sz w:val="24"/>
          <w:szCs w:val="24"/>
        </w:rPr>
        <w:t>1,100</w:t>
      </w:r>
      <w:r>
        <w:rPr>
          <w:rFonts w:ascii="Times New Roman" w:hAnsi="Times New Roman" w:cs="Times New Roman"/>
          <w:sz w:val="24"/>
          <w:szCs w:val="24"/>
        </w:rPr>
        <w:t xml:space="preserve"> customers in </w:t>
      </w:r>
      <w:r w:rsidR="00480657">
        <w:rPr>
          <w:rFonts w:ascii="Times New Roman" w:hAnsi="Times New Roman" w:cs="Times New Roman"/>
          <w:sz w:val="24"/>
          <w:szCs w:val="24"/>
        </w:rPr>
        <w:t>Okanogan</w:t>
      </w:r>
      <w:r w:rsidR="0076521C">
        <w:rPr>
          <w:rFonts w:ascii="Times New Roman" w:hAnsi="Times New Roman" w:cs="Times New Roman"/>
          <w:sz w:val="24"/>
          <w:szCs w:val="24"/>
        </w:rPr>
        <w:t xml:space="preserve"> Count</w:t>
      </w:r>
      <w:r w:rsidR="00480657">
        <w:rPr>
          <w:rFonts w:ascii="Times New Roman" w:hAnsi="Times New Roman" w:cs="Times New Roman"/>
          <w:sz w:val="24"/>
          <w:szCs w:val="24"/>
        </w:rPr>
        <w:t>y</w:t>
      </w:r>
      <w:r w:rsidR="0076521C">
        <w:rPr>
          <w:rFonts w:ascii="Times New Roman" w:hAnsi="Times New Roman" w:cs="Times New Roman"/>
          <w:sz w:val="24"/>
          <w:szCs w:val="24"/>
        </w:rPr>
        <w:t>.</w:t>
      </w:r>
    </w:p>
    <w:p w14:paraId="3DDD1971" w14:textId="77777777" w:rsidR="00115A7C" w:rsidRDefault="00115A7C" w:rsidP="00817315">
      <w:pPr>
        <w:rPr>
          <w:rFonts w:ascii="Times New Roman" w:hAnsi="Times New Roman" w:cs="Times New Roman"/>
          <w:sz w:val="24"/>
          <w:szCs w:val="24"/>
        </w:rPr>
      </w:pPr>
    </w:p>
    <w:p w14:paraId="4E8638A9" w14:textId="05821689" w:rsidR="00115A7C" w:rsidRDefault="00115A7C" w:rsidP="00495C6C">
      <w:pPr>
        <w:rPr>
          <w:rFonts w:ascii="Times New Roman" w:hAnsi="Times New Roman" w:cs="Times New Roman"/>
          <w:sz w:val="24"/>
          <w:szCs w:val="24"/>
        </w:rPr>
      </w:pPr>
      <w:r>
        <w:rPr>
          <w:rFonts w:ascii="Times New Roman" w:hAnsi="Times New Roman" w:cs="Times New Roman"/>
          <w:sz w:val="24"/>
          <w:szCs w:val="24"/>
        </w:rPr>
        <w:t>S</w:t>
      </w:r>
      <w:r w:rsidRPr="00495C6C">
        <w:rPr>
          <w:rFonts w:ascii="Times New Roman" w:hAnsi="Times New Roman" w:cs="Times New Roman"/>
          <w:sz w:val="24"/>
          <w:szCs w:val="24"/>
        </w:rPr>
        <w:t xml:space="preserve">taff has completed its review of the </w:t>
      </w:r>
      <w:r>
        <w:rPr>
          <w:rFonts w:ascii="Times New Roman" w:hAnsi="Times New Roman" w:cs="Times New Roman"/>
          <w:sz w:val="24"/>
          <w:szCs w:val="24"/>
        </w:rPr>
        <w:t xml:space="preserve">company’s </w:t>
      </w:r>
      <w:r w:rsidRPr="00495C6C">
        <w:rPr>
          <w:rFonts w:ascii="Times New Roman" w:hAnsi="Times New Roman" w:cs="Times New Roman"/>
          <w:sz w:val="24"/>
          <w:szCs w:val="24"/>
        </w:rPr>
        <w:t>supporting documents</w:t>
      </w:r>
      <w:r>
        <w:rPr>
          <w:rFonts w:ascii="Times New Roman" w:hAnsi="Times New Roman" w:cs="Times New Roman"/>
          <w:sz w:val="24"/>
          <w:szCs w:val="24"/>
        </w:rPr>
        <w:t xml:space="preserve"> and records and finds the company has demonstrated a need for $</w:t>
      </w:r>
      <w:r w:rsidR="0036771E">
        <w:rPr>
          <w:rFonts w:ascii="Times New Roman" w:hAnsi="Times New Roman" w:cs="Times New Roman"/>
          <w:sz w:val="24"/>
          <w:szCs w:val="24"/>
        </w:rPr>
        <w:t>1</w:t>
      </w:r>
      <w:r w:rsidR="008568EE">
        <w:rPr>
          <w:rFonts w:ascii="Times New Roman" w:hAnsi="Times New Roman" w:cs="Times New Roman"/>
          <w:sz w:val="24"/>
          <w:szCs w:val="24"/>
        </w:rPr>
        <w:t>1</w:t>
      </w:r>
      <w:r w:rsidR="0036771E">
        <w:rPr>
          <w:rFonts w:ascii="Times New Roman" w:hAnsi="Times New Roman" w:cs="Times New Roman"/>
          <w:sz w:val="24"/>
          <w:szCs w:val="24"/>
        </w:rPr>
        <w:t xml:space="preserve">9,500 (23.3 percent) </w:t>
      </w:r>
      <w:r>
        <w:rPr>
          <w:rFonts w:ascii="Times New Roman" w:hAnsi="Times New Roman" w:cs="Times New Roman"/>
          <w:sz w:val="24"/>
          <w:szCs w:val="24"/>
        </w:rPr>
        <w:t>additional annual revenue. Due to a formula error in the company’s worksheets, t</w:t>
      </w:r>
      <w:r w:rsidR="00A90ABA">
        <w:rPr>
          <w:rFonts w:ascii="Times New Roman" w:hAnsi="Times New Roman" w:cs="Times New Roman"/>
          <w:sz w:val="24"/>
          <w:szCs w:val="24"/>
        </w:rPr>
        <w:t>he</w:t>
      </w:r>
      <w:r w:rsidR="002E2F46">
        <w:rPr>
          <w:rFonts w:ascii="Times New Roman" w:hAnsi="Times New Roman" w:cs="Times New Roman"/>
          <w:sz w:val="24"/>
          <w:szCs w:val="24"/>
        </w:rPr>
        <w:t xml:space="preserve"> </w:t>
      </w:r>
      <w:r w:rsidR="00D62714">
        <w:rPr>
          <w:rFonts w:ascii="Times New Roman" w:hAnsi="Times New Roman" w:cs="Times New Roman"/>
          <w:sz w:val="24"/>
          <w:szCs w:val="24"/>
        </w:rPr>
        <w:t xml:space="preserve">proposed </w:t>
      </w:r>
      <w:r w:rsidR="002E2F46">
        <w:rPr>
          <w:rFonts w:ascii="Times New Roman" w:hAnsi="Times New Roman" w:cs="Times New Roman"/>
          <w:sz w:val="24"/>
          <w:szCs w:val="24"/>
        </w:rPr>
        <w:t xml:space="preserve">rates </w:t>
      </w:r>
      <w:r w:rsidR="00CC3BAE">
        <w:rPr>
          <w:rFonts w:ascii="Times New Roman" w:hAnsi="Times New Roman" w:cs="Times New Roman"/>
          <w:sz w:val="24"/>
          <w:szCs w:val="24"/>
        </w:rPr>
        <w:t xml:space="preserve">initially </w:t>
      </w:r>
      <w:r w:rsidR="002E2F46">
        <w:rPr>
          <w:rFonts w:ascii="Times New Roman" w:hAnsi="Times New Roman" w:cs="Times New Roman"/>
          <w:sz w:val="24"/>
          <w:szCs w:val="24"/>
        </w:rPr>
        <w:t xml:space="preserve">filed by the company </w:t>
      </w:r>
      <w:r w:rsidR="003B7217">
        <w:rPr>
          <w:rFonts w:ascii="Times New Roman" w:hAnsi="Times New Roman" w:cs="Times New Roman"/>
          <w:sz w:val="24"/>
          <w:szCs w:val="24"/>
        </w:rPr>
        <w:t xml:space="preserve">would </w:t>
      </w:r>
      <w:r w:rsidR="002E2F46">
        <w:rPr>
          <w:rFonts w:ascii="Times New Roman" w:hAnsi="Times New Roman" w:cs="Times New Roman"/>
          <w:sz w:val="24"/>
          <w:szCs w:val="24"/>
        </w:rPr>
        <w:t>generate only approximately $48,000 (9.0 percent) additional annual revenue</w:t>
      </w:r>
      <w:r w:rsidR="00453184" w:rsidRPr="0019605F">
        <w:rPr>
          <w:rFonts w:ascii="Times New Roman" w:hAnsi="Times New Roman" w:cs="Times New Roman"/>
          <w:sz w:val="24"/>
          <w:szCs w:val="24"/>
        </w:rPr>
        <w:t>.</w:t>
      </w:r>
      <w:r w:rsidR="00A90ABA">
        <w:rPr>
          <w:rFonts w:ascii="Times New Roman" w:hAnsi="Times New Roman" w:cs="Times New Roman"/>
          <w:sz w:val="24"/>
          <w:szCs w:val="24"/>
        </w:rPr>
        <w:t xml:space="preserve"> </w:t>
      </w:r>
    </w:p>
    <w:p w14:paraId="2A28374A" w14:textId="77777777" w:rsidR="00115A7C" w:rsidRDefault="00115A7C" w:rsidP="00495C6C">
      <w:pPr>
        <w:rPr>
          <w:rFonts w:ascii="Times New Roman" w:hAnsi="Times New Roman" w:cs="Times New Roman"/>
          <w:sz w:val="24"/>
          <w:szCs w:val="24"/>
        </w:rPr>
      </w:pPr>
    </w:p>
    <w:p w14:paraId="235CB8BB" w14:textId="2C124F35" w:rsidR="00850109" w:rsidRDefault="00850109" w:rsidP="00495C6C">
      <w:pPr>
        <w:rPr>
          <w:rFonts w:ascii="Times New Roman" w:hAnsi="Times New Roman" w:cs="Times New Roman"/>
          <w:sz w:val="24"/>
          <w:szCs w:val="24"/>
        </w:rPr>
      </w:pPr>
      <w:r>
        <w:rPr>
          <w:rFonts w:ascii="Times New Roman" w:hAnsi="Times New Roman" w:cs="Times New Roman"/>
          <w:sz w:val="24"/>
          <w:szCs w:val="24"/>
        </w:rPr>
        <w:t>Staff advised the company that it could file revised rates that reflect the full revenue requirement. However, because the revised rates are significantly higher than the rates that the company notified customers, the company</w:t>
      </w:r>
      <w:r w:rsidR="00CC3BAE">
        <w:rPr>
          <w:rFonts w:ascii="Times New Roman" w:hAnsi="Times New Roman" w:cs="Times New Roman"/>
          <w:sz w:val="24"/>
          <w:szCs w:val="24"/>
        </w:rPr>
        <w:t xml:space="preserve"> should </w:t>
      </w:r>
      <w:r w:rsidR="00440BF3">
        <w:rPr>
          <w:rFonts w:ascii="Times New Roman" w:hAnsi="Times New Roman" w:cs="Times New Roman"/>
          <w:sz w:val="24"/>
          <w:szCs w:val="24"/>
        </w:rPr>
        <w:t>postpone the proposed effective date to August 1, 2014, and</w:t>
      </w:r>
      <w:r>
        <w:rPr>
          <w:rFonts w:ascii="Times New Roman" w:hAnsi="Times New Roman" w:cs="Times New Roman"/>
          <w:sz w:val="24"/>
          <w:szCs w:val="24"/>
        </w:rPr>
        <w:t xml:space="preserve"> re-notice custom</w:t>
      </w:r>
      <w:r w:rsidR="00440BF3">
        <w:rPr>
          <w:rFonts w:ascii="Times New Roman" w:hAnsi="Times New Roman" w:cs="Times New Roman"/>
          <w:sz w:val="24"/>
          <w:szCs w:val="24"/>
        </w:rPr>
        <w:t>ers of the higher revised rates.</w:t>
      </w:r>
      <w:r>
        <w:rPr>
          <w:rFonts w:ascii="Times New Roman" w:hAnsi="Times New Roman" w:cs="Times New Roman"/>
          <w:sz w:val="24"/>
          <w:szCs w:val="24"/>
        </w:rPr>
        <w:t xml:space="preserve"> </w:t>
      </w:r>
    </w:p>
    <w:p w14:paraId="37279F59" w14:textId="77777777" w:rsidR="00850109" w:rsidRDefault="00850109" w:rsidP="00495C6C">
      <w:pPr>
        <w:rPr>
          <w:rFonts w:ascii="Times New Roman" w:hAnsi="Times New Roman" w:cs="Times New Roman"/>
          <w:sz w:val="24"/>
          <w:szCs w:val="24"/>
        </w:rPr>
      </w:pPr>
    </w:p>
    <w:p w14:paraId="2A6F8258" w14:textId="1A5AB852" w:rsidR="00CC3BAE" w:rsidRPr="0019605F" w:rsidRDefault="00CC3BAE" w:rsidP="00CC3BAE">
      <w:pPr>
        <w:rPr>
          <w:rFonts w:ascii="Times New Roman" w:hAnsi="Times New Roman" w:cs="Times New Roman"/>
          <w:sz w:val="24"/>
          <w:szCs w:val="24"/>
        </w:rPr>
      </w:pPr>
      <w:r>
        <w:rPr>
          <w:rFonts w:ascii="Times New Roman" w:hAnsi="Times New Roman" w:cs="Times New Roman"/>
          <w:sz w:val="24"/>
          <w:szCs w:val="24"/>
        </w:rPr>
        <w:t>On June 25, 2014, t</w:t>
      </w:r>
      <w:r w:rsidR="00115A7C">
        <w:rPr>
          <w:rFonts w:ascii="Times New Roman" w:hAnsi="Times New Roman" w:cs="Times New Roman"/>
          <w:sz w:val="24"/>
          <w:szCs w:val="24"/>
        </w:rPr>
        <w:t xml:space="preserve">he company </w:t>
      </w:r>
      <w:r w:rsidR="00850109">
        <w:rPr>
          <w:rFonts w:ascii="Times New Roman" w:hAnsi="Times New Roman" w:cs="Times New Roman"/>
          <w:sz w:val="24"/>
          <w:szCs w:val="24"/>
        </w:rPr>
        <w:t>fil</w:t>
      </w:r>
      <w:r w:rsidR="006B7CF9">
        <w:rPr>
          <w:rFonts w:ascii="Times New Roman" w:hAnsi="Times New Roman" w:cs="Times New Roman"/>
          <w:sz w:val="24"/>
          <w:szCs w:val="24"/>
        </w:rPr>
        <w:t>e</w:t>
      </w:r>
      <w:r>
        <w:rPr>
          <w:rFonts w:ascii="Times New Roman" w:hAnsi="Times New Roman" w:cs="Times New Roman"/>
          <w:sz w:val="24"/>
          <w:szCs w:val="24"/>
        </w:rPr>
        <w:t>d</w:t>
      </w:r>
      <w:r w:rsidR="00850109">
        <w:rPr>
          <w:rFonts w:ascii="Times New Roman" w:hAnsi="Times New Roman" w:cs="Times New Roman"/>
          <w:sz w:val="24"/>
          <w:szCs w:val="24"/>
        </w:rPr>
        <w:t xml:space="preserve"> revised rates </w:t>
      </w:r>
      <w:r w:rsidR="00D62714">
        <w:rPr>
          <w:rFonts w:ascii="Times New Roman" w:hAnsi="Times New Roman" w:cs="Times New Roman"/>
          <w:sz w:val="24"/>
          <w:szCs w:val="24"/>
        </w:rPr>
        <w:t>that would generate</w:t>
      </w:r>
      <w:r w:rsidR="00850109">
        <w:rPr>
          <w:rFonts w:ascii="Times New Roman" w:hAnsi="Times New Roman" w:cs="Times New Roman"/>
          <w:sz w:val="24"/>
          <w:szCs w:val="24"/>
        </w:rPr>
        <w:t xml:space="preserve"> the full revenue requirement</w:t>
      </w:r>
      <w:r>
        <w:rPr>
          <w:rFonts w:ascii="Times New Roman" w:hAnsi="Times New Roman" w:cs="Times New Roman"/>
          <w:sz w:val="24"/>
          <w:szCs w:val="24"/>
        </w:rPr>
        <w:t xml:space="preserve">, postponed the effective date to August 1, 2014, and </w:t>
      </w:r>
      <w:r w:rsidR="00850109">
        <w:rPr>
          <w:rFonts w:ascii="Times New Roman" w:hAnsi="Times New Roman" w:cs="Times New Roman"/>
          <w:sz w:val="24"/>
          <w:szCs w:val="24"/>
        </w:rPr>
        <w:t>re-notic</w:t>
      </w:r>
      <w:r w:rsidR="006B7CF9">
        <w:rPr>
          <w:rFonts w:ascii="Times New Roman" w:hAnsi="Times New Roman" w:cs="Times New Roman"/>
          <w:sz w:val="24"/>
          <w:szCs w:val="24"/>
        </w:rPr>
        <w:t>e</w:t>
      </w:r>
      <w:r>
        <w:rPr>
          <w:rFonts w:ascii="Times New Roman" w:hAnsi="Times New Roman" w:cs="Times New Roman"/>
          <w:sz w:val="24"/>
          <w:szCs w:val="24"/>
        </w:rPr>
        <w:t>d</w:t>
      </w:r>
      <w:r w:rsidR="00850109">
        <w:rPr>
          <w:rFonts w:ascii="Times New Roman" w:hAnsi="Times New Roman" w:cs="Times New Roman"/>
          <w:sz w:val="24"/>
          <w:szCs w:val="24"/>
        </w:rPr>
        <w:t xml:space="preserve"> customers</w:t>
      </w:r>
      <w:r>
        <w:rPr>
          <w:rFonts w:ascii="Times New Roman" w:hAnsi="Times New Roman" w:cs="Times New Roman"/>
          <w:sz w:val="24"/>
          <w:szCs w:val="24"/>
        </w:rPr>
        <w:t xml:space="preserve"> of the higher revised rates.</w:t>
      </w:r>
      <w:r w:rsidR="00850109">
        <w:rPr>
          <w:rFonts w:ascii="Times New Roman" w:hAnsi="Times New Roman" w:cs="Times New Roman"/>
          <w:sz w:val="24"/>
          <w:szCs w:val="24"/>
        </w:rPr>
        <w:t xml:space="preserve"> </w:t>
      </w:r>
    </w:p>
    <w:p w14:paraId="19DB73A0" w14:textId="74CD2AA8" w:rsidR="00047995" w:rsidRPr="0019605F" w:rsidRDefault="00047995" w:rsidP="00495C6C">
      <w:pPr>
        <w:rPr>
          <w:rFonts w:ascii="Times New Roman" w:hAnsi="Times New Roman" w:cs="Times New Roman"/>
          <w:sz w:val="24"/>
          <w:szCs w:val="24"/>
        </w:rPr>
      </w:pPr>
    </w:p>
    <w:p w14:paraId="19DB73A1" w14:textId="77777777" w:rsidR="002B71FE" w:rsidRDefault="002B71FE" w:rsidP="002B71FE">
      <w:pPr>
        <w:rPr>
          <w:rFonts w:ascii="Times New Roman" w:hAnsi="Times New Roman" w:cs="Times New Roman"/>
          <w:sz w:val="24"/>
          <w:szCs w:val="24"/>
        </w:rPr>
      </w:pPr>
    </w:p>
    <w:p w14:paraId="6A66D095" w14:textId="77777777" w:rsidR="006B7CF9" w:rsidRDefault="006B7CF9">
      <w:pPr>
        <w:rPr>
          <w:rFonts w:ascii="Times New Roman" w:hAnsi="Times New Roman" w:cs="Times New Roman"/>
          <w:sz w:val="24"/>
          <w:szCs w:val="24"/>
        </w:rPr>
      </w:pPr>
      <w:r>
        <w:rPr>
          <w:rFonts w:ascii="Times New Roman" w:hAnsi="Times New Roman" w:cs="Times New Roman"/>
          <w:sz w:val="24"/>
          <w:szCs w:val="24"/>
        </w:rPr>
        <w:br w:type="page"/>
      </w:r>
    </w:p>
    <w:p w14:paraId="4A410904" w14:textId="74C1E6A7" w:rsidR="006D4BB6" w:rsidRDefault="006D4BB6" w:rsidP="008C7D06">
      <w:pPr>
        <w:jc w:val="center"/>
        <w:rPr>
          <w:rFonts w:ascii="Times New Roman" w:hAnsi="Times New Roman" w:cs="Times New Roman"/>
          <w:b/>
          <w:sz w:val="24"/>
          <w:szCs w:val="24"/>
          <w:u w:val="single"/>
        </w:rPr>
      </w:pPr>
    </w:p>
    <w:p w14:paraId="7A747B90" w14:textId="004FDBE1" w:rsidR="0042379A" w:rsidRPr="008C7D06" w:rsidRDefault="008C7D06" w:rsidP="008C7D06">
      <w:pPr>
        <w:jc w:val="center"/>
        <w:rPr>
          <w:rFonts w:ascii="Times New Roman" w:hAnsi="Times New Roman" w:cs="Times New Roman"/>
          <w:b/>
          <w:sz w:val="24"/>
          <w:szCs w:val="24"/>
          <w:u w:val="single"/>
        </w:rPr>
      </w:pPr>
      <w:r>
        <w:rPr>
          <w:rFonts w:ascii="Times New Roman" w:hAnsi="Times New Roman" w:cs="Times New Roman"/>
          <w:b/>
          <w:sz w:val="24"/>
          <w:szCs w:val="24"/>
          <w:u w:val="single"/>
        </w:rPr>
        <w:t>RATE COMPARISON</w:t>
      </w:r>
    </w:p>
    <w:p w14:paraId="415FC8AC" w14:textId="77777777" w:rsidR="00791E65" w:rsidRDefault="00791E65" w:rsidP="002B71FE">
      <w:pPr>
        <w:rPr>
          <w:rFonts w:ascii="Times New Roman" w:hAnsi="Times New Roman" w:cs="Times New Roman"/>
          <w:sz w:val="24"/>
          <w:szCs w:val="24"/>
        </w:rPr>
      </w:pPr>
    </w:p>
    <w:tbl>
      <w:tblPr>
        <w:tblStyle w:val="TableGrid"/>
        <w:tblW w:w="9673" w:type="dxa"/>
        <w:jc w:val="center"/>
        <w:tblLayout w:type="fixed"/>
        <w:tblLook w:val="04A0" w:firstRow="1" w:lastRow="0" w:firstColumn="1" w:lastColumn="0" w:noHBand="0" w:noVBand="1"/>
      </w:tblPr>
      <w:tblGrid>
        <w:gridCol w:w="2343"/>
        <w:gridCol w:w="1024"/>
        <w:gridCol w:w="1083"/>
        <w:gridCol w:w="1033"/>
        <w:gridCol w:w="385"/>
        <w:gridCol w:w="1890"/>
        <w:gridCol w:w="1915"/>
      </w:tblGrid>
      <w:tr w:rsidR="002F3CC1" w14:paraId="750FD3E6" w14:textId="77777777" w:rsidTr="002F3CC1">
        <w:trPr>
          <w:jc w:val="center"/>
        </w:trPr>
        <w:tc>
          <w:tcPr>
            <w:tcW w:w="2343" w:type="dxa"/>
            <w:vAlign w:val="bottom"/>
          </w:tcPr>
          <w:p w14:paraId="3B301DB5" w14:textId="77777777" w:rsidR="002F3CC1" w:rsidRDefault="002F3CC1" w:rsidP="00334A86">
            <w:pPr>
              <w:jc w:val="center"/>
              <w:rPr>
                <w:rFonts w:ascii="Calibri" w:hAnsi="Calibri" w:cs="Calibri"/>
                <w:color w:val="000000"/>
              </w:rPr>
            </w:pPr>
          </w:p>
        </w:tc>
        <w:tc>
          <w:tcPr>
            <w:tcW w:w="1024" w:type="dxa"/>
            <w:vAlign w:val="bottom"/>
          </w:tcPr>
          <w:p w14:paraId="3FF087D7" w14:textId="77777777" w:rsidR="002F3CC1" w:rsidRDefault="002F3CC1" w:rsidP="00334A86">
            <w:pPr>
              <w:jc w:val="center"/>
              <w:rPr>
                <w:rFonts w:ascii="Calibri" w:hAnsi="Calibri" w:cs="Calibri"/>
                <w:color w:val="000000"/>
              </w:rPr>
            </w:pPr>
            <w:r>
              <w:rPr>
                <w:rFonts w:ascii="Calibri" w:hAnsi="Calibri" w:cs="Calibri"/>
                <w:b/>
                <w:bCs/>
                <w:color w:val="000000"/>
              </w:rPr>
              <w:t>Current Rate</w:t>
            </w:r>
          </w:p>
        </w:tc>
        <w:tc>
          <w:tcPr>
            <w:tcW w:w="1083" w:type="dxa"/>
            <w:vAlign w:val="bottom"/>
          </w:tcPr>
          <w:p w14:paraId="099809D7" w14:textId="77777777" w:rsidR="002F3CC1" w:rsidRDefault="002F3CC1" w:rsidP="00334A86">
            <w:pPr>
              <w:jc w:val="center"/>
              <w:rPr>
                <w:rFonts w:ascii="Calibri" w:hAnsi="Calibri" w:cs="Calibri"/>
                <w:color w:val="000000"/>
              </w:rPr>
            </w:pPr>
            <w:r>
              <w:rPr>
                <w:rFonts w:ascii="Calibri" w:hAnsi="Calibri" w:cs="Calibri"/>
                <w:b/>
                <w:bCs/>
                <w:color w:val="000000"/>
              </w:rPr>
              <w:t>Proposed Rate</w:t>
            </w:r>
          </w:p>
        </w:tc>
        <w:tc>
          <w:tcPr>
            <w:tcW w:w="1033" w:type="dxa"/>
            <w:vAlign w:val="bottom"/>
          </w:tcPr>
          <w:p w14:paraId="28BE4291" w14:textId="77777777" w:rsidR="002F3CC1" w:rsidRDefault="002F3CC1" w:rsidP="00334A86">
            <w:pPr>
              <w:jc w:val="center"/>
              <w:rPr>
                <w:rFonts w:ascii="Calibri" w:hAnsi="Calibri" w:cs="Calibri"/>
                <w:color w:val="000000"/>
              </w:rPr>
            </w:pPr>
            <w:r>
              <w:rPr>
                <w:rFonts w:ascii="Calibri" w:hAnsi="Calibri" w:cs="Calibri"/>
                <w:b/>
                <w:bCs/>
                <w:color w:val="000000"/>
              </w:rPr>
              <w:t>Percent Change</w:t>
            </w:r>
          </w:p>
        </w:tc>
        <w:tc>
          <w:tcPr>
            <w:tcW w:w="385" w:type="dxa"/>
          </w:tcPr>
          <w:p w14:paraId="2BEFBCA1" w14:textId="77777777" w:rsidR="002F3CC1" w:rsidRDefault="002F3CC1" w:rsidP="00334A86">
            <w:pPr>
              <w:jc w:val="center"/>
              <w:rPr>
                <w:rFonts w:ascii="Calibri" w:hAnsi="Calibri" w:cs="Calibri"/>
                <w:b/>
                <w:bCs/>
                <w:color w:val="000000"/>
              </w:rPr>
            </w:pPr>
          </w:p>
        </w:tc>
        <w:tc>
          <w:tcPr>
            <w:tcW w:w="1890" w:type="dxa"/>
            <w:vAlign w:val="bottom"/>
          </w:tcPr>
          <w:p w14:paraId="260C76C4" w14:textId="2B7112EC" w:rsidR="002F3CC1" w:rsidRDefault="002F3CC1" w:rsidP="00334A86">
            <w:pPr>
              <w:jc w:val="center"/>
              <w:rPr>
                <w:rFonts w:ascii="Calibri" w:hAnsi="Calibri" w:cs="Calibri"/>
                <w:color w:val="000000"/>
              </w:rPr>
            </w:pPr>
            <w:r>
              <w:rPr>
                <w:rFonts w:ascii="Calibri" w:hAnsi="Calibri" w:cs="Calibri"/>
                <w:b/>
                <w:bCs/>
                <w:color w:val="000000"/>
              </w:rPr>
              <w:t>Full Revenue Requirement Rate</w:t>
            </w:r>
          </w:p>
        </w:tc>
        <w:tc>
          <w:tcPr>
            <w:tcW w:w="1915" w:type="dxa"/>
            <w:vAlign w:val="bottom"/>
          </w:tcPr>
          <w:p w14:paraId="4734F89F" w14:textId="616CDBC2" w:rsidR="002F3CC1" w:rsidRDefault="002F3CC1" w:rsidP="00334A86">
            <w:pPr>
              <w:jc w:val="center"/>
              <w:rPr>
                <w:rFonts w:ascii="Calibri" w:hAnsi="Calibri" w:cs="Calibri"/>
                <w:color w:val="000000"/>
              </w:rPr>
            </w:pPr>
            <w:r>
              <w:rPr>
                <w:rFonts w:ascii="Calibri" w:hAnsi="Calibri" w:cs="Calibri"/>
                <w:b/>
                <w:bCs/>
                <w:color w:val="000000"/>
              </w:rPr>
              <w:t>Full Rate to Current Rate Percent Change</w:t>
            </w:r>
          </w:p>
        </w:tc>
      </w:tr>
      <w:tr w:rsidR="002F3CC1" w14:paraId="1EC849C3" w14:textId="77777777" w:rsidTr="002F3CC1">
        <w:trPr>
          <w:jc w:val="center"/>
        </w:trPr>
        <w:tc>
          <w:tcPr>
            <w:tcW w:w="2343" w:type="dxa"/>
            <w:vAlign w:val="bottom"/>
          </w:tcPr>
          <w:p w14:paraId="7B41147D" w14:textId="77777777" w:rsidR="002F3CC1" w:rsidRDefault="002F3CC1" w:rsidP="00334A86">
            <w:pPr>
              <w:jc w:val="center"/>
              <w:rPr>
                <w:rFonts w:ascii="Calibri" w:hAnsi="Calibri" w:cs="Calibri"/>
                <w:color w:val="000000"/>
              </w:rPr>
            </w:pPr>
            <w:r>
              <w:rPr>
                <w:rFonts w:ascii="Calibri" w:hAnsi="Calibri" w:cs="Calibri"/>
                <w:b/>
                <w:bCs/>
                <w:color w:val="000000"/>
              </w:rPr>
              <w:t>Residential Garbage</w:t>
            </w:r>
          </w:p>
        </w:tc>
        <w:tc>
          <w:tcPr>
            <w:tcW w:w="1024" w:type="dxa"/>
            <w:vAlign w:val="bottom"/>
          </w:tcPr>
          <w:p w14:paraId="0ABBFBDF" w14:textId="77777777" w:rsidR="002F3CC1" w:rsidRDefault="002F3CC1" w:rsidP="00334A86">
            <w:pPr>
              <w:jc w:val="center"/>
              <w:rPr>
                <w:rFonts w:ascii="Calibri" w:hAnsi="Calibri" w:cs="Calibri"/>
                <w:color w:val="000000"/>
              </w:rPr>
            </w:pPr>
          </w:p>
        </w:tc>
        <w:tc>
          <w:tcPr>
            <w:tcW w:w="1083" w:type="dxa"/>
            <w:vAlign w:val="bottom"/>
          </w:tcPr>
          <w:p w14:paraId="68BA423F" w14:textId="77777777" w:rsidR="002F3CC1" w:rsidRDefault="002F3CC1" w:rsidP="00334A86">
            <w:pPr>
              <w:jc w:val="center"/>
              <w:rPr>
                <w:rFonts w:ascii="Calibri" w:hAnsi="Calibri" w:cs="Calibri"/>
                <w:color w:val="000000"/>
              </w:rPr>
            </w:pPr>
          </w:p>
        </w:tc>
        <w:tc>
          <w:tcPr>
            <w:tcW w:w="1033" w:type="dxa"/>
            <w:vAlign w:val="bottom"/>
          </w:tcPr>
          <w:p w14:paraId="4C8C597B" w14:textId="77777777" w:rsidR="002F3CC1" w:rsidRDefault="002F3CC1" w:rsidP="00334A86">
            <w:pPr>
              <w:jc w:val="center"/>
              <w:rPr>
                <w:rFonts w:ascii="Calibri" w:hAnsi="Calibri" w:cs="Calibri"/>
                <w:color w:val="000000"/>
              </w:rPr>
            </w:pPr>
          </w:p>
        </w:tc>
        <w:tc>
          <w:tcPr>
            <w:tcW w:w="385" w:type="dxa"/>
          </w:tcPr>
          <w:p w14:paraId="3482C382" w14:textId="77777777" w:rsidR="002F3CC1" w:rsidRDefault="002F3CC1" w:rsidP="00334A86">
            <w:pPr>
              <w:jc w:val="center"/>
              <w:rPr>
                <w:rFonts w:ascii="Calibri" w:hAnsi="Calibri" w:cs="Calibri"/>
                <w:color w:val="000000"/>
              </w:rPr>
            </w:pPr>
          </w:p>
        </w:tc>
        <w:tc>
          <w:tcPr>
            <w:tcW w:w="1890" w:type="dxa"/>
            <w:vAlign w:val="bottom"/>
          </w:tcPr>
          <w:p w14:paraId="3F51A16B" w14:textId="27243E9D" w:rsidR="002F3CC1" w:rsidRDefault="002F3CC1" w:rsidP="00334A86">
            <w:pPr>
              <w:jc w:val="center"/>
              <w:rPr>
                <w:rFonts w:ascii="Calibri" w:hAnsi="Calibri" w:cs="Calibri"/>
                <w:color w:val="000000"/>
              </w:rPr>
            </w:pPr>
          </w:p>
        </w:tc>
        <w:tc>
          <w:tcPr>
            <w:tcW w:w="1915" w:type="dxa"/>
            <w:vAlign w:val="bottom"/>
          </w:tcPr>
          <w:p w14:paraId="39AA68A1" w14:textId="77777777" w:rsidR="002F3CC1" w:rsidRDefault="002F3CC1" w:rsidP="00334A86">
            <w:pPr>
              <w:jc w:val="center"/>
              <w:rPr>
                <w:rFonts w:ascii="Calibri" w:hAnsi="Calibri" w:cs="Calibri"/>
                <w:color w:val="000000"/>
              </w:rPr>
            </w:pPr>
          </w:p>
        </w:tc>
      </w:tr>
      <w:tr w:rsidR="002F3CC1" w14:paraId="634CAE37" w14:textId="77777777" w:rsidTr="002F3CC1">
        <w:trPr>
          <w:jc w:val="center"/>
        </w:trPr>
        <w:tc>
          <w:tcPr>
            <w:tcW w:w="2343" w:type="dxa"/>
            <w:vAlign w:val="bottom"/>
          </w:tcPr>
          <w:p w14:paraId="04C2924A" w14:textId="77777777" w:rsidR="002F3CC1" w:rsidRDefault="002F3CC1" w:rsidP="00334A86">
            <w:pPr>
              <w:rPr>
                <w:rFonts w:ascii="Times New Roman" w:hAnsi="Times New Roman" w:cs="Times New Roman"/>
                <w:b/>
                <w:sz w:val="24"/>
                <w:szCs w:val="24"/>
                <w:u w:val="single"/>
              </w:rPr>
            </w:pPr>
            <w:r>
              <w:rPr>
                <w:rFonts w:ascii="Calibri" w:hAnsi="Calibri" w:cs="Calibri"/>
                <w:color w:val="000000"/>
              </w:rPr>
              <w:t>1 Can-Weekly Pickup</w:t>
            </w:r>
          </w:p>
        </w:tc>
        <w:tc>
          <w:tcPr>
            <w:tcW w:w="1024" w:type="dxa"/>
            <w:vAlign w:val="bottom"/>
          </w:tcPr>
          <w:p w14:paraId="3772C932"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13.75</w:t>
            </w:r>
          </w:p>
        </w:tc>
        <w:tc>
          <w:tcPr>
            <w:tcW w:w="1083" w:type="dxa"/>
            <w:vAlign w:val="bottom"/>
          </w:tcPr>
          <w:p w14:paraId="499D525D"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15.00</w:t>
            </w:r>
          </w:p>
        </w:tc>
        <w:tc>
          <w:tcPr>
            <w:tcW w:w="1033" w:type="dxa"/>
            <w:vAlign w:val="bottom"/>
          </w:tcPr>
          <w:p w14:paraId="336D9367"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9.1%</w:t>
            </w:r>
          </w:p>
        </w:tc>
        <w:tc>
          <w:tcPr>
            <w:tcW w:w="385" w:type="dxa"/>
          </w:tcPr>
          <w:p w14:paraId="045BF65C" w14:textId="77777777" w:rsidR="002F3CC1" w:rsidRDefault="002F3CC1" w:rsidP="00334A86">
            <w:pPr>
              <w:jc w:val="center"/>
              <w:rPr>
                <w:rFonts w:ascii="Calibri" w:hAnsi="Calibri" w:cs="Calibri"/>
                <w:color w:val="000000"/>
              </w:rPr>
            </w:pPr>
          </w:p>
        </w:tc>
        <w:tc>
          <w:tcPr>
            <w:tcW w:w="1890" w:type="dxa"/>
            <w:vAlign w:val="bottom"/>
          </w:tcPr>
          <w:p w14:paraId="0DBC9330" w14:textId="17932E1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16.95</w:t>
            </w:r>
          </w:p>
        </w:tc>
        <w:tc>
          <w:tcPr>
            <w:tcW w:w="1915" w:type="dxa"/>
            <w:vAlign w:val="bottom"/>
          </w:tcPr>
          <w:p w14:paraId="166757D4"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23.3%</w:t>
            </w:r>
          </w:p>
        </w:tc>
      </w:tr>
      <w:tr w:rsidR="002F3CC1" w14:paraId="55D1FB6F" w14:textId="77777777" w:rsidTr="002F3CC1">
        <w:trPr>
          <w:jc w:val="center"/>
        </w:trPr>
        <w:tc>
          <w:tcPr>
            <w:tcW w:w="2343" w:type="dxa"/>
            <w:vAlign w:val="bottom"/>
          </w:tcPr>
          <w:p w14:paraId="0FC4576A" w14:textId="77777777" w:rsidR="002F3CC1" w:rsidRDefault="002F3CC1" w:rsidP="00334A86">
            <w:pPr>
              <w:rPr>
                <w:rFonts w:ascii="Times New Roman" w:hAnsi="Times New Roman" w:cs="Times New Roman"/>
                <w:b/>
                <w:sz w:val="24"/>
                <w:szCs w:val="24"/>
                <w:u w:val="single"/>
              </w:rPr>
            </w:pPr>
            <w:r>
              <w:rPr>
                <w:rFonts w:ascii="Calibri" w:hAnsi="Calibri" w:cs="Calibri"/>
                <w:color w:val="000000"/>
              </w:rPr>
              <w:t>1 Can-Every Other Week Pickup</w:t>
            </w:r>
          </w:p>
        </w:tc>
        <w:tc>
          <w:tcPr>
            <w:tcW w:w="1024" w:type="dxa"/>
            <w:vAlign w:val="bottom"/>
          </w:tcPr>
          <w:p w14:paraId="7A5A3267"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7.50</w:t>
            </w:r>
          </w:p>
        </w:tc>
        <w:tc>
          <w:tcPr>
            <w:tcW w:w="1083" w:type="dxa"/>
            <w:vAlign w:val="bottom"/>
          </w:tcPr>
          <w:p w14:paraId="714CA2C2"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8.20</w:t>
            </w:r>
          </w:p>
        </w:tc>
        <w:tc>
          <w:tcPr>
            <w:tcW w:w="1033" w:type="dxa"/>
            <w:vAlign w:val="bottom"/>
          </w:tcPr>
          <w:p w14:paraId="240CEABC"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9.3%</w:t>
            </w:r>
          </w:p>
        </w:tc>
        <w:tc>
          <w:tcPr>
            <w:tcW w:w="385" w:type="dxa"/>
          </w:tcPr>
          <w:p w14:paraId="3D89D568" w14:textId="77777777" w:rsidR="002F3CC1" w:rsidRDefault="002F3CC1" w:rsidP="00334A86">
            <w:pPr>
              <w:jc w:val="center"/>
              <w:rPr>
                <w:rFonts w:ascii="Calibri" w:hAnsi="Calibri" w:cs="Calibri"/>
                <w:color w:val="000000"/>
              </w:rPr>
            </w:pPr>
          </w:p>
        </w:tc>
        <w:tc>
          <w:tcPr>
            <w:tcW w:w="1890" w:type="dxa"/>
            <w:vAlign w:val="bottom"/>
          </w:tcPr>
          <w:p w14:paraId="1E95E453" w14:textId="5706DE45"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9.25</w:t>
            </w:r>
          </w:p>
        </w:tc>
        <w:tc>
          <w:tcPr>
            <w:tcW w:w="1915" w:type="dxa"/>
            <w:vAlign w:val="bottom"/>
          </w:tcPr>
          <w:p w14:paraId="7764F634"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23.3%</w:t>
            </w:r>
          </w:p>
        </w:tc>
      </w:tr>
      <w:tr w:rsidR="002F3CC1" w14:paraId="454FA67A" w14:textId="77777777" w:rsidTr="002F3CC1">
        <w:trPr>
          <w:jc w:val="center"/>
        </w:trPr>
        <w:tc>
          <w:tcPr>
            <w:tcW w:w="2343" w:type="dxa"/>
            <w:vAlign w:val="bottom"/>
          </w:tcPr>
          <w:p w14:paraId="73A7C5D6" w14:textId="77777777" w:rsidR="002F3CC1" w:rsidRDefault="002F3CC1" w:rsidP="00334A86">
            <w:pPr>
              <w:rPr>
                <w:rFonts w:ascii="Times New Roman" w:hAnsi="Times New Roman" w:cs="Times New Roman"/>
                <w:b/>
                <w:sz w:val="24"/>
                <w:szCs w:val="24"/>
                <w:u w:val="single"/>
              </w:rPr>
            </w:pPr>
            <w:r>
              <w:rPr>
                <w:rFonts w:ascii="Calibri" w:hAnsi="Calibri" w:cs="Calibri"/>
                <w:color w:val="000000"/>
              </w:rPr>
              <w:t>1 Can-Monthly Pickup</w:t>
            </w:r>
          </w:p>
        </w:tc>
        <w:tc>
          <w:tcPr>
            <w:tcW w:w="1024" w:type="dxa"/>
            <w:vAlign w:val="bottom"/>
          </w:tcPr>
          <w:p w14:paraId="065D8DE5"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4.65</w:t>
            </w:r>
          </w:p>
        </w:tc>
        <w:tc>
          <w:tcPr>
            <w:tcW w:w="1083" w:type="dxa"/>
            <w:vAlign w:val="bottom"/>
          </w:tcPr>
          <w:p w14:paraId="4E1933ED"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5.10</w:t>
            </w:r>
          </w:p>
        </w:tc>
        <w:tc>
          <w:tcPr>
            <w:tcW w:w="1033" w:type="dxa"/>
            <w:vAlign w:val="bottom"/>
          </w:tcPr>
          <w:p w14:paraId="37E9EB9B"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9.7%</w:t>
            </w:r>
          </w:p>
        </w:tc>
        <w:tc>
          <w:tcPr>
            <w:tcW w:w="385" w:type="dxa"/>
          </w:tcPr>
          <w:p w14:paraId="2C4F4B38" w14:textId="77777777" w:rsidR="002F3CC1" w:rsidRDefault="002F3CC1" w:rsidP="00334A86">
            <w:pPr>
              <w:jc w:val="center"/>
              <w:rPr>
                <w:rFonts w:ascii="Calibri" w:hAnsi="Calibri" w:cs="Calibri"/>
                <w:color w:val="000000"/>
              </w:rPr>
            </w:pPr>
          </w:p>
        </w:tc>
        <w:tc>
          <w:tcPr>
            <w:tcW w:w="1890" w:type="dxa"/>
            <w:vAlign w:val="bottom"/>
          </w:tcPr>
          <w:p w14:paraId="2400715A" w14:textId="6BCCD68A"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5.75</w:t>
            </w:r>
          </w:p>
        </w:tc>
        <w:tc>
          <w:tcPr>
            <w:tcW w:w="1915" w:type="dxa"/>
            <w:vAlign w:val="bottom"/>
          </w:tcPr>
          <w:p w14:paraId="40094D95"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23.7%</w:t>
            </w:r>
          </w:p>
        </w:tc>
      </w:tr>
      <w:tr w:rsidR="002F3CC1" w14:paraId="348B4A4E" w14:textId="77777777" w:rsidTr="002F3CC1">
        <w:trPr>
          <w:jc w:val="center"/>
        </w:trPr>
        <w:tc>
          <w:tcPr>
            <w:tcW w:w="2343" w:type="dxa"/>
          </w:tcPr>
          <w:p w14:paraId="1BB269DE" w14:textId="77777777" w:rsidR="002F3CC1" w:rsidRDefault="002F3CC1" w:rsidP="00334A86">
            <w:pPr>
              <w:rPr>
                <w:rFonts w:ascii="Times New Roman" w:hAnsi="Times New Roman" w:cs="Times New Roman"/>
                <w:b/>
                <w:sz w:val="24"/>
                <w:szCs w:val="24"/>
                <w:u w:val="single"/>
              </w:rPr>
            </w:pPr>
          </w:p>
        </w:tc>
        <w:tc>
          <w:tcPr>
            <w:tcW w:w="1024" w:type="dxa"/>
          </w:tcPr>
          <w:p w14:paraId="2694316E" w14:textId="77777777" w:rsidR="002F3CC1" w:rsidRDefault="002F3CC1" w:rsidP="00334A86">
            <w:pPr>
              <w:rPr>
                <w:rFonts w:ascii="Times New Roman" w:hAnsi="Times New Roman" w:cs="Times New Roman"/>
                <w:b/>
                <w:sz w:val="24"/>
                <w:szCs w:val="24"/>
                <w:u w:val="single"/>
              </w:rPr>
            </w:pPr>
          </w:p>
        </w:tc>
        <w:tc>
          <w:tcPr>
            <w:tcW w:w="1083" w:type="dxa"/>
          </w:tcPr>
          <w:p w14:paraId="1E392340" w14:textId="77777777" w:rsidR="002F3CC1" w:rsidRDefault="002F3CC1" w:rsidP="00334A86">
            <w:pPr>
              <w:rPr>
                <w:rFonts w:ascii="Times New Roman" w:hAnsi="Times New Roman" w:cs="Times New Roman"/>
                <w:b/>
                <w:sz w:val="24"/>
                <w:szCs w:val="24"/>
                <w:u w:val="single"/>
              </w:rPr>
            </w:pPr>
          </w:p>
        </w:tc>
        <w:tc>
          <w:tcPr>
            <w:tcW w:w="1033" w:type="dxa"/>
          </w:tcPr>
          <w:p w14:paraId="110A235F" w14:textId="77777777" w:rsidR="002F3CC1" w:rsidRDefault="002F3CC1" w:rsidP="00334A86">
            <w:pPr>
              <w:rPr>
                <w:rFonts w:ascii="Times New Roman" w:hAnsi="Times New Roman" w:cs="Times New Roman"/>
                <w:b/>
                <w:sz w:val="24"/>
                <w:szCs w:val="24"/>
                <w:u w:val="single"/>
              </w:rPr>
            </w:pPr>
          </w:p>
        </w:tc>
        <w:tc>
          <w:tcPr>
            <w:tcW w:w="385" w:type="dxa"/>
          </w:tcPr>
          <w:p w14:paraId="5FC62698" w14:textId="77777777" w:rsidR="002F3CC1" w:rsidRDefault="002F3CC1" w:rsidP="00334A86">
            <w:pPr>
              <w:rPr>
                <w:rFonts w:ascii="Times New Roman" w:hAnsi="Times New Roman" w:cs="Times New Roman"/>
                <w:b/>
                <w:sz w:val="24"/>
                <w:szCs w:val="24"/>
                <w:u w:val="single"/>
              </w:rPr>
            </w:pPr>
          </w:p>
        </w:tc>
        <w:tc>
          <w:tcPr>
            <w:tcW w:w="1890" w:type="dxa"/>
          </w:tcPr>
          <w:p w14:paraId="4CFBB42D" w14:textId="79056A26" w:rsidR="002F3CC1" w:rsidRDefault="002F3CC1" w:rsidP="00334A86">
            <w:pPr>
              <w:rPr>
                <w:rFonts w:ascii="Times New Roman" w:hAnsi="Times New Roman" w:cs="Times New Roman"/>
                <w:b/>
                <w:sz w:val="24"/>
                <w:szCs w:val="24"/>
                <w:u w:val="single"/>
              </w:rPr>
            </w:pPr>
          </w:p>
        </w:tc>
        <w:tc>
          <w:tcPr>
            <w:tcW w:w="1915" w:type="dxa"/>
          </w:tcPr>
          <w:p w14:paraId="6F3BF2D1" w14:textId="77777777" w:rsidR="002F3CC1" w:rsidRDefault="002F3CC1" w:rsidP="00334A86">
            <w:pPr>
              <w:rPr>
                <w:rFonts w:ascii="Times New Roman" w:hAnsi="Times New Roman" w:cs="Times New Roman"/>
                <w:b/>
                <w:sz w:val="24"/>
                <w:szCs w:val="24"/>
                <w:u w:val="single"/>
              </w:rPr>
            </w:pPr>
          </w:p>
        </w:tc>
      </w:tr>
      <w:tr w:rsidR="002F3CC1" w14:paraId="6D69BA8D" w14:textId="77777777" w:rsidTr="002F3CC1">
        <w:trPr>
          <w:jc w:val="center"/>
        </w:trPr>
        <w:tc>
          <w:tcPr>
            <w:tcW w:w="2343" w:type="dxa"/>
          </w:tcPr>
          <w:p w14:paraId="5EAE5F10" w14:textId="77777777" w:rsidR="002F3CC1" w:rsidRDefault="002F3CC1" w:rsidP="00334A86">
            <w:pPr>
              <w:jc w:val="center"/>
              <w:rPr>
                <w:rFonts w:ascii="Times New Roman" w:hAnsi="Times New Roman" w:cs="Times New Roman"/>
                <w:b/>
                <w:sz w:val="24"/>
                <w:szCs w:val="24"/>
                <w:u w:val="single"/>
              </w:rPr>
            </w:pPr>
            <w:r>
              <w:rPr>
                <w:rFonts w:ascii="Calibri" w:hAnsi="Calibri" w:cs="Calibri"/>
                <w:b/>
                <w:bCs/>
                <w:color w:val="000000"/>
              </w:rPr>
              <w:t>Commercial Garbage</w:t>
            </w:r>
          </w:p>
        </w:tc>
        <w:tc>
          <w:tcPr>
            <w:tcW w:w="1024" w:type="dxa"/>
            <w:vAlign w:val="bottom"/>
          </w:tcPr>
          <w:p w14:paraId="6281C2A6" w14:textId="77777777" w:rsidR="002F3CC1" w:rsidRDefault="002F3CC1" w:rsidP="00334A86">
            <w:pPr>
              <w:jc w:val="center"/>
              <w:rPr>
                <w:rFonts w:ascii="Times New Roman" w:hAnsi="Times New Roman" w:cs="Times New Roman"/>
                <w:b/>
                <w:sz w:val="24"/>
                <w:szCs w:val="24"/>
                <w:u w:val="single"/>
              </w:rPr>
            </w:pPr>
          </w:p>
        </w:tc>
        <w:tc>
          <w:tcPr>
            <w:tcW w:w="1083" w:type="dxa"/>
            <w:vAlign w:val="bottom"/>
          </w:tcPr>
          <w:p w14:paraId="27155257" w14:textId="77777777" w:rsidR="002F3CC1" w:rsidRDefault="002F3CC1" w:rsidP="00334A86">
            <w:pPr>
              <w:jc w:val="center"/>
              <w:rPr>
                <w:rFonts w:ascii="Times New Roman" w:hAnsi="Times New Roman" w:cs="Times New Roman"/>
                <w:b/>
                <w:sz w:val="24"/>
                <w:szCs w:val="24"/>
                <w:u w:val="single"/>
              </w:rPr>
            </w:pPr>
          </w:p>
        </w:tc>
        <w:tc>
          <w:tcPr>
            <w:tcW w:w="1033" w:type="dxa"/>
            <w:vAlign w:val="bottom"/>
          </w:tcPr>
          <w:p w14:paraId="7804ACFE" w14:textId="77777777" w:rsidR="002F3CC1" w:rsidRDefault="002F3CC1" w:rsidP="00334A86">
            <w:pPr>
              <w:jc w:val="center"/>
              <w:rPr>
                <w:rFonts w:ascii="Times New Roman" w:hAnsi="Times New Roman" w:cs="Times New Roman"/>
                <w:b/>
                <w:sz w:val="24"/>
                <w:szCs w:val="24"/>
                <w:u w:val="single"/>
              </w:rPr>
            </w:pPr>
          </w:p>
        </w:tc>
        <w:tc>
          <w:tcPr>
            <w:tcW w:w="385" w:type="dxa"/>
          </w:tcPr>
          <w:p w14:paraId="191AD205" w14:textId="77777777" w:rsidR="002F3CC1" w:rsidRDefault="002F3CC1" w:rsidP="00334A86">
            <w:pPr>
              <w:jc w:val="center"/>
              <w:rPr>
                <w:rFonts w:ascii="Times New Roman" w:hAnsi="Times New Roman" w:cs="Times New Roman"/>
                <w:b/>
                <w:sz w:val="24"/>
                <w:szCs w:val="24"/>
                <w:u w:val="single"/>
              </w:rPr>
            </w:pPr>
          </w:p>
        </w:tc>
        <w:tc>
          <w:tcPr>
            <w:tcW w:w="1890" w:type="dxa"/>
            <w:vAlign w:val="bottom"/>
          </w:tcPr>
          <w:p w14:paraId="666D80DC" w14:textId="4FC3798C" w:rsidR="002F3CC1" w:rsidRDefault="002F3CC1" w:rsidP="00334A86">
            <w:pPr>
              <w:jc w:val="center"/>
              <w:rPr>
                <w:rFonts w:ascii="Times New Roman" w:hAnsi="Times New Roman" w:cs="Times New Roman"/>
                <w:b/>
                <w:sz w:val="24"/>
                <w:szCs w:val="24"/>
                <w:u w:val="single"/>
              </w:rPr>
            </w:pPr>
          </w:p>
        </w:tc>
        <w:tc>
          <w:tcPr>
            <w:tcW w:w="1915" w:type="dxa"/>
            <w:vAlign w:val="bottom"/>
          </w:tcPr>
          <w:p w14:paraId="11F56A0A" w14:textId="77777777" w:rsidR="002F3CC1" w:rsidRDefault="002F3CC1" w:rsidP="00334A86">
            <w:pPr>
              <w:jc w:val="center"/>
              <w:rPr>
                <w:rFonts w:ascii="Times New Roman" w:hAnsi="Times New Roman" w:cs="Times New Roman"/>
                <w:b/>
                <w:sz w:val="24"/>
                <w:szCs w:val="24"/>
                <w:u w:val="single"/>
              </w:rPr>
            </w:pPr>
          </w:p>
        </w:tc>
      </w:tr>
      <w:tr w:rsidR="002F3CC1" w14:paraId="24A292CF" w14:textId="77777777" w:rsidTr="002F3CC1">
        <w:trPr>
          <w:jc w:val="center"/>
        </w:trPr>
        <w:tc>
          <w:tcPr>
            <w:tcW w:w="2343" w:type="dxa"/>
            <w:vAlign w:val="bottom"/>
          </w:tcPr>
          <w:p w14:paraId="0C26AE1C" w14:textId="77777777" w:rsidR="002F3CC1" w:rsidRDefault="002F3CC1" w:rsidP="00334A86">
            <w:pPr>
              <w:rPr>
                <w:rFonts w:ascii="Times New Roman" w:hAnsi="Times New Roman" w:cs="Times New Roman"/>
                <w:b/>
                <w:sz w:val="24"/>
                <w:szCs w:val="24"/>
                <w:u w:val="single"/>
              </w:rPr>
            </w:pPr>
            <w:r>
              <w:rPr>
                <w:rFonts w:ascii="Calibri" w:hAnsi="Calibri" w:cs="Calibri"/>
                <w:color w:val="000000"/>
              </w:rPr>
              <w:t>1 Yard Container-per Pickup</w:t>
            </w:r>
          </w:p>
        </w:tc>
        <w:tc>
          <w:tcPr>
            <w:tcW w:w="1024" w:type="dxa"/>
            <w:vAlign w:val="bottom"/>
          </w:tcPr>
          <w:p w14:paraId="42F21774"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13.25</w:t>
            </w:r>
          </w:p>
        </w:tc>
        <w:tc>
          <w:tcPr>
            <w:tcW w:w="1083" w:type="dxa"/>
            <w:vAlign w:val="bottom"/>
          </w:tcPr>
          <w:p w14:paraId="5C7A8838"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14.45</w:t>
            </w:r>
          </w:p>
        </w:tc>
        <w:tc>
          <w:tcPr>
            <w:tcW w:w="1033" w:type="dxa"/>
            <w:vAlign w:val="bottom"/>
          </w:tcPr>
          <w:p w14:paraId="63C8A655"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9.1%</w:t>
            </w:r>
          </w:p>
        </w:tc>
        <w:tc>
          <w:tcPr>
            <w:tcW w:w="385" w:type="dxa"/>
          </w:tcPr>
          <w:p w14:paraId="1EDAFB48" w14:textId="77777777" w:rsidR="002F3CC1" w:rsidRDefault="002F3CC1" w:rsidP="00334A86">
            <w:pPr>
              <w:jc w:val="center"/>
              <w:rPr>
                <w:rFonts w:ascii="Calibri" w:hAnsi="Calibri" w:cs="Calibri"/>
                <w:color w:val="000000"/>
              </w:rPr>
            </w:pPr>
          </w:p>
        </w:tc>
        <w:tc>
          <w:tcPr>
            <w:tcW w:w="1890" w:type="dxa"/>
            <w:vAlign w:val="bottom"/>
          </w:tcPr>
          <w:p w14:paraId="23A1EA7D" w14:textId="34F7BB58"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16.35</w:t>
            </w:r>
          </w:p>
        </w:tc>
        <w:tc>
          <w:tcPr>
            <w:tcW w:w="1915" w:type="dxa"/>
            <w:vAlign w:val="bottom"/>
          </w:tcPr>
          <w:p w14:paraId="15AD8E8F"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23.4%</w:t>
            </w:r>
          </w:p>
        </w:tc>
      </w:tr>
      <w:tr w:rsidR="002F3CC1" w14:paraId="5223BF60" w14:textId="77777777" w:rsidTr="002F3CC1">
        <w:trPr>
          <w:jc w:val="center"/>
        </w:trPr>
        <w:tc>
          <w:tcPr>
            <w:tcW w:w="2343" w:type="dxa"/>
            <w:vAlign w:val="bottom"/>
          </w:tcPr>
          <w:p w14:paraId="0BE6D855" w14:textId="77777777" w:rsidR="002F3CC1" w:rsidRDefault="002F3CC1" w:rsidP="00334A86">
            <w:pPr>
              <w:rPr>
                <w:rFonts w:ascii="Times New Roman" w:hAnsi="Times New Roman" w:cs="Times New Roman"/>
                <w:b/>
                <w:sz w:val="24"/>
                <w:szCs w:val="24"/>
                <w:u w:val="single"/>
              </w:rPr>
            </w:pPr>
            <w:r>
              <w:rPr>
                <w:rFonts w:ascii="Calibri" w:hAnsi="Calibri" w:cs="Calibri"/>
                <w:color w:val="000000"/>
              </w:rPr>
              <w:t>2 Yard Container-per Pickup</w:t>
            </w:r>
          </w:p>
        </w:tc>
        <w:tc>
          <w:tcPr>
            <w:tcW w:w="1024" w:type="dxa"/>
            <w:vAlign w:val="bottom"/>
          </w:tcPr>
          <w:p w14:paraId="3205F325"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24.25</w:t>
            </w:r>
          </w:p>
        </w:tc>
        <w:tc>
          <w:tcPr>
            <w:tcW w:w="1083" w:type="dxa"/>
            <w:vAlign w:val="bottom"/>
          </w:tcPr>
          <w:p w14:paraId="294DAA1C"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26.50</w:t>
            </w:r>
          </w:p>
        </w:tc>
        <w:tc>
          <w:tcPr>
            <w:tcW w:w="1033" w:type="dxa"/>
            <w:vAlign w:val="bottom"/>
          </w:tcPr>
          <w:p w14:paraId="2383BB95"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9.3%</w:t>
            </w:r>
          </w:p>
        </w:tc>
        <w:tc>
          <w:tcPr>
            <w:tcW w:w="385" w:type="dxa"/>
          </w:tcPr>
          <w:p w14:paraId="1DF760CC" w14:textId="77777777" w:rsidR="002F3CC1" w:rsidRDefault="002F3CC1" w:rsidP="00334A86">
            <w:pPr>
              <w:jc w:val="center"/>
              <w:rPr>
                <w:rFonts w:ascii="Calibri" w:hAnsi="Calibri" w:cs="Calibri"/>
                <w:color w:val="000000"/>
              </w:rPr>
            </w:pPr>
          </w:p>
        </w:tc>
        <w:tc>
          <w:tcPr>
            <w:tcW w:w="1890" w:type="dxa"/>
            <w:vAlign w:val="bottom"/>
          </w:tcPr>
          <w:p w14:paraId="0FBFFA94" w14:textId="51E6CA9A"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29.90</w:t>
            </w:r>
          </w:p>
        </w:tc>
        <w:tc>
          <w:tcPr>
            <w:tcW w:w="1915" w:type="dxa"/>
            <w:vAlign w:val="bottom"/>
          </w:tcPr>
          <w:p w14:paraId="52FCC320"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23.3%</w:t>
            </w:r>
          </w:p>
        </w:tc>
      </w:tr>
      <w:tr w:rsidR="002F3CC1" w14:paraId="79C25E91" w14:textId="77777777" w:rsidTr="002F3CC1">
        <w:trPr>
          <w:jc w:val="center"/>
        </w:trPr>
        <w:tc>
          <w:tcPr>
            <w:tcW w:w="2343" w:type="dxa"/>
            <w:vAlign w:val="bottom"/>
          </w:tcPr>
          <w:p w14:paraId="407196CC" w14:textId="77777777" w:rsidR="002F3CC1" w:rsidRDefault="002F3CC1" w:rsidP="00334A86">
            <w:pPr>
              <w:rPr>
                <w:rFonts w:ascii="Times New Roman" w:hAnsi="Times New Roman" w:cs="Times New Roman"/>
                <w:b/>
                <w:sz w:val="24"/>
                <w:szCs w:val="24"/>
                <w:u w:val="single"/>
              </w:rPr>
            </w:pPr>
            <w:r>
              <w:rPr>
                <w:rFonts w:ascii="Calibri" w:hAnsi="Calibri" w:cs="Calibri"/>
                <w:color w:val="000000"/>
              </w:rPr>
              <w:t>1 Can-Weekly Pickup</w:t>
            </w:r>
          </w:p>
        </w:tc>
        <w:tc>
          <w:tcPr>
            <w:tcW w:w="1024" w:type="dxa"/>
            <w:vAlign w:val="bottom"/>
          </w:tcPr>
          <w:p w14:paraId="60B2F08A"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13.75</w:t>
            </w:r>
          </w:p>
        </w:tc>
        <w:tc>
          <w:tcPr>
            <w:tcW w:w="1083" w:type="dxa"/>
            <w:vAlign w:val="bottom"/>
          </w:tcPr>
          <w:p w14:paraId="4BC2D591"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15.00</w:t>
            </w:r>
          </w:p>
        </w:tc>
        <w:tc>
          <w:tcPr>
            <w:tcW w:w="1033" w:type="dxa"/>
            <w:vAlign w:val="bottom"/>
          </w:tcPr>
          <w:p w14:paraId="0C880A0C"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9.1%</w:t>
            </w:r>
          </w:p>
        </w:tc>
        <w:tc>
          <w:tcPr>
            <w:tcW w:w="385" w:type="dxa"/>
          </w:tcPr>
          <w:p w14:paraId="2F507BDF" w14:textId="77777777" w:rsidR="002F3CC1" w:rsidRDefault="002F3CC1" w:rsidP="00334A86">
            <w:pPr>
              <w:jc w:val="center"/>
              <w:rPr>
                <w:rFonts w:ascii="Calibri" w:hAnsi="Calibri" w:cs="Calibri"/>
                <w:color w:val="000000"/>
              </w:rPr>
            </w:pPr>
          </w:p>
        </w:tc>
        <w:tc>
          <w:tcPr>
            <w:tcW w:w="1890" w:type="dxa"/>
            <w:vAlign w:val="bottom"/>
          </w:tcPr>
          <w:p w14:paraId="59F63730" w14:textId="36492656"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16.95</w:t>
            </w:r>
          </w:p>
        </w:tc>
        <w:tc>
          <w:tcPr>
            <w:tcW w:w="1915" w:type="dxa"/>
            <w:vAlign w:val="bottom"/>
          </w:tcPr>
          <w:p w14:paraId="55B01B8E"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23.3%</w:t>
            </w:r>
          </w:p>
        </w:tc>
      </w:tr>
      <w:tr w:rsidR="002F3CC1" w14:paraId="0FECE093" w14:textId="77777777" w:rsidTr="002F3CC1">
        <w:trPr>
          <w:jc w:val="center"/>
        </w:trPr>
        <w:tc>
          <w:tcPr>
            <w:tcW w:w="2343" w:type="dxa"/>
            <w:vAlign w:val="bottom"/>
          </w:tcPr>
          <w:p w14:paraId="30B2CC93" w14:textId="77777777" w:rsidR="002F3CC1" w:rsidRDefault="002F3CC1" w:rsidP="00334A86">
            <w:pPr>
              <w:rPr>
                <w:rFonts w:ascii="Times New Roman" w:hAnsi="Times New Roman" w:cs="Times New Roman"/>
                <w:b/>
                <w:sz w:val="24"/>
                <w:szCs w:val="24"/>
                <w:u w:val="single"/>
              </w:rPr>
            </w:pPr>
            <w:r>
              <w:rPr>
                <w:rFonts w:ascii="Calibri" w:hAnsi="Calibri" w:cs="Calibri"/>
                <w:color w:val="000000"/>
              </w:rPr>
              <w:t>2 Cans-Weekly Pickup</w:t>
            </w:r>
          </w:p>
        </w:tc>
        <w:tc>
          <w:tcPr>
            <w:tcW w:w="1024" w:type="dxa"/>
            <w:vAlign w:val="bottom"/>
          </w:tcPr>
          <w:p w14:paraId="565EEC75"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19.35</w:t>
            </w:r>
          </w:p>
        </w:tc>
        <w:tc>
          <w:tcPr>
            <w:tcW w:w="1083" w:type="dxa"/>
            <w:vAlign w:val="bottom"/>
          </w:tcPr>
          <w:p w14:paraId="12A2222B"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21.00</w:t>
            </w:r>
          </w:p>
        </w:tc>
        <w:tc>
          <w:tcPr>
            <w:tcW w:w="1033" w:type="dxa"/>
            <w:vAlign w:val="bottom"/>
          </w:tcPr>
          <w:p w14:paraId="7105810B"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8.5%</w:t>
            </w:r>
          </w:p>
        </w:tc>
        <w:tc>
          <w:tcPr>
            <w:tcW w:w="385" w:type="dxa"/>
          </w:tcPr>
          <w:p w14:paraId="2E95498F" w14:textId="77777777" w:rsidR="002F3CC1" w:rsidRDefault="002F3CC1" w:rsidP="00334A86">
            <w:pPr>
              <w:jc w:val="center"/>
              <w:rPr>
                <w:rFonts w:ascii="Calibri" w:hAnsi="Calibri" w:cs="Calibri"/>
                <w:color w:val="000000"/>
              </w:rPr>
            </w:pPr>
          </w:p>
        </w:tc>
        <w:tc>
          <w:tcPr>
            <w:tcW w:w="1890" w:type="dxa"/>
            <w:vAlign w:val="bottom"/>
          </w:tcPr>
          <w:p w14:paraId="7B347063" w14:textId="3DACF08E"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23.85</w:t>
            </w:r>
          </w:p>
        </w:tc>
        <w:tc>
          <w:tcPr>
            <w:tcW w:w="1915" w:type="dxa"/>
            <w:vAlign w:val="bottom"/>
          </w:tcPr>
          <w:p w14:paraId="25C88DA9"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23.3%</w:t>
            </w:r>
          </w:p>
        </w:tc>
      </w:tr>
      <w:tr w:rsidR="002F3CC1" w14:paraId="0DAFB491" w14:textId="77777777" w:rsidTr="002F3CC1">
        <w:trPr>
          <w:jc w:val="center"/>
        </w:trPr>
        <w:tc>
          <w:tcPr>
            <w:tcW w:w="2343" w:type="dxa"/>
          </w:tcPr>
          <w:p w14:paraId="0D70309C" w14:textId="77777777" w:rsidR="002F3CC1" w:rsidRDefault="002F3CC1" w:rsidP="00334A86">
            <w:pPr>
              <w:rPr>
                <w:rFonts w:ascii="Times New Roman" w:hAnsi="Times New Roman" w:cs="Times New Roman"/>
                <w:b/>
                <w:sz w:val="24"/>
                <w:szCs w:val="24"/>
                <w:u w:val="single"/>
              </w:rPr>
            </w:pPr>
          </w:p>
        </w:tc>
        <w:tc>
          <w:tcPr>
            <w:tcW w:w="1024" w:type="dxa"/>
          </w:tcPr>
          <w:p w14:paraId="240595E8" w14:textId="77777777" w:rsidR="002F3CC1" w:rsidRDefault="002F3CC1" w:rsidP="00334A86">
            <w:pPr>
              <w:rPr>
                <w:rFonts w:ascii="Times New Roman" w:hAnsi="Times New Roman" w:cs="Times New Roman"/>
                <w:b/>
                <w:sz w:val="24"/>
                <w:szCs w:val="24"/>
                <w:u w:val="single"/>
              </w:rPr>
            </w:pPr>
          </w:p>
        </w:tc>
        <w:tc>
          <w:tcPr>
            <w:tcW w:w="1083" w:type="dxa"/>
          </w:tcPr>
          <w:p w14:paraId="0554B8D5" w14:textId="77777777" w:rsidR="002F3CC1" w:rsidRDefault="002F3CC1" w:rsidP="00334A86">
            <w:pPr>
              <w:rPr>
                <w:rFonts w:ascii="Times New Roman" w:hAnsi="Times New Roman" w:cs="Times New Roman"/>
                <w:b/>
                <w:sz w:val="24"/>
                <w:szCs w:val="24"/>
                <w:u w:val="single"/>
              </w:rPr>
            </w:pPr>
          </w:p>
        </w:tc>
        <w:tc>
          <w:tcPr>
            <w:tcW w:w="1033" w:type="dxa"/>
          </w:tcPr>
          <w:p w14:paraId="1E4364CD" w14:textId="77777777" w:rsidR="002F3CC1" w:rsidRDefault="002F3CC1" w:rsidP="00334A86">
            <w:pPr>
              <w:rPr>
                <w:rFonts w:ascii="Times New Roman" w:hAnsi="Times New Roman" w:cs="Times New Roman"/>
                <w:b/>
                <w:sz w:val="24"/>
                <w:szCs w:val="24"/>
                <w:u w:val="single"/>
              </w:rPr>
            </w:pPr>
          </w:p>
        </w:tc>
        <w:tc>
          <w:tcPr>
            <w:tcW w:w="385" w:type="dxa"/>
          </w:tcPr>
          <w:p w14:paraId="4CA085F0" w14:textId="77777777" w:rsidR="002F3CC1" w:rsidRDefault="002F3CC1" w:rsidP="00334A86">
            <w:pPr>
              <w:rPr>
                <w:rFonts w:ascii="Times New Roman" w:hAnsi="Times New Roman" w:cs="Times New Roman"/>
                <w:b/>
                <w:sz w:val="24"/>
                <w:szCs w:val="24"/>
                <w:u w:val="single"/>
              </w:rPr>
            </w:pPr>
          </w:p>
        </w:tc>
        <w:tc>
          <w:tcPr>
            <w:tcW w:w="1890" w:type="dxa"/>
          </w:tcPr>
          <w:p w14:paraId="1A7EC067" w14:textId="3033C1DA" w:rsidR="002F3CC1" w:rsidRDefault="002F3CC1" w:rsidP="00334A86">
            <w:pPr>
              <w:rPr>
                <w:rFonts w:ascii="Times New Roman" w:hAnsi="Times New Roman" w:cs="Times New Roman"/>
                <w:b/>
                <w:sz w:val="24"/>
                <w:szCs w:val="24"/>
                <w:u w:val="single"/>
              </w:rPr>
            </w:pPr>
          </w:p>
        </w:tc>
        <w:tc>
          <w:tcPr>
            <w:tcW w:w="1915" w:type="dxa"/>
          </w:tcPr>
          <w:p w14:paraId="0BA7DE2D" w14:textId="77777777" w:rsidR="002F3CC1" w:rsidRDefault="002F3CC1" w:rsidP="00334A86">
            <w:pPr>
              <w:rPr>
                <w:rFonts w:ascii="Times New Roman" w:hAnsi="Times New Roman" w:cs="Times New Roman"/>
                <w:b/>
                <w:sz w:val="24"/>
                <w:szCs w:val="24"/>
                <w:u w:val="single"/>
              </w:rPr>
            </w:pPr>
          </w:p>
        </w:tc>
      </w:tr>
      <w:tr w:rsidR="002F3CC1" w14:paraId="4633D260" w14:textId="77777777" w:rsidTr="002F3CC1">
        <w:trPr>
          <w:jc w:val="center"/>
        </w:trPr>
        <w:tc>
          <w:tcPr>
            <w:tcW w:w="2343" w:type="dxa"/>
          </w:tcPr>
          <w:p w14:paraId="28AED54D" w14:textId="77777777" w:rsidR="002F3CC1" w:rsidRDefault="002F3CC1" w:rsidP="00334A86">
            <w:pPr>
              <w:jc w:val="center"/>
              <w:rPr>
                <w:rFonts w:ascii="Times New Roman" w:hAnsi="Times New Roman" w:cs="Times New Roman"/>
                <w:b/>
                <w:sz w:val="24"/>
                <w:szCs w:val="24"/>
                <w:u w:val="single"/>
              </w:rPr>
            </w:pPr>
            <w:r>
              <w:rPr>
                <w:rFonts w:ascii="Calibri" w:hAnsi="Calibri" w:cs="Calibri"/>
                <w:b/>
                <w:bCs/>
                <w:color w:val="000000"/>
              </w:rPr>
              <w:t>Roll-Off Garbage</w:t>
            </w:r>
          </w:p>
        </w:tc>
        <w:tc>
          <w:tcPr>
            <w:tcW w:w="1024" w:type="dxa"/>
            <w:vAlign w:val="bottom"/>
          </w:tcPr>
          <w:p w14:paraId="5639AE68" w14:textId="77777777" w:rsidR="002F3CC1" w:rsidRDefault="002F3CC1" w:rsidP="00334A86">
            <w:pPr>
              <w:jc w:val="center"/>
              <w:rPr>
                <w:rFonts w:ascii="Times New Roman" w:hAnsi="Times New Roman" w:cs="Times New Roman"/>
                <w:b/>
                <w:sz w:val="24"/>
                <w:szCs w:val="24"/>
                <w:u w:val="single"/>
              </w:rPr>
            </w:pPr>
          </w:p>
        </w:tc>
        <w:tc>
          <w:tcPr>
            <w:tcW w:w="1083" w:type="dxa"/>
            <w:vAlign w:val="bottom"/>
          </w:tcPr>
          <w:p w14:paraId="7DE4B7E6" w14:textId="77777777" w:rsidR="002F3CC1" w:rsidRDefault="002F3CC1" w:rsidP="00334A86">
            <w:pPr>
              <w:jc w:val="center"/>
              <w:rPr>
                <w:rFonts w:ascii="Times New Roman" w:hAnsi="Times New Roman" w:cs="Times New Roman"/>
                <w:b/>
                <w:sz w:val="24"/>
                <w:szCs w:val="24"/>
                <w:u w:val="single"/>
              </w:rPr>
            </w:pPr>
          </w:p>
        </w:tc>
        <w:tc>
          <w:tcPr>
            <w:tcW w:w="1033" w:type="dxa"/>
            <w:vAlign w:val="bottom"/>
          </w:tcPr>
          <w:p w14:paraId="4A6FF6E1" w14:textId="77777777" w:rsidR="002F3CC1" w:rsidRDefault="002F3CC1" w:rsidP="00334A86">
            <w:pPr>
              <w:jc w:val="center"/>
              <w:rPr>
                <w:rFonts w:ascii="Times New Roman" w:hAnsi="Times New Roman" w:cs="Times New Roman"/>
                <w:b/>
                <w:sz w:val="24"/>
                <w:szCs w:val="24"/>
                <w:u w:val="single"/>
              </w:rPr>
            </w:pPr>
          </w:p>
        </w:tc>
        <w:tc>
          <w:tcPr>
            <w:tcW w:w="385" w:type="dxa"/>
          </w:tcPr>
          <w:p w14:paraId="20264DF2" w14:textId="77777777" w:rsidR="002F3CC1" w:rsidRDefault="002F3CC1" w:rsidP="00334A86">
            <w:pPr>
              <w:jc w:val="center"/>
              <w:rPr>
                <w:rFonts w:ascii="Times New Roman" w:hAnsi="Times New Roman" w:cs="Times New Roman"/>
                <w:b/>
                <w:sz w:val="24"/>
                <w:szCs w:val="24"/>
                <w:u w:val="single"/>
              </w:rPr>
            </w:pPr>
          </w:p>
        </w:tc>
        <w:tc>
          <w:tcPr>
            <w:tcW w:w="1890" w:type="dxa"/>
            <w:vAlign w:val="bottom"/>
          </w:tcPr>
          <w:p w14:paraId="445EE709" w14:textId="453F1570" w:rsidR="002F3CC1" w:rsidRDefault="002F3CC1" w:rsidP="00334A86">
            <w:pPr>
              <w:jc w:val="center"/>
              <w:rPr>
                <w:rFonts w:ascii="Times New Roman" w:hAnsi="Times New Roman" w:cs="Times New Roman"/>
                <w:b/>
                <w:sz w:val="24"/>
                <w:szCs w:val="24"/>
                <w:u w:val="single"/>
              </w:rPr>
            </w:pPr>
          </w:p>
        </w:tc>
        <w:tc>
          <w:tcPr>
            <w:tcW w:w="1915" w:type="dxa"/>
            <w:vAlign w:val="bottom"/>
          </w:tcPr>
          <w:p w14:paraId="07D2212F" w14:textId="77777777" w:rsidR="002F3CC1" w:rsidRDefault="002F3CC1" w:rsidP="00334A86">
            <w:pPr>
              <w:jc w:val="center"/>
              <w:rPr>
                <w:rFonts w:ascii="Times New Roman" w:hAnsi="Times New Roman" w:cs="Times New Roman"/>
                <w:b/>
                <w:sz w:val="24"/>
                <w:szCs w:val="24"/>
                <w:u w:val="single"/>
              </w:rPr>
            </w:pPr>
          </w:p>
        </w:tc>
      </w:tr>
      <w:tr w:rsidR="002F3CC1" w14:paraId="303F7993" w14:textId="77777777" w:rsidTr="002F3CC1">
        <w:trPr>
          <w:jc w:val="center"/>
        </w:trPr>
        <w:tc>
          <w:tcPr>
            <w:tcW w:w="2343" w:type="dxa"/>
            <w:vAlign w:val="bottom"/>
          </w:tcPr>
          <w:p w14:paraId="4D1A8A76" w14:textId="77777777" w:rsidR="002F3CC1" w:rsidRDefault="002F3CC1" w:rsidP="00334A86">
            <w:pPr>
              <w:rPr>
                <w:rFonts w:ascii="Times New Roman" w:hAnsi="Times New Roman" w:cs="Times New Roman"/>
                <w:b/>
                <w:sz w:val="24"/>
                <w:szCs w:val="24"/>
                <w:u w:val="single"/>
              </w:rPr>
            </w:pPr>
            <w:r>
              <w:rPr>
                <w:rFonts w:ascii="Calibri" w:hAnsi="Calibri" w:cs="Calibri"/>
                <w:color w:val="000000"/>
              </w:rPr>
              <w:t>20 Yard Drop Box-per Pickup</w:t>
            </w:r>
          </w:p>
        </w:tc>
        <w:tc>
          <w:tcPr>
            <w:tcW w:w="1024" w:type="dxa"/>
            <w:vAlign w:val="bottom"/>
          </w:tcPr>
          <w:p w14:paraId="0E3EA5B0"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$ 100.00</w:t>
            </w:r>
          </w:p>
        </w:tc>
        <w:tc>
          <w:tcPr>
            <w:tcW w:w="1083" w:type="dxa"/>
            <w:vAlign w:val="bottom"/>
          </w:tcPr>
          <w:p w14:paraId="14671C18"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$ 115.00</w:t>
            </w:r>
          </w:p>
        </w:tc>
        <w:tc>
          <w:tcPr>
            <w:tcW w:w="1033" w:type="dxa"/>
            <w:vAlign w:val="bottom"/>
          </w:tcPr>
          <w:p w14:paraId="52AD7F50"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15.0%</w:t>
            </w:r>
          </w:p>
        </w:tc>
        <w:tc>
          <w:tcPr>
            <w:tcW w:w="385" w:type="dxa"/>
          </w:tcPr>
          <w:p w14:paraId="38AEBBAC" w14:textId="77777777" w:rsidR="002F3CC1" w:rsidRDefault="002F3CC1" w:rsidP="00334A86">
            <w:pPr>
              <w:jc w:val="center"/>
              <w:rPr>
                <w:rFonts w:ascii="Calibri" w:hAnsi="Calibri" w:cs="Calibri"/>
                <w:color w:val="000000"/>
              </w:rPr>
            </w:pPr>
          </w:p>
        </w:tc>
        <w:tc>
          <w:tcPr>
            <w:tcW w:w="1890" w:type="dxa"/>
            <w:vAlign w:val="bottom"/>
          </w:tcPr>
          <w:p w14:paraId="64F9FB8C" w14:textId="7888F1BC"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$ 123.00</w:t>
            </w:r>
          </w:p>
        </w:tc>
        <w:tc>
          <w:tcPr>
            <w:tcW w:w="1915" w:type="dxa"/>
            <w:vAlign w:val="bottom"/>
          </w:tcPr>
          <w:p w14:paraId="653421BE" w14:textId="77777777" w:rsidR="002F3CC1" w:rsidRDefault="002F3CC1" w:rsidP="00334A86">
            <w:pPr>
              <w:jc w:val="center"/>
              <w:rPr>
                <w:rFonts w:ascii="Times New Roman" w:hAnsi="Times New Roman" w:cs="Times New Roman"/>
                <w:b/>
                <w:sz w:val="24"/>
                <w:szCs w:val="24"/>
                <w:u w:val="single"/>
              </w:rPr>
            </w:pPr>
            <w:r>
              <w:rPr>
                <w:rFonts w:ascii="Calibri" w:hAnsi="Calibri" w:cs="Calibri"/>
                <w:color w:val="000000"/>
              </w:rPr>
              <w:t>23.0%</w:t>
            </w:r>
          </w:p>
        </w:tc>
      </w:tr>
    </w:tbl>
    <w:p w14:paraId="39A79D5C" w14:textId="5943FF4A" w:rsidR="002E02EE" w:rsidRDefault="002E02EE">
      <w:pPr>
        <w:rPr>
          <w:rFonts w:ascii="Times New Roman" w:hAnsi="Times New Roman" w:cs="Times New Roman"/>
          <w:b/>
          <w:sz w:val="24"/>
          <w:szCs w:val="24"/>
          <w:u w:val="single"/>
        </w:rPr>
      </w:pPr>
    </w:p>
    <w:p w14:paraId="20A5A794" w14:textId="77777777" w:rsidR="003E3873" w:rsidRDefault="003E3873">
      <w:pPr>
        <w:rPr>
          <w:rFonts w:ascii="Times New Roman" w:hAnsi="Times New Roman" w:cs="Times New Roman"/>
          <w:b/>
          <w:sz w:val="24"/>
          <w:szCs w:val="24"/>
          <w:u w:val="single"/>
        </w:rPr>
      </w:pPr>
    </w:p>
    <w:p w14:paraId="19DB73A4" w14:textId="12D96941" w:rsidR="00817315" w:rsidRDefault="00817315" w:rsidP="00817315">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19DB73A5" w14:textId="77777777" w:rsidR="00817315" w:rsidRDefault="00817315" w:rsidP="00817315">
      <w:pPr>
        <w:rPr>
          <w:rFonts w:ascii="Times New Roman" w:hAnsi="Times New Roman" w:cs="Times New Roman"/>
          <w:sz w:val="24"/>
          <w:szCs w:val="24"/>
        </w:rPr>
      </w:pPr>
    </w:p>
    <w:p w14:paraId="19DB73B4" w14:textId="255DE30E" w:rsidR="00817315" w:rsidRPr="00C93325" w:rsidRDefault="00482373" w:rsidP="00817315">
      <w:pPr>
        <w:rPr>
          <w:rFonts w:ascii="Times New Roman" w:hAnsi="Times New Roman" w:cs="Times New Roman"/>
          <w:color w:val="000000"/>
          <w:sz w:val="24"/>
        </w:rPr>
      </w:pPr>
      <w:r w:rsidRPr="00C93325">
        <w:rPr>
          <w:rFonts w:ascii="Times New Roman" w:hAnsi="Times New Roman" w:cs="Times New Roman"/>
          <w:color w:val="000000"/>
          <w:sz w:val="24"/>
        </w:rPr>
        <w:t xml:space="preserve">On June 1, 2014, the company notified its customers of the proposed rate increase by mail. </w:t>
      </w:r>
      <w:r w:rsidR="00CC3BAE">
        <w:rPr>
          <w:rFonts w:ascii="Times New Roman" w:hAnsi="Times New Roman" w:cs="Times New Roman"/>
          <w:color w:val="000000"/>
          <w:sz w:val="24"/>
        </w:rPr>
        <w:t xml:space="preserve">The company re-noticed customers of the higher revised rates on July 1, 2014. </w:t>
      </w:r>
      <w:r w:rsidRPr="00C93325">
        <w:rPr>
          <w:rFonts w:ascii="Times New Roman" w:hAnsi="Times New Roman" w:cs="Times New Roman"/>
          <w:color w:val="000000"/>
          <w:sz w:val="24"/>
        </w:rPr>
        <w:t>Staff received no comments on this filing.</w:t>
      </w:r>
    </w:p>
    <w:p w14:paraId="0652CCA8" w14:textId="77777777" w:rsidR="00482373" w:rsidRDefault="00482373" w:rsidP="00817315">
      <w:pPr>
        <w:rPr>
          <w:color w:val="000000"/>
          <w:sz w:val="24"/>
        </w:rPr>
      </w:pPr>
    </w:p>
    <w:p w14:paraId="19DB73B5"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19DB73B6" w14:textId="77777777" w:rsidR="009F02CD" w:rsidRDefault="009F02CD" w:rsidP="002B71FE">
      <w:pPr>
        <w:rPr>
          <w:rFonts w:ascii="Times New Roman" w:hAnsi="Times New Roman" w:cs="Times New Roman"/>
          <w:sz w:val="24"/>
          <w:szCs w:val="24"/>
        </w:rPr>
      </w:pPr>
    </w:p>
    <w:p w14:paraId="19DB73B7" w14:textId="58B6F1D5" w:rsidR="00817315" w:rsidRPr="002B71FE" w:rsidRDefault="002E7D80" w:rsidP="002B71FE">
      <w:pPr>
        <w:rPr>
          <w:rFonts w:ascii="Times New Roman" w:hAnsi="Times New Roman" w:cs="Times New Roman"/>
          <w:sz w:val="24"/>
          <w:szCs w:val="24"/>
        </w:rPr>
      </w:pPr>
      <w:r>
        <w:rPr>
          <w:rFonts w:ascii="Times New Roman" w:hAnsi="Times New Roman" w:cs="Times New Roman"/>
          <w:sz w:val="24"/>
          <w:szCs w:val="24"/>
        </w:rPr>
        <w:t>Take no action allowing</w:t>
      </w:r>
      <w:r w:rsidRPr="009F02CD">
        <w:rPr>
          <w:rFonts w:ascii="Times New Roman" w:hAnsi="Times New Roman" w:cs="Times New Roman"/>
          <w:sz w:val="24"/>
          <w:szCs w:val="24"/>
        </w:rPr>
        <w:t xml:space="preserve"> </w:t>
      </w:r>
      <w:r w:rsidR="00CC3BAE">
        <w:rPr>
          <w:rFonts w:ascii="Times New Roman" w:hAnsi="Times New Roman" w:cs="Times New Roman"/>
          <w:sz w:val="24"/>
          <w:szCs w:val="24"/>
        </w:rPr>
        <w:t xml:space="preserve">revised </w:t>
      </w:r>
      <w:r w:rsidR="00101DED" w:rsidRPr="009F02CD">
        <w:rPr>
          <w:rFonts w:ascii="Times New Roman" w:hAnsi="Times New Roman" w:cs="Times New Roman"/>
          <w:sz w:val="24"/>
          <w:szCs w:val="24"/>
        </w:rPr>
        <w:t xml:space="preserve">Tariff </w:t>
      </w:r>
      <w:r w:rsidR="00101DED">
        <w:rPr>
          <w:rFonts w:ascii="Times New Roman" w:hAnsi="Times New Roman" w:cs="Times New Roman"/>
          <w:sz w:val="24"/>
          <w:szCs w:val="24"/>
        </w:rPr>
        <w:t>No</w:t>
      </w:r>
      <w:r w:rsidRPr="009F02CD">
        <w:rPr>
          <w:rFonts w:ascii="Times New Roman" w:hAnsi="Times New Roman" w:cs="Times New Roman"/>
          <w:sz w:val="24"/>
          <w:szCs w:val="24"/>
        </w:rPr>
        <w:t xml:space="preserve">. </w:t>
      </w:r>
      <w:r>
        <w:rPr>
          <w:rFonts w:ascii="Times New Roman" w:hAnsi="Times New Roman" w:cs="Times New Roman"/>
          <w:sz w:val="24"/>
          <w:szCs w:val="24"/>
        </w:rPr>
        <w:t>9</w:t>
      </w:r>
      <w:r w:rsidRPr="009F02CD">
        <w:rPr>
          <w:rFonts w:ascii="Times New Roman" w:hAnsi="Times New Roman" w:cs="Times New Roman"/>
          <w:sz w:val="24"/>
          <w:szCs w:val="24"/>
        </w:rPr>
        <w:t xml:space="preserve"> filed by </w:t>
      </w:r>
      <w:r>
        <w:rPr>
          <w:rFonts w:ascii="Times New Roman" w:hAnsi="Times New Roman" w:cs="Times New Roman"/>
          <w:sz w:val="24"/>
          <w:szCs w:val="24"/>
        </w:rPr>
        <w:t>Methow Valley Sanitation Service</w:t>
      </w:r>
      <w:r w:rsidRPr="009F02CD">
        <w:rPr>
          <w:rFonts w:ascii="Times New Roman" w:hAnsi="Times New Roman" w:cs="Times New Roman"/>
          <w:sz w:val="24"/>
          <w:szCs w:val="24"/>
        </w:rPr>
        <w:t xml:space="preserve">, </w:t>
      </w:r>
      <w:r>
        <w:rPr>
          <w:rFonts w:ascii="Times New Roman" w:hAnsi="Times New Roman" w:cs="Times New Roman"/>
          <w:sz w:val="24"/>
          <w:szCs w:val="24"/>
        </w:rPr>
        <w:t xml:space="preserve">Inc., dba WasteWise Methow, </w:t>
      </w:r>
      <w:r w:rsidRPr="009F02CD">
        <w:rPr>
          <w:rFonts w:ascii="Times New Roman" w:hAnsi="Times New Roman" w:cs="Times New Roman"/>
          <w:sz w:val="24"/>
          <w:szCs w:val="24"/>
        </w:rPr>
        <w:t xml:space="preserve">on </w:t>
      </w:r>
      <w:r w:rsidR="00CC3BAE">
        <w:rPr>
          <w:rFonts w:ascii="Times New Roman" w:hAnsi="Times New Roman" w:cs="Times New Roman"/>
          <w:sz w:val="24"/>
          <w:szCs w:val="24"/>
        </w:rPr>
        <w:t>June 25</w:t>
      </w:r>
      <w:r w:rsidRPr="009F02CD">
        <w:rPr>
          <w:rFonts w:ascii="Times New Roman" w:hAnsi="Times New Roman" w:cs="Times New Roman"/>
          <w:sz w:val="24"/>
          <w:szCs w:val="24"/>
        </w:rPr>
        <w:t>, 201</w:t>
      </w:r>
      <w:r>
        <w:rPr>
          <w:rFonts w:ascii="Times New Roman" w:hAnsi="Times New Roman" w:cs="Times New Roman"/>
          <w:sz w:val="24"/>
          <w:szCs w:val="24"/>
        </w:rPr>
        <w:t>4</w:t>
      </w:r>
      <w:r w:rsidR="00163967">
        <w:rPr>
          <w:rFonts w:ascii="Times New Roman" w:hAnsi="Times New Roman" w:cs="Times New Roman"/>
          <w:sz w:val="24"/>
          <w:szCs w:val="24"/>
        </w:rPr>
        <w:t>,</w:t>
      </w:r>
      <w:r>
        <w:rPr>
          <w:rFonts w:ascii="Times New Roman" w:hAnsi="Times New Roman" w:cs="Times New Roman"/>
          <w:sz w:val="24"/>
          <w:szCs w:val="24"/>
        </w:rPr>
        <w:t xml:space="preserve"> to become effective </w:t>
      </w:r>
      <w:r w:rsidR="00CC3BAE">
        <w:rPr>
          <w:rFonts w:ascii="Times New Roman" w:hAnsi="Times New Roman" w:cs="Times New Roman"/>
          <w:sz w:val="24"/>
          <w:szCs w:val="24"/>
        </w:rPr>
        <w:t>August</w:t>
      </w:r>
      <w:r>
        <w:rPr>
          <w:rFonts w:ascii="Times New Roman" w:hAnsi="Times New Roman" w:cs="Times New Roman"/>
          <w:sz w:val="24"/>
          <w:szCs w:val="24"/>
        </w:rPr>
        <w:t xml:space="preserve"> 1, 2014, by operation of law</w:t>
      </w:r>
      <w:r w:rsidRPr="009F02CD">
        <w:rPr>
          <w:rFonts w:ascii="Times New Roman" w:hAnsi="Times New Roman" w:cs="Times New Roman"/>
          <w:sz w:val="24"/>
          <w:szCs w:val="24"/>
        </w:rPr>
        <w:t>.</w:t>
      </w:r>
    </w:p>
    <w:p w14:paraId="19DB73B8" w14:textId="77777777" w:rsidR="00817315" w:rsidRPr="00E43E97" w:rsidRDefault="00817315" w:rsidP="00817315">
      <w:pPr>
        <w:rPr>
          <w:rFonts w:ascii="Times New Roman" w:hAnsi="Times New Roman" w:cs="Times New Roman"/>
          <w:sz w:val="24"/>
          <w:szCs w:val="24"/>
        </w:rPr>
      </w:pPr>
    </w:p>
    <w:p w14:paraId="19DB73B9" w14:textId="77777777" w:rsidR="002C039A" w:rsidRPr="00AD3312" w:rsidRDefault="002C039A" w:rsidP="00643C08">
      <w:pPr>
        <w:rPr>
          <w:rFonts w:ascii="Times New Roman" w:hAnsi="Times New Roman" w:cs="Times New Roman"/>
          <w:sz w:val="24"/>
          <w:szCs w:val="24"/>
        </w:rPr>
      </w:pPr>
    </w:p>
    <w:sectPr w:rsidR="002C039A" w:rsidRPr="00AD3312" w:rsidSect="005A70E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FDC6B" w14:textId="77777777" w:rsidR="00FF6957" w:rsidRDefault="00FF6957" w:rsidP="002E02EE">
      <w:r>
        <w:separator/>
      </w:r>
    </w:p>
  </w:endnote>
  <w:endnote w:type="continuationSeparator" w:id="0">
    <w:p w14:paraId="018A1107" w14:textId="77777777" w:rsidR="00FF6957" w:rsidRDefault="00FF6957" w:rsidP="002E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DFEC2" w14:textId="77777777" w:rsidR="00FF6957" w:rsidRDefault="00FF6957" w:rsidP="002E02EE">
      <w:r>
        <w:separator/>
      </w:r>
    </w:p>
  </w:footnote>
  <w:footnote w:type="continuationSeparator" w:id="0">
    <w:p w14:paraId="47339A46" w14:textId="77777777" w:rsidR="00FF6957" w:rsidRDefault="00FF6957" w:rsidP="002E0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19A8" w14:textId="0AAC464D" w:rsidR="00FF6957" w:rsidRPr="005A70EA" w:rsidRDefault="00FF6957" w:rsidP="002E02EE">
    <w:pPr>
      <w:pStyle w:val="Header"/>
      <w:rPr>
        <w:rFonts w:ascii="Times New Roman" w:hAnsi="Times New Roman" w:cs="Times New Roman"/>
        <w:sz w:val="20"/>
        <w:szCs w:val="20"/>
      </w:rPr>
    </w:pPr>
    <w:r w:rsidRPr="005A70EA">
      <w:rPr>
        <w:rFonts w:ascii="Times New Roman" w:hAnsi="Times New Roman" w:cs="Times New Roman"/>
        <w:sz w:val="20"/>
        <w:szCs w:val="20"/>
      </w:rPr>
      <w:t xml:space="preserve">Docket: </w:t>
    </w:r>
    <w:r>
      <w:rPr>
        <w:rFonts w:ascii="Times New Roman" w:hAnsi="Times New Roman" w:cs="Times New Roman"/>
        <w:sz w:val="20"/>
        <w:szCs w:val="20"/>
      </w:rPr>
      <w:t>TG-141092</w:t>
    </w:r>
  </w:p>
  <w:p w14:paraId="5AC508B0" w14:textId="19216516" w:rsidR="00FF6957" w:rsidRPr="005A70EA" w:rsidRDefault="008672A0" w:rsidP="002E02EE">
    <w:pPr>
      <w:pStyle w:val="Header"/>
      <w:rPr>
        <w:rFonts w:ascii="Times New Roman" w:hAnsi="Times New Roman" w:cs="Times New Roman"/>
        <w:sz w:val="20"/>
        <w:szCs w:val="20"/>
      </w:rPr>
    </w:pPr>
    <w:r>
      <w:rPr>
        <w:rFonts w:ascii="Times New Roman" w:hAnsi="Times New Roman" w:cs="Times New Roman"/>
        <w:sz w:val="20"/>
        <w:szCs w:val="20"/>
      </w:rPr>
      <w:t>July 24</w:t>
    </w:r>
    <w:r w:rsidR="00FF6957" w:rsidRPr="005A70EA">
      <w:rPr>
        <w:rFonts w:ascii="Times New Roman" w:hAnsi="Times New Roman" w:cs="Times New Roman"/>
        <w:sz w:val="20"/>
        <w:szCs w:val="20"/>
      </w:rPr>
      <w:t>, 2014</w:t>
    </w:r>
  </w:p>
  <w:p w14:paraId="10411F77" w14:textId="22DF2940" w:rsidR="00FF6957" w:rsidRDefault="00FF6957" w:rsidP="002E02EE">
    <w:pPr>
      <w:pStyle w:val="Header"/>
      <w:rPr>
        <w:rFonts w:ascii="Times New Roman" w:hAnsi="Times New Roman" w:cs="Times New Roman"/>
        <w:noProof/>
        <w:sz w:val="20"/>
        <w:szCs w:val="20"/>
      </w:rPr>
    </w:pPr>
    <w:r w:rsidRPr="005A70EA">
      <w:rPr>
        <w:rFonts w:ascii="Times New Roman" w:hAnsi="Times New Roman" w:cs="Times New Roman"/>
        <w:sz w:val="20"/>
        <w:szCs w:val="20"/>
      </w:rPr>
      <w:t xml:space="preserve">Page </w:t>
    </w:r>
    <w:r w:rsidRPr="009E657B">
      <w:rPr>
        <w:rFonts w:ascii="Times New Roman" w:hAnsi="Times New Roman" w:cs="Times New Roman"/>
        <w:sz w:val="20"/>
        <w:szCs w:val="20"/>
      </w:rPr>
      <w:fldChar w:fldCharType="begin"/>
    </w:r>
    <w:r w:rsidRPr="009E657B">
      <w:rPr>
        <w:rFonts w:ascii="Times New Roman" w:hAnsi="Times New Roman" w:cs="Times New Roman"/>
        <w:sz w:val="20"/>
        <w:szCs w:val="20"/>
      </w:rPr>
      <w:instrText xml:space="preserve"> PAGE   \* MERGEFORMAT </w:instrText>
    </w:r>
    <w:r w:rsidRPr="009E657B">
      <w:rPr>
        <w:rFonts w:ascii="Times New Roman" w:hAnsi="Times New Roman" w:cs="Times New Roman"/>
        <w:sz w:val="20"/>
        <w:szCs w:val="20"/>
      </w:rPr>
      <w:fldChar w:fldCharType="separate"/>
    </w:r>
    <w:r w:rsidR="0059016A">
      <w:rPr>
        <w:rFonts w:ascii="Times New Roman" w:hAnsi="Times New Roman" w:cs="Times New Roman"/>
        <w:noProof/>
        <w:sz w:val="20"/>
        <w:szCs w:val="20"/>
      </w:rPr>
      <w:t>2</w:t>
    </w:r>
    <w:r w:rsidRPr="009E657B">
      <w:rPr>
        <w:rFonts w:ascii="Times New Roman" w:hAnsi="Times New Roman" w:cs="Times New Roman"/>
        <w:noProof/>
        <w:sz w:val="20"/>
        <w:szCs w:val="20"/>
      </w:rPr>
      <w:fldChar w:fldCharType="end"/>
    </w:r>
  </w:p>
  <w:p w14:paraId="6881C4FB" w14:textId="77777777" w:rsidR="00FF6957" w:rsidRDefault="00FF6957" w:rsidP="002E02EE">
    <w:pPr>
      <w:pStyle w:val="Header"/>
      <w:rPr>
        <w:rFonts w:ascii="Times New Roman" w:hAnsi="Times New Roman" w:cs="Times New Roman"/>
        <w:noProof/>
        <w:sz w:val="20"/>
        <w:szCs w:val="20"/>
      </w:rPr>
    </w:pPr>
  </w:p>
  <w:p w14:paraId="556EB895" w14:textId="77777777" w:rsidR="00FF6957" w:rsidRPr="005A70EA" w:rsidRDefault="00FF6957" w:rsidP="002E02E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3516A3F"/>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F1481"/>
    <w:multiLevelType w:val="hybridMultilevel"/>
    <w:tmpl w:val="F1084D64"/>
    <w:lvl w:ilvl="0" w:tplc="71206D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15"/>
    <w:rsid w:val="00047995"/>
    <w:rsid w:val="000E0CDC"/>
    <w:rsid w:val="000E1342"/>
    <w:rsid w:val="000E640C"/>
    <w:rsid w:val="00101DED"/>
    <w:rsid w:val="00115A7C"/>
    <w:rsid w:val="00163967"/>
    <w:rsid w:val="0019605F"/>
    <w:rsid w:val="001C5AB1"/>
    <w:rsid w:val="001E1D7A"/>
    <w:rsid w:val="00240145"/>
    <w:rsid w:val="002517C4"/>
    <w:rsid w:val="002521C9"/>
    <w:rsid w:val="00284D0D"/>
    <w:rsid w:val="00297296"/>
    <w:rsid w:val="002B71FE"/>
    <w:rsid w:val="002C039A"/>
    <w:rsid w:val="002E02EE"/>
    <w:rsid w:val="002E2F46"/>
    <w:rsid w:val="002E7D80"/>
    <w:rsid w:val="002F3CC1"/>
    <w:rsid w:val="0036771E"/>
    <w:rsid w:val="003B7217"/>
    <w:rsid w:val="003C3E04"/>
    <w:rsid w:val="003E3873"/>
    <w:rsid w:val="0042379A"/>
    <w:rsid w:val="00440BF3"/>
    <w:rsid w:val="00453184"/>
    <w:rsid w:val="00480657"/>
    <w:rsid w:val="00482373"/>
    <w:rsid w:val="00495C6C"/>
    <w:rsid w:val="00536CC9"/>
    <w:rsid w:val="00552600"/>
    <w:rsid w:val="0059016A"/>
    <w:rsid w:val="005A6C74"/>
    <w:rsid w:val="005A70EA"/>
    <w:rsid w:val="005F1946"/>
    <w:rsid w:val="00643C08"/>
    <w:rsid w:val="00672F7B"/>
    <w:rsid w:val="006A41EE"/>
    <w:rsid w:val="006B7CF9"/>
    <w:rsid w:val="006D4BB6"/>
    <w:rsid w:val="00745F1C"/>
    <w:rsid w:val="0076521C"/>
    <w:rsid w:val="00791E65"/>
    <w:rsid w:val="007A40BE"/>
    <w:rsid w:val="007E2CAA"/>
    <w:rsid w:val="00817315"/>
    <w:rsid w:val="00850109"/>
    <w:rsid w:val="008568EE"/>
    <w:rsid w:val="008672A0"/>
    <w:rsid w:val="00880804"/>
    <w:rsid w:val="008C7D06"/>
    <w:rsid w:val="009A2711"/>
    <w:rsid w:val="009E657B"/>
    <w:rsid w:val="009F02CD"/>
    <w:rsid w:val="00A02C96"/>
    <w:rsid w:val="00A555AE"/>
    <w:rsid w:val="00A84C2A"/>
    <w:rsid w:val="00A90ABA"/>
    <w:rsid w:val="00AD3312"/>
    <w:rsid w:val="00AE273E"/>
    <w:rsid w:val="00B13041"/>
    <w:rsid w:val="00B176A3"/>
    <w:rsid w:val="00B72301"/>
    <w:rsid w:val="00BA29AB"/>
    <w:rsid w:val="00C27D15"/>
    <w:rsid w:val="00C57E02"/>
    <w:rsid w:val="00C93325"/>
    <w:rsid w:val="00CC3BAE"/>
    <w:rsid w:val="00D05792"/>
    <w:rsid w:val="00D62714"/>
    <w:rsid w:val="00D94B39"/>
    <w:rsid w:val="00DA1B86"/>
    <w:rsid w:val="00DD2A47"/>
    <w:rsid w:val="00DF15BF"/>
    <w:rsid w:val="00E04FA4"/>
    <w:rsid w:val="00E65B7C"/>
    <w:rsid w:val="00EB51F6"/>
    <w:rsid w:val="00EF63B2"/>
    <w:rsid w:val="00F002B2"/>
    <w:rsid w:val="00F21B68"/>
    <w:rsid w:val="00F24425"/>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4817"/>
    <o:shapelayout v:ext="edit">
      <o:idmap v:ext="edit" data="1"/>
    </o:shapelayout>
  </w:shapeDefaults>
  <w:decimalSymbol w:val="."/>
  <w:listSeparator w:val=","/>
  <w14:docId w14:val="19DB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15"/>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315"/>
    <w:pPr>
      <w:ind w:left="720"/>
      <w:contextualSpacing/>
    </w:pPr>
  </w:style>
  <w:style w:type="paragraph" w:styleId="BalloonText">
    <w:name w:val="Balloon Text"/>
    <w:basedOn w:val="Normal"/>
    <w:link w:val="BalloonTextChar"/>
    <w:uiPriority w:val="99"/>
    <w:semiHidden/>
    <w:unhideWhenUsed/>
    <w:rsid w:val="00453184"/>
    <w:rPr>
      <w:rFonts w:ascii="Tahoma" w:hAnsi="Tahoma" w:cs="Tahoma"/>
      <w:sz w:val="16"/>
      <w:szCs w:val="16"/>
    </w:rPr>
  </w:style>
  <w:style w:type="character" w:customStyle="1" w:styleId="BalloonTextChar">
    <w:name w:val="Balloon Text Char"/>
    <w:basedOn w:val="DefaultParagraphFont"/>
    <w:link w:val="BalloonText"/>
    <w:uiPriority w:val="99"/>
    <w:semiHidden/>
    <w:rsid w:val="00453184"/>
    <w:rPr>
      <w:rFonts w:ascii="Tahoma" w:hAnsi="Tahoma" w:cs="Tahoma"/>
      <w:sz w:val="16"/>
      <w:szCs w:val="16"/>
    </w:rPr>
  </w:style>
  <w:style w:type="paragraph" w:styleId="Header">
    <w:name w:val="header"/>
    <w:basedOn w:val="Normal"/>
    <w:link w:val="HeaderChar"/>
    <w:uiPriority w:val="99"/>
    <w:unhideWhenUsed/>
    <w:rsid w:val="002E02EE"/>
    <w:pPr>
      <w:tabs>
        <w:tab w:val="center" w:pos="4680"/>
        <w:tab w:val="right" w:pos="9360"/>
      </w:tabs>
    </w:pPr>
  </w:style>
  <w:style w:type="character" w:customStyle="1" w:styleId="HeaderChar">
    <w:name w:val="Header Char"/>
    <w:basedOn w:val="DefaultParagraphFont"/>
    <w:link w:val="Header"/>
    <w:uiPriority w:val="99"/>
    <w:rsid w:val="002E02EE"/>
  </w:style>
  <w:style w:type="paragraph" w:styleId="Footer">
    <w:name w:val="footer"/>
    <w:basedOn w:val="Normal"/>
    <w:link w:val="FooterChar"/>
    <w:uiPriority w:val="99"/>
    <w:unhideWhenUsed/>
    <w:rsid w:val="002E02EE"/>
    <w:pPr>
      <w:tabs>
        <w:tab w:val="center" w:pos="4680"/>
        <w:tab w:val="right" w:pos="9360"/>
      </w:tabs>
    </w:pPr>
  </w:style>
  <w:style w:type="character" w:customStyle="1" w:styleId="FooterChar">
    <w:name w:val="Footer Char"/>
    <w:basedOn w:val="DefaultParagraphFont"/>
    <w:link w:val="Footer"/>
    <w:uiPriority w:val="99"/>
    <w:rsid w:val="002E0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15"/>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315"/>
    <w:pPr>
      <w:ind w:left="720"/>
      <w:contextualSpacing/>
    </w:pPr>
  </w:style>
  <w:style w:type="paragraph" w:styleId="BalloonText">
    <w:name w:val="Balloon Text"/>
    <w:basedOn w:val="Normal"/>
    <w:link w:val="BalloonTextChar"/>
    <w:uiPriority w:val="99"/>
    <w:semiHidden/>
    <w:unhideWhenUsed/>
    <w:rsid w:val="00453184"/>
    <w:rPr>
      <w:rFonts w:ascii="Tahoma" w:hAnsi="Tahoma" w:cs="Tahoma"/>
      <w:sz w:val="16"/>
      <w:szCs w:val="16"/>
    </w:rPr>
  </w:style>
  <w:style w:type="character" w:customStyle="1" w:styleId="BalloonTextChar">
    <w:name w:val="Balloon Text Char"/>
    <w:basedOn w:val="DefaultParagraphFont"/>
    <w:link w:val="BalloonText"/>
    <w:uiPriority w:val="99"/>
    <w:semiHidden/>
    <w:rsid w:val="00453184"/>
    <w:rPr>
      <w:rFonts w:ascii="Tahoma" w:hAnsi="Tahoma" w:cs="Tahoma"/>
      <w:sz w:val="16"/>
      <w:szCs w:val="16"/>
    </w:rPr>
  </w:style>
  <w:style w:type="paragraph" w:styleId="Header">
    <w:name w:val="header"/>
    <w:basedOn w:val="Normal"/>
    <w:link w:val="HeaderChar"/>
    <w:uiPriority w:val="99"/>
    <w:unhideWhenUsed/>
    <w:rsid w:val="002E02EE"/>
    <w:pPr>
      <w:tabs>
        <w:tab w:val="center" w:pos="4680"/>
        <w:tab w:val="right" w:pos="9360"/>
      </w:tabs>
    </w:pPr>
  </w:style>
  <w:style w:type="character" w:customStyle="1" w:styleId="HeaderChar">
    <w:name w:val="Header Char"/>
    <w:basedOn w:val="DefaultParagraphFont"/>
    <w:link w:val="Header"/>
    <w:uiPriority w:val="99"/>
    <w:rsid w:val="002E02EE"/>
  </w:style>
  <w:style w:type="paragraph" w:styleId="Footer">
    <w:name w:val="footer"/>
    <w:basedOn w:val="Normal"/>
    <w:link w:val="FooterChar"/>
    <w:uiPriority w:val="99"/>
    <w:unhideWhenUsed/>
    <w:rsid w:val="002E02EE"/>
    <w:pPr>
      <w:tabs>
        <w:tab w:val="center" w:pos="4680"/>
        <w:tab w:val="right" w:pos="9360"/>
      </w:tabs>
    </w:pPr>
  </w:style>
  <w:style w:type="character" w:customStyle="1" w:styleId="FooterChar">
    <w:name w:val="Footer Char"/>
    <w:basedOn w:val="DefaultParagraphFont"/>
    <w:link w:val="Footer"/>
    <w:uiPriority w:val="99"/>
    <w:rsid w:val="002E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96488">
      <w:bodyDiv w:val="1"/>
      <w:marLeft w:val="0"/>
      <w:marRight w:val="0"/>
      <w:marTop w:val="0"/>
      <w:marBottom w:val="0"/>
      <w:divBdr>
        <w:top w:val="none" w:sz="0" w:space="0" w:color="auto"/>
        <w:left w:val="none" w:sz="0" w:space="0" w:color="auto"/>
        <w:bottom w:val="none" w:sz="0" w:space="0" w:color="auto"/>
        <w:right w:val="none" w:sz="0" w:space="0" w:color="auto"/>
      </w:divBdr>
    </w:div>
    <w:div w:id="1524828997">
      <w:bodyDiv w:val="1"/>
      <w:marLeft w:val="0"/>
      <w:marRight w:val="0"/>
      <w:marTop w:val="0"/>
      <w:marBottom w:val="0"/>
      <w:divBdr>
        <w:top w:val="none" w:sz="0" w:space="0" w:color="auto"/>
        <w:left w:val="none" w:sz="0" w:space="0" w:color="auto"/>
        <w:bottom w:val="none" w:sz="0" w:space="0" w:color="auto"/>
        <w:right w:val="none" w:sz="0" w:space="0" w:color="auto"/>
      </w:divBdr>
    </w:div>
    <w:div w:id="1589653299">
      <w:bodyDiv w:val="1"/>
      <w:marLeft w:val="0"/>
      <w:marRight w:val="0"/>
      <w:marTop w:val="0"/>
      <w:marBottom w:val="0"/>
      <w:divBdr>
        <w:top w:val="none" w:sz="0" w:space="0" w:color="auto"/>
        <w:left w:val="none" w:sz="0" w:space="0" w:color="auto"/>
        <w:bottom w:val="none" w:sz="0" w:space="0" w:color="auto"/>
        <w:right w:val="none" w:sz="0" w:space="0" w:color="auto"/>
      </w:divBdr>
    </w:div>
    <w:div w:id="1646736946">
      <w:bodyDiv w:val="1"/>
      <w:marLeft w:val="0"/>
      <w:marRight w:val="0"/>
      <w:marTop w:val="0"/>
      <w:marBottom w:val="0"/>
      <w:divBdr>
        <w:top w:val="none" w:sz="0" w:space="0" w:color="auto"/>
        <w:left w:val="none" w:sz="0" w:space="0" w:color="auto"/>
        <w:bottom w:val="none" w:sz="0" w:space="0" w:color="auto"/>
        <w:right w:val="none" w:sz="0" w:space="0" w:color="auto"/>
      </w:divBdr>
    </w:div>
    <w:div w:id="1993899466">
      <w:bodyDiv w:val="1"/>
      <w:marLeft w:val="0"/>
      <w:marRight w:val="0"/>
      <w:marTop w:val="0"/>
      <w:marBottom w:val="0"/>
      <w:divBdr>
        <w:top w:val="none" w:sz="0" w:space="0" w:color="auto"/>
        <w:left w:val="none" w:sz="0" w:space="0" w:color="auto"/>
        <w:bottom w:val="none" w:sz="0" w:space="0" w:color="auto"/>
        <w:right w:val="none" w:sz="0" w:space="0" w:color="auto"/>
      </w:divBdr>
    </w:div>
    <w:div w:id="1995990428">
      <w:bodyDiv w:val="1"/>
      <w:marLeft w:val="0"/>
      <w:marRight w:val="0"/>
      <w:marTop w:val="0"/>
      <w:marBottom w:val="0"/>
      <w:divBdr>
        <w:top w:val="none" w:sz="0" w:space="0" w:color="auto"/>
        <w:left w:val="none" w:sz="0" w:space="0" w:color="auto"/>
        <w:bottom w:val="none" w:sz="0" w:space="0" w:color="auto"/>
        <w:right w:val="none" w:sz="0" w:space="0" w:color="auto"/>
      </w:divBdr>
    </w:div>
    <w:div w:id="21241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02C078D8BF8E4480F69E6FED421518" ma:contentTypeVersion="175" ma:contentTypeDescription="" ma:contentTypeScope="" ma:versionID="615c362543ecd9b8627119005a9c1a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2014-05-15T07:00:00+00:00</OpenedDate>
    <Date1 xmlns="dc463f71-b30c-4ab2-9473-d307f9d35888">2014-07-24T07:00:00+00:00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141092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0BEE03-4760-47F6-B231-391B0EF59DF7}"/>
</file>

<file path=customXml/itemProps2.xml><?xml version="1.0" encoding="utf-8"?>
<ds:datastoreItem xmlns:ds="http://schemas.openxmlformats.org/officeDocument/2006/customXml" ds:itemID="{C08F9C03-961B-4D2A-B3F1-AA20B03DB44C}"/>
</file>

<file path=customXml/itemProps3.xml><?xml version="1.0" encoding="utf-8"?>
<ds:datastoreItem xmlns:ds="http://schemas.openxmlformats.org/officeDocument/2006/customXml" ds:itemID="{A326CC33-FF79-44EB-9717-A106CFA355CB}"/>
</file>

<file path=customXml/itemProps4.xml><?xml version="1.0" encoding="utf-8"?>
<ds:datastoreItem xmlns:ds="http://schemas.openxmlformats.org/officeDocument/2006/customXml" ds:itemID="{48043659-D717-4C64-BB38-4C4BFE26AB66}"/>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TG-141092 Memo</vt:lpstr>
    </vt:vector>
  </TitlesOfParts>
  <Company>Washington Utilities and Transportation Commission</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TG-141092 Memo</dc:title>
  <dc:creator>Brett Shearer</dc:creator>
  <cp:lastModifiedBy>Lisa Wyse</cp:lastModifiedBy>
  <cp:revision>2</cp:revision>
  <dcterms:created xsi:type="dcterms:W3CDTF">2014-07-21T23:36:00Z</dcterms:created>
  <dcterms:modified xsi:type="dcterms:W3CDTF">2014-07-21T23:36:00Z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0x0101006E56B4D1795A2E4DB2F0B01679ED314A009302C078D8BF8E4480F69E6FED421518</vt:lpwstr>
  </property>
  <property fmtid="{D5CDD505-2E9C-101B-9397-08002B2CF9AE}" pid="3" name="_docset_NoMedatataSyncRequired">
    <vt:lpwstr>False</vt:lpwstr>
  </property>
</Properties>
</file>