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29D7" w:rsidRDefault="003629D7" w:rsidP="003E39D6">
      <w:pPr>
        <w:pStyle w:val="Title"/>
        <w:ind w:right="-360" w:hanging="360"/>
        <w:jc w:val="left"/>
        <w:rPr>
          <w:rFonts w:ascii="Times New Roman" w:hAnsi="Times New Roman"/>
          <w:b w:val="0"/>
        </w:rPr>
      </w:pPr>
    </w:p>
    <w:p w:rsidR="003629D7" w:rsidRDefault="003629D7" w:rsidP="003E39D6">
      <w:pPr>
        <w:pStyle w:val="Title"/>
        <w:ind w:right="-360" w:hanging="360"/>
        <w:jc w:val="left"/>
        <w:rPr>
          <w:rFonts w:ascii="Times New Roman" w:hAnsi="Times New Roman"/>
          <w:b w:val="0"/>
        </w:rPr>
      </w:pPr>
    </w:p>
    <w:p w:rsidR="003629D7" w:rsidRDefault="003629D7" w:rsidP="003E39D6">
      <w:pPr>
        <w:pStyle w:val="Title"/>
        <w:ind w:right="-360" w:hanging="360"/>
        <w:jc w:val="left"/>
        <w:rPr>
          <w:rFonts w:ascii="Times New Roman" w:hAnsi="Times New Roman"/>
          <w:b w:val="0"/>
        </w:rPr>
      </w:pPr>
    </w:p>
    <w:p w:rsidR="003629D7" w:rsidRDefault="003629D7" w:rsidP="003E39D6">
      <w:pPr>
        <w:pStyle w:val="Title"/>
        <w:ind w:right="-360" w:hanging="360"/>
        <w:jc w:val="left"/>
        <w:rPr>
          <w:rFonts w:ascii="Times New Roman" w:hAnsi="Times New Roman"/>
          <w:b w:val="0"/>
        </w:rPr>
      </w:pPr>
    </w:p>
    <w:p w:rsidR="003629D7" w:rsidRDefault="003629D7" w:rsidP="003E39D6">
      <w:pPr>
        <w:pStyle w:val="Title"/>
        <w:ind w:right="-360" w:hanging="360"/>
        <w:jc w:val="left"/>
        <w:rPr>
          <w:rFonts w:ascii="Times New Roman" w:hAnsi="Times New Roman"/>
          <w:b w:val="0"/>
        </w:rPr>
      </w:pPr>
    </w:p>
    <w:p w:rsidR="003629D7" w:rsidRPr="00D276C3" w:rsidRDefault="003629D7" w:rsidP="003629D7">
      <w:pPr>
        <w:pStyle w:val="Title"/>
        <w:ind w:right="-360" w:hanging="360"/>
        <w:rPr>
          <w:rFonts w:ascii="Times New Roman" w:hAnsi="Times New Roman"/>
          <w:b w:val="0"/>
        </w:rPr>
      </w:pPr>
      <w:r w:rsidRPr="00D276C3">
        <w:rPr>
          <w:rFonts w:ascii="Times New Roman" w:hAnsi="Times New Roman"/>
          <w:b w:val="0"/>
        </w:rPr>
        <w:t>BEFORE THE WASHINGTON STATE</w:t>
      </w:r>
      <w:r>
        <w:rPr>
          <w:rFonts w:ascii="Times New Roman" w:hAnsi="Times New Roman"/>
          <w:b w:val="0"/>
        </w:rPr>
        <w:t xml:space="preserve"> </w:t>
      </w:r>
      <w:r w:rsidRPr="00D276C3">
        <w:rPr>
          <w:rFonts w:ascii="Times New Roman" w:hAnsi="Times New Roman"/>
          <w:b w:val="0"/>
        </w:rPr>
        <w:t>UTILITIES AND TRANSPORTATION COMMISSION</w:t>
      </w:r>
    </w:p>
    <w:p w:rsidR="003629D7" w:rsidRPr="004A2910" w:rsidRDefault="003629D7" w:rsidP="003629D7">
      <w:pPr>
        <w:spacing w:after="0" w:line="240" w:lineRule="auto"/>
        <w:jc w:val="both"/>
      </w:pPr>
    </w:p>
    <w:tbl>
      <w:tblPr>
        <w:tblW w:w="0" w:type="auto"/>
        <w:tblInd w:w="124" w:type="dxa"/>
        <w:tblLayout w:type="fixed"/>
        <w:tblCellMar>
          <w:left w:w="124" w:type="dxa"/>
          <w:right w:w="124" w:type="dxa"/>
        </w:tblCellMar>
        <w:tblLook w:val="0000"/>
      </w:tblPr>
      <w:tblGrid>
        <w:gridCol w:w="4590"/>
        <w:gridCol w:w="4590"/>
      </w:tblGrid>
      <w:tr w:rsidR="003629D7" w:rsidRPr="004A2910" w:rsidTr="00722346">
        <w:tc>
          <w:tcPr>
            <w:tcW w:w="4590" w:type="dxa"/>
            <w:tcBorders>
              <w:top w:val="single" w:sz="6" w:space="0" w:color="FFFFFF"/>
              <w:left w:val="single" w:sz="6" w:space="0" w:color="FFFFFF"/>
              <w:bottom w:val="single" w:sz="7" w:space="0" w:color="000000"/>
              <w:right w:val="single" w:sz="6" w:space="0" w:color="FFFFFF"/>
            </w:tcBorders>
          </w:tcPr>
          <w:p w:rsidR="003629D7" w:rsidRDefault="003629D7" w:rsidP="00722346">
            <w:pPr>
              <w:tabs>
                <w:tab w:val="left" w:pos="2160"/>
              </w:tabs>
              <w:spacing w:after="0" w:line="240" w:lineRule="auto"/>
              <w:rPr>
                <w:bCs/>
                <w:sz w:val="25"/>
                <w:szCs w:val="25"/>
              </w:rPr>
            </w:pPr>
            <w:r>
              <w:rPr>
                <w:bCs/>
                <w:sz w:val="25"/>
                <w:szCs w:val="25"/>
              </w:rPr>
              <w:t>KENNETH L. BINKLEY,</w:t>
            </w:r>
          </w:p>
          <w:p w:rsidR="003629D7" w:rsidRDefault="003629D7" w:rsidP="00722346">
            <w:pPr>
              <w:tabs>
                <w:tab w:val="left" w:pos="2160"/>
              </w:tabs>
              <w:spacing w:after="0" w:line="240" w:lineRule="auto"/>
              <w:rPr>
                <w:bCs/>
                <w:sz w:val="25"/>
                <w:szCs w:val="25"/>
              </w:rPr>
            </w:pPr>
          </w:p>
          <w:p w:rsidR="003629D7" w:rsidRDefault="003629D7" w:rsidP="00722346">
            <w:pPr>
              <w:tabs>
                <w:tab w:val="left" w:pos="2160"/>
              </w:tabs>
              <w:spacing w:after="0" w:line="240" w:lineRule="auto"/>
              <w:rPr>
                <w:bCs/>
                <w:sz w:val="25"/>
                <w:szCs w:val="25"/>
              </w:rPr>
            </w:pPr>
            <w:r>
              <w:rPr>
                <w:bCs/>
                <w:sz w:val="25"/>
                <w:szCs w:val="25"/>
              </w:rPr>
              <w:tab/>
              <w:t>Complainant,</w:t>
            </w:r>
          </w:p>
          <w:p w:rsidR="003629D7" w:rsidRDefault="003629D7" w:rsidP="00722346">
            <w:pPr>
              <w:tabs>
                <w:tab w:val="left" w:pos="2160"/>
              </w:tabs>
              <w:spacing w:after="0" w:line="240" w:lineRule="auto"/>
              <w:rPr>
                <w:sz w:val="25"/>
                <w:szCs w:val="25"/>
              </w:rPr>
            </w:pPr>
          </w:p>
          <w:p w:rsidR="003629D7" w:rsidRDefault="003629D7" w:rsidP="00722346">
            <w:pPr>
              <w:tabs>
                <w:tab w:val="left" w:pos="2160"/>
              </w:tabs>
              <w:spacing w:after="0" w:line="240" w:lineRule="auto"/>
              <w:rPr>
                <w:sz w:val="25"/>
                <w:szCs w:val="25"/>
              </w:rPr>
            </w:pPr>
            <w:r>
              <w:rPr>
                <w:sz w:val="25"/>
                <w:szCs w:val="25"/>
              </w:rPr>
              <w:t>v.</w:t>
            </w:r>
          </w:p>
          <w:p w:rsidR="003629D7" w:rsidRDefault="003629D7" w:rsidP="00722346">
            <w:pPr>
              <w:tabs>
                <w:tab w:val="left" w:pos="2160"/>
              </w:tabs>
              <w:spacing w:after="0" w:line="240" w:lineRule="auto"/>
              <w:rPr>
                <w:sz w:val="25"/>
                <w:szCs w:val="25"/>
              </w:rPr>
            </w:pPr>
          </w:p>
          <w:p w:rsidR="003629D7" w:rsidRDefault="003629D7" w:rsidP="00722346">
            <w:pPr>
              <w:tabs>
                <w:tab w:val="left" w:pos="2160"/>
              </w:tabs>
              <w:spacing w:after="0" w:line="240" w:lineRule="auto"/>
              <w:rPr>
                <w:sz w:val="25"/>
                <w:szCs w:val="25"/>
              </w:rPr>
            </w:pPr>
            <w:r>
              <w:rPr>
                <w:sz w:val="25"/>
                <w:szCs w:val="25"/>
              </w:rPr>
              <w:t>SALMON SHORES RV PARK AND PUGET SOUND ENERGY, INC.,</w:t>
            </w:r>
          </w:p>
          <w:p w:rsidR="003629D7" w:rsidRDefault="003629D7" w:rsidP="00722346">
            <w:pPr>
              <w:tabs>
                <w:tab w:val="left" w:pos="2160"/>
              </w:tabs>
              <w:spacing w:after="0" w:line="240" w:lineRule="auto"/>
              <w:rPr>
                <w:sz w:val="25"/>
                <w:szCs w:val="25"/>
              </w:rPr>
            </w:pPr>
          </w:p>
          <w:p w:rsidR="003629D7" w:rsidRPr="00D276C3" w:rsidRDefault="003629D7" w:rsidP="00722346">
            <w:pPr>
              <w:tabs>
                <w:tab w:val="left" w:pos="2160"/>
              </w:tabs>
              <w:spacing w:after="0" w:line="240" w:lineRule="auto"/>
              <w:rPr>
                <w:sz w:val="25"/>
                <w:szCs w:val="25"/>
              </w:rPr>
            </w:pPr>
            <w:r>
              <w:rPr>
                <w:sz w:val="25"/>
                <w:szCs w:val="25"/>
              </w:rPr>
              <w:tab/>
              <w:t>Respondents</w:t>
            </w:r>
            <w:r w:rsidRPr="00595D41">
              <w:t>.</w:t>
            </w:r>
          </w:p>
        </w:tc>
        <w:tc>
          <w:tcPr>
            <w:tcW w:w="4590" w:type="dxa"/>
            <w:tcBorders>
              <w:top w:val="single" w:sz="6" w:space="0" w:color="FFFFFF"/>
              <w:left w:val="single" w:sz="7" w:space="0" w:color="000000"/>
              <w:bottom w:val="single" w:sz="6" w:space="0" w:color="FFFFFF"/>
              <w:right w:val="single" w:sz="6" w:space="0" w:color="FFFFFF"/>
            </w:tcBorders>
          </w:tcPr>
          <w:p w:rsidR="003629D7" w:rsidRPr="004A2910" w:rsidRDefault="003629D7" w:rsidP="003629D7">
            <w:pPr>
              <w:spacing w:after="0" w:line="240" w:lineRule="auto"/>
              <w:ind w:left="416"/>
            </w:pPr>
            <w:r>
              <w:t>DOCKET UE-091531</w:t>
            </w:r>
          </w:p>
          <w:p w:rsidR="003629D7" w:rsidRPr="004A2910" w:rsidRDefault="003629D7" w:rsidP="003629D7">
            <w:pPr>
              <w:spacing w:after="0" w:line="240" w:lineRule="auto"/>
              <w:ind w:left="416"/>
            </w:pPr>
          </w:p>
          <w:p w:rsidR="003629D7" w:rsidRDefault="009742AA" w:rsidP="003629D7">
            <w:pPr>
              <w:ind w:left="416"/>
            </w:pPr>
            <w:r>
              <w:t xml:space="preserve">COMMISSION STAFF </w:t>
            </w:r>
            <w:r w:rsidR="003629D7">
              <w:t>MOTION FOR AN ORDER REMOVING SALMON SHORES RV PARK AS A RESPONDENT</w:t>
            </w:r>
          </w:p>
          <w:p w:rsidR="003629D7" w:rsidRPr="004A2910" w:rsidRDefault="003629D7" w:rsidP="00722346">
            <w:pPr>
              <w:spacing w:after="0" w:line="240" w:lineRule="auto"/>
              <w:ind w:left="720"/>
            </w:pPr>
          </w:p>
        </w:tc>
      </w:tr>
    </w:tbl>
    <w:p w:rsidR="0026228B" w:rsidRDefault="0026228B" w:rsidP="00836134">
      <w:pPr>
        <w:spacing w:after="0" w:line="480" w:lineRule="auto"/>
      </w:pPr>
    </w:p>
    <w:p w:rsidR="00285853" w:rsidRDefault="00836134" w:rsidP="00836134">
      <w:pPr>
        <w:pStyle w:val="ListParagraph"/>
        <w:numPr>
          <w:ilvl w:val="0"/>
          <w:numId w:val="14"/>
        </w:numPr>
        <w:spacing w:after="0" w:line="480" w:lineRule="auto"/>
      </w:pPr>
      <w:r>
        <w:tab/>
      </w:r>
      <w:r w:rsidR="00285853">
        <w:t xml:space="preserve">Staff of the Washington Utilities and Transportation Commission (Staff) moves the Commission for an order removing Salmon Shores RV Park as a Respondent because the Commission does not have jurisdiction over a customer of a public service company. </w:t>
      </w:r>
    </w:p>
    <w:p w:rsidR="00285853" w:rsidRPr="00285853" w:rsidRDefault="00285853" w:rsidP="008E3FD2">
      <w:pPr>
        <w:pStyle w:val="ListParagraph"/>
        <w:spacing w:after="0" w:line="480" w:lineRule="auto"/>
        <w:ind w:left="0"/>
        <w:jc w:val="center"/>
        <w:rPr>
          <w:b/>
        </w:rPr>
      </w:pPr>
      <w:r w:rsidRPr="00285853">
        <w:rPr>
          <w:b/>
        </w:rPr>
        <w:t>I.</w:t>
      </w:r>
      <w:r w:rsidRPr="00285853">
        <w:rPr>
          <w:b/>
        </w:rPr>
        <w:tab/>
        <w:t>BACKGROUND</w:t>
      </w:r>
    </w:p>
    <w:p w:rsidR="0029334C" w:rsidRDefault="00285853" w:rsidP="00836134">
      <w:pPr>
        <w:pStyle w:val="ListParagraph"/>
        <w:numPr>
          <w:ilvl w:val="0"/>
          <w:numId w:val="14"/>
        </w:numPr>
        <w:spacing w:after="0" w:line="480" w:lineRule="auto"/>
      </w:pPr>
      <w:r>
        <w:tab/>
      </w:r>
      <w:r w:rsidR="00A16151">
        <w:t xml:space="preserve">Prior </w:t>
      </w:r>
      <w:r w:rsidR="00B72351">
        <w:t>to the filing of the Consumer Complaint</w:t>
      </w:r>
      <w:r w:rsidR="0052584B">
        <w:t>,</w:t>
      </w:r>
      <w:r w:rsidR="00B72351">
        <w:rPr>
          <w:rStyle w:val="FootnoteReference"/>
        </w:rPr>
        <w:footnoteReference w:id="1"/>
      </w:r>
      <w:r w:rsidR="0052584B">
        <w:t xml:space="preserve"> </w:t>
      </w:r>
      <w:r w:rsidR="00B72351">
        <w:t xml:space="preserve">the Consumer Protection </w:t>
      </w:r>
      <w:r w:rsidR="0052584B">
        <w:t xml:space="preserve">Staff </w:t>
      </w:r>
      <w:r w:rsidR="00B72351">
        <w:t xml:space="preserve">of the Washington Utilities and Transportation Commission (UTC) </w:t>
      </w:r>
      <w:r w:rsidR="0052584B">
        <w:t xml:space="preserve">worked informally with </w:t>
      </w:r>
      <w:r w:rsidR="00A16151">
        <w:t>Puget Sound Energy Company (PSE)</w:t>
      </w:r>
      <w:r w:rsidR="0052584B">
        <w:t xml:space="preserve">, Salmon Shores RV Park and Complainant Mr. Binkley </w:t>
      </w:r>
      <w:r w:rsidR="00341FD1">
        <w:t xml:space="preserve">on </w:t>
      </w:r>
      <w:r w:rsidR="0052584B">
        <w:t xml:space="preserve">the </w:t>
      </w:r>
      <w:r w:rsidR="00B72351">
        <w:t>general problem identified in the Consumer Complaint</w:t>
      </w:r>
      <w:r w:rsidR="0052584B">
        <w:t>.</w:t>
      </w:r>
      <w:r w:rsidR="00722346">
        <w:rPr>
          <w:rStyle w:val="FootnoteReference"/>
        </w:rPr>
        <w:footnoteReference w:id="2"/>
      </w:r>
      <w:r w:rsidR="0052584B">
        <w:t xml:space="preserve">  However, the Complainant has elected to file a formal complaint, and the UTC </w:t>
      </w:r>
      <w:r>
        <w:t xml:space="preserve">should </w:t>
      </w:r>
      <w:r w:rsidR="00D946E1">
        <w:t xml:space="preserve">now </w:t>
      </w:r>
      <w:r w:rsidR="00C458BC">
        <w:t>address</w:t>
      </w:r>
      <w:r w:rsidR="0052584B">
        <w:t xml:space="preserve"> the </w:t>
      </w:r>
      <w:r>
        <w:t xml:space="preserve">scope </w:t>
      </w:r>
      <w:r w:rsidR="0052584B">
        <w:t xml:space="preserve">of its </w:t>
      </w:r>
      <w:r w:rsidR="00A16151">
        <w:t xml:space="preserve">own </w:t>
      </w:r>
      <w:r w:rsidR="0052584B">
        <w:t>jurisdiction.</w:t>
      </w:r>
    </w:p>
    <w:p w:rsidR="00D946E1" w:rsidRDefault="00214110" w:rsidP="00836134">
      <w:pPr>
        <w:pStyle w:val="ListParagraph"/>
        <w:numPr>
          <w:ilvl w:val="0"/>
          <w:numId w:val="14"/>
        </w:numPr>
        <w:spacing w:after="0" w:line="480" w:lineRule="auto"/>
      </w:pPr>
      <w:r>
        <w:tab/>
        <w:t xml:space="preserve">Staff is filing this motion now to give Complainant Mr. Binkley and Respondent PSE time to consider the issue before the prehearing conference.  As a procedural matter, </w:t>
      </w:r>
      <w:r>
        <w:lastRenderedPageBreak/>
        <w:t xml:space="preserve">Staff requests </w:t>
      </w:r>
      <w:r w:rsidR="00285853">
        <w:t xml:space="preserve">that </w:t>
      </w:r>
      <w:r>
        <w:t xml:space="preserve">the UTC set this Motion for argument at the currently-scheduled December 3, 2009, prehearing conference, and set a </w:t>
      </w:r>
      <w:r w:rsidR="00285853">
        <w:t xml:space="preserve">prior </w:t>
      </w:r>
      <w:r>
        <w:t>date for parties to file responses.</w:t>
      </w:r>
    </w:p>
    <w:p w:rsidR="0029334C" w:rsidRDefault="003629D7" w:rsidP="00836134">
      <w:pPr>
        <w:spacing w:after="0" w:line="480" w:lineRule="auto"/>
        <w:jc w:val="center"/>
        <w:rPr>
          <w:b/>
        </w:rPr>
      </w:pPr>
      <w:r>
        <w:rPr>
          <w:b/>
        </w:rPr>
        <w:t>III.</w:t>
      </w:r>
      <w:r>
        <w:rPr>
          <w:b/>
        </w:rPr>
        <w:tab/>
        <w:t>FACTS</w:t>
      </w:r>
      <w:r w:rsidR="00214110">
        <w:rPr>
          <w:rStyle w:val="FootnoteReference"/>
          <w:b/>
        </w:rPr>
        <w:footnoteReference w:id="3"/>
      </w:r>
    </w:p>
    <w:p w:rsidR="00ED215A" w:rsidRDefault="00836134" w:rsidP="00836134">
      <w:pPr>
        <w:pStyle w:val="ListParagraph"/>
        <w:numPr>
          <w:ilvl w:val="0"/>
          <w:numId w:val="14"/>
        </w:numPr>
        <w:spacing w:after="0" w:line="480" w:lineRule="auto"/>
      </w:pPr>
      <w:r>
        <w:tab/>
      </w:r>
      <w:r w:rsidR="0029334C">
        <w:t xml:space="preserve">The </w:t>
      </w:r>
      <w:r w:rsidR="00CA2B01">
        <w:t xml:space="preserve">Consumer Complaint </w:t>
      </w:r>
      <w:r w:rsidR="00214110">
        <w:t>names</w:t>
      </w:r>
      <w:r w:rsidR="0029334C">
        <w:t xml:space="preserve"> both PSE and Salmon Shores RV Park</w:t>
      </w:r>
      <w:r w:rsidR="00214110">
        <w:t xml:space="preserve"> as Respondents</w:t>
      </w:r>
      <w:r w:rsidR="0029334C">
        <w:t>.  As to Salmon Shores</w:t>
      </w:r>
      <w:r w:rsidR="00214110">
        <w:t xml:space="preserve"> RV Park</w:t>
      </w:r>
      <w:r w:rsidR="0029334C">
        <w:t xml:space="preserve">, </w:t>
      </w:r>
      <w:r w:rsidR="00214110">
        <w:t xml:space="preserve">in essence, </w:t>
      </w:r>
      <w:r w:rsidR="0029334C">
        <w:t>the complaint alleges that Salmon Shores RV Park is “overcharging for electrical usage.</w:t>
      </w:r>
      <w:r w:rsidR="00B164E8">
        <w:t>”</w:t>
      </w:r>
      <w:r w:rsidR="0052584B">
        <w:rPr>
          <w:rStyle w:val="FootnoteReference"/>
        </w:rPr>
        <w:footnoteReference w:id="4"/>
      </w:r>
      <w:r w:rsidR="00ED215A">
        <w:t xml:space="preserve"> </w:t>
      </w:r>
    </w:p>
    <w:p w:rsidR="0029334C" w:rsidRPr="00C458BC" w:rsidRDefault="003629D7" w:rsidP="00836134">
      <w:pPr>
        <w:spacing w:after="0" w:line="480" w:lineRule="auto"/>
        <w:jc w:val="center"/>
        <w:rPr>
          <w:b/>
        </w:rPr>
      </w:pPr>
      <w:r>
        <w:rPr>
          <w:b/>
        </w:rPr>
        <w:t>IV.</w:t>
      </w:r>
      <w:r>
        <w:rPr>
          <w:b/>
        </w:rPr>
        <w:tab/>
      </w:r>
      <w:r w:rsidR="00C458BC">
        <w:rPr>
          <w:b/>
        </w:rPr>
        <w:t>DISCUSSION</w:t>
      </w:r>
    </w:p>
    <w:p w:rsidR="00836134" w:rsidRDefault="008E3FD2" w:rsidP="008E3FD2">
      <w:pPr>
        <w:spacing w:after="0" w:line="240" w:lineRule="auto"/>
        <w:ind w:left="720" w:hanging="720"/>
        <w:rPr>
          <w:b/>
        </w:rPr>
      </w:pPr>
      <w:r>
        <w:rPr>
          <w:b/>
        </w:rPr>
        <w:t>A.</w:t>
      </w:r>
      <w:r>
        <w:rPr>
          <w:b/>
        </w:rPr>
        <w:tab/>
      </w:r>
      <w:r w:rsidR="00A16151">
        <w:rPr>
          <w:b/>
        </w:rPr>
        <w:t>The UTC should remove Salmon Shores RV Park as a respondent</w:t>
      </w:r>
      <w:r w:rsidR="00A16151" w:rsidRPr="00C458BC">
        <w:rPr>
          <w:b/>
        </w:rPr>
        <w:t xml:space="preserve"> </w:t>
      </w:r>
      <w:r w:rsidR="00A16151">
        <w:rPr>
          <w:b/>
        </w:rPr>
        <w:t>because t</w:t>
      </w:r>
      <w:r w:rsidR="00836134" w:rsidRPr="00C458BC">
        <w:rPr>
          <w:b/>
        </w:rPr>
        <w:t>he UTC has no jurisdiction over Salmon Shores RV Park</w:t>
      </w:r>
    </w:p>
    <w:p w:rsidR="00C458BC" w:rsidRPr="00C458BC" w:rsidRDefault="00C458BC" w:rsidP="00C458BC">
      <w:pPr>
        <w:spacing w:after="0" w:line="240" w:lineRule="auto"/>
        <w:rPr>
          <w:b/>
        </w:rPr>
      </w:pPr>
    </w:p>
    <w:p w:rsidR="00214110" w:rsidRDefault="00A16151" w:rsidP="00836134">
      <w:pPr>
        <w:pStyle w:val="ListParagraph"/>
        <w:numPr>
          <w:ilvl w:val="0"/>
          <w:numId w:val="14"/>
        </w:numPr>
        <w:spacing w:after="0" w:line="480" w:lineRule="auto"/>
      </w:pPr>
      <w:r>
        <w:tab/>
      </w:r>
      <w:r w:rsidR="00DC34EC">
        <w:t xml:space="preserve">For purposes of this docket, Salmon Shores RV Park is a customer of PSE.  </w:t>
      </w:r>
      <w:r w:rsidR="00214110">
        <w:t>Salmon Shores RV Park is not a public service company; it does not have electric service tariffs on file with the UTC,</w:t>
      </w:r>
      <w:r w:rsidR="00214110">
        <w:rPr>
          <w:rStyle w:val="FootnoteReference"/>
        </w:rPr>
        <w:footnoteReference w:id="5"/>
      </w:r>
      <w:r w:rsidR="00214110">
        <w:t xml:space="preserve"> and nothing in the Consumer Complaint suggests the UTC regulates Salmon Shores RV Park as a public service company.</w:t>
      </w:r>
      <w:r w:rsidR="00214110">
        <w:rPr>
          <w:rStyle w:val="FootnoteReference"/>
        </w:rPr>
        <w:footnoteReference w:id="6"/>
      </w:r>
      <w:r w:rsidR="00214110">
        <w:t xml:space="preserve">  </w:t>
      </w:r>
    </w:p>
    <w:p w:rsidR="00A16151" w:rsidRDefault="00214110" w:rsidP="00836134">
      <w:pPr>
        <w:pStyle w:val="ListParagraph"/>
        <w:numPr>
          <w:ilvl w:val="0"/>
          <w:numId w:val="14"/>
        </w:numPr>
        <w:spacing w:after="0" w:line="480" w:lineRule="auto"/>
      </w:pPr>
      <w:r>
        <w:tab/>
      </w:r>
      <w:r w:rsidR="00DC34EC">
        <w:t>By its terms, t</w:t>
      </w:r>
      <w:r w:rsidR="00A16151">
        <w:t>he UTC’s complaint statute</w:t>
      </w:r>
      <w:r w:rsidR="00A16151">
        <w:rPr>
          <w:rStyle w:val="FootnoteReference"/>
        </w:rPr>
        <w:footnoteReference w:id="7"/>
      </w:r>
      <w:r w:rsidR="00A16151">
        <w:t xml:space="preserve"> applies to complaints against </w:t>
      </w:r>
      <w:r>
        <w:t xml:space="preserve">a </w:t>
      </w:r>
      <w:r w:rsidR="00A16151">
        <w:t>public service compan</w:t>
      </w:r>
      <w:r>
        <w:t>y such as PSE</w:t>
      </w:r>
      <w:r w:rsidR="00A16151">
        <w:t xml:space="preserve">, not </w:t>
      </w:r>
      <w:r>
        <w:t xml:space="preserve">a </w:t>
      </w:r>
      <w:r w:rsidR="00A16151">
        <w:t>customer</w:t>
      </w:r>
      <w:r>
        <w:t xml:space="preserve"> of a public service company</w:t>
      </w:r>
      <w:r w:rsidR="00A16151">
        <w:t>.</w:t>
      </w:r>
      <w:r w:rsidR="00341FD1">
        <w:rPr>
          <w:rStyle w:val="FootnoteReference"/>
        </w:rPr>
        <w:footnoteReference w:id="8"/>
      </w:r>
      <w:r w:rsidR="00A16151">
        <w:t xml:space="preserve">  This is consistent with </w:t>
      </w:r>
      <w:r>
        <w:t xml:space="preserve">the </w:t>
      </w:r>
      <w:r w:rsidR="00A16151">
        <w:t>UTC’s general jurisdiction, which is over public service companies, not the customers of public service companies.</w:t>
      </w:r>
      <w:r w:rsidR="00A16151">
        <w:rPr>
          <w:rStyle w:val="FootnoteReference"/>
        </w:rPr>
        <w:footnoteReference w:id="9"/>
      </w:r>
      <w:r w:rsidR="00A16151">
        <w:t xml:space="preserve"> </w:t>
      </w:r>
    </w:p>
    <w:p w:rsidR="00BC07E0" w:rsidRDefault="00836134" w:rsidP="00836134">
      <w:pPr>
        <w:pStyle w:val="ListParagraph"/>
        <w:numPr>
          <w:ilvl w:val="0"/>
          <w:numId w:val="14"/>
        </w:numPr>
        <w:spacing w:after="0" w:line="480" w:lineRule="auto"/>
      </w:pPr>
      <w:r>
        <w:lastRenderedPageBreak/>
        <w:tab/>
      </w:r>
      <w:r w:rsidR="00BC07E0">
        <w:t>Consequently, the UTC should issue an order removing Salmon Shores RV Park as a respondent in this matter</w:t>
      </w:r>
      <w:r w:rsidR="0052584B">
        <w:t>.</w:t>
      </w:r>
      <w:r w:rsidR="0052584B">
        <w:rPr>
          <w:rStyle w:val="FootnoteReference"/>
        </w:rPr>
        <w:footnoteReference w:id="10"/>
      </w:r>
      <w:r w:rsidR="0052584B">
        <w:t xml:space="preserve"> </w:t>
      </w:r>
    </w:p>
    <w:p w:rsidR="00BC07E0" w:rsidRPr="00D946E1" w:rsidRDefault="003629D7" w:rsidP="00836134">
      <w:pPr>
        <w:keepNext/>
        <w:spacing w:after="0" w:line="480" w:lineRule="auto"/>
        <w:jc w:val="center"/>
        <w:rPr>
          <w:b/>
        </w:rPr>
      </w:pPr>
      <w:r>
        <w:rPr>
          <w:b/>
        </w:rPr>
        <w:t>VI.</w:t>
      </w:r>
      <w:r>
        <w:rPr>
          <w:b/>
        </w:rPr>
        <w:tab/>
        <w:t>CONCLUSIONS</w:t>
      </w:r>
    </w:p>
    <w:p w:rsidR="00BC07E0" w:rsidRDefault="00836134" w:rsidP="00836134">
      <w:pPr>
        <w:pStyle w:val="ListParagraph"/>
        <w:numPr>
          <w:ilvl w:val="0"/>
          <w:numId w:val="14"/>
        </w:numPr>
        <w:spacing w:after="0" w:line="480" w:lineRule="auto"/>
        <w:jc w:val="both"/>
      </w:pPr>
      <w:r>
        <w:tab/>
      </w:r>
      <w:r w:rsidR="00285853">
        <w:t>T</w:t>
      </w:r>
      <w:r w:rsidR="00D946E1">
        <w:t xml:space="preserve">he Washington Utilities and Transportation Commission (UTC) </w:t>
      </w:r>
      <w:r w:rsidR="00285853">
        <w:t xml:space="preserve">should </w:t>
      </w:r>
      <w:r w:rsidR="00D946E1">
        <w:t xml:space="preserve">set the foregoing motion for argument at the currently-scheduled December 3, 2009, prehearing conference, and set a </w:t>
      </w:r>
      <w:r w:rsidR="00DC34EC">
        <w:t xml:space="preserve">prior </w:t>
      </w:r>
      <w:r w:rsidR="00D946E1">
        <w:t xml:space="preserve">date for responses.  After receiving responses from the parties, and oral argument, if any, the UTC should issue an order removing Salmon Shores RV Park as a Respondent.  </w:t>
      </w:r>
    </w:p>
    <w:p w:rsidR="00A82C93" w:rsidRDefault="00A82C93" w:rsidP="00A82C93">
      <w:pPr>
        <w:spacing w:after="0" w:line="240" w:lineRule="auto"/>
      </w:pPr>
      <w:r>
        <w:tab/>
        <w:t xml:space="preserve">DATED this </w:t>
      </w:r>
      <w:r w:rsidR="00214110">
        <w:t>9</w:t>
      </w:r>
      <w:r w:rsidR="003E7A19" w:rsidRPr="00A82C93">
        <w:rPr>
          <w:vertAlign w:val="superscript"/>
        </w:rPr>
        <w:t xml:space="preserve">th </w:t>
      </w:r>
      <w:r w:rsidR="003E7A19" w:rsidRPr="004A2910">
        <w:t>day</w:t>
      </w:r>
      <w:r w:rsidRPr="004A2910">
        <w:t xml:space="preserve"> of</w:t>
      </w:r>
      <w:r>
        <w:t xml:space="preserve"> November,</w:t>
      </w:r>
      <w:r w:rsidRPr="004A2910">
        <w:t xml:space="preserve"> 200</w:t>
      </w:r>
      <w:r>
        <w:t>9</w:t>
      </w:r>
      <w:r w:rsidRPr="004A2910">
        <w:t>.</w:t>
      </w:r>
    </w:p>
    <w:p w:rsidR="00A82C93" w:rsidRDefault="00A82C93" w:rsidP="00A82C93">
      <w:pPr>
        <w:spacing w:after="0" w:line="240" w:lineRule="auto"/>
        <w:ind w:left="4320"/>
      </w:pPr>
    </w:p>
    <w:p w:rsidR="00A82C93" w:rsidRPr="004A2910" w:rsidRDefault="00A82C93" w:rsidP="00A82C93">
      <w:pPr>
        <w:spacing w:after="0" w:line="240" w:lineRule="auto"/>
        <w:ind w:left="4320"/>
      </w:pPr>
      <w:r>
        <w:t xml:space="preserve">Respectfully submitted, </w:t>
      </w:r>
    </w:p>
    <w:p w:rsidR="00A82C93" w:rsidRPr="004A2910" w:rsidRDefault="00A82C93" w:rsidP="00A82C93">
      <w:pPr>
        <w:pStyle w:val="BodyTextIndent2"/>
        <w:ind w:left="4320"/>
        <w:rPr>
          <w:rFonts w:ascii="Times New Roman" w:hAnsi="Times New Roman"/>
        </w:rPr>
      </w:pPr>
    </w:p>
    <w:p w:rsidR="00A82C93" w:rsidRPr="004A2910" w:rsidRDefault="00A82C93" w:rsidP="00A82C93">
      <w:pPr>
        <w:spacing w:after="0" w:line="240" w:lineRule="auto"/>
        <w:ind w:left="4320"/>
        <w:jc w:val="both"/>
      </w:pPr>
      <w:r w:rsidRPr="004A2910">
        <w:t>ROB</w:t>
      </w:r>
      <w:r>
        <w:t>ERT M.</w:t>
      </w:r>
      <w:r w:rsidRPr="004A2910">
        <w:t xml:space="preserve"> MCKENNA </w:t>
      </w:r>
    </w:p>
    <w:p w:rsidR="00A82C93" w:rsidRPr="004A2910" w:rsidRDefault="00A82C93" w:rsidP="00A82C93">
      <w:pPr>
        <w:spacing w:after="0" w:line="240" w:lineRule="auto"/>
        <w:ind w:left="4320"/>
        <w:jc w:val="both"/>
      </w:pPr>
      <w:r w:rsidRPr="004A2910">
        <w:t>Attorney General</w:t>
      </w:r>
    </w:p>
    <w:p w:rsidR="00A82C93" w:rsidRDefault="00A82C93" w:rsidP="00A82C93">
      <w:pPr>
        <w:spacing w:after="0" w:line="240" w:lineRule="auto"/>
        <w:ind w:left="4320"/>
        <w:jc w:val="both"/>
      </w:pPr>
    </w:p>
    <w:p w:rsidR="00A82C93" w:rsidRPr="004A2910" w:rsidRDefault="00A82C93" w:rsidP="00A82C93">
      <w:pPr>
        <w:spacing w:after="0" w:line="240" w:lineRule="auto"/>
        <w:ind w:left="4320"/>
        <w:jc w:val="both"/>
      </w:pPr>
    </w:p>
    <w:p w:rsidR="00A82C93" w:rsidRPr="004A2910" w:rsidRDefault="00A82C93" w:rsidP="00A82C93">
      <w:pPr>
        <w:spacing w:after="0" w:line="240" w:lineRule="auto"/>
        <w:ind w:left="4320"/>
        <w:jc w:val="both"/>
      </w:pPr>
      <w:r w:rsidRPr="004A2910">
        <w:t>______________________________</w:t>
      </w:r>
    </w:p>
    <w:p w:rsidR="00A82C93" w:rsidRPr="004A2910" w:rsidRDefault="00A82C93" w:rsidP="00A82C93">
      <w:pPr>
        <w:spacing w:after="0" w:line="240" w:lineRule="auto"/>
        <w:ind w:left="4320"/>
        <w:jc w:val="both"/>
      </w:pPr>
      <w:r>
        <w:t>DONALD T. TROTTER</w:t>
      </w:r>
    </w:p>
    <w:p w:rsidR="00A82C93" w:rsidRPr="004A2910" w:rsidRDefault="00A82C93" w:rsidP="00A82C93">
      <w:pPr>
        <w:spacing w:after="0" w:line="240" w:lineRule="auto"/>
        <w:ind w:left="4320"/>
        <w:jc w:val="both"/>
      </w:pPr>
      <w:r w:rsidRPr="004A2910">
        <w:t>Assistant Attorney General</w:t>
      </w:r>
    </w:p>
    <w:p w:rsidR="00A82C93" w:rsidRPr="004A2910" w:rsidRDefault="00A82C93" w:rsidP="00A82C93">
      <w:pPr>
        <w:spacing w:after="0" w:line="240" w:lineRule="auto"/>
        <w:ind w:left="4320"/>
        <w:jc w:val="both"/>
      </w:pPr>
      <w:r w:rsidRPr="004A2910">
        <w:t>Counsel for Washington Utilities and</w:t>
      </w:r>
    </w:p>
    <w:p w:rsidR="00836134" w:rsidRPr="00ED215A" w:rsidRDefault="00A82C93" w:rsidP="00214110">
      <w:pPr>
        <w:spacing w:after="0" w:line="240" w:lineRule="auto"/>
        <w:ind w:left="4320"/>
        <w:jc w:val="both"/>
      </w:pPr>
      <w:r>
        <w:t>Transportation Commission Staff</w:t>
      </w:r>
    </w:p>
    <w:sectPr w:rsidR="00836134" w:rsidRPr="00ED215A" w:rsidSect="00013BCF">
      <w:footerReference w:type="default" r:id="rId8"/>
      <w:pgSz w:w="12240" w:h="15840"/>
      <w:pgMar w:top="1440" w:right="1440" w:bottom="1440" w:left="189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5971" w:rsidRDefault="007A5971" w:rsidP="008627F5">
      <w:pPr>
        <w:spacing w:after="0" w:line="240" w:lineRule="auto"/>
      </w:pPr>
      <w:r>
        <w:separator/>
      </w:r>
    </w:p>
  </w:endnote>
  <w:endnote w:type="continuationSeparator" w:id="0">
    <w:p w:rsidR="007A5971" w:rsidRDefault="007A5971" w:rsidP="008627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Palatino Linotype">
    <w:panose1 w:val="02040502050505030304"/>
    <w:charset w:val="00"/>
    <w:family w:val="roman"/>
    <w:pitch w:val="variable"/>
    <w:sig w:usb0="E0000387" w:usb1="40000013"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5853" w:rsidRDefault="00285853" w:rsidP="00013BCF">
    <w:pPr>
      <w:spacing w:after="0" w:line="240" w:lineRule="auto"/>
      <w:rPr>
        <w:sz w:val="20"/>
        <w:szCs w:val="20"/>
      </w:rPr>
    </w:pPr>
  </w:p>
  <w:p w:rsidR="00285853" w:rsidRPr="00013BCF" w:rsidRDefault="00285853" w:rsidP="00013BCF">
    <w:pPr>
      <w:spacing w:after="0" w:line="240" w:lineRule="auto"/>
      <w:rPr>
        <w:sz w:val="20"/>
        <w:szCs w:val="20"/>
      </w:rPr>
    </w:pPr>
    <w:r>
      <w:rPr>
        <w:sz w:val="20"/>
        <w:szCs w:val="20"/>
      </w:rPr>
      <w:t xml:space="preserve">STAFF </w:t>
    </w:r>
    <w:r w:rsidRPr="00013BCF">
      <w:rPr>
        <w:sz w:val="20"/>
        <w:szCs w:val="20"/>
      </w:rPr>
      <w:t xml:space="preserve">MOTION </w:t>
    </w:r>
    <w:r>
      <w:rPr>
        <w:sz w:val="20"/>
        <w:szCs w:val="20"/>
      </w:rPr>
      <w:t xml:space="preserve">FOR </w:t>
    </w:r>
    <w:r w:rsidRPr="00013BCF">
      <w:rPr>
        <w:sz w:val="20"/>
        <w:szCs w:val="20"/>
      </w:rPr>
      <w:t xml:space="preserve">ORDER </w:t>
    </w:r>
    <w:r>
      <w:rPr>
        <w:sz w:val="20"/>
        <w:szCs w:val="20"/>
      </w:rPr>
      <w:t xml:space="preserve">- </w:t>
    </w:r>
    <w:r w:rsidR="008D3AE8" w:rsidRPr="00013BCF">
      <w:rPr>
        <w:sz w:val="20"/>
        <w:szCs w:val="20"/>
      </w:rPr>
      <w:fldChar w:fldCharType="begin"/>
    </w:r>
    <w:r w:rsidRPr="00013BCF">
      <w:rPr>
        <w:sz w:val="20"/>
        <w:szCs w:val="20"/>
      </w:rPr>
      <w:instrText xml:space="preserve"> PAGE   \* MERGEFORMAT </w:instrText>
    </w:r>
    <w:r w:rsidR="008D3AE8" w:rsidRPr="00013BCF">
      <w:rPr>
        <w:sz w:val="20"/>
        <w:szCs w:val="20"/>
      </w:rPr>
      <w:fldChar w:fldCharType="separate"/>
    </w:r>
    <w:r w:rsidR="009742AA">
      <w:rPr>
        <w:noProof/>
        <w:sz w:val="20"/>
        <w:szCs w:val="20"/>
      </w:rPr>
      <w:t>1</w:t>
    </w:r>
    <w:r w:rsidR="008D3AE8" w:rsidRPr="00013BCF">
      <w:rPr>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5971" w:rsidRDefault="007A5971" w:rsidP="008627F5">
      <w:pPr>
        <w:spacing w:after="0" w:line="240" w:lineRule="auto"/>
      </w:pPr>
      <w:r>
        <w:separator/>
      </w:r>
    </w:p>
  </w:footnote>
  <w:footnote w:type="continuationSeparator" w:id="0">
    <w:p w:rsidR="007A5971" w:rsidRDefault="007A5971" w:rsidP="008627F5">
      <w:pPr>
        <w:spacing w:after="0" w:line="240" w:lineRule="auto"/>
      </w:pPr>
      <w:r>
        <w:continuationSeparator/>
      </w:r>
    </w:p>
  </w:footnote>
  <w:footnote w:id="1">
    <w:p w:rsidR="00285853" w:rsidRDefault="00285853" w:rsidP="00722346">
      <w:pPr>
        <w:pStyle w:val="FootnoteText"/>
      </w:pPr>
      <w:r>
        <w:rPr>
          <w:rStyle w:val="FootnoteReference"/>
        </w:rPr>
        <w:footnoteRef/>
      </w:r>
      <w:r>
        <w:t xml:space="preserve"> Consumer Complaint (undated, but received September 14, 2009).</w:t>
      </w:r>
    </w:p>
  </w:footnote>
  <w:footnote w:id="2">
    <w:p w:rsidR="00285853" w:rsidRDefault="00285853" w:rsidP="00906076">
      <w:pPr>
        <w:spacing w:after="0" w:line="240" w:lineRule="auto"/>
      </w:pPr>
      <w:r w:rsidRPr="00722346">
        <w:rPr>
          <w:rStyle w:val="FootnoteReference"/>
          <w:sz w:val="20"/>
          <w:szCs w:val="20"/>
        </w:rPr>
        <w:footnoteRef/>
      </w:r>
      <w:r w:rsidRPr="00722346">
        <w:rPr>
          <w:sz w:val="20"/>
          <w:szCs w:val="20"/>
        </w:rPr>
        <w:t xml:space="preserve"> Representatives from the Washington State Attorney General’s Office</w:t>
      </w:r>
      <w:r>
        <w:rPr>
          <w:sz w:val="20"/>
          <w:szCs w:val="20"/>
        </w:rPr>
        <w:t>’s</w:t>
      </w:r>
      <w:r w:rsidRPr="00722346">
        <w:rPr>
          <w:sz w:val="20"/>
          <w:szCs w:val="20"/>
        </w:rPr>
        <w:t xml:space="preserve"> </w:t>
      </w:r>
      <w:r>
        <w:rPr>
          <w:sz w:val="20"/>
          <w:szCs w:val="20"/>
        </w:rPr>
        <w:t xml:space="preserve">(AGO) </w:t>
      </w:r>
      <w:r w:rsidRPr="00722346">
        <w:rPr>
          <w:sz w:val="20"/>
          <w:szCs w:val="20"/>
        </w:rPr>
        <w:t>Manufactured Hou</w:t>
      </w:r>
      <w:r>
        <w:rPr>
          <w:sz w:val="20"/>
          <w:szCs w:val="20"/>
        </w:rPr>
        <w:t>sing Dispute Resolution Program were also involved in these discussions.  Pursuant to RCW 59.30.030 and .040, the AGO administers a dispute resolution program involving mobile home park landlords and their tenants.</w:t>
      </w:r>
    </w:p>
  </w:footnote>
  <w:footnote w:id="3">
    <w:p w:rsidR="00285853" w:rsidRDefault="00285853" w:rsidP="00214110">
      <w:pPr>
        <w:pStyle w:val="FootnoteText"/>
      </w:pPr>
      <w:r>
        <w:rPr>
          <w:rStyle w:val="FootnoteReference"/>
        </w:rPr>
        <w:footnoteRef/>
      </w:r>
      <w:r>
        <w:t xml:space="preserve"> For purposes of this motion, Staff assumes the facts stated in the Consumer Complaint are true.  If this matter is litigated, many of those facts, or the interpretation of those facts, may be contested.</w:t>
      </w:r>
    </w:p>
  </w:footnote>
  <w:footnote w:id="4">
    <w:p w:rsidR="00285853" w:rsidRDefault="00285853">
      <w:pPr>
        <w:pStyle w:val="FootnoteText"/>
      </w:pPr>
      <w:r>
        <w:rPr>
          <w:rStyle w:val="FootnoteReference"/>
        </w:rPr>
        <w:footnoteRef/>
      </w:r>
      <w:r>
        <w:t xml:space="preserve"> </w:t>
      </w:r>
      <w:r w:rsidR="00DC34EC">
        <w:t>Consumer Complaint</w:t>
      </w:r>
      <w:r>
        <w:rPr>
          <w:i/>
        </w:rPr>
        <w:t xml:space="preserve"> </w:t>
      </w:r>
      <w:r>
        <w:t>at 2, last paragraph, second sentence.</w:t>
      </w:r>
    </w:p>
  </w:footnote>
  <w:footnote w:id="5">
    <w:p w:rsidR="00285853" w:rsidRDefault="00285853" w:rsidP="00214110">
      <w:pPr>
        <w:pStyle w:val="FootnoteText"/>
      </w:pPr>
      <w:r>
        <w:rPr>
          <w:rStyle w:val="FootnoteReference"/>
        </w:rPr>
        <w:footnoteRef/>
      </w:r>
      <w:r>
        <w:t xml:space="preserve"> Attachment </w:t>
      </w:r>
      <w:r w:rsidR="00DC34EC">
        <w:t>A to</w:t>
      </w:r>
      <w:r>
        <w:t xml:space="preserve"> this Motion, Declaration of Lisa Wyse, at 2, ¶5.</w:t>
      </w:r>
    </w:p>
  </w:footnote>
  <w:footnote w:id="6">
    <w:p w:rsidR="00285853" w:rsidRPr="00AA556B" w:rsidRDefault="00285853" w:rsidP="00214110">
      <w:pPr>
        <w:pStyle w:val="FootnoteText"/>
        <w:rPr>
          <w:b/>
        </w:rPr>
      </w:pPr>
      <w:r>
        <w:rPr>
          <w:rStyle w:val="FootnoteReference"/>
        </w:rPr>
        <w:footnoteRef/>
      </w:r>
      <w:r>
        <w:t xml:space="preserve"> This is not to say that a person other than a public service company may violate a UTC statute or order with impunity, because by statute, such violators are “guilty of a gross misdemeanor.”  RCW 80.04.390, last sentence.  But, that is a matter for the superior court and the county prosecutor, because the UTC has no criminal jurisdiction.  As article 4, section 6 of the state constitution states (in pertinent part): “The superior court shall have original jurisdiction in … all cases of misdemeanor not otherwise provided by law …”.</w:t>
      </w:r>
    </w:p>
  </w:footnote>
  <w:footnote w:id="7">
    <w:p w:rsidR="00285853" w:rsidRDefault="00285853" w:rsidP="00A16151">
      <w:pPr>
        <w:pStyle w:val="FootnoteText"/>
      </w:pPr>
      <w:r>
        <w:rPr>
          <w:rStyle w:val="FootnoteReference"/>
        </w:rPr>
        <w:footnoteRef/>
      </w:r>
      <w:r>
        <w:t xml:space="preserve"> RCW 80.04.110.</w:t>
      </w:r>
    </w:p>
  </w:footnote>
  <w:footnote w:id="8">
    <w:p w:rsidR="00285853" w:rsidRDefault="00285853">
      <w:pPr>
        <w:pStyle w:val="FootnoteText"/>
      </w:pPr>
      <w:r>
        <w:rPr>
          <w:rStyle w:val="FootnoteReference"/>
        </w:rPr>
        <w:footnoteRef/>
      </w:r>
      <w:r>
        <w:t xml:space="preserve"> If the customer is a public service company, RCW 80.04.110 would apply.</w:t>
      </w:r>
    </w:p>
  </w:footnote>
  <w:footnote w:id="9">
    <w:p w:rsidR="00285853" w:rsidRDefault="00285853" w:rsidP="00A16151">
      <w:pPr>
        <w:pStyle w:val="FootnoteText"/>
      </w:pPr>
      <w:r>
        <w:rPr>
          <w:rStyle w:val="FootnoteReference"/>
        </w:rPr>
        <w:footnoteRef/>
      </w:r>
      <w:r>
        <w:t xml:space="preserve"> RCW 80.01.040.  </w:t>
      </w:r>
    </w:p>
  </w:footnote>
  <w:footnote w:id="10">
    <w:p w:rsidR="00DC34EC" w:rsidRDefault="00285853">
      <w:pPr>
        <w:pStyle w:val="FootnoteText"/>
      </w:pPr>
      <w:r>
        <w:rPr>
          <w:rStyle w:val="FootnoteReference"/>
        </w:rPr>
        <w:footnoteRef/>
      </w:r>
      <w:r>
        <w:t xml:space="preserve"> Without reaching any </w:t>
      </w:r>
      <w:r w:rsidR="00DC34EC">
        <w:t xml:space="preserve">legal </w:t>
      </w:r>
      <w:r>
        <w:t xml:space="preserve">conclusions or providing any legal advice, Staff observes that </w:t>
      </w:r>
      <w:r w:rsidR="00DC34EC">
        <w:t xml:space="preserve">persons in </w:t>
      </w:r>
      <w:r>
        <w:t>Complainant Mr. Binkley</w:t>
      </w:r>
      <w:r w:rsidR="00DC34EC">
        <w:t>’s position</w:t>
      </w:r>
      <w:r>
        <w:t xml:space="preserve"> may have remedies under the Mobile Home Landlord-Tenant Act, RCW 59.20 (MHLTA), which states, in part, that a mobile home landlord “shall not: … charge to any tenant a utility fee in excess of actual utility costs …”.  RCW 59.20.070(6).  </w:t>
      </w:r>
      <w:r w:rsidR="00DC34EC">
        <w:t>However, l</w:t>
      </w:r>
      <w:r>
        <w:t>egal remedies available under the MHLTA are administered by the superior court, not the UTC.  (</w:t>
      </w:r>
      <w:r>
        <w:rPr>
          <w:i/>
        </w:rPr>
        <w:t xml:space="preserve">I.e., </w:t>
      </w:r>
      <w:r>
        <w:t xml:space="preserve">RCW 59.20.120 places venue in the district or superior court in which the mobile home is located).  Remedies available under the MHLTA are directly against the landlord and/or the tenant, as the case may be; entities such as </w:t>
      </w:r>
      <w:r w:rsidR="00DC34EC">
        <w:t xml:space="preserve">the UTC and </w:t>
      </w:r>
      <w:r>
        <w:t xml:space="preserve">PSE do not figure in.  </w:t>
      </w:r>
    </w:p>
    <w:p w:rsidR="00285853" w:rsidRDefault="00DC34EC">
      <w:pPr>
        <w:pStyle w:val="FootnoteText"/>
      </w:pPr>
      <w:r>
        <w:tab/>
      </w:r>
      <w:r w:rsidR="00285853">
        <w:t xml:space="preserve">The foregoing observation that </w:t>
      </w:r>
      <w:r>
        <w:t xml:space="preserve">MHLTA </w:t>
      </w:r>
      <w:r w:rsidR="00285853">
        <w:t xml:space="preserve">remedies may be available assumes Salmon Shores RV Park is a “mobile home landlord” and that it is charging or has charged a </w:t>
      </w:r>
      <w:r>
        <w:t>“</w:t>
      </w:r>
      <w:r w:rsidR="00285853">
        <w:t>tenant</w:t>
      </w:r>
      <w:r>
        <w:t>”</w:t>
      </w:r>
      <w:r w:rsidR="00285853">
        <w:t xml:space="preserve"> “a utility fee in excess of actual utility costs</w:t>
      </w:r>
      <w:r>
        <w:t>,</w:t>
      </w:r>
      <w:r w:rsidR="00285853">
        <w:t>”</w:t>
      </w:r>
      <w:r>
        <w:t xml:space="preserve"> as those terms or phrases are used in the MHLTA.</w:t>
      </w:r>
      <w:r w:rsidR="00285853">
        <w:t xml:space="preserve">  Those fact</w:t>
      </w:r>
      <w:r>
        <w:t>or</w:t>
      </w:r>
      <w:r w:rsidR="00285853">
        <w:t xml:space="preserve">s, and perhaps others, would need to be established for there to be a remedy under the MHLTA.  </w:t>
      </w:r>
      <w:r>
        <w:t>Again, t</w:t>
      </w:r>
      <w:r w:rsidR="00285853">
        <w:t>hose would be issues before the court</w:t>
      </w:r>
      <w:r>
        <w:t xml:space="preserve"> in a HMLTA enforcement action</w:t>
      </w:r>
      <w:r w:rsidR="00285853">
        <w:t xml:space="preserve">, </w:t>
      </w:r>
      <w:r>
        <w:t xml:space="preserve">and </w:t>
      </w:r>
      <w:r w:rsidR="00285853">
        <w:t xml:space="preserve">not </w:t>
      </w:r>
      <w:r>
        <w:t xml:space="preserve">before </w:t>
      </w:r>
      <w:r w:rsidR="00285853">
        <w:t>the UTC.</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DA28A92"/>
    <w:lvl w:ilvl="0">
      <w:start w:val="1"/>
      <w:numFmt w:val="decimal"/>
      <w:lvlText w:val="%1."/>
      <w:lvlJc w:val="left"/>
      <w:pPr>
        <w:tabs>
          <w:tab w:val="num" w:pos="1800"/>
        </w:tabs>
        <w:ind w:left="1800" w:hanging="360"/>
      </w:pPr>
    </w:lvl>
  </w:abstractNum>
  <w:abstractNum w:abstractNumId="1">
    <w:nsid w:val="FFFFFF7D"/>
    <w:multiLevelType w:val="singleLevel"/>
    <w:tmpl w:val="5E8EC6D2"/>
    <w:lvl w:ilvl="0">
      <w:start w:val="1"/>
      <w:numFmt w:val="decimal"/>
      <w:lvlText w:val="%1."/>
      <w:lvlJc w:val="left"/>
      <w:pPr>
        <w:tabs>
          <w:tab w:val="num" w:pos="1440"/>
        </w:tabs>
        <w:ind w:left="1440" w:hanging="360"/>
      </w:pPr>
    </w:lvl>
  </w:abstractNum>
  <w:abstractNum w:abstractNumId="2">
    <w:nsid w:val="FFFFFF7E"/>
    <w:multiLevelType w:val="singleLevel"/>
    <w:tmpl w:val="9BC0C5BA"/>
    <w:lvl w:ilvl="0">
      <w:start w:val="1"/>
      <w:numFmt w:val="decimal"/>
      <w:lvlText w:val="%1."/>
      <w:lvlJc w:val="left"/>
      <w:pPr>
        <w:tabs>
          <w:tab w:val="num" w:pos="1080"/>
        </w:tabs>
        <w:ind w:left="1080" w:hanging="360"/>
      </w:pPr>
    </w:lvl>
  </w:abstractNum>
  <w:abstractNum w:abstractNumId="3">
    <w:nsid w:val="FFFFFF7F"/>
    <w:multiLevelType w:val="singleLevel"/>
    <w:tmpl w:val="CA8C0536"/>
    <w:lvl w:ilvl="0">
      <w:start w:val="1"/>
      <w:numFmt w:val="decimal"/>
      <w:lvlText w:val="%1."/>
      <w:lvlJc w:val="left"/>
      <w:pPr>
        <w:tabs>
          <w:tab w:val="num" w:pos="720"/>
        </w:tabs>
        <w:ind w:left="720" w:hanging="360"/>
      </w:pPr>
    </w:lvl>
  </w:abstractNum>
  <w:abstractNum w:abstractNumId="4">
    <w:nsid w:val="FFFFFF80"/>
    <w:multiLevelType w:val="singleLevel"/>
    <w:tmpl w:val="FCCCCD0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7ABE5F7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33768A2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19042DAA"/>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18D62BD0"/>
    <w:lvl w:ilvl="0">
      <w:start w:val="1"/>
      <w:numFmt w:val="decimal"/>
      <w:lvlText w:val="%1."/>
      <w:lvlJc w:val="left"/>
      <w:pPr>
        <w:tabs>
          <w:tab w:val="num" w:pos="360"/>
        </w:tabs>
        <w:ind w:left="360" w:hanging="360"/>
      </w:pPr>
    </w:lvl>
  </w:abstractNum>
  <w:abstractNum w:abstractNumId="9">
    <w:nsid w:val="FFFFFF89"/>
    <w:multiLevelType w:val="singleLevel"/>
    <w:tmpl w:val="37205962"/>
    <w:lvl w:ilvl="0">
      <w:start w:val="1"/>
      <w:numFmt w:val="bullet"/>
      <w:lvlText w:val=""/>
      <w:lvlJc w:val="left"/>
      <w:pPr>
        <w:tabs>
          <w:tab w:val="num" w:pos="360"/>
        </w:tabs>
        <w:ind w:left="360" w:hanging="360"/>
      </w:pPr>
      <w:rPr>
        <w:rFonts w:ascii="Symbol" w:hAnsi="Symbol" w:hint="default"/>
      </w:rPr>
    </w:lvl>
  </w:abstractNum>
  <w:abstractNum w:abstractNumId="10">
    <w:nsid w:val="02EA0767"/>
    <w:multiLevelType w:val="hybridMultilevel"/>
    <w:tmpl w:val="FD5A2862"/>
    <w:lvl w:ilvl="0" w:tplc="DF042C6E">
      <w:start w:val="1"/>
      <w:numFmt w:val="decimal"/>
      <w:lvlText w:val="%1"/>
      <w:lvlJc w:val="left"/>
      <w:pPr>
        <w:ind w:left="0" w:hanging="720"/>
      </w:pPr>
      <w:rPr>
        <w:rFonts w:ascii="Times New Roman" w:hAnsi="Times New Roman" w:hint="default"/>
        <w:b w:val="0"/>
        <w:i/>
        <w:sz w:val="22"/>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09D6020C"/>
    <w:multiLevelType w:val="hybridMultilevel"/>
    <w:tmpl w:val="9DECE35A"/>
    <w:lvl w:ilvl="0" w:tplc="79A297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25232E2"/>
    <w:multiLevelType w:val="hybridMultilevel"/>
    <w:tmpl w:val="7CB228BA"/>
    <w:lvl w:ilvl="0" w:tplc="DF042C6E">
      <w:start w:val="1"/>
      <w:numFmt w:val="decimal"/>
      <w:lvlText w:val="%1"/>
      <w:lvlJc w:val="left"/>
      <w:pPr>
        <w:ind w:left="1440" w:hanging="360"/>
      </w:pPr>
      <w:rPr>
        <w:rFonts w:ascii="Times New Roman" w:hAnsi="Times New Roman" w:hint="default"/>
        <w:b w:val="0"/>
        <w:i/>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33AA3698"/>
    <w:multiLevelType w:val="hybridMultilevel"/>
    <w:tmpl w:val="53321F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9797555"/>
    <w:multiLevelType w:val="hybridMultilevel"/>
    <w:tmpl w:val="1846A1BA"/>
    <w:lvl w:ilvl="0" w:tplc="DF042C6E">
      <w:start w:val="1"/>
      <w:numFmt w:val="decimal"/>
      <w:lvlText w:val="%1"/>
      <w:lvlJc w:val="left"/>
      <w:pPr>
        <w:ind w:left="1440" w:hanging="360"/>
      </w:pPr>
      <w:rPr>
        <w:rFonts w:ascii="Times New Roman" w:hAnsi="Times New Roman" w:hint="default"/>
        <w:b w:val="0"/>
        <w:i/>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543E14B8"/>
    <w:multiLevelType w:val="hybridMultilevel"/>
    <w:tmpl w:val="3F3A0114"/>
    <w:lvl w:ilvl="0" w:tplc="F39062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5A401655"/>
    <w:multiLevelType w:val="hybridMultilevel"/>
    <w:tmpl w:val="227A1F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00A7C35"/>
    <w:multiLevelType w:val="hybridMultilevel"/>
    <w:tmpl w:val="85E2A0C0"/>
    <w:lvl w:ilvl="0" w:tplc="DF042C6E">
      <w:start w:val="1"/>
      <w:numFmt w:val="decimal"/>
      <w:lvlText w:val="%1"/>
      <w:lvlJc w:val="left"/>
      <w:pPr>
        <w:ind w:left="1440" w:hanging="360"/>
      </w:pPr>
      <w:rPr>
        <w:rFonts w:ascii="Times New Roman" w:hAnsi="Times New Roman" w:hint="default"/>
        <w:b w:val="0"/>
        <w:i/>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75FE514B"/>
    <w:multiLevelType w:val="hybridMultilevel"/>
    <w:tmpl w:val="F87C6542"/>
    <w:lvl w:ilvl="0" w:tplc="DF042C6E">
      <w:start w:val="1"/>
      <w:numFmt w:val="decimal"/>
      <w:lvlText w:val="%1"/>
      <w:lvlJc w:val="left"/>
      <w:pPr>
        <w:ind w:left="1440" w:hanging="360"/>
      </w:pPr>
      <w:rPr>
        <w:rFonts w:ascii="Times New Roman" w:hAnsi="Times New Roman" w:hint="default"/>
        <w:b w:val="0"/>
        <w:i/>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1"/>
  </w:num>
  <w:num w:numId="2">
    <w:abstractNumId w:val="15"/>
  </w:num>
  <w:num w:numId="3">
    <w:abstractNumId w:val="16"/>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0"/>
  </w:num>
  <w:num w:numId="15">
    <w:abstractNumId w:val="12"/>
  </w:num>
  <w:num w:numId="16">
    <w:abstractNumId w:val="14"/>
  </w:num>
  <w:num w:numId="17">
    <w:abstractNumId w:val="18"/>
  </w:num>
  <w:num w:numId="18">
    <w:abstractNumId w:val="17"/>
  </w:num>
  <w:num w:numId="19">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88"/>
  <w:proofState w:spelling="clean" w:grammar="clean"/>
  <w:stylePaneFormatFilter w:val="1024"/>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26228B"/>
    <w:rsid w:val="00006500"/>
    <w:rsid w:val="00013BCF"/>
    <w:rsid w:val="000525A3"/>
    <w:rsid w:val="00094CE5"/>
    <w:rsid w:val="00135A6C"/>
    <w:rsid w:val="001B0E9A"/>
    <w:rsid w:val="001C798D"/>
    <w:rsid w:val="001E7151"/>
    <w:rsid w:val="00214110"/>
    <w:rsid w:val="0026228B"/>
    <w:rsid w:val="00275D2D"/>
    <w:rsid w:val="00285853"/>
    <w:rsid w:val="0029334C"/>
    <w:rsid w:val="002E2703"/>
    <w:rsid w:val="002E67E8"/>
    <w:rsid w:val="002E6CD1"/>
    <w:rsid w:val="00335D10"/>
    <w:rsid w:val="00341FD1"/>
    <w:rsid w:val="003629D7"/>
    <w:rsid w:val="003E39D6"/>
    <w:rsid w:val="003E7A19"/>
    <w:rsid w:val="00522D25"/>
    <w:rsid w:val="0052584B"/>
    <w:rsid w:val="005A64BC"/>
    <w:rsid w:val="00647B39"/>
    <w:rsid w:val="00722346"/>
    <w:rsid w:val="00771FB8"/>
    <w:rsid w:val="0079159E"/>
    <w:rsid w:val="007A5971"/>
    <w:rsid w:val="00815C27"/>
    <w:rsid w:val="0081778A"/>
    <w:rsid w:val="00836134"/>
    <w:rsid w:val="008627F5"/>
    <w:rsid w:val="008D3AE8"/>
    <w:rsid w:val="008E3FD2"/>
    <w:rsid w:val="00906076"/>
    <w:rsid w:val="009742AA"/>
    <w:rsid w:val="009C4DA0"/>
    <w:rsid w:val="00A16151"/>
    <w:rsid w:val="00A82C93"/>
    <w:rsid w:val="00AA556B"/>
    <w:rsid w:val="00B164E8"/>
    <w:rsid w:val="00B17EF1"/>
    <w:rsid w:val="00B72351"/>
    <w:rsid w:val="00BC07E0"/>
    <w:rsid w:val="00C458BC"/>
    <w:rsid w:val="00C61AA7"/>
    <w:rsid w:val="00CA2B01"/>
    <w:rsid w:val="00CB1F51"/>
    <w:rsid w:val="00CC5CF9"/>
    <w:rsid w:val="00D22BE8"/>
    <w:rsid w:val="00D37FB3"/>
    <w:rsid w:val="00D57870"/>
    <w:rsid w:val="00D946E1"/>
    <w:rsid w:val="00DC34EC"/>
    <w:rsid w:val="00EB5480"/>
    <w:rsid w:val="00ED215A"/>
    <w:rsid w:val="00F76EC0"/>
    <w:rsid w:val="00F9401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613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334C"/>
    <w:pPr>
      <w:ind w:left="720"/>
      <w:contextualSpacing/>
    </w:pPr>
  </w:style>
  <w:style w:type="paragraph" w:styleId="FootnoteText">
    <w:name w:val="footnote text"/>
    <w:basedOn w:val="Normal"/>
    <w:link w:val="FootnoteTextChar"/>
    <w:uiPriority w:val="99"/>
    <w:semiHidden/>
    <w:unhideWhenUsed/>
    <w:rsid w:val="008627F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627F5"/>
    <w:rPr>
      <w:sz w:val="20"/>
      <w:szCs w:val="20"/>
    </w:rPr>
  </w:style>
  <w:style w:type="character" w:styleId="FootnoteReference">
    <w:name w:val="footnote reference"/>
    <w:basedOn w:val="DefaultParagraphFont"/>
    <w:uiPriority w:val="99"/>
    <w:semiHidden/>
    <w:unhideWhenUsed/>
    <w:rsid w:val="008627F5"/>
    <w:rPr>
      <w:vertAlign w:val="superscript"/>
    </w:rPr>
  </w:style>
  <w:style w:type="character" w:styleId="CommentReference">
    <w:name w:val="annotation reference"/>
    <w:basedOn w:val="DefaultParagraphFont"/>
    <w:uiPriority w:val="99"/>
    <w:semiHidden/>
    <w:unhideWhenUsed/>
    <w:rsid w:val="000525A3"/>
    <w:rPr>
      <w:sz w:val="16"/>
      <w:szCs w:val="16"/>
    </w:rPr>
  </w:style>
  <w:style w:type="paragraph" w:styleId="CommentText">
    <w:name w:val="annotation text"/>
    <w:basedOn w:val="Normal"/>
    <w:link w:val="CommentTextChar"/>
    <w:uiPriority w:val="99"/>
    <w:semiHidden/>
    <w:unhideWhenUsed/>
    <w:rsid w:val="000525A3"/>
    <w:pPr>
      <w:spacing w:line="240" w:lineRule="auto"/>
    </w:pPr>
    <w:rPr>
      <w:sz w:val="20"/>
      <w:szCs w:val="20"/>
    </w:rPr>
  </w:style>
  <w:style w:type="character" w:customStyle="1" w:styleId="CommentTextChar">
    <w:name w:val="Comment Text Char"/>
    <w:basedOn w:val="DefaultParagraphFont"/>
    <w:link w:val="CommentText"/>
    <w:uiPriority w:val="99"/>
    <w:semiHidden/>
    <w:rsid w:val="000525A3"/>
    <w:rPr>
      <w:sz w:val="20"/>
      <w:szCs w:val="20"/>
    </w:rPr>
  </w:style>
  <w:style w:type="paragraph" w:styleId="CommentSubject">
    <w:name w:val="annotation subject"/>
    <w:basedOn w:val="CommentText"/>
    <w:next w:val="CommentText"/>
    <w:link w:val="CommentSubjectChar"/>
    <w:uiPriority w:val="99"/>
    <w:semiHidden/>
    <w:unhideWhenUsed/>
    <w:rsid w:val="000525A3"/>
    <w:rPr>
      <w:b/>
      <w:bCs/>
    </w:rPr>
  </w:style>
  <w:style w:type="character" w:customStyle="1" w:styleId="CommentSubjectChar">
    <w:name w:val="Comment Subject Char"/>
    <w:basedOn w:val="CommentTextChar"/>
    <w:link w:val="CommentSubject"/>
    <w:uiPriority w:val="99"/>
    <w:semiHidden/>
    <w:rsid w:val="000525A3"/>
    <w:rPr>
      <w:b/>
      <w:bCs/>
    </w:rPr>
  </w:style>
  <w:style w:type="paragraph" w:styleId="BalloonText">
    <w:name w:val="Balloon Text"/>
    <w:basedOn w:val="Normal"/>
    <w:link w:val="BalloonTextChar"/>
    <w:uiPriority w:val="99"/>
    <w:semiHidden/>
    <w:unhideWhenUsed/>
    <w:rsid w:val="000525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25A3"/>
    <w:rPr>
      <w:rFonts w:ascii="Tahoma" w:hAnsi="Tahoma" w:cs="Tahoma"/>
      <w:sz w:val="16"/>
      <w:szCs w:val="16"/>
    </w:rPr>
  </w:style>
  <w:style w:type="paragraph" w:styleId="Title">
    <w:name w:val="Title"/>
    <w:basedOn w:val="Normal"/>
    <w:link w:val="TitleChar"/>
    <w:qFormat/>
    <w:rsid w:val="003629D7"/>
    <w:pPr>
      <w:spacing w:after="0" w:line="240" w:lineRule="auto"/>
      <w:jc w:val="center"/>
    </w:pPr>
    <w:rPr>
      <w:rFonts w:ascii="Palatino Linotype" w:eastAsia="Times New Roman" w:hAnsi="Palatino Linotype"/>
      <w:b/>
      <w:bCs/>
    </w:rPr>
  </w:style>
  <w:style w:type="character" w:customStyle="1" w:styleId="TitleChar">
    <w:name w:val="Title Char"/>
    <w:basedOn w:val="DefaultParagraphFont"/>
    <w:link w:val="Title"/>
    <w:rsid w:val="003629D7"/>
    <w:rPr>
      <w:rFonts w:ascii="Palatino Linotype" w:eastAsia="Times New Roman" w:hAnsi="Palatino Linotype"/>
      <w:b/>
      <w:bCs/>
    </w:rPr>
  </w:style>
  <w:style w:type="paragraph" w:styleId="BodyTextIndent2">
    <w:name w:val="Body Text Indent 2"/>
    <w:basedOn w:val="Normal"/>
    <w:link w:val="BodyTextIndent2Char"/>
    <w:rsid w:val="00A82C93"/>
    <w:pPr>
      <w:spacing w:after="0" w:line="240" w:lineRule="auto"/>
      <w:ind w:left="686"/>
    </w:pPr>
    <w:rPr>
      <w:rFonts w:ascii="Palatino Linotype" w:eastAsia="Times New Roman" w:hAnsi="Palatino Linotype"/>
    </w:rPr>
  </w:style>
  <w:style w:type="character" w:customStyle="1" w:styleId="BodyTextIndent2Char">
    <w:name w:val="Body Text Indent 2 Char"/>
    <w:basedOn w:val="DefaultParagraphFont"/>
    <w:link w:val="BodyTextIndent2"/>
    <w:rsid w:val="00A82C93"/>
    <w:rPr>
      <w:rFonts w:ascii="Palatino Linotype" w:eastAsia="Times New Roman" w:hAnsi="Palatino Linotype"/>
    </w:rPr>
  </w:style>
  <w:style w:type="paragraph" w:styleId="Header">
    <w:name w:val="header"/>
    <w:basedOn w:val="Normal"/>
    <w:link w:val="HeaderChar"/>
    <w:uiPriority w:val="99"/>
    <w:semiHidden/>
    <w:unhideWhenUsed/>
    <w:rsid w:val="00013BC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13BCF"/>
  </w:style>
  <w:style w:type="paragraph" w:styleId="Footer">
    <w:name w:val="footer"/>
    <w:basedOn w:val="Normal"/>
    <w:link w:val="FooterChar"/>
    <w:uiPriority w:val="99"/>
    <w:semiHidden/>
    <w:unhideWhenUsed/>
    <w:rsid w:val="00013BC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13BCF"/>
  </w:style>
</w:styles>
</file>

<file path=word/webSettings.xml><?xml version="1.0" encoding="utf-8"?>
<w:webSettings xmlns:r="http://schemas.openxmlformats.org/officeDocument/2006/relationships" xmlns:w="http://schemas.openxmlformats.org/wordprocessingml/2006/main">
  <w:divs>
    <w:div w:id="28268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Motion</DocumentSetType>
    <IsConfidential xmlns="dc463f71-b30c-4ab2-9473-d307f9d35888">false</IsConfidential>
    <AgendaOrder xmlns="dc463f71-b30c-4ab2-9473-d307f9d35888">false</AgendaOrder>
    <CaseType xmlns="dc463f71-b30c-4ab2-9473-d307f9d35888">Formal Complaint</CaseType>
    <IndustryCode xmlns="dc463f71-b30c-4ab2-9473-d307f9d35888">140</IndustryCode>
    <CaseStatus xmlns="dc463f71-b30c-4ab2-9473-d307f9d35888">Closed</CaseStatus>
    <OpenedDate xmlns="dc463f71-b30c-4ab2-9473-d307f9d35888">2009-09-14T07:00:00+00:00</OpenedDate>
    <Date1 xmlns="dc463f71-b30c-4ab2-9473-d307f9d35888">2009-11-09T08:00:00+00:00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091531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EF9F4016E74264D89E301FE540D18D2" ma:contentTypeVersion="131" ma:contentTypeDescription="" ma:contentTypeScope="" ma:versionID="0e3a4e1ebd4e509945a4e2ccff184a9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77050208-F060-4382-8895-FC114F46C132}"/>
</file>

<file path=customXml/itemProps2.xml><?xml version="1.0" encoding="utf-8"?>
<ds:datastoreItem xmlns:ds="http://schemas.openxmlformats.org/officeDocument/2006/customXml" ds:itemID="{223F368B-C63A-4D91-B1C6-EB3C6AE09710}"/>
</file>

<file path=customXml/itemProps3.xml><?xml version="1.0" encoding="utf-8"?>
<ds:datastoreItem xmlns:ds="http://schemas.openxmlformats.org/officeDocument/2006/customXml" ds:itemID="{60BF8EE7-6561-4B35-A1C7-BB8F1AD1D462}"/>
</file>

<file path=customXml/itemProps4.xml><?xml version="1.0" encoding="utf-8"?>
<ds:datastoreItem xmlns:ds="http://schemas.openxmlformats.org/officeDocument/2006/customXml" ds:itemID="{F1AE7D7E-7754-4271-A5B4-485BB068E083}"/>
</file>

<file path=customXml/itemProps5.xml><?xml version="1.0" encoding="utf-8"?>
<ds:datastoreItem xmlns:ds="http://schemas.openxmlformats.org/officeDocument/2006/customXml" ds:itemID="{908531B0-5683-4041-9FA3-2159151DD101}"/>
</file>

<file path=docProps/app.xml><?xml version="1.0" encoding="utf-8"?>
<Properties xmlns="http://schemas.openxmlformats.org/officeDocument/2006/extended-properties" xmlns:vt="http://schemas.openxmlformats.org/officeDocument/2006/docPropsVTypes">
  <Template>Normal.dotm</Template>
  <TotalTime>3</TotalTime>
  <Pages>3</Pages>
  <Words>457</Words>
  <Characters>2607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3058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Trotter</dc:creator>
  <cp:keywords/>
  <dc:description/>
  <cp:lastModifiedBy>Krista Gross</cp:lastModifiedBy>
  <cp:revision>4</cp:revision>
  <cp:lastPrinted>2009-11-09T17:21:00Z</cp:lastPrinted>
  <dcterms:created xsi:type="dcterms:W3CDTF">2009-11-09T17:21:00Z</dcterms:created>
  <dcterms:modified xsi:type="dcterms:W3CDTF">2009-11-09T17:28:00Z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0x0101006E56B4D1795A2E4DB2F0B01679ED314A00FEF9F4016E74264D89E301FE540D18D2</vt:lpwstr>
  </property>
  <property fmtid="{D5CDD505-2E9C-101B-9397-08002B2CF9AE}" pid="3" name="_docset_NoMedatataSyncRequired">
    <vt:lpwstr>False</vt:lpwstr>
  </property>
</Properties>
</file>