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43" w:rsidRPr="0042096A" w:rsidRDefault="00146943" w:rsidP="00146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</w:pPr>
      <w:r>
        <w:t>Agenda Date:</w:t>
      </w:r>
      <w:r>
        <w:tab/>
      </w:r>
      <w:r>
        <w:tab/>
        <w:t>September 11, 2008</w:t>
      </w:r>
      <w:r>
        <w:tab/>
      </w:r>
    </w:p>
    <w:p w:rsidR="00146943" w:rsidRPr="0042096A" w:rsidRDefault="00146943" w:rsidP="001469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u w:val="single"/>
        </w:rPr>
      </w:pPr>
      <w:r>
        <w:t>Item Number:</w:t>
      </w:r>
      <w:r>
        <w:tab/>
      </w:r>
      <w:r>
        <w:tab/>
        <w:t>A</w:t>
      </w:r>
      <w:r w:rsidR="003530BB">
        <w:t>35 - Attachment</w:t>
      </w:r>
      <w:r w:rsidRPr="0042096A">
        <w:tab/>
      </w:r>
      <w:r w:rsidRPr="0042096A">
        <w:tab/>
      </w:r>
      <w:r w:rsidRPr="0042096A">
        <w:tab/>
      </w:r>
      <w:r w:rsidRPr="0042096A">
        <w:tab/>
      </w:r>
      <w:r w:rsidRPr="0042096A">
        <w:tab/>
      </w:r>
      <w:r w:rsidRPr="0042096A">
        <w:tab/>
      </w:r>
    </w:p>
    <w:p w:rsidR="00146943" w:rsidRPr="0042096A" w:rsidRDefault="00146943" w:rsidP="001469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</w:pPr>
    </w:p>
    <w:p w:rsidR="00146943" w:rsidRPr="0042096A" w:rsidRDefault="00146943" w:rsidP="001469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</w:rPr>
      </w:pPr>
      <w:r w:rsidRPr="0042096A">
        <w:rPr>
          <w:b/>
          <w:bCs/>
        </w:rPr>
        <w:t xml:space="preserve">Docket: </w:t>
      </w:r>
      <w:r w:rsidRPr="0042096A">
        <w:rPr>
          <w:b/>
          <w:bCs/>
        </w:rPr>
        <w:tab/>
      </w:r>
      <w:r w:rsidRPr="0042096A">
        <w:rPr>
          <w:b/>
          <w:bCs/>
        </w:rPr>
        <w:tab/>
      </w:r>
      <w:r>
        <w:rPr>
          <w:b/>
          <w:bCs/>
        </w:rPr>
        <w:t>UW</w:t>
      </w:r>
      <w:r w:rsidRPr="0042096A">
        <w:rPr>
          <w:b/>
          <w:bCs/>
        </w:rPr>
        <w:t>-</w:t>
      </w:r>
      <w:r>
        <w:rPr>
          <w:b/>
          <w:bCs/>
        </w:rPr>
        <w:t>081259</w:t>
      </w:r>
    </w:p>
    <w:p w:rsidR="00146943" w:rsidRPr="0042096A" w:rsidRDefault="00146943" w:rsidP="001469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 w:rsidRPr="0042096A">
        <w:t>Company Name:</w:t>
      </w:r>
      <w:r w:rsidRPr="0042096A">
        <w:tab/>
      </w:r>
      <w:r>
        <w:t>Fircroft, Inc.</w:t>
      </w:r>
    </w:p>
    <w:p w:rsidR="00146943" w:rsidRPr="0042096A" w:rsidRDefault="00146943" w:rsidP="001469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</w:p>
    <w:p w:rsidR="00146943" w:rsidRDefault="00484DC5" w:rsidP="001469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>
        <w:rPr>
          <w:u w:val="single"/>
        </w:rPr>
        <w:t>Staff</w:t>
      </w:r>
      <w:r w:rsidR="00146943" w:rsidRPr="0042096A">
        <w:rPr>
          <w:u w:val="single"/>
        </w:rPr>
        <w:t>:</w:t>
      </w:r>
      <w:r w:rsidR="00146943">
        <w:tab/>
      </w:r>
      <w:r w:rsidR="00146943">
        <w:tab/>
      </w:r>
      <w:r w:rsidR="00146943">
        <w:tab/>
        <w:t>Jim Ward</w:t>
      </w:r>
      <w:r w:rsidR="00146943" w:rsidRPr="0042096A">
        <w:t>, Regulatory Analyst</w:t>
      </w:r>
    </w:p>
    <w:p w:rsidR="00146943" w:rsidRPr="0042096A" w:rsidRDefault="00146943" w:rsidP="001469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>
        <w:tab/>
      </w:r>
      <w:r>
        <w:tab/>
      </w:r>
      <w:r>
        <w:tab/>
        <w:t xml:space="preserve">Dennis Shutler, </w:t>
      </w:r>
      <w:r w:rsidRPr="00214615">
        <w:t xml:space="preserve">Consumer </w:t>
      </w:r>
      <w:r>
        <w:t xml:space="preserve">Protection </w:t>
      </w:r>
      <w:r w:rsidR="00484DC5">
        <w:t>Staff</w:t>
      </w:r>
    </w:p>
    <w:p w:rsidR="00146943" w:rsidRDefault="00146943" w:rsidP="00B45426">
      <w:pPr>
        <w:rPr>
          <w:b/>
          <w:u w:val="single"/>
        </w:rPr>
      </w:pPr>
    </w:p>
    <w:p w:rsidR="00146943" w:rsidRDefault="00484DC5" w:rsidP="006116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u w:val="single"/>
        </w:rPr>
      </w:pPr>
      <w:r>
        <w:rPr>
          <w:b/>
          <w:u w:val="single"/>
        </w:rPr>
        <w:t>Staff’</w:t>
      </w:r>
      <w:r w:rsidR="00146943" w:rsidRPr="00146943">
        <w:rPr>
          <w:b/>
          <w:u w:val="single"/>
        </w:rPr>
        <w:t xml:space="preserve">s Summary of Customer </w:t>
      </w:r>
      <w:r w:rsidR="00611674" w:rsidRPr="00CE41A7">
        <w:rPr>
          <w:b/>
          <w:u w:val="single"/>
        </w:rPr>
        <w:t>Comments</w:t>
      </w:r>
      <w:r w:rsidR="00611674">
        <w:rPr>
          <w:b/>
          <w:u w:val="single"/>
        </w:rPr>
        <w:t xml:space="preserve"> Broken-down by Category</w:t>
      </w:r>
      <w:r w:rsidR="00146943" w:rsidRPr="00146943">
        <w:rPr>
          <w:b/>
          <w:u w:val="single"/>
        </w:rPr>
        <w:t xml:space="preserve"> and </w:t>
      </w:r>
      <w:r>
        <w:rPr>
          <w:b/>
          <w:u w:val="single"/>
        </w:rPr>
        <w:t>Staff’</w:t>
      </w:r>
      <w:r w:rsidR="00146943" w:rsidRPr="00146943">
        <w:rPr>
          <w:b/>
          <w:u w:val="single"/>
        </w:rPr>
        <w:t xml:space="preserve">s </w:t>
      </w:r>
      <w:r w:rsidR="00611674" w:rsidRPr="00CE41A7">
        <w:rPr>
          <w:b/>
          <w:u w:val="single"/>
        </w:rPr>
        <w:t>Responses</w:t>
      </w:r>
    </w:p>
    <w:p w:rsidR="00146943" w:rsidRPr="00146943" w:rsidRDefault="00146943" w:rsidP="00B45426">
      <w:pPr>
        <w:rPr>
          <w:b/>
          <w:u w:val="single"/>
        </w:rPr>
      </w:pPr>
    </w:p>
    <w:p w:rsidR="00A732B1" w:rsidRDefault="00885503" w:rsidP="00885503">
      <w:pPr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 xml:space="preserve">Company Financial Records and </w:t>
      </w:r>
      <w:r w:rsidR="00484DC5">
        <w:rPr>
          <w:b/>
          <w:u w:val="single"/>
        </w:rPr>
        <w:t>Staff</w:t>
      </w:r>
      <w:r w:rsidR="00216979">
        <w:rPr>
          <w:b/>
          <w:u w:val="single"/>
        </w:rPr>
        <w:t xml:space="preserve"> </w:t>
      </w:r>
      <w:r>
        <w:rPr>
          <w:b/>
          <w:u w:val="single"/>
        </w:rPr>
        <w:t>Audit</w:t>
      </w:r>
      <w:r w:rsidR="00611674" w:rsidRPr="00611674">
        <w:rPr>
          <w:b/>
          <w:u w:val="single"/>
        </w:rPr>
        <w:t xml:space="preserve"> </w:t>
      </w:r>
      <w:r w:rsidR="00216979">
        <w:rPr>
          <w:b/>
          <w:u w:val="single"/>
        </w:rPr>
        <w:t xml:space="preserve">Results; </w:t>
      </w:r>
      <w:r w:rsidR="00F160DE" w:rsidRPr="00611674">
        <w:rPr>
          <w:b/>
          <w:u w:val="single"/>
        </w:rPr>
        <w:t xml:space="preserve">Customer </w:t>
      </w:r>
      <w:r w:rsidR="00611674" w:rsidRPr="00611674">
        <w:rPr>
          <w:b/>
          <w:u w:val="single"/>
        </w:rPr>
        <w:t xml:space="preserve">Comments: </w:t>
      </w:r>
    </w:p>
    <w:p w:rsidR="00146943" w:rsidRPr="00146943" w:rsidRDefault="00146943" w:rsidP="00A732B1">
      <w:pPr>
        <w:ind w:left="360"/>
        <w:rPr>
          <w:b/>
          <w:u w:val="single"/>
        </w:rPr>
      </w:pPr>
    </w:p>
    <w:p w:rsidR="00F160DE" w:rsidRDefault="00F160DE" w:rsidP="00885503">
      <w:pPr>
        <w:numPr>
          <w:ilvl w:val="0"/>
          <w:numId w:val="7"/>
        </w:numPr>
      </w:pPr>
      <w:r>
        <w:t xml:space="preserve">Customer </w:t>
      </w:r>
      <w:r w:rsidR="00216979">
        <w:t>requested</w:t>
      </w:r>
      <w:r w:rsidR="00DA6643">
        <w:t xml:space="preserve"> </w:t>
      </w:r>
      <w:r w:rsidR="00496F6C">
        <w:t xml:space="preserve">financial statements from </w:t>
      </w:r>
      <w:r w:rsidR="00216979">
        <w:t>the company</w:t>
      </w:r>
      <w:r w:rsidR="00496F6C">
        <w:t xml:space="preserve"> </w:t>
      </w:r>
      <w:r w:rsidR="00216979">
        <w:t>in order to be able to review and comment on</w:t>
      </w:r>
      <w:r>
        <w:t xml:space="preserve"> </w:t>
      </w:r>
      <w:r w:rsidR="00496F6C">
        <w:t>Fircroft</w:t>
      </w:r>
      <w:r w:rsidR="00484DC5">
        <w:t>’</w:t>
      </w:r>
      <w:r w:rsidR="00496F6C">
        <w:t xml:space="preserve">s </w:t>
      </w:r>
      <w:r w:rsidR="00260FD2">
        <w:t xml:space="preserve">proposed </w:t>
      </w:r>
      <w:r w:rsidR="00496F6C">
        <w:t>rate increase.</w:t>
      </w:r>
      <w:r w:rsidR="008B48DD">
        <w:t xml:space="preserve"> The customer was p</w:t>
      </w:r>
      <w:r w:rsidR="00496F6C">
        <w:t xml:space="preserve">rovided </w:t>
      </w:r>
      <w:r w:rsidR="00A436E8">
        <w:t>with</w:t>
      </w:r>
      <w:r w:rsidR="0042006B">
        <w:t xml:space="preserve"> a </w:t>
      </w:r>
      <w:r w:rsidR="00496F6C">
        <w:t xml:space="preserve">list of expenses </w:t>
      </w:r>
      <w:r w:rsidR="00B16B02">
        <w:t xml:space="preserve">from the company </w:t>
      </w:r>
      <w:r w:rsidR="00496F6C">
        <w:t>for the period July 1, 2007</w:t>
      </w:r>
      <w:r w:rsidR="00640DBC">
        <w:t>,</w:t>
      </w:r>
      <w:r w:rsidR="00496F6C">
        <w:t xml:space="preserve"> through June 30, 2008.</w:t>
      </w:r>
    </w:p>
    <w:p w:rsidR="00F160DE" w:rsidRDefault="00F160DE" w:rsidP="00885503">
      <w:pPr>
        <w:ind w:left="720"/>
      </w:pPr>
    </w:p>
    <w:p w:rsidR="00B3269B" w:rsidRDefault="00F160DE" w:rsidP="00885503">
      <w:pPr>
        <w:numPr>
          <w:ilvl w:val="0"/>
          <w:numId w:val="7"/>
        </w:numPr>
      </w:pPr>
      <w:r>
        <w:t>Cust</w:t>
      </w:r>
      <w:r w:rsidR="00C42422">
        <w:t>o</w:t>
      </w:r>
      <w:r>
        <w:t>mer</w:t>
      </w:r>
      <w:r w:rsidR="00496F6C">
        <w:t xml:space="preserve"> </w:t>
      </w:r>
      <w:r w:rsidR="00B84E49">
        <w:t>asked for the company</w:t>
      </w:r>
      <w:r w:rsidR="00484DC5">
        <w:t>’</w:t>
      </w:r>
      <w:r w:rsidR="00B84E49">
        <w:t xml:space="preserve">s </w:t>
      </w:r>
      <w:r w:rsidR="00AA4737">
        <w:t>p</w:t>
      </w:r>
      <w:r w:rsidR="00496F6C">
        <w:t xml:space="preserve">rofit </w:t>
      </w:r>
      <w:r w:rsidR="00AA4737">
        <w:t>and</w:t>
      </w:r>
      <w:r w:rsidR="00496F6C">
        <w:t xml:space="preserve"> </w:t>
      </w:r>
      <w:r w:rsidR="00AA4737">
        <w:t>l</w:t>
      </w:r>
      <w:r w:rsidR="00496F6C">
        <w:t xml:space="preserve">oss </w:t>
      </w:r>
      <w:r w:rsidR="00260FD2">
        <w:t xml:space="preserve">and </w:t>
      </w:r>
      <w:r w:rsidR="00AA4737">
        <w:t>b</w:t>
      </w:r>
      <w:r w:rsidR="00260FD2">
        <w:t>udget v</w:t>
      </w:r>
      <w:r w:rsidR="00B84E49">
        <w:t xml:space="preserve">ersus </w:t>
      </w:r>
      <w:r w:rsidR="00AA4737">
        <w:t>a</w:t>
      </w:r>
      <w:r w:rsidR="00260FD2">
        <w:t xml:space="preserve">ctual </w:t>
      </w:r>
      <w:r w:rsidR="00B84E49">
        <w:t xml:space="preserve">statements </w:t>
      </w:r>
      <w:r w:rsidR="00260FD2">
        <w:t xml:space="preserve">for the </w:t>
      </w:r>
      <w:r w:rsidR="00B84E49">
        <w:t>years 200</w:t>
      </w:r>
      <w:r w:rsidR="00B16B02">
        <w:t>4</w:t>
      </w:r>
      <w:r w:rsidR="00B84E49">
        <w:t xml:space="preserve"> through 200</w:t>
      </w:r>
      <w:r w:rsidR="00B16B02">
        <w:t>8</w:t>
      </w:r>
      <w:r w:rsidR="00BE5640">
        <w:t xml:space="preserve">. </w:t>
      </w:r>
      <w:r w:rsidR="00E50E69">
        <w:t xml:space="preserve">Fircroft </w:t>
      </w:r>
      <w:r w:rsidR="00B84E49">
        <w:t xml:space="preserve">replied that they do not prepare </w:t>
      </w:r>
      <w:r w:rsidR="00AA4737">
        <w:t>b</w:t>
      </w:r>
      <w:r w:rsidR="00E50E69">
        <w:t>udget v</w:t>
      </w:r>
      <w:r w:rsidR="00B84E49">
        <w:t>ersus</w:t>
      </w:r>
      <w:r w:rsidR="00E50E69">
        <w:t xml:space="preserve"> </w:t>
      </w:r>
      <w:r w:rsidR="00AA4737">
        <w:t>a</w:t>
      </w:r>
      <w:r w:rsidR="00E50E69">
        <w:t>ctual statement</w:t>
      </w:r>
      <w:r w:rsidR="00B84E49">
        <w:t>s</w:t>
      </w:r>
      <w:r w:rsidR="00E50E69">
        <w:t xml:space="preserve"> and that financial data for periods prior to July 2007</w:t>
      </w:r>
      <w:r w:rsidR="00496F6C">
        <w:t xml:space="preserve"> do not exi</w:t>
      </w:r>
      <w:r w:rsidR="009E2CD2">
        <w:t>st</w:t>
      </w:r>
      <w:r w:rsidR="00260FD2">
        <w:t xml:space="preserve">.  </w:t>
      </w:r>
    </w:p>
    <w:p w:rsidR="008B48DD" w:rsidRDefault="008B48DD" w:rsidP="00885503">
      <w:pPr>
        <w:ind w:left="720"/>
      </w:pPr>
    </w:p>
    <w:p w:rsidR="00496F6C" w:rsidRDefault="00BE5640" w:rsidP="00885503">
      <w:pPr>
        <w:numPr>
          <w:ilvl w:val="0"/>
          <w:numId w:val="7"/>
        </w:numPr>
      </w:pPr>
      <w:r>
        <w:t xml:space="preserve">Customer believes </w:t>
      </w:r>
      <w:r w:rsidR="00496F6C">
        <w:t>that Fircroft</w:t>
      </w:r>
      <w:r w:rsidR="00484DC5">
        <w:t>’</w:t>
      </w:r>
      <w:r w:rsidR="00B84E49">
        <w:t>s</w:t>
      </w:r>
      <w:r w:rsidR="00496F6C">
        <w:t xml:space="preserve"> </w:t>
      </w:r>
      <w:r w:rsidR="00B84E49">
        <w:t>heavy investment to repair and upgrade the water system in 2007 and 2008 was necessary</w:t>
      </w:r>
      <w:r w:rsidR="008B48DD">
        <w:t xml:space="preserve">. </w:t>
      </w:r>
      <w:r w:rsidR="00B84E49">
        <w:t>It is the c</w:t>
      </w:r>
      <w:r>
        <w:t>ustomer</w:t>
      </w:r>
      <w:r w:rsidR="00484DC5">
        <w:t>’</w:t>
      </w:r>
      <w:r w:rsidR="00B84E49">
        <w:t xml:space="preserve">s opinion </w:t>
      </w:r>
      <w:r w:rsidR="00496F6C">
        <w:t xml:space="preserve">that these expenses </w:t>
      </w:r>
      <w:r w:rsidR="00B84E49">
        <w:t xml:space="preserve">are </w:t>
      </w:r>
      <w:r w:rsidR="00496F6C">
        <w:t xml:space="preserve">one-time expenses and </w:t>
      </w:r>
      <w:r w:rsidR="00A436E8">
        <w:t>may need to</w:t>
      </w:r>
      <w:r w:rsidR="00496F6C">
        <w:t xml:space="preserve"> be adjusted </w:t>
      </w:r>
      <w:r w:rsidR="00B84E49">
        <w:t xml:space="preserve">out </w:t>
      </w:r>
      <w:r w:rsidR="00496F6C">
        <w:t xml:space="preserve">when considering the </w:t>
      </w:r>
      <w:r w:rsidR="00B84E49">
        <w:t xml:space="preserve">amount of expense allowed that justifies the </w:t>
      </w:r>
      <w:r w:rsidR="00496F6C">
        <w:t>rate increase</w:t>
      </w:r>
      <w:r w:rsidR="008B48DD">
        <w:t>.</w:t>
      </w:r>
    </w:p>
    <w:p w:rsidR="008B48DD" w:rsidRDefault="008B48DD" w:rsidP="003A3A92">
      <w:pPr>
        <w:pStyle w:val="ListParagraph"/>
      </w:pPr>
    </w:p>
    <w:p w:rsidR="00496F6C" w:rsidRDefault="003C39A5" w:rsidP="00885503">
      <w:pPr>
        <w:numPr>
          <w:ilvl w:val="0"/>
          <w:numId w:val="7"/>
        </w:numPr>
      </w:pPr>
      <w:r>
        <w:t xml:space="preserve">Customer </w:t>
      </w:r>
      <w:r w:rsidR="00AD579C">
        <w:t xml:space="preserve">feels </w:t>
      </w:r>
      <w:r w:rsidR="00496F6C">
        <w:t xml:space="preserve">that expenses for insurance and electricity </w:t>
      </w:r>
      <w:r w:rsidR="00AD579C">
        <w:t xml:space="preserve">reported by the company </w:t>
      </w:r>
      <w:r w:rsidR="00496F6C">
        <w:t>appear high</w:t>
      </w:r>
      <w:r w:rsidR="00BE5640">
        <w:t xml:space="preserve">. </w:t>
      </w:r>
      <w:r w:rsidR="00AD579C">
        <w:t>In addition, t</w:t>
      </w:r>
      <w:r w:rsidR="00496F6C">
        <w:t xml:space="preserve">he </w:t>
      </w:r>
      <w:r w:rsidR="008073C5">
        <w:t xml:space="preserve">company reported amounts in the </w:t>
      </w:r>
      <w:r w:rsidR="00AD579C">
        <w:t xml:space="preserve">expense </w:t>
      </w:r>
      <w:r w:rsidR="00496F6C">
        <w:t>category of gifts</w:t>
      </w:r>
      <w:r w:rsidR="008073C5">
        <w:t xml:space="preserve">. Expenses in this </w:t>
      </w:r>
      <w:r w:rsidR="00B16B02">
        <w:t xml:space="preserve">gift </w:t>
      </w:r>
      <w:r w:rsidR="008073C5">
        <w:t xml:space="preserve">category </w:t>
      </w:r>
      <w:r w:rsidR="00496F6C">
        <w:t xml:space="preserve">may </w:t>
      </w:r>
      <w:r w:rsidR="00AA3096">
        <w:t xml:space="preserve">include </w:t>
      </w:r>
      <w:r w:rsidR="00260FD2">
        <w:t>political donations</w:t>
      </w:r>
      <w:r w:rsidR="00496F6C">
        <w:t xml:space="preserve"> </w:t>
      </w:r>
      <w:r w:rsidR="008073C5">
        <w:t>which</w:t>
      </w:r>
      <w:r w:rsidR="00496F6C">
        <w:t xml:space="preserve"> should not be charged to the customer.</w:t>
      </w:r>
    </w:p>
    <w:p w:rsidR="00BE5640" w:rsidRDefault="00BE5640" w:rsidP="003A3A92">
      <w:pPr>
        <w:pStyle w:val="ListParagraph"/>
      </w:pPr>
    </w:p>
    <w:p w:rsidR="00496F6C" w:rsidRDefault="00496F6C" w:rsidP="00885503">
      <w:pPr>
        <w:numPr>
          <w:ilvl w:val="0"/>
          <w:numId w:val="7"/>
        </w:numPr>
      </w:pPr>
      <w:r>
        <w:t>Fircroft</w:t>
      </w:r>
      <w:r w:rsidR="00484DC5">
        <w:t>’</w:t>
      </w:r>
      <w:r>
        <w:t>s labor expenses may</w:t>
      </w:r>
      <w:r w:rsidR="00BE5640">
        <w:t xml:space="preserve"> also contain</w:t>
      </w:r>
      <w:r>
        <w:t xml:space="preserve"> one-time expenses and thus </w:t>
      </w:r>
      <w:r w:rsidR="008073C5">
        <w:t>may need to be adjusted wh</w:t>
      </w:r>
      <w:r>
        <w:t>en c</w:t>
      </w:r>
      <w:r w:rsidR="008073C5">
        <w:t>alculating</w:t>
      </w:r>
      <w:r>
        <w:t xml:space="preserve"> the rate increase.</w:t>
      </w:r>
    </w:p>
    <w:p w:rsidR="00BE5640" w:rsidRDefault="00BE5640" w:rsidP="00BE5640"/>
    <w:p w:rsidR="00664DCF" w:rsidRDefault="00484DC5" w:rsidP="00664DCF">
      <w:pPr>
        <w:ind w:left="720"/>
      </w:pPr>
      <w:r>
        <w:rPr>
          <w:b/>
        </w:rPr>
        <w:t>Staff</w:t>
      </w:r>
      <w:r w:rsidR="00BE5640" w:rsidRPr="00F160DE">
        <w:rPr>
          <w:b/>
        </w:rPr>
        <w:t xml:space="preserve"> Response</w:t>
      </w:r>
      <w:r w:rsidR="00885503">
        <w:rPr>
          <w:b/>
        </w:rPr>
        <w:t>:</w:t>
      </w:r>
      <w:r w:rsidR="004F522D">
        <w:t xml:space="preserve"> </w:t>
      </w:r>
      <w:r>
        <w:t>Staff</w:t>
      </w:r>
      <w:r w:rsidR="00664DCF">
        <w:t xml:space="preserve"> reviews one year of financial information to determine reasonable </w:t>
      </w:r>
      <w:r w:rsidR="00933630">
        <w:t xml:space="preserve">annual </w:t>
      </w:r>
      <w:r w:rsidR="00664DCF">
        <w:t xml:space="preserve">operating costs. The company has provided information for the test period of July 1, 2007 to June 30, 2008. </w:t>
      </w:r>
      <w:r w:rsidR="008073C5">
        <w:t xml:space="preserve">The test period is used to develop rates. </w:t>
      </w:r>
      <w:r>
        <w:t>Staff</w:t>
      </w:r>
      <w:r w:rsidR="00664DCF">
        <w:t xml:space="preserve"> has posted all material requested and received </w:t>
      </w:r>
      <w:r w:rsidR="008073C5">
        <w:t xml:space="preserve">from the company </w:t>
      </w:r>
      <w:r w:rsidR="00664DCF">
        <w:t xml:space="preserve">to the </w:t>
      </w:r>
      <w:r>
        <w:t>Commission’</w:t>
      </w:r>
      <w:r w:rsidR="00664DCF">
        <w:t xml:space="preserve">s web site and advised customers who have requested that information of its availability. </w:t>
      </w:r>
      <w:r>
        <w:t>Staff</w:t>
      </w:r>
      <w:r w:rsidR="00664DCF">
        <w:t xml:space="preserve"> has asked the company about other financial information and the company simply does not have the requested information prior to July 2007.</w:t>
      </w:r>
    </w:p>
    <w:p w:rsidR="00664DCF" w:rsidRDefault="00664DCF" w:rsidP="00664DCF">
      <w:r>
        <w:t xml:space="preserve"> </w:t>
      </w:r>
    </w:p>
    <w:p w:rsidR="00885503" w:rsidRDefault="00484DC5" w:rsidP="00885503">
      <w:pPr>
        <w:ind w:left="720"/>
      </w:pPr>
      <w:r>
        <w:rPr>
          <w:color w:val="000000"/>
        </w:rPr>
        <w:t>Staff</w:t>
      </w:r>
      <w:r w:rsidR="00885503" w:rsidRPr="00E86208">
        <w:rPr>
          <w:color w:val="000000"/>
        </w:rPr>
        <w:t xml:space="preserve"> conducts its own independent audit of the company</w:t>
      </w:r>
      <w:r>
        <w:rPr>
          <w:color w:val="000000"/>
        </w:rPr>
        <w:t>’</w:t>
      </w:r>
      <w:r w:rsidR="00885503" w:rsidRPr="00E86208">
        <w:rPr>
          <w:color w:val="000000"/>
        </w:rPr>
        <w:t xml:space="preserve">s financial records. </w:t>
      </w:r>
      <w:r w:rsidR="00885503">
        <w:rPr>
          <w:color w:val="000000"/>
        </w:rPr>
        <w:t xml:space="preserve">Consumer Protection and Communication </w:t>
      </w:r>
      <w:r>
        <w:rPr>
          <w:color w:val="000000"/>
        </w:rPr>
        <w:t>Staff</w:t>
      </w:r>
      <w:r w:rsidR="00885503">
        <w:rPr>
          <w:color w:val="000000"/>
        </w:rPr>
        <w:t xml:space="preserve"> advised c</w:t>
      </w:r>
      <w:r w:rsidR="00885503" w:rsidRPr="00E86208">
        <w:rPr>
          <w:color w:val="000000"/>
        </w:rPr>
        <w:t>ustomer</w:t>
      </w:r>
      <w:r w:rsidR="00885503" w:rsidRPr="00E86208">
        <w:t xml:space="preserve">s </w:t>
      </w:r>
      <w:r w:rsidR="00885503">
        <w:t xml:space="preserve">that they </w:t>
      </w:r>
      <w:r w:rsidR="00885503" w:rsidRPr="00E86208">
        <w:t xml:space="preserve">have access to everything the company has filed with the </w:t>
      </w:r>
      <w:r>
        <w:t>Commission</w:t>
      </w:r>
      <w:r w:rsidR="00885503" w:rsidRPr="00E86208">
        <w:t xml:space="preserve"> through “Records Center” or the </w:t>
      </w:r>
      <w:r>
        <w:t>Commission’</w:t>
      </w:r>
      <w:r w:rsidR="00885503" w:rsidRPr="00E86208">
        <w:t>s web site (</w:t>
      </w:r>
      <w:hyperlink r:id="rId7" w:history="1">
        <w:r w:rsidR="00885503" w:rsidRPr="000E7828">
          <w:rPr>
            <w:rStyle w:val="Hyperlink"/>
          </w:rPr>
          <w:t>http://www.utc.wa.gov</w:t>
        </w:r>
      </w:hyperlink>
      <w:r w:rsidR="00885503" w:rsidRPr="00E86208">
        <w:t>)</w:t>
      </w:r>
      <w:r w:rsidR="00885503">
        <w:t xml:space="preserve"> and that they may </w:t>
      </w:r>
      <w:r w:rsidR="00885503" w:rsidRPr="00E86208">
        <w:t>contact Dennis Shutler at 360</w:t>
      </w:r>
      <w:r w:rsidR="00885503">
        <w:t>-</w:t>
      </w:r>
      <w:r w:rsidR="00885503" w:rsidRPr="00E86208">
        <w:t>664</w:t>
      </w:r>
      <w:r w:rsidR="00885503">
        <w:t>-</w:t>
      </w:r>
      <w:r w:rsidR="00885503" w:rsidRPr="00E86208">
        <w:t>1108.</w:t>
      </w:r>
    </w:p>
    <w:p w:rsidR="00885503" w:rsidRDefault="00885503" w:rsidP="00885503">
      <w:pPr>
        <w:ind w:left="720"/>
      </w:pPr>
    </w:p>
    <w:p w:rsidR="00664DCF" w:rsidRDefault="00664DCF" w:rsidP="00885503">
      <w:pPr>
        <w:ind w:left="720"/>
      </w:pPr>
    </w:p>
    <w:p w:rsidR="00BE5640" w:rsidRDefault="00484DC5" w:rsidP="00885503">
      <w:pPr>
        <w:ind w:left="720"/>
      </w:pPr>
      <w:r>
        <w:t>Staff</w:t>
      </w:r>
      <w:r w:rsidR="00664DCF" w:rsidRPr="00BE5640">
        <w:t xml:space="preserve"> </w:t>
      </w:r>
      <w:r w:rsidR="00664DCF">
        <w:t xml:space="preserve">agrees that one-time expenses are not appropriate to recover in rates. However, “investment,” means long term costs that are capitalized and depreciated. </w:t>
      </w:r>
      <w:r>
        <w:t>Staff</w:t>
      </w:r>
      <w:r w:rsidR="000701B2">
        <w:t xml:space="preserve"> adjusted </w:t>
      </w:r>
      <w:r w:rsidR="008073C5">
        <w:t xml:space="preserve">expenses categorized as </w:t>
      </w:r>
      <w:r w:rsidR="000701B2">
        <w:t xml:space="preserve">repairs </w:t>
      </w:r>
      <w:r w:rsidR="008073C5">
        <w:t>as capital improvements which will spread these expenses over a period of time.</w:t>
      </w:r>
      <w:r w:rsidR="000701B2">
        <w:t xml:space="preserve"> </w:t>
      </w:r>
      <w:r>
        <w:t>Staff</w:t>
      </w:r>
      <w:r w:rsidR="00B14DE9" w:rsidRPr="00B14DE9">
        <w:t xml:space="preserve"> has </w:t>
      </w:r>
      <w:r w:rsidR="008073C5">
        <w:t xml:space="preserve">also reduced the amount allowed for </w:t>
      </w:r>
      <w:r w:rsidR="00146943">
        <w:t xml:space="preserve">insurance expense. </w:t>
      </w:r>
      <w:r>
        <w:t>Staff</w:t>
      </w:r>
      <w:r w:rsidR="00B14DE9">
        <w:t xml:space="preserve"> reviewed the </w:t>
      </w:r>
      <w:r w:rsidR="00335D5A">
        <w:t xml:space="preserve">expense </w:t>
      </w:r>
      <w:r w:rsidR="00B14DE9">
        <w:t>category</w:t>
      </w:r>
      <w:r w:rsidR="00BC4DBA">
        <w:t xml:space="preserve"> </w:t>
      </w:r>
      <w:r w:rsidR="003A3A92">
        <w:t>of gifts and re-categorize</w:t>
      </w:r>
      <w:r w:rsidR="00335D5A">
        <w:t>d</w:t>
      </w:r>
      <w:r w:rsidR="003A3A92">
        <w:t xml:space="preserve"> this </w:t>
      </w:r>
      <w:r w:rsidR="00335D5A">
        <w:t xml:space="preserve">expense </w:t>
      </w:r>
      <w:r w:rsidR="003A3A92">
        <w:t xml:space="preserve">to wages since it was </w:t>
      </w:r>
      <w:r w:rsidR="00BC4DBA">
        <w:t>bonuses</w:t>
      </w:r>
      <w:r w:rsidR="00B14DE9">
        <w:t xml:space="preserve"> </w:t>
      </w:r>
      <w:r w:rsidR="00335D5A">
        <w:t xml:space="preserve">paid </w:t>
      </w:r>
      <w:r w:rsidR="00B14DE9">
        <w:t xml:space="preserve">to </w:t>
      </w:r>
      <w:r w:rsidR="003A3A92">
        <w:t>employees</w:t>
      </w:r>
      <w:r w:rsidR="00335D5A">
        <w:t xml:space="preserve"> at year</w:t>
      </w:r>
      <w:r>
        <w:t>’</w:t>
      </w:r>
      <w:r w:rsidR="00335D5A">
        <w:t xml:space="preserve">s end. </w:t>
      </w:r>
      <w:r>
        <w:t>Staff</w:t>
      </w:r>
      <w:r w:rsidR="003A3A92" w:rsidRPr="00B14DE9">
        <w:t xml:space="preserve"> </w:t>
      </w:r>
      <w:r w:rsidR="009F1680">
        <w:t>has reviewed the company</w:t>
      </w:r>
      <w:r>
        <w:t>’</w:t>
      </w:r>
      <w:r w:rsidR="009F1680">
        <w:t xml:space="preserve">s labor expenses and concluded that </w:t>
      </w:r>
      <w:r w:rsidR="003A3A92">
        <w:t xml:space="preserve">the overall wage expense is </w:t>
      </w:r>
      <w:r w:rsidR="00F27CEA">
        <w:t>appropriate</w:t>
      </w:r>
      <w:r w:rsidR="00B14DE9">
        <w:t>.</w:t>
      </w:r>
    </w:p>
    <w:p w:rsidR="00C42422" w:rsidRDefault="00C42422" w:rsidP="00885503">
      <w:pPr>
        <w:ind w:left="720"/>
      </w:pPr>
    </w:p>
    <w:p w:rsidR="00496F6C" w:rsidRPr="000701B2" w:rsidRDefault="00885503" w:rsidP="003A3A92">
      <w:pPr>
        <w:numPr>
          <w:ilvl w:val="0"/>
          <w:numId w:val="8"/>
        </w:numPr>
      </w:pPr>
      <w:r>
        <w:rPr>
          <w:b/>
          <w:u w:val="single"/>
        </w:rPr>
        <w:t>Rate Design</w:t>
      </w:r>
      <w:r w:rsidRPr="00611674">
        <w:rPr>
          <w:b/>
          <w:u w:val="single"/>
        </w:rPr>
        <w:t xml:space="preserve"> Customer Comments:</w:t>
      </w:r>
    </w:p>
    <w:p w:rsidR="000701B2" w:rsidRDefault="000701B2" w:rsidP="000701B2">
      <w:pPr>
        <w:ind w:left="360"/>
      </w:pPr>
    </w:p>
    <w:p w:rsidR="00B3269B" w:rsidRDefault="00B53316" w:rsidP="003A3A92">
      <w:pPr>
        <w:numPr>
          <w:ilvl w:val="0"/>
          <w:numId w:val="9"/>
        </w:numPr>
      </w:pPr>
      <w:r>
        <w:t>A c</w:t>
      </w:r>
      <w:r w:rsidR="00BE5640">
        <w:t xml:space="preserve">ustomer expressed concerns </w:t>
      </w:r>
      <w:r w:rsidR="00640DBC">
        <w:t>that</w:t>
      </w:r>
      <w:r w:rsidR="00BE5640">
        <w:t xml:space="preserve"> the company </w:t>
      </w:r>
      <w:r w:rsidR="001075E8">
        <w:t xml:space="preserve">may </w:t>
      </w:r>
      <w:r w:rsidR="00B1395B">
        <w:t>over-</w:t>
      </w:r>
      <w:r w:rsidR="00E6387E">
        <w:t xml:space="preserve">connect customers and </w:t>
      </w:r>
      <w:r>
        <w:t xml:space="preserve">that the system would therefore face </w:t>
      </w:r>
      <w:r w:rsidR="00A436E8">
        <w:t xml:space="preserve">water </w:t>
      </w:r>
      <w:r w:rsidR="003A3A92">
        <w:t>shortages.</w:t>
      </w:r>
    </w:p>
    <w:p w:rsidR="003A3A92" w:rsidRDefault="003A3A92" w:rsidP="003A3A92">
      <w:pPr>
        <w:ind w:left="720"/>
      </w:pPr>
    </w:p>
    <w:p w:rsidR="003A3A92" w:rsidRDefault="00B53316" w:rsidP="003A3A92">
      <w:pPr>
        <w:numPr>
          <w:ilvl w:val="0"/>
          <w:numId w:val="9"/>
        </w:numPr>
      </w:pPr>
      <w:r>
        <w:t xml:space="preserve">A customer feels </w:t>
      </w:r>
      <w:r w:rsidR="003A3A92">
        <w:t>that under the proposed rates</w:t>
      </w:r>
      <w:r w:rsidR="003A3A92" w:rsidRPr="00190A2D">
        <w:t xml:space="preserve"> a</w:t>
      </w:r>
      <w:r w:rsidR="003A3A92">
        <w:t xml:space="preserve"> ready to serve customer</w:t>
      </w:r>
      <w:r w:rsidR="00484DC5">
        <w:t>’</w:t>
      </w:r>
      <w:r>
        <w:t>s</w:t>
      </w:r>
      <w:r w:rsidR="007F2B1F">
        <w:t xml:space="preserve"> (</w:t>
      </w:r>
      <w:r>
        <w:t>i</w:t>
      </w:r>
      <w:r w:rsidR="007F2B1F">
        <w:t>nactive member)</w:t>
      </w:r>
      <w:r w:rsidR="003A3A92" w:rsidRPr="00190A2D">
        <w:t xml:space="preserve"> increase </w:t>
      </w:r>
      <w:r w:rsidR="003A3A92">
        <w:t>w</w:t>
      </w:r>
      <w:r w:rsidR="003A3A92" w:rsidRPr="00190A2D">
        <w:t xml:space="preserve">ould </w:t>
      </w:r>
      <w:r>
        <w:t xml:space="preserve">go </w:t>
      </w:r>
      <w:r w:rsidR="003A3A92" w:rsidRPr="00190A2D">
        <w:t>from $15</w:t>
      </w:r>
      <w:r w:rsidR="003A3A92">
        <w:t xml:space="preserve"> per </w:t>
      </w:r>
      <w:r w:rsidR="003A3A92" w:rsidRPr="00190A2D">
        <w:t>mo</w:t>
      </w:r>
      <w:r w:rsidR="003A3A92">
        <w:t xml:space="preserve">nth </w:t>
      </w:r>
      <w:r w:rsidR="003A3A92" w:rsidRPr="00190A2D">
        <w:t>to $32</w:t>
      </w:r>
      <w:r w:rsidR="003A3A92">
        <w:t xml:space="preserve"> per </w:t>
      </w:r>
      <w:r w:rsidR="003A3A92" w:rsidRPr="00190A2D">
        <w:t>mo</w:t>
      </w:r>
      <w:r w:rsidR="003A3A92">
        <w:t>nth</w:t>
      </w:r>
      <w:r w:rsidR="003A3A92" w:rsidRPr="00190A2D">
        <w:t>.</w:t>
      </w:r>
      <w:r w:rsidR="003A3A92">
        <w:t xml:space="preserve"> Th</w:t>
      </w:r>
      <w:r>
        <w:t>e i</w:t>
      </w:r>
      <w:r w:rsidR="003A3A92" w:rsidRPr="00190A2D">
        <w:t>ncrease of $17</w:t>
      </w:r>
      <w:r w:rsidR="003A3A92">
        <w:t xml:space="preserve"> per month</w:t>
      </w:r>
      <w:r>
        <w:t xml:space="preserve"> is</w:t>
      </w:r>
      <w:r w:rsidR="003A3A92" w:rsidRPr="00190A2D">
        <w:t xml:space="preserve"> well over 100</w:t>
      </w:r>
      <w:r w:rsidR="007F2B1F">
        <w:t xml:space="preserve"> percent</w:t>
      </w:r>
      <w:r>
        <w:t>,</w:t>
      </w:r>
      <w:r w:rsidR="003A3A92" w:rsidRPr="00190A2D">
        <w:t xml:space="preserve"> compared to a 20-30</w:t>
      </w:r>
      <w:r w:rsidR="007F2B1F">
        <w:t xml:space="preserve"> percent</w:t>
      </w:r>
      <w:r w:rsidR="003A3A92" w:rsidRPr="00190A2D">
        <w:t xml:space="preserve"> increase for other users</w:t>
      </w:r>
      <w:r>
        <w:t>, which the customer believes is excessive</w:t>
      </w:r>
      <w:r w:rsidR="003A3A92" w:rsidRPr="00190A2D">
        <w:t>.</w:t>
      </w:r>
    </w:p>
    <w:p w:rsidR="00BE5640" w:rsidRDefault="00BE5640" w:rsidP="00BE5640">
      <w:pPr>
        <w:rPr>
          <w:b/>
        </w:rPr>
      </w:pPr>
    </w:p>
    <w:p w:rsidR="00BE5640" w:rsidRDefault="00484DC5" w:rsidP="003A3A92">
      <w:pPr>
        <w:tabs>
          <w:tab w:val="left" w:pos="90"/>
        </w:tabs>
        <w:ind w:left="720"/>
      </w:pPr>
      <w:r>
        <w:rPr>
          <w:b/>
        </w:rPr>
        <w:t>Staff</w:t>
      </w:r>
      <w:r w:rsidR="00BE5640" w:rsidRPr="00F160DE">
        <w:rPr>
          <w:b/>
        </w:rPr>
        <w:t xml:space="preserve"> Response</w:t>
      </w:r>
      <w:r w:rsidR="003A3A92">
        <w:rPr>
          <w:b/>
        </w:rPr>
        <w:t>:</w:t>
      </w:r>
      <w:r w:rsidR="00BE5640" w:rsidRPr="00F160DE">
        <w:rPr>
          <w:b/>
        </w:rPr>
        <w:t xml:space="preserve"> </w:t>
      </w:r>
      <w:r w:rsidR="00E6387E" w:rsidRPr="00C96C7D">
        <w:t xml:space="preserve">The Department of Health (DOH) has primary jurisdiction over customer connections and water quantity. </w:t>
      </w:r>
      <w:r w:rsidR="00933630">
        <w:t xml:space="preserve">Rate designs should include a conservation component. </w:t>
      </w:r>
      <w:r w:rsidR="009B0D66" w:rsidRPr="00E6122C">
        <w:t xml:space="preserve">The </w:t>
      </w:r>
      <w:r w:rsidR="001C79C9">
        <w:t xml:space="preserve">rate </w:t>
      </w:r>
      <w:r w:rsidR="009B0D66" w:rsidRPr="00E6122C">
        <w:t>design is based on the company</w:t>
      </w:r>
      <w:r>
        <w:t>’</w:t>
      </w:r>
      <w:r w:rsidR="009B0D66" w:rsidRPr="00E6122C">
        <w:t>s revenue requirement allocated to all customers</w:t>
      </w:r>
      <w:r w:rsidR="001C79C9">
        <w:t xml:space="preserve"> and based on historical water usage</w:t>
      </w:r>
      <w:r w:rsidR="009B0D66" w:rsidRPr="00E6122C">
        <w:t xml:space="preserve">. </w:t>
      </w:r>
      <w:r w:rsidR="00E049F5">
        <w:t>In this case</w:t>
      </w:r>
      <w:r w:rsidR="00F27CEA">
        <w:t>,</w:t>
      </w:r>
      <w:r w:rsidR="00E049F5">
        <w:t xml:space="preserve"> </w:t>
      </w:r>
      <w:r>
        <w:t>Staff</w:t>
      </w:r>
      <w:r w:rsidR="00411206">
        <w:t xml:space="preserve"> notes that as the amount of water usage goes up</w:t>
      </w:r>
      <w:r w:rsidR="00640DBC">
        <w:t>,</w:t>
      </w:r>
      <w:r w:rsidR="00411206">
        <w:t xml:space="preserve"> the corresponding price per 1,000 gallons also go</w:t>
      </w:r>
      <w:r w:rsidR="00BC4DBA">
        <w:t>es</w:t>
      </w:r>
      <w:r w:rsidR="00411206">
        <w:t xml:space="preserve"> up.</w:t>
      </w:r>
      <w:r w:rsidR="00E049F5">
        <w:t xml:space="preserve"> </w:t>
      </w:r>
      <w:r>
        <w:t>Staff</w:t>
      </w:r>
      <w:r w:rsidR="009B0D66" w:rsidRPr="00E6122C">
        <w:t xml:space="preserve"> believes the revised rate design </w:t>
      </w:r>
      <w:r w:rsidR="007F2B1F">
        <w:t>is</w:t>
      </w:r>
      <w:r w:rsidR="007A2B96" w:rsidRPr="00E6122C">
        <w:t xml:space="preserve"> fair, just and reasonable and addresses</w:t>
      </w:r>
      <w:r w:rsidR="007A2B96">
        <w:t xml:space="preserve"> conservation efforts</w:t>
      </w:r>
      <w:r w:rsidR="009B0D66" w:rsidRPr="00E6122C">
        <w:t>.</w:t>
      </w:r>
    </w:p>
    <w:p w:rsidR="0059489B" w:rsidRDefault="0059489B" w:rsidP="00BC4DBA">
      <w:pPr>
        <w:tabs>
          <w:tab w:val="left" w:pos="90"/>
        </w:tabs>
      </w:pPr>
    </w:p>
    <w:p w:rsidR="0059489B" w:rsidRDefault="0059489B" w:rsidP="00CE36AD">
      <w:pPr>
        <w:tabs>
          <w:tab w:val="left" w:pos="90"/>
        </w:tabs>
        <w:ind w:left="720"/>
      </w:pPr>
      <w:r>
        <w:t>Basic rate design assumes all customers have the same size meter. For this company</w:t>
      </w:r>
      <w:r w:rsidR="00B53316">
        <w:t xml:space="preserve">, </w:t>
      </w:r>
      <w:r>
        <w:t>several customers have up-size meters</w:t>
      </w:r>
      <w:r w:rsidR="00AC5FCD">
        <w:t>, s</w:t>
      </w:r>
      <w:r>
        <w:t>ince</w:t>
      </w:r>
      <w:r w:rsidR="00F90823">
        <w:t xml:space="preserve"> the capacity </w:t>
      </w:r>
      <w:r>
        <w:t xml:space="preserve">of an up-size meter is greater than basic meters </w:t>
      </w:r>
      <w:r w:rsidR="00484DC5">
        <w:t>Staff</w:t>
      </w:r>
      <w:r>
        <w:t xml:space="preserve"> uses an up-size meter factor </w:t>
      </w:r>
      <w:r w:rsidR="00F90823">
        <w:t xml:space="preserve">to </w:t>
      </w:r>
      <w:r>
        <w:t>determine base charges. The up-size meter factor is based on</w:t>
      </w:r>
      <w:r w:rsidR="00F90823">
        <w:t xml:space="preserve"> </w:t>
      </w:r>
      <w:r>
        <w:t xml:space="preserve">flow capacity of the larger meter </w:t>
      </w:r>
      <w:r w:rsidR="00F90823">
        <w:t>as</w:t>
      </w:r>
      <w:r>
        <w:t xml:space="preserve"> shown below.</w:t>
      </w:r>
    </w:p>
    <w:p w:rsidR="00462B99" w:rsidRDefault="00462B99" w:rsidP="00BC4DBA">
      <w:pPr>
        <w:tabs>
          <w:tab w:val="left" w:pos="90"/>
        </w:tabs>
      </w:pP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</w:tblGrid>
      <w:tr w:rsidR="00514516" w:rsidTr="00353A77"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Meter Size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Flow in GPM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Meter Factor</w:t>
            </w:r>
          </w:p>
        </w:tc>
      </w:tr>
      <w:tr w:rsidR="00514516" w:rsidTr="00353A77"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</w:pPr>
            <w:r>
              <w:t>5/8 x 3/4 inch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30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1</w:t>
            </w:r>
          </w:p>
        </w:tc>
      </w:tr>
      <w:tr w:rsidR="00514516" w:rsidTr="00353A77"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</w:pPr>
            <w:r>
              <w:t>1 inch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50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1.67</w:t>
            </w:r>
          </w:p>
        </w:tc>
      </w:tr>
      <w:tr w:rsidR="00514516" w:rsidTr="00353A77"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</w:pPr>
            <w:r>
              <w:t>1.5 inch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100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3.33</w:t>
            </w:r>
          </w:p>
        </w:tc>
      </w:tr>
      <w:tr w:rsidR="00514516" w:rsidTr="00353A77"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</w:pPr>
            <w:r>
              <w:t>2 inch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160</w:t>
            </w:r>
          </w:p>
        </w:tc>
        <w:tc>
          <w:tcPr>
            <w:tcW w:w="2394" w:type="dxa"/>
          </w:tcPr>
          <w:p w:rsidR="00514516" w:rsidRDefault="00514516" w:rsidP="00353A77">
            <w:pPr>
              <w:tabs>
                <w:tab w:val="left" w:pos="90"/>
              </w:tabs>
              <w:jc w:val="center"/>
            </w:pPr>
            <w:r>
              <w:t>5.33</w:t>
            </w:r>
          </w:p>
        </w:tc>
      </w:tr>
    </w:tbl>
    <w:p w:rsidR="00CE36AD" w:rsidRDefault="00514516" w:rsidP="00BC4DBA">
      <w:pPr>
        <w:tabs>
          <w:tab w:val="left" w:pos="90"/>
        </w:tabs>
      </w:pPr>
      <w:r>
        <w:tab/>
      </w:r>
      <w:r>
        <w:tab/>
      </w:r>
      <w:r>
        <w:tab/>
        <w:t>GPM = Gallons per Minute</w:t>
      </w:r>
    </w:p>
    <w:p w:rsidR="00514516" w:rsidRDefault="00514516" w:rsidP="00BC4DBA">
      <w:pPr>
        <w:tabs>
          <w:tab w:val="left" w:pos="90"/>
        </w:tabs>
      </w:pPr>
    </w:p>
    <w:p w:rsidR="00577448" w:rsidRPr="009B0D66" w:rsidRDefault="00577448" w:rsidP="001C79C9">
      <w:pPr>
        <w:tabs>
          <w:tab w:val="left" w:pos="90"/>
        </w:tabs>
        <w:ind w:left="720"/>
      </w:pPr>
      <w:r w:rsidRPr="00C96C7D">
        <w:t xml:space="preserve">Revised rates have been calculated to set meter base charges and ready-to-serve charges equal to each other. Rate design does not attempt to allocate company plant fixed cost versus </w:t>
      </w:r>
      <w:r>
        <w:t xml:space="preserve">operating </w:t>
      </w:r>
      <w:r w:rsidRPr="00C96C7D">
        <w:t xml:space="preserve">variable cost. </w:t>
      </w:r>
    </w:p>
    <w:sectPr w:rsidR="00577448" w:rsidRPr="009B0D66" w:rsidSect="00885503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1E" w:rsidRDefault="00925F1E" w:rsidP="004C0263">
      <w:r>
        <w:separator/>
      </w:r>
    </w:p>
  </w:endnote>
  <w:endnote w:type="continuationSeparator" w:id="1">
    <w:p w:rsidR="00925F1E" w:rsidRDefault="00925F1E" w:rsidP="004C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1E" w:rsidRDefault="00925F1E" w:rsidP="004C0263">
      <w:r>
        <w:separator/>
      </w:r>
    </w:p>
  </w:footnote>
  <w:footnote w:type="continuationSeparator" w:id="1">
    <w:p w:rsidR="00925F1E" w:rsidRDefault="00925F1E" w:rsidP="004C0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B2" w:rsidRPr="00FE0AD1" w:rsidRDefault="000701B2" w:rsidP="00885503">
    <w:pPr>
      <w:spacing w:line="238" w:lineRule="auto"/>
    </w:pPr>
    <w:r w:rsidRPr="00FE0AD1">
      <w:t xml:space="preserve">Docket </w:t>
    </w:r>
    <w:r>
      <w:t>UW</w:t>
    </w:r>
    <w:r w:rsidRPr="00FE0AD1">
      <w:t>-0</w:t>
    </w:r>
    <w:r>
      <w:t xml:space="preserve">81259 </w:t>
    </w:r>
  </w:p>
  <w:p w:rsidR="000701B2" w:rsidRDefault="000701B2" w:rsidP="00885503">
    <w:pPr>
      <w:spacing w:line="238" w:lineRule="auto"/>
    </w:pPr>
    <w:r>
      <w:t>September 11</w:t>
    </w:r>
    <w:r w:rsidRPr="00FE0AD1">
      <w:t>, 200</w:t>
    </w:r>
    <w:r>
      <w:t>8</w:t>
    </w:r>
  </w:p>
  <w:p w:rsidR="000701B2" w:rsidRPr="00FE0AD1" w:rsidRDefault="000701B2" w:rsidP="00885503">
    <w:pPr>
      <w:spacing w:line="238" w:lineRule="auto"/>
      <w:rPr>
        <w:rStyle w:val="PageNumber"/>
      </w:rPr>
    </w:pPr>
    <w:r>
      <w:t>Memo Attachment</w:t>
    </w:r>
    <w:r w:rsidRPr="00FE0AD1">
      <w:t xml:space="preserve"> Page</w:t>
    </w:r>
    <w:r>
      <w:t xml:space="preserve"> </w:t>
    </w:r>
    <w:r w:rsidR="00484DC5">
      <w:rPr>
        <w:noProof/>
      </w:rPr>
      <w:t>2</w:t>
    </w:r>
  </w:p>
  <w:p w:rsidR="000701B2" w:rsidRDefault="000701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565"/>
    <w:multiLevelType w:val="hybridMultilevel"/>
    <w:tmpl w:val="9906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5E3C"/>
    <w:multiLevelType w:val="hybridMultilevel"/>
    <w:tmpl w:val="4EC8B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036"/>
    <w:multiLevelType w:val="hybridMultilevel"/>
    <w:tmpl w:val="4EC8B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1AAC"/>
    <w:multiLevelType w:val="hybridMultilevel"/>
    <w:tmpl w:val="D692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24AE"/>
    <w:multiLevelType w:val="hybridMultilevel"/>
    <w:tmpl w:val="B7B65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36313"/>
    <w:multiLevelType w:val="hybridMultilevel"/>
    <w:tmpl w:val="1DDA8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B2855"/>
    <w:multiLevelType w:val="hybridMultilevel"/>
    <w:tmpl w:val="F4F29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6C5D"/>
    <w:multiLevelType w:val="hybridMultilevel"/>
    <w:tmpl w:val="8D4A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D346D"/>
    <w:multiLevelType w:val="hybridMultilevel"/>
    <w:tmpl w:val="DA2437A0"/>
    <w:lvl w:ilvl="0" w:tplc="416E83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3F01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656E80"/>
    <w:rsid w:val="000003AB"/>
    <w:rsid w:val="00036D33"/>
    <w:rsid w:val="000701B2"/>
    <w:rsid w:val="000956A8"/>
    <w:rsid w:val="000B0559"/>
    <w:rsid w:val="000B0F86"/>
    <w:rsid w:val="001075E8"/>
    <w:rsid w:val="00130121"/>
    <w:rsid w:val="00146943"/>
    <w:rsid w:val="00190A2D"/>
    <w:rsid w:val="001C79C9"/>
    <w:rsid w:val="001E22B4"/>
    <w:rsid w:val="0020409F"/>
    <w:rsid w:val="002057DF"/>
    <w:rsid w:val="00216979"/>
    <w:rsid w:val="00246B25"/>
    <w:rsid w:val="00260FD2"/>
    <w:rsid w:val="002A2F73"/>
    <w:rsid w:val="002C3B47"/>
    <w:rsid w:val="00334EC4"/>
    <w:rsid w:val="00335D5A"/>
    <w:rsid w:val="003530BB"/>
    <w:rsid w:val="00353A77"/>
    <w:rsid w:val="003A3A92"/>
    <w:rsid w:val="003C39A5"/>
    <w:rsid w:val="003E203F"/>
    <w:rsid w:val="00402C3B"/>
    <w:rsid w:val="00411206"/>
    <w:rsid w:val="0042006B"/>
    <w:rsid w:val="004338BD"/>
    <w:rsid w:val="00462B99"/>
    <w:rsid w:val="00476B81"/>
    <w:rsid w:val="00484DC5"/>
    <w:rsid w:val="00496F6C"/>
    <w:rsid w:val="004A083E"/>
    <w:rsid w:val="004B44A8"/>
    <w:rsid w:val="004C0263"/>
    <w:rsid w:val="004F522D"/>
    <w:rsid w:val="00514516"/>
    <w:rsid w:val="00514F89"/>
    <w:rsid w:val="00531C76"/>
    <w:rsid w:val="00552723"/>
    <w:rsid w:val="00577448"/>
    <w:rsid w:val="0059489B"/>
    <w:rsid w:val="005B4870"/>
    <w:rsid w:val="005E2CAA"/>
    <w:rsid w:val="00611674"/>
    <w:rsid w:val="00640DBC"/>
    <w:rsid w:val="00656E80"/>
    <w:rsid w:val="00664DCF"/>
    <w:rsid w:val="006B0578"/>
    <w:rsid w:val="006E1915"/>
    <w:rsid w:val="00786ED8"/>
    <w:rsid w:val="007A2B96"/>
    <w:rsid w:val="007B202D"/>
    <w:rsid w:val="007F2B1F"/>
    <w:rsid w:val="007F5A34"/>
    <w:rsid w:val="008073C5"/>
    <w:rsid w:val="00835D61"/>
    <w:rsid w:val="0085495A"/>
    <w:rsid w:val="00885503"/>
    <w:rsid w:val="008B48DD"/>
    <w:rsid w:val="008C1AF7"/>
    <w:rsid w:val="008D3F55"/>
    <w:rsid w:val="008E04A9"/>
    <w:rsid w:val="008E5A55"/>
    <w:rsid w:val="009026F2"/>
    <w:rsid w:val="00925F1E"/>
    <w:rsid w:val="00927798"/>
    <w:rsid w:val="00933630"/>
    <w:rsid w:val="00980CD7"/>
    <w:rsid w:val="009858C6"/>
    <w:rsid w:val="009B0D66"/>
    <w:rsid w:val="009E2CD2"/>
    <w:rsid w:val="009F1680"/>
    <w:rsid w:val="00A1665A"/>
    <w:rsid w:val="00A436E8"/>
    <w:rsid w:val="00A732B1"/>
    <w:rsid w:val="00AA3096"/>
    <w:rsid w:val="00AA4737"/>
    <w:rsid w:val="00AC5FCD"/>
    <w:rsid w:val="00AD579C"/>
    <w:rsid w:val="00AE752B"/>
    <w:rsid w:val="00AF1F02"/>
    <w:rsid w:val="00B1395B"/>
    <w:rsid w:val="00B14DE9"/>
    <w:rsid w:val="00B16B02"/>
    <w:rsid w:val="00B27034"/>
    <w:rsid w:val="00B3269B"/>
    <w:rsid w:val="00B45426"/>
    <w:rsid w:val="00B53316"/>
    <w:rsid w:val="00B83F87"/>
    <w:rsid w:val="00B84E49"/>
    <w:rsid w:val="00BA43EE"/>
    <w:rsid w:val="00BC3A5F"/>
    <w:rsid w:val="00BC4DBA"/>
    <w:rsid w:val="00BE5640"/>
    <w:rsid w:val="00C21AF0"/>
    <w:rsid w:val="00C42422"/>
    <w:rsid w:val="00CC51B9"/>
    <w:rsid w:val="00CE36AD"/>
    <w:rsid w:val="00CE7D18"/>
    <w:rsid w:val="00DA2965"/>
    <w:rsid w:val="00DA6643"/>
    <w:rsid w:val="00DB78DE"/>
    <w:rsid w:val="00DF6B34"/>
    <w:rsid w:val="00E049F5"/>
    <w:rsid w:val="00E3665B"/>
    <w:rsid w:val="00E50E69"/>
    <w:rsid w:val="00E6387E"/>
    <w:rsid w:val="00E82DC6"/>
    <w:rsid w:val="00EB5CEE"/>
    <w:rsid w:val="00EB7FD3"/>
    <w:rsid w:val="00F160DE"/>
    <w:rsid w:val="00F27CEA"/>
    <w:rsid w:val="00F37F33"/>
    <w:rsid w:val="00F7235A"/>
    <w:rsid w:val="00F77325"/>
    <w:rsid w:val="00F90823"/>
    <w:rsid w:val="00FB08C2"/>
    <w:rsid w:val="00FD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8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0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0263"/>
    <w:rPr>
      <w:sz w:val="24"/>
      <w:szCs w:val="24"/>
    </w:rPr>
  </w:style>
  <w:style w:type="paragraph" w:styleId="Footer">
    <w:name w:val="footer"/>
    <w:basedOn w:val="Normal"/>
    <w:link w:val="FooterChar"/>
    <w:rsid w:val="004C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0263"/>
    <w:rPr>
      <w:sz w:val="24"/>
      <w:szCs w:val="24"/>
    </w:rPr>
  </w:style>
  <w:style w:type="character" w:styleId="CommentReference">
    <w:name w:val="annotation reference"/>
    <w:basedOn w:val="DefaultParagraphFont"/>
    <w:rsid w:val="00DA6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6643"/>
  </w:style>
  <w:style w:type="paragraph" w:styleId="CommentSubject">
    <w:name w:val="annotation subject"/>
    <w:basedOn w:val="CommentText"/>
    <w:next w:val="CommentText"/>
    <w:link w:val="CommentSubjectChar"/>
    <w:rsid w:val="00DA6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6643"/>
    <w:rPr>
      <w:b/>
      <w:bCs/>
    </w:rPr>
  </w:style>
  <w:style w:type="paragraph" w:styleId="Revision">
    <w:name w:val="Revision"/>
    <w:hidden/>
    <w:uiPriority w:val="99"/>
    <w:semiHidden/>
    <w:rsid w:val="00F27CEA"/>
    <w:rPr>
      <w:sz w:val="24"/>
      <w:szCs w:val="24"/>
    </w:rPr>
  </w:style>
  <w:style w:type="character" w:styleId="PageNumber">
    <w:name w:val="page number"/>
    <w:basedOn w:val="DefaultParagraphFont"/>
    <w:rsid w:val="00552723"/>
  </w:style>
  <w:style w:type="character" w:styleId="Hyperlink">
    <w:name w:val="Hyperlink"/>
    <w:basedOn w:val="DefaultParagraphFont"/>
    <w:rsid w:val="005527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723"/>
    <w:pPr>
      <w:ind w:left="720"/>
    </w:pPr>
  </w:style>
  <w:style w:type="table" w:styleId="TableGrid">
    <w:name w:val="Table Grid"/>
    <w:basedOn w:val="TableNormal"/>
    <w:rsid w:val="00CE36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2008-07-08T07:00:00+00:00</OpenedDate>
    <Date1 xmlns="dc463f71-b30c-4ab2-9473-d307f9d35888">2008-09-11T07:00:00+00:00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Fircroft, Inc.</CaseCompanyNames>
    <DocketNumber xmlns="dc463f71-b30c-4ab2-9473-d307f9d35888">081259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E129324E441246B7C635886EF3AF13" ma:contentTypeVersion="135" ma:contentTypeDescription="" ma:contentTypeScope="" ma:versionID="a4268001bdca1221f64fbc6e2f508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41ABE1-E574-49D3-904D-BE5DCE8BC7EB}"/>
</file>

<file path=customXml/itemProps2.xml><?xml version="1.0" encoding="utf-8"?>
<ds:datastoreItem xmlns:ds="http://schemas.openxmlformats.org/officeDocument/2006/customXml" ds:itemID="{601CBE67-6D93-4CD2-8C6C-DC1ED1F530C3}"/>
</file>

<file path=customXml/itemProps3.xml><?xml version="1.0" encoding="utf-8"?>
<ds:datastoreItem xmlns:ds="http://schemas.openxmlformats.org/officeDocument/2006/customXml" ds:itemID="{EBE1E673-4120-4940-8003-69D88D72BECE}"/>
</file>

<file path=customXml/itemProps4.xml><?xml version="1.0" encoding="utf-8"?>
<ds:datastoreItem xmlns:ds="http://schemas.openxmlformats.org/officeDocument/2006/customXml" ds:itemID="{13378429-CC3C-416E-BDA5-BD9B522BA6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2008-09-08T17:30:00Z</dcterms:created>
  <dcterms:modified xsi:type="dcterms:W3CDTF">2008-09-08T21:38:00Z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0x0101006E56B4D1795A2E4DB2F0B01679ED314A0093E129324E441246B7C635886EF3AF13</vt:lpwstr>
  </property>
  <property fmtid="{D5CDD505-2E9C-101B-9397-08002B2CF9AE}" pid="3" name="_docset_NoMedatataSyncRequired">
    <vt:lpwstr>False</vt:lpwstr>
  </property>
</Properties>
</file>