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FF" w:rsidRPr="00F079F5" w:rsidRDefault="00F079F5" w:rsidP="00260063">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F079F5">
        <w:rPr>
          <w:rFonts w:ascii="Times New Roman" w:hAnsi="Times New Roman" w:cs="Times New Roman"/>
          <w:b/>
          <w:sz w:val="20"/>
          <w:szCs w:val="20"/>
        </w:rPr>
        <w:t>[Service Date March 18, 2011]</w:t>
      </w:r>
    </w:p>
    <w:p w:rsidR="00DD3B1A" w:rsidRPr="00DD3B1A" w:rsidRDefault="00DD3B1A" w:rsidP="00260063">
      <w:pPr>
        <w:pStyle w:val="NoSpacing"/>
        <w:spacing w:line="264" w:lineRule="auto"/>
        <w:rPr>
          <w:rFonts w:ascii="Times New Roman" w:hAnsi="Times New Roman" w:cs="Times New Roman"/>
          <w:sz w:val="25"/>
          <w:szCs w:val="25"/>
        </w:rPr>
      </w:pPr>
    </w:p>
    <w:p w:rsidR="00DD3B1A" w:rsidRPr="00DD3B1A" w:rsidRDefault="00DD3B1A" w:rsidP="00260063">
      <w:pPr>
        <w:pStyle w:val="NoSpacing"/>
        <w:spacing w:line="264" w:lineRule="auto"/>
        <w:rPr>
          <w:rFonts w:ascii="Times New Roman" w:hAnsi="Times New Roman" w:cs="Times New Roman"/>
          <w:sz w:val="25"/>
          <w:szCs w:val="25"/>
        </w:rPr>
      </w:pPr>
    </w:p>
    <w:p w:rsidR="00DD3B1A" w:rsidRPr="00DD3B1A" w:rsidRDefault="00DD3B1A" w:rsidP="00260063">
      <w:pPr>
        <w:pStyle w:val="NoSpacing"/>
        <w:spacing w:line="264" w:lineRule="auto"/>
        <w:rPr>
          <w:rFonts w:ascii="Times New Roman" w:hAnsi="Times New Roman" w:cs="Times New Roman"/>
          <w:sz w:val="25"/>
          <w:szCs w:val="25"/>
        </w:rPr>
      </w:pPr>
    </w:p>
    <w:p w:rsidR="00DD3B1A" w:rsidRPr="00DD3B1A" w:rsidRDefault="00DD3B1A" w:rsidP="00260063">
      <w:pPr>
        <w:pStyle w:val="NoSpacing"/>
        <w:spacing w:line="264" w:lineRule="auto"/>
        <w:rPr>
          <w:rFonts w:ascii="Times New Roman" w:hAnsi="Times New Roman" w:cs="Times New Roman"/>
          <w:sz w:val="25"/>
          <w:szCs w:val="25"/>
        </w:rPr>
      </w:pPr>
    </w:p>
    <w:p w:rsidR="00B652FF" w:rsidRPr="00DD3B1A" w:rsidRDefault="00B652FF" w:rsidP="00260063">
      <w:pPr>
        <w:pStyle w:val="NoSpacing"/>
        <w:spacing w:line="264" w:lineRule="auto"/>
        <w:jc w:val="center"/>
        <w:rPr>
          <w:rFonts w:ascii="Times New Roman" w:hAnsi="Times New Roman" w:cs="Times New Roman"/>
          <w:sz w:val="25"/>
          <w:szCs w:val="25"/>
        </w:rPr>
      </w:pPr>
      <w:r w:rsidRPr="00DD3B1A">
        <w:rPr>
          <w:rFonts w:ascii="Times New Roman" w:hAnsi="Times New Roman" w:cs="Times New Roman"/>
          <w:sz w:val="25"/>
          <w:szCs w:val="25"/>
        </w:rPr>
        <w:t>March 1</w:t>
      </w:r>
      <w:r w:rsidR="00686770" w:rsidRPr="00DD3B1A">
        <w:rPr>
          <w:rFonts w:ascii="Times New Roman" w:hAnsi="Times New Roman" w:cs="Times New Roman"/>
          <w:sz w:val="25"/>
          <w:szCs w:val="25"/>
        </w:rPr>
        <w:t>8</w:t>
      </w:r>
      <w:r w:rsidRPr="00DD3B1A">
        <w:rPr>
          <w:rFonts w:ascii="Times New Roman" w:hAnsi="Times New Roman" w:cs="Times New Roman"/>
          <w:sz w:val="25"/>
          <w:szCs w:val="25"/>
        </w:rPr>
        <w:t>, 2011</w:t>
      </w:r>
    </w:p>
    <w:p w:rsidR="00DD3B1A" w:rsidRPr="00DD3B1A" w:rsidRDefault="00DD3B1A" w:rsidP="00260063">
      <w:pPr>
        <w:pStyle w:val="NoSpacing"/>
        <w:spacing w:line="264" w:lineRule="auto"/>
        <w:jc w:val="center"/>
        <w:rPr>
          <w:rFonts w:ascii="Times New Roman" w:hAnsi="Times New Roman" w:cs="Times New Roman"/>
          <w:sz w:val="25"/>
          <w:szCs w:val="25"/>
        </w:rPr>
      </w:pPr>
    </w:p>
    <w:p w:rsidR="00DD3B1A" w:rsidRPr="00DD3B1A" w:rsidRDefault="00DD3B1A" w:rsidP="00260063">
      <w:pPr>
        <w:pStyle w:val="NoSpacing"/>
        <w:spacing w:line="264" w:lineRule="auto"/>
        <w:jc w:val="center"/>
        <w:rPr>
          <w:rFonts w:ascii="Times New Roman" w:hAnsi="Times New Roman" w:cs="Times New Roman"/>
          <w:sz w:val="25"/>
          <w:szCs w:val="25"/>
        </w:rPr>
      </w:pPr>
    </w:p>
    <w:p w:rsidR="00B92CE1" w:rsidRPr="00DD3B1A" w:rsidRDefault="00B652FF" w:rsidP="00260063">
      <w:pPr>
        <w:pStyle w:val="NoSpacing"/>
        <w:spacing w:line="264" w:lineRule="auto"/>
        <w:jc w:val="center"/>
        <w:rPr>
          <w:rFonts w:ascii="Times New Roman" w:hAnsi="Times New Roman" w:cs="Times New Roman"/>
          <w:b/>
          <w:sz w:val="25"/>
          <w:szCs w:val="25"/>
        </w:rPr>
      </w:pPr>
      <w:r w:rsidRPr="00DD3B1A">
        <w:rPr>
          <w:rFonts w:ascii="Times New Roman" w:hAnsi="Times New Roman" w:cs="Times New Roman"/>
          <w:b/>
          <w:sz w:val="25"/>
          <w:szCs w:val="25"/>
        </w:rPr>
        <w:t xml:space="preserve">NOTICE </w:t>
      </w:r>
      <w:r w:rsidR="009502D9" w:rsidRPr="00DD3B1A">
        <w:rPr>
          <w:rFonts w:ascii="Times New Roman" w:hAnsi="Times New Roman" w:cs="Times New Roman"/>
          <w:b/>
          <w:sz w:val="25"/>
          <w:szCs w:val="25"/>
        </w:rPr>
        <w:t>OF</w:t>
      </w:r>
      <w:r w:rsidR="00926040">
        <w:rPr>
          <w:rFonts w:ascii="Times New Roman" w:hAnsi="Times New Roman" w:cs="Times New Roman"/>
          <w:b/>
          <w:sz w:val="25"/>
          <w:szCs w:val="25"/>
        </w:rPr>
        <w:t xml:space="preserve"> </w:t>
      </w:r>
      <w:r w:rsidR="009502D9" w:rsidRPr="00DD3B1A">
        <w:rPr>
          <w:rFonts w:ascii="Times New Roman" w:hAnsi="Times New Roman" w:cs="Times New Roman"/>
          <w:b/>
          <w:sz w:val="25"/>
          <w:szCs w:val="25"/>
        </w:rPr>
        <w:t xml:space="preserve">STAFF RECOMMENDATION FOR </w:t>
      </w:r>
      <w:r w:rsidRPr="00DD3B1A">
        <w:rPr>
          <w:rFonts w:ascii="Times New Roman" w:hAnsi="Times New Roman" w:cs="Times New Roman"/>
          <w:b/>
          <w:sz w:val="25"/>
          <w:szCs w:val="25"/>
        </w:rPr>
        <w:t>FUEL SURCHARGE</w:t>
      </w:r>
      <w:r w:rsidR="00B92CE1" w:rsidRPr="00DD3B1A">
        <w:rPr>
          <w:rFonts w:ascii="Times New Roman" w:hAnsi="Times New Roman" w:cs="Times New Roman"/>
          <w:b/>
          <w:sz w:val="25"/>
          <w:szCs w:val="25"/>
        </w:rPr>
        <w:t>S</w:t>
      </w:r>
      <w:r w:rsidR="009502D9" w:rsidRPr="00DD3B1A">
        <w:rPr>
          <w:rFonts w:ascii="Times New Roman" w:hAnsi="Times New Roman" w:cs="Times New Roman"/>
          <w:b/>
          <w:sz w:val="25"/>
          <w:szCs w:val="25"/>
        </w:rPr>
        <w:t>,</w:t>
      </w:r>
    </w:p>
    <w:p w:rsidR="00926040" w:rsidRDefault="00B652FF" w:rsidP="00260063">
      <w:pPr>
        <w:pStyle w:val="NoSpacing"/>
        <w:spacing w:line="264" w:lineRule="auto"/>
        <w:jc w:val="center"/>
        <w:rPr>
          <w:rFonts w:ascii="Times New Roman" w:hAnsi="Times New Roman" w:cs="Times New Roman"/>
          <w:b/>
          <w:sz w:val="25"/>
          <w:szCs w:val="25"/>
        </w:rPr>
      </w:pPr>
      <w:r w:rsidRPr="00DD3B1A">
        <w:rPr>
          <w:rFonts w:ascii="Times New Roman" w:hAnsi="Times New Roman" w:cs="Times New Roman"/>
          <w:b/>
          <w:sz w:val="25"/>
          <w:szCs w:val="25"/>
        </w:rPr>
        <w:t xml:space="preserve">OPPORTUNITY TO </w:t>
      </w:r>
      <w:r w:rsidR="005D7170" w:rsidRPr="00DD3B1A">
        <w:rPr>
          <w:rFonts w:ascii="Times New Roman" w:hAnsi="Times New Roman" w:cs="Times New Roman"/>
          <w:b/>
          <w:sz w:val="25"/>
          <w:szCs w:val="25"/>
        </w:rPr>
        <w:t xml:space="preserve">FILE WRITTEN </w:t>
      </w:r>
      <w:r w:rsidRPr="00DD3B1A">
        <w:rPr>
          <w:rFonts w:ascii="Times New Roman" w:hAnsi="Times New Roman" w:cs="Times New Roman"/>
          <w:b/>
          <w:sz w:val="25"/>
          <w:szCs w:val="25"/>
        </w:rPr>
        <w:t>COMMENT</w:t>
      </w:r>
      <w:r w:rsidR="005D7170" w:rsidRPr="00DD3B1A">
        <w:rPr>
          <w:rFonts w:ascii="Times New Roman" w:hAnsi="Times New Roman" w:cs="Times New Roman"/>
          <w:b/>
          <w:sz w:val="25"/>
          <w:szCs w:val="25"/>
        </w:rPr>
        <w:t>S</w:t>
      </w:r>
      <w:r w:rsidR="009502D9" w:rsidRPr="00DD3B1A">
        <w:rPr>
          <w:rFonts w:ascii="Times New Roman" w:hAnsi="Times New Roman" w:cs="Times New Roman"/>
          <w:b/>
          <w:sz w:val="25"/>
          <w:szCs w:val="25"/>
        </w:rPr>
        <w:t>,</w:t>
      </w:r>
    </w:p>
    <w:p w:rsidR="00926040" w:rsidRDefault="009502D9" w:rsidP="00260063">
      <w:pPr>
        <w:pStyle w:val="NoSpacing"/>
        <w:spacing w:line="264" w:lineRule="auto"/>
        <w:jc w:val="center"/>
        <w:rPr>
          <w:rFonts w:ascii="Times New Roman" w:hAnsi="Times New Roman" w:cs="Times New Roman"/>
          <w:b/>
          <w:sz w:val="25"/>
          <w:szCs w:val="25"/>
        </w:rPr>
      </w:pPr>
      <w:r w:rsidRPr="00DD3B1A">
        <w:rPr>
          <w:rFonts w:ascii="Times New Roman" w:hAnsi="Times New Roman" w:cs="Times New Roman"/>
          <w:b/>
          <w:sz w:val="25"/>
          <w:szCs w:val="25"/>
        </w:rPr>
        <w:t>AND</w:t>
      </w:r>
      <w:r w:rsidR="00926040">
        <w:rPr>
          <w:rFonts w:ascii="Times New Roman" w:hAnsi="Times New Roman" w:cs="Times New Roman"/>
          <w:b/>
          <w:sz w:val="25"/>
          <w:szCs w:val="25"/>
        </w:rPr>
        <w:t xml:space="preserve"> </w:t>
      </w:r>
      <w:r w:rsidRPr="00DD3B1A">
        <w:rPr>
          <w:rFonts w:ascii="Times New Roman" w:hAnsi="Times New Roman" w:cs="Times New Roman"/>
          <w:b/>
          <w:sz w:val="25"/>
          <w:szCs w:val="25"/>
        </w:rPr>
        <w:t>OPEN MEETING</w:t>
      </w:r>
    </w:p>
    <w:p w:rsidR="00DD3B1A" w:rsidRDefault="00926040" w:rsidP="00926040">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(Set for 9:30 a.m., Thursday, April 14, 2011)</w:t>
      </w:r>
    </w:p>
    <w:p w:rsidR="00926040" w:rsidRPr="00DD3B1A" w:rsidRDefault="00926040" w:rsidP="00926040">
      <w:pPr>
        <w:pStyle w:val="NoSpacing"/>
        <w:spacing w:line="264" w:lineRule="auto"/>
        <w:jc w:val="center"/>
        <w:rPr>
          <w:rFonts w:ascii="Times New Roman" w:hAnsi="Times New Roman" w:cs="Times New Roman"/>
          <w:sz w:val="25"/>
          <w:szCs w:val="25"/>
        </w:rPr>
      </w:pPr>
    </w:p>
    <w:p w:rsidR="00DD3B1A" w:rsidRPr="00DD3B1A" w:rsidRDefault="00DD3B1A" w:rsidP="00260063">
      <w:pPr>
        <w:pStyle w:val="NoSpacing"/>
        <w:spacing w:line="264" w:lineRule="auto"/>
        <w:rPr>
          <w:rFonts w:ascii="Times New Roman" w:hAnsi="Times New Roman" w:cs="Times New Roman"/>
          <w:sz w:val="25"/>
          <w:szCs w:val="25"/>
        </w:rPr>
      </w:pPr>
    </w:p>
    <w:p w:rsidR="00B652FF" w:rsidRPr="00DD3B1A" w:rsidRDefault="00B652F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RE:</w:t>
      </w:r>
      <w:r w:rsidRPr="00DD3B1A">
        <w:rPr>
          <w:rFonts w:ascii="Times New Roman" w:hAnsi="Times New Roman" w:cs="Times New Roman"/>
          <w:sz w:val="25"/>
          <w:szCs w:val="25"/>
        </w:rPr>
        <w:tab/>
        <w:t>Fuel Surcharge Inquiry</w:t>
      </w:r>
    </w:p>
    <w:p w:rsidR="00B652FF" w:rsidRPr="00DD3B1A" w:rsidRDefault="00B652F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ab/>
        <w:t>Docket T-101661</w:t>
      </w:r>
    </w:p>
    <w:p w:rsidR="00DD3B1A" w:rsidRPr="00DD3B1A" w:rsidRDefault="00DD3B1A" w:rsidP="00260063">
      <w:pPr>
        <w:pStyle w:val="NoSpacing"/>
        <w:spacing w:line="264" w:lineRule="auto"/>
        <w:rPr>
          <w:rFonts w:ascii="Times New Roman" w:hAnsi="Times New Roman" w:cs="Times New Roman"/>
          <w:sz w:val="25"/>
          <w:szCs w:val="25"/>
        </w:rPr>
      </w:pPr>
    </w:p>
    <w:p w:rsidR="00B652FF" w:rsidRPr="00DD3B1A" w:rsidRDefault="00B652F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TO:</w:t>
      </w:r>
      <w:r w:rsidRPr="00DD3B1A">
        <w:rPr>
          <w:rFonts w:ascii="Times New Roman" w:hAnsi="Times New Roman" w:cs="Times New Roman"/>
          <w:sz w:val="25"/>
          <w:szCs w:val="25"/>
        </w:rPr>
        <w:tab/>
        <w:t>REGULATED SOLID WASTE COMPANIES</w:t>
      </w:r>
    </w:p>
    <w:p w:rsidR="00DD3B1A" w:rsidRPr="00DD3B1A" w:rsidRDefault="00DD3B1A" w:rsidP="00260063">
      <w:pPr>
        <w:pStyle w:val="NoSpacing"/>
        <w:spacing w:line="264" w:lineRule="auto"/>
        <w:rPr>
          <w:rFonts w:ascii="Times New Roman" w:hAnsi="Times New Roman" w:cs="Times New Roman"/>
          <w:b/>
          <w:sz w:val="25"/>
          <w:szCs w:val="25"/>
        </w:rPr>
      </w:pPr>
    </w:p>
    <w:p w:rsidR="009502D9" w:rsidRPr="00DD3B1A" w:rsidRDefault="009502D9"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This Notice is provided to advise companies of the Staff’s recommendation to the commission, that companies can file additional written comments, which are due </w:t>
      </w:r>
      <w:r w:rsidRPr="00DD3B1A">
        <w:rPr>
          <w:rFonts w:ascii="Times New Roman" w:hAnsi="Times New Roman" w:cs="Times New Roman"/>
          <w:b/>
          <w:sz w:val="25"/>
          <w:szCs w:val="25"/>
        </w:rPr>
        <w:t xml:space="preserve">April </w:t>
      </w:r>
      <w:r w:rsidR="00DD3B1A" w:rsidRPr="00DD3B1A">
        <w:rPr>
          <w:rFonts w:ascii="Times New Roman" w:hAnsi="Times New Roman" w:cs="Times New Roman"/>
          <w:b/>
          <w:sz w:val="25"/>
          <w:szCs w:val="25"/>
        </w:rPr>
        <w:t>1</w:t>
      </w:r>
      <w:r w:rsidRPr="00DD3B1A">
        <w:rPr>
          <w:rFonts w:ascii="Times New Roman" w:hAnsi="Times New Roman" w:cs="Times New Roman"/>
          <w:b/>
          <w:sz w:val="25"/>
          <w:szCs w:val="25"/>
        </w:rPr>
        <w:t>, 2011</w:t>
      </w:r>
      <w:r w:rsidRPr="00DD3B1A">
        <w:rPr>
          <w:rFonts w:ascii="Times New Roman" w:hAnsi="Times New Roman" w:cs="Times New Roman"/>
          <w:sz w:val="25"/>
          <w:szCs w:val="25"/>
        </w:rPr>
        <w:t>, and that the commission will consider this matter at the April 14, 2011, open meeting.</w:t>
      </w:r>
    </w:p>
    <w:p w:rsidR="00DD3B1A" w:rsidRPr="00DD3B1A" w:rsidRDefault="00DD3B1A" w:rsidP="00260063">
      <w:pPr>
        <w:pStyle w:val="NoSpacing"/>
        <w:spacing w:line="264" w:lineRule="auto"/>
        <w:rPr>
          <w:rFonts w:ascii="Times New Roman" w:hAnsi="Times New Roman" w:cs="Times New Roman"/>
          <w:sz w:val="25"/>
          <w:szCs w:val="25"/>
        </w:rPr>
      </w:pPr>
    </w:p>
    <w:p w:rsidR="009502D9" w:rsidRPr="00DD3B1A" w:rsidRDefault="009502D9" w:rsidP="00926040">
      <w:pPr>
        <w:pStyle w:val="NoSpacing"/>
        <w:spacing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SUMMARY</w:t>
      </w:r>
    </w:p>
    <w:p w:rsidR="009502D9" w:rsidRPr="00DD3B1A" w:rsidRDefault="009502D9" w:rsidP="00260063">
      <w:pPr>
        <w:pStyle w:val="NoSpacing"/>
        <w:spacing w:line="264" w:lineRule="auto"/>
        <w:rPr>
          <w:rFonts w:ascii="Times New Roman" w:hAnsi="Times New Roman" w:cs="Times New Roman"/>
          <w:sz w:val="25"/>
          <w:szCs w:val="25"/>
        </w:rPr>
      </w:pPr>
    </w:p>
    <w:p w:rsidR="003A0368" w:rsidRPr="00DD3B1A" w:rsidRDefault="003A0368"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The commission opened an inquiry in Docket T-101661 to consider whether to adopt, by rule, methods for determining the circumstances under which it will permit solid waste companies to impose a surcharge for fuel costs, and the methods of calculating any such fuel surcharge. The commission held two workshops attended by representatives </w:t>
      </w:r>
      <w:r w:rsidR="0050182E" w:rsidRPr="00DD3B1A">
        <w:rPr>
          <w:rFonts w:ascii="Times New Roman" w:hAnsi="Times New Roman" w:cs="Times New Roman"/>
          <w:sz w:val="25"/>
          <w:szCs w:val="25"/>
        </w:rPr>
        <w:t>from</w:t>
      </w:r>
      <w:r w:rsidR="00445C1D" w:rsidRPr="00DD3B1A">
        <w:rPr>
          <w:rFonts w:ascii="Times New Roman" w:hAnsi="Times New Roman" w:cs="Times New Roman"/>
          <w:sz w:val="25"/>
          <w:szCs w:val="25"/>
        </w:rPr>
        <w:t xml:space="preserve"> four solid waste</w:t>
      </w:r>
      <w:r w:rsidRPr="00DD3B1A">
        <w:rPr>
          <w:rFonts w:ascii="Times New Roman" w:hAnsi="Times New Roman" w:cs="Times New Roman"/>
          <w:sz w:val="25"/>
          <w:szCs w:val="25"/>
        </w:rPr>
        <w:t xml:space="preserve"> companies and </w:t>
      </w:r>
      <w:r w:rsidR="00BB39E1" w:rsidRPr="00DD3B1A">
        <w:rPr>
          <w:rFonts w:ascii="Times New Roman" w:hAnsi="Times New Roman" w:cs="Times New Roman"/>
          <w:sz w:val="25"/>
          <w:szCs w:val="25"/>
        </w:rPr>
        <w:t>the Washington Refuse and Recycling Association</w:t>
      </w:r>
      <w:r w:rsidRPr="00DD3B1A">
        <w:rPr>
          <w:rFonts w:ascii="Times New Roman" w:hAnsi="Times New Roman" w:cs="Times New Roman"/>
          <w:sz w:val="25"/>
          <w:szCs w:val="25"/>
        </w:rPr>
        <w:t>.</w:t>
      </w:r>
    </w:p>
    <w:p w:rsidR="00DD3B1A" w:rsidRPr="00DD3B1A" w:rsidRDefault="00DD3B1A" w:rsidP="00260063">
      <w:pPr>
        <w:pStyle w:val="NoSpacing"/>
        <w:spacing w:line="264" w:lineRule="auto"/>
        <w:rPr>
          <w:rFonts w:ascii="Times New Roman" w:hAnsi="Times New Roman" w:cs="Times New Roman"/>
          <w:sz w:val="25"/>
          <w:szCs w:val="25"/>
        </w:rPr>
      </w:pPr>
    </w:p>
    <w:p w:rsidR="003A0368" w:rsidRPr="00DD3B1A" w:rsidRDefault="003A0368"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Order 04 in Docket A-0420</w:t>
      </w:r>
      <w:r w:rsidR="00EF02F2">
        <w:rPr>
          <w:rFonts w:ascii="Times New Roman" w:hAnsi="Times New Roman" w:cs="Times New Roman"/>
          <w:sz w:val="25"/>
          <w:szCs w:val="25"/>
        </w:rPr>
        <w:t>9</w:t>
      </w:r>
      <w:r w:rsidRPr="00DD3B1A">
        <w:rPr>
          <w:rFonts w:ascii="Times New Roman" w:hAnsi="Times New Roman" w:cs="Times New Roman"/>
          <w:sz w:val="25"/>
          <w:szCs w:val="25"/>
        </w:rPr>
        <w:t>0 clarifies that solid waste companies should continue to be able to file for temporary fuel surcharges under the procedures and requirements currently applicable to those companies for as long as Order 02 remains in effect, now scheduled to expire May 2, 2011.</w:t>
      </w:r>
    </w:p>
    <w:p w:rsidR="00DD3B1A" w:rsidRPr="00DD3B1A" w:rsidRDefault="00DD3B1A" w:rsidP="00260063">
      <w:pPr>
        <w:pStyle w:val="NoSpacing"/>
        <w:spacing w:line="264" w:lineRule="auto"/>
        <w:rPr>
          <w:rFonts w:ascii="Times New Roman" w:hAnsi="Times New Roman" w:cs="Times New Roman"/>
          <w:sz w:val="25"/>
          <w:szCs w:val="25"/>
        </w:rPr>
      </w:pPr>
    </w:p>
    <w:p w:rsidR="005C39B5" w:rsidRPr="00DD3B1A" w:rsidRDefault="005C39B5"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After considering written comments and the discussions at the two stakeholder meetings, staff recommends the commission:</w:t>
      </w:r>
    </w:p>
    <w:p w:rsidR="00DD3B1A" w:rsidRPr="00DD3B1A" w:rsidRDefault="00DD3B1A" w:rsidP="00260063">
      <w:pPr>
        <w:pStyle w:val="NoSpacing"/>
        <w:spacing w:line="264" w:lineRule="auto"/>
        <w:rPr>
          <w:rFonts w:ascii="Times New Roman" w:hAnsi="Times New Roman" w:cs="Times New Roman"/>
          <w:sz w:val="25"/>
          <w:szCs w:val="25"/>
        </w:rPr>
      </w:pPr>
    </w:p>
    <w:p w:rsidR="006D6F59" w:rsidRPr="00DD3B1A" w:rsidRDefault="005C39B5" w:rsidP="00260063">
      <w:pPr>
        <w:pStyle w:val="ListParagraph"/>
        <w:numPr>
          <w:ilvl w:val="0"/>
          <w:numId w:val="13"/>
        </w:numPr>
        <w:spacing w:line="264" w:lineRule="auto"/>
        <w:rPr>
          <w:rFonts w:ascii="Times New Roman" w:hAnsi="Times New Roman" w:cs="Times New Roman"/>
          <w:sz w:val="25"/>
          <w:szCs w:val="25"/>
        </w:rPr>
      </w:pPr>
      <w:r w:rsidRPr="00DD3B1A">
        <w:rPr>
          <w:rFonts w:ascii="Times New Roman" w:hAnsi="Times New Roman" w:cs="Times New Roman"/>
          <w:sz w:val="25"/>
          <w:szCs w:val="25"/>
        </w:rPr>
        <w:t>Eliminate the current fuel surcharge methodology for solid waste companies effective May 2, 2011, as scheduled.</w:t>
      </w:r>
    </w:p>
    <w:p w:rsidR="00BA1926" w:rsidRPr="00DD3B1A" w:rsidRDefault="00BA1926" w:rsidP="00260063">
      <w:pPr>
        <w:pStyle w:val="ListParagraph"/>
        <w:numPr>
          <w:ilvl w:val="0"/>
          <w:numId w:val="13"/>
        </w:numPr>
        <w:spacing w:line="264" w:lineRule="auto"/>
        <w:rPr>
          <w:rFonts w:ascii="Times New Roman" w:hAnsi="Times New Roman" w:cs="Times New Roman"/>
          <w:sz w:val="25"/>
          <w:szCs w:val="25"/>
        </w:rPr>
      </w:pPr>
      <w:r w:rsidRPr="00DD3B1A">
        <w:rPr>
          <w:rFonts w:ascii="Times New Roman" w:hAnsi="Times New Roman" w:cs="Times New Roman"/>
          <w:sz w:val="25"/>
          <w:szCs w:val="25"/>
        </w:rPr>
        <w:t>Allow solid waste companies to implement deferred accounting for fuel expense. Staff proposes a methodology in this notice and further recommends the commission phase in deferred accounting. No company will be required to implement deferred accounting. However, the temporary fuel surcharge methodology will expire with the effective date of each company’s scheduled deferred accounting phase in effective date.</w:t>
      </w:r>
    </w:p>
    <w:p w:rsidR="0014399C" w:rsidRPr="00DD3B1A" w:rsidRDefault="0014399C" w:rsidP="00260063">
      <w:pPr>
        <w:pStyle w:val="ListParagraph"/>
        <w:numPr>
          <w:ilvl w:val="0"/>
          <w:numId w:val="13"/>
        </w:numPr>
        <w:spacing w:line="264" w:lineRule="auto"/>
        <w:rPr>
          <w:rFonts w:ascii="Times New Roman" w:hAnsi="Times New Roman" w:cs="Times New Roman"/>
          <w:sz w:val="25"/>
          <w:szCs w:val="25"/>
        </w:rPr>
      </w:pPr>
      <w:r w:rsidRPr="00DD3B1A">
        <w:rPr>
          <w:rFonts w:ascii="Times New Roman" w:hAnsi="Times New Roman" w:cs="Times New Roman"/>
          <w:sz w:val="25"/>
          <w:szCs w:val="25"/>
        </w:rPr>
        <w:lastRenderedPageBreak/>
        <w:t>Establish deferred accounting for fuel expense by separate order for each company, similar to what the commission has done for recyclable materials commodity credits and revenue sharing.</w:t>
      </w:r>
    </w:p>
    <w:p w:rsidR="006D6F59" w:rsidRPr="00DD3B1A" w:rsidRDefault="005C39B5" w:rsidP="00260063">
      <w:pPr>
        <w:pStyle w:val="ListParagraph"/>
        <w:numPr>
          <w:ilvl w:val="0"/>
          <w:numId w:val="13"/>
        </w:numPr>
        <w:spacing w:line="264" w:lineRule="auto"/>
        <w:rPr>
          <w:rFonts w:ascii="Times New Roman" w:hAnsi="Times New Roman" w:cs="Times New Roman"/>
          <w:sz w:val="25"/>
          <w:szCs w:val="25"/>
        </w:rPr>
      </w:pPr>
      <w:r w:rsidRPr="00DD3B1A">
        <w:rPr>
          <w:rFonts w:ascii="Times New Roman" w:hAnsi="Times New Roman" w:cs="Times New Roman"/>
          <w:sz w:val="25"/>
          <w:szCs w:val="25"/>
        </w:rPr>
        <w:t>Allow solid waste companies to continue using a revised fuel surcharge methodology, explained in this notice, on a temporary basis</w:t>
      </w:r>
      <w:r w:rsidR="00737FC8" w:rsidRPr="00DD3B1A">
        <w:rPr>
          <w:rFonts w:ascii="Times New Roman" w:hAnsi="Times New Roman" w:cs="Times New Roman"/>
          <w:sz w:val="25"/>
          <w:szCs w:val="25"/>
        </w:rPr>
        <w:t xml:space="preserve">, to expire on the </w:t>
      </w:r>
      <w:r w:rsidR="00BA1926" w:rsidRPr="00DD3B1A">
        <w:rPr>
          <w:rFonts w:ascii="Times New Roman" w:hAnsi="Times New Roman" w:cs="Times New Roman"/>
          <w:sz w:val="25"/>
          <w:szCs w:val="25"/>
        </w:rPr>
        <w:t>staff</w:t>
      </w:r>
      <w:r w:rsidR="00737FC8" w:rsidRPr="00DD3B1A">
        <w:rPr>
          <w:rFonts w:ascii="Times New Roman" w:hAnsi="Times New Roman" w:cs="Times New Roman"/>
          <w:sz w:val="25"/>
          <w:szCs w:val="25"/>
        </w:rPr>
        <w:t>’s</w:t>
      </w:r>
      <w:r w:rsidR="00BA1926" w:rsidRPr="00DD3B1A">
        <w:rPr>
          <w:rFonts w:ascii="Times New Roman" w:hAnsi="Times New Roman" w:cs="Times New Roman"/>
          <w:sz w:val="25"/>
          <w:szCs w:val="25"/>
        </w:rPr>
        <w:t xml:space="preserve"> recommended schedule</w:t>
      </w:r>
      <w:r w:rsidR="00737FC8" w:rsidRPr="00DD3B1A">
        <w:rPr>
          <w:rFonts w:ascii="Times New Roman" w:hAnsi="Times New Roman" w:cs="Times New Roman"/>
          <w:sz w:val="25"/>
          <w:szCs w:val="25"/>
        </w:rPr>
        <w:t>d</w:t>
      </w:r>
      <w:r w:rsidR="00BA1926" w:rsidRPr="00DD3B1A">
        <w:rPr>
          <w:rFonts w:ascii="Times New Roman" w:hAnsi="Times New Roman" w:cs="Times New Roman"/>
          <w:sz w:val="25"/>
          <w:szCs w:val="25"/>
        </w:rPr>
        <w:t xml:space="preserve"> effective date for the </w:t>
      </w:r>
      <w:r w:rsidRPr="00DD3B1A">
        <w:rPr>
          <w:rFonts w:ascii="Times New Roman" w:hAnsi="Times New Roman" w:cs="Times New Roman"/>
          <w:sz w:val="25"/>
          <w:szCs w:val="25"/>
        </w:rPr>
        <w:t xml:space="preserve">company </w:t>
      </w:r>
      <w:r w:rsidR="00BA1926" w:rsidRPr="00DD3B1A">
        <w:rPr>
          <w:rFonts w:ascii="Times New Roman" w:hAnsi="Times New Roman" w:cs="Times New Roman"/>
          <w:sz w:val="25"/>
          <w:szCs w:val="25"/>
        </w:rPr>
        <w:t>t</w:t>
      </w:r>
      <w:r w:rsidRPr="00DD3B1A">
        <w:rPr>
          <w:rFonts w:ascii="Times New Roman" w:hAnsi="Times New Roman" w:cs="Times New Roman"/>
          <w:sz w:val="25"/>
          <w:szCs w:val="25"/>
        </w:rPr>
        <w:t>o implement deferred accounting.</w:t>
      </w:r>
      <w:r w:rsidR="00737FC8" w:rsidRPr="00DD3B1A">
        <w:rPr>
          <w:rFonts w:ascii="Times New Roman" w:hAnsi="Times New Roman" w:cs="Times New Roman"/>
          <w:sz w:val="25"/>
          <w:szCs w:val="25"/>
        </w:rPr>
        <w:t xml:space="preserve"> No commission order is required to implement this methodology.</w:t>
      </w:r>
    </w:p>
    <w:p w:rsidR="006D6F59" w:rsidRPr="00DD3B1A" w:rsidRDefault="005C39B5" w:rsidP="00260063">
      <w:pPr>
        <w:pStyle w:val="ListParagraph"/>
        <w:numPr>
          <w:ilvl w:val="0"/>
          <w:numId w:val="13"/>
        </w:num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Any company can file a proposed rate change </w:t>
      </w:r>
      <w:r w:rsidR="005F3E8E" w:rsidRPr="00DD3B1A">
        <w:rPr>
          <w:rFonts w:ascii="Times New Roman" w:hAnsi="Times New Roman" w:cs="Times New Roman"/>
          <w:sz w:val="25"/>
          <w:szCs w:val="25"/>
        </w:rPr>
        <w:t>using any other methodology</w:t>
      </w:r>
      <w:r w:rsidR="00B652FF" w:rsidRPr="00DD3B1A">
        <w:rPr>
          <w:rFonts w:ascii="Times New Roman" w:hAnsi="Times New Roman" w:cs="Times New Roman"/>
          <w:sz w:val="25"/>
          <w:szCs w:val="25"/>
        </w:rPr>
        <w:t>. Those filings must comply with</w:t>
      </w:r>
      <w:r w:rsidR="00346DF1" w:rsidRPr="00DD3B1A">
        <w:rPr>
          <w:rFonts w:ascii="Times New Roman" w:hAnsi="Times New Roman" w:cs="Times New Roman"/>
          <w:sz w:val="25"/>
          <w:szCs w:val="25"/>
        </w:rPr>
        <w:t xml:space="preserve"> the</w:t>
      </w:r>
      <w:r w:rsidR="00B652FF" w:rsidRPr="00DD3B1A">
        <w:rPr>
          <w:rFonts w:ascii="Times New Roman" w:hAnsi="Times New Roman" w:cs="Times New Roman"/>
          <w:sz w:val="25"/>
          <w:szCs w:val="25"/>
        </w:rPr>
        <w:t xml:space="preserve"> </w:t>
      </w:r>
      <w:r w:rsidRPr="00DD3B1A">
        <w:rPr>
          <w:rFonts w:ascii="Times New Roman" w:hAnsi="Times New Roman" w:cs="Times New Roman"/>
          <w:sz w:val="25"/>
          <w:szCs w:val="25"/>
        </w:rPr>
        <w:t>commission’s rules and regulations</w:t>
      </w:r>
      <w:r w:rsidR="005F3E8E" w:rsidRPr="00DD3B1A">
        <w:rPr>
          <w:rFonts w:ascii="Times New Roman" w:hAnsi="Times New Roman" w:cs="Times New Roman"/>
          <w:sz w:val="25"/>
          <w:szCs w:val="25"/>
        </w:rPr>
        <w:t xml:space="preserve">. Staff believes </w:t>
      </w:r>
      <w:r w:rsidR="00346DF1" w:rsidRPr="00DD3B1A">
        <w:rPr>
          <w:rFonts w:ascii="Times New Roman" w:hAnsi="Times New Roman" w:cs="Times New Roman"/>
          <w:sz w:val="25"/>
          <w:szCs w:val="25"/>
        </w:rPr>
        <w:t xml:space="preserve">that WAC 480-07-505(1)(d) defines </w:t>
      </w:r>
      <w:r w:rsidR="005F3E8E" w:rsidRPr="00DD3B1A">
        <w:rPr>
          <w:rFonts w:ascii="Times New Roman" w:hAnsi="Times New Roman" w:cs="Times New Roman"/>
          <w:sz w:val="25"/>
          <w:szCs w:val="25"/>
        </w:rPr>
        <w:t xml:space="preserve">any such filings </w:t>
      </w:r>
      <w:r w:rsidR="00346DF1" w:rsidRPr="00DD3B1A">
        <w:rPr>
          <w:rFonts w:ascii="Times New Roman" w:hAnsi="Times New Roman" w:cs="Times New Roman"/>
          <w:sz w:val="25"/>
          <w:szCs w:val="25"/>
        </w:rPr>
        <w:t xml:space="preserve">as </w:t>
      </w:r>
      <w:r w:rsidR="00B652FF" w:rsidRPr="00DD3B1A">
        <w:rPr>
          <w:rFonts w:ascii="Times New Roman" w:hAnsi="Times New Roman" w:cs="Times New Roman"/>
          <w:sz w:val="25"/>
          <w:szCs w:val="25"/>
        </w:rPr>
        <w:t xml:space="preserve">a general rate case and </w:t>
      </w:r>
      <w:r w:rsidR="00346DF1" w:rsidRPr="00DD3B1A">
        <w:rPr>
          <w:rFonts w:ascii="Times New Roman" w:hAnsi="Times New Roman" w:cs="Times New Roman"/>
          <w:sz w:val="25"/>
          <w:szCs w:val="25"/>
        </w:rPr>
        <w:t xml:space="preserve">those filings </w:t>
      </w:r>
      <w:r w:rsidR="00E67677" w:rsidRPr="00DD3B1A">
        <w:rPr>
          <w:rFonts w:ascii="Times New Roman" w:hAnsi="Times New Roman" w:cs="Times New Roman"/>
          <w:sz w:val="25"/>
          <w:szCs w:val="25"/>
        </w:rPr>
        <w:t xml:space="preserve">must comply with </w:t>
      </w:r>
      <w:r w:rsidR="005F3E8E" w:rsidRPr="00DD3B1A">
        <w:rPr>
          <w:rFonts w:ascii="Times New Roman" w:hAnsi="Times New Roman" w:cs="Times New Roman"/>
          <w:sz w:val="25"/>
          <w:szCs w:val="25"/>
        </w:rPr>
        <w:t>WAC 480-07-520, filing requirements.</w:t>
      </w:r>
    </w:p>
    <w:p w:rsidR="005F3E8E" w:rsidRPr="00DD3B1A" w:rsidRDefault="006D6F59" w:rsidP="00260063">
      <w:pPr>
        <w:spacing w:after="0" w:line="264" w:lineRule="auto"/>
        <w:jc w:val="center"/>
        <w:rPr>
          <w:rFonts w:ascii="Times New Roman" w:hAnsi="Times New Roman" w:cs="Times New Roman"/>
          <w:b/>
          <w:sz w:val="25"/>
          <w:szCs w:val="25"/>
        </w:rPr>
      </w:pPr>
      <w:r w:rsidRPr="00DD3B1A">
        <w:rPr>
          <w:rFonts w:ascii="Times New Roman" w:hAnsi="Times New Roman" w:cs="Times New Roman"/>
          <w:b/>
          <w:sz w:val="25"/>
          <w:szCs w:val="25"/>
          <w:u w:val="single"/>
        </w:rPr>
        <w:t>BACKGROUND</w:t>
      </w:r>
    </w:p>
    <w:p w:rsidR="005F3E8E" w:rsidRPr="00DD3B1A" w:rsidRDefault="005F3E8E" w:rsidP="00260063">
      <w:pPr>
        <w:spacing w:after="0" w:line="264" w:lineRule="auto"/>
        <w:jc w:val="center"/>
        <w:rPr>
          <w:rFonts w:ascii="Times New Roman" w:hAnsi="Times New Roman" w:cs="Times New Roman"/>
          <w:b/>
          <w:sz w:val="25"/>
          <w:szCs w:val="25"/>
        </w:rPr>
      </w:pPr>
    </w:p>
    <w:p w:rsidR="009F6D92" w:rsidRPr="00DD3B1A" w:rsidRDefault="005F3E8E" w:rsidP="00260063">
      <w:pPr>
        <w:spacing w:after="0" w:line="264" w:lineRule="auto"/>
        <w:rPr>
          <w:rFonts w:ascii="Times New Roman" w:hAnsi="Times New Roman" w:cs="Times New Roman"/>
          <w:sz w:val="25"/>
          <w:szCs w:val="25"/>
        </w:rPr>
      </w:pPr>
      <w:r w:rsidRPr="00DD3B1A">
        <w:rPr>
          <w:rFonts w:ascii="Times New Roman" w:hAnsi="Times New Roman" w:cs="Times New Roman"/>
          <w:sz w:val="25"/>
          <w:szCs w:val="25"/>
        </w:rPr>
        <w:t>Fuel expense for each company varies as a percent of total revenue for each service provided and as a percent of total company revenue.</w:t>
      </w:r>
    </w:p>
    <w:p w:rsidR="009F6D92" w:rsidRPr="00DD3B1A" w:rsidRDefault="009F6D92">
      <w:pPr>
        <w:spacing w:after="0" w:line="240" w:lineRule="auto"/>
        <w:rPr>
          <w:rFonts w:ascii="Times New Roman" w:hAnsi="Times New Roman" w:cs="Times New Roman"/>
          <w:sz w:val="25"/>
          <w:szCs w:val="25"/>
        </w:rPr>
      </w:pPr>
    </w:p>
    <w:p w:rsidR="00346F8C" w:rsidRPr="00DD3B1A" w:rsidRDefault="0043659E" w:rsidP="00F718A7">
      <w:pPr>
        <w:spacing w:after="0" w:line="240" w:lineRule="auto"/>
        <w:jc w:val="center"/>
        <w:rPr>
          <w:rFonts w:ascii="Times New Roman" w:hAnsi="Times New Roman" w:cs="Times New Roman"/>
          <w:b/>
          <w:sz w:val="25"/>
          <w:szCs w:val="25"/>
        </w:rPr>
      </w:pPr>
      <w:r w:rsidRPr="00DD3B1A">
        <w:rPr>
          <w:rFonts w:ascii="Times New Roman" w:hAnsi="Times New Roman" w:cs="Times New Roman"/>
          <w:b/>
          <w:sz w:val="25"/>
          <w:szCs w:val="25"/>
        </w:rPr>
        <w:t>Table 1</w:t>
      </w:r>
      <w:r w:rsidR="006D4174" w:rsidRPr="00DD3B1A">
        <w:rPr>
          <w:rFonts w:ascii="Times New Roman" w:hAnsi="Times New Roman" w:cs="Times New Roman"/>
          <w:b/>
          <w:sz w:val="25"/>
          <w:szCs w:val="25"/>
        </w:rPr>
        <w:t xml:space="preserve"> </w:t>
      </w:r>
    </w:p>
    <w:p w:rsidR="0043659E" w:rsidRPr="00DD3B1A" w:rsidRDefault="002B4AA4" w:rsidP="00F718A7">
      <w:pPr>
        <w:spacing w:after="0" w:line="240" w:lineRule="auto"/>
        <w:jc w:val="center"/>
        <w:rPr>
          <w:rFonts w:ascii="Times New Roman" w:hAnsi="Times New Roman" w:cs="Times New Roman"/>
          <w:b/>
          <w:sz w:val="25"/>
          <w:szCs w:val="25"/>
        </w:rPr>
      </w:pPr>
      <w:r w:rsidRPr="00DD3B1A">
        <w:rPr>
          <w:rFonts w:ascii="Times New Roman" w:hAnsi="Times New Roman" w:cs="Times New Roman"/>
          <w:b/>
          <w:sz w:val="25"/>
          <w:szCs w:val="25"/>
        </w:rPr>
        <w:t xml:space="preserve"> </w:t>
      </w:r>
      <w:r w:rsidR="0043659E" w:rsidRPr="00DD3B1A">
        <w:rPr>
          <w:rFonts w:ascii="Times New Roman" w:hAnsi="Times New Roman" w:cs="Times New Roman"/>
          <w:b/>
          <w:sz w:val="25"/>
          <w:szCs w:val="25"/>
        </w:rPr>
        <w:t>Fuel Expense</w:t>
      </w:r>
      <w:r w:rsidR="006D4174" w:rsidRPr="00DD3B1A">
        <w:rPr>
          <w:rFonts w:ascii="Times New Roman" w:hAnsi="Times New Roman" w:cs="Times New Roman"/>
          <w:b/>
          <w:sz w:val="25"/>
          <w:szCs w:val="25"/>
        </w:rPr>
        <w:t xml:space="preserve">: </w:t>
      </w:r>
      <w:r w:rsidR="0043659E" w:rsidRPr="00DD3B1A">
        <w:rPr>
          <w:rFonts w:ascii="Times New Roman" w:hAnsi="Times New Roman" w:cs="Times New Roman"/>
          <w:b/>
          <w:sz w:val="25"/>
          <w:szCs w:val="25"/>
        </w:rPr>
        <w:t>Percent of Total Revenue</w:t>
      </w:r>
      <w:r w:rsidR="006D4174" w:rsidRPr="00DD3B1A">
        <w:rPr>
          <w:rFonts w:ascii="Times New Roman" w:hAnsi="Times New Roman" w:cs="Times New Roman"/>
          <w:b/>
          <w:sz w:val="25"/>
          <w:szCs w:val="25"/>
        </w:rPr>
        <w:t xml:space="preserve"> and Profit</w:t>
      </w:r>
      <w:r w:rsidR="00655C37" w:rsidRPr="00DD3B1A">
        <w:rPr>
          <w:rStyle w:val="FootnoteReference"/>
          <w:rFonts w:ascii="Times New Roman" w:hAnsi="Times New Roman" w:cs="Times New Roman"/>
          <w:b/>
          <w:sz w:val="25"/>
          <w:szCs w:val="25"/>
        </w:rPr>
        <w:footnoteReference w:id="1"/>
      </w:r>
    </w:p>
    <w:p w:rsidR="009F6D92" w:rsidRPr="00DD3B1A" w:rsidRDefault="004B7A0F">
      <w:pPr>
        <w:spacing w:after="0" w:line="240" w:lineRule="auto"/>
        <w:jc w:val="center"/>
        <w:rPr>
          <w:rFonts w:ascii="Times New Roman" w:hAnsi="Times New Roman" w:cs="Times New Roman"/>
          <w:sz w:val="25"/>
          <w:szCs w:val="25"/>
        </w:rPr>
      </w:pPr>
      <w:r w:rsidRPr="00DD3B1A">
        <w:rPr>
          <w:rFonts w:ascii="Times New Roman" w:hAnsi="Times New Roman" w:cs="Times New Roman"/>
          <w:b/>
          <w:sz w:val="25"/>
          <w:szCs w:val="25"/>
        </w:rPr>
        <w:t xml:space="preserve"> </w:t>
      </w:r>
    </w:p>
    <w:p w:rsidR="00AF4F47" w:rsidRPr="00DD3B1A" w:rsidRDefault="00B63FF4">
      <w:pPr>
        <w:rPr>
          <w:rFonts w:ascii="Times New Roman" w:hAnsi="Times New Roman" w:cs="Times New Roman"/>
          <w:sz w:val="25"/>
          <w:szCs w:val="25"/>
        </w:rPr>
      </w:pPr>
      <w:r w:rsidRPr="00DD3B1A">
        <w:rPr>
          <w:rFonts w:ascii="Times New Roman" w:hAnsi="Times New Roman" w:cs="Times New Roman"/>
          <w:noProof/>
          <w:sz w:val="25"/>
          <w:szCs w:val="25"/>
        </w:rPr>
        <w:drawing>
          <wp:inline distT="0" distB="0" distL="0" distR="0" wp14:anchorId="4AD12492" wp14:editId="5474D3BF">
            <wp:extent cx="5943600" cy="11839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183975"/>
                    </a:xfrm>
                    <a:prstGeom prst="rect">
                      <a:avLst/>
                    </a:prstGeom>
                    <a:noFill/>
                    <a:ln w="9525">
                      <a:noFill/>
                      <a:miter lim="800000"/>
                      <a:headEnd/>
                      <a:tailEnd/>
                    </a:ln>
                  </pic:spPr>
                </pic:pic>
              </a:graphicData>
            </a:graphic>
          </wp:inline>
        </w:drawing>
      </w:r>
    </w:p>
    <w:p w:rsidR="00DD3B1A" w:rsidRPr="00DD3B1A" w:rsidRDefault="00DD3B1A" w:rsidP="00260063">
      <w:pPr>
        <w:pStyle w:val="NoSpacing"/>
        <w:spacing w:line="264" w:lineRule="auto"/>
        <w:rPr>
          <w:rFonts w:ascii="Times New Roman" w:hAnsi="Times New Roman" w:cs="Times New Roman"/>
          <w:sz w:val="25"/>
          <w:szCs w:val="25"/>
        </w:rPr>
      </w:pPr>
    </w:p>
    <w:p w:rsidR="00C2027A" w:rsidRPr="00DD3B1A" w:rsidRDefault="00C84F9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Some of that variation results from disparate prices that companies pay for services. Many costs (e.g. disposal fees, taxes, labor, etc.) are higher in western Washington than in eastern Washington. </w:t>
      </w:r>
      <w:r w:rsidR="00C2027A" w:rsidRPr="00DD3B1A">
        <w:rPr>
          <w:rFonts w:ascii="Times New Roman" w:hAnsi="Times New Roman" w:cs="Times New Roman"/>
          <w:sz w:val="25"/>
          <w:szCs w:val="25"/>
        </w:rPr>
        <w:t xml:space="preserve">The commission uses the Lurito-Gallagher (LG) methodology </w:t>
      </w:r>
      <w:r w:rsidR="007B7DC1" w:rsidRPr="00DD3B1A">
        <w:rPr>
          <w:rFonts w:ascii="Times New Roman" w:hAnsi="Times New Roman" w:cs="Times New Roman"/>
          <w:sz w:val="25"/>
          <w:szCs w:val="25"/>
        </w:rPr>
        <w:t>to calculate a company’s revenue requirement to set rates. The current LG version is based upon 1988 financial data, and was adopted in 1991. The LG model provides additional profit for increased</w:t>
      </w:r>
      <w:r w:rsidR="00C2027A" w:rsidRPr="00DD3B1A">
        <w:rPr>
          <w:rFonts w:ascii="Times New Roman" w:hAnsi="Times New Roman" w:cs="Times New Roman"/>
          <w:sz w:val="25"/>
          <w:szCs w:val="25"/>
        </w:rPr>
        <w:t xml:space="preserve"> expenses, but it is less sensitive to increases in expense than to increases in investment. The effects of these changes in the LG model are not intuitive and generally need to be analyzed by changing input data and recording the output for later analysis. In many respects, the LG model is a black box</w:t>
      </w:r>
      <w:r w:rsidR="00693105" w:rsidRPr="00DD3B1A">
        <w:rPr>
          <w:rFonts w:ascii="Times New Roman" w:hAnsi="Times New Roman" w:cs="Times New Roman"/>
          <w:sz w:val="25"/>
          <w:szCs w:val="25"/>
        </w:rPr>
        <w:t xml:space="preserve"> and </w:t>
      </w:r>
      <w:r w:rsidR="003B2658" w:rsidRPr="00DD3B1A">
        <w:rPr>
          <w:rFonts w:ascii="Times New Roman" w:hAnsi="Times New Roman" w:cs="Times New Roman"/>
          <w:sz w:val="25"/>
          <w:szCs w:val="25"/>
        </w:rPr>
        <w:t xml:space="preserve">underscores the need for the commission to review </w:t>
      </w:r>
      <w:r w:rsidR="00693105" w:rsidRPr="00DD3B1A">
        <w:rPr>
          <w:rFonts w:ascii="Times New Roman" w:hAnsi="Times New Roman" w:cs="Times New Roman"/>
          <w:sz w:val="25"/>
          <w:szCs w:val="25"/>
        </w:rPr>
        <w:t xml:space="preserve">whether the </w:t>
      </w:r>
      <w:r w:rsidR="003B2658" w:rsidRPr="00DD3B1A">
        <w:rPr>
          <w:rFonts w:ascii="Times New Roman" w:hAnsi="Times New Roman" w:cs="Times New Roman"/>
          <w:sz w:val="25"/>
          <w:szCs w:val="25"/>
        </w:rPr>
        <w:t xml:space="preserve">LG model </w:t>
      </w:r>
      <w:r w:rsidR="00693105" w:rsidRPr="00DD3B1A">
        <w:rPr>
          <w:rFonts w:ascii="Times New Roman" w:hAnsi="Times New Roman" w:cs="Times New Roman"/>
          <w:sz w:val="25"/>
          <w:szCs w:val="25"/>
        </w:rPr>
        <w:t xml:space="preserve">is still appropriate </w:t>
      </w:r>
      <w:r w:rsidR="003B2658" w:rsidRPr="00DD3B1A">
        <w:rPr>
          <w:rFonts w:ascii="Times New Roman" w:hAnsi="Times New Roman" w:cs="Times New Roman"/>
          <w:sz w:val="25"/>
          <w:szCs w:val="25"/>
        </w:rPr>
        <w:t>for the purpose of establishing revenue requirement.</w:t>
      </w:r>
    </w:p>
    <w:p w:rsidR="00DD3B1A" w:rsidRPr="00DD3B1A" w:rsidRDefault="00DD3B1A" w:rsidP="00260063">
      <w:pPr>
        <w:pStyle w:val="NoSpacing"/>
        <w:spacing w:line="264" w:lineRule="auto"/>
        <w:rPr>
          <w:rFonts w:ascii="Times New Roman" w:hAnsi="Times New Roman" w:cs="Times New Roman"/>
          <w:sz w:val="25"/>
          <w:szCs w:val="25"/>
        </w:rPr>
      </w:pPr>
    </w:p>
    <w:p w:rsidR="00C037CA" w:rsidRPr="00DD3B1A" w:rsidRDefault="00C037CA"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lastRenderedPageBreak/>
        <w:t xml:space="preserve">Fuel </w:t>
      </w:r>
      <w:r w:rsidR="0031377C" w:rsidRPr="00DD3B1A">
        <w:rPr>
          <w:rFonts w:ascii="Times New Roman" w:hAnsi="Times New Roman" w:cs="Times New Roman"/>
          <w:sz w:val="25"/>
          <w:szCs w:val="25"/>
        </w:rPr>
        <w:t xml:space="preserve">expense is </w:t>
      </w:r>
      <w:r w:rsidR="00693105" w:rsidRPr="00DD3B1A">
        <w:rPr>
          <w:rFonts w:ascii="Times New Roman" w:hAnsi="Times New Roman" w:cs="Times New Roman"/>
          <w:sz w:val="25"/>
          <w:szCs w:val="25"/>
        </w:rPr>
        <w:t xml:space="preserve">related to the type of fuel used </w:t>
      </w:r>
      <w:r w:rsidRPr="00DD3B1A">
        <w:rPr>
          <w:rFonts w:ascii="Times New Roman" w:hAnsi="Times New Roman" w:cs="Times New Roman"/>
          <w:sz w:val="25"/>
          <w:szCs w:val="25"/>
        </w:rPr>
        <w:t>(gasoline, diesel, C</w:t>
      </w:r>
      <w:r w:rsidR="00C22E91" w:rsidRPr="00DD3B1A">
        <w:rPr>
          <w:rFonts w:ascii="Times New Roman" w:hAnsi="Times New Roman" w:cs="Times New Roman"/>
          <w:sz w:val="25"/>
          <w:szCs w:val="25"/>
        </w:rPr>
        <w:t>N</w:t>
      </w:r>
      <w:r w:rsidRPr="00DD3B1A">
        <w:rPr>
          <w:rFonts w:ascii="Times New Roman" w:hAnsi="Times New Roman" w:cs="Times New Roman"/>
          <w:sz w:val="25"/>
          <w:szCs w:val="25"/>
        </w:rPr>
        <w:t>G, electric), units consumed (gallons, cubic feet, watts) and unit price. As companies upgrade fleets</w:t>
      </w:r>
      <w:r w:rsidR="00C22E91" w:rsidRPr="00DD3B1A">
        <w:rPr>
          <w:rFonts w:ascii="Times New Roman" w:hAnsi="Times New Roman" w:cs="Times New Roman"/>
          <w:sz w:val="25"/>
          <w:szCs w:val="25"/>
        </w:rPr>
        <w:t xml:space="preserve"> </w:t>
      </w:r>
      <w:r w:rsidR="00766694" w:rsidRPr="00DD3B1A">
        <w:rPr>
          <w:rFonts w:ascii="Times New Roman" w:hAnsi="Times New Roman" w:cs="Times New Roman"/>
          <w:sz w:val="25"/>
          <w:szCs w:val="25"/>
        </w:rPr>
        <w:t>with</w:t>
      </w:r>
      <w:r w:rsidR="00C22E91" w:rsidRPr="00DD3B1A">
        <w:rPr>
          <w:rFonts w:ascii="Times New Roman" w:hAnsi="Times New Roman" w:cs="Times New Roman"/>
          <w:sz w:val="25"/>
          <w:szCs w:val="25"/>
        </w:rPr>
        <w:t xml:space="preserve"> vehicles that use </w:t>
      </w:r>
      <w:r w:rsidRPr="00DD3B1A">
        <w:rPr>
          <w:rFonts w:ascii="Times New Roman" w:hAnsi="Times New Roman" w:cs="Times New Roman"/>
          <w:sz w:val="25"/>
          <w:szCs w:val="25"/>
        </w:rPr>
        <w:t>alternate fuel</w:t>
      </w:r>
      <w:r w:rsidR="00C22E91" w:rsidRPr="00DD3B1A">
        <w:rPr>
          <w:rFonts w:ascii="Times New Roman" w:hAnsi="Times New Roman" w:cs="Times New Roman"/>
          <w:sz w:val="25"/>
          <w:szCs w:val="25"/>
        </w:rPr>
        <w:t>s</w:t>
      </w:r>
      <w:r w:rsidRPr="00DD3B1A">
        <w:rPr>
          <w:rFonts w:ascii="Times New Roman" w:hAnsi="Times New Roman" w:cs="Times New Roman"/>
          <w:sz w:val="25"/>
          <w:szCs w:val="25"/>
        </w:rPr>
        <w:t>, the relationships become more complex.</w:t>
      </w:r>
    </w:p>
    <w:p w:rsidR="00DD3B1A" w:rsidRPr="00DD3B1A" w:rsidRDefault="00DD3B1A" w:rsidP="00260063">
      <w:pPr>
        <w:pStyle w:val="NoSpacing"/>
        <w:spacing w:line="264" w:lineRule="auto"/>
        <w:rPr>
          <w:rFonts w:ascii="Times New Roman" w:hAnsi="Times New Roman" w:cs="Times New Roman"/>
          <w:sz w:val="25"/>
          <w:szCs w:val="25"/>
        </w:rPr>
      </w:pPr>
    </w:p>
    <w:p w:rsidR="0031377C" w:rsidRPr="00DD3B1A" w:rsidRDefault="0031377C" w:rsidP="00260063">
      <w:pPr>
        <w:pStyle w:val="NoSpacing"/>
        <w:spacing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CURRENT METHODOLOGY</w:t>
      </w:r>
    </w:p>
    <w:p w:rsidR="00DD3B1A" w:rsidRPr="00DD3B1A" w:rsidRDefault="00DD3B1A" w:rsidP="00260063">
      <w:pPr>
        <w:pStyle w:val="NoSpacing"/>
        <w:spacing w:line="264" w:lineRule="auto"/>
        <w:rPr>
          <w:b/>
          <w:u w:val="single"/>
        </w:rPr>
      </w:pPr>
    </w:p>
    <w:p w:rsidR="00FD0567" w:rsidRPr="00DD3B1A" w:rsidRDefault="00766694"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Staff believes the</w:t>
      </w:r>
      <w:r w:rsidR="00FD0567" w:rsidRPr="00DD3B1A">
        <w:rPr>
          <w:rFonts w:ascii="Times New Roman" w:hAnsi="Times New Roman" w:cs="Times New Roman"/>
          <w:sz w:val="25"/>
          <w:szCs w:val="25"/>
        </w:rPr>
        <w:t xml:space="preserve"> current fuel surcharge method</w:t>
      </w:r>
      <w:r w:rsidRPr="00DD3B1A">
        <w:rPr>
          <w:rFonts w:ascii="Times New Roman" w:hAnsi="Times New Roman" w:cs="Times New Roman"/>
          <w:sz w:val="25"/>
          <w:szCs w:val="25"/>
        </w:rPr>
        <w:t>ology</w:t>
      </w:r>
      <w:r w:rsidR="00FD0567" w:rsidRPr="00DD3B1A">
        <w:rPr>
          <w:rFonts w:ascii="Times New Roman" w:hAnsi="Times New Roman" w:cs="Times New Roman"/>
          <w:sz w:val="25"/>
          <w:szCs w:val="25"/>
        </w:rPr>
        <w:t xml:space="preserve"> is flawed in </w:t>
      </w:r>
      <w:r w:rsidR="00FC3E04" w:rsidRPr="00DD3B1A">
        <w:rPr>
          <w:rFonts w:ascii="Times New Roman" w:hAnsi="Times New Roman" w:cs="Times New Roman"/>
          <w:sz w:val="25"/>
          <w:szCs w:val="25"/>
        </w:rPr>
        <w:t>the following</w:t>
      </w:r>
      <w:r w:rsidR="00FD0567" w:rsidRPr="00DD3B1A">
        <w:rPr>
          <w:rFonts w:ascii="Times New Roman" w:hAnsi="Times New Roman" w:cs="Times New Roman"/>
          <w:sz w:val="25"/>
          <w:szCs w:val="25"/>
        </w:rPr>
        <w:t xml:space="preserve"> respects.</w:t>
      </w:r>
    </w:p>
    <w:p w:rsidR="00FD0567" w:rsidRPr="00DD3B1A" w:rsidRDefault="00FD0567" w:rsidP="00260063">
      <w:pPr>
        <w:pStyle w:val="ListParagraph"/>
        <w:numPr>
          <w:ilvl w:val="0"/>
          <w:numId w:val="1"/>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It is</w:t>
      </w:r>
      <w:r w:rsidR="00D332CE" w:rsidRPr="00DD3B1A">
        <w:rPr>
          <w:rFonts w:ascii="Times New Roman" w:hAnsi="Times New Roman" w:cs="Times New Roman"/>
          <w:sz w:val="25"/>
          <w:szCs w:val="25"/>
          <w:u w:val="single"/>
        </w:rPr>
        <w:t xml:space="preserve"> not</w:t>
      </w:r>
      <w:r w:rsidRPr="00DD3B1A">
        <w:rPr>
          <w:rFonts w:ascii="Times New Roman" w:hAnsi="Times New Roman" w:cs="Times New Roman"/>
          <w:sz w:val="25"/>
          <w:szCs w:val="25"/>
          <w:u w:val="single"/>
        </w:rPr>
        <w:t xml:space="preserve"> a surcharge.</w:t>
      </w:r>
      <w:r w:rsidRPr="00DD3B1A">
        <w:rPr>
          <w:rFonts w:ascii="Times New Roman" w:hAnsi="Times New Roman" w:cs="Times New Roman"/>
          <w:sz w:val="25"/>
          <w:szCs w:val="25"/>
        </w:rPr>
        <w:t xml:space="preserve"> A surcharge is intended to address a significant change in a significant cost element</w:t>
      </w:r>
      <w:r w:rsidR="00621BED" w:rsidRPr="00DD3B1A">
        <w:rPr>
          <w:rFonts w:ascii="Times New Roman" w:hAnsi="Times New Roman" w:cs="Times New Roman"/>
          <w:sz w:val="25"/>
          <w:szCs w:val="25"/>
        </w:rPr>
        <w:t xml:space="preserve">, not otherwise offset by other factors, </w:t>
      </w:r>
      <w:r w:rsidRPr="00DD3B1A">
        <w:rPr>
          <w:rFonts w:ascii="Times New Roman" w:hAnsi="Times New Roman" w:cs="Times New Roman"/>
          <w:sz w:val="25"/>
          <w:szCs w:val="25"/>
        </w:rPr>
        <w:t>over a short period of time</w:t>
      </w:r>
      <w:r w:rsidR="00FC3E04" w:rsidRPr="00DD3B1A">
        <w:rPr>
          <w:rFonts w:ascii="Times New Roman" w:hAnsi="Times New Roman" w:cs="Times New Roman"/>
          <w:sz w:val="25"/>
          <w:szCs w:val="25"/>
        </w:rPr>
        <w:t>.</w:t>
      </w:r>
      <w:r w:rsidRPr="00DD3B1A">
        <w:rPr>
          <w:rFonts w:ascii="Times New Roman" w:hAnsi="Times New Roman" w:cs="Times New Roman"/>
          <w:sz w:val="25"/>
          <w:szCs w:val="25"/>
        </w:rPr>
        <w:t xml:space="preserve"> Some solid waste companies have been filing </w:t>
      </w:r>
      <w:r w:rsidR="00FC3E04" w:rsidRPr="00DD3B1A">
        <w:rPr>
          <w:rFonts w:ascii="Times New Roman" w:hAnsi="Times New Roman" w:cs="Times New Roman"/>
          <w:sz w:val="25"/>
          <w:szCs w:val="25"/>
        </w:rPr>
        <w:t xml:space="preserve">surcharges on a regular basis. </w:t>
      </w:r>
      <w:r w:rsidR="00456D25" w:rsidRPr="00DD3B1A">
        <w:rPr>
          <w:rFonts w:ascii="Times New Roman" w:hAnsi="Times New Roman" w:cs="Times New Roman"/>
          <w:sz w:val="25"/>
          <w:szCs w:val="25"/>
        </w:rPr>
        <w:t>For example, Skamania County Sanitary Service, Inc., filed 55 monthly fuel surcharge supplements over a period of 64 months.</w:t>
      </w:r>
    </w:p>
    <w:p w:rsidR="00FD0567" w:rsidRPr="00DD3B1A" w:rsidRDefault="00FD0567" w:rsidP="00260063">
      <w:pPr>
        <w:pStyle w:val="ListParagraph"/>
        <w:numPr>
          <w:ilvl w:val="0"/>
          <w:numId w:val="1"/>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 xml:space="preserve">It allows companies that have not </w:t>
      </w:r>
      <w:r w:rsidR="0051304F" w:rsidRPr="00DD3B1A">
        <w:rPr>
          <w:rFonts w:ascii="Times New Roman" w:hAnsi="Times New Roman" w:cs="Times New Roman"/>
          <w:sz w:val="25"/>
          <w:szCs w:val="25"/>
          <w:u w:val="single"/>
        </w:rPr>
        <w:t xml:space="preserve">filed </w:t>
      </w:r>
      <w:r w:rsidRPr="00DD3B1A">
        <w:rPr>
          <w:rFonts w:ascii="Times New Roman" w:hAnsi="Times New Roman" w:cs="Times New Roman"/>
          <w:sz w:val="25"/>
          <w:szCs w:val="25"/>
          <w:u w:val="single"/>
        </w:rPr>
        <w:t>a rate case for</w:t>
      </w:r>
      <w:r w:rsidR="00837A14" w:rsidRPr="00DD3B1A">
        <w:rPr>
          <w:rFonts w:ascii="Times New Roman" w:hAnsi="Times New Roman" w:cs="Times New Roman"/>
          <w:sz w:val="25"/>
          <w:szCs w:val="25"/>
          <w:u w:val="single"/>
        </w:rPr>
        <w:t xml:space="preserve"> at least six</w:t>
      </w:r>
      <w:r w:rsidRPr="00DD3B1A">
        <w:rPr>
          <w:rFonts w:ascii="Times New Roman" w:hAnsi="Times New Roman" w:cs="Times New Roman"/>
          <w:sz w:val="25"/>
          <w:szCs w:val="25"/>
          <w:u w:val="single"/>
        </w:rPr>
        <w:t xml:space="preserve"> years to file increased </w:t>
      </w:r>
      <w:r w:rsidR="0051304F" w:rsidRPr="00DD3B1A">
        <w:rPr>
          <w:rFonts w:ascii="Times New Roman" w:hAnsi="Times New Roman" w:cs="Times New Roman"/>
          <w:sz w:val="25"/>
          <w:szCs w:val="25"/>
          <w:u w:val="single"/>
        </w:rPr>
        <w:t>rates based on fuel as a single item</w:t>
      </w:r>
      <w:r w:rsidRPr="00DD3B1A">
        <w:rPr>
          <w:rFonts w:ascii="Times New Roman" w:hAnsi="Times New Roman" w:cs="Times New Roman"/>
          <w:sz w:val="25"/>
          <w:szCs w:val="25"/>
          <w:u w:val="single"/>
        </w:rPr>
        <w:t>.</w:t>
      </w:r>
      <w:r w:rsidR="0093433E" w:rsidRPr="00DD3B1A">
        <w:rPr>
          <w:rFonts w:ascii="Times New Roman" w:hAnsi="Times New Roman" w:cs="Times New Roman"/>
          <w:sz w:val="25"/>
          <w:szCs w:val="25"/>
        </w:rPr>
        <w:t xml:space="preserve"> The current method uses a base fuel price from the company’s most recent rate case, or calendar </w:t>
      </w:r>
      <w:r w:rsidRPr="00DD3B1A">
        <w:rPr>
          <w:rFonts w:ascii="Times New Roman" w:hAnsi="Times New Roman" w:cs="Times New Roman"/>
          <w:sz w:val="25"/>
          <w:szCs w:val="25"/>
        </w:rPr>
        <w:t>year 2004</w:t>
      </w:r>
      <w:r w:rsidR="0093433E" w:rsidRPr="00DD3B1A">
        <w:rPr>
          <w:rFonts w:ascii="Times New Roman" w:hAnsi="Times New Roman" w:cs="Times New Roman"/>
          <w:sz w:val="25"/>
          <w:szCs w:val="25"/>
        </w:rPr>
        <w:t xml:space="preserve">, whichever is more recent. </w:t>
      </w:r>
      <w:r w:rsidRPr="00DD3B1A">
        <w:rPr>
          <w:rFonts w:ascii="Times New Roman" w:hAnsi="Times New Roman" w:cs="Times New Roman"/>
          <w:sz w:val="25"/>
          <w:szCs w:val="25"/>
        </w:rPr>
        <w:t xml:space="preserve">The </w:t>
      </w:r>
      <w:r w:rsidR="00FC3E04" w:rsidRPr="00DD3B1A">
        <w:rPr>
          <w:rFonts w:ascii="Times New Roman" w:hAnsi="Times New Roman" w:cs="Times New Roman"/>
          <w:sz w:val="25"/>
          <w:szCs w:val="25"/>
        </w:rPr>
        <w:t xml:space="preserve">2004 </w:t>
      </w:r>
      <w:r w:rsidR="0093433E" w:rsidRPr="00DD3B1A">
        <w:rPr>
          <w:rFonts w:ascii="Times New Roman" w:hAnsi="Times New Roman" w:cs="Times New Roman"/>
          <w:sz w:val="25"/>
          <w:szCs w:val="25"/>
        </w:rPr>
        <w:t>western Index</w:t>
      </w:r>
      <w:r w:rsidR="00FC3E04" w:rsidRPr="00DD3B1A">
        <w:rPr>
          <w:rFonts w:ascii="Times New Roman" w:hAnsi="Times New Roman" w:cs="Times New Roman"/>
          <w:sz w:val="25"/>
          <w:szCs w:val="25"/>
        </w:rPr>
        <w:t xml:space="preserve"> </w:t>
      </w:r>
      <w:r w:rsidR="0093433E" w:rsidRPr="00DD3B1A">
        <w:rPr>
          <w:rFonts w:ascii="Times New Roman" w:hAnsi="Times New Roman" w:cs="Times New Roman"/>
          <w:sz w:val="25"/>
          <w:szCs w:val="25"/>
        </w:rPr>
        <w:t>is $1.8734 per gallon and the 2004 eastern Index is $</w:t>
      </w:r>
      <w:r w:rsidR="00837A14" w:rsidRPr="00DD3B1A">
        <w:rPr>
          <w:rFonts w:ascii="Times New Roman" w:hAnsi="Times New Roman" w:cs="Times New Roman"/>
          <w:sz w:val="25"/>
          <w:szCs w:val="25"/>
        </w:rPr>
        <w:t>1.9</w:t>
      </w:r>
      <w:r w:rsidR="00621BED" w:rsidRPr="00DD3B1A">
        <w:rPr>
          <w:rFonts w:ascii="Times New Roman" w:hAnsi="Times New Roman" w:cs="Times New Roman"/>
          <w:sz w:val="25"/>
          <w:szCs w:val="25"/>
        </w:rPr>
        <w:t>274</w:t>
      </w:r>
      <w:r w:rsidR="00FC3E04" w:rsidRPr="00DD3B1A">
        <w:rPr>
          <w:rFonts w:ascii="Times New Roman" w:hAnsi="Times New Roman" w:cs="Times New Roman"/>
          <w:sz w:val="25"/>
          <w:szCs w:val="25"/>
        </w:rPr>
        <w:t xml:space="preserve"> </w:t>
      </w:r>
      <w:r w:rsidR="00657EF4" w:rsidRPr="00DD3B1A">
        <w:rPr>
          <w:rFonts w:ascii="Times New Roman" w:hAnsi="Times New Roman" w:cs="Times New Roman"/>
          <w:sz w:val="25"/>
          <w:szCs w:val="25"/>
        </w:rPr>
        <w:t>per gallon</w:t>
      </w:r>
      <w:r w:rsidR="0093433E" w:rsidRPr="00DD3B1A">
        <w:rPr>
          <w:rFonts w:ascii="Times New Roman" w:hAnsi="Times New Roman" w:cs="Times New Roman"/>
          <w:sz w:val="25"/>
          <w:szCs w:val="25"/>
        </w:rPr>
        <w:t>.</w:t>
      </w:r>
      <w:r w:rsidR="00FC3E04" w:rsidRPr="00DD3B1A">
        <w:rPr>
          <w:rFonts w:ascii="Times New Roman" w:hAnsi="Times New Roman" w:cs="Times New Roman"/>
          <w:sz w:val="25"/>
          <w:szCs w:val="25"/>
        </w:rPr>
        <w:t xml:space="preserve"> </w:t>
      </w:r>
    </w:p>
    <w:p w:rsidR="00FC3E04" w:rsidRPr="00DD3B1A" w:rsidRDefault="00FC3E04" w:rsidP="00260063">
      <w:pPr>
        <w:pStyle w:val="ListParagraph"/>
        <w:numPr>
          <w:ilvl w:val="0"/>
          <w:numId w:val="1"/>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Compan</w:t>
      </w:r>
      <w:r w:rsidR="00D332CE" w:rsidRPr="00DD3B1A">
        <w:rPr>
          <w:rFonts w:ascii="Times New Roman" w:hAnsi="Times New Roman" w:cs="Times New Roman"/>
          <w:sz w:val="25"/>
          <w:szCs w:val="25"/>
          <w:u w:val="single"/>
        </w:rPr>
        <w:t>ies</w:t>
      </w:r>
      <w:r w:rsidRPr="00DD3B1A">
        <w:rPr>
          <w:rFonts w:ascii="Times New Roman" w:hAnsi="Times New Roman" w:cs="Times New Roman"/>
          <w:sz w:val="25"/>
          <w:szCs w:val="25"/>
          <w:u w:val="single"/>
        </w:rPr>
        <w:t xml:space="preserve"> file voluntarily.</w:t>
      </w:r>
      <w:r w:rsidR="0093433E" w:rsidRPr="00DD3B1A">
        <w:rPr>
          <w:rFonts w:ascii="Times New Roman" w:hAnsi="Times New Roman" w:cs="Times New Roman"/>
          <w:sz w:val="25"/>
          <w:szCs w:val="25"/>
        </w:rPr>
        <w:t xml:space="preserve"> </w:t>
      </w:r>
      <w:r w:rsidRPr="00DD3B1A">
        <w:rPr>
          <w:rFonts w:ascii="Times New Roman" w:hAnsi="Times New Roman" w:cs="Times New Roman"/>
          <w:sz w:val="25"/>
          <w:szCs w:val="25"/>
        </w:rPr>
        <w:t>Companies are not required to file when fuel cost fall</w:t>
      </w:r>
      <w:r w:rsidR="0093433E" w:rsidRPr="00DD3B1A">
        <w:rPr>
          <w:rFonts w:ascii="Times New Roman" w:hAnsi="Times New Roman" w:cs="Times New Roman"/>
          <w:sz w:val="25"/>
          <w:szCs w:val="25"/>
        </w:rPr>
        <w:t>s</w:t>
      </w:r>
      <w:r w:rsidR="001A5D0C" w:rsidRPr="00DD3B1A">
        <w:rPr>
          <w:rFonts w:ascii="Times New Roman" w:hAnsi="Times New Roman" w:cs="Times New Roman"/>
          <w:sz w:val="25"/>
          <w:szCs w:val="25"/>
        </w:rPr>
        <w:t xml:space="preserve"> below the level that would require the company to provide </w:t>
      </w:r>
      <w:r w:rsidR="00C5509E" w:rsidRPr="00DD3B1A">
        <w:rPr>
          <w:rFonts w:ascii="Times New Roman" w:hAnsi="Times New Roman" w:cs="Times New Roman"/>
          <w:sz w:val="25"/>
          <w:szCs w:val="25"/>
        </w:rPr>
        <w:t xml:space="preserve">customers </w:t>
      </w:r>
      <w:r w:rsidR="001A5D0C" w:rsidRPr="00DD3B1A">
        <w:rPr>
          <w:rFonts w:ascii="Times New Roman" w:hAnsi="Times New Roman" w:cs="Times New Roman"/>
          <w:sz w:val="25"/>
          <w:szCs w:val="25"/>
        </w:rPr>
        <w:t>a credit.</w:t>
      </w:r>
      <w:r w:rsidR="00167D35" w:rsidRPr="00DD3B1A">
        <w:rPr>
          <w:rFonts w:ascii="Times New Roman" w:hAnsi="Times New Roman" w:cs="Times New Roman"/>
          <w:sz w:val="25"/>
          <w:szCs w:val="25"/>
        </w:rPr>
        <w:t xml:space="preserve"> Companies that filed </w:t>
      </w:r>
      <w:r w:rsidR="00C5509E" w:rsidRPr="00DD3B1A">
        <w:rPr>
          <w:rFonts w:ascii="Times New Roman" w:hAnsi="Times New Roman" w:cs="Times New Roman"/>
          <w:sz w:val="25"/>
          <w:szCs w:val="25"/>
        </w:rPr>
        <w:t xml:space="preserve">rate cases using a test period </w:t>
      </w:r>
      <w:r w:rsidR="00167D35" w:rsidRPr="00DD3B1A">
        <w:rPr>
          <w:rFonts w:ascii="Times New Roman" w:hAnsi="Times New Roman" w:cs="Times New Roman"/>
          <w:sz w:val="25"/>
          <w:szCs w:val="25"/>
        </w:rPr>
        <w:t xml:space="preserve">at the height of the 2008 fuel spike argue that </w:t>
      </w:r>
      <w:r w:rsidR="000E1FC3" w:rsidRPr="00DD3B1A">
        <w:rPr>
          <w:rFonts w:ascii="Times New Roman" w:hAnsi="Times New Roman" w:cs="Times New Roman"/>
          <w:sz w:val="25"/>
          <w:szCs w:val="25"/>
        </w:rPr>
        <w:t>there</w:t>
      </w:r>
      <w:r w:rsidR="00167D35" w:rsidRPr="00DD3B1A">
        <w:rPr>
          <w:rFonts w:ascii="Times New Roman" w:hAnsi="Times New Roman" w:cs="Times New Roman"/>
          <w:sz w:val="25"/>
          <w:szCs w:val="25"/>
        </w:rPr>
        <w:t xml:space="preserve"> has been inflation </w:t>
      </w:r>
      <w:r w:rsidR="001A5D0C" w:rsidRPr="00DD3B1A">
        <w:rPr>
          <w:rFonts w:ascii="Times New Roman" w:hAnsi="Times New Roman" w:cs="Times New Roman"/>
          <w:sz w:val="25"/>
          <w:szCs w:val="25"/>
        </w:rPr>
        <w:t xml:space="preserve">and other </w:t>
      </w:r>
      <w:r w:rsidR="00167D35" w:rsidRPr="00DD3B1A">
        <w:rPr>
          <w:rFonts w:ascii="Times New Roman" w:hAnsi="Times New Roman" w:cs="Times New Roman"/>
          <w:sz w:val="25"/>
          <w:szCs w:val="25"/>
        </w:rPr>
        <w:t>cost</w:t>
      </w:r>
      <w:r w:rsidR="001A5D0C" w:rsidRPr="00DD3B1A">
        <w:rPr>
          <w:rFonts w:ascii="Times New Roman" w:hAnsi="Times New Roman" w:cs="Times New Roman"/>
          <w:sz w:val="25"/>
          <w:szCs w:val="25"/>
        </w:rPr>
        <w:t xml:space="preserve"> increases </w:t>
      </w:r>
      <w:r w:rsidR="00167D35" w:rsidRPr="00DD3B1A">
        <w:rPr>
          <w:rFonts w:ascii="Times New Roman" w:hAnsi="Times New Roman" w:cs="Times New Roman"/>
          <w:sz w:val="25"/>
          <w:szCs w:val="25"/>
        </w:rPr>
        <w:t>that offset the fall in fuel costs.</w:t>
      </w:r>
      <w:r w:rsidR="00C5509E" w:rsidRPr="00DD3B1A">
        <w:rPr>
          <w:rFonts w:ascii="Times New Roman" w:hAnsi="Times New Roman" w:cs="Times New Roman"/>
          <w:sz w:val="25"/>
          <w:szCs w:val="25"/>
        </w:rPr>
        <w:t xml:space="preserve"> Fuel surcharges are not a means to subsidize</w:t>
      </w:r>
      <w:r w:rsidR="0093433E" w:rsidRPr="00DD3B1A">
        <w:rPr>
          <w:rFonts w:ascii="Times New Roman" w:hAnsi="Times New Roman" w:cs="Times New Roman"/>
          <w:sz w:val="25"/>
          <w:szCs w:val="25"/>
        </w:rPr>
        <w:t xml:space="preserve"> or offset cost increases</w:t>
      </w:r>
      <w:r w:rsidR="00751121" w:rsidRPr="00DD3B1A">
        <w:rPr>
          <w:rFonts w:ascii="Times New Roman" w:hAnsi="Times New Roman" w:cs="Times New Roman"/>
          <w:sz w:val="25"/>
          <w:szCs w:val="25"/>
        </w:rPr>
        <w:t xml:space="preserve"> for other expense components</w:t>
      </w:r>
      <w:r w:rsidR="00C5509E" w:rsidRPr="00DD3B1A">
        <w:rPr>
          <w:rFonts w:ascii="Times New Roman" w:hAnsi="Times New Roman" w:cs="Times New Roman"/>
          <w:sz w:val="25"/>
          <w:szCs w:val="25"/>
        </w:rPr>
        <w:t>.</w:t>
      </w:r>
    </w:p>
    <w:p w:rsidR="00FC3E04" w:rsidRPr="00DD3B1A" w:rsidRDefault="00FC3E04" w:rsidP="00260063">
      <w:pPr>
        <w:pStyle w:val="ListParagraph"/>
        <w:numPr>
          <w:ilvl w:val="0"/>
          <w:numId w:val="1"/>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There is no updating mechanism</w:t>
      </w:r>
      <w:r w:rsidR="00D332CE" w:rsidRPr="00DD3B1A">
        <w:rPr>
          <w:rFonts w:ascii="Times New Roman" w:hAnsi="Times New Roman" w:cs="Times New Roman"/>
          <w:sz w:val="25"/>
          <w:szCs w:val="25"/>
          <w:u w:val="single"/>
        </w:rPr>
        <w:t>.</w:t>
      </w:r>
      <w:r w:rsidRPr="00DD3B1A">
        <w:rPr>
          <w:rFonts w:ascii="Times New Roman" w:hAnsi="Times New Roman" w:cs="Times New Roman"/>
          <w:sz w:val="25"/>
          <w:szCs w:val="25"/>
        </w:rPr>
        <w:t xml:space="preserve"> </w:t>
      </w:r>
      <w:r w:rsidR="00D332CE" w:rsidRPr="00DD3B1A">
        <w:rPr>
          <w:rFonts w:ascii="Times New Roman" w:hAnsi="Times New Roman" w:cs="Times New Roman"/>
          <w:sz w:val="25"/>
          <w:szCs w:val="25"/>
        </w:rPr>
        <w:t>S</w:t>
      </w:r>
      <w:r w:rsidRPr="00DD3B1A">
        <w:rPr>
          <w:rFonts w:ascii="Times New Roman" w:hAnsi="Times New Roman" w:cs="Times New Roman"/>
          <w:sz w:val="25"/>
          <w:szCs w:val="25"/>
        </w:rPr>
        <w:t xml:space="preserve">ome companies can rely on fuel surcharges to provide additional </w:t>
      </w:r>
      <w:r w:rsidR="00C5509E" w:rsidRPr="00DD3B1A">
        <w:rPr>
          <w:rFonts w:ascii="Times New Roman" w:hAnsi="Times New Roman" w:cs="Times New Roman"/>
          <w:sz w:val="25"/>
          <w:szCs w:val="25"/>
        </w:rPr>
        <w:t xml:space="preserve">revenue </w:t>
      </w:r>
      <w:r w:rsidRPr="00DD3B1A">
        <w:rPr>
          <w:rFonts w:ascii="Times New Roman" w:hAnsi="Times New Roman" w:cs="Times New Roman"/>
          <w:sz w:val="25"/>
          <w:szCs w:val="25"/>
        </w:rPr>
        <w:t xml:space="preserve">instead of filing a rate case. </w:t>
      </w:r>
    </w:p>
    <w:p w:rsidR="00C22E91" w:rsidRPr="00DD3B1A" w:rsidRDefault="003004B7" w:rsidP="00260063">
      <w:pPr>
        <w:pStyle w:val="ListParagraph"/>
        <w:numPr>
          <w:ilvl w:val="0"/>
          <w:numId w:val="1"/>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T</w:t>
      </w:r>
      <w:r w:rsidR="00C22E91" w:rsidRPr="00DD3B1A">
        <w:rPr>
          <w:rFonts w:ascii="Times New Roman" w:hAnsi="Times New Roman" w:cs="Times New Roman"/>
          <w:sz w:val="25"/>
          <w:szCs w:val="25"/>
          <w:u w:val="single"/>
        </w:rPr>
        <w:t xml:space="preserve">he </w:t>
      </w:r>
      <w:r w:rsidR="00CC74A3" w:rsidRPr="00DD3B1A">
        <w:rPr>
          <w:rFonts w:ascii="Times New Roman" w:hAnsi="Times New Roman" w:cs="Times New Roman"/>
          <w:sz w:val="25"/>
          <w:szCs w:val="25"/>
          <w:u w:val="single"/>
        </w:rPr>
        <w:t xml:space="preserve">surcharge </w:t>
      </w:r>
      <w:r w:rsidR="00C22E91" w:rsidRPr="00DD3B1A">
        <w:rPr>
          <w:rFonts w:ascii="Times New Roman" w:hAnsi="Times New Roman" w:cs="Times New Roman"/>
          <w:sz w:val="25"/>
          <w:szCs w:val="25"/>
          <w:u w:val="single"/>
        </w:rPr>
        <w:t>is applied uniformly to all rates</w:t>
      </w:r>
      <w:r w:rsidR="00C22E91" w:rsidRPr="00DD3B1A">
        <w:rPr>
          <w:rFonts w:ascii="Times New Roman" w:hAnsi="Times New Roman" w:cs="Times New Roman"/>
          <w:sz w:val="25"/>
          <w:szCs w:val="25"/>
        </w:rPr>
        <w:t xml:space="preserve">, </w:t>
      </w:r>
      <w:r w:rsidR="00CC74A3" w:rsidRPr="00DD3B1A">
        <w:rPr>
          <w:rFonts w:ascii="Times New Roman" w:hAnsi="Times New Roman" w:cs="Times New Roman"/>
          <w:sz w:val="25"/>
          <w:szCs w:val="25"/>
        </w:rPr>
        <w:t>even though fuel as a percent of total cost varies between different service</w:t>
      </w:r>
      <w:r w:rsidRPr="00DD3B1A">
        <w:rPr>
          <w:rFonts w:ascii="Times New Roman" w:hAnsi="Times New Roman" w:cs="Times New Roman"/>
          <w:sz w:val="25"/>
          <w:szCs w:val="25"/>
        </w:rPr>
        <w:t xml:space="preserve"> classes (garbage, recycling, yard waste and drop box) and some rates </w:t>
      </w:r>
      <w:r w:rsidR="00C22E91" w:rsidRPr="00DD3B1A">
        <w:rPr>
          <w:rFonts w:ascii="Times New Roman" w:hAnsi="Times New Roman" w:cs="Times New Roman"/>
          <w:sz w:val="25"/>
          <w:szCs w:val="25"/>
        </w:rPr>
        <w:t xml:space="preserve">do not directly consume fuel (e.g. </w:t>
      </w:r>
      <w:r w:rsidR="00FA11A5" w:rsidRPr="00DD3B1A">
        <w:rPr>
          <w:rFonts w:ascii="Times New Roman" w:hAnsi="Times New Roman" w:cs="Times New Roman"/>
          <w:sz w:val="25"/>
          <w:szCs w:val="25"/>
        </w:rPr>
        <w:t>late charges, restart fees, returned check charges, Item 230 Disposal Fees, Container Rent, etc.</w:t>
      </w:r>
      <w:r w:rsidR="00C22E91" w:rsidRPr="00DD3B1A">
        <w:rPr>
          <w:rFonts w:ascii="Times New Roman" w:hAnsi="Times New Roman" w:cs="Times New Roman"/>
          <w:sz w:val="25"/>
          <w:szCs w:val="25"/>
        </w:rPr>
        <w:t>)</w:t>
      </w:r>
    </w:p>
    <w:p w:rsidR="00E71220" w:rsidRPr="00DD3B1A" w:rsidRDefault="00FD0567"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There has been continuing controversy over the last 15 years regarding the solid waste fuel surcharge mechanism</w:t>
      </w:r>
      <w:r w:rsidR="001A5D0C" w:rsidRPr="00DD3B1A">
        <w:rPr>
          <w:rFonts w:ascii="Times New Roman" w:hAnsi="Times New Roman" w:cs="Times New Roman"/>
          <w:sz w:val="25"/>
          <w:szCs w:val="25"/>
        </w:rPr>
        <w:t xml:space="preserve"> regarding:</w:t>
      </w:r>
      <w:r w:rsidR="00FC3E04" w:rsidRPr="00DD3B1A">
        <w:rPr>
          <w:rFonts w:ascii="Times New Roman" w:hAnsi="Times New Roman" w:cs="Times New Roman"/>
          <w:sz w:val="25"/>
          <w:szCs w:val="25"/>
        </w:rPr>
        <w:t xml:space="preserve"> </w:t>
      </w:r>
    </w:p>
    <w:p w:rsidR="00FD0567" w:rsidRPr="00DD3B1A" w:rsidRDefault="00E71220" w:rsidP="00260063">
      <w:pPr>
        <w:pStyle w:val="ListParagraph"/>
        <w:numPr>
          <w:ilvl w:val="0"/>
          <w:numId w:val="2"/>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S</w:t>
      </w:r>
      <w:r w:rsidR="00FC3E04" w:rsidRPr="00DD3B1A">
        <w:rPr>
          <w:rFonts w:ascii="Times New Roman" w:hAnsi="Times New Roman" w:cs="Times New Roman"/>
          <w:sz w:val="25"/>
          <w:szCs w:val="25"/>
          <w:u w:val="single"/>
        </w:rPr>
        <w:t>haring risk betwee</w:t>
      </w:r>
      <w:r w:rsidRPr="00DD3B1A">
        <w:rPr>
          <w:rFonts w:ascii="Times New Roman" w:hAnsi="Times New Roman" w:cs="Times New Roman"/>
          <w:sz w:val="25"/>
          <w:szCs w:val="25"/>
          <w:u w:val="single"/>
        </w:rPr>
        <w:t>n the company and the customer</w:t>
      </w:r>
      <w:r w:rsidR="0093433E" w:rsidRPr="00DD3B1A">
        <w:rPr>
          <w:rFonts w:ascii="Times New Roman" w:hAnsi="Times New Roman" w:cs="Times New Roman"/>
          <w:sz w:val="25"/>
          <w:szCs w:val="25"/>
          <w:u w:val="single"/>
        </w:rPr>
        <w:t>.</w:t>
      </w:r>
      <w:r w:rsidR="0093433E" w:rsidRPr="00DD3B1A">
        <w:rPr>
          <w:rFonts w:ascii="Times New Roman" w:hAnsi="Times New Roman" w:cs="Times New Roman"/>
          <w:sz w:val="25"/>
          <w:szCs w:val="25"/>
        </w:rPr>
        <w:t xml:space="preserve"> The current methodology uses a </w:t>
      </w:r>
      <w:r w:rsidRPr="00DD3B1A">
        <w:rPr>
          <w:rFonts w:ascii="Times New Roman" w:hAnsi="Times New Roman" w:cs="Times New Roman"/>
          <w:sz w:val="25"/>
          <w:szCs w:val="25"/>
        </w:rPr>
        <w:t xml:space="preserve">one percent of </w:t>
      </w:r>
      <w:r w:rsidR="00C22E91" w:rsidRPr="00DD3B1A">
        <w:rPr>
          <w:rFonts w:ascii="Times New Roman" w:hAnsi="Times New Roman" w:cs="Times New Roman"/>
          <w:sz w:val="25"/>
          <w:szCs w:val="25"/>
        </w:rPr>
        <w:t xml:space="preserve">total </w:t>
      </w:r>
      <w:r w:rsidRPr="00DD3B1A">
        <w:rPr>
          <w:rFonts w:ascii="Times New Roman" w:hAnsi="Times New Roman" w:cs="Times New Roman"/>
          <w:sz w:val="25"/>
          <w:szCs w:val="25"/>
        </w:rPr>
        <w:t>revenue</w:t>
      </w:r>
      <w:r w:rsidR="00F17EA7" w:rsidRPr="00DD3B1A">
        <w:rPr>
          <w:rFonts w:ascii="Times New Roman" w:hAnsi="Times New Roman" w:cs="Times New Roman"/>
          <w:sz w:val="25"/>
          <w:szCs w:val="25"/>
        </w:rPr>
        <w:t xml:space="preserve"> threshold or “dead band”.</w:t>
      </w:r>
      <w:r w:rsidRPr="00DD3B1A">
        <w:rPr>
          <w:rFonts w:ascii="Times New Roman" w:hAnsi="Times New Roman" w:cs="Times New Roman"/>
          <w:sz w:val="25"/>
          <w:szCs w:val="25"/>
        </w:rPr>
        <w:t xml:space="preserve"> </w:t>
      </w:r>
      <w:r w:rsidR="00F17EA7" w:rsidRPr="00DD3B1A">
        <w:rPr>
          <w:rFonts w:ascii="Times New Roman" w:hAnsi="Times New Roman" w:cs="Times New Roman"/>
          <w:sz w:val="25"/>
          <w:szCs w:val="25"/>
        </w:rPr>
        <w:t xml:space="preserve">Companies are allowed to recover the amount of fuel increase that exceeds the “dead band”. </w:t>
      </w:r>
      <w:r w:rsidRPr="00DD3B1A">
        <w:rPr>
          <w:rFonts w:ascii="Times New Roman" w:hAnsi="Times New Roman" w:cs="Times New Roman"/>
          <w:sz w:val="25"/>
          <w:szCs w:val="25"/>
        </w:rPr>
        <w:t>Th</w:t>
      </w:r>
      <w:r w:rsidR="00F17EA7" w:rsidRPr="00DD3B1A">
        <w:rPr>
          <w:rFonts w:ascii="Times New Roman" w:hAnsi="Times New Roman" w:cs="Times New Roman"/>
          <w:sz w:val="25"/>
          <w:szCs w:val="25"/>
        </w:rPr>
        <w:t xml:space="preserve">e “dead band” </w:t>
      </w:r>
      <w:r w:rsidRPr="00DD3B1A">
        <w:rPr>
          <w:rFonts w:ascii="Times New Roman" w:hAnsi="Times New Roman" w:cs="Times New Roman"/>
          <w:sz w:val="25"/>
          <w:szCs w:val="25"/>
        </w:rPr>
        <w:t xml:space="preserve">increases the amount that the price of fuel would need to </w:t>
      </w:r>
      <w:r w:rsidR="0093433E" w:rsidRPr="00DD3B1A">
        <w:rPr>
          <w:rFonts w:ascii="Times New Roman" w:hAnsi="Times New Roman" w:cs="Times New Roman"/>
          <w:sz w:val="25"/>
          <w:szCs w:val="25"/>
        </w:rPr>
        <w:t xml:space="preserve">increase </w:t>
      </w:r>
      <w:r w:rsidRPr="00DD3B1A">
        <w:rPr>
          <w:rFonts w:ascii="Times New Roman" w:hAnsi="Times New Roman" w:cs="Times New Roman"/>
          <w:sz w:val="25"/>
          <w:szCs w:val="25"/>
        </w:rPr>
        <w:t xml:space="preserve">for a company to become eligible to file a fuel surcharge. Companies want to </w:t>
      </w:r>
      <w:r w:rsidR="00F17EA7" w:rsidRPr="00DD3B1A">
        <w:rPr>
          <w:rFonts w:ascii="Times New Roman" w:hAnsi="Times New Roman" w:cs="Times New Roman"/>
          <w:sz w:val="25"/>
          <w:szCs w:val="25"/>
        </w:rPr>
        <w:t xml:space="preserve">eliminate, </w:t>
      </w:r>
      <w:r w:rsidRPr="00DD3B1A">
        <w:rPr>
          <w:rFonts w:ascii="Times New Roman" w:hAnsi="Times New Roman" w:cs="Times New Roman"/>
          <w:sz w:val="25"/>
          <w:szCs w:val="25"/>
        </w:rPr>
        <w:t xml:space="preserve">or </w:t>
      </w:r>
      <w:r w:rsidR="00F17EA7" w:rsidRPr="00DD3B1A">
        <w:rPr>
          <w:rFonts w:ascii="Times New Roman" w:hAnsi="Times New Roman" w:cs="Times New Roman"/>
          <w:sz w:val="25"/>
          <w:szCs w:val="25"/>
        </w:rPr>
        <w:t>at least decrease</w:t>
      </w:r>
      <w:r w:rsidRPr="00DD3B1A">
        <w:rPr>
          <w:rFonts w:ascii="Times New Roman" w:hAnsi="Times New Roman" w:cs="Times New Roman"/>
          <w:sz w:val="25"/>
          <w:szCs w:val="25"/>
        </w:rPr>
        <w:t>, the one percent threshold, which would allow companies to qualify for more frequent</w:t>
      </w:r>
      <w:r w:rsidR="00F17EA7" w:rsidRPr="00DD3B1A">
        <w:rPr>
          <w:rFonts w:ascii="Times New Roman" w:hAnsi="Times New Roman" w:cs="Times New Roman"/>
          <w:sz w:val="25"/>
          <w:szCs w:val="25"/>
        </w:rPr>
        <w:t xml:space="preserve">, </w:t>
      </w:r>
      <w:r w:rsidRPr="00DD3B1A">
        <w:rPr>
          <w:rFonts w:ascii="Times New Roman" w:hAnsi="Times New Roman" w:cs="Times New Roman"/>
          <w:sz w:val="25"/>
          <w:szCs w:val="25"/>
        </w:rPr>
        <w:t>higher fuel surcharges</w:t>
      </w:r>
      <w:r w:rsidR="00F17EA7" w:rsidRPr="00DD3B1A">
        <w:rPr>
          <w:rFonts w:ascii="Times New Roman" w:hAnsi="Times New Roman" w:cs="Times New Roman"/>
          <w:sz w:val="25"/>
          <w:szCs w:val="25"/>
        </w:rPr>
        <w:t xml:space="preserve">, and </w:t>
      </w:r>
      <w:r w:rsidR="00733085" w:rsidRPr="00DD3B1A">
        <w:rPr>
          <w:rFonts w:ascii="Times New Roman" w:hAnsi="Times New Roman" w:cs="Times New Roman"/>
          <w:sz w:val="25"/>
          <w:szCs w:val="25"/>
        </w:rPr>
        <w:t xml:space="preserve">earn </w:t>
      </w:r>
      <w:r w:rsidR="00F17EA7" w:rsidRPr="00DD3B1A">
        <w:rPr>
          <w:rFonts w:ascii="Times New Roman" w:hAnsi="Times New Roman" w:cs="Times New Roman"/>
          <w:sz w:val="25"/>
          <w:szCs w:val="25"/>
        </w:rPr>
        <w:t>more revenue</w:t>
      </w:r>
      <w:r w:rsidR="00733085" w:rsidRPr="00DD3B1A">
        <w:rPr>
          <w:rFonts w:ascii="Times New Roman" w:hAnsi="Times New Roman" w:cs="Times New Roman"/>
          <w:sz w:val="25"/>
          <w:szCs w:val="25"/>
        </w:rPr>
        <w:t xml:space="preserve"> and higher profits</w:t>
      </w:r>
      <w:r w:rsidRPr="00DD3B1A">
        <w:rPr>
          <w:rFonts w:ascii="Times New Roman" w:hAnsi="Times New Roman" w:cs="Times New Roman"/>
          <w:sz w:val="25"/>
          <w:szCs w:val="25"/>
        </w:rPr>
        <w:t>.</w:t>
      </w:r>
    </w:p>
    <w:p w:rsidR="00E71220" w:rsidRPr="00DD3B1A" w:rsidRDefault="003004B7" w:rsidP="00260063">
      <w:pPr>
        <w:pStyle w:val="ListParagraph"/>
        <w:numPr>
          <w:ilvl w:val="0"/>
          <w:numId w:val="2"/>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 xml:space="preserve">The method used </w:t>
      </w:r>
      <w:r w:rsidR="00E71220" w:rsidRPr="00DD3B1A">
        <w:rPr>
          <w:rFonts w:ascii="Times New Roman" w:hAnsi="Times New Roman" w:cs="Times New Roman"/>
          <w:sz w:val="25"/>
          <w:szCs w:val="25"/>
          <w:u w:val="single"/>
        </w:rPr>
        <w:t>to calculate a company’s fuel expense relationship</w:t>
      </w:r>
      <w:r w:rsidRPr="00DD3B1A">
        <w:rPr>
          <w:rFonts w:ascii="Times New Roman" w:hAnsi="Times New Roman" w:cs="Times New Roman"/>
          <w:sz w:val="25"/>
          <w:szCs w:val="25"/>
          <w:u w:val="single"/>
        </w:rPr>
        <w:t>.</w:t>
      </w:r>
      <w:r w:rsidRPr="00DD3B1A">
        <w:rPr>
          <w:rFonts w:ascii="Times New Roman" w:hAnsi="Times New Roman" w:cs="Times New Roman"/>
          <w:sz w:val="25"/>
          <w:szCs w:val="25"/>
        </w:rPr>
        <w:t xml:space="preserve"> </w:t>
      </w:r>
      <w:r w:rsidR="00751121" w:rsidRPr="00DD3B1A">
        <w:rPr>
          <w:rFonts w:ascii="Times New Roman" w:hAnsi="Times New Roman" w:cs="Times New Roman"/>
          <w:sz w:val="25"/>
          <w:szCs w:val="25"/>
        </w:rPr>
        <w:t>The c</w:t>
      </w:r>
      <w:r w:rsidRPr="00DD3B1A">
        <w:rPr>
          <w:rFonts w:ascii="Times New Roman" w:hAnsi="Times New Roman" w:cs="Times New Roman"/>
          <w:sz w:val="25"/>
          <w:szCs w:val="25"/>
        </w:rPr>
        <w:t>urrent</w:t>
      </w:r>
      <w:r w:rsidR="00751121" w:rsidRPr="00DD3B1A">
        <w:rPr>
          <w:rFonts w:ascii="Times New Roman" w:hAnsi="Times New Roman" w:cs="Times New Roman"/>
          <w:sz w:val="25"/>
          <w:szCs w:val="25"/>
        </w:rPr>
        <w:t xml:space="preserve"> methodology calculates</w:t>
      </w:r>
      <w:r w:rsidRPr="00DD3B1A">
        <w:rPr>
          <w:rFonts w:ascii="Times New Roman" w:hAnsi="Times New Roman" w:cs="Times New Roman"/>
          <w:sz w:val="25"/>
          <w:szCs w:val="25"/>
        </w:rPr>
        <w:t xml:space="preserve"> a company’s fuel expense relationship by dividing fuel expense by </w:t>
      </w:r>
      <w:r w:rsidR="00E71220" w:rsidRPr="00DD3B1A">
        <w:rPr>
          <w:rFonts w:ascii="Times New Roman" w:hAnsi="Times New Roman" w:cs="Times New Roman"/>
          <w:sz w:val="25"/>
          <w:szCs w:val="25"/>
        </w:rPr>
        <w:t xml:space="preserve">the company’s total revenue. Total revenue includes disposal fees and taxes. Some company’s (primarily operating in western Washington) want to eliminate disposal fees and taxes from </w:t>
      </w:r>
      <w:r w:rsidR="00751121" w:rsidRPr="00DD3B1A">
        <w:rPr>
          <w:rFonts w:ascii="Times New Roman" w:hAnsi="Times New Roman" w:cs="Times New Roman"/>
          <w:sz w:val="25"/>
          <w:szCs w:val="25"/>
        </w:rPr>
        <w:t xml:space="preserve">this calculation </w:t>
      </w:r>
      <w:r w:rsidR="00E71220" w:rsidRPr="00DD3B1A">
        <w:rPr>
          <w:rFonts w:ascii="Times New Roman" w:hAnsi="Times New Roman" w:cs="Times New Roman"/>
          <w:sz w:val="25"/>
          <w:szCs w:val="25"/>
        </w:rPr>
        <w:t>to “normali</w:t>
      </w:r>
      <w:r w:rsidR="00651282" w:rsidRPr="00DD3B1A">
        <w:rPr>
          <w:rFonts w:ascii="Times New Roman" w:hAnsi="Times New Roman" w:cs="Times New Roman"/>
          <w:sz w:val="25"/>
          <w:szCs w:val="25"/>
        </w:rPr>
        <w:t>z</w:t>
      </w:r>
      <w:r w:rsidR="00E71220" w:rsidRPr="00DD3B1A">
        <w:rPr>
          <w:rFonts w:ascii="Times New Roman" w:hAnsi="Times New Roman" w:cs="Times New Roman"/>
          <w:sz w:val="25"/>
          <w:szCs w:val="25"/>
        </w:rPr>
        <w:t xml:space="preserve">e” the effect of high-cost disposal fees </w:t>
      </w:r>
      <w:r w:rsidR="00751121" w:rsidRPr="00DD3B1A">
        <w:rPr>
          <w:rFonts w:ascii="Times New Roman" w:hAnsi="Times New Roman" w:cs="Times New Roman"/>
          <w:sz w:val="25"/>
          <w:szCs w:val="25"/>
        </w:rPr>
        <w:t xml:space="preserve">and taxes </w:t>
      </w:r>
      <w:r w:rsidR="00E71220" w:rsidRPr="00DD3B1A">
        <w:rPr>
          <w:rFonts w:ascii="Times New Roman" w:hAnsi="Times New Roman" w:cs="Times New Roman"/>
          <w:sz w:val="25"/>
          <w:szCs w:val="25"/>
        </w:rPr>
        <w:t xml:space="preserve">in western Washington and low-cost disposal fees </w:t>
      </w:r>
      <w:r w:rsidR="00751121" w:rsidRPr="00DD3B1A">
        <w:rPr>
          <w:rFonts w:ascii="Times New Roman" w:hAnsi="Times New Roman" w:cs="Times New Roman"/>
          <w:sz w:val="25"/>
          <w:szCs w:val="25"/>
        </w:rPr>
        <w:t xml:space="preserve">and taxes </w:t>
      </w:r>
      <w:r w:rsidR="00E71220" w:rsidRPr="00DD3B1A">
        <w:rPr>
          <w:rFonts w:ascii="Times New Roman" w:hAnsi="Times New Roman" w:cs="Times New Roman"/>
          <w:sz w:val="25"/>
          <w:szCs w:val="25"/>
        </w:rPr>
        <w:t xml:space="preserve">in eastern Washington. Eliminating either </w:t>
      </w:r>
      <w:r w:rsidR="00733085" w:rsidRPr="00DD3B1A">
        <w:rPr>
          <w:rFonts w:ascii="Times New Roman" w:hAnsi="Times New Roman" w:cs="Times New Roman"/>
          <w:sz w:val="25"/>
          <w:szCs w:val="25"/>
        </w:rPr>
        <w:t xml:space="preserve">disposal fees or taxes </w:t>
      </w:r>
      <w:r w:rsidR="0093433E" w:rsidRPr="00DD3B1A">
        <w:rPr>
          <w:rFonts w:ascii="Times New Roman" w:hAnsi="Times New Roman" w:cs="Times New Roman"/>
          <w:sz w:val="25"/>
          <w:szCs w:val="25"/>
        </w:rPr>
        <w:t xml:space="preserve">from the calculation would </w:t>
      </w:r>
      <w:r w:rsidR="00FF31B9" w:rsidRPr="00DD3B1A">
        <w:rPr>
          <w:rFonts w:ascii="Times New Roman" w:hAnsi="Times New Roman" w:cs="Times New Roman"/>
          <w:sz w:val="25"/>
          <w:szCs w:val="25"/>
        </w:rPr>
        <w:t>lower “adjusted revenue”</w:t>
      </w:r>
      <w:r w:rsidR="00733085" w:rsidRPr="00DD3B1A">
        <w:rPr>
          <w:rFonts w:ascii="Times New Roman" w:hAnsi="Times New Roman" w:cs="Times New Roman"/>
          <w:sz w:val="25"/>
          <w:szCs w:val="25"/>
        </w:rPr>
        <w:t xml:space="preserve">, </w:t>
      </w:r>
      <w:r w:rsidRPr="00DD3B1A">
        <w:rPr>
          <w:rFonts w:ascii="Times New Roman" w:hAnsi="Times New Roman" w:cs="Times New Roman"/>
          <w:sz w:val="25"/>
          <w:szCs w:val="25"/>
        </w:rPr>
        <w:t xml:space="preserve">thereby </w:t>
      </w:r>
      <w:r w:rsidR="00733085" w:rsidRPr="00DD3B1A">
        <w:rPr>
          <w:rFonts w:ascii="Times New Roman" w:hAnsi="Times New Roman" w:cs="Times New Roman"/>
          <w:sz w:val="25"/>
          <w:szCs w:val="25"/>
        </w:rPr>
        <w:t>increas</w:t>
      </w:r>
      <w:r w:rsidRPr="00DD3B1A">
        <w:rPr>
          <w:rFonts w:ascii="Times New Roman" w:hAnsi="Times New Roman" w:cs="Times New Roman"/>
          <w:sz w:val="25"/>
          <w:szCs w:val="25"/>
        </w:rPr>
        <w:t>ing</w:t>
      </w:r>
      <w:r w:rsidR="00733085" w:rsidRPr="00DD3B1A">
        <w:rPr>
          <w:rFonts w:ascii="Times New Roman" w:hAnsi="Times New Roman" w:cs="Times New Roman"/>
          <w:sz w:val="25"/>
          <w:szCs w:val="25"/>
        </w:rPr>
        <w:t xml:space="preserve"> the </w:t>
      </w:r>
      <w:r w:rsidR="00E71220" w:rsidRPr="00DD3B1A">
        <w:rPr>
          <w:rFonts w:ascii="Times New Roman" w:hAnsi="Times New Roman" w:cs="Times New Roman"/>
          <w:sz w:val="25"/>
          <w:szCs w:val="25"/>
        </w:rPr>
        <w:t xml:space="preserve">percentage relationship of fuel to the </w:t>
      </w:r>
      <w:r w:rsidR="00733085" w:rsidRPr="00DD3B1A">
        <w:rPr>
          <w:rFonts w:ascii="Times New Roman" w:hAnsi="Times New Roman" w:cs="Times New Roman"/>
          <w:sz w:val="25"/>
          <w:szCs w:val="25"/>
        </w:rPr>
        <w:t xml:space="preserve">adjusted </w:t>
      </w:r>
      <w:r w:rsidR="00E71220" w:rsidRPr="00DD3B1A">
        <w:rPr>
          <w:rFonts w:ascii="Times New Roman" w:hAnsi="Times New Roman" w:cs="Times New Roman"/>
          <w:sz w:val="25"/>
          <w:szCs w:val="25"/>
        </w:rPr>
        <w:t xml:space="preserve">revenue, and, absent any change in the one percent </w:t>
      </w:r>
      <w:r w:rsidR="00733085" w:rsidRPr="00DD3B1A">
        <w:rPr>
          <w:rFonts w:ascii="Times New Roman" w:hAnsi="Times New Roman" w:cs="Times New Roman"/>
          <w:sz w:val="25"/>
          <w:szCs w:val="25"/>
        </w:rPr>
        <w:t>“dead band”</w:t>
      </w:r>
      <w:r w:rsidR="00A012A3" w:rsidRPr="00DD3B1A">
        <w:rPr>
          <w:rFonts w:ascii="Times New Roman" w:hAnsi="Times New Roman" w:cs="Times New Roman"/>
          <w:sz w:val="25"/>
          <w:szCs w:val="25"/>
        </w:rPr>
        <w:t>, allow companies to qualify for more frequent</w:t>
      </w:r>
      <w:r w:rsidR="00733085" w:rsidRPr="00DD3B1A">
        <w:rPr>
          <w:rFonts w:ascii="Times New Roman" w:hAnsi="Times New Roman" w:cs="Times New Roman"/>
          <w:sz w:val="25"/>
          <w:szCs w:val="25"/>
        </w:rPr>
        <w:t xml:space="preserve">, </w:t>
      </w:r>
      <w:r w:rsidR="00A012A3" w:rsidRPr="00DD3B1A">
        <w:rPr>
          <w:rFonts w:ascii="Times New Roman" w:hAnsi="Times New Roman" w:cs="Times New Roman"/>
          <w:sz w:val="25"/>
          <w:szCs w:val="25"/>
        </w:rPr>
        <w:t>higher fuel surcharges</w:t>
      </w:r>
      <w:r w:rsidR="00733085" w:rsidRPr="00DD3B1A">
        <w:rPr>
          <w:rFonts w:ascii="Times New Roman" w:hAnsi="Times New Roman" w:cs="Times New Roman"/>
          <w:sz w:val="25"/>
          <w:szCs w:val="25"/>
        </w:rPr>
        <w:t xml:space="preserve"> and earn more revenue and profits</w:t>
      </w:r>
      <w:r w:rsidR="00A012A3" w:rsidRPr="00DD3B1A">
        <w:rPr>
          <w:rFonts w:ascii="Times New Roman" w:hAnsi="Times New Roman" w:cs="Times New Roman"/>
          <w:sz w:val="25"/>
          <w:szCs w:val="25"/>
        </w:rPr>
        <w:t>.</w:t>
      </w:r>
    </w:p>
    <w:p w:rsidR="00A012A3" w:rsidRPr="00DD3B1A" w:rsidRDefault="00A012A3" w:rsidP="00260063">
      <w:pPr>
        <w:pStyle w:val="ListParagraph"/>
        <w:numPr>
          <w:ilvl w:val="0"/>
          <w:numId w:val="2"/>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Filing f</w:t>
      </w:r>
      <w:r w:rsidR="00E71220" w:rsidRPr="00DD3B1A">
        <w:rPr>
          <w:rFonts w:ascii="Times New Roman" w:hAnsi="Times New Roman" w:cs="Times New Roman"/>
          <w:sz w:val="25"/>
          <w:szCs w:val="25"/>
          <w:u w:val="single"/>
        </w:rPr>
        <w:t>requency</w:t>
      </w:r>
      <w:r w:rsidRPr="00DD3B1A">
        <w:rPr>
          <w:rFonts w:ascii="Times New Roman" w:hAnsi="Times New Roman" w:cs="Times New Roman"/>
          <w:sz w:val="25"/>
          <w:szCs w:val="25"/>
          <w:u w:val="single"/>
        </w:rPr>
        <w:t>.</w:t>
      </w:r>
      <w:r w:rsidRPr="00DD3B1A">
        <w:rPr>
          <w:rFonts w:ascii="Times New Roman" w:hAnsi="Times New Roman" w:cs="Times New Roman"/>
          <w:sz w:val="25"/>
          <w:szCs w:val="25"/>
        </w:rPr>
        <w:t xml:space="preserve"> </w:t>
      </w:r>
      <w:r w:rsidR="00751121" w:rsidRPr="00DD3B1A">
        <w:rPr>
          <w:rFonts w:ascii="Times New Roman" w:hAnsi="Times New Roman" w:cs="Times New Roman"/>
          <w:sz w:val="25"/>
          <w:szCs w:val="25"/>
        </w:rPr>
        <w:t>The c</w:t>
      </w:r>
      <w:r w:rsidRPr="00DD3B1A">
        <w:rPr>
          <w:rFonts w:ascii="Times New Roman" w:hAnsi="Times New Roman" w:cs="Times New Roman"/>
          <w:sz w:val="25"/>
          <w:szCs w:val="25"/>
        </w:rPr>
        <w:t xml:space="preserve">urrent </w:t>
      </w:r>
      <w:r w:rsidR="00751121" w:rsidRPr="00DD3B1A">
        <w:rPr>
          <w:rFonts w:ascii="Times New Roman" w:hAnsi="Times New Roman" w:cs="Times New Roman"/>
          <w:sz w:val="25"/>
          <w:szCs w:val="25"/>
        </w:rPr>
        <w:t xml:space="preserve">methodology requires </w:t>
      </w:r>
      <w:r w:rsidRPr="00DD3B1A">
        <w:rPr>
          <w:rFonts w:ascii="Times New Roman" w:hAnsi="Times New Roman" w:cs="Times New Roman"/>
          <w:sz w:val="25"/>
          <w:szCs w:val="25"/>
        </w:rPr>
        <w:t>companies to file fuel surcharges that match the company’s billing cycle. The following is a summary of current billing practices:</w:t>
      </w:r>
    </w:p>
    <w:p w:rsidR="00FF31B9" w:rsidRPr="00DD3B1A" w:rsidRDefault="00FF31B9" w:rsidP="00FF31B9">
      <w:pPr>
        <w:pStyle w:val="ListParagraph"/>
        <w:spacing w:after="0" w:line="240" w:lineRule="auto"/>
        <w:rPr>
          <w:rFonts w:ascii="Times New Roman" w:hAnsi="Times New Roman" w:cs="Times New Roman"/>
          <w:b/>
          <w:sz w:val="25"/>
          <w:szCs w:val="25"/>
        </w:rPr>
      </w:pPr>
    </w:p>
    <w:p w:rsidR="009F6D92" w:rsidRPr="00DD3B1A" w:rsidRDefault="00FF31B9">
      <w:pPr>
        <w:pStyle w:val="ListParagraph"/>
        <w:spacing w:after="0" w:line="240" w:lineRule="auto"/>
        <w:jc w:val="center"/>
        <w:rPr>
          <w:sz w:val="25"/>
          <w:szCs w:val="25"/>
        </w:rPr>
      </w:pPr>
      <w:r w:rsidRPr="00DD3B1A">
        <w:rPr>
          <w:rFonts w:ascii="Times New Roman" w:hAnsi="Times New Roman" w:cs="Times New Roman"/>
          <w:b/>
          <w:sz w:val="25"/>
          <w:szCs w:val="25"/>
        </w:rPr>
        <w:t xml:space="preserve">Table </w:t>
      </w:r>
      <w:r w:rsidR="00751121" w:rsidRPr="00DD3B1A">
        <w:rPr>
          <w:rFonts w:ascii="Times New Roman" w:hAnsi="Times New Roman" w:cs="Times New Roman"/>
          <w:b/>
          <w:sz w:val="25"/>
          <w:szCs w:val="25"/>
        </w:rPr>
        <w:t>2</w:t>
      </w:r>
    </w:p>
    <w:p w:rsidR="009F6D92" w:rsidRPr="00DD3B1A" w:rsidRDefault="00FF31B9">
      <w:pPr>
        <w:pStyle w:val="ListParagraph"/>
        <w:spacing w:after="0" w:line="240" w:lineRule="auto"/>
        <w:jc w:val="center"/>
        <w:rPr>
          <w:rFonts w:ascii="Times New Roman" w:hAnsi="Times New Roman" w:cs="Times New Roman"/>
          <w:b/>
          <w:sz w:val="25"/>
          <w:szCs w:val="25"/>
        </w:rPr>
      </w:pPr>
      <w:r w:rsidRPr="00DD3B1A">
        <w:rPr>
          <w:rFonts w:ascii="Times New Roman" w:hAnsi="Times New Roman" w:cs="Times New Roman"/>
          <w:b/>
          <w:sz w:val="25"/>
          <w:szCs w:val="25"/>
        </w:rPr>
        <w:t xml:space="preserve">Company Billing Cycle </w:t>
      </w:r>
    </w:p>
    <w:p w:rsidR="00FF31B9" w:rsidRPr="00DD3B1A" w:rsidRDefault="00FF31B9" w:rsidP="00FF31B9">
      <w:pPr>
        <w:pStyle w:val="ListParagraph"/>
        <w:jc w:val="center"/>
        <w:rPr>
          <w:rFonts w:ascii="Times New Roman" w:hAnsi="Times New Roman" w:cs="Times New Roman"/>
          <w:sz w:val="25"/>
          <w:szCs w:val="25"/>
        </w:rPr>
      </w:pPr>
    </w:p>
    <w:p w:rsidR="00A012A3" w:rsidRPr="00DD3B1A" w:rsidRDefault="00FF31B9" w:rsidP="00FF31B9">
      <w:pPr>
        <w:pStyle w:val="ListParagraph"/>
        <w:jc w:val="center"/>
        <w:rPr>
          <w:rFonts w:ascii="Times New Roman" w:hAnsi="Times New Roman" w:cs="Times New Roman"/>
          <w:sz w:val="25"/>
          <w:szCs w:val="25"/>
        </w:rPr>
      </w:pPr>
      <w:r w:rsidRPr="00DD3B1A">
        <w:rPr>
          <w:noProof/>
          <w:sz w:val="25"/>
          <w:szCs w:val="25"/>
        </w:rPr>
        <w:drawing>
          <wp:inline distT="0" distB="0" distL="0" distR="0" wp14:anchorId="0E02E208" wp14:editId="1FA5FF69">
            <wp:extent cx="2209800" cy="6858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2209800" cy="685800"/>
                    </a:xfrm>
                    <a:prstGeom prst="rect">
                      <a:avLst/>
                    </a:prstGeom>
                    <a:noFill/>
                    <a:ln w="9525">
                      <a:noFill/>
                      <a:miter lim="800000"/>
                      <a:headEnd/>
                      <a:tailEnd/>
                    </a:ln>
                  </pic:spPr>
                </pic:pic>
              </a:graphicData>
            </a:graphic>
          </wp:inline>
        </w:drawing>
      </w:r>
    </w:p>
    <w:p w:rsidR="004E45C3" w:rsidRPr="00DD3B1A" w:rsidRDefault="004E45C3" w:rsidP="00260063">
      <w:pPr>
        <w:pStyle w:val="ListParagraph"/>
        <w:spacing w:after="0" w:line="264" w:lineRule="auto"/>
        <w:jc w:val="center"/>
        <w:rPr>
          <w:rFonts w:ascii="Times New Roman" w:hAnsi="Times New Roman" w:cs="Times New Roman"/>
          <w:sz w:val="25"/>
          <w:szCs w:val="25"/>
        </w:rPr>
      </w:pPr>
    </w:p>
    <w:p w:rsidR="00E71220" w:rsidRPr="00DD3B1A" w:rsidRDefault="00A012A3" w:rsidP="00260063">
      <w:pPr>
        <w:pStyle w:val="ListParagraph"/>
        <w:spacing w:after="0" w:line="264" w:lineRule="auto"/>
        <w:rPr>
          <w:rFonts w:ascii="Times New Roman" w:hAnsi="Times New Roman" w:cs="Times New Roman"/>
          <w:sz w:val="25"/>
          <w:szCs w:val="25"/>
        </w:rPr>
      </w:pPr>
      <w:r w:rsidRPr="00DD3B1A">
        <w:rPr>
          <w:rFonts w:ascii="Times New Roman" w:hAnsi="Times New Roman" w:cs="Times New Roman"/>
          <w:sz w:val="25"/>
          <w:szCs w:val="25"/>
        </w:rPr>
        <w:t xml:space="preserve">Staff </w:t>
      </w:r>
      <w:r w:rsidR="003004B7" w:rsidRPr="00DD3B1A">
        <w:rPr>
          <w:rFonts w:ascii="Times New Roman" w:hAnsi="Times New Roman" w:cs="Times New Roman"/>
          <w:sz w:val="25"/>
          <w:szCs w:val="25"/>
        </w:rPr>
        <w:t>believes</w:t>
      </w:r>
      <w:r w:rsidRPr="00DD3B1A">
        <w:rPr>
          <w:rFonts w:ascii="Times New Roman" w:hAnsi="Times New Roman" w:cs="Times New Roman"/>
          <w:sz w:val="25"/>
          <w:szCs w:val="25"/>
        </w:rPr>
        <w:t xml:space="preserve"> mo</w:t>
      </w:r>
      <w:r w:rsidR="00FF31B9" w:rsidRPr="00DD3B1A">
        <w:rPr>
          <w:rFonts w:ascii="Times New Roman" w:hAnsi="Times New Roman" w:cs="Times New Roman"/>
          <w:sz w:val="25"/>
          <w:szCs w:val="25"/>
        </w:rPr>
        <w:t xml:space="preserve">nthly changes are too frequent and distort the </w:t>
      </w:r>
      <w:r w:rsidR="00CD5CE4" w:rsidRPr="00DD3B1A">
        <w:rPr>
          <w:rFonts w:ascii="Times New Roman" w:hAnsi="Times New Roman" w:cs="Times New Roman"/>
          <w:sz w:val="25"/>
          <w:szCs w:val="25"/>
        </w:rPr>
        <w:t xml:space="preserve">effect of fuel price fluctuations. Multiple month periods capture both increases and decreases. </w:t>
      </w:r>
      <w:r w:rsidR="00A67351" w:rsidRPr="00DD3B1A">
        <w:rPr>
          <w:rFonts w:ascii="Times New Roman" w:hAnsi="Times New Roman" w:cs="Times New Roman"/>
          <w:sz w:val="25"/>
          <w:szCs w:val="25"/>
        </w:rPr>
        <w:t>A six-month period would level out fuel fluctuations</w:t>
      </w:r>
      <w:r w:rsidR="00B14E70" w:rsidRPr="00DD3B1A">
        <w:rPr>
          <w:rFonts w:ascii="Times New Roman" w:hAnsi="Times New Roman" w:cs="Times New Roman"/>
          <w:sz w:val="25"/>
          <w:szCs w:val="25"/>
        </w:rPr>
        <w:t xml:space="preserve"> and require fewer resources for the company to file changes and for staff to review the filings</w:t>
      </w:r>
      <w:r w:rsidRPr="00DD3B1A">
        <w:rPr>
          <w:rFonts w:ascii="Times New Roman" w:hAnsi="Times New Roman" w:cs="Times New Roman"/>
          <w:sz w:val="25"/>
          <w:szCs w:val="25"/>
        </w:rPr>
        <w:t xml:space="preserve">. </w:t>
      </w:r>
    </w:p>
    <w:p w:rsidR="00E71220" w:rsidRDefault="00873438" w:rsidP="00260063">
      <w:pPr>
        <w:pStyle w:val="ListParagraph"/>
        <w:numPr>
          <w:ilvl w:val="0"/>
          <w:numId w:val="2"/>
        </w:numPr>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 xml:space="preserve">Using </w:t>
      </w:r>
      <w:r w:rsidR="00E71220" w:rsidRPr="00DD3B1A">
        <w:rPr>
          <w:rFonts w:ascii="Times New Roman" w:hAnsi="Times New Roman" w:cs="Times New Roman"/>
          <w:sz w:val="25"/>
          <w:szCs w:val="25"/>
          <w:u w:val="single"/>
        </w:rPr>
        <w:t xml:space="preserve">an </w:t>
      </w:r>
      <w:r w:rsidRPr="00DD3B1A">
        <w:rPr>
          <w:rFonts w:ascii="Times New Roman" w:hAnsi="Times New Roman" w:cs="Times New Roman"/>
          <w:sz w:val="25"/>
          <w:szCs w:val="25"/>
          <w:u w:val="single"/>
        </w:rPr>
        <w:t>i</w:t>
      </w:r>
      <w:r w:rsidR="00842168" w:rsidRPr="00DD3B1A">
        <w:rPr>
          <w:rFonts w:ascii="Times New Roman" w:hAnsi="Times New Roman" w:cs="Times New Roman"/>
          <w:sz w:val="25"/>
          <w:szCs w:val="25"/>
          <w:u w:val="single"/>
        </w:rPr>
        <w:t>ndex</w:t>
      </w:r>
      <w:r w:rsidR="00E71220" w:rsidRPr="00DD3B1A">
        <w:rPr>
          <w:rFonts w:ascii="Times New Roman" w:hAnsi="Times New Roman" w:cs="Times New Roman"/>
          <w:sz w:val="25"/>
          <w:szCs w:val="25"/>
          <w:u w:val="single"/>
        </w:rPr>
        <w:t xml:space="preserve"> instead of individual </w:t>
      </w:r>
      <w:r w:rsidR="00A012A3" w:rsidRPr="00DD3B1A">
        <w:rPr>
          <w:rFonts w:ascii="Times New Roman" w:hAnsi="Times New Roman" w:cs="Times New Roman"/>
          <w:sz w:val="25"/>
          <w:szCs w:val="25"/>
          <w:u w:val="single"/>
        </w:rPr>
        <w:t>fuel costs</w:t>
      </w:r>
      <w:r w:rsidR="00A012A3" w:rsidRPr="00DD3B1A">
        <w:rPr>
          <w:rFonts w:ascii="Times New Roman" w:hAnsi="Times New Roman" w:cs="Times New Roman"/>
          <w:sz w:val="25"/>
          <w:szCs w:val="25"/>
        </w:rPr>
        <w:t xml:space="preserve">, especially </w:t>
      </w:r>
      <w:r w:rsidR="000018CE" w:rsidRPr="00DD3B1A">
        <w:rPr>
          <w:rFonts w:ascii="Times New Roman" w:hAnsi="Times New Roman" w:cs="Times New Roman"/>
          <w:sz w:val="25"/>
          <w:szCs w:val="25"/>
        </w:rPr>
        <w:t xml:space="preserve">for </w:t>
      </w:r>
      <w:r w:rsidR="00A012A3" w:rsidRPr="00DD3B1A">
        <w:rPr>
          <w:rFonts w:ascii="Times New Roman" w:hAnsi="Times New Roman" w:cs="Times New Roman"/>
          <w:sz w:val="25"/>
          <w:szCs w:val="25"/>
        </w:rPr>
        <w:t>smaller company’s operating in more rural areas.</w:t>
      </w:r>
    </w:p>
    <w:p w:rsidR="00260063" w:rsidRPr="00260063" w:rsidRDefault="00260063" w:rsidP="00260063">
      <w:pPr>
        <w:spacing w:after="0" w:line="264" w:lineRule="auto"/>
        <w:ind w:left="360"/>
        <w:rPr>
          <w:rFonts w:ascii="Times New Roman" w:hAnsi="Times New Roman" w:cs="Times New Roman"/>
          <w:sz w:val="25"/>
          <w:szCs w:val="25"/>
        </w:rPr>
      </w:pPr>
    </w:p>
    <w:p w:rsidR="00FD0567" w:rsidRDefault="00A012A3" w:rsidP="00260063">
      <w:pPr>
        <w:spacing w:after="0" w:line="264" w:lineRule="auto"/>
        <w:rPr>
          <w:rFonts w:ascii="Times New Roman" w:hAnsi="Times New Roman" w:cs="Times New Roman"/>
          <w:sz w:val="25"/>
          <w:szCs w:val="25"/>
        </w:rPr>
      </w:pPr>
      <w:r w:rsidRPr="00DD3B1A">
        <w:rPr>
          <w:rFonts w:ascii="Times New Roman" w:hAnsi="Times New Roman" w:cs="Times New Roman"/>
          <w:sz w:val="25"/>
          <w:szCs w:val="25"/>
        </w:rPr>
        <w:t xml:space="preserve">The current </w:t>
      </w:r>
      <w:r w:rsidR="004B13A1" w:rsidRPr="00DD3B1A">
        <w:rPr>
          <w:rFonts w:ascii="Times New Roman" w:hAnsi="Times New Roman" w:cs="Times New Roman"/>
          <w:sz w:val="25"/>
          <w:szCs w:val="25"/>
        </w:rPr>
        <w:t xml:space="preserve">methodology also </w:t>
      </w:r>
      <w:r w:rsidRPr="00DD3B1A">
        <w:rPr>
          <w:rFonts w:ascii="Times New Roman" w:hAnsi="Times New Roman" w:cs="Times New Roman"/>
          <w:sz w:val="25"/>
          <w:szCs w:val="25"/>
        </w:rPr>
        <w:t xml:space="preserve">has suffered from </w:t>
      </w:r>
      <w:r w:rsidR="003004B7" w:rsidRPr="00DD3B1A">
        <w:rPr>
          <w:rFonts w:ascii="Times New Roman" w:hAnsi="Times New Roman" w:cs="Times New Roman"/>
          <w:sz w:val="25"/>
          <w:szCs w:val="25"/>
        </w:rPr>
        <w:t xml:space="preserve">numerous </w:t>
      </w:r>
      <w:r w:rsidRPr="00DD3B1A">
        <w:rPr>
          <w:rFonts w:ascii="Times New Roman" w:hAnsi="Times New Roman" w:cs="Times New Roman"/>
          <w:sz w:val="25"/>
          <w:szCs w:val="25"/>
        </w:rPr>
        <w:t>administrative problems</w:t>
      </w:r>
      <w:r w:rsidR="00FE7EE6" w:rsidRPr="00DD3B1A">
        <w:rPr>
          <w:rFonts w:ascii="Times New Roman" w:hAnsi="Times New Roman" w:cs="Times New Roman"/>
          <w:sz w:val="25"/>
          <w:szCs w:val="25"/>
        </w:rPr>
        <w:t xml:space="preserve"> which require staff resources to correct</w:t>
      </w:r>
      <w:r w:rsidRPr="00DD3B1A">
        <w:rPr>
          <w:rFonts w:ascii="Times New Roman" w:hAnsi="Times New Roman" w:cs="Times New Roman"/>
          <w:sz w:val="25"/>
          <w:szCs w:val="25"/>
        </w:rPr>
        <w:t>:</w:t>
      </w:r>
    </w:p>
    <w:p w:rsidR="00260063" w:rsidRPr="00DD3B1A" w:rsidRDefault="00260063" w:rsidP="00260063">
      <w:pPr>
        <w:spacing w:after="0" w:line="264" w:lineRule="auto"/>
        <w:rPr>
          <w:rFonts w:ascii="Times New Roman" w:hAnsi="Times New Roman" w:cs="Times New Roman"/>
          <w:sz w:val="25"/>
          <w:szCs w:val="25"/>
        </w:rPr>
      </w:pPr>
    </w:p>
    <w:p w:rsidR="00A012A3" w:rsidRPr="00DD3B1A" w:rsidRDefault="00A012A3" w:rsidP="00260063">
      <w:pPr>
        <w:pStyle w:val="ListParagraph"/>
        <w:numPr>
          <w:ilvl w:val="0"/>
          <w:numId w:val="4"/>
        </w:numPr>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Companies file more frequently than the</w:t>
      </w:r>
      <w:r w:rsidR="004B13A1" w:rsidRPr="00DD3B1A">
        <w:rPr>
          <w:rFonts w:ascii="Times New Roman" w:hAnsi="Times New Roman" w:cs="Times New Roman"/>
          <w:sz w:val="25"/>
          <w:szCs w:val="25"/>
          <w:u w:val="single"/>
        </w:rPr>
        <w:t>ir billing cycle allows.</w:t>
      </w:r>
      <w:r w:rsidRPr="00DD3B1A">
        <w:rPr>
          <w:rFonts w:ascii="Times New Roman" w:hAnsi="Times New Roman" w:cs="Times New Roman"/>
          <w:sz w:val="25"/>
          <w:szCs w:val="25"/>
        </w:rPr>
        <w:t xml:space="preserve"> </w:t>
      </w:r>
      <w:r w:rsidR="00D80021" w:rsidRPr="00DD3B1A">
        <w:rPr>
          <w:rFonts w:ascii="Times New Roman" w:hAnsi="Times New Roman" w:cs="Times New Roman"/>
          <w:sz w:val="25"/>
          <w:szCs w:val="25"/>
        </w:rPr>
        <w:t xml:space="preserve">A company that bills every two </w:t>
      </w:r>
      <w:r w:rsidR="000E1FC3" w:rsidRPr="00DD3B1A">
        <w:rPr>
          <w:rFonts w:ascii="Times New Roman" w:hAnsi="Times New Roman" w:cs="Times New Roman"/>
          <w:sz w:val="25"/>
          <w:szCs w:val="25"/>
        </w:rPr>
        <w:t>months</w:t>
      </w:r>
      <w:r w:rsidR="00D80021" w:rsidRPr="00DD3B1A">
        <w:rPr>
          <w:rFonts w:ascii="Times New Roman" w:hAnsi="Times New Roman" w:cs="Times New Roman"/>
          <w:sz w:val="25"/>
          <w:szCs w:val="25"/>
        </w:rPr>
        <w:t xml:space="preserve"> qualifies for a surcharge every two months</w:t>
      </w:r>
      <w:r w:rsidR="001A5D0C" w:rsidRPr="00DD3B1A">
        <w:rPr>
          <w:rFonts w:ascii="Times New Roman" w:hAnsi="Times New Roman" w:cs="Times New Roman"/>
          <w:sz w:val="25"/>
          <w:szCs w:val="25"/>
        </w:rPr>
        <w:t>, yet s</w:t>
      </w:r>
      <w:r w:rsidR="00D80021" w:rsidRPr="00DD3B1A">
        <w:rPr>
          <w:rFonts w:ascii="Times New Roman" w:hAnsi="Times New Roman" w:cs="Times New Roman"/>
          <w:sz w:val="25"/>
          <w:szCs w:val="25"/>
        </w:rPr>
        <w:t xml:space="preserve">ome companies </w:t>
      </w:r>
      <w:r w:rsidR="00873438" w:rsidRPr="00DD3B1A">
        <w:rPr>
          <w:rFonts w:ascii="Times New Roman" w:hAnsi="Times New Roman" w:cs="Times New Roman"/>
          <w:sz w:val="25"/>
          <w:szCs w:val="25"/>
        </w:rPr>
        <w:t xml:space="preserve">continue to </w:t>
      </w:r>
      <w:r w:rsidR="00D80021" w:rsidRPr="00DD3B1A">
        <w:rPr>
          <w:rFonts w:ascii="Times New Roman" w:hAnsi="Times New Roman" w:cs="Times New Roman"/>
          <w:sz w:val="25"/>
          <w:szCs w:val="25"/>
        </w:rPr>
        <w:t xml:space="preserve">file monthly. </w:t>
      </w:r>
    </w:p>
    <w:p w:rsidR="00E54B88" w:rsidRDefault="00D80021" w:rsidP="00260063">
      <w:pPr>
        <w:pStyle w:val="ListParagraph"/>
        <w:numPr>
          <w:ilvl w:val="0"/>
          <w:numId w:val="4"/>
        </w:numPr>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Continuing errors with tariff publication</w:t>
      </w:r>
      <w:r w:rsidRPr="00DD3B1A">
        <w:rPr>
          <w:rFonts w:ascii="Times New Roman" w:hAnsi="Times New Roman" w:cs="Times New Roman"/>
          <w:sz w:val="25"/>
          <w:szCs w:val="25"/>
        </w:rPr>
        <w:t xml:space="preserve"> regarding supplement numbers, </w:t>
      </w:r>
      <w:r w:rsidR="001A5D0C" w:rsidRPr="00DD3B1A">
        <w:rPr>
          <w:rFonts w:ascii="Times New Roman" w:hAnsi="Times New Roman" w:cs="Times New Roman"/>
          <w:sz w:val="25"/>
          <w:szCs w:val="25"/>
        </w:rPr>
        <w:t xml:space="preserve">revision numbers, </w:t>
      </w:r>
      <w:r w:rsidRPr="00DD3B1A">
        <w:rPr>
          <w:rFonts w:ascii="Times New Roman" w:hAnsi="Times New Roman" w:cs="Times New Roman"/>
          <w:sz w:val="25"/>
          <w:szCs w:val="25"/>
        </w:rPr>
        <w:t xml:space="preserve">effective dates and application of the surcharge to customers based upon billing </w:t>
      </w:r>
      <w:r w:rsidR="00146043" w:rsidRPr="00DD3B1A">
        <w:rPr>
          <w:rFonts w:ascii="Times New Roman" w:hAnsi="Times New Roman" w:cs="Times New Roman"/>
          <w:sz w:val="25"/>
          <w:szCs w:val="25"/>
        </w:rPr>
        <w:t>cycles</w:t>
      </w:r>
      <w:r w:rsidR="001A5D0C" w:rsidRPr="00DD3B1A">
        <w:rPr>
          <w:rFonts w:ascii="Times New Roman" w:hAnsi="Times New Roman" w:cs="Times New Roman"/>
          <w:sz w:val="25"/>
          <w:szCs w:val="25"/>
        </w:rPr>
        <w:t xml:space="preserve"> frequently require staff to contact the company to file </w:t>
      </w:r>
      <w:r w:rsidR="00146043" w:rsidRPr="00DD3B1A">
        <w:rPr>
          <w:rFonts w:ascii="Times New Roman" w:hAnsi="Times New Roman" w:cs="Times New Roman"/>
          <w:sz w:val="25"/>
          <w:szCs w:val="25"/>
        </w:rPr>
        <w:t xml:space="preserve">corrections and </w:t>
      </w:r>
      <w:r w:rsidR="001A5D0C" w:rsidRPr="00DD3B1A">
        <w:rPr>
          <w:rFonts w:ascii="Times New Roman" w:hAnsi="Times New Roman" w:cs="Times New Roman"/>
          <w:sz w:val="25"/>
          <w:szCs w:val="25"/>
        </w:rPr>
        <w:t xml:space="preserve">replacement </w:t>
      </w:r>
      <w:r w:rsidR="00146043" w:rsidRPr="00DD3B1A">
        <w:rPr>
          <w:rFonts w:ascii="Times New Roman" w:hAnsi="Times New Roman" w:cs="Times New Roman"/>
          <w:sz w:val="25"/>
          <w:szCs w:val="25"/>
        </w:rPr>
        <w:t xml:space="preserve">tariff </w:t>
      </w:r>
      <w:r w:rsidR="001A5D0C" w:rsidRPr="00DD3B1A">
        <w:rPr>
          <w:rFonts w:ascii="Times New Roman" w:hAnsi="Times New Roman" w:cs="Times New Roman"/>
          <w:sz w:val="25"/>
          <w:szCs w:val="25"/>
        </w:rPr>
        <w:t>pages.</w:t>
      </w:r>
    </w:p>
    <w:p w:rsidR="00260063" w:rsidRPr="00260063" w:rsidRDefault="00260063" w:rsidP="00260063">
      <w:pPr>
        <w:spacing w:after="0" w:line="264" w:lineRule="auto"/>
        <w:ind w:left="360"/>
        <w:rPr>
          <w:rFonts w:ascii="Times New Roman" w:hAnsi="Times New Roman" w:cs="Times New Roman"/>
          <w:sz w:val="25"/>
          <w:szCs w:val="25"/>
        </w:rPr>
      </w:pPr>
    </w:p>
    <w:p w:rsidR="006D6F59" w:rsidRDefault="00577406" w:rsidP="00260063">
      <w:pPr>
        <w:spacing w:after="0"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INDUSTRY PROPOSALS</w:t>
      </w:r>
    </w:p>
    <w:p w:rsidR="00260063" w:rsidRPr="00DD3B1A" w:rsidRDefault="00260063" w:rsidP="00260063">
      <w:pPr>
        <w:spacing w:after="0" w:line="264" w:lineRule="auto"/>
        <w:jc w:val="center"/>
        <w:rPr>
          <w:rFonts w:ascii="Times New Roman" w:hAnsi="Times New Roman" w:cs="Times New Roman"/>
          <w:b/>
          <w:sz w:val="25"/>
          <w:szCs w:val="25"/>
          <w:u w:val="single"/>
        </w:rPr>
      </w:pPr>
    </w:p>
    <w:p w:rsidR="00577406" w:rsidRDefault="00577406" w:rsidP="00260063">
      <w:pPr>
        <w:spacing w:after="0" w:line="264" w:lineRule="auto"/>
        <w:rPr>
          <w:rFonts w:ascii="Times New Roman" w:hAnsi="Times New Roman" w:cs="Times New Roman"/>
          <w:sz w:val="25"/>
          <w:szCs w:val="25"/>
        </w:rPr>
      </w:pPr>
      <w:r w:rsidRPr="00DD3B1A">
        <w:rPr>
          <w:rFonts w:ascii="Times New Roman" w:hAnsi="Times New Roman" w:cs="Times New Roman"/>
          <w:sz w:val="25"/>
          <w:szCs w:val="25"/>
        </w:rPr>
        <w:t>Industry representatives proposed to maintain the current index methodology with the following changes:</w:t>
      </w:r>
    </w:p>
    <w:p w:rsidR="00260063" w:rsidRPr="00DD3B1A" w:rsidRDefault="00260063" w:rsidP="00260063">
      <w:pPr>
        <w:spacing w:after="0" w:line="264" w:lineRule="auto"/>
        <w:rPr>
          <w:rFonts w:ascii="Times New Roman" w:hAnsi="Times New Roman" w:cs="Times New Roman"/>
          <w:sz w:val="25"/>
          <w:szCs w:val="25"/>
        </w:rPr>
      </w:pPr>
    </w:p>
    <w:p w:rsidR="00577406" w:rsidRPr="00DD3B1A" w:rsidRDefault="00577406" w:rsidP="00260063">
      <w:pPr>
        <w:pStyle w:val="ListParagraph"/>
        <w:numPr>
          <w:ilvl w:val="0"/>
          <w:numId w:val="11"/>
        </w:numPr>
        <w:spacing w:after="0" w:line="264" w:lineRule="auto"/>
        <w:ind w:left="720"/>
        <w:rPr>
          <w:rFonts w:ascii="Times New Roman" w:hAnsi="Times New Roman" w:cs="Times New Roman"/>
          <w:sz w:val="25"/>
          <w:szCs w:val="25"/>
        </w:rPr>
      </w:pPr>
      <w:r w:rsidRPr="00DD3B1A">
        <w:rPr>
          <w:rFonts w:ascii="Times New Roman" w:hAnsi="Times New Roman" w:cs="Times New Roman"/>
          <w:sz w:val="25"/>
          <w:szCs w:val="25"/>
        </w:rPr>
        <w:t>Eliminate, or decrease</w:t>
      </w:r>
      <w:r w:rsidR="005F3E8E" w:rsidRPr="00DD3B1A">
        <w:rPr>
          <w:rFonts w:ascii="Times New Roman" w:hAnsi="Times New Roman" w:cs="Times New Roman"/>
          <w:sz w:val="25"/>
          <w:szCs w:val="25"/>
        </w:rPr>
        <w:t>,</w:t>
      </w:r>
      <w:r w:rsidRPr="00DD3B1A">
        <w:rPr>
          <w:rFonts w:ascii="Times New Roman" w:hAnsi="Times New Roman" w:cs="Times New Roman"/>
          <w:sz w:val="25"/>
          <w:szCs w:val="25"/>
        </w:rPr>
        <w:t xml:space="preserve"> the one percent of revenue threshold.</w:t>
      </w:r>
    </w:p>
    <w:p w:rsidR="009F6D92" w:rsidRPr="00DD3B1A" w:rsidRDefault="009F6D92" w:rsidP="00260063">
      <w:pPr>
        <w:pStyle w:val="ListParagraph"/>
        <w:spacing w:after="0" w:line="264" w:lineRule="auto"/>
        <w:ind w:left="1080"/>
        <w:rPr>
          <w:rFonts w:ascii="Times New Roman" w:hAnsi="Times New Roman" w:cs="Times New Roman"/>
          <w:sz w:val="25"/>
          <w:szCs w:val="25"/>
        </w:rPr>
      </w:pPr>
    </w:p>
    <w:p w:rsidR="009F6D92" w:rsidRPr="00DD3B1A" w:rsidRDefault="002A706B" w:rsidP="00260063">
      <w:pPr>
        <w:pStyle w:val="ListParagraph"/>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w:t>
      </w:r>
      <w:r w:rsidR="00F718A7" w:rsidRPr="00DD3B1A">
        <w:rPr>
          <w:rFonts w:ascii="Times New Roman" w:hAnsi="Times New Roman" w:cs="Times New Roman"/>
          <w:sz w:val="25"/>
          <w:szCs w:val="25"/>
        </w:rPr>
        <w:t>continues to believe the current one percent threshold</w:t>
      </w:r>
      <w:r w:rsidR="00751121" w:rsidRPr="00DD3B1A">
        <w:rPr>
          <w:rFonts w:ascii="Times New Roman" w:hAnsi="Times New Roman" w:cs="Times New Roman"/>
          <w:sz w:val="25"/>
          <w:szCs w:val="25"/>
        </w:rPr>
        <w:t>, “dead band”,</w:t>
      </w:r>
      <w:r w:rsidR="00F718A7" w:rsidRPr="00DD3B1A">
        <w:rPr>
          <w:rFonts w:ascii="Times New Roman" w:hAnsi="Times New Roman" w:cs="Times New Roman"/>
          <w:sz w:val="25"/>
          <w:szCs w:val="25"/>
        </w:rPr>
        <w:t xml:space="preserve"> is appropriate.</w:t>
      </w:r>
      <w:r w:rsidRPr="00DD3B1A">
        <w:rPr>
          <w:rFonts w:ascii="Times New Roman" w:hAnsi="Times New Roman" w:cs="Times New Roman"/>
          <w:sz w:val="25"/>
          <w:szCs w:val="25"/>
        </w:rPr>
        <w:t xml:space="preserve"> </w:t>
      </w:r>
      <w:r w:rsidR="00F718A7" w:rsidRPr="00DD3B1A">
        <w:rPr>
          <w:rFonts w:ascii="Times New Roman" w:hAnsi="Times New Roman" w:cs="Times New Roman"/>
          <w:sz w:val="25"/>
          <w:szCs w:val="25"/>
        </w:rPr>
        <w:t xml:space="preserve">The </w:t>
      </w:r>
      <w:r w:rsidRPr="00DD3B1A">
        <w:rPr>
          <w:rFonts w:ascii="Times New Roman" w:hAnsi="Times New Roman" w:cs="Times New Roman"/>
          <w:sz w:val="25"/>
          <w:szCs w:val="25"/>
        </w:rPr>
        <w:t xml:space="preserve">threshold shares risk between the company and customers. With no threshold, the company bears little, or no, risk. </w:t>
      </w:r>
      <w:r w:rsidR="00B92CE1" w:rsidRPr="00DD3B1A">
        <w:rPr>
          <w:rFonts w:ascii="Times New Roman" w:hAnsi="Times New Roman" w:cs="Times New Roman"/>
          <w:sz w:val="25"/>
          <w:szCs w:val="25"/>
        </w:rPr>
        <w:t xml:space="preserve">Risk is the basis for reward. With no risk, the company should earn no reward on fuel expense. </w:t>
      </w:r>
      <w:r w:rsidRPr="00DD3B1A">
        <w:rPr>
          <w:rFonts w:ascii="Times New Roman" w:hAnsi="Times New Roman" w:cs="Times New Roman"/>
          <w:sz w:val="25"/>
          <w:szCs w:val="25"/>
        </w:rPr>
        <w:t>That would transform the current fuel surcharge methodology</w:t>
      </w:r>
      <w:r w:rsidR="00F718A7" w:rsidRPr="00DD3B1A">
        <w:rPr>
          <w:rFonts w:ascii="Times New Roman" w:hAnsi="Times New Roman" w:cs="Times New Roman"/>
          <w:sz w:val="25"/>
          <w:szCs w:val="25"/>
        </w:rPr>
        <w:t>, which was designed to provide companies relief from large changes in fuel price</w:t>
      </w:r>
      <w:r w:rsidR="00B92CE1" w:rsidRPr="00DD3B1A">
        <w:rPr>
          <w:rFonts w:ascii="Times New Roman" w:hAnsi="Times New Roman" w:cs="Times New Roman"/>
          <w:sz w:val="25"/>
          <w:szCs w:val="25"/>
        </w:rPr>
        <w:t>s (so-called “spikes”)</w:t>
      </w:r>
      <w:r w:rsidR="00751121" w:rsidRPr="00DD3B1A">
        <w:rPr>
          <w:rFonts w:ascii="Times New Roman" w:hAnsi="Times New Roman" w:cs="Times New Roman"/>
          <w:sz w:val="25"/>
          <w:szCs w:val="25"/>
        </w:rPr>
        <w:t>,</w:t>
      </w:r>
      <w:r w:rsidRPr="00DD3B1A">
        <w:rPr>
          <w:rFonts w:ascii="Times New Roman" w:hAnsi="Times New Roman" w:cs="Times New Roman"/>
          <w:sz w:val="25"/>
          <w:szCs w:val="25"/>
        </w:rPr>
        <w:t xml:space="preserve"> into a fuel expense guarantee methodology. </w:t>
      </w:r>
    </w:p>
    <w:p w:rsidR="009F6D92" w:rsidRPr="00DD3B1A" w:rsidRDefault="009F6D92" w:rsidP="00260063">
      <w:pPr>
        <w:pStyle w:val="ListParagraph"/>
        <w:spacing w:after="0" w:line="264" w:lineRule="auto"/>
        <w:ind w:left="1080"/>
        <w:rPr>
          <w:rFonts w:ascii="Times New Roman" w:hAnsi="Times New Roman" w:cs="Times New Roman"/>
          <w:sz w:val="25"/>
          <w:szCs w:val="25"/>
        </w:rPr>
      </w:pPr>
    </w:p>
    <w:p w:rsidR="009F6D92" w:rsidRPr="00DD3B1A" w:rsidRDefault="003B2658" w:rsidP="00260063">
      <w:pPr>
        <w:pStyle w:val="ListParagraph"/>
        <w:numPr>
          <w:ilvl w:val="0"/>
          <w:numId w:val="11"/>
        </w:numPr>
        <w:spacing w:after="0" w:line="264" w:lineRule="auto"/>
        <w:ind w:left="720"/>
        <w:rPr>
          <w:rFonts w:ascii="Times New Roman" w:hAnsi="Times New Roman" w:cs="Times New Roman"/>
          <w:sz w:val="25"/>
          <w:szCs w:val="25"/>
        </w:rPr>
      </w:pPr>
      <w:r w:rsidRPr="00DD3B1A">
        <w:rPr>
          <w:rFonts w:ascii="Times New Roman" w:hAnsi="Times New Roman" w:cs="Times New Roman"/>
          <w:sz w:val="25"/>
          <w:szCs w:val="25"/>
        </w:rPr>
        <w:t>Eliminate disposal fees and taxes from the calculation of fuel expense as a percent of revenue</w:t>
      </w:r>
      <w:r w:rsidR="00796527" w:rsidRPr="00DD3B1A">
        <w:rPr>
          <w:rFonts w:ascii="Times New Roman" w:hAnsi="Times New Roman" w:cs="Times New Roman"/>
          <w:sz w:val="25"/>
          <w:szCs w:val="25"/>
        </w:rPr>
        <w:t xml:space="preserve">. </w:t>
      </w:r>
    </w:p>
    <w:p w:rsidR="009F6D92" w:rsidRPr="00DD3B1A" w:rsidRDefault="009F6D92" w:rsidP="00260063">
      <w:pPr>
        <w:pStyle w:val="ListParagraph"/>
        <w:spacing w:after="0" w:line="264" w:lineRule="auto"/>
        <w:ind w:left="1080"/>
        <w:rPr>
          <w:rFonts w:ascii="Times New Roman" w:hAnsi="Times New Roman" w:cs="Times New Roman"/>
          <w:sz w:val="25"/>
          <w:szCs w:val="25"/>
        </w:rPr>
      </w:pPr>
    </w:p>
    <w:p w:rsidR="009F6D92" w:rsidRPr="00DD3B1A" w:rsidRDefault="003B2658" w:rsidP="00260063">
      <w:pPr>
        <w:pStyle w:val="ListParagraph"/>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00923A88" w:rsidRPr="00DD3B1A">
        <w:rPr>
          <w:rFonts w:ascii="Times New Roman" w:hAnsi="Times New Roman" w:cs="Times New Roman"/>
          <w:sz w:val="25"/>
          <w:szCs w:val="25"/>
        </w:rPr>
        <w:t xml:space="preserve"> </w:t>
      </w:r>
      <w:r w:rsidR="00B92CE1" w:rsidRPr="00DD3B1A">
        <w:rPr>
          <w:rFonts w:ascii="Times New Roman" w:hAnsi="Times New Roman" w:cs="Times New Roman"/>
          <w:sz w:val="25"/>
          <w:szCs w:val="25"/>
        </w:rPr>
        <w:t xml:space="preserve">Staff disagrees. </w:t>
      </w:r>
      <w:r w:rsidR="00B15B36" w:rsidRPr="00DD3B1A">
        <w:rPr>
          <w:rFonts w:ascii="Times New Roman" w:hAnsi="Times New Roman" w:cs="Times New Roman"/>
          <w:sz w:val="25"/>
          <w:szCs w:val="25"/>
        </w:rPr>
        <w:t>The current methodology calculates a company’s fuel expense relationship by dividing fuel expense by the company’s total revenue. Total revenue includes disposal fees and taxes. Some company’s (primarily operating in western Washington) want to eliminate disposal fees and taxes from this calculation to “normalize” the effect of high-cost disposal fees and taxes in western Washington and low-cost disposal fees and taxes in eastern Washington. Eliminating either disposal fees or taxes from the calculation would lower “adjusted revenue”, thereby increasing the percentage relationship of fuel to the adjusted revenue, and, absent any change in the one percent “dead band”, allow companies to qualify for more frequent, higher fuel surcharges and earn more revenue and profits.</w:t>
      </w:r>
    </w:p>
    <w:p w:rsidR="009F6D92" w:rsidRPr="00DD3B1A" w:rsidRDefault="00796527" w:rsidP="00260063">
      <w:pPr>
        <w:pStyle w:val="ListParagraph"/>
        <w:spacing w:after="0"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 </w:t>
      </w:r>
    </w:p>
    <w:p w:rsidR="009F6D92" w:rsidRPr="00DD3B1A" w:rsidRDefault="00923A88" w:rsidP="00260063">
      <w:pPr>
        <w:pStyle w:val="ListParagraph"/>
        <w:spacing w:after="0" w:line="264" w:lineRule="auto"/>
        <w:rPr>
          <w:rFonts w:ascii="Times New Roman" w:hAnsi="Times New Roman" w:cs="Times New Roman"/>
          <w:b/>
          <w:sz w:val="25"/>
          <w:szCs w:val="25"/>
        </w:rPr>
      </w:pPr>
      <w:r w:rsidRPr="00DD3B1A">
        <w:rPr>
          <w:rFonts w:ascii="Times New Roman" w:hAnsi="Times New Roman" w:cs="Times New Roman"/>
          <w:sz w:val="25"/>
          <w:szCs w:val="25"/>
        </w:rPr>
        <w:t>Disposal fees are an integral part of a solid waste compan</w:t>
      </w:r>
      <w:r w:rsidR="00B92CE1" w:rsidRPr="00DD3B1A">
        <w:rPr>
          <w:rFonts w:ascii="Times New Roman" w:hAnsi="Times New Roman" w:cs="Times New Roman"/>
          <w:sz w:val="25"/>
          <w:szCs w:val="25"/>
        </w:rPr>
        <w:t>y’s</w:t>
      </w:r>
      <w:r w:rsidRPr="00DD3B1A">
        <w:rPr>
          <w:rFonts w:ascii="Times New Roman" w:hAnsi="Times New Roman" w:cs="Times New Roman"/>
          <w:sz w:val="25"/>
          <w:szCs w:val="25"/>
        </w:rPr>
        <w:t xml:space="preserve"> business and financial structure.</w:t>
      </w:r>
      <w:r w:rsidR="00B92CE1" w:rsidRPr="00DD3B1A">
        <w:rPr>
          <w:rFonts w:ascii="Times New Roman" w:hAnsi="Times New Roman" w:cs="Times New Roman"/>
          <w:sz w:val="25"/>
          <w:szCs w:val="25"/>
        </w:rPr>
        <w:t xml:space="preserve"> C</w:t>
      </w:r>
      <w:r w:rsidRPr="00DD3B1A">
        <w:rPr>
          <w:rFonts w:ascii="Times New Roman" w:hAnsi="Times New Roman" w:cs="Times New Roman"/>
          <w:sz w:val="25"/>
          <w:szCs w:val="25"/>
        </w:rPr>
        <w:t>ompanies earn a profit on disposal fees. All other things being equal, companies</w:t>
      </w:r>
      <w:r w:rsidR="00C97AA4" w:rsidRPr="00DD3B1A">
        <w:rPr>
          <w:rFonts w:ascii="Times New Roman" w:hAnsi="Times New Roman" w:cs="Times New Roman"/>
          <w:sz w:val="25"/>
          <w:szCs w:val="25"/>
        </w:rPr>
        <w:t xml:space="preserve"> should prefer to pay higher disposal fees because that will earn higher profits for the company. </w:t>
      </w:r>
      <w:r w:rsidR="00796527" w:rsidRPr="00DD3B1A">
        <w:rPr>
          <w:rFonts w:ascii="Times New Roman" w:hAnsi="Times New Roman" w:cs="Times New Roman"/>
          <w:sz w:val="25"/>
          <w:szCs w:val="25"/>
        </w:rPr>
        <w:t xml:space="preserve">The following </w:t>
      </w:r>
      <w:r w:rsidRPr="00DD3B1A">
        <w:rPr>
          <w:rFonts w:ascii="Times New Roman" w:hAnsi="Times New Roman" w:cs="Times New Roman"/>
          <w:sz w:val="25"/>
          <w:szCs w:val="25"/>
        </w:rPr>
        <w:t>table shows the relationship of disposal fees for several solid waste companies – small and large, western and eastern.</w:t>
      </w:r>
      <w:r w:rsidR="00B92CE1" w:rsidRPr="00DD3B1A">
        <w:rPr>
          <w:rFonts w:ascii="Times New Roman" w:hAnsi="Times New Roman" w:cs="Times New Roman"/>
          <w:b/>
          <w:sz w:val="25"/>
          <w:szCs w:val="25"/>
        </w:rPr>
        <w:t xml:space="preserve"> </w:t>
      </w:r>
    </w:p>
    <w:p w:rsidR="009F6D92" w:rsidRPr="00DD3B1A" w:rsidRDefault="00B92CE1">
      <w:pPr>
        <w:pStyle w:val="ListParagraph"/>
        <w:ind w:left="1080"/>
        <w:jc w:val="center"/>
        <w:rPr>
          <w:rFonts w:ascii="Times New Roman" w:hAnsi="Times New Roman" w:cs="Times New Roman"/>
          <w:b/>
          <w:sz w:val="25"/>
          <w:szCs w:val="25"/>
        </w:rPr>
      </w:pPr>
      <w:r w:rsidRPr="00DD3B1A">
        <w:rPr>
          <w:rFonts w:ascii="Times New Roman" w:hAnsi="Times New Roman" w:cs="Times New Roman"/>
          <w:b/>
          <w:sz w:val="25"/>
          <w:szCs w:val="25"/>
        </w:rPr>
        <w:t xml:space="preserve">Table </w:t>
      </w:r>
      <w:r w:rsidR="00751121" w:rsidRPr="00DD3B1A">
        <w:rPr>
          <w:rFonts w:ascii="Times New Roman" w:hAnsi="Times New Roman" w:cs="Times New Roman"/>
          <w:b/>
          <w:sz w:val="25"/>
          <w:szCs w:val="25"/>
        </w:rPr>
        <w:t>3</w:t>
      </w:r>
      <w:r w:rsidR="003B2658" w:rsidRPr="00DD3B1A">
        <w:rPr>
          <w:rFonts w:ascii="Times New Roman" w:hAnsi="Times New Roman" w:cs="Times New Roman"/>
          <w:b/>
          <w:sz w:val="25"/>
          <w:szCs w:val="25"/>
        </w:rPr>
        <w:t xml:space="preserve"> </w:t>
      </w:r>
    </w:p>
    <w:p w:rsidR="009F6D92" w:rsidRPr="00DD3B1A" w:rsidRDefault="008A0911">
      <w:pPr>
        <w:pStyle w:val="ListParagraph"/>
        <w:ind w:left="1080"/>
        <w:jc w:val="center"/>
        <w:rPr>
          <w:rFonts w:ascii="Times New Roman" w:hAnsi="Times New Roman" w:cs="Times New Roman"/>
          <w:b/>
          <w:sz w:val="25"/>
          <w:szCs w:val="25"/>
        </w:rPr>
      </w:pPr>
      <w:r w:rsidRPr="00DD3B1A">
        <w:rPr>
          <w:rFonts w:ascii="Times New Roman" w:hAnsi="Times New Roman" w:cs="Times New Roman"/>
          <w:b/>
          <w:sz w:val="25"/>
          <w:szCs w:val="25"/>
        </w:rPr>
        <w:t>Disposal Fees: Percent of Total Revenue and Profit</w:t>
      </w:r>
      <w:r w:rsidR="003B2658" w:rsidRPr="00DD3B1A">
        <w:rPr>
          <w:sz w:val="25"/>
          <w:szCs w:val="25"/>
        </w:rPr>
        <w:footnoteReference w:id="2"/>
      </w:r>
    </w:p>
    <w:p w:rsidR="008A0911" w:rsidRPr="00DD3B1A" w:rsidRDefault="00B63FF4" w:rsidP="008A0911">
      <w:pPr>
        <w:pStyle w:val="ListParagraph"/>
        <w:ind w:left="0"/>
        <w:rPr>
          <w:rFonts w:ascii="Times New Roman" w:hAnsi="Times New Roman" w:cs="Times New Roman"/>
          <w:sz w:val="25"/>
          <w:szCs w:val="25"/>
        </w:rPr>
      </w:pPr>
      <w:r w:rsidRPr="00DD3B1A">
        <w:rPr>
          <w:noProof/>
          <w:sz w:val="25"/>
          <w:szCs w:val="25"/>
        </w:rPr>
        <w:drawing>
          <wp:inline distT="0" distB="0" distL="0" distR="0" wp14:anchorId="3E4422F4" wp14:editId="56FDD33D">
            <wp:extent cx="5943600" cy="1184612"/>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43600" cy="1184612"/>
                    </a:xfrm>
                    <a:prstGeom prst="rect">
                      <a:avLst/>
                    </a:prstGeom>
                    <a:noFill/>
                    <a:ln w="9525">
                      <a:noFill/>
                      <a:miter lim="800000"/>
                      <a:headEnd/>
                      <a:tailEnd/>
                    </a:ln>
                  </pic:spPr>
                </pic:pic>
              </a:graphicData>
            </a:graphic>
          </wp:inline>
        </w:drawing>
      </w:r>
    </w:p>
    <w:p w:rsidR="00237388" w:rsidRPr="00237388" w:rsidRDefault="00237388" w:rsidP="00237388">
      <w:pPr>
        <w:pStyle w:val="NoSpacing"/>
        <w:rPr>
          <w:rFonts w:ascii="Times New Roman" w:hAnsi="Times New Roman" w:cs="Times New Roman"/>
          <w:sz w:val="25"/>
          <w:szCs w:val="25"/>
        </w:rPr>
      </w:pPr>
    </w:p>
    <w:p w:rsidR="00577406" w:rsidRPr="00DD3B1A" w:rsidRDefault="00577406" w:rsidP="00237388">
      <w:pPr>
        <w:pStyle w:val="ListParagraph"/>
        <w:numPr>
          <w:ilvl w:val="0"/>
          <w:numId w:val="11"/>
        </w:numPr>
        <w:spacing w:after="0" w:line="264" w:lineRule="auto"/>
        <w:ind w:left="720"/>
        <w:rPr>
          <w:rFonts w:ascii="Times New Roman" w:hAnsi="Times New Roman" w:cs="Times New Roman"/>
          <w:sz w:val="25"/>
          <w:szCs w:val="25"/>
        </w:rPr>
      </w:pPr>
      <w:r w:rsidRPr="00DD3B1A">
        <w:rPr>
          <w:rFonts w:ascii="Times New Roman" w:hAnsi="Times New Roman" w:cs="Times New Roman"/>
          <w:sz w:val="25"/>
          <w:szCs w:val="25"/>
        </w:rPr>
        <w:t>Do not require a rate case more recent than five years.</w:t>
      </w:r>
    </w:p>
    <w:p w:rsidR="009F6D92" w:rsidRPr="00DD3B1A" w:rsidRDefault="009F6D92" w:rsidP="00260063">
      <w:pPr>
        <w:pStyle w:val="ListParagraph"/>
        <w:spacing w:line="264" w:lineRule="auto"/>
        <w:ind w:left="1080"/>
        <w:rPr>
          <w:rFonts w:ascii="Times New Roman" w:hAnsi="Times New Roman" w:cs="Times New Roman"/>
          <w:sz w:val="25"/>
          <w:szCs w:val="25"/>
        </w:rPr>
      </w:pPr>
    </w:p>
    <w:p w:rsidR="009F6D92" w:rsidRPr="00DD3B1A" w:rsidRDefault="00C97AA4" w:rsidP="00237388">
      <w:pPr>
        <w:pStyle w:val="ListParagraph"/>
        <w:spacing w:after="0" w:line="264" w:lineRule="auto"/>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disagrees. Immediately after a rate case, staff has a high degree of confidence that the rates are fair, just, reasonable and sufficient. That confidence decreases as time passes. A rate case typically uses data that is about a year old. For example, a three-year old rate case is based on four-year old operations of the test period. </w:t>
      </w:r>
    </w:p>
    <w:p w:rsidR="009F6D92" w:rsidRPr="00DD3B1A" w:rsidRDefault="009F6D92" w:rsidP="00260063">
      <w:pPr>
        <w:pStyle w:val="ListParagraph"/>
        <w:spacing w:line="264" w:lineRule="auto"/>
        <w:ind w:left="360"/>
        <w:rPr>
          <w:rFonts w:ascii="Times New Roman" w:hAnsi="Times New Roman" w:cs="Times New Roman"/>
          <w:sz w:val="25"/>
          <w:szCs w:val="25"/>
        </w:rPr>
      </w:pPr>
    </w:p>
    <w:p w:rsidR="009F6D92" w:rsidRPr="00DD3B1A" w:rsidRDefault="00C97AA4" w:rsidP="00237388">
      <w:pPr>
        <w:pStyle w:val="ListParagraph"/>
        <w:spacing w:after="0" w:line="264" w:lineRule="auto"/>
        <w:rPr>
          <w:rFonts w:ascii="Times New Roman" w:hAnsi="Times New Roman" w:cs="Times New Roman"/>
          <w:sz w:val="25"/>
          <w:szCs w:val="25"/>
        </w:rPr>
      </w:pPr>
      <w:r w:rsidRPr="00DD3B1A">
        <w:rPr>
          <w:rFonts w:ascii="Times New Roman" w:hAnsi="Times New Roman" w:cs="Times New Roman"/>
          <w:sz w:val="25"/>
          <w:szCs w:val="25"/>
        </w:rPr>
        <w:t>Fuel surcharges are a simplified method to change rates with no consideration of need, no consideration of other factors that might offset the need for additional revenue, and no burden to demonstrate that the resulting rates are fair, just, reasonable, and sufficient.</w:t>
      </w:r>
    </w:p>
    <w:p w:rsidR="009F6D92" w:rsidRPr="00DD3B1A" w:rsidRDefault="009F6D92" w:rsidP="00260063">
      <w:pPr>
        <w:pStyle w:val="ListParagraph"/>
        <w:spacing w:line="264" w:lineRule="auto"/>
        <w:ind w:left="360"/>
        <w:rPr>
          <w:rFonts w:ascii="Times New Roman" w:hAnsi="Times New Roman" w:cs="Times New Roman"/>
          <w:sz w:val="25"/>
          <w:szCs w:val="25"/>
        </w:rPr>
      </w:pPr>
    </w:p>
    <w:p w:rsidR="009F6D92" w:rsidRPr="00DD3B1A" w:rsidRDefault="00C97AA4" w:rsidP="00260063">
      <w:pPr>
        <w:pStyle w:val="ListParagraph"/>
        <w:spacing w:line="264" w:lineRule="auto"/>
        <w:rPr>
          <w:rFonts w:ascii="Times New Roman" w:hAnsi="Times New Roman" w:cs="Times New Roman"/>
          <w:sz w:val="25"/>
          <w:szCs w:val="25"/>
        </w:rPr>
      </w:pPr>
      <w:r w:rsidRPr="00DD3B1A">
        <w:rPr>
          <w:rFonts w:ascii="Times New Roman" w:hAnsi="Times New Roman" w:cs="Times New Roman"/>
          <w:sz w:val="25"/>
          <w:szCs w:val="25"/>
        </w:rPr>
        <w:t>The length of time</w:t>
      </w:r>
      <w:r w:rsidR="00AE217A" w:rsidRPr="00DD3B1A">
        <w:rPr>
          <w:rFonts w:ascii="Times New Roman" w:hAnsi="Times New Roman" w:cs="Times New Roman"/>
          <w:sz w:val="25"/>
          <w:szCs w:val="25"/>
        </w:rPr>
        <w:t xml:space="preserve"> </w:t>
      </w:r>
      <w:r w:rsidRPr="00DD3B1A">
        <w:rPr>
          <w:rFonts w:ascii="Times New Roman" w:hAnsi="Times New Roman" w:cs="Times New Roman"/>
          <w:sz w:val="25"/>
          <w:szCs w:val="25"/>
        </w:rPr>
        <w:t xml:space="preserve">since the last rate case is not the issue. The issue is whether or not there have been changes in the company’s operations. Some companies may operate in a very stable market, with </w:t>
      </w:r>
      <w:r w:rsidR="00AE217A" w:rsidRPr="00DD3B1A">
        <w:rPr>
          <w:rFonts w:ascii="Times New Roman" w:hAnsi="Times New Roman" w:cs="Times New Roman"/>
          <w:sz w:val="25"/>
          <w:szCs w:val="25"/>
        </w:rPr>
        <w:t xml:space="preserve">very </w:t>
      </w:r>
      <w:r w:rsidRPr="00DD3B1A">
        <w:rPr>
          <w:rFonts w:ascii="Times New Roman" w:hAnsi="Times New Roman" w:cs="Times New Roman"/>
          <w:sz w:val="25"/>
          <w:szCs w:val="25"/>
        </w:rPr>
        <w:t xml:space="preserve">constant operating characteristics. </w:t>
      </w:r>
      <w:r w:rsidR="002A706B" w:rsidRPr="00DD3B1A">
        <w:rPr>
          <w:rFonts w:ascii="Times New Roman" w:hAnsi="Times New Roman" w:cs="Times New Roman"/>
          <w:sz w:val="25"/>
          <w:szCs w:val="25"/>
        </w:rPr>
        <w:t>However, a</w:t>
      </w:r>
      <w:r w:rsidRPr="00DD3B1A">
        <w:rPr>
          <w:rFonts w:ascii="Times New Roman" w:hAnsi="Times New Roman" w:cs="Times New Roman"/>
          <w:sz w:val="25"/>
          <w:szCs w:val="25"/>
        </w:rPr>
        <w:t xml:space="preserve">s the length of time since the last rate case increases, changes are more likely, and the rate case data and operations are less representative of current operations: </w:t>
      </w:r>
      <w:r w:rsidR="00B15B36" w:rsidRPr="00DD3B1A">
        <w:rPr>
          <w:rFonts w:ascii="Times New Roman" w:hAnsi="Times New Roman" w:cs="Times New Roman"/>
          <w:sz w:val="25"/>
          <w:szCs w:val="25"/>
        </w:rPr>
        <w:t>N</w:t>
      </w:r>
      <w:r w:rsidRPr="00DD3B1A">
        <w:rPr>
          <w:rFonts w:ascii="Times New Roman" w:hAnsi="Times New Roman" w:cs="Times New Roman"/>
          <w:sz w:val="25"/>
          <w:szCs w:val="25"/>
        </w:rPr>
        <w:t xml:space="preserve">ewer vehicles may have greater capacity and get better fuel mileage, number of </w:t>
      </w:r>
      <w:r w:rsidR="00AE217A" w:rsidRPr="00DD3B1A">
        <w:rPr>
          <w:rFonts w:ascii="Times New Roman" w:hAnsi="Times New Roman" w:cs="Times New Roman"/>
          <w:sz w:val="25"/>
          <w:szCs w:val="25"/>
        </w:rPr>
        <w:t xml:space="preserve">customers </w:t>
      </w:r>
      <w:r w:rsidRPr="00DD3B1A">
        <w:rPr>
          <w:rFonts w:ascii="Times New Roman" w:hAnsi="Times New Roman" w:cs="Times New Roman"/>
          <w:sz w:val="25"/>
          <w:szCs w:val="25"/>
        </w:rPr>
        <w:t xml:space="preserve">change, etc. </w:t>
      </w:r>
    </w:p>
    <w:p w:rsidR="009F6D92" w:rsidRPr="00DD3B1A" w:rsidRDefault="009F6D92" w:rsidP="00260063">
      <w:pPr>
        <w:pStyle w:val="ListParagraph"/>
        <w:spacing w:line="264" w:lineRule="auto"/>
        <w:rPr>
          <w:rFonts w:ascii="Times New Roman" w:hAnsi="Times New Roman" w:cs="Times New Roman"/>
          <w:sz w:val="25"/>
          <w:szCs w:val="25"/>
        </w:rPr>
      </w:pPr>
    </w:p>
    <w:p w:rsidR="009F6D92" w:rsidRPr="00DD3B1A" w:rsidRDefault="002A706B" w:rsidP="00260063">
      <w:pPr>
        <w:pStyle w:val="ListParagraph"/>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If the commission adopts a threshold time </w:t>
      </w:r>
      <w:r w:rsidR="00751121" w:rsidRPr="00DD3B1A">
        <w:rPr>
          <w:rFonts w:ascii="Times New Roman" w:hAnsi="Times New Roman" w:cs="Times New Roman"/>
          <w:sz w:val="25"/>
          <w:szCs w:val="25"/>
        </w:rPr>
        <w:t xml:space="preserve">period </w:t>
      </w:r>
      <w:r w:rsidRPr="00DD3B1A">
        <w:rPr>
          <w:rFonts w:ascii="Times New Roman" w:hAnsi="Times New Roman" w:cs="Times New Roman"/>
          <w:sz w:val="25"/>
          <w:szCs w:val="25"/>
        </w:rPr>
        <w:t xml:space="preserve">since a company’s last rate case, staff recommends that it be used only as a guideline and that it be three years, not five years. </w:t>
      </w:r>
    </w:p>
    <w:p w:rsidR="00004F03" w:rsidRPr="00DD3B1A" w:rsidRDefault="00004F03" w:rsidP="00260063">
      <w:pPr>
        <w:pStyle w:val="ListParagraph"/>
        <w:spacing w:line="264" w:lineRule="auto"/>
        <w:rPr>
          <w:rFonts w:ascii="Times New Roman" w:hAnsi="Times New Roman" w:cs="Times New Roman"/>
          <w:sz w:val="25"/>
          <w:szCs w:val="25"/>
        </w:rPr>
      </w:pPr>
    </w:p>
    <w:p w:rsidR="00004F03" w:rsidRPr="00DD3B1A" w:rsidRDefault="00004F03" w:rsidP="00260063">
      <w:pPr>
        <w:pStyle w:val="ListParagraph"/>
        <w:spacing w:line="264" w:lineRule="auto"/>
        <w:rPr>
          <w:rFonts w:ascii="Times New Roman" w:hAnsi="Times New Roman" w:cs="Times New Roman"/>
          <w:sz w:val="25"/>
          <w:szCs w:val="25"/>
        </w:rPr>
      </w:pPr>
      <w:r w:rsidRPr="00DD3B1A">
        <w:rPr>
          <w:rFonts w:ascii="Times New Roman" w:hAnsi="Times New Roman" w:cs="Times New Roman"/>
          <w:sz w:val="25"/>
          <w:szCs w:val="25"/>
        </w:rPr>
        <w:t>The industry generally opposes deferred accounting. The commission received written comments from Waste Management on January 19, 2011, which stated that Waste Management does not support using a deferred accounting methodology and that its deferred accounting pilot program was cumbersome and demanding, caused a great deal of confusion and was challenging to administer. The comments identified the following issues:</w:t>
      </w:r>
    </w:p>
    <w:p w:rsidR="00B63FF4" w:rsidRPr="00DD3B1A" w:rsidRDefault="00B63FF4" w:rsidP="00260063">
      <w:pPr>
        <w:pStyle w:val="ListParagraph"/>
        <w:spacing w:line="264" w:lineRule="auto"/>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For one thing, Waste Management operates under nine different tariffs, and having just one division utilizing a line-item for fuel made it difficult for customer service representatives to field questions about rates.</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17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Waste Management can use deferred accounting for all of its divisions.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Also, because it is deferred, customers had a difficult time understanding the pricing: they could see price fluctuations at the gas pump, but since the fuel item lagged behind the actual prices, the customers were confused.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Waste Management’s pilot program used a twelve-month time period, staff’s proposal uses a six-month time period. The time lag is unavoidable in any true-up or surcharge methodology, and is exacerbated by multiple-month billing cycles. For example, over a six-month period (e.g. January – June), customers in the third billing group of a company with a three-month billing cycle (one month in arrears, current month, and one month in advance) would receive bills in August and November under the current surcharge methodology, but only one bill in October under staff’s proposed deferred methodology.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Administering a deferred accounting methodology would impose resource burdens.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agrees that the deferred accounting process will require more resources. Deferred accounting is also the only methodology that will protect the company, by ensuring that the company recovers all of its fuel expenses, and customers, by ensuring that they pay what they should. Costs to administer the program will be offset, in whole or part, by cost savings resulting from eliminating profit on fuel expense.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If it were adopted for the solid waste industry, to start the process all companies would have to file a general rate request to back out the fuel from its current tariff rates.</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No. Staff’s proposed methodology allows a one-time adjustment to fuel expense to start the program. See Attachment A. The spreadsheet requires just two selections from drop down menus; the company name and the proposed effective date.</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Commission Staff would be inundated with filings.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believes that we could process all of the deferred accounting start-up filings in one month. However, that would also require staff to process all of the true-up filings in one month, and that would strain staff resources. Staff proposes to phase in the deferred accounting process to manage the timing of true-up filings. See Attachment B. Of course any company can petition the commission at any time to approve deferred accounting.</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Then, on an annual basis companies would have to file again, similar to the current handling of the recycling commodity credit/debit except that fuel filings would need to be submitted as general rate filing.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proposes a six-month true-up instead of a twelve-month true-up that was in effect for the Waste Management pilot program. Staff proposes to phase in the deferred accounting process to manage the timing of true-up filings. See Attachment B. Staff expects the fuel true-up will be very similar to the current process to adjust the recyclable commodity credit/debit, and we do not expect that it will require significant resources from companies or staff.</w:t>
      </w:r>
      <w:r w:rsidR="00EA41E9" w:rsidRPr="00DD3B1A">
        <w:rPr>
          <w:rFonts w:ascii="Times New Roman" w:hAnsi="Times New Roman" w:cs="Times New Roman"/>
          <w:sz w:val="25"/>
          <w:szCs w:val="25"/>
        </w:rPr>
        <w:t xml:space="preserve"> The true-up would be filed in compliance with the deferred accounting order, not a general rate case under WAC 480-07-520 filing requirements.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We submit that establishing a sharing mechanism would require far more sophisticated measurements of total fuel costs and projections for future fuel prices.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does not propose a sharing mechanism because our proposal eliminates the company’s profit on fuel expense. The company will recover all of its fuel expense.</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It would require a substantial dedication of private and public sector resources to implement.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does not expect this process would require a substantial resource requirement by companies or staff. Although Waste Management reported that the pilot program was labor intensive, the district office did not explicitly track costs associated with the pilot program and, after the pilot program was completed, the company did not make any accounting adjustments to eliminate the costs associated with the pilot program as a nonrecurring expense. Staff encourages companies to provide additional information regarding any expected additional costs associated with deferred accounting. All, or a portion of, additional costs would be offset by savings resulting from removing the profit associated with fuel expense.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Furthermore, the Commissioners expressed concern in our Sno -King filing because a deferred accounting methodology removes any direct incentive for the company to manage its fuel expense.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Staff agrees that is a concern..</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At the time, they noted that using a single-issue cost-adjustment is acceptable when the cost at issue is a significant portion of overall costs and the utility's ability to manage the cost is limited, but since fuel costs are less than five percent of total revenues for solid waste collection companies, the incentive to manage costs when a deferred accounting mechanism is available is diminished.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Deferred accounting for an expense that represents a small percentage of total revenue is unusual. However, accounting is also the only methodology that will protect both the company, by ensuring that the company recovers all of its fuel expenses, and customers, by ensuring that they pay what they should. The commission currently uses a deferred accounting methodology for recyclable commodity revenues, which are similar in size to fuel expense. Also, deferred accounting will fully address price volatility and eliminate company’s, staff’s and customer’s concerns regarding criteria and implementation of fuel surcharge methodologies, current and staff’s temporary revised method.</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numPr>
          <w:ilvl w:val="0"/>
          <w:numId w:val="15"/>
        </w:numPr>
        <w:spacing w:line="264" w:lineRule="auto"/>
        <w:ind w:left="1080"/>
        <w:rPr>
          <w:rFonts w:ascii="Times New Roman" w:hAnsi="Times New Roman" w:cs="Times New Roman"/>
          <w:sz w:val="25"/>
          <w:szCs w:val="25"/>
        </w:rPr>
      </w:pPr>
      <w:r w:rsidRPr="00DD3B1A">
        <w:rPr>
          <w:rFonts w:ascii="Times New Roman" w:hAnsi="Times New Roman" w:cs="Times New Roman"/>
          <w:sz w:val="25"/>
          <w:szCs w:val="25"/>
        </w:rPr>
        <w:t xml:space="preserve">Perhaps the most telling point is that Waste Management had the unique experience of implementing a deferred accounting method for fuel prices through a pilot program, and if we had thought it worked we would not have reverted to normal rate design in our compliance filing. </w:t>
      </w:r>
    </w:p>
    <w:p w:rsidR="00EA41E9" w:rsidRPr="00DD3B1A" w:rsidRDefault="00EA41E9" w:rsidP="00260063">
      <w:pPr>
        <w:pStyle w:val="ListParagraph"/>
        <w:spacing w:line="264" w:lineRule="auto"/>
        <w:ind w:left="2160"/>
        <w:rPr>
          <w:rFonts w:ascii="Times New Roman" w:hAnsi="Times New Roman" w:cs="Times New Roman"/>
          <w:sz w:val="25"/>
          <w:szCs w:val="25"/>
        </w:rPr>
      </w:pPr>
    </w:p>
    <w:p w:rsidR="00EA41E9" w:rsidRPr="00DD3B1A" w:rsidRDefault="00004F03" w:rsidP="00260063">
      <w:pPr>
        <w:pStyle w:val="ListParagraph"/>
        <w:spacing w:line="264" w:lineRule="auto"/>
        <w:ind w:left="1080"/>
        <w:rPr>
          <w:rFonts w:ascii="Times New Roman" w:hAnsi="Times New Roman" w:cs="Times New Roman"/>
          <w:sz w:val="25"/>
          <w:szCs w:val="25"/>
        </w:rPr>
      </w:pPr>
      <w:r w:rsidRPr="00DD3B1A">
        <w:rPr>
          <w:rFonts w:ascii="Times New Roman" w:hAnsi="Times New Roman" w:cs="Times New Roman"/>
          <w:sz w:val="25"/>
          <w:szCs w:val="25"/>
          <w:u w:val="single"/>
        </w:rPr>
        <w:t>Staff Response:</w:t>
      </w:r>
      <w:r w:rsidRPr="00DD3B1A">
        <w:rPr>
          <w:rFonts w:ascii="Times New Roman" w:hAnsi="Times New Roman" w:cs="Times New Roman"/>
          <w:sz w:val="25"/>
          <w:szCs w:val="25"/>
        </w:rPr>
        <w:t xml:space="preserve"> Each company needs to determine what best serves its business needs.</w:t>
      </w:r>
    </w:p>
    <w:p w:rsidR="00004F03" w:rsidRPr="00DD3B1A" w:rsidRDefault="00004F03" w:rsidP="00260063">
      <w:pPr>
        <w:pStyle w:val="ListParagraph"/>
        <w:spacing w:line="264" w:lineRule="auto"/>
        <w:ind w:left="1080"/>
        <w:rPr>
          <w:rFonts w:ascii="Times New Roman" w:hAnsi="Times New Roman" w:cs="Times New Roman"/>
          <w:sz w:val="25"/>
          <w:szCs w:val="25"/>
        </w:rPr>
      </w:pPr>
    </w:p>
    <w:p w:rsidR="00B0422A" w:rsidRPr="00DD3B1A" w:rsidRDefault="00B0422A" w:rsidP="00260063">
      <w:pPr>
        <w:pStyle w:val="ListParagraph"/>
        <w:spacing w:line="264" w:lineRule="auto"/>
        <w:ind w:left="0"/>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STAFF RECOMMENDATION</w:t>
      </w:r>
      <w:r w:rsidR="00DB0833" w:rsidRPr="00DD3B1A">
        <w:rPr>
          <w:rFonts w:ascii="Times New Roman" w:hAnsi="Times New Roman" w:cs="Times New Roman"/>
          <w:b/>
          <w:sz w:val="25"/>
          <w:szCs w:val="25"/>
          <w:u w:val="single"/>
        </w:rPr>
        <w:t xml:space="preserve"> – DEFFERRED ACCOUNTING</w:t>
      </w:r>
    </w:p>
    <w:p w:rsidR="00E54B88" w:rsidRPr="00DD3B1A" w:rsidRDefault="00E54B88" w:rsidP="00260063">
      <w:pPr>
        <w:pStyle w:val="ListParagraph"/>
        <w:spacing w:line="264" w:lineRule="auto"/>
        <w:ind w:left="0"/>
        <w:jc w:val="center"/>
        <w:rPr>
          <w:rFonts w:ascii="Times New Roman" w:hAnsi="Times New Roman" w:cs="Times New Roman"/>
          <w:b/>
          <w:sz w:val="25"/>
          <w:szCs w:val="25"/>
          <w:u w:val="single"/>
        </w:rPr>
      </w:pPr>
    </w:p>
    <w:p w:rsidR="00B0422A" w:rsidRPr="00DD3B1A" w:rsidRDefault="00B0422A" w:rsidP="00260063">
      <w:pPr>
        <w:pStyle w:val="ListParagraph"/>
        <w:spacing w:line="264" w:lineRule="auto"/>
        <w:ind w:left="0"/>
        <w:rPr>
          <w:rFonts w:ascii="Times New Roman" w:hAnsi="Times New Roman" w:cs="Times New Roman"/>
          <w:sz w:val="25"/>
          <w:szCs w:val="25"/>
        </w:rPr>
      </w:pPr>
      <w:r w:rsidRPr="00DD3B1A">
        <w:rPr>
          <w:rFonts w:ascii="Times New Roman" w:hAnsi="Times New Roman" w:cs="Times New Roman"/>
          <w:sz w:val="25"/>
          <w:szCs w:val="25"/>
        </w:rPr>
        <w:t xml:space="preserve">Staff recommends that the commission </w:t>
      </w:r>
      <w:r w:rsidR="00751121" w:rsidRPr="00DD3B1A">
        <w:rPr>
          <w:rFonts w:ascii="Times New Roman" w:hAnsi="Times New Roman" w:cs="Times New Roman"/>
          <w:sz w:val="25"/>
          <w:szCs w:val="25"/>
        </w:rPr>
        <w:t>allow</w:t>
      </w:r>
      <w:r w:rsidRPr="00DD3B1A">
        <w:rPr>
          <w:rFonts w:ascii="Times New Roman" w:hAnsi="Times New Roman" w:cs="Times New Roman"/>
          <w:sz w:val="25"/>
          <w:szCs w:val="25"/>
        </w:rPr>
        <w:t xml:space="preserve"> solid waste companies to implement deferred accounting for fuel expense. Recent unrest threatening </w:t>
      </w:r>
      <w:r w:rsidR="00DB0833" w:rsidRPr="00DD3B1A">
        <w:rPr>
          <w:rFonts w:ascii="Times New Roman" w:hAnsi="Times New Roman" w:cs="Times New Roman"/>
          <w:sz w:val="25"/>
          <w:szCs w:val="25"/>
        </w:rPr>
        <w:t xml:space="preserve">oil </w:t>
      </w:r>
      <w:r w:rsidRPr="00DD3B1A">
        <w:rPr>
          <w:rFonts w:ascii="Times New Roman" w:hAnsi="Times New Roman" w:cs="Times New Roman"/>
          <w:sz w:val="25"/>
          <w:szCs w:val="25"/>
        </w:rPr>
        <w:t xml:space="preserve">supplies and </w:t>
      </w:r>
      <w:r w:rsidR="00DB0833" w:rsidRPr="00DD3B1A">
        <w:rPr>
          <w:rFonts w:ascii="Times New Roman" w:hAnsi="Times New Roman" w:cs="Times New Roman"/>
          <w:sz w:val="25"/>
          <w:szCs w:val="25"/>
        </w:rPr>
        <w:t xml:space="preserve">increasing demand caused by </w:t>
      </w:r>
      <w:r w:rsidRPr="00DD3B1A">
        <w:rPr>
          <w:rFonts w:ascii="Times New Roman" w:hAnsi="Times New Roman" w:cs="Times New Roman"/>
          <w:sz w:val="25"/>
          <w:szCs w:val="25"/>
        </w:rPr>
        <w:t xml:space="preserve">global economic recovery demonstrate that fuel prices, if anything, are likely to </w:t>
      </w:r>
      <w:r w:rsidR="00DB0833" w:rsidRPr="00DD3B1A">
        <w:rPr>
          <w:rFonts w:ascii="Times New Roman" w:hAnsi="Times New Roman" w:cs="Times New Roman"/>
          <w:sz w:val="25"/>
          <w:szCs w:val="25"/>
        </w:rPr>
        <w:t xml:space="preserve">increase and </w:t>
      </w:r>
      <w:r w:rsidRPr="00DD3B1A">
        <w:rPr>
          <w:rFonts w:ascii="Times New Roman" w:hAnsi="Times New Roman" w:cs="Times New Roman"/>
          <w:sz w:val="25"/>
          <w:szCs w:val="25"/>
        </w:rPr>
        <w:t xml:space="preserve">become more volatile. Deferral is the only methodology that </w:t>
      </w:r>
      <w:r w:rsidR="00F363C0" w:rsidRPr="00DD3B1A">
        <w:rPr>
          <w:rFonts w:ascii="Times New Roman" w:hAnsi="Times New Roman" w:cs="Times New Roman"/>
          <w:sz w:val="25"/>
          <w:szCs w:val="25"/>
        </w:rPr>
        <w:t xml:space="preserve">protects the companies and customers by </w:t>
      </w:r>
      <w:r w:rsidRPr="00DD3B1A">
        <w:rPr>
          <w:rFonts w:ascii="Times New Roman" w:hAnsi="Times New Roman" w:cs="Times New Roman"/>
          <w:sz w:val="25"/>
          <w:szCs w:val="25"/>
        </w:rPr>
        <w:t>ensur</w:t>
      </w:r>
      <w:r w:rsidR="00F363C0" w:rsidRPr="00DD3B1A">
        <w:rPr>
          <w:rFonts w:ascii="Times New Roman" w:hAnsi="Times New Roman" w:cs="Times New Roman"/>
          <w:sz w:val="25"/>
          <w:szCs w:val="25"/>
        </w:rPr>
        <w:t>ing</w:t>
      </w:r>
      <w:r w:rsidRPr="00DD3B1A">
        <w:rPr>
          <w:rFonts w:ascii="Times New Roman" w:hAnsi="Times New Roman" w:cs="Times New Roman"/>
          <w:sz w:val="25"/>
          <w:szCs w:val="25"/>
        </w:rPr>
        <w:t xml:space="preserve"> that companies recover actual expenses and that customers pay what they should.</w:t>
      </w:r>
    </w:p>
    <w:p w:rsidR="00B0422A" w:rsidRPr="00DD3B1A" w:rsidRDefault="00B0422A" w:rsidP="00260063">
      <w:pPr>
        <w:pStyle w:val="ListParagraph"/>
        <w:spacing w:line="264" w:lineRule="auto"/>
        <w:ind w:left="0"/>
        <w:rPr>
          <w:rFonts w:ascii="Times New Roman" w:hAnsi="Times New Roman" w:cs="Times New Roman"/>
          <w:sz w:val="25"/>
          <w:szCs w:val="25"/>
        </w:rPr>
      </w:pPr>
    </w:p>
    <w:p w:rsidR="00F363C0" w:rsidRPr="00DD3B1A" w:rsidRDefault="004E45C3" w:rsidP="00260063">
      <w:pPr>
        <w:pStyle w:val="ListParagraph"/>
        <w:spacing w:line="264" w:lineRule="auto"/>
        <w:ind w:left="0"/>
        <w:rPr>
          <w:rFonts w:ascii="Times New Roman" w:hAnsi="Times New Roman" w:cs="Times New Roman"/>
          <w:sz w:val="25"/>
          <w:szCs w:val="25"/>
        </w:rPr>
      </w:pPr>
      <w:r w:rsidRPr="00DD3B1A">
        <w:rPr>
          <w:rFonts w:ascii="Times New Roman" w:hAnsi="Times New Roman" w:cs="Times New Roman"/>
          <w:sz w:val="25"/>
          <w:szCs w:val="25"/>
        </w:rPr>
        <w:t>To limit the application of surcharges, o</w:t>
      </w:r>
      <w:r w:rsidR="00F363C0" w:rsidRPr="00DD3B1A">
        <w:rPr>
          <w:rFonts w:ascii="Times New Roman" w:hAnsi="Times New Roman" w:cs="Times New Roman"/>
          <w:sz w:val="25"/>
          <w:szCs w:val="25"/>
        </w:rPr>
        <w:t>the</w:t>
      </w:r>
      <w:r w:rsidR="0079110F" w:rsidRPr="00DD3B1A">
        <w:rPr>
          <w:rFonts w:ascii="Times New Roman" w:hAnsi="Times New Roman" w:cs="Times New Roman"/>
          <w:sz w:val="25"/>
          <w:szCs w:val="25"/>
        </w:rPr>
        <w:t xml:space="preserve">r methods require </w:t>
      </w:r>
      <w:r w:rsidRPr="00DD3B1A">
        <w:rPr>
          <w:rFonts w:ascii="Times New Roman" w:hAnsi="Times New Roman" w:cs="Times New Roman"/>
          <w:sz w:val="25"/>
          <w:szCs w:val="25"/>
        </w:rPr>
        <w:t xml:space="preserve">artificial </w:t>
      </w:r>
      <w:r w:rsidR="0079110F" w:rsidRPr="00DD3B1A">
        <w:rPr>
          <w:rFonts w:ascii="Times New Roman" w:hAnsi="Times New Roman" w:cs="Times New Roman"/>
          <w:sz w:val="25"/>
          <w:szCs w:val="25"/>
        </w:rPr>
        <w:t xml:space="preserve">conditions </w:t>
      </w:r>
      <w:r w:rsidRPr="00DD3B1A">
        <w:rPr>
          <w:rFonts w:ascii="Times New Roman" w:hAnsi="Times New Roman" w:cs="Times New Roman"/>
          <w:sz w:val="25"/>
          <w:szCs w:val="25"/>
        </w:rPr>
        <w:t xml:space="preserve">such as: </w:t>
      </w:r>
      <w:r w:rsidR="00B15B36" w:rsidRPr="00DD3B1A">
        <w:rPr>
          <w:rFonts w:ascii="Times New Roman" w:hAnsi="Times New Roman" w:cs="Times New Roman"/>
          <w:sz w:val="25"/>
          <w:szCs w:val="25"/>
        </w:rPr>
        <w:t>S</w:t>
      </w:r>
      <w:r w:rsidR="00F363C0" w:rsidRPr="00DD3B1A">
        <w:rPr>
          <w:rFonts w:ascii="Times New Roman" w:hAnsi="Times New Roman" w:cs="Times New Roman"/>
          <w:sz w:val="25"/>
          <w:szCs w:val="25"/>
        </w:rPr>
        <w:t xml:space="preserve">hared risk, use of a “dead band”, using an index instead of actual price, frequency of filings, whether or not to include disposal fees and taxes to calculate the percentage relationship of fuel to revenue, </w:t>
      </w:r>
      <w:r w:rsidR="0079110F" w:rsidRPr="00DD3B1A">
        <w:rPr>
          <w:rFonts w:ascii="Times New Roman" w:hAnsi="Times New Roman" w:cs="Times New Roman"/>
          <w:sz w:val="25"/>
          <w:szCs w:val="25"/>
        </w:rPr>
        <w:t xml:space="preserve">how much of an increase is significant enough to warrant a surcharge, </w:t>
      </w:r>
      <w:r w:rsidR="00751121" w:rsidRPr="00DD3B1A">
        <w:rPr>
          <w:rFonts w:ascii="Times New Roman" w:hAnsi="Times New Roman" w:cs="Times New Roman"/>
          <w:sz w:val="25"/>
          <w:szCs w:val="25"/>
        </w:rPr>
        <w:t xml:space="preserve">how to define a fuel “spike”, </w:t>
      </w:r>
      <w:r w:rsidR="0079110F" w:rsidRPr="00DD3B1A">
        <w:rPr>
          <w:rFonts w:ascii="Times New Roman" w:hAnsi="Times New Roman" w:cs="Times New Roman"/>
          <w:sz w:val="25"/>
          <w:szCs w:val="25"/>
        </w:rPr>
        <w:t xml:space="preserve">should the surcharge methodology include credits when fuel prices drop, </w:t>
      </w:r>
      <w:r w:rsidR="00F363C0" w:rsidRPr="00DD3B1A">
        <w:rPr>
          <w:rFonts w:ascii="Times New Roman" w:hAnsi="Times New Roman" w:cs="Times New Roman"/>
          <w:sz w:val="25"/>
          <w:szCs w:val="25"/>
        </w:rPr>
        <w:t>etc.</w:t>
      </w:r>
      <w:r w:rsidRPr="00DD3B1A">
        <w:rPr>
          <w:rFonts w:ascii="Times New Roman" w:hAnsi="Times New Roman" w:cs="Times New Roman"/>
          <w:sz w:val="25"/>
          <w:szCs w:val="25"/>
        </w:rPr>
        <w:t xml:space="preserve"> </w:t>
      </w:r>
      <w:r w:rsidR="000A18A2" w:rsidRPr="00DD3B1A">
        <w:rPr>
          <w:rFonts w:ascii="Times New Roman" w:hAnsi="Times New Roman" w:cs="Times New Roman"/>
          <w:sz w:val="25"/>
          <w:szCs w:val="25"/>
        </w:rPr>
        <w:t>All of these issues have been discuss</w:t>
      </w:r>
      <w:r w:rsidR="003004B7" w:rsidRPr="00DD3B1A">
        <w:rPr>
          <w:rFonts w:ascii="Times New Roman" w:hAnsi="Times New Roman" w:cs="Times New Roman"/>
          <w:sz w:val="25"/>
          <w:szCs w:val="25"/>
        </w:rPr>
        <w:t>ed</w:t>
      </w:r>
      <w:r w:rsidR="000A18A2" w:rsidRPr="00DD3B1A">
        <w:rPr>
          <w:rFonts w:ascii="Times New Roman" w:hAnsi="Times New Roman" w:cs="Times New Roman"/>
          <w:sz w:val="25"/>
          <w:szCs w:val="25"/>
        </w:rPr>
        <w:t xml:space="preserve"> and debated for years. </w:t>
      </w:r>
      <w:r w:rsidRPr="00DD3B1A">
        <w:rPr>
          <w:rFonts w:ascii="Times New Roman" w:hAnsi="Times New Roman" w:cs="Times New Roman"/>
          <w:sz w:val="25"/>
          <w:szCs w:val="25"/>
        </w:rPr>
        <w:t xml:space="preserve">Deferral eliminates all </w:t>
      </w:r>
      <w:r w:rsidR="000A18A2" w:rsidRPr="00DD3B1A">
        <w:rPr>
          <w:rFonts w:ascii="Times New Roman" w:hAnsi="Times New Roman" w:cs="Times New Roman"/>
          <w:sz w:val="25"/>
          <w:szCs w:val="25"/>
        </w:rPr>
        <w:t xml:space="preserve">of </w:t>
      </w:r>
      <w:r w:rsidRPr="00DD3B1A">
        <w:rPr>
          <w:rFonts w:ascii="Times New Roman" w:hAnsi="Times New Roman" w:cs="Times New Roman"/>
          <w:sz w:val="25"/>
          <w:szCs w:val="25"/>
        </w:rPr>
        <w:t>these conditions</w:t>
      </w:r>
      <w:r w:rsidR="000A18A2" w:rsidRPr="00DD3B1A">
        <w:rPr>
          <w:rFonts w:ascii="Times New Roman" w:hAnsi="Times New Roman" w:cs="Times New Roman"/>
          <w:sz w:val="25"/>
          <w:szCs w:val="25"/>
        </w:rPr>
        <w:t>, discussion</w:t>
      </w:r>
      <w:r w:rsidR="004B7AE7" w:rsidRPr="00DD3B1A">
        <w:rPr>
          <w:rFonts w:ascii="Times New Roman" w:hAnsi="Times New Roman" w:cs="Times New Roman"/>
          <w:sz w:val="25"/>
          <w:szCs w:val="25"/>
        </w:rPr>
        <w:t>s</w:t>
      </w:r>
      <w:r w:rsidR="000A18A2" w:rsidRPr="00DD3B1A">
        <w:rPr>
          <w:rFonts w:ascii="Times New Roman" w:hAnsi="Times New Roman" w:cs="Times New Roman"/>
          <w:sz w:val="25"/>
          <w:szCs w:val="25"/>
        </w:rPr>
        <w:t xml:space="preserve"> and debate</w:t>
      </w:r>
      <w:r w:rsidR="004B7AE7" w:rsidRPr="00DD3B1A">
        <w:rPr>
          <w:rFonts w:ascii="Times New Roman" w:hAnsi="Times New Roman" w:cs="Times New Roman"/>
          <w:sz w:val="25"/>
          <w:szCs w:val="25"/>
        </w:rPr>
        <w:t>s</w:t>
      </w:r>
      <w:r w:rsidRPr="00DD3B1A">
        <w:rPr>
          <w:rFonts w:ascii="Times New Roman" w:hAnsi="Times New Roman" w:cs="Times New Roman"/>
          <w:sz w:val="25"/>
          <w:szCs w:val="25"/>
        </w:rPr>
        <w:t>.</w:t>
      </w:r>
    </w:p>
    <w:p w:rsidR="00F363C0" w:rsidRPr="00DD3B1A" w:rsidRDefault="00F363C0" w:rsidP="00260063">
      <w:pPr>
        <w:pStyle w:val="ListParagraph"/>
        <w:spacing w:line="264" w:lineRule="auto"/>
        <w:ind w:left="0"/>
        <w:rPr>
          <w:rFonts w:ascii="Times New Roman" w:hAnsi="Times New Roman" w:cs="Times New Roman"/>
          <w:sz w:val="25"/>
          <w:szCs w:val="25"/>
        </w:rPr>
      </w:pPr>
    </w:p>
    <w:p w:rsidR="00B0422A" w:rsidRPr="00DD3B1A" w:rsidRDefault="00B0422A" w:rsidP="00260063">
      <w:pPr>
        <w:pStyle w:val="ListParagraph"/>
        <w:spacing w:line="264" w:lineRule="auto"/>
        <w:ind w:left="0"/>
        <w:rPr>
          <w:rFonts w:ascii="Times New Roman" w:hAnsi="Times New Roman" w:cs="Times New Roman"/>
          <w:sz w:val="25"/>
          <w:szCs w:val="25"/>
        </w:rPr>
      </w:pPr>
      <w:r w:rsidRPr="00DD3B1A">
        <w:rPr>
          <w:rFonts w:ascii="Times New Roman" w:hAnsi="Times New Roman" w:cs="Times New Roman"/>
          <w:sz w:val="25"/>
          <w:szCs w:val="25"/>
        </w:rPr>
        <w:t xml:space="preserve">Because deferral guarantees recovery, the company bears no risk. Because there is no risk, staff recommends that the company not earn any profit on fuel expenses and the commission should remove fuel expense from the LG calculation of the company’s revenue requirement, which includes profit, and add the fuel expense </w:t>
      </w:r>
      <w:r w:rsidR="004B7AE7" w:rsidRPr="00DD3B1A">
        <w:rPr>
          <w:rFonts w:ascii="Times New Roman" w:hAnsi="Times New Roman" w:cs="Times New Roman"/>
          <w:sz w:val="25"/>
          <w:szCs w:val="25"/>
        </w:rPr>
        <w:t xml:space="preserve">back </w:t>
      </w:r>
      <w:r w:rsidRPr="00DD3B1A">
        <w:rPr>
          <w:rFonts w:ascii="Times New Roman" w:hAnsi="Times New Roman" w:cs="Times New Roman"/>
          <w:sz w:val="25"/>
          <w:szCs w:val="25"/>
        </w:rPr>
        <w:t xml:space="preserve">to the </w:t>
      </w:r>
      <w:r w:rsidR="004B7AE7" w:rsidRPr="00DD3B1A">
        <w:rPr>
          <w:rFonts w:ascii="Times New Roman" w:hAnsi="Times New Roman" w:cs="Times New Roman"/>
          <w:sz w:val="25"/>
          <w:szCs w:val="25"/>
        </w:rPr>
        <w:t xml:space="preserve">revised </w:t>
      </w:r>
      <w:r w:rsidRPr="00DD3B1A">
        <w:rPr>
          <w:rFonts w:ascii="Times New Roman" w:hAnsi="Times New Roman" w:cs="Times New Roman"/>
          <w:sz w:val="25"/>
          <w:szCs w:val="25"/>
        </w:rPr>
        <w:t>calculated revenue requirement.</w:t>
      </w:r>
    </w:p>
    <w:p w:rsidR="00DB0833" w:rsidRPr="00DD3B1A" w:rsidRDefault="00DB0833" w:rsidP="00260063">
      <w:pPr>
        <w:pStyle w:val="ListParagraph"/>
        <w:spacing w:line="264" w:lineRule="auto"/>
        <w:ind w:left="0"/>
        <w:rPr>
          <w:rFonts w:ascii="Times New Roman" w:hAnsi="Times New Roman" w:cs="Times New Roman"/>
          <w:sz w:val="25"/>
          <w:szCs w:val="25"/>
        </w:rPr>
      </w:pPr>
    </w:p>
    <w:p w:rsidR="00DB0833" w:rsidRPr="00DD3B1A" w:rsidRDefault="00DB0833" w:rsidP="00260063">
      <w:pPr>
        <w:pStyle w:val="ListParagraph"/>
        <w:spacing w:line="264" w:lineRule="auto"/>
        <w:ind w:left="0"/>
        <w:rPr>
          <w:rFonts w:ascii="Times New Roman" w:hAnsi="Times New Roman" w:cs="Times New Roman"/>
          <w:sz w:val="25"/>
          <w:szCs w:val="25"/>
        </w:rPr>
      </w:pPr>
      <w:r w:rsidRPr="00DD3B1A">
        <w:rPr>
          <w:rFonts w:ascii="Times New Roman" w:hAnsi="Times New Roman" w:cs="Times New Roman"/>
          <w:sz w:val="25"/>
          <w:szCs w:val="25"/>
        </w:rPr>
        <w:t>Staff further recommends that the commission:</w:t>
      </w:r>
    </w:p>
    <w:p w:rsidR="000817AE" w:rsidRPr="00DD3B1A" w:rsidRDefault="00DB0833" w:rsidP="00260063">
      <w:pPr>
        <w:pStyle w:val="ListParagraph"/>
        <w:numPr>
          <w:ilvl w:val="0"/>
          <w:numId w:val="9"/>
        </w:numPr>
        <w:spacing w:line="264" w:lineRule="auto"/>
        <w:rPr>
          <w:rFonts w:ascii="Times New Roman" w:hAnsi="Times New Roman" w:cs="Times New Roman"/>
          <w:sz w:val="25"/>
          <w:szCs w:val="25"/>
        </w:rPr>
      </w:pPr>
      <w:r w:rsidRPr="00DD3B1A">
        <w:rPr>
          <w:rFonts w:ascii="Times New Roman" w:hAnsi="Times New Roman" w:cs="Times New Roman"/>
          <w:sz w:val="25"/>
          <w:szCs w:val="25"/>
        </w:rPr>
        <w:t>Establish deferred accounting for each company</w:t>
      </w:r>
      <w:r w:rsidR="00F363C0" w:rsidRPr="00DD3B1A">
        <w:rPr>
          <w:rFonts w:ascii="Times New Roman" w:hAnsi="Times New Roman" w:cs="Times New Roman"/>
          <w:sz w:val="25"/>
          <w:szCs w:val="25"/>
        </w:rPr>
        <w:t>,</w:t>
      </w:r>
      <w:r w:rsidRPr="00DD3B1A">
        <w:rPr>
          <w:rFonts w:ascii="Times New Roman" w:hAnsi="Times New Roman" w:cs="Times New Roman"/>
          <w:sz w:val="25"/>
          <w:szCs w:val="25"/>
        </w:rPr>
        <w:t xml:space="preserve"> by separate order</w:t>
      </w:r>
      <w:r w:rsidR="00F363C0" w:rsidRPr="00DD3B1A">
        <w:rPr>
          <w:rFonts w:ascii="Times New Roman" w:hAnsi="Times New Roman" w:cs="Times New Roman"/>
          <w:sz w:val="25"/>
          <w:szCs w:val="25"/>
        </w:rPr>
        <w:t>, in each company’s next rate case</w:t>
      </w:r>
      <w:r w:rsidRPr="00DD3B1A">
        <w:rPr>
          <w:rFonts w:ascii="Times New Roman" w:hAnsi="Times New Roman" w:cs="Times New Roman"/>
          <w:sz w:val="25"/>
          <w:szCs w:val="25"/>
        </w:rPr>
        <w:t xml:space="preserve">. </w:t>
      </w:r>
    </w:p>
    <w:p w:rsidR="00F363C0" w:rsidRPr="00DD3B1A" w:rsidRDefault="000817AE" w:rsidP="00260063">
      <w:pPr>
        <w:pStyle w:val="ListParagraph"/>
        <w:numPr>
          <w:ilvl w:val="0"/>
          <w:numId w:val="9"/>
        </w:numPr>
        <w:spacing w:line="264" w:lineRule="auto"/>
        <w:rPr>
          <w:rFonts w:ascii="Times New Roman" w:hAnsi="Times New Roman" w:cs="Times New Roman"/>
          <w:sz w:val="25"/>
          <w:szCs w:val="25"/>
        </w:rPr>
      </w:pPr>
      <w:r w:rsidRPr="00DD3B1A">
        <w:rPr>
          <w:rFonts w:ascii="Times New Roman" w:hAnsi="Times New Roman" w:cs="Times New Roman"/>
          <w:sz w:val="25"/>
          <w:szCs w:val="25"/>
        </w:rPr>
        <w:t>Embed test period fuel expense in rates</w:t>
      </w:r>
      <w:r w:rsidR="004B7AE7" w:rsidRPr="00DD3B1A">
        <w:rPr>
          <w:rFonts w:ascii="Times New Roman" w:hAnsi="Times New Roman" w:cs="Times New Roman"/>
          <w:sz w:val="25"/>
          <w:szCs w:val="25"/>
        </w:rPr>
        <w:t xml:space="preserve"> and </w:t>
      </w:r>
      <w:r w:rsidRPr="00DD3B1A">
        <w:rPr>
          <w:rFonts w:ascii="Times New Roman" w:hAnsi="Times New Roman" w:cs="Times New Roman"/>
          <w:sz w:val="25"/>
          <w:szCs w:val="25"/>
        </w:rPr>
        <w:t>us</w:t>
      </w:r>
      <w:r w:rsidR="004B7AE7" w:rsidRPr="00DD3B1A">
        <w:rPr>
          <w:rFonts w:ascii="Times New Roman" w:hAnsi="Times New Roman" w:cs="Times New Roman"/>
          <w:sz w:val="25"/>
          <w:szCs w:val="25"/>
        </w:rPr>
        <w:t>e</w:t>
      </w:r>
      <w:r w:rsidRPr="00DD3B1A">
        <w:rPr>
          <w:rFonts w:ascii="Times New Roman" w:hAnsi="Times New Roman" w:cs="Times New Roman"/>
          <w:sz w:val="25"/>
          <w:szCs w:val="25"/>
        </w:rPr>
        <w:t xml:space="preserve"> a percentage of revenue adjustment to rates, similar to the current fuel surcharge methodology, to make changes related to fuel expense.</w:t>
      </w:r>
    </w:p>
    <w:p w:rsidR="00F363C0" w:rsidRPr="00DD3B1A" w:rsidRDefault="00F363C0" w:rsidP="00260063">
      <w:pPr>
        <w:pStyle w:val="ListParagraph"/>
        <w:numPr>
          <w:ilvl w:val="0"/>
          <w:numId w:val="9"/>
        </w:numPr>
        <w:spacing w:line="264" w:lineRule="auto"/>
        <w:rPr>
          <w:rFonts w:ascii="Times New Roman" w:hAnsi="Times New Roman" w:cs="Times New Roman"/>
          <w:sz w:val="25"/>
          <w:szCs w:val="25"/>
        </w:rPr>
      </w:pPr>
      <w:r w:rsidRPr="00DD3B1A">
        <w:rPr>
          <w:rFonts w:ascii="Times New Roman" w:hAnsi="Times New Roman" w:cs="Times New Roman"/>
          <w:sz w:val="25"/>
          <w:szCs w:val="25"/>
        </w:rPr>
        <w:t>Allow adjustments not more frequent than every six months</w:t>
      </w:r>
      <w:r w:rsidR="003004B7" w:rsidRPr="00DD3B1A">
        <w:rPr>
          <w:rFonts w:ascii="Times New Roman" w:hAnsi="Times New Roman" w:cs="Times New Roman"/>
          <w:sz w:val="25"/>
          <w:szCs w:val="25"/>
        </w:rPr>
        <w:t xml:space="preserve">. However, </w:t>
      </w:r>
      <w:r w:rsidRPr="00DD3B1A">
        <w:rPr>
          <w:rFonts w:ascii="Times New Roman" w:hAnsi="Times New Roman" w:cs="Times New Roman"/>
          <w:sz w:val="25"/>
          <w:szCs w:val="25"/>
        </w:rPr>
        <w:t>a company could choose a longer filing period.</w:t>
      </w:r>
    </w:p>
    <w:p w:rsidR="00DB0833" w:rsidRPr="00DD3B1A" w:rsidRDefault="004110F9" w:rsidP="00260063">
      <w:pPr>
        <w:pStyle w:val="ListParagraph"/>
        <w:numPr>
          <w:ilvl w:val="0"/>
          <w:numId w:val="10"/>
        </w:numPr>
        <w:spacing w:line="264" w:lineRule="auto"/>
        <w:rPr>
          <w:rFonts w:ascii="Times New Roman" w:hAnsi="Times New Roman" w:cs="Times New Roman"/>
          <w:sz w:val="25"/>
          <w:szCs w:val="25"/>
        </w:rPr>
      </w:pPr>
      <w:r w:rsidRPr="00DD3B1A">
        <w:rPr>
          <w:rFonts w:ascii="Times New Roman" w:hAnsi="Times New Roman" w:cs="Times New Roman"/>
          <w:sz w:val="25"/>
          <w:szCs w:val="25"/>
        </w:rPr>
        <w:t>Implement deferred accounting using actual data within a rate case. If there is no pending rate case, u</w:t>
      </w:r>
      <w:r w:rsidR="000817AE" w:rsidRPr="00DD3B1A">
        <w:rPr>
          <w:rFonts w:ascii="Times New Roman" w:hAnsi="Times New Roman" w:cs="Times New Roman"/>
          <w:sz w:val="25"/>
          <w:szCs w:val="25"/>
        </w:rPr>
        <w:t xml:space="preserve">se a </w:t>
      </w:r>
      <w:r w:rsidRPr="00DD3B1A">
        <w:rPr>
          <w:rFonts w:ascii="Times New Roman" w:hAnsi="Times New Roman" w:cs="Times New Roman"/>
          <w:sz w:val="25"/>
          <w:szCs w:val="25"/>
        </w:rPr>
        <w:t xml:space="preserve">one-time fuel adjustment, </w:t>
      </w:r>
      <w:r w:rsidR="003004B7" w:rsidRPr="00DD3B1A">
        <w:rPr>
          <w:rFonts w:ascii="Times New Roman" w:hAnsi="Times New Roman" w:cs="Times New Roman"/>
          <w:sz w:val="25"/>
          <w:szCs w:val="25"/>
        </w:rPr>
        <w:t xml:space="preserve">which would be </w:t>
      </w:r>
      <w:r w:rsidRPr="00DD3B1A">
        <w:rPr>
          <w:rFonts w:ascii="Times New Roman" w:hAnsi="Times New Roman" w:cs="Times New Roman"/>
          <w:sz w:val="25"/>
          <w:szCs w:val="25"/>
        </w:rPr>
        <w:t xml:space="preserve">the company’s Base Fuel Period Index divided by the most </w:t>
      </w:r>
      <w:r w:rsidR="003B2658" w:rsidRPr="00DD3B1A">
        <w:rPr>
          <w:rFonts w:ascii="Times New Roman" w:hAnsi="Times New Roman" w:cs="Times New Roman"/>
          <w:sz w:val="25"/>
          <w:szCs w:val="25"/>
        </w:rPr>
        <w:t>recent three-month average index</w:t>
      </w:r>
      <w:r w:rsidRPr="00DD3B1A">
        <w:rPr>
          <w:rFonts w:ascii="Times New Roman" w:hAnsi="Times New Roman" w:cs="Times New Roman"/>
          <w:sz w:val="25"/>
          <w:szCs w:val="25"/>
        </w:rPr>
        <w:t>.</w:t>
      </w:r>
    </w:p>
    <w:p w:rsidR="009F6D92" w:rsidRPr="00DD3B1A" w:rsidRDefault="00DB0833" w:rsidP="00260063">
      <w:pPr>
        <w:pStyle w:val="ListParagraph"/>
        <w:numPr>
          <w:ilvl w:val="0"/>
          <w:numId w:val="10"/>
        </w:numPr>
        <w:spacing w:line="264" w:lineRule="auto"/>
        <w:rPr>
          <w:rFonts w:ascii="Times New Roman" w:hAnsi="Times New Roman" w:cs="Times New Roman"/>
          <w:b/>
          <w:sz w:val="25"/>
          <w:szCs w:val="25"/>
        </w:rPr>
      </w:pPr>
      <w:r w:rsidRPr="00DD3B1A">
        <w:rPr>
          <w:rFonts w:ascii="Times New Roman" w:hAnsi="Times New Roman" w:cs="Times New Roman"/>
          <w:sz w:val="25"/>
          <w:szCs w:val="25"/>
        </w:rPr>
        <w:t xml:space="preserve">Phase in deferred accounting </w:t>
      </w:r>
      <w:r w:rsidR="000817AE" w:rsidRPr="00DD3B1A">
        <w:rPr>
          <w:rFonts w:ascii="Times New Roman" w:hAnsi="Times New Roman" w:cs="Times New Roman"/>
          <w:sz w:val="25"/>
          <w:szCs w:val="25"/>
        </w:rPr>
        <w:t xml:space="preserve">over the next twelve months to spread out </w:t>
      </w:r>
      <w:r w:rsidR="00563F4F" w:rsidRPr="00DD3B1A">
        <w:rPr>
          <w:rFonts w:ascii="Times New Roman" w:hAnsi="Times New Roman" w:cs="Times New Roman"/>
          <w:sz w:val="25"/>
          <w:szCs w:val="25"/>
        </w:rPr>
        <w:t xml:space="preserve">the work load </w:t>
      </w:r>
      <w:r w:rsidR="000817AE" w:rsidRPr="00DD3B1A">
        <w:rPr>
          <w:rFonts w:ascii="Times New Roman" w:hAnsi="Times New Roman" w:cs="Times New Roman"/>
          <w:sz w:val="25"/>
          <w:szCs w:val="25"/>
        </w:rPr>
        <w:t xml:space="preserve">and </w:t>
      </w:r>
      <w:r w:rsidRPr="00DD3B1A">
        <w:rPr>
          <w:rFonts w:ascii="Times New Roman" w:hAnsi="Times New Roman" w:cs="Times New Roman"/>
          <w:sz w:val="25"/>
          <w:szCs w:val="25"/>
        </w:rPr>
        <w:t>allow companies to continue charging a fuel surcharge as set forth in the following section.</w:t>
      </w:r>
    </w:p>
    <w:p w:rsidR="00944584" w:rsidRPr="00DD3B1A" w:rsidRDefault="00944584"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See Attachment A for a description of staff’s proposed starting deferred accounting</w:t>
      </w:r>
      <w:r w:rsidR="004B7AE7" w:rsidRPr="00DD3B1A">
        <w:rPr>
          <w:rFonts w:ascii="Times New Roman" w:hAnsi="Times New Roman" w:cs="Times New Roman"/>
          <w:sz w:val="25"/>
          <w:szCs w:val="25"/>
        </w:rPr>
        <w:t xml:space="preserve"> and Attachment B for </w:t>
      </w:r>
      <w:r w:rsidR="005161A6" w:rsidRPr="00DD3B1A">
        <w:rPr>
          <w:rFonts w:ascii="Times New Roman" w:hAnsi="Times New Roman" w:cs="Times New Roman"/>
          <w:sz w:val="25"/>
          <w:szCs w:val="25"/>
        </w:rPr>
        <w:t xml:space="preserve">the </w:t>
      </w:r>
      <w:r w:rsidR="004B7AE7" w:rsidRPr="00DD3B1A">
        <w:rPr>
          <w:rFonts w:ascii="Times New Roman" w:hAnsi="Times New Roman" w:cs="Times New Roman"/>
          <w:sz w:val="25"/>
          <w:szCs w:val="25"/>
        </w:rPr>
        <w:t>proposed phase in time schedule</w:t>
      </w:r>
      <w:r w:rsidRPr="00DD3B1A">
        <w:rPr>
          <w:rFonts w:ascii="Times New Roman" w:hAnsi="Times New Roman" w:cs="Times New Roman"/>
          <w:sz w:val="25"/>
          <w:szCs w:val="25"/>
        </w:rPr>
        <w:t xml:space="preserve">. </w:t>
      </w:r>
    </w:p>
    <w:p w:rsidR="004C69CD" w:rsidRPr="00DD3B1A" w:rsidRDefault="00636697" w:rsidP="00260063">
      <w:pPr>
        <w:spacing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TEMPORARY INDEX FUEL SURCHARGE</w:t>
      </w:r>
    </w:p>
    <w:p w:rsidR="004713CE" w:rsidRPr="00DD3B1A" w:rsidRDefault="00273995"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Staff recommends that the commission allow companies to continue using a revised version of the </w:t>
      </w:r>
      <w:r w:rsidR="00944584" w:rsidRPr="00DD3B1A">
        <w:rPr>
          <w:rFonts w:ascii="Times New Roman" w:hAnsi="Times New Roman" w:cs="Times New Roman"/>
          <w:sz w:val="25"/>
          <w:szCs w:val="25"/>
        </w:rPr>
        <w:t xml:space="preserve">current </w:t>
      </w:r>
      <w:r w:rsidRPr="00DD3B1A">
        <w:rPr>
          <w:rFonts w:ascii="Times New Roman" w:hAnsi="Times New Roman" w:cs="Times New Roman"/>
          <w:sz w:val="25"/>
          <w:szCs w:val="25"/>
        </w:rPr>
        <w:t>monthly fuel indexed surcharge methodology until they</w:t>
      </w:r>
      <w:r w:rsidR="00A477DA" w:rsidRPr="00DD3B1A">
        <w:rPr>
          <w:rFonts w:ascii="Times New Roman" w:hAnsi="Times New Roman" w:cs="Times New Roman"/>
          <w:sz w:val="25"/>
          <w:szCs w:val="25"/>
        </w:rPr>
        <w:t xml:space="preserve"> have the opportunity to</w:t>
      </w:r>
      <w:r w:rsidRPr="00DD3B1A">
        <w:rPr>
          <w:rFonts w:ascii="Times New Roman" w:hAnsi="Times New Roman" w:cs="Times New Roman"/>
          <w:sz w:val="25"/>
          <w:szCs w:val="25"/>
        </w:rPr>
        <w:t xml:space="preserve"> implement deferred accounting according to the proposed schedule</w:t>
      </w:r>
      <w:r w:rsidR="00944584" w:rsidRPr="00DD3B1A">
        <w:rPr>
          <w:rFonts w:ascii="Times New Roman" w:hAnsi="Times New Roman" w:cs="Times New Roman"/>
          <w:sz w:val="25"/>
          <w:szCs w:val="25"/>
        </w:rPr>
        <w:t xml:space="preserve"> in Attachment B</w:t>
      </w:r>
      <w:r w:rsidRPr="00DD3B1A">
        <w:rPr>
          <w:rFonts w:ascii="Times New Roman" w:hAnsi="Times New Roman" w:cs="Times New Roman"/>
          <w:sz w:val="25"/>
          <w:szCs w:val="25"/>
        </w:rPr>
        <w:t xml:space="preserve">. </w:t>
      </w:r>
      <w:r w:rsidR="00FA12F7" w:rsidRPr="00DD3B1A">
        <w:rPr>
          <w:rFonts w:ascii="Times New Roman" w:hAnsi="Times New Roman" w:cs="Times New Roman"/>
          <w:sz w:val="25"/>
          <w:szCs w:val="25"/>
        </w:rPr>
        <w:t xml:space="preserve">The revised indexed </w:t>
      </w:r>
      <w:r w:rsidR="00DA3AA2" w:rsidRPr="00DD3B1A">
        <w:rPr>
          <w:rFonts w:ascii="Times New Roman" w:hAnsi="Times New Roman" w:cs="Times New Roman"/>
          <w:sz w:val="25"/>
          <w:szCs w:val="25"/>
        </w:rPr>
        <w:t>fuel surcharge methodology</w:t>
      </w:r>
      <w:r w:rsidR="00FA12F7" w:rsidRPr="00DD3B1A">
        <w:rPr>
          <w:rFonts w:ascii="Times New Roman" w:hAnsi="Times New Roman" w:cs="Times New Roman"/>
          <w:sz w:val="25"/>
          <w:szCs w:val="25"/>
        </w:rPr>
        <w:t xml:space="preserve"> changes the current indexed fuel surcharge </w:t>
      </w:r>
      <w:r w:rsidR="000E27FD" w:rsidRPr="00DD3B1A">
        <w:rPr>
          <w:rFonts w:ascii="Times New Roman" w:hAnsi="Times New Roman" w:cs="Times New Roman"/>
          <w:sz w:val="25"/>
          <w:szCs w:val="25"/>
        </w:rPr>
        <w:t>as follow</w:t>
      </w:r>
      <w:r w:rsidR="00FD2D5F" w:rsidRPr="00DD3B1A">
        <w:rPr>
          <w:rFonts w:ascii="Times New Roman" w:hAnsi="Times New Roman" w:cs="Times New Roman"/>
          <w:sz w:val="25"/>
          <w:szCs w:val="25"/>
        </w:rPr>
        <w:t>s</w:t>
      </w:r>
      <w:r w:rsidR="004C69CD" w:rsidRPr="00DD3B1A">
        <w:rPr>
          <w:rFonts w:ascii="Times New Roman" w:hAnsi="Times New Roman" w:cs="Times New Roman"/>
          <w:sz w:val="25"/>
          <w:szCs w:val="25"/>
        </w:rPr>
        <w:t xml:space="preserve"> (changes identified with underline)</w:t>
      </w:r>
      <w:r w:rsidR="00DA3AA2" w:rsidRPr="00DD3B1A">
        <w:rPr>
          <w:rFonts w:ascii="Times New Roman" w:hAnsi="Times New Roman" w:cs="Times New Roman"/>
          <w:sz w:val="25"/>
          <w:szCs w:val="25"/>
        </w:rPr>
        <w:t>:</w:t>
      </w:r>
    </w:p>
    <w:p w:rsidR="006A248F" w:rsidRPr="00DD3B1A" w:rsidRDefault="006A248F" w:rsidP="00260063">
      <w:pPr>
        <w:pStyle w:val="ListParagraph"/>
        <w:numPr>
          <w:ilvl w:val="0"/>
          <w:numId w:val="5"/>
        </w:numPr>
        <w:spacing w:line="264" w:lineRule="auto"/>
        <w:rPr>
          <w:rFonts w:ascii="Times New Roman" w:hAnsi="Times New Roman" w:cs="Times New Roman"/>
          <w:sz w:val="25"/>
          <w:szCs w:val="25"/>
        </w:rPr>
      </w:pPr>
      <w:r w:rsidRPr="00DD3B1A">
        <w:rPr>
          <w:rFonts w:ascii="Times New Roman" w:hAnsi="Times New Roman" w:cs="Times New Roman"/>
          <w:sz w:val="25"/>
          <w:szCs w:val="25"/>
          <w:u w:val="single"/>
        </w:rPr>
        <w:t>The surcharge adjustment would be mandatory for decreases.</w:t>
      </w:r>
      <w:r w:rsidRPr="00DD3B1A">
        <w:rPr>
          <w:rFonts w:ascii="Times New Roman" w:hAnsi="Times New Roman" w:cs="Times New Roman"/>
          <w:sz w:val="25"/>
          <w:szCs w:val="25"/>
        </w:rPr>
        <w:t xml:space="preserve"> The current methodology is voluntary.</w:t>
      </w:r>
      <w:r w:rsidR="009F3390" w:rsidRPr="00DD3B1A">
        <w:rPr>
          <w:rFonts w:ascii="Times New Roman" w:hAnsi="Times New Roman" w:cs="Times New Roman"/>
          <w:sz w:val="25"/>
          <w:szCs w:val="25"/>
        </w:rPr>
        <w:t xml:space="preserve"> </w:t>
      </w:r>
      <w:r w:rsidR="00715C7F" w:rsidRPr="00DD3B1A">
        <w:rPr>
          <w:rFonts w:ascii="Times New Roman" w:hAnsi="Times New Roman" w:cs="Times New Roman"/>
          <w:sz w:val="25"/>
          <w:szCs w:val="25"/>
        </w:rPr>
        <w:t>Referring to Attachment C, n</w:t>
      </w:r>
      <w:r w:rsidR="009F3390" w:rsidRPr="00DD3B1A">
        <w:rPr>
          <w:rFonts w:ascii="Times New Roman" w:hAnsi="Times New Roman" w:cs="Times New Roman"/>
          <w:sz w:val="25"/>
          <w:szCs w:val="25"/>
        </w:rPr>
        <w:t xml:space="preserve">ote that </w:t>
      </w:r>
      <w:r w:rsidR="00715C7F" w:rsidRPr="00DD3B1A">
        <w:rPr>
          <w:rFonts w:ascii="Times New Roman" w:hAnsi="Times New Roman" w:cs="Times New Roman"/>
          <w:sz w:val="25"/>
          <w:szCs w:val="25"/>
        </w:rPr>
        <w:t>current and revised methodologies result in a fuel credit (.32 percent) for Murrey’s Disposal Co., Inc. d/b/a Olympic Disposal.</w:t>
      </w:r>
    </w:p>
    <w:p w:rsidR="00881C9D" w:rsidRPr="00DD3B1A" w:rsidRDefault="00881C9D" w:rsidP="00260063">
      <w:pPr>
        <w:pStyle w:val="ListParagraph"/>
        <w:spacing w:line="264" w:lineRule="auto"/>
        <w:rPr>
          <w:rFonts w:ascii="Times New Roman" w:hAnsi="Times New Roman" w:cs="Times New Roman"/>
          <w:sz w:val="25"/>
          <w:szCs w:val="25"/>
        </w:rPr>
      </w:pPr>
    </w:p>
    <w:p w:rsidR="009F4387" w:rsidRPr="00DD3B1A" w:rsidRDefault="004C69CD" w:rsidP="00260063">
      <w:pPr>
        <w:pStyle w:val="ListParagraph"/>
        <w:numPr>
          <w:ilvl w:val="0"/>
          <w:numId w:val="5"/>
        </w:num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Base Period Revenue is defined as (1) last rate case or </w:t>
      </w:r>
      <w:r w:rsidRPr="00DD3B1A">
        <w:rPr>
          <w:rFonts w:ascii="Times New Roman" w:hAnsi="Times New Roman" w:cs="Times New Roman"/>
          <w:sz w:val="25"/>
          <w:szCs w:val="25"/>
          <w:u w:val="single"/>
        </w:rPr>
        <w:t>(2) most recent disposal fee rate case</w:t>
      </w:r>
      <w:r w:rsidRPr="00DD3B1A">
        <w:rPr>
          <w:rFonts w:ascii="Times New Roman" w:hAnsi="Times New Roman" w:cs="Times New Roman"/>
          <w:sz w:val="25"/>
          <w:szCs w:val="25"/>
        </w:rPr>
        <w:t xml:space="preserve">. The current methodology </w:t>
      </w:r>
      <w:r w:rsidR="009F4387" w:rsidRPr="00DD3B1A">
        <w:rPr>
          <w:rFonts w:ascii="Times New Roman" w:hAnsi="Times New Roman" w:cs="Times New Roman"/>
          <w:sz w:val="25"/>
          <w:szCs w:val="25"/>
        </w:rPr>
        <w:t>uses only last rate case revenue.</w:t>
      </w:r>
    </w:p>
    <w:p w:rsidR="00881C9D" w:rsidRPr="00DD3B1A" w:rsidRDefault="00881C9D" w:rsidP="00260063">
      <w:pPr>
        <w:pStyle w:val="ListParagraph"/>
        <w:spacing w:line="264" w:lineRule="auto"/>
        <w:rPr>
          <w:rFonts w:ascii="Times New Roman" w:hAnsi="Times New Roman" w:cs="Times New Roman"/>
          <w:sz w:val="25"/>
          <w:szCs w:val="25"/>
        </w:rPr>
      </w:pPr>
    </w:p>
    <w:p w:rsidR="00DA3AA2" w:rsidRPr="00DD3B1A" w:rsidRDefault="00DA3AA2" w:rsidP="00260063">
      <w:pPr>
        <w:pStyle w:val="ListParagraph"/>
        <w:numPr>
          <w:ilvl w:val="0"/>
          <w:numId w:val="5"/>
        </w:num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Base </w:t>
      </w:r>
      <w:r w:rsidR="000E27FD" w:rsidRPr="00DD3B1A">
        <w:rPr>
          <w:rFonts w:ascii="Times New Roman" w:hAnsi="Times New Roman" w:cs="Times New Roman"/>
          <w:sz w:val="25"/>
          <w:szCs w:val="25"/>
        </w:rPr>
        <w:t>F</w:t>
      </w:r>
      <w:r w:rsidRPr="00DD3B1A">
        <w:rPr>
          <w:rFonts w:ascii="Times New Roman" w:hAnsi="Times New Roman" w:cs="Times New Roman"/>
          <w:sz w:val="25"/>
          <w:szCs w:val="25"/>
        </w:rPr>
        <w:t xml:space="preserve">uel </w:t>
      </w:r>
      <w:r w:rsidR="00FD2D5F" w:rsidRPr="00DD3B1A">
        <w:rPr>
          <w:rFonts w:ascii="Times New Roman" w:hAnsi="Times New Roman" w:cs="Times New Roman"/>
          <w:sz w:val="25"/>
          <w:szCs w:val="25"/>
        </w:rPr>
        <w:t>Cost</w:t>
      </w:r>
      <w:r w:rsidR="000E27FD" w:rsidRPr="00DD3B1A">
        <w:rPr>
          <w:rFonts w:ascii="Times New Roman" w:hAnsi="Times New Roman" w:cs="Times New Roman"/>
          <w:sz w:val="25"/>
          <w:szCs w:val="25"/>
        </w:rPr>
        <w:t xml:space="preserve"> </w:t>
      </w:r>
      <w:r w:rsidRPr="00DD3B1A">
        <w:rPr>
          <w:rFonts w:ascii="Times New Roman" w:hAnsi="Times New Roman" w:cs="Times New Roman"/>
          <w:sz w:val="25"/>
          <w:szCs w:val="25"/>
        </w:rPr>
        <w:t xml:space="preserve">is </w:t>
      </w:r>
      <w:r w:rsidR="00FD2D5F" w:rsidRPr="00DD3B1A">
        <w:rPr>
          <w:rFonts w:ascii="Times New Roman" w:hAnsi="Times New Roman" w:cs="Times New Roman"/>
          <w:sz w:val="25"/>
          <w:szCs w:val="25"/>
        </w:rPr>
        <w:t xml:space="preserve">defined as </w:t>
      </w:r>
      <w:r w:rsidR="003456AB" w:rsidRPr="00DD3B1A">
        <w:rPr>
          <w:rFonts w:ascii="Times New Roman" w:hAnsi="Times New Roman" w:cs="Times New Roman"/>
          <w:sz w:val="25"/>
          <w:szCs w:val="25"/>
        </w:rPr>
        <w:t xml:space="preserve">(1) </w:t>
      </w:r>
      <w:r w:rsidR="00FD2D5F" w:rsidRPr="00DD3B1A">
        <w:rPr>
          <w:rFonts w:ascii="Times New Roman" w:hAnsi="Times New Roman" w:cs="Times New Roman"/>
          <w:sz w:val="25"/>
          <w:szCs w:val="25"/>
        </w:rPr>
        <w:t xml:space="preserve">the average annual fuel cost from the company’s </w:t>
      </w:r>
      <w:r w:rsidRPr="00DD3B1A">
        <w:rPr>
          <w:rFonts w:ascii="Times New Roman" w:hAnsi="Times New Roman" w:cs="Times New Roman"/>
          <w:sz w:val="25"/>
          <w:szCs w:val="25"/>
        </w:rPr>
        <w:t xml:space="preserve">last rate case or </w:t>
      </w:r>
      <w:r w:rsidR="003456AB" w:rsidRPr="00DD3B1A">
        <w:rPr>
          <w:rFonts w:ascii="Times New Roman" w:hAnsi="Times New Roman" w:cs="Times New Roman"/>
          <w:sz w:val="25"/>
          <w:szCs w:val="25"/>
          <w:u w:val="single"/>
        </w:rPr>
        <w:t xml:space="preserve">(2) </w:t>
      </w:r>
      <w:r w:rsidRPr="00DD3B1A">
        <w:rPr>
          <w:rFonts w:ascii="Times New Roman" w:hAnsi="Times New Roman" w:cs="Times New Roman"/>
          <w:sz w:val="25"/>
          <w:szCs w:val="25"/>
          <w:u w:val="single"/>
        </w:rPr>
        <w:t xml:space="preserve">twelve-month </w:t>
      </w:r>
      <w:r w:rsidR="009F4387" w:rsidRPr="00DD3B1A">
        <w:rPr>
          <w:rFonts w:ascii="Times New Roman" w:hAnsi="Times New Roman" w:cs="Times New Roman"/>
          <w:sz w:val="25"/>
          <w:szCs w:val="25"/>
          <w:u w:val="single"/>
        </w:rPr>
        <w:t>i</w:t>
      </w:r>
      <w:r w:rsidR="00842168" w:rsidRPr="00DD3B1A">
        <w:rPr>
          <w:rFonts w:ascii="Times New Roman" w:hAnsi="Times New Roman" w:cs="Times New Roman"/>
          <w:sz w:val="25"/>
          <w:szCs w:val="25"/>
          <w:u w:val="single"/>
        </w:rPr>
        <w:t>ndex</w:t>
      </w:r>
      <w:r w:rsidRPr="00DD3B1A">
        <w:rPr>
          <w:rFonts w:ascii="Times New Roman" w:hAnsi="Times New Roman" w:cs="Times New Roman"/>
          <w:sz w:val="25"/>
          <w:szCs w:val="25"/>
          <w:u w:val="single"/>
        </w:rPr>
        <w:t xml:space="preserve"> average</w:t>
      </w:r>
      <w:r w:rsidR="009F4387" w:rsidRPr="00DD3B1A">
        <w:rPr>
          <w:rFonts w:ascii="Times New Roman" w:hAnsi="Times New Roman" w:cs="Times New Roman"/>
          <w:sz w:val="25"/>
          <w:szCs w:val="25"/>
          <w:u w:val="single"/>
        </w:rPr>
        <w:t xml:space="preserve"> from </w:t>
      </w:r>
      <w:r w:rsidR="004B7AE7" w:rsidRPr="00DD3B1A">
        <w:rPr>
          <w:rFonts w:ascii="Times New Roman" w:hAnsi="Times New Roman" w:cs="Times New Roman"/>
          <w:sz w:val="25"/>
          <w:szCs w:val="25"/>
          <w:u w:val="single"/>
        </w:rPr>
        <w:t>six</w:t>
      </w:r>
      <w:r w:rsidR="00261F45" w:rsidRPr="00DD3B1A">
        <w:rPr>
          <w:rFonts w:ascii="Times New Roman" w:hAnsi="Times New Roman" w:cs="Times New Roman"/>
          <w:sz w:val="25"/>
          <w:szCs w:val="25"/>
          <w:u w:val="single"/>
        </w:rPr>
        <w:t xml:space="preserve"> months previous</w:t>
      </w:r>
      <w:r w:rsidRPr="00DD3B1A">
        <w:rPr>
          <w:rFonts w:ascii="Times New Roman" w:hAnsi="Times New Roman" w:cs="Times New Roman"/>
          <w:sz w:val="25"/>
          <w:szCs w:val="25"/>
          <w:u w:val="single"/>
        </w:rPr>
        <w:t>, whichever is greater</w:t>
      </w:r>
      <w:r w:rsidRPr="00DD3B1A">
        <w:rPr>
          <w:rFonts w:ascii="Times New Roman" w:hAnsi="Times New Roman" w:cs="Times New Roman"/>
          <w:sz w:val="25"/>
          <w:szCs w:val="25"/>
        </w:rPr>
        <w:t xml:space="preserve">. </w:t>
      </w:r>
      <w:r w:rsidR="009F4387" w:rsidRPr="00DD3B1A">
        <w:rPr>
          <w:rFonts w:ascii="Times New Roman" w:hAnsi="Times New Roman" w:cs="Times New Roman"/>
          <w:sz w:val="25"/>
          <w:szCs w:val="25"/>
        </w:rPr>
        <w:t xml:space="preserve">The purpose of the </w:t>
      </w:r>
      <w:r w:rsidR="004B7AE7" w:rsidRPr="00DD3B1A">
        <w:rPr>
          <w:rFonts w:ascii="Times New Roman" w:hAnsi="Times New Roman" w:cs="Times New Roman"/>
          <w:sz w:val="25"/>
          <w:szCs w:val="25"/>
        </w:rPr>
        <w:t>six</w:t>
      </w:r>
      <w:r w:rsidR="009F4387" w:rsidRPr="00DD3B1A">
        <w:rPr>
          <w:rFonts w:ascii="Times New Roman" w:hAnsi="Times New Roman" w:cs="Times New Roman"/>
          <w:sz w:val="25"/>
          <w:szCs w:val="25"/>
        </w:rPr>
        <w:t xml:space="preserve">-month time lag is to allow the company </w:t>
      </w:r>
      <w:r w:rsidR="00261F45" w:rsidRPr="00DD3B1A">
        <w:rPr>
          <w:rFonts w:ascii="Times New Roman" w:hAnsi="Times New Roman" w:cs="Times New Roman"/>
          <w:sz w:val="25"/>
          <w:szCs w:val="25"/>
        </w:rPr>
        <w:t xml:space="preserve">six months to </w:t>
      </w:r>
      <w:r w:rsidR="009F4387" w:rsidRPr="00DD3B1A">
        <w:rPr>
          <w:rFonts w:ascii="Times New Roman" w:hAnsi="Times New Roman" w:cs="Times New Roman"/>
          <w:sz w:val="25"/>
          <w:szCs w:val="25"/>
        </w:rPr>
        <w:t>prepare and file a rate case</w:t>
      </w:r>
      <w:r w:rsidR="00261F45" w:rsidRPr="00DD3B1A">
        <w:rPr>
          <w:rFonts w:ascii="Times New Roman" w:hAnsi="Times New Roman" w:cs="Times New Roman"/>
          <w:sz w:val="25"/>
          <w:szCs w:val="25"/>
        </w:rPr>
        <w:t xml:space="preserve"> based on </w:t>
      </w:r>
      <w:r w:rsidR="004B7AE7" w:rsidRPr="00DD3B1A">
        <w:rPr>
          <w:rFonts w:ascii="Times New Roman" w:hAnsi="Times New Roman" w:cs="Times New Roman"/>
          <w:sz w:val="25"/>
          <w:szCs w:val="25"/>
        </w:rPr>
        <w:t xml:space="preserve">fuel costs for </w:t>
      </w:r>
      <w:r w:rsidR="00261F45" w:rsidRPr="00DD3B1A">
        <w:rPr>
          <w:rFonts w:ascii="Times New Roman" w:hAnsi="Times New Roman" w:cs="Times New Roman"/>
          <w:sz w:val="25"/>
          <w:szCs w:val="25"/>
        </w:rPr>
        <w:t>the previous twelve months</w:t>
      </w:r>
      <w:r w:rsidR="009F4387" w:rsidRPr="00DD3B1A">
        <w:rPr>
          <w:rFonts w:ascii="Times New Roman" w:hAnsi="Times New Roman" w:cs="Times New Roman"/>
          <w:sz w:val="25"/>
          <w:szCs w:val="25"/>
        </w:rPr>
        <w:t xml:space="preserve">. If the company has not filed a rate case, we assume that the company does not need additional revenue </w:t>
      </w:r>
      <w:r w:rsidR="004C6AE3" w:rsidRPr="00DD3B1A">
        <w:rPr>
          <w:rFonts w:ascii="Times New Roman" w:hAnsi="Times New Roman" w:cs="Times New Roman"/>
          <w:sz w:val="25"/>
          <w:szCs w:val="25"/>
        </w:rPr>
        <w:t xml:space="preserve">for the twelve-month period </w:t>
      </w:r>
      <w:r w:rsidR="009F4387" w:rsidRPr="00DD3B1A">
        <w:rPr>
          <w:rFonts w:ascii="Times New Roman" w:hAnsi="Times New Roman" w:cs="Times New Roman"/>
          <w:sz w:val="25"/>
          <w:szCs w:val="25"/>
        </w:rPr>
        <w:t xml:space="preserve">and the fuel costs were acceptable. For example, </w:t>
      </w:r>
      <w:r w:rsidR="005D45E7" w:rsidRPr="00DD3B1A">
        <w:rPr>
          <w:rFonts w:ascii="Times New Roman" w:hAnsi="Times New Roman" w:cs="Times New Roman"/>
          <w:sz w:val="25"/>
          <w:szCs w:val="25"/>
        </w:rPr>
        <w:t>a filing with a</w:t>
      </w:r>
      <w:r w:rsidR="004C6AE3" w:rsidRPr="00DD3B1A">
        <w:rPr>
          <w:rFonts w:ascii="Times New Roman" w:hAnsi="Times New Roman" w:cs="Times New Roman"/>
          <w:sz w:val="25"/>
          <w:szCs w:val="25"/>
        </w:rPr>
        <w:t>n</w:t>
      </w:r>
      <w:r w:rsidR="005D45E7" w:rsidRPr="00DD3B1A">
        <w:rPr>
          <w:rFonts w:ascii="Times New Roman" w:hAnsi="Times New Roman" w:cs="Times New Roman"/>
          <w:sz w:val="25"/>
          <w:szCs w:val="25"/>
        </w:rPr>
        <w:t xml:space="preserve"> </w:t>
      </w:r>
      <w:r w:rsidR="004C6AE3" w:rsidRPr="00DD3B1A">
        <w:rPr>
          <w:rFonts w:ascii="Times New Roman" w:hAnsi="Times New Roman" w:cs="Times New Roman"/>
          <w:sz w:val="25"/>
          <w:szCs w:val="25"/>
        </w:rPr>
        <w:t>April</w:t>
      </w:r>
      <w:r w:rsidR="005D45E7" w:rsidRPr="00DD3B1A">
        <w:rPr>
          <w:rFonts w:ascii="Times New Roman" w:hAnsi="Times New Roman" w:cs="Times New Roman"/>
          <w:sz w:val="25"/>
          <w:szCs w:val="25"/>
        </w:rPr>
        <w:t xml:space="preserve"> 1, </w:t>
      </w:r>
      <w:r w:rsidR="009F4387" w:rsidRPr="00DD3B1A">
        <w:rPr>
          <w:rFonts w:ascii="Times New Roman" w:hAnsi="Times New Roman" w:cs="Times New Roman"/>
          <w:sz w:val="25"/>
          <w:szCs w:val="25"/>
        </w:rPr>
        <w:t>2011</w:t>
      </w:r>
      <w:r w:rsidR="005D45E7" w:rsidRPr="00DD3B1A">
        <w:rPr>
          <w:rFonts w:ascii="Times New Roman" w:hAnsi="Times New Roman" w:cs="Times New Roman"/>
          <w:sz w:val="25"/>
          <w:szCs w:val="25"/>
        </w:rPr>
        <w:t xml:space="preserve">, effective date would use an alternate base fuel cost for the twelve months ending </w:t>
      </w:r>
      <w:r w:rsidR="004C6AE3" w:rsidRPr="00DD3B1A">
        <w:rPr>
          <w:rFonts w:ascii="Times New Roman" w:hAnsi="Times New Roman" w:cs="Times New Roman"/>
          <w:sz w:val="25"/>
          <w:szCs w:val="25"/>
        </w:rPr>
        <w:t>September</w:t>
      </w:r>
      <w:r w:rsidR="005D45E7" w:rsidRPr="00DD3B1A">
        <w:rPr>
          <w:rFonts w:ascii="Times New Roman" w:hAnsi="Times New Roman" w:cs="Times New Roman"/>
          <w:sz w:val="25"/>
          <w:szCs w:val="25"/>
        </w:rPr>
        <w:t xml:space="preserve"> 2010</w:t>
      </w:r>
      <w:r w:rsidR="004C6AE3" w:rsidRPr="00DD3B1A">
        <w:rPr>
          <w:rFonts w:ascii="Times New Roman" w:hAnsi="Times New Roman" w:cs="Times New Roman"/>
          <w:sz w:val="25"/>
          <w:szCs w:val="25"/>
        </w:rPr>
        <w:t>, leaving six months to prepare and file a rate case to become effective April 1, 2011</w:t>
      </w:r>
      <w:r w:rsidR="005D45E7" w:rsidRPr="00DD3B1A">
        <w:rPr>
          <w:rFonts w:ascii="Times New Roman" w:hAnsi="Times New Roman" w:cs="Times New Roman"/>
          <w:sz w:val="25"/>
          <w:szCs w:val="25"/>
        </w:rPr>
        <w:t xml:space="preserve">. </w:t>
      </w:r>
      <w:r w:rsidRPr="00DD3B1A">
        <w:rPr>
          <w:rFonts w:ascii="Times New Roman" w:hAnsi="Times New Roman" w:cs="Times New Roman"/>
          <w:sz w:val="25"/>
          <w:szCs w:val="25"/>
        </w:rPr>
        <w:t xml:space="preserve">The current </w:t>
      </w:r>
      <w:r w:rsidR="009F4387" w:rsidRPr="00DD3B1A">
        <w:rPr>
          <w:rFonts w:ascii="Times New Roman" w:hAnsi="Times New Roman" w:cs="Times New Roman"/>
          <w:sz w:val="25"/>
          <w:szCs w:val="25"/>
        </w:rPr>
        <w:t xml:space="preserve">methodology uses </w:t>
      </w:r>
      <w:r w:rsidRPr="00DD3B1A">
        <w:rPr>
          <w:rFonts w:ascii="Times New Roman" w:hAnsi="Times New Roman" w:cs="Times New Roman"/>
          <w:sz w:val="25"/>
          <w:szCs w:val="25"/>
        </w:rPr>
        <w:t>only the</w:t>
      </w:r>
      <w:r w:rsidR="00FD2D5F" w:rsidRPr="00DD3B1A">
        <w:rPr>
          <w:rFonts w:ascii="Times New Roman" w:hAnsi="Times New Roman" w:cs="Times New Roman"/>
          <w:sz w:val="25"/>
          <w:szCs w:val="25"/>
        </w:rPr>
        <w:t xml:space="preserve"> average annual fuel cost from the company’s</w:t>
      </w:r>
      <w:r w:rsidRPr="00DD3B1A">
        <w:rPr>
          <w:rFonts w:ascii="Times New Roman" w:hAnsi="Times New Roman" w:cs="Times New Roman"/>
          <w:sz w:val="25"/>
          <w:szCs w:val="25"/>
        </w:rPr>
        <w:t xml:space="preserve"> </w:t>
      </w:r>
      <w:r w:rsidR="00803E6A" w:rsidRPr="00DD3B1A">
        <w:rPr>
          <w:rFonts w:ascii="Times New Roman" w:hAnsi="Times New Roman" w:cs="Times New Roman"/>
          <w:sz w:val="25"/>
          <w:szCs w:val="25"/>
        </w:rPr>
        <w:t xml:space="preserve">last rate case. </w:t>
      </w:r>
    </w:p>
    <w:p w:rsidR="00803E6A" w:rsidRPr="00DD3B1A" w:rsidRDefault="00803E6A" w:rsidP="00260063">
      <w:pPr>
        <w:pStyle w:val="ListParagraph"/>
        <w:spacing w:line="264" w:lineRule="auto"/>
        <w:rPr>
          <w:rFonts w:ascii="Times New Roman" w:hAnsi="Times New Roman" w:cs="Times New Roman"/>
          <w:sz w:val="25"/>
          <w:szCs w:val="25"/>
        </w:rPr>
      </w:pPr>
    </w:p>
    <w:p w:rsidR="00842168" w:rsidRPr="00DD3B1A" w:rsidRDefault="00944584" w:rsidP="00260063">
      <w:pPr>
        <w:pStyle w:val="ListParagraph"/>
        <w:spacing w:line="264" w:lineRule="auto"/>
        <w:rPr>
          <w:rFonts w:ascii="Times New Roman" w:hAnsi="Times New Roman" w:cs="Times New Roman"/>
          <w:sz w:val="25"/>
          <w:szCs w:val="25"/>
        </w:rPr>
      </w:pPr>
      <w:r w:rsidRPr="00DD3B1A">
        <w:rPr>
          <w:rFonts w:ascii="Times New Roman" w:hAnsi="Times New Roman" w:cs="Times New Roman"/>
          <w:sz w:val="25"/>
          <w:szCs w:val="25"/>
        </w:rPr>
        <w:t>Attachment C</w:t>
      </w:r>
      <w:r w:rsidR="00842168" w:rsidRPr="00DD3B1A">
        <w:rPr>
          <w:rFonts w:ascii="Times New Roman" w:hAnsi="Times New Roman" w:cs="Times New Roman"/>
          <w:sz w:val="25"/>
          <w:szCs w:val="25"/>
        </w:rPr>
        <w:t xml:space="preserve"> illustrates the difference between the current </w:t>
      </w:r>
      <w:r w:rsidR="004B7AE7" w:rsidRPr="00DD3B1A">
        <w:rPr>
          <w:rFonts w:ascii="Times New Roman" w:hAnsi="Times New Roman" w:cs="Times New Roman"/>
          <w:sz w:val="25"/>
          <w:szCs w:val="25"/>
        </w:rPr>
        <w:t>i</w:t>
      </w:r>
      <w:r w:rsidR="00842168" w:rsidRPr="00DD3B1A">
        <w:rPr>
          <w:rFonts w:ascii="Times New Roman" w:hAnsi="Times New Roman" w:cs="Times New Roman"/>
          <w:sz w:val="25"/>
          <w:szCs w:val="25"/>
        </w:rPr>
        <w:t xml:space="preserve">ndex </w:t>
      </w:r>
      <w:r w:rsidR="004B7AE7" w:rsidRPr="00DD3B1A">
        <w:rPr>
          <w:rFonts w:ascii="Times New Roman" w:hAnsi="Times New Roman" w:cs="Times New Roman"/>
          <w:sz w:val="25"/>
          <w:szCs w:val="25"/>
        </w:rPr>
        <w:t xml:space="preserve">fuel surcharge </w:t>
      </w:r>
      <w:r w:rsidR="00842168" w:rsidRPr="00DD3B1A">
        <w:rPr>
          <w:rFonts w:ascii="Times New Roman" w:hAnsi="Times New Roman" w:cs="Times New Roman"/>
          <w:sz w:val="25"/>
          <w:szCs w:val="25"/>
        </w:rPr>
        <w:t xml:space="preserve">and the </w:t>
      </w:r>
      <w:r w:rsidR="004B7AE7" w:rsidRPr="00DD3B1A">
        <w:rPr>
          <w:rFonts w:ascii="Times New Roman" w:hAnsi="Times New Roman" w:cs="Times New Roman"/>
          <w:sz w:val="25"/>
          <w:szCs w:val="25"/>
        </w:rPr>
        <w:t xml:space="preserve">temporary, revised six-month </w:t>
      </w:r>
      <w:r w:rsidR="00842168" w:rsidRPr="00DD3B1A">
        <w:rPr>
          <w:rFonts w:ascii="Times New Roman" w:hAnsi="Times New Roman" w:cs="Times New Roman"/>
          <w:sz w:val="25"/>
          <w:szCs w:val="25"/>
        </w:rPr>
        <w:t xml:space="preserve">“lagged” twelve-month </w:t>
      </w:r>
      <w:r w:rsidR="004B7AE7" w:rsidRPr="00DD3B1A">
        <w:rPr>
          <w:rFonts w:ascii="Times New Roman" w:hAnsi="Times New Roman" w:cs="Times New Roman"/>
          <w:sz w:val="25"/>
          <w:szCs w:val="25"/>
        </w:rPr>
        <w:t>i</w:t>
      </w:r>
      <w:r w:rsidR="00842168" w:rsidRPr="00DD3B1A">
        <w:rPr>
          <w:rFonts w:ascii="Times New Roman" w:hAnsi="Times New Roman" w:cs="Times New Roman"/>
          <w:sz w:val="25"/>
          <w:szCs w:val="25"/>
        </w:rPr>
        <w:t>ndex</w:t>
      </w:r>
      <w:r w:rsidR="004B7AE7" w:rsidRPr="00DD3B1A">
        <w:rPr>
          <w:rFonts w:ascii="Times New Roman" w:hAnsi="Times New Roman" w:cs="Times New Roman"/>
          <w:sz w:val="25"/>
          <w:szCs w:val="25"/>
        </w:rPr>
        <w:t xml:space="preserve"> fuel surcharge</w:t>
      </w:r>
      <w:r w:rsidR="00842168" w:rsidRPr="00DD3B1A">
        <w:rPr>
          <w:rFonts w:ascii="Times New Roman" w:hAnsi="Times New Roman" w:cs="Times New Roman"/>
          <w:sz w:val="25"/>
          <w:szCs w:val="25"/>
        </w:rPr>
        <w:t>.</w:t>
      </w:r>
    </w:p>
    <w:p w:rsidR="00994D95" w:rsidRPr="00DD3B1A" w:rsidRDefault="006A248F" w:rsidP="00260063">
      <w:pPr>
        <w:spacing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IMPLEMENTATION</w:t>
      </w:r>
    </w:p>
    <w:p w:rsidR="006A248F" w:rsidRPr="00DD3B1A" w:rsidRDefault="006A248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Because of the large number of companies, staff proposes the commission phase in deferred accounting. Th</w:t>
      </w:r>
      <w:r w:rsidR="004B7AE7" w:rsidRPr="00DD3B1A">
        <w:rPr>
          <w:rFonts w:ascii="Times New Roman" w:hAnsi="Times New Roman" w:cs="Times New Roman"/>
          <w:sz w:val="25"/>
          <w:szCs w:val="25"/>
        </w:rPr>
        <w:t>at</w:t>
      </w:r>
      <w:r w:rsidRPr="00DD3B1A">
        <w:rPr>
          <w:rFonts w:ascii="Times New Roman" w:hAnsi="Times New Roman" w:cs="Times New Roman"/>
          <w:sz w:val="25"/>
          <w:szCs w:val="25"/>
        </w:rPr>
        <w:t xml:space="preserve"> will spread the work load of the transition and subsequent true-up filings throughout the year. Staff proposes to implement deferred accounting based upon a company’s Base Fuel Index. We believe that companies with the lowest Base Fuel Index would be most impacted by higher fuel prices, and that the commission should implement deferred accounting </w:t>
      </w:r>
      <w:r w:rsidR="004B7AE7" w:rsidRPr="00DD3B1A">
        <w:rPr>
          <w:rFonts w:ascii="Times New Roman" w:hAnsi="Times New Roman" w:cs="Times New Roman"/>
          <w:sz w:val="25"/>
          <w:szCs w:val="25"/>
        </w:rPr>
        <w:t>for</w:t>
      </w:r>
      <w:r w:rsidRPr="00DD3B1A">
        <w:rPr>
          <w:rFonts w:ascii="Times New Roman" w:hAnsi="Times New Roman" w:cs="Times New Roman"/>
          <w:sz w:val="25"/>
          <w:szCs w:val="25"/>
        </w:rPr>
        <w:t xml:space="preserve"> those companies first.</w:t>
      </w:r>
    </w:p>
    <w:p w:rsidR="00DD3B1A" w:rsidRPr="00DD3B1A" w:rsidRDefault="00DD3B1A" w:rsidP="00260063">
      <w:pPr>
        <w:pStyle w:val="NoSpacing"/>
        <w:spacing w:line="264" w:lineRule="auto"/>
        <w:rPr>
          <w:rFonts w:ascii="Times New Roman" w:hAnsi="Times New Roman" w:cs="Times New Roman"/>
          <w:sz w:val="25"/>
          <w:szCs w:val="25"/>
        </w:rPr>
      </w:pPr>
    </w:p>
    <w:p w:rsidR="00995886" w:rsidRPr="00DD3B1A" w:rsidRDefault="006A248F"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A proposed </w:t>
      </w:r>
      <w:r w:rsidR="004B7AE7" w:rsidRPr="00DD3B1A">
        <w:rPr>
          <w:rFonts w:ascii="Times New Roman" w:hAnsi="Times New Roman" w:cs="Times New Roman"/>
          <w:sz w:val="25"/>
          <w:szCs w:val="25"/>
        </w:rPr>
        <w:t xml:space="preserve">phase in time </w:t>
      </w:r>
      <w:r w:rsidRPr="00DD3B1A">
        <w:rPr>
          <w:rFonts w:ascii="Times New Roman" w:hAnsi="Times New Roman" w:cs="Times New Roman"/>
          <w:sz w:val="25"/>
          <w:szCs w:val="25"/>
        </w:rPr>
        <w:t xml:space="preserve">schedule is set forth in Attachment </w:t>
      </w:r>
      <w:r w:rsidR="00944584" w:rsidRPr="00DD3B1A">
        <w:rPr>
          <w:rFonts w:ascii="Times New Roman" w:hAnsi="Times New Roman" w:cs="Times New Roman"/>
          <w:sz w:val="25"/>
          <w:szCs w:val="25"/>
        </w:rPr>
        <w:t>B</w:t>
      </w:r>
      <w:r w:rsidRPr="00DD3B1A">
        <w:rPr>
          <w:rFonts w:ascii="Times New Roman" w:hAnsi="Times New Roman" w:cs="Times New Roman"/>
          <w:sz w:val="25"/>
          <w:szCs w:val="25"/>
        </w:rPr>
        <w:t xml:space="preserve">. </w:t>
      </w:r>
      <w:r w:rsidR="005042CB" w:rsidRPr="00DD3B1A">
        <w:rPr>
          <w:rFonts w:ascii="Times New Roman" w:hAnsi="Times New Roman" w:cs="Times New Roman"/>
          <w:sz w:val="25"/>
          <w:szCs w:val="25"/>
        </w:rPr>
        <w:t xml:space="preserve">The proposed schedule is an example that assumes all companies will implement deferred accounting. The actual schedule </w:t>
      </w:r>
      <w:r w:rsidRPr="00DD3B1A">
        <w:rPr>
          <w:rFonts w:ascii="Times New Roman" w:hAnsi="Times New Roman" w:cs="Times New Roman"/>
          <w:sz w:val="25"/>
          <w:szCs w:val="25"/>
        </w:rPr>
        <w:t xml:space="preserve">will </w:t>
      </w:r>
      <w:r w:rsidR="005042CB" w:rsidRPr="00DD3B1A">
        <w:rPr>
          <w:rFonts w:ascii="Times New Roman" w:hAnsi="Times New Roman" w:cs="Times New Roman"/>
          <w:sz w:val="25"/>
          <w:szCs w:val="25"/>
        </w:rPr>
        <w:t xml:space="preserve">be </w:t>
      </w:r>
      <w:r w:rsidRPr="00DD3B1A">
        <w:rPr>
          <w:rFonts w:ascii="Times New Roman" w:hAnsi="Times New Roman" w:cs="Times New Roman"/>
          <w:sz w:val="25"/>
          <w:szCs w:val="25"/>
        </w:rPr>
        <w:t>adjust</w:t>
      </w:r>
      <w:r w:rsidR="005042CB" w:rsidRPr="00DD3B1A">
        <w:rPr>
          <w:rFonts w:ascii="Times New Roman" w:hAnsi="Times New Roman" w:cs="Times New Roman"/>
          <w:sz w:val="25"/>
          <w:szCs w:val="25"/>
        </w:rPr>
        <w:t>ed</w:t>
      </w:r>
      <w:r w:rsidR="00577406" w:rsidRPr="00DD3B1A">
        <w:rPr>
          <w:rFonts w:ascii="Times New Roman" w:hAnsi="Times New Roman" w:cs="Times New Roman"/>
          <w:sz w:val="25"/>
          <w:szCs w:val="25"/>
        </w:rPr>
        <w:t xml:space="preserve"> </w:t>
      </w:r>
      <w:r w:rsidR="005042CB" w:rsidRPr="00DD3B1A">
        <w:rPr>
          <w:rFonts w:ascii="Times New Roman" w:hAnsi="Times New Roman" w:cs="Times New Roman"/>
          <w:sz w:val="25"/>
          <w:szCs w:val="25"/>
        </w:rPr>
        <w:t>to account for companies that already have fuel surcharges in place that are affected by multiple billing cycles, account for companies that choose to not implement deferred accounting and account for companies that filed general rate cases or petitioned to implement deferred accounting. The total time of the phase in will depend upon the number of companies that choose to implement deferred accounting.</w:t>
      </w:r>
      <w:r w:rsidR="006A0729" w:rsidRPr="00DD3B1A">
        <w:rPr>
          <w:rFonts w:ascii="Times New Roman" w:hAnsi="Times New Roman" w:cs="Times New Roman"/>
          <w:sz w:val="25"/>
          <w:szCs w:val="25"/>
        </w:rPr>
        <w:t xml:space="preserve"> For example, if only five companies choose to implement deferred accounting we will implement all of them in one month.</w:t>
      </w:r>
      <w:r w:rsidR="00C230EB" w:rsidRPr="00DD3B1A">
        <w:rPr>
          <w:rFonts w:ascii="Times New Roman" w:hAnsi="Times New Roman" w:cs="Times New Roman"/>
          <w:sz w:val="25"/>
          <w:szCs w:val="25"/>
        </w:rPr>
        <w:t xml:space="preserve"> </w:t>
      </w:r>
    </w:p>
    <w:p w:rsidR="00DD3B1A" w:rsidRPr="00DD3B1A" w:rsidRDefault="00DD3B1A" w:rsidP="00260063">
      <w:pPr>
        <w:pStyle w:val="NoSpacing"/>
        <w:spacing w:line="264" w:lineRule="auto"/>
        <w:rPr>
          <w:rFonts w:ascii="Times New Roman" w:hAnsi="Times New Roman" w:cs="Times New Roman"/>
          <w:sz w:val="25"/>
          <w:szCs w:val="25"/>
        </w:rPr>
      </w:pPr>
    </w:p>
    <w:p w:rsidR="00577406" w:rsidRPr="00DD3B1A" w:rsidRDefault="00577406" w:rsidP="00260063">
      <w:pPr>
        <w:pStyle w:val="NoSpacing"/>
        <w:spacing w:line="264" w:lineRule="auto"/>
        <w:rPr>
          <w:rFonts w:ascii="Times New Roman" w:hAnsi="Times New Roman" w:cs="Times New Roman"/>
          <w:sz w:val="25"/>
          <w:szCs w:val="25"/>
        </w:rPr>
      </w:pPr>
      <w:r w:rsidRPr="00DD3B1A">
        <w:rPr>
          <w:rFonts w:ascii="Times New Roman" w:hAnsi="Times New Roman" w:cs="Times New Roman"/>
          <w:sz w:val="25"/>
          <w:szCs w:val="25"/>
        </w:rPr>
        <w:t>Staff will also schedule training workshops to meet with companies to explain the proposed methodology, record keeping requirements and filing requirements (data and timing) for periodic true-ups.</w:t>
      </w:r>
    </w:p>
    <w:p w:rsidR="00260063" w:rsidRDefault="00260063">
      <w:pPr>
        <w:rPr>
          <w:rFonts w:ascii="Times New Roman" w:hAnsi="Times New Roman" w:cs="Times New Roman"/>
          <w:sz w:val="25"/>
          <w:szCs w:val="25"/>
        </w:rPr>
      </w:pPr>
      <w:r>
        <w:rPr>
          <w:rFonts w:ascii="Times New Roman" w:hAnsi="Times New Roman" w:cs="Times New Roman"/>
          <w:sz w:val="25"/>
          <w:szCs w:val="25"/>
        </w:rPr>
        <w:br w:type="page"/>
      </w:r>
    </w:p>
    <w:p w:rsidR="00DD3B1A" w:rsidRPr="00260063" w:rsidRDefault="00DD3B1A" w:rsidP="00260063">
      <w:pPr>
        <w:pStyle w:val="NoSpacing"/>
        <w:spacing w:line="264" w:lineRule="auto"/>
        <w:rPr>
          <w:rFonts w:ascii="Times New Roman" w:hAnsi="Times New Roman" w:cs="Times New Roman"/>
          <w:sz w:val="25"/>
          <w:szCs w:val="25"/>
        </w:rPr>
      </w:pPr>
    </w:p>
    <w:p w:rsidR="009F6D92" w:rsidRPr="00DD3B1A" w:rsidRDefault="005D7170" w:rsidP="00260063">
      <w:pPr>
        <w:spacing w:line="264" w:lineRule="auto"/>
        <w:jc w:val="center"/>
        <w:rPr>
          <w:rFonts w:ascii="Times New Roman" w:hAnsi="Times New Roman" w:cs="Times New Roman"/>
          <w:b/>
          <w:sz w:val="25"/>
          <w:szCs w:val="25"/>
          <w:u w:val="single"/>
        </w:rPr>
      </w:pPr>
      <w:r w:rsidRPr="00DD3B1A">
        <w:rPr>
          <w:rFonts w:ascii="Times New Roman" w:hAnsi="Times New Roman" w:cs="Times New Roman"/>
          <w:b/>
          <w:sz w:val="25"/>
          <w:szCs w:val="25"/>
          <w:u w:val="single"/>
        </w:rPr>
        <w:t>WRITTEN COMMENTS</w:t>
      </w:r>
    </w:p>
    <w:p w:rsidR="005D7170" w:rsidRDefault="005D7170" w:rsidP="00260063">
      <w:pPr>
        <w:pStyle w:val="NoSpacing"/>
        <w:spacing w:line="264" w:lineRule="auto"/>
        <w:rPr>
          <w:rFonts w:ascii="Times New Roman" w:hAnsi="Times New Roman" w:cs="Times New Roman"/>
          <w:sz w:val="25"/>
          <w:szCs w:val="25"/>
        </w:rPr>
      </w:pPr>
      <w:r w:rsidRPr="00260063">
        <w:rPr>
          <w:rFonts w:ascii="Times New Roman" w:hAnsi="Times New Roman" w:cs="Times New Roman"/>
          <w:sz w:val="25"/>
          <w:szCs w:val="25"/>
        </w:rPr>
        <w:t xml:space="preserve">Written comments addressing fuel surcharges as listed above must be filed with the Commission no later than 5:00 pm, </w:t>
      </w:r>
      <w:r w:rsidRPr="00260063">
        <w:rPr>
          <w:rFonts w:ascii="Times New Roman" w:hAnsi="Times New Roman" w:cs="Times New Roman"/>
          <w:b/>
          <w:sz w:val="25"/>
          <w:szCs w:val="25"/>
        </w:rPr>
        <w:t xml:space="preserve">Friday, April </w:t>
      </w:r>
      <w:r w:rsidR="00A477DA" w:rsidRPr="00260063">
        <w:rPr>
          <w:rFonts w:ascii="Times New Roman" w:hAnsi="Times New Roman" w:cs="Times New Roman"/>
          <w:b/>
          <w:sz w:val="25"/>
          <w:szCs w:val="25"/>
        </w:rPr>
        <w:t>1</w:t>
      </w:r>
      <w:r w:rsidRPr="00260063">
        <w:rPr>
          <w:rFonts w:ascii="Times New Roman" w:hAnsi="Times New Roman" w:cs="Times New Roman"/>
          <w:b/>
          <w:sz w:val="25"/>
          <w:szCs w:val="25"/>
        </w:rPr>
        <w:t>, 2011.</w:t>
      </w:r>
      <w:r w:rsidRPr="00260063">
        <w:rPr>
          <w:rFonts w:ascii="Times New Roman" w:hAnsi="Times New Roman" w:cs="Times New Roman"/>
          <w:sz w:val="25"/>
          <w:szCs w:val="25"/>
        </w:rPr>
        <w:t xml:space="preserve">  The Commission requests that comments be provided in electronic format to enhance public access, for ease of providing comments, to reduce the need for paper copies, and to facilitate quotations from the comments.  Comments may be submitted via the Commission’s Web portal (</w:t>
      </w:r>
      <w:hyperlink r:id="rId12" w:history="1">
        <w:r w:rsidRPr="00260063">
          <w:rPr>
            <w:rStyle w:val="Hyperlink"/>
            <w:rFonts w:ascii="Times New Roman" w:hAnsi="Times New Roman" w:cs="Times New Roman"/>
            <w:sz w:val="25"/>
            <w:szCs w:val="25"/>
          </w:rPr>
          <w:t>www.utc.wa.gov/e-filing</w:t>
        </w:r>
      </w:hyperlink>
      <w:r w:rsidRPr="00260063">
        <w:rPr>
          <w:rFonts w:ascii="Times New Roman" w:hAnsi="Times New Roman" w:cs="Times New Roman"/>
          <w:sz w:val="25"/>
          <w:szCs w:val="25"/>
        </w:rPr>
        <w:t xml:space="preserve">) or by electronic mail to the Commission’s Records Center at </w:t>
      </w:r>
      <w:hyperlink r:id="rId13" w:history="1">
        <w:r w:rsidRPr="00260063">
          <w:rPr>
            <w:rStyle w:val="Hyperlink"/>
            <w:rFonts w:ascii="Times New Roman" w:hAnsi="Times New Roman" w:cs="Times New Roman"/>
            <w:sz w:val="25"/>
            <w:szCs w:val="25"/>
          </w:rPr>
          <w:t>records@utc.wa.gov</w:t>
        </w:r>
      </w:hyperlink>
      <w:r w:rsidRPr="00260063">
        <w:rPr>
          <w:rFonts w:ascii="Times New Roman" w:hAnsi="Times New Roman" w:cs="Times New Roman"/>
          <w:sz w:val="25"/>
          <w:szCs w:val="25"/>
        </w:rPr>
        <w:t>.  Please include:</w:t>
      </w:r>
    </w:p>
    <w:p w:rsidR="00260063" w:rsidRPr="00260063" w:rsidRDefault="00260063" w:rsidP="00260063">
      <w:pPr>
        <w:pStyle w:val="NoSpacing"/>
        <w:spacing w:line="264" w:lineRule="auto"/>
        <w:rPr>
          <w:rFonts w:ascii="Times New Roman" w:hAnsi="Times New Roman" w:cs="Times New Roman"/>
          <w:sz w:val="25"/>
          <w:szCs w:val="25"/>
        </w:rPr>
      </w:pPr>
    </w:p>
    <w:p w:rsidR="005D7170" w:rsidRPr="00260063" w:rsidRDefault="005D7170" w:rsidP="00260063">
      <w:pPr>
        <w:pStyle w:val="NoSpacing"/>
        <w:numPr>
          <w:ilvl w:val="0"/>
          <w:numId w:val="16"/>
        </w:numPr>
        <w:spacing w:line="264" w:lineRule="auto"/>
        <w:rPr>
          <w:rFonts w:ascii="Times New Roman" w:hAnsi="Times New Roman" w:cs="Times New Roman"/>
          <w:sz w:val="25"/>
          <w:szCs w:val="25"/>
        </w:rPr>
      </w:pPr>
      <w:r w:rsidRPr="00260063">
        <w:rPr>
          <w:rFonts w:ascii="Times New Roman" w:hAnsi="Times New Roman" w:cs="Times New Roman"/>
          <w:sz w:val="25"/>
          <w:szCs w:val="25"/>
        </w:rPr>
        <w:t>The docket number of this proceeding (T-101661)</w:t>
      </w:r>
    </w:p>
    <w:p w:rsidR="005D7170" w:rsidRPr="00260063" w:rsidRDefault="005D7170" w:rsidP="00260063">
      <w:pPr>
        <w:pStyle w:val="NoSpacing"/>
        <w:numPr>
          <w:ilvl w:val="0"/>
          <w:numId w:val="16"/>
        </w:numPr>
        <w:spacing w:line="264" w:lineRule="auto"/>
        <w:rPr>
          <w:rFonts w:ascii="Times New Roman" w:hAnsi="Times New Roman" w:cs="Times New Roman"/>
          <w:sz w:val="25"/>
          <w:szCs w:val="25"/>
        </w:rPr>
      </w:pPr>
      <w:r w:rsidRPr="00260063">
        <w:rPr>
          <w:rFonts w:ascii="Times New Roman" w:hAnsi="Times New Roman" w:cs="Times New Roman"/>
          <w:sz w:val="25"/>
          <w:szCs w:val="25"/>
        </w:rPr>
        <w:t>The commenting party’s name</w:t>
      </w:r>
    </w:p>
    <w:p w:rsidR="005D7170" w:rsidRDefault="005D7170" w:rsidP="00260063">
      <w:pPr>
        <w:pStyle w:val="NoSpacing"/>
        <w:numPr>
          <w:ilvl w:val="0"/>
          <w:numId w:val="16"/>
        </w:numPr>
        <w:spacing w:line="264" w:lineRule="auto"/>
        <w:rPr>
          <w:rFonts w:ascii="Times New Roman" w:hAnsi="Times New Roman" w:cs="Times New Roman"/>
          <w:sz w:val="25"/>
          <w:szCs w:val="25"/>
        </w:rPr>
      </w:pPr>
      <w:r w:rsidRPr="00260063">
        <w:rPr>
          <w:rFonts w:ascii="Times New Roman" w:hAnsi="Times New Roman" w:cs="Times New Roman"/>
          <w:sz w:val="25"/>
          <w:szCs w:val="25"/>
        </w:rPr>
        <w:t>The title and date of the comment or comments</w:t>
      </w:r>
    </w:p>
    <w:p w:rsidR="00260063" w:rsidRPr="00260063" w:rsidRDefault="00260063" w:rsidP="00260063">
      <w:pPr>
        <w:pStyle w:val="NoSpacing"/>
        <w:rPr>
          <w:rFonts w:ascii="Times New Roman" w:hAnsi="Times New Roman" w:cs="Times New Roman"/>
          <w:sz w:val="25"/>
          <w:szCs w:val="25"/>
        </w:rPr>
      </w:pPr>
    </w:p>
    <w:p w:rsidR="005D7170" w:rsidRPr="00DD3B1A" w:rsidRDefault="005D7170"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An alternative method for submitting comments is by mailing or delivering an electronic copy to the Commission’s Records Center on a 3-1/2 inch, IBM formatted, high-density disk, in .pdf Adobe Acrobat format or in .doc Word 97 or later format.  Include all of the information requested above.  The Commission will post on its web site all comments that are provided in electronic format. The web site is </w:t>
      </w:r>
      <w:hyperlink r:id="rId14" w:history="1">
        <w:r w:rsidRPr="00DD3B1A">
          <w:rPr>
            <w:rStyle w:val="Hyperlink"/>
            <w:rFonts w:ascii="Times New Roman" w:hAnsi="Times New Roman" w:cs="Times New Roman"/>
            <w:sz w:val="25"/>
            <w:szCs w:val="25"/>
          </w:rPr>
          <w:t>http://www.utc.wa.gov/101661</w:t>
        </w:r>
      </w:hyperlink>
      <w:r w:rsidRPr="00DD3B1A">
        <w:rPr>
          <w:rFonts w:ascii="Times New Roman" w:hAnsi="Times New Roman" w:cs="Times New Roman"/>
          <w:sz w:val="25"/>
          <w:szCs w:val="25"/>
        </w:rPr>
        <w:t>.</w:t>
      </w:r>
    </w:p>
    <w:p w:rsidR="005D7170" w:rsidRPr="00DD3B1A" w:rsidRDefault="005D7170"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If you are unable to file your comments electronically or to submit them on a disk, the Commission will always accept a paper document.  Questions may be addressed to David Gomez at (360) 664-1240 or e-mail at </w:t>
      </w:r>
      <w:hyperlink r:id="rId15" w:history="1">
        <w:r w:rsidRPr="00DD3B1A">
          <w:rPr>
            <w:rStyle w:val="Hyperlink"/>
            <w:rFonts w:ascii="Times New Roman" w:hAnsi="Times New Roman" w:cs="Times New Roman"/>
            <w:sz w:val="25"/>
            <w:szCs w:val="25"/>
          </w:rPr>
          <w:t>dgomez@utc.wa.gov</w:t>
        </w:r>
      </w:hyperlink>
      <w:r w:rsidRPr="00DD3B1A">
        <w:rPr>
          <w:rFonts w:ascii="Times New Roman" w:hAnsi="Times New Roman" w:cs="Times New Roman"/>
          <w:sz w:val="25"/>
          <w:szCs w:val="25"/>
        </w:rPr>
        <w:t xml:space="preserve">. </w:t>
      </w:r>
    </w:p>
    <w:p w:rsidR="005D7170" w:rsidRPr="00DD3B1A" w:rsidRDefault="005D7170" w:rsidP="00260063">
      <w:pPr>
        <w:spacing w:line="264" w:lineRule="auto"/>
        <w:rPr>
          <w:rFonts w:ascii="Times New Roman" w:hAnsi="Times New Roman" w:cs="Times New Roman"/>
          <w:sz w:val="25"/>
          <w:szCs w:val="25"/>
        </w:rPr>
      </w:pPr>
      <w:r w:rsidRPr="00DD3B1A">
        <w:rPr>
          <w:rFonts w:ascii="Times New Roman" w:hAnsi="Times New Roman" w:cs="Times New Roman"/>
          <w:sz w:val="25"/>
          <w:szCs w:val="25"/>
        </w:rPr>
        <w:t xml:space="preserve">Your participation is welcomed via written comments.  Information about the schedule and other aspects of the </w:t>
      </w:r>
      <w:r w:rsidR="00995886" w:rsidRPr="00DD3B1A">
        <w:rPr>
          <w:rFonts w:ascii="Times New Roman" w:hAnsi="Times New Roman" w:cs="Times New Roman"/>
          <w:sz w:val="25"/>
          <w:szCs w:val="25"/>
        </w:rPr>
        <w:t>proceeding</w:t>
      </w:r>
      <w:r w:rsidRPr="00DD3B1A">
        <w:rPr>
          <w:rFonts w:ascii="Times New Roman" w:hAnsi="Times New Roman" w:cs="Times New Roman"/>
          <w:sz w:val="25"/>
          <w:szCs w:val="25"/>
        </w:rPr>
        <w:t xml:space="preserve">, including comments, will be posted on the commission’s web site as it becomes available.  If you would like to receive further information on this </w:t>
      </w:r>
      <w:r w:rsidR="00A477DA" w:rsidRPr="00DD3B1A">
        <w:rPr>
          <w:rFonts w:ascii="Times New Roman" w:hAnsi="Times New Roman" w:cs="Times New Roman"/>
          <w:sz w:val="25"/>
          <w:szCs w:val="25"/>
        </w:rPr>
        <w:t>proceeding</w:t>
      </w:r>
      <w:r w:rsidRPr="00DD3B1A">
        <w:rPr>
          <w:rFonts w:ascii="Times New Roman" w:hAnsi="Times New Roman" w:cs="Times New Roman"/>
          <w:sz w:val="25"/>
          <w:szCs w:val="25"/>
        </w:rPr>
        <w:t xml:space="preserve"> you may 1) call the Commission’s Records Center at 360-664-1234, 2) e-mail the Commission at </w:t>
      </w:r>
      <w:r w:rsidRPr="00DD3B1A">
        <w:rPr>
          <w:rFonts w:ascii="Times New Roman" w:hAnsi="Times New Roman" w:cs="Times New Roman"/>
          <w:sz w:val="25"/>
          <w:szCs w:val="25"/>
          <w:u w:val="single"/>
        </w:rPr>
        <w:t>records@utc.wa.gov,</w:t>
      </w:r>
      <w:r w:rsidRPr="00DD3B1A">
        <w:rPr>
          <w:rFonts w:ascii="Times New Roman" w:hAnsi="Times New Roman" w:cs="Times New Roman"/>
          <w:sz w:val="25"/>
          <w:szCs w:val="25"/>
        </w:rPr>
        <w:t xml:space="preserve"> or 3) mail written comments to the address below.  When contacting the Commission, please refer to Docket T-101661 to ensure that you are placed on the appropriate service list.  The Commission’s mailing address is:</w:t>
      </w:r>
    </w:p>
    <w:p w:rsidR="005D7170" w:rsidRPr="00260063" w:rsidRDefault="005D7170" w:rsidP="00260063">
      <w:pPr>
        <w:pStyle w:val="NoSpacing"/>
        <w:spacing w:line="264" w:lineRule="auto"/>
        <w:ind w:left="720"/>
        <w:rPr>
          <w:rFonts w:ascii="Times New Roman" w:hAnsi="Times New Roman" w:cs="Times New Roman"/>
          <w:sz w:val="25"/>
          <w:szCs w:val="25"/>
        </w:rPr>
      </w:pPr>
      <w:r w:rsidRPr="00260063">
        <w:rPr>
          <w:rFonts w:ascii="Times New Roman" w:hAnsi="Times New Roman" w:cs="Times New Roman"/>
          <w:sz w:val="25"/>
          <w:szCs w:val="25"/>
        </w:rPr>
        <w:t>Executive Director and Secretary</w:t>
      </w:r>
    </w:p>
    <w:p w:rsidR="005D7170" w:rsidRPr="00260063" w:rsidRDefault="005D7170" w:rsidP="00260063">
      <w:pPr>
        <w:pStyle w:val="NoSpacing"/>
        <w:spacing w:line="264" w:lineRule="auto"/>
        <w:ind w:left="720"/>
        <w:rPr>
          <w:rFonts w:ascii="Times New Roman" w:hAnsi="Times New Roman" w:cs="Times New Roman"/>
          <w:sz w:val="25"/>
          <w:szCs w:val="25"/>
        </w:rPr>
      </w:pPr>
      <w:r w:rsidRPr="00260063">
        <w:rPr>
          <w:rFonts w:ascii="Times New Roman" w:hAnsi="Times New Roman" w:cs="Times New Roman"/>
          <w:sz w:val="25"/>
          <w:szCs w:val="25"/>
        </w:rPr>
        <w:t>Washington Utilities and Transportation Commission</w:t>
      </w:r>
    </w:p>
    <w:p w:rsidR="005D7170" w:rsidRPr="00260063" w:rsidRDefault="005D7170" w:rsidP="00260063">
      <w:pPr>
        <w:pStyle w:val="NoSpacing"/>
        <w:spacing w:line="264" w:lineRule="auto"/>
        <w:ind w:left="720"/>
        <w:rPr>
          <w:rFonts w:ascii="Times New Roman" w:hAnsi="Times New Roman" w:cs="Times New Roman"/>
          <w:sz w:val="25"/>
          <w:szCs w:val="25"/>
        </w:rPr>
      </w:pPr>
      <w:r w:rsidRPr="00260063">
        <w:rPr>
          <w:rFonts w:ascii="Times New Roman" w:hAnsi="Times New Roman" w:cs="Times New Roman"/>
          <w:sz w:val="25"/>
          <w:szCs w:val="25"/>
        </w:rPr>
        <w:t>1300 South Evergreen Park Drive S.W.</w:t>
      </w:r>
    </w:p>
    <w:p w:rsidR="005D7170" w:rsidRPr="00260063" w:rsidRDefault="005D7170" w:rsidP="00260063">
      <w:pPr>
        <w:pStyle w:val="NoSpacing"/>
        <w:spacing w:line="264" w:lineRule="auto"/>
        <w:ind w:left="720"/>
        <w:rPr>
          <w:rFonts w:ascii="Times New Roman" w:hAnsi="Times New Roman" w:cs="Times New Roman"/>
          <w:sz w:val="25"/>
          <w:szCs w:val="25"/>
        </w:rPr>
      </w:pPr>
      <w:r w:rsidRPr="00260063">
        <w:rPr>
          <w:rFonts w:ascii="Times New Roman" w:hAnsi="Times New Roman" w:cs="Times New Roman"/>
          <w:sz w:val="25"/>
          <w:szCs w:val="25"/>
        </w:rPr>
        <w:t>P.O. Box 47250</w:t>
      </w:r>
    </w:p>
    <w:p w:rsidR="005D7170" w:rsidRPr="00260063" w:rsidRDefault="005D7170" w:rsidP="00260063">
      <w:pPr>
        <w:pStyle w:val="NoSpacing"/>
        <w:spacing w:line="264" w:lineRule="auto"/>
        <w:ind w:left="720"/>
        <w:rPr>
          <w:rFonts w:ascii="Times New Roman" w:hAnsi="Times New Roman" w:cs="Times New Roman"/>
          <w:sz w:val="25"/>
          <w:szCs w:val="25"/>
        </w:rPr>
      </w:pPr>
      <w:r w:rsidRPr="00260063">
        <w:rPr>
          <w:rFonts w:ascii="Times New Roman" w:hAnsi="Times New Roman" w:cs="Times New Roman"/>
          <w:sz w:val="25"/>
          <w:szCs w:val="25"/>
        </w:rPr>
        <w:t>Olympia, Washington 98504-7250</w:t>
      </w:r>
    </w:p>
    <w:p w:rsidR="00260063" w:rsidRDefault="00260063">
      <w:pPr>
        <w:rPr>
          <w:rFonts w:ascii="Times New Roman" w:hAnsi="Times New Roman" w:cs="Times New Roman"/>
          <w:sz w:val="25"/>
          <w:szCs w:val="25"/>
        </w:rPr>
      </w:pPr>
      <w:r>
        <w:rPr>
          <w:rFonts w:ascii="Times New Roman" w:hAnsi="Times New Roman" w:cs="Times New Roman"/>
          <w:sz w:val="25"/>
          <w:szCs w:val="25"/>
        </w:rPr>
        <w:br w:type="page"/>
      </w:r>
    </w:p>
    <w:p w:rsidR="005D7170" w:rsidRPr="00260063" w:rsidRDefault="005D7170" w:rsidP="00260063">
      <w:pPr>
        <w:pStyle w:val="NoSpacing"/>
        <w:spacing w:line="264" w:lineRule="auto"/>
        <w:rPr>
          <w:rFonts w:ascii="Times New Roman" w:hAnsi="Times New Roman" w:cs="Times New Roman"/>
          <w:sz w:val="25"/>
          <w:szCs w:val="25"/>
        </w:rPr>
      </w:pPr>
    </w:p>
    <w:p w:rsidR="005D7170" w:rsidRPr="00260063" w:rsidRDefault="005D7170" w:rsidP="00260063">
      <w:pPr>
        <w:pStyle w:val="NoSpacing"/>
        <w:spacing w:line="264" w:lineRule="auto"/>
        <w:jc w:val="center"/>
        <w:rPr>
          <w:rFonts w:ascii="Times New Roman" w:hAnsi="Times New Roman" w:cs="Times New Roman"/>
          <w:b/>
          <w:sz w:val="25"/>
          <w:szCs w:val="25"/>
        </w:rPr>
      </w:pPr>
      <w:r w:rsidRPr="00260063">
        <w:rPr>
          <w:rFonts w:ascii="Times New Roman" w:hAnsi="Times New Roman" w:cs="Times New Roman"/>
          <w:b/>
          <w:sz w:val="25"/>
          <w:szCs w:val="25"/>
        </w:rPr>
        <w:t>NOTICE</w:t>
      </w:r>
    </w:p>
    <w:p w:rsidR="00260063" w:rsidRPr="00260063" w:rsidRDefault="00260063" w:rsidP="00260063">
      <w:pPr>
        <w:pStyle w:val="NoSpacing"/>
        <w:spacing w:line="264" w:lineRule="auto"/>
        <w:rPr>
          <w:rFonts w:ascii="Times New Roman" w:hAnsi="Times New Roman" w:cs="Times New Roman"/>
          <w:sz w:val="25"/>
          <w:szCs w:val="25"/>
        </w:rPr>
      </w:pPr>
    </w:p>
    <w:p w:rsidR="005D7170" w:rsidRPr="00260063" w:rsidRDefault="005D7170" w:rsidP="00260063">
      <w:pPr>
        <w:pStyle w:val="NoSpacing"/>
        <w:spacing w:line="264" w:lineRule="auto"/>
        <w:rPr>
          <w:rFonts w:ascii="Times New Roman" w:hAnsi="Times New Roman" w:cs="Times New Roman"/>
          <w:b/>
          <w:sz w:val="25"/>
          <w:szCs w:val="25"/>
          <w:u w:val="single"/>
        </w:rPr>
      </w:pPr>
      <w:r w:rsidRPr="00260063">
        <w:rPr>
          <w:rFonts w:ascii="Times New Roman" w:hAnsi="Times New Roman" w:cs="Times New Roman"/>
          <w:b/>
          <w:sz w:val="25"/>
          <w:szCs w:val="25"/>
        </w:rPr>
        <w:t xml:space="preserve">Persons filing comments will be included on the distribution list for future information about this </w:t>
      </w:r>
      <w:r w:rsidR="00A477DA" w:rsidRPr="00260063">
        <w:rPr>
          <w:rFonts w:ascii="Times New Roman" w:hAnsi="Times New Roman" w:cs="Times New Roman"/>
          <w:b/>
          <w:sz w:val="25"/>
          <w:szCs w:val="25"/>
        </w:rPr>
        <w:t>proceeding</w:t>
      </w:r>
      <w:r w:rsidRPr="00260063">
        <w:rPr>
          <w:rFonts w:ascii="Times New Roman" w:hAnsi="Times New Roman" w:cs="Times New Roman"/>
          <w:b/>
          <w:sz w:val="25"/>
          <w:szCs w:val="25"/>
        </w:rPr>
        <w:t xml:space="preserve">.  If you want to receive such information but do not want to comment now, you may notify the Executive Director and Secretary in one of the ways described above and ask to be included on the distribution list for Docket T-101661.  </w:t>
      </w:r>
      <w:r w:rsidRPr="00260063">
        <w:rPr>
          <w:rFonts w:ascii="Times New Roman" w:hAnsi="Times New Roman" w:cs="Times New Roman"/>
          <w:b/>
          <w:sz w:val="25"/>
          <w:szCs w:val="25"/>
          <w:u w:val="single"/>
        </w:rPr>
        <w:t xml:space="preserve">If you do not file comments or request to be included on the distribution list, you might not receive further information about this </w:t>
      </w:r>
      <w:r w:rsidR="00A477DA" w:rsidRPr="00260063">
        <w:rPr>
          <w:rFonts w:ascii="Times New Roman" w:hAnsi="Times New Roman" w:cs="Times New Roman"/>
          <w:b/>
          <w:sz w:val="25"/>
          <w:szCs w:val="25"/>
          <w:u w:val="single"/>
        </w:rPr>
        <w:t>proceeding</w:t>
      </w:r>
      <w:r w:rsidRPr="00260063">
        <w:rPr>
          <w:rFonts w:ascii="Times New Roman" w:hAnsi="Times New Roman" w:cs="Times New Roman"/>
          <w:b/>
          <w:sz w:val="25"/>
          <w:szCs w:val="25"/>
          <w:u w:val="single"/>
        </w:rPr>
        <w:t>.</w:t>
      </w:r>
    </w:p>
    <w:p w:rsidR="00A477DA" w:rsidRPr="00260063" w:rsidRDefault="00A477DA" w:rsidP="00260063">
      <w:pPr>
        <w:pStyle w:val="NoSpacing"/>
        <w:spacing w:line="264" w:lineRule="auto"/>
        <w:rPr>
          <w:rFonts w:ascii="Times New Roman" w:hAnsi="Times New Roman" w:cs="Times New Roman"/>
          <w:sz w:val="25"/>
          <w:szCs w:val="25"/>
        </w:rPr>
      </w:pPr>
    </w:p>
    <w:p w:rsidR="00A477DA" w:rsidRPr="00260063" w:rsidRDefault="00A477DA" w:rsidP="00260063">
      <w:pPr>
        <w:pStyle w:val="NoSpacing"/>
        <w:spacing w:line="264" w:lineRule="auto"/>
        <w:jc w:val="center"/>
        <w:rPr>
          <w:rFonts w:ascii="Times New Roman" w:hAnsi="Times New Roman" w:cs="Times New Roman"/>
          <w:b/>
          <w:sz w:val="25"/>
          <w:szCs w:val="25"/>
          <w:u w:val="single"/>
        </w:rPr>
      </w:pPr>
      <w:r w:rsidRPr="00260063">
        <w:rPr>
          <w:rFonts w:ascii="Times New Roman" w:hAnsi="Times New Roman" w:cs="Times New Roman"/>
          <w:b/>
          <w:sz w:val="25"/>
          <w:szCs w:val="25"/>
          <w:u w:val="single"/>
        </w:rPr>
        <w:t>OPEN MEETING CONSIDERATION</w:t>
      </w:r>
    </w:p>
    <w:p w:rsidR="00260063" w:rsidRPr="00260063" w:rsidRDefault="00260063" w:rsidP="00260063">
      <w:pPr>
        <w:pStyle w:val="NoSpacing"/>
        <w:spacing w:line="264" w:lineRule="auto"/>
        <w:jc w:val="center"/>
        <w:rPr>
          <w:rFonts w:ascii="Times New Roman" w:hAnsi="Times New Roman" w:cs="Times New Roman"/>
          <w:sz w:val="25"/>
          <w:szCs w:val="25"/>
          <w:u w:val="single"/>
        </w:rPr>
      </w:pPr>
    </w:p>
    <w:p w:rsidR="005D7170" w:rsidRPr="00260063" w:rsidRDefault="00A477DA" w:rsidP="00260063">
      <w:pPr>
        <w:pStyle w:val="NoSpacing"/>
        <w:spacing w:line="264" w:lineRule="auto"/>
        <w:rPr>
          <w:rFonts w:ascii="Times New Roman" w:hAnsi="Times New Roman" w:cs="Times New Roman"/>
          <w:sz w:val="25"/>
          <w:szCs w:val="25"/>
        </w:rPr>
      </w:pPr>
      <w:r w:rsidRPr="00260063">
        <w:rPr>
          <w:rFonts w:ascii="Times New Roman" w:hAnsi="Times New Roman" w:cs="Times New Roman"/>
          <w:sz w:val="25"/>
          <w:szCs w:val="25"/>
        </w:rPr>
        <w:t>The commission will consider Staff’s recommendation and the comments of interested parties at its regularly scheduled Open Meeting on April 14, 2011.</w:t>
      </w:r>
    </w:p>
    <w:p w:rsidR="00A477DA" w:rsidRPr="00260063" w:rsidRDefault="00A477DA" w:rsidP="00260063">
      <w:pPr>
        <w:pStyle w:val="NoSpacing"/>
        <w:spacing w:line="264" w:lineRule="auto"/>
        <w:rPr>
          <w:rFonts w:ascii="Times New Roman" w:hAnsi="Times New Roman" w:cs="Times New Roman"/>
          <w:sz w:val="25"/>
          <w:szCs w:val="25"/>
        </w:rPr>
      </w:pPr>
    </w:p>
    <w:p w:rsidR="005D7170" w:rsidRPr="00260063" w:rsidRDefault="005D7170" w:rsidP="00260063">
      <w:pPr>
        <w:pStyle w:val="NoSpacing"/>
        <w:spacing w:line="264" w:lineRule="auto"/>
        <w:rPr>
          <w:rFonts w:ascii="Times New Roman" w:hAnsi="Times New Roman" w:cs="Times New Roman"/>
          <w:sz w:val="25"/>
          <w:szCs w:val="25"/>
        </w:rPr>
      </w:pPr>
      <w:r w:rsidRPr="00260063">
        <w:rPr>
          <w:rFonts w:ascii="Times New Roman" w:hAnsi="Times New Roman" w:cs="Times New Roman"/>
          <w:sz w:val="25"/>
          <w:szCs w:val="25"/>
        </w:rPr>
        <w:t>Sincerely,</w:t>
      </w:r>
    </w:p>
    <w:p w:rsidR="005D7170" w:rsidRPr="00260063" w:rsidRDefault="005D7170" w:rsidP="00260063">
      <w:pPr>
        <w:pStyle w:val="NoSpacing"/>
        <w:spacing w:line="264" w:lineRule="auto"/>
        <w:rPr>
          <w:rFonts w:ascii="Times New Roman" w:hAnsi="Times New Roman" w:cs="Times New Roman"/>
          <w:sz w:val="25"/>
          <w:szCs w:val="25"/>
        </w:rPr>
      </w:pPr>
    </w:p>
    <w:p w:rsidR="00260063" w:rsidRDefault="00260063" w:rsidP="00260063">
      <w:pPr>
        <w:pStyle w:val="NoSpacing"/>
        <w:spacing w:line="264" w:lineRule="auto"/>
        <w:rPr>
          <w:rFonts w:ascii="Times New Roman" w:hAnsi="Times New Roman" w:cs="Times New Roman"/>
          <w:sz w:val="25"/>
          <w:szCs w:val="25"/>
        </w:rPr>
      </w:pPr>
    </w:p>
    <w:p w:rsidR="00260063" w:rsidRPr="00260063" w:rsidRDefault="00260063" w:rsidP="00260063">
      <w:pPr>
        <w:pStyle w:val="NoSpacing"/>
        <w:spacing w:line="264" w:lineRule="auto"/>
        <w:rPr>
          <w:rFonts w:ascii="Times New Roman" w:hAnsi="Times New Roman" w:cs="Times New Roman"/>
          <w:sz w:val="25"/>
          <w:szCs w:val="25"/>
        </w:rPr>
      </w:pPr>
    </w:p>
    <w:p w:rsidR="005D7170" w:rsidRPr="00260063" w:rsidRDefault="00260063" w:rsidP="00260063">
      <w:pPr>
        <w:pStyle w:val="NoSpacing"/>
        <w:spacing w:line="264" w:lineRule="auto"/>
        <w:rPr>
          <w:rFonts w:ascii="Times New Roman" w:hAnsi="Times New Roman" w:cs="Times New Roman"/>
          <w:sz w:val="25"/>
          <w:szCs w:val="25"/>
        </w:rPr>
      </w:pPr>
      <w:r w:rsidRPr="00260063">
        <w:rPr>
          <w:rFonts w:ascii="Times New Roman" w:hAnsi="Times New Roman" w:cs="Times New Roman"/>
          <w:sz w:val="25"/>
          <w:szCs w:val="25"/>
        </w:rPr>
        <w:t>DAVID W. DANNER</w:t>
      </w:r>
    </w:p>
    <w:p w:rsidR="005D7170" w:rsidRPr="00260063" w:rsidRDefault="00260063" w:rsidP="00260063">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Executive Director and Secretary</w:t>
      </w:r>
    </w:p>
    <w:p w:rsidR="00260063" w:rsidRPr="00260063" w:rsidRDefault="00260063" w:rsidP="00260063">
      <w:pPr>
        <w:pStyle w:val="NoSpacing"/>
        <w:rPr>
          <w:rFonts w:ascii="Times New Roman" w:hAnsi="Times New Roman" w:cs="Times New Roman"/>
          <w:sz w:val="25"/>
          <w:szCs w:val="25"/>
        </w:rPr>
      </w:pPr>
    </w:p>
    <w:p w:rsidR="00260063" w:rsidRPr="00260063" w:rsidRDefault="00260063" w:rsidP="00260063">
      <w:pPr>
        <w:pStyle w:val="NoSpacing"/>
        <w:rPr>
          <w:rFonts w:ascii="Times New Roman" w:hAnsi="Times New Roman" w:cs="Times New Roman"/>
          <w:sz w:val="25"/>
          <w:szCs w:val="25"/>
        </w:rPr>
      </w:pPr>
    </w:p>
    <w:p w:rsidR="004110F9" w:rsidRPr="00DD3B1A" w:rsidRDefault="004110F9" w:rsidP="004110F9">
      <w:pPr>
        <w:jc w:val="center"/>
        <w:rPr>
          <w:rFonts w:ascii="Times New Roman" w:hAnsi="Times New Roman" w:cs="Times New Roman"/>
          <w:b/>
          <w:sz w:val="25"/>
          <w:szCs w:val="25"/>
        </w:rPr>
      </w:pPr>
      <w:r w:rsidRPr="00DD3B1A">
        <w:rPr>
          <w:rFonts w:ascii="Times New Roman" w:hAnsi="Times New Roman" w:cs="Times New Roman"/>
          <w:b/>
          <w:sz w:val="25"/>
          <w:szCs w:val="25"/>
        </w:rPr>
        <w:t>ATTACHMENT A</w:t>
      </w:r>
      <w:r w:rsidR="006F39E7" w:rsidRPr="00DD3B1A">
        <w:rPr>
          <w:noProof/>
          <w:sz w:val="25"/>
          <w:szCs w:val="25"/>
        </w:rPr>
        <w:t xml:space="preserve"> </w:t>
      </w:r>
      <w:r w:rsidRPr="00DD3B1A">
        <w:rPr>
          <w:noProof/>
          <w:sz w:val="25"/>
          <w:szCs w:val="25"/>
        </w:rPr>
        <w:drawing>
          <wp:inline distT="0" distB="0" distL="0" distR="0" wp14:anchorId="629DBAE0" wp14:editId="58171CE8">
            <wp:extent cx="5943600" cy="794385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43600" cy="7943850"/>
                    </a:xfrm>
                    <a:prstGeom prst="rect">
                      <a:avLst/>
                    </a:prstGeom>
                    <a:noFill/>
                    <a:ln w="9525">
                      <a:noFill/>
                      <a:miter lim="800000"/>
                      <a:headEnd/>
                      <a:tailEnd/>
                    </a:ln>
                  </pic:spPr>
                </pic:pic>
              </a:graphicData>
            </a:graphic>
          </wp:inline>
        </w:drawing>
      </w:r>
    </w:p>
    <w:p w:rsidR="009F6D92" w:rsidRPr="00DD3B1A" w:rsidRDefault="003B2658">
      <w:pPr>
        <w:spacing w:after="0"/>
        <w:jc w:val="center"/>
        <w:rPr>
          <w:rFonts w:ascii="Times New Roman" w:hAnsi="Times New Roman" w:cs="Times New Roman"/>
          <w:b/>
          <w:sz w:val="25"/>
          <w:szCs w:val="25"/>
        </w:rPr>
      </w:pPr>
      <w:r w:rsidRPr="00DD3B1A">
        <w:rPr>
          <w:rFonts w:ascii="Times New Roman" w:hAnsi="Times New Roman" w:cs="Times New Roman"/>
          <w:b/>
          <w:sz w:val="25"/>
          <w:szCs w:val="25"/>
        </w:rPr>
        <w:t>ATTACHMENT B</w:t>
      </w:r>
    </w:p>
    <w:p w:rsidR="009F6D92" w:rsidRPr="00DD3B1A" w:rsidRDefault="002B4AA4">
      <w:pPr>
        <w:spacing w:after="120"/>
        <w:jc w:val="center"/>
        <w:rPr>
          <w:rFonts w:ascii="Times New Roman" w:hAnsi="Times New Roman" w:cs="Times New Roman"/>
          <w:b/>
          <w:sz w:val="25"/>
          <w:szCs w:val="25"/>
        </w:rPr>
      </w:pPr>
      <w:r w:rsidRPr="00DD3B1A">
        <w:rPr>
          <w:rFonts w:ascii="Times New Roman" w:hAnsi="Times New Roman" w:cs="Times New Roman"/>
          <w:b/>
          <w:sz w:val="25"/>
          <w:szCs w:val="25"/>
        </w:rPr>
        <w:t>IMPLEMENTATION SCHEDULE</w:t>
      </w:r>
      <w:r w:rsidR="00540637" w:rsidRPr="00DD3B1A">
        <w:rPr>
          <w:rFonts w:ascii="Times New Roman" w:hAnsi="Times New Roman" w:cs="Times New Roman"/>
          <w:b/>
          <w:sz w:val="25"/>
          <w:szCs w:val="25"/>
        </w:rPr>
        <w:t xml:space="preserve"> - CHRONOLOGICAL</w:t>
      </w:r>
    </w:p>
    <w:p w:rsidR="009F6D92" w:rsidRPr="00DD3B1A" w:rsidRDefault="00B63FF4">
      <w:pPr>
        <w:jc w:val="center"/>
        <w:rPr>
          <w:rFonts w:ascii="Times New Roman" w:hAnsi="Times New Roman" w:cs="Times New Roman"/>
          <w:b/>
          <w:sz w:val="25"/>
          <w:szCs w:val="25"/>
        </w:rPr>
      </w:pPr>
      <w:r w:rsidRPr="00DD3B1A">
        <w:rPr>
          <w:noProof/>
          <w:sz w:val="25"/>
          <w:szCs w:val="25"/>
        </w:rPr>
        <w:drawing>
          <wp:inline distT="0" distB="0" distL="0" distR="0" wp14:anchorId="09BCE1F3" wp14:editId="2E34EFCF">
            <wp:extent cx="5944646" cy="76341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3600" cy="7632834"/>
                    </a:xfrm>
                    <a:prstGeom prst="rect">
                      <a:avLst/>
                    </a:prstGeom>
                    <a:noFill/>
                    <a:ln w="9525">
                      <a:noFill/>
                      <a:miter lim="800000"/>
                      <a:headEnd/>
                      <a:tailEnd/>
                    </a:ln>
                  </pic:spPr>
                </pic:pic>
              </a:graphicData>
            </a:graphic>
          </wp:inline>
        </w:drawing>
      </w:r>
    </w:p>
    <w:p w:rsidR="002B4AA4" w:rsidRPr="00DD3B1A" w:rsidRDefault="002B4AA4" w:rsidP="002B4AA4">
      <w:pPr>
        <w:spacing w:after="0"/>
        <w:jc w:val="center"/>
        <w:rPr>
          <w:rFonts w:ascii="Times New Roman" w:hAnsi="Times New Roman" w:cs="Times New Roman"/>
          <w:b/>
          <w:sz w:val="25"/>
          <w:szCs w:val="25"/>
        </w:rPr>
      </w:pPr>
      <w:r w:rsidRPr="00DD3B1A">
        <w:rPr>
          <w:rFonts w:ascii="Times New Roman" w:hAnsi="Times New Roman" w:cs="Times New Roman"/>
          <w:b/>
          <w:sz w:val="25"/>
          <w:szCs w:val="25"/>
          <w:u w:val="single"/>
        </w:rPr>
        <w:br w:type="page"/>
      </w:r>
      <w:r w:rsidRPr="00DD3B1A">
        <w:rPr>
          <w:rFonts w:ascii="Times New Roman" w:hAnsi="Times New Roman" w:cs="Times New Roman"/>
          <w:b/>
          <w:sz w:val="25"/>
          <w:szCs w:val="25"/>
        </w:rPr>
        <w:t>ATTACHMENT B</w:t>
      </w:r>
    </w:p>
    <w:p w:rsidR="009F6D92" w:rsidRPr="00DD3B1A" w:rsidRDefault="002B4AA4">
      <w:pPr>
        <w:jc w:val="center"/>
        <w:rPr>
          <w:rFonts w:ascii="Times New Roman" w:hAnsi="Times New Roman" w:cs="Times New Roman"/>
          <w:b/>
          <w:sz w:val="25"/>
          <w:szCs w:val="25"/>
          <w:u w:val="single"/>
        </w:rPr>
      </w:pPr>
      <w:r w:rsidRPr="00DD3B1A">
        <w:rPr>
          <w:rFonts w:ascii="Times New Roman" w:hAnsi="Times New Roman" w:cs="Times New Roman"/>
          <w:b/>
          <w:sz w:val="25"/>
          <w:szCs w:val="25"/>
        </w:rPr>
        <w:t xml:space="preserve">IMPLEMENTATION SCHEDULE </w:t>
      </w:r>
      <w:r w:rsidR="00540637" w:rsidRPr="00DD3B1A">
        <w:rPr>
          <w:rFonts w:ascii="Times New Roman" w:hAnsi="Times New Roman" w:cs="Times New Roman"/>
          <w:b/>
          <w:sz w:val="25"/>
          <w:szCs w:val="25"/>
        </w:rPr>
        <w:t>- ALPHABETICAL</w:t>
      </w:r>
    </w:p>
    <w:p w:rsidR="009F6D92" w:rsidRPr="00DD3B1A" w:rsidRDefault="00B63FF4">
      <w:pPr>
        <w:jc w:val="center"/>
        <w:rPr>
          <w:rFonts w:ascii="Times New Roman" w:hAnsi="Times New Roman" w:cs="Times New Roman"/>
          <w:sz w:val="25"/>
          <w:szCs w:val="25"/>
        </w:rPr>
      </w:pPr>
      <w:r w:rsidRPr="00DD3B1A">
        <w:rPr>
          <w:noProof/>
          <w:sz w:val="25"/>
          <w:szCs w:val="25"/>
        </w:rPr>
        <w:drawing>
          <wp:inline distT="0" distB="0" distL="0" distR="0" wp14:anchorId="3FE0AB72" wp14:editId="291E06B0">
            <wp:extent cx="5944644" cy="768733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943600" cy="7685989"/>
                    </a:xfrm>
                    <a:prstGeom prst="rect">
                      <a:avLst/>
                    </a:prstGeom>
                    <a:noFill/>
                    <a:ln w="9525">
                      <a:noFill/>
                      <a:miter lim="800000"/>
                      <a:headEnd/>
                      <a:tailEnd/>
                    </a:ln>
                  </pic:spPr>
                </pic:pic>
              </a:graphicData>
            </a:graphic>
          </wp:inline>
        </w:drawing>
      </w:r>
      <w:r w:rsidR="00A675E7" w:rsidRPr="00DD3B1A">
        <w:rPr>
          <w:rFonts w:ascii="Times New Roman" w:hAnsi="Times New Roman" w:cs="Times New Roman"/>
          <w:b/>
          <w:sz w:val="25"/>
          <w:szCs w:val="25"/>
          <w:u w:val="single"/>
        </w:rPr>
        <w:br w:type="page"/>
      </w:r>
      <w:r w:rsidR="0062725D" w:rsidRPr="00DD3B1A">
        <w:rPr>
          <w:rFonts w:ascii="Times New Roman" w:hAnsi="Times New Roman" w:cs="Times New Roman"/>
          <w:b/>
          <w:sz w:val="25"/>
          <w:szCs w:val="25"/>
        </w:rPr>
        <w:t>ATTACHMENT C</w:t>
      </w:r>
      <w:r w:rsidR="00944584" w:rsidRPr="00DD3B1A">
        <w:rPr>
          <w:noProof/>
          <w:sz w:val="25"/>
          <w:szCs w:val="25"/>
        </w:rPr>
        <w:drawing>
          <wp:inline distT="0" distB="0" distL="0" distR="0" wp14:anchorId="7FF35258" wp14:editId="34AAF3F4">
            <wp:extent cx="5941418" cy="7806018"/>
            <wp:effectExtent l="19050" t="0" r="2182"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943600" cy="7808885"/>
                    </a:xfrm>
                    <a:prstGeom prst="rect">
                      <a:avLst/>
                    </a:prstGeom>
                    <a:noFill/>
                    <a:ln w="9525">
                      <a:noFill/>
                      <a:miter lim="800000"/>
                      <a:headEnd/>
                      <a:tailEnd/>
                    </a:ln>
                  </pic:spPr>
                </pic:pic>
              </a:graphicData>
            </a:graphic>
          </wp:inline>
        </w:drawing>
      </w:r>
    </w:p>
    <w:sectPr w:rsidR="009F6D92" w:rsidRPr="00DD3B1A" w:rsidSect="00F5014F">
      <w:headerReference w:type="default" r:id="rId20"/>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4F" w:rsidRDefault="00F5014F" w:rsidP="00A675E7">
      <w:pPr>
        <w:spacing w:after="0" w:line="240" w:lineRule="auto"/>
      </w:pPr>
      <w:r>
        <w:separator/>
      </w:r>
    </w:p>
  </w:endnote>
  <w:endnote w:type="continuationSeparator" w:id="0">
    <w:p w:rsidR="00F5014F" w:rsidRDefault="00F5014F" w:rsidP="00A6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4F" w:rsidRDefault="00F5014F" w:rsidP="00A675E7">
      <w:pPr>
        <w:spacing w:after="0" w:line="240" w:lineRule="auto"/>
      </w:pPr>
      <w:r>
        <w:separator/>
      </w:r>
    </w:p>
  </w:footnote>
  <w:footnote w:type="continuationSeparator" w:id="0">
    <w:p w:rsidR="00F5014F" w:rsidRDefault="00F5014F" w:rsidP="00A675E7">
      <w:pPr>
        <w:spacing w:after="0" w:line="240" w:lineRule="auto"/>
      </w:pPr>
      <w:r>
        <w:continuationSeparator/>
      </w:r>
    </w:p>
  </w:footnote>
  <w:footnote w:id="1">
    <w:p w:rsidR="00F5014F" w:rsidRPr="00DD3B1A" w:rsidRDefault="00F5014F">
      <w:pPr>
        <w:pStyle w:val="FootnoteText"/>
        <w:rPr>
          <w:rFonts w:ascii="Times New Roman" w:hAnsi="Times New Roman" w:cs="Times New Roman"/>
          <w:sz w:val="22"/>
          <w:szCs w:val="22"/>
        </w:rPr>
      </w:pPr>
      <w:r w:rsidRPr="00DD3B1A">
        <w:rPr>
          <w:rStyle w:val="FootnoteReference"/>
          <w:rFonts w:ascii="Times New Roman" w:hAnsi="Times New Roman" w:cs="Times New Roman"/>
          <w:sz w:val="22"/>
          <w:szCs w:val="22"/>
        </w:rPr>
        <w:footnoteRef/>
      </w:r>
      <w:r w:rsidRPr="00DD3B1A">
        <w:rPr>
          <w:rFonts w:ascii="Times New Roman" w:hAnsi="Times New Roman" w:cs="Times New Roman"/>
          <w:sz w:val="22"/>
          <w:szCs w:val="22"/>
        </w:rPr>
        <w:t xml:space="preserve"> The calculations are taken from the company’s last rate case and comparing the LG result from the rate case and the LG calculation after removing fuel expenses. The difference in the revenue requirement is the fuel expense plus the profit component for fuel expense.</w:t>
      </w:r>
    </w:p>
  </w:footnote>
  <w:footnote w:id="2">
    <w:p w:rsidR="00F5014F" w:rsidRPr="00DD3B1A" w:rsidRDefault="00F5014F" w:rsidP="008A0911">
      <w:pPr>
        <w:pStyle w:val="FootnoteText"/>
        <w:rPr>
          <w:rFonts w:ascii="Times New Roman" w:hAnsi="Times New Roman" w:cs="Times New Roman"/>
          <w:sz w:val="22"/>
          <w:szCs w:val="22"/>
        </w:rPr>
      </w:pPr>
      <w:r w:rsidRPr="00DD3B1A">
        <w:rPr>
          <w:rStyle w:val="FootnoteReference"/>
          <w:rFonts w:ascii="Times New Roman" w:hAnsi="Times New Roman" w:cs="Times New Roman"/>
          <w:sz w:val="22"/>
          <w:szCs w:val="22"/>
        </w:rPr>
        <w:footnoteRef/>
      </w:r>
      <w:r w:rsidRPr="00DD3B1A">
        <w:rPr>
          <w:rFonts w:ascii="Times New Roman" w:hAnsi="Times New Roman" w:cs="Times New Roman"/>
          <w:sz w:val="22"/>
          <w:szCs w:val="22"/>
        </w:rPr>
        <w:t xml:space="preserve"> The calculations are taken from the company’s last rate case and comparing the LG result from the rate case and the LG calculation after removing disposal fee expenses. The difference in the revenue requirement is the disposal fee expense plus the profit component for disposal fee expense.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4F" w:rsidRPr="00DD3B1A" w:rsidRDefault="00F5014F" w:rsidP="00DD3B1A">
    <w:pPr>
      <w:pStyle w:val="Header"/>
      <w:tabs>
        <w:tab w:val="clear" w:pos="9360"/>
        <w:tab w:val="right" w:pos="9180"/>
      </w:tabs>
      <w:rPr>
        <w:rFonts w:ascii="Times New Roman" w:hAnsi="Times New Roman" w:cs="Times New Roman"/>
        <w:b/>
        <w:noProof/>
        <w:sz w:val="20"/>
        <w:szCs w:val="20"/>
      </w:rPr>
    </w:pPr>
    <w:r w:rsidRPr="00DD3B1A">
      <w:rPr>
        <w:rFonts w:ascii="Times New Roman" w:hAnsi="Times New Roman" w:cs="Times New Roman"/>
        <w:b/>
        <w:sz w:val="20"/>
        <w:szCs w:val="20"/>
      </w:rPr>
      <w:t>DOCKET T-101661</w:t>
    </w:r>
    <w:r w:rsidRPr="00DD3B1A">
      <w:rPr>
        <w:rFonts w:ascii="Times New Roman" w:hAnsi="Times New Roman" w:cs="Times New Roman"/>
        <w:b/>
        <w:sz w:val="20"/>
        <w:szCs w:val="20"/>
      </w:rPr>
      <w:tab/>
    </w:r>
    <w:r w:rsidRPr="00DD3B1A">
      <w:rPr>
        <w:rFonts w:ascii="Times New Roman" w:hAnsi="Times New Roman" w:cs="Times New Roman"/>
        <w:b/>
        <w:sz w:val="20"/>
        <w:szCs w:val="20"/>
      </w:rPr>
      <w:tab/>
      <w:t xml:space="preserve">PAGE </w:t>
    </w:r>
    <w:r w:rsidRPr="00DD3B1A">
      <w:rPr>
        <w:rFonts w:ascii="Times New Roman" w:hAnsi="Times New Roman" w:cs="Times New Roman"/>
        <w:b/>
        <w:sz w:val="20"/>
        <w:szCs w:val="20"/>
      </w:rPr>
      <w:fldChar w:fldCharType="begin"/>
    </w:r>
    <w:r w:rsidRPr="00DD3B1A">
      <w:rPr>
        <w:rFonts w:ascii="Times New Roman" w:hAnsi="Times New Roman" w:cs="Times New Roman"/>
        <w:b/>
        <w:sz w:val="20"/>
        <w:szCs w:val="20"/>
      </w:rPr>
      <w:instrText xml:space="preserve"> PAGE   \* MERGEFORMAT </w:instrText>
    </w:r>
    <w:r w:rsidRPr="00DD3B1A">
      <w:rPr>
        <w:rFonts w:ascii="Times New Roman" w:hAnsi="Times New Roman" w:cs="Times New Roman"/>
        <w:b/>
        <w:sz w:val="20"/>
        <w:szCs w:val="20"/>
      </w:rPr>
      <w:fldChar w:fldCharType="separate"/>
    </w:r>
    <w:r w:rsidR="00B04D39">
      <w:rPr>
        <w:rFonts w:ascii="Times New Roman" w:hAnsi="Times New Roman" w:cs="Times New Roman"/>
        <w:b/>
        <w:noProof/>
        <w:sz w:val="20"/>
        <w:szCs w:val="20"/>
      </w:rPr>
      <w:t>2</w:t>
    </w:r>
    <w:r w:rsidRPr="00DD3B1A">
      <w:rPr>
        <w:rFonts w:ascii="Times New Roman" w:hAnsi="Times New Roman" w:cs="Times New Roman"/>
        <w:b/>
        <w:noProof/>
        <w:sz w:val="20"/>
        <w:szCs w:val="20"/>
      </w:rPr>
      <w:fldChar w:fldCharType="end"/>
    </w:r>
  </w:p>
  <w:p w:rsidR="00F5014F" w:rsidRPr="00DD3B1A" w:rsidRDefault="00F5014F" w:rsidP="00DD3B1A">
    <w:pPr>
      <w:pStyle w:val="Header"/>
      <w:tabs>
        <w:tab w:val="clear" w:pos="9360"/>
        <w:tab w:val="right" w:pos="918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15"/>
    <w:multiLevelType w:val="hybridMultilevel"/>
    <w:tmpl w:val="2D8A8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5508BA"/>
    <w:multiLevelType w:val="hybridMultilevel"/>
    <w:tmpl w:val="E152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9291C"/>
    <w:multiLevelType w:val="hybridMultilevel"/>
    <w:tmpl w:val="D714C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A7948"/>
    <w:multiLevelType w:val="hybridMultilevel"/>
    <w:tmpl w:val="1DBA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92E76"/>
    <w:multiLevelType w:val="hybridMultilevel"/>
    <w:tmpl w:val="5776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10370"/>
    <w:multiLevelType w:val="hybridMultilevel"/>
    <w:tmpl w:val="56A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41775"/>
    <w:multiLevelType w:val="hybridMultilevel"/>
    <w:tmpl w:val="17767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C17587"/>
    <w:multiLevelType w:val="hybridMultilevel"/>
    <w:tmpl w:val="FBBE69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E07DD2"/>
    <w:multiLevelType w:val="hybridMultilevel"/>
    <w:tmpl w:val="9092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47745"/>
    <w:multiLevelType w:val="hybridMultilevel"/>
    <w:tmpl w:val="DCC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C279C6"/>
    <w:multiLevelType w:val="hybridMultilevel"/>
    <w:tmpl w:val="D6B8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11B25"/>
    <w:multiLevelType w:val="hybridMultilevel"/>
    <w:tmpl w:val="27B84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4D7132"/>
    <w:multiLevelType w:val="hybridMultilevel"/>
    <w:tmpl w:val="FD9E20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87821CA"/>
    <w:multiLevelType w:val="hybridMultilevel"/>
    <w:tmpl w:val="9BA2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D4F70"/>
    <w:multiLevelType w:val="hybridMultilevel"/>
    <w:tmpl w:val="644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9"/>
  </w:num>
  <w:num w:numId="5">
    <w:abstractNumId w:val="1"/>
  </w:num>
  <w:num w:numId="6">
    <w:abstractNumId w:val="0"/>
  </w:num>
  <w:num w:numId="7">
    <w:abstractNumId w:val="14"/>
  </w:num>
  <w:num w:numId="8">
    <w:abstractNumId w:val="2"/>
  </w:num>
  <w:num w:numId="9">
    <w:abstractNumId w:val="11"/>
  </w:num>
  <w:num w:numId="10">
    <w:abstractNumId w:val="13"/>
  </w:num>
  <w:num w:numId="11">
    <w:abstractNumId w:val="12"/>
  </w:num>
  <w:num w:numId="12">
    <w:abstractNumId w:val="8"/>
  </w:num>
  <w:num w:numId="13">
    <w:abstractNumId w:val="4"/>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34"/>
    <w:rsid w:val="000018CE"/>
    <w:rsid w:val="00004F03"/>
    <w:rsid w:val="00007256"/>
    <w:rsid w:val="00013DA1"/>
    <w:rsid w:val="000158FE"/>
    <w:rsid w:val="00027272"/>
    <w:rsid w:val="0003039A"/>
    <w:rsid w:val="00035051"/>
    <w:rsid w:val="00042620"/>
    <w:rsid w:val="000466F4"/>
    <w:rsid w:val="0005430B"/>
    <w:rsid w:val="0006085F"/>
    <w:rsid w:val="00063376"/>
    <w:rsid w:val="00067AB4"/>
    <w:rsid w:val="00067F64"/>
    <w:rsid w:val="000817AE"/>
    <w:rsid w:val="00085723"/>
    <w:rsid w:val="0009741A"/>
    <w:rsid w:val="000A18A2"/>
    <w:rsid w:val="000A2ED8"/>
    <w:rsid w:val="000C77AF"/>
    <w:rsid w:val="000E0A1B"/>
    <w:rsid w:val="000E1FC3"/>
    <w:rsid w:val="000E27FD"/>
    <w:rsid w:val="000E640C"/>
    <w:rsid w:val="000F182E"/>
    <w:rsid w:val="000F4680"/>
    <w:rsid w:val="0010403B"/>
    <w:rsid w:val="00123174"/>
    <w:rsid w:val="00123858"/>
    <w:rsid w:val="001269F6"/>
    <w:rsid w:val="0013088B"/>
    <w:rsid w:val="00134ADB"/>
    <w:rsid w:val="00140CA9"/>
    <w:rsid w:val="0014399C"/>
    <w:rsid w:val="00146043"/>
    <w:rsid w:val="00165F2F"/>
    <w:rsid w:val="00167D35"/>
    <w:rsid w:val="00173B88"/>
    <w:rsid w:val="001753B1"/>
    <w:rsid w:val="0018248C"/>
    <w:rsid w:val="001971B0"/>
    <w:rsid w:val="001A5D0C"/>
    <w:rsid w:val="001C5AB1"/>
    <w:rsid w:val="001D3ABC"/>
    <w:rsid w:val="001E1D7A"/>
    <w:rsid w:val="001E30F3"/>
    <w:rsid w:val="001F2224"/>
    <w:rsid w:val="002000CC"/>
    <w:rsid w:val="00201FA2"/>
    <w:rsid w:val="002072C4"/>
    <w:rsid w:val="00235D59"/>
    <w:rsid w:val="00237388"/>
    <w:rsid w:val="00241105"/>
    <w:rsid w:val="00250634"/>
    <w:rsid w:val="00251DF7"/>
    <w:rsid w:val="00255621"/>
    <w:rsid w:val="00260063"/>
    <w:rsid w:val="00260190"/>
    <w:rsid w:val="00261F45"/>
    <w:rsid w:val="0026333A"/>
    <w:rsid w:val="00272273"/>
    <w:rsid w:val="0027245F"/>
    <w:rsid w:val="00273995"/>
    <w:rsid w:val="002740D0"/>
    <w:rsid w:val="0027437D"/>
    <w:rsid w:val="002773F2"/>
    <w:rsid w:val="002A706B"/>
    <w:rsid w:val="002B4AA4"/>
    <w:rsid w:val="002C039A"/>
    <w:rsid w:val="003004B7"/>
    <w:rsid w:val="00312239"/>
    <w:rsid w:val="0031377C"/>
    <w:rsid w:val="00315C5D"/>
    <w:rsid w:val="00316741"/>
    <w:rsid w:val="003172A0"/>
    <w:rsid w:val="00323034"/>
    <w:rsid w:val="003349BA"/>
    <w:rsid w:val="00345094"/>
    <w:rsid w:val="003456AB"/>
    <w:rsid w:val="00345FCA"/>
    <w:rsid w:val="00346835"/>
    <w:rsid w:val="00346DF1"/>
    <w:rsid w:val="00346F8C"/>
    <w:rsid w:val="00383C0A"/>
    <w:rsid w:val="00385F5E"/>
    <w:rsid w:val="003908C4"/>
    <w:rsid w:val="003A0134"/>
    <w:rsid w:val="003A0368"/>
    <w:rsid w:val="003B0792"/>
    <w:rsid w:val="003B2658"/>
    <w:rsid w:val="003D64BE"/>
    <w:rsid w:val="003E0F59"/>
    <w:rsid w:val="004110F9"/>
    <w:rsid w:val="0043659E"/>
    <w:rsid w:val="00445C1D"/>
    <w:rsid w:val="00456D25"/>
    <w:rsid w:val="00463C82"/>
    <w:rsid w:val="004713CE"/>
    <w:rsid w:val="00481DCC"/>
    <w:rsid w:val="004B13A1"/>
    <w:rsid w:val="004B2B60"/>
    <w:rsid w:val="004B3FC4"/>
    <w:rsid w:val="004B688D"/>
    <w:rsid w:val="004B7A0F"/>
    <w:rsid w:val="004B7AE7"/>
    <w:rsid w:val="004C69CD"/>
    <w:rsid w:val="004C6AE3"/>
    <w:rsid w:val="004D1010"/>
    <w:rsid w:val="004D47A3"/>
    <w:rsid w:val="004D725B"/>
    <w:rsid w:val="004E45C3"/>
    <w:rsid w:val="004E73EC"/>
    <w:rsid w:val="0050182E"/>
    <w:rsid w:val="00501F06"/>
    <w:rsid w:val="005042CB"/>
    <w:rsid w:val="0051304F"/>
    <w:rsid w:val="005161A6"/>
    <w:rsid w:val="00540637"/>
    <w:rsid w:val="00542D4C"/>
    <w:rsid w:val="00552600"/>
    <w:rsid w:val="00553F42"/>
    <w:rsid w:val="00563F4F"/>
    <w:rsid w:val="00565CF6"/>
    <w:rsid w:val="00577406"/>
    <w:rsid w:val="0058352F"/>
    <w:rsid w:val="00585BD6"/>
    <w:rsid w:val="00597EC3"/>
    <w:rsid w:val="005A6C74"/>
    <w:rsid w:val="005B7FBE"/>
    <w:rsid w:val="005C39B5"/>
    <w:rsid w:val="005C5896"/>
    <w:rsid w:val="005D2796"/>
    <w:rsid w:val="005D2B85"/>
    <w:rsid w:val="005D45E7"/>
    <w:rsid w:val="005D48A5"/>
    <w:rsid w:val="005D6260"/>
    <w:rsid w:val="005D7170"/>
    <w:rsid w:val="005E3561"/>
    <w:rsid w:val="005F3E8E"/>
    <w:rsid w:val="00621BED"/>
    <w:rsid w:val="006228D9"/>
    <w:rsid w:val="00626570"/>
    <w:rsid w:val="0062725D"/>
    <w:rsid w:val="0063348F"/>
    <w:rsid w:val="00636697"/>
    <w:rsid w:val="00651282"/>
    <w:rsid w:val="00655C37"/>
    <w:rsid w:val="00657EF4"/>
    <w:rsid w:val="00660D19"/>
    <w:rsid w:val="00661259"/>
    <w:rsid w:val="00661792"/>
    <w:rsid w:val="00666DE7"/>
    <w:rsid w:val="00672F7B"/>
    <w:rsid w:val="00675405"/>
    <w:rsid w:val="00685ABA"/>
    <w:rsid w:val="00686770"/>
    <w:rsid w:val="00693105"/>
    <w:rsid w:val="006A0729"/>
    <w:rsid w:val="006A248F"/>
    <w:rsid w:val="006A36C7"/>
    <w:rsid w:val="006A41EE"/>
    <w:rsid w:val="006A5249"/>
    <w:rsid w:val="006D1D3B"/>
    <w:rsid w:val="006D4174"/>
    <w:rsid w:val="006D6F59"/>
    <w:rsid w:val="006F10DC"/>
    <w:rsid w:val="006F39E7"/>
    <w:rsid w:val="006F6E4E"/>
    <w:rsid w:val="00715C7F"/>
    <w:rsid w:val="00733085"/>
    <w:rsid w:val="00737FC8"/>
    <w:rsid w:val="00751121"/>
    <w:rsid w:val="00766694"/>
    <w:rsid w:val="0076704C"/>
    <w:rsid w:val="00783DC5"/>
    <w:rsid w:val="0079110F"/>
    <w:rsid w:val="00796527"/>
    <w:rsid w:val="007A5065"/>
    <w:rsid w:val="007A629D"/>
    <w:rsid w:val="007A679D"/>
    <w:rsid w:val="007B7DC1"/>
    <w:rsid w:val="007C2ADA"/>
    <w:rsid w:val="007D2F76"/>
    <w:rsid w:val="007D6FF4"/>
    <w:rsid w:val="007F3AF1"/>
    <w:rsid w:val="008018B2"/>
    <w:rsid w:val="00803E6A"/>
    <w:rsid w:val="00814EFF"/>
    <w:rsid w:val="00837A14"/>
    <w:rsid w:val="00842168"/>
    <w:rsid w:val="00860F2C"/>
    <w:rsid w:val="008671B2"/>
    <w:rsid w:val="00872BA9"/>
    <w:rsid w:val="00873438"/>
    <w:rsid w:val="00881C9D"/>
    <w:rsid w:val="00890B08"/>
    <w:rsid w:val="008A0911"/>
    <w:rsid w:val="008A30C9"/>
    <w:rsid w:val="008B3FC2"/>
    <w:rsid w:val="008D3D58"/>
    <w:rsid w:val="008D5074"/>
    <w:rsid w:val="008F66C6"/>
    <w:rsid w:val="00923A88"/>
    <w:rsid w:val="00926040"/>
    <w:rsid w:val="009304A7"/>
    <w:rsid w:val="00930944"/>
    <w:rsid w:val="0093433E"/>
    <w:rsid w:val="009427AD"/>
    <w:rsid w:val="00944584"/>
    <w:rsid w:val="00946685"/>
    <w:rsid w:val="009502D9"/>
    <w:rsid w:val="00955CC0"/>
    <w:rsid w:val="00971260"/>
    <w:rsid w:val="009745F7"/>
    <w:rsid w:val="00984031"/>
    <w:rsid w:val="009877A3"/>
    <w:rsid w:val="009913A8"/>
    <w:rsid w:val="00994D95"/>
    <w:rsid w:val="00995886"/>
    <w:rsid w:val="009B690A"/>
    <w:rsid w:val="009D005E"/>
    <w:rsid w:val="009D189C"/>
    <w:rsid w:val="009D4C3F"/>
    <w:rsid w:val="009D5758"/>
    <w:rsid w:val="009F3390"/>
    <w:rsid w:val="009F4387"/>
    <w:rsid w:val="009F6D92"/>
    <w:rsid w:val="00A012A3"/>
    <w:rsid w:val="00A04E81"/>
    <w:rsid w:val="00A31FF0"/>
    <w:rsid w:val="00A34ACD"/>
    <w:rsid w:val="00A477DA"/>
    <w:rsid w:val="00A621A8"/>
    <w:rsid w:val="00A67351"/>
    <w:rsid w:val="00A675E7"/>
    <w:rsid w:val="00A84C2A"/>
    <w:rsid w:val="00A85354"/>
    <w:rsid w:val="00AB7AED"/>
    <w:rsid w:val="00AD3312"/>
    <w:rsid w:val="00AD7E86"/>
    <w:rsid w:val="00AE0D1B"/>
    <w:rsid w:val="00AE217A"/>
    <w:rsid w:val="00AE273E"/>
    <w:rsid w:val="00AE352B"/>
    <w:rsid w:val="00AF1D58"/>
    <w:rsid w:val="00AF4F47"/>
    <w:rsid w:val="00B0117C"/>
    <w:rsid w:val="00B0422A"/>
    <w:rsid w:val="00B0470F"/>
    <w:rsid w:val="00B04D39"/>
    <w:rsid w:val="00B13041"/>
    <w:rsid w:val="00B14E70"/>
    <w:rsid w:val="00B15B36"/>
    <w:rsid w:val="00B24BD8"/>
    <w:rsid w:val="00B435C2"/>
    <w:rsid w:val="00B53340"/>
    <w:rsid w:val="00B56EDE"/>
    <w:rsid w:val="00B63FF4"/>
    <w:rsid w:val="00B652FF"/>
    <w:rsid w:val="00B760BA"/>
    <w:rsid w:val="00B77A4B"/>
    <w:rsid w:val="00B81F27"/>
    <w:rsid w:val="00B92CE1"/>
    <w:rsid w:val="00B94567"/>
    <w:rsid w:val="00B9586B"/>
    <w:rsid w:val="00BA1926"/>
    <w:rsid w:val="00BA2B88"/>
    <w:rsid w:val="00BA660D"/>
    <w:rsid w:val="00BB39E1"/>
    <w:rsid w:val="00BD5EDC"/>
    <w:rsid w:val="00BF0882"/>
    <w:rsid w:val="00BF5F9B"/>
    <w:rsid w:val="00C037CA"/>
    <w:rsid w:val="00C06C70"/>
    <w:rsid w:val="00C07136"/>
    <w:rsid w:val="00C14881"/>
    <w:rsid w:val="00C2027A"/>
    <w:rsid w:val="00C207A6"/>
    <w:rsid w:val="00C22E91"/>
    <w:rsid w:val="00C230EB"/>
    <w:rsid w:val="00C31D9F"/>
    <w:rsid w:val="00C4704C"/>
    <w:rsid w:val="00C54CC1"/>
    <w:rsid w:val="00C5509E"/>
    <w:rsid w:val="00C646B2"/>
    <w:rsid w:val="00C64892"/>
    <w:rsid w:val="00C65FBC"/>
    <w:rsid w:val="00C84F9F"/>
    <w:rsid w:val="00C950F0"/>
    <w:rsid w:val="00C97AA4"/>
    <w:rsid w:val="00CA1FE6"/>
    <w:rsid w:val="00CA340D"/>
    <w:rsid w:val="00CA5E49"/>
    <w:rsid w:val="00CB0850"/>
    <w:rsid w:val="00CC74A3"/>
    <w:rsid w:val="00CD1F9C"/>
    <w:rsid w:val="00CD5CE4"/>
    <w:rsid w:val="00CD6204"/>
    <w:rsid w:val="00CE301E"/>
    <w:rsid w:val="00CF591E"/>
    <w:rsid w:val="00D037E7"/>
    <w:rsid w:val="00D13AB4"/>
    <w:rsid w:val="00D17989"/>
    <w:rsid w:val="00D26D8C"/>
    <w:rsid w:val="00D332CE"/>
    <w:rsid w:val="00D80021"/>
    <w:rsid w:val="00DA1B86"/>
    <w:rsid w:val="00DA3AA2"/>
    <w:rsid w:val="00DB0833"/>
    <w:rsid w:val="00DB6A8D"/>
    <w:rsid w:val="00DD2A47"/>
    <w:rsid w:val="00DD3B1A"/>
    <w:rsid w:val="00DF1746"/>
    <w:rsid w:val="00DF53B8"/>
    <w:rsid w:val="00DF7B63"/>
    <w:rsid w:val="00E3285F"/>
    <w:rsid w:val="00E45943"/>
    <w:rsid w:val="00E54B88"/>
    <w:rsid w:val="00E55A88"/>
    <w:rsid w:val="00E67677"/>
    <w:rsid w:val="00E70F3C"/>
    <w:rsid w:val="00E71220"/>
    <w:rsid w:val="00EA41E9"/>
    <w:rsid w:val="00EB259C"/>
    <w:rsid w:val="00EB5944"/>
    <w:rsid w:val="00ED327C"/>
    <w:rsid w:val="00ED475D"/>
    <w:rsid w:val="00ED6A45"/>
    <w:rsid w:val="00EE5B58"/>
    <w:rsid w:val="00EF02F2"/>
    <w:rsid w:val="00F079F5"/>
    <w:rsid w:val="00F10EBB"/>
    <w:rsid w:val="00F12790"/>
    <w:rsid w:val="00F17EA7"/>
    <w:rsid w:val="00F21B68"/>
    <w:rsid w:val="00F3230D"/>
    <w:rsid w:val="00F32FCC"/>
    <w:rsid w:val="00F363C0"/>
    <w:rsid w:val="00F36EE7"/>
    <w:rsid w:val="00F5014F"/>
    <w:rsid w:val="00F66DA4"/>
    <w:rsid w:val="00F718A7"/>
    <w:rsid w:val="00F84658"/>
    <w:rsid w:val="00FA11A5"/>
    <w:rsid w:val="00FA12F7"/>
    <w:rsid w:val="00FA299A"/>
    <w:rsid w:val="00FB4ABB"/>
    <w:rsid w:val="00FC21F8"/>
    <w:rsid w:val="00FC3767"/>
    <w:rsid w:val="00FC3E04"/>
    <w:rsid w:val="00FC45DD"/>
    <w:rsid w:val="00FD0567"/>
    <w:rsid w:val="00FD2739"/>
    <w:rsid w:val="00FD2D5F"/>
    <w:rsid w:val="00FE7EE6"/>
    <w:rsid w:val="00FF1561"/>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117C"/>
    <w:pPr>
      <w:spacing w:after="150" w:line="240" w:lineRule="auto"/>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D0567"/>
    <w:pPr>
      <w:ind w:left="720"/>
      <w:contextualSpacing/>
    </w:pPr>
  </w:style>
  <w:style w:type="paragraph" w:styleId="BalloonText">
    <w:name w:val="Balloon Text"/>
    <w:basedOn w:val="Normal"/>
    <w:link w:val="BalloonTextChar"/>
    <w:uiPriority w:val="99"/>
    <w:semiHidden/>
    <w:unhideWhenUsed/>
    <w:rsid w:val="0047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CE"/>
    <w:rPr>
      <w:rFonts w:ascii="Tahoma" w:hAnsi="Tahoma" w:cs="Tahoma"/>
      <w:sz w:val="16"/>
      <w:szCs w:val="16"/>
    </w:rPr>
  </w:style>
  <w:style w:type="character" w:styleId="Hyperlink">
    <w:name w:val="Hyperlink"/>
    <w:basedOn w:val="DefaultParagraphFont"/>
    <w:uiPriority w:val="99"/>
    <w:unhideWhenUsed/>
    <w:rsid w:val="00E70F3C"/>
    <w:rPr>
      <w:color w:val="0000FF" w:themeColor="hyperlink"/>
      <w:u w:val="single"/>
    </w:rPr>
  </w:style>
  <w:style w:type="character" w:customStyle="1" w:styleId="Heading3Char">
    <w:name w:val="Heading 3 Char"/>
    <w:basedOn w:val="DefaultParagraphFont"/>
    <w:link w:val="Heading3"/>
    <w:uiPriority w:val="9"/>
    <w:rsid w:val="00B0117C"/>
    <w:rPr>
      <w:rFonts w:ascii="Arial Black" w:eastAsia="Times New Roman" w:hAnsi="Arial Black" w:cs="Times New Roman"/>
      <w:color w:val="000000"/>
      <w:sz w:val="24"/>
      <w:szCs w:val="24"/>
    </w:rPr>
  </w:style>
  <w:style w:type="character" w:styleId="CommentReference">
    <w:name w:val="annotation reference"/>
    <w:basedOn w:val="DefaultParagraphFont"/>
    <w:uiPriority w:val="99"/>
    <w:semiHidden/>
    <w:unhideWhenUsed/>
    <w:rsid w:val="000158FE"/>
    <w:rPr>
      <w:sz w:val="16"/>
      <w:szCs w:val="16"/>
    </w:rPr>
  </w:style>
  <w:style w:type="paragraph" w:styleId="CommentText">
    <w:name w:val="annotation text"/>
    <w:basedOn w:val="Normal"/>
    <w:link w:val="CommentTextChar"/>
    <w:uiPriority w:val="99"/>
    <w:semiHidden/>
    <w:unhideWhenUsed/>
    <w:rsid w:val="000158FE"/>
    <w:pPr>
      <w:spacing w:line="240" w:lineRule="auto"/>
    </w:pPr>
    <w:rPr>
      <w:sz w:val="20"/>
      <w:szCs w:val="20"/>
    </w:rPr>
  </w:style>
  <w:style w:type="character" w:customStyle="1" w:styleId="CommentTextChar">
    <w:name w:val="Comment Text Char"/>
    <w:basedOn w:val="DefaultParagraphFont"/>
    <w:link w:val="CommentText"/>
    <w:uiPriority w:val="99"/>
    <w:semiHidden/>
    <w:rsid w:val="000158FE"/>
    <w:rPr>
      <w:sz w:val="20"/>
      <w:szCs w:val="20"/>
    </w:rPr>
  </w:style>
  <w:style w:type="paragraph" w:styleId="CommentSubject">
    <w:name w:val="annotation subject"/>
    <w:basedOn w:val="CommentText"/>
    <w:next w:val="CommentText"/>
    <w:link w:val="CommentSubjectChar"/>
    <w:uiPriority w:val="99"/>
    <w:semiHidden/>
    <w:unhideWhenUsed/>
    <w:rsid w:val="000158FE"/>
    <w:rPr>
      <w:b/>
      <w:bCs/>
    </w:rPr>
  </w:style>
  <w:style w:type="character" w:customStyle="1" w:styleId="CommentSubjectChar">
    <w:name w:val="Comment Subject Char"/>
    <w:basedOn w:val="CommentTextChar"/>
    <w:link w:val="CommentSubject"/>
    <w:uiPriority w:val="99"/>
    <w:semiHidden/>
    <w:rsid w:val="000158FE"/>
    <w:rPr>
      <w:b/>
      <w:bCs/>
      <w:sz w:val="20"/>
      <w:szCs w:val="20"/>
    </w:rPr>
  </w:style>
  <w:style w:type="paragraph" w:styleId="Revision">
    <w:name w:val="Revision"/>
    <w:hidden/>
    <w:uiPriority w:val="99"/>
    <w:semiHidden/>
    <w:rsid w:val="000158FE"/>
    <w:pPr>
      <w:spacing w:after="0" w:line="240" w:lineRule="auto"/>
    </w:pPr>
  </w:style>
  <w:style w:type="paragraph" w:styleId="Header">
    <w:name w:val="header"/>
    <w:basedOn w:val="Normal"/>
    <w:link w:val="HeaderChar"/>
    <w:uiPriority w:val="99"/>
    <w:unhideWhenUsed/>
    <w:rsid w:val="00A67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E7"/>
  </w:style>
  <w:style w:type="paragraph" w:styleId="Footer">
    <w:name w:val="footer"/>
    <w:basedOn w:val="Normal"/>
    <w:link w:val="FooterChar"/>
    <w:uiPriority w:val="99"/>
    <w:unhideWhenUsed/>
    <w:rsid w:val="00A67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E7"/>
  </w:style>
  <w:style w:type="paragraph" w:styleId="FootnoteText">
    <w:name w:val="footnote text"/>
    <w:basedOn w:val="Normal"/>
    <w:link w:val="FootnoteTextChar"/>
    <w:uiPriority w:val="99"/>
    <w:semiHidden/>
    <w:unhideWhenUsed/>
    <w:rsid w:val="00655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C37"/>
    <w:rPr>
      <w:sz w:val="20"/>
      <w:szCs w:val="20"/>
    </w:rPr>
  </w:style>
  <w:style w:type="character" w:styleId="FootnoteReference">
    <w:name w:val="footnote reference"/>
    <w:basedOn w:val="DefaultParagraphFont"/>
    <w:uiPriority w:val="99"/>
    <w:semiHidden/>
    <w:unhideWhenUsed/>
    <w:rsid w:val="00655C37"/>
    <w:rPr>
      <w:vertAlign w:val="superscript"/>
    </w:rPr>
  </w:style>
  <w:style w:type="paragraph" w:styleId="NormalWeb">
    <w:name w:val="Normal (Web)"/>
    <w:basedOn w:val="Normal"/>
    <w:uiPriority w:val="99"/>
    <w:semiHidden/>
    <w:unhideWhenUsed/>
    <w:rsid w:val="00D037E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ndings">
    <w:name w:val="Findings"/>
    <w:basedOn w:val="Normal"/>
    <w:rsid w:val="003A0368"/>
    <w:pPr>
      <w:numPr>
        <w:numId w:val="12"/>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D3B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117C"/>
    <w:pPr>
      <w:spacing w:after="150" w:line="240" w:lineRule="auto"/>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D0567"/>
    <w:pPr>
      <w:ind w:left="720"/>
      <w:contextualSpacing/>
    </w:pPr>
  </w:style>
  <w:style w:type="paragraph" w:styleId="BalloonText">
    <w:name w:val="Balloon Text"/>
    <w:basedOn w:val="Normal"/>
    <w:link w:val="BalloonTextChar"/>
    <w:uiPriority w:val="99"/>
    <w:semiHidden/>
    <w:unhideWhenUsed/>
    <w:rsid w:val="0047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CE"/>
    <w:rPr>
      <w:rFonts w:ascii="Tahoma" w:hAnsi="Tahoma" w:cs="Tahoma"/>
      <w:sz w:val="16"/>
      <w:szCs w:val="16"/>
    </w:rPr>
  </w:style>
  <w:style w:type="character" w:styleId="Hyperlink">
    <w:name w:val="Hyperlink"/>
    <w:basedOn w:val="DefaultParagraphFont"/>
    <w:uiPriority w:val="99"/>
    <w:unhideWhenUsed/>
    <w:rsid w:val="00E70F3C"/>
    <w:rPr>
      <w:color w:val="0000FF" w:themeColor="hyperlink"/>
      <w:u w:val="single"/>
    </w:rPr>
  </w:style>
  <w:style w:type="character" w:customStyle="1" w:styleId="Heading3Char">
    <w:name w:val="Heading 3 Char"/>
    <w:basedOn w:val="DefaultParagraphFont"/>
    <w:link w:val="Heading3"/>
    <w:uiPriority w:val="9"/>
    <w:rsid w:val="00B0117C"/>
    <w:rPr>
      <w:rFonts w:ascii="Arial Black" w:eastAsia="Times New Roman" w:hAnsi="Arial Black" w:cs="Times New Roman"/>
      <w:color w:val="000000"/>
      <w:sz w:val="24"/>
      <w:szCs w:val="24"/>
    </w:rPr>
  </w:style>
  <w:style w:type="character" w:styleId="CommentReference">
    <w:name w:val="annotation reference"/>
    <w:basedOn w:val="DefaultParagraphFont"/>
    <w:uiPriority w:val="99"/>
    <w:semiHidden/>
    <w:unhideWhenUsed/>
    <w:rsid w:val="000158FE"/>
    <w:rPr>
      <w:sz w:val="16"/>
      <w:szCs w:val="16"/>
    </w:rPr>
  </w:style>
  <w:style w:type="paragraph" w:styleId="CommentText">
    <w:name w:val="annotation text"/>
    <w:basedOn w:val="Normal"/>
    <w:link w:val="CommentTextChar"/>
    <w:uiPriority w:val="99"/>
    <w:semiHidden/>
    <w:unhideWhenUsed/>
    <w:rsid w:val="000158FE"/>
    <w:pPr>
      <w:spacing w:line="240" w:lineRule="auto"/>
    </w:pPr>
    <w:rPr>
      <w:sz w:val="20"/>
      <w:szCs w:val="20"/>
    </w:rPr>
  </w:style>
  <w:style w:type="character" w:customStyle="1" w:styleId="CommentTextChar">
    <w:name w:val="Comment Text Char"/>
    <w:basedOn w:val="DefaultParagraphFont"/>
    <w:link w:val="CommentText"/>
    <w:uiPriority w:val="99"/>
    <w:semiHidden/>
    <w:rsid w:val="000158FE"/>
    <w:rPr>
      <w:sz w:val="20"/>
      <w:szCs w:val="20"/>
    </w:rPr>
  </w:style>
  <w:style w:type="paragraph" w:styleId="CommentSubject">
    <w:name w:val="annotation subject"/>
    <w:basedOn w:val="CommentText"/>
    <w:next w:val="CommentText"/>
    <w:link w:val="CommentSubjectChar"/>
    <w:uiPriority w:val="99"/>
    <w:semiHidden/>
    <w:unhideWhenUsed/>
    <w:rsid w:val="000158FE"/>
    <w:rPr>
      <w:b/>
      <w:bCs/>
    </w:rPr>
  </w:style>
  <w:style w:type="character" w:customStyle="1" w:styleId="CommentSubjectChar">
    <w:name w:val="Comment Subject Char"/>
    <w:basedOn w:val="CommentTextChar"/>
    <w:link w:val="CommentSubject"/>
    <w:uiPriority w:val="99"/>
    <w:semiHidden/>
    <w:rsid w:val="000158FE"/>
    <w:rPr>
      <w:b/>
      <w:bCs/>
      <w:sz w:val="20"/>
      <w:szCs w:val="20"/>
    </w:rPr>
  </w:style>
  <w:style w:type="paragraph" w:styleId="Revision">
    <w:name w:val="Revision"/>
    <w:hidden/>
    <w:uiPriority w:val="99"/>
    <w:semiHidden/>
    <w:rsid w:val="000158FE"/>
    <w:pPr>
      <w:spacing w:after="0" w:line="240" w:lineRule="auto"/>
    </w:pPr>
  </w:style>
  <w:style w:type="paragraph" w:styleId="Header">
    <w:name w:val="header"/>
    <w:basedOn w:val="Normal"/>
    <w:link w:val="HeaderChar"/>
    <w:uiPriority w:val="99"/>
    <w:unhideWhenUsed/>
    <w:rsid w:val="00A67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E7"/>
  </w:style>
  <w:style w:type="paragraph" w:styleId="Footer">
    <w:name w:val="footer"/>
    <w:basedOn w:val="Normal"/>
    <w:link w:val="FooterChar"/>
    <w:uiPriority w:val="99"/>
    <w:unhideWhenUsed/>
    <w:rsid w:val="00A67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E7"/>
  </w:style>
  <w:style w:type="paragraph" w:styleId="FootnoteText">
    <w:name w:val="footnote text"/>
    <w:basedOn w:val="Normal"/>
    <w:link w:val="FootnoteTextChar"/>
    <w:uiPriority w:val="99"/>
    <w:semiHidden/>
    <w:unhideWhenUsed/>
    <w:rsid w:val="00655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C37"/>
    <w:rPr>
      <w:sz w:val="20"/>
      <w:szCs w:val="20"/>
    </w:rPr>
  </w:style>
  <w:style w:type="character" w:styleId="FootnoteReference">
    <w:name w:val="footnote reference"/>
    <w:basedOn w:val="DefaultParagraphFont"/>
    <w:uiPriority w:val="99"/>
    <w:semiHidden/>
    <w:unhideWhenUsed/>
    <w:rsid w:val="00655C37"/>
    <w:rPr>
      <w:vertAlign w:val="superscript"/>
    </w:rPr>
  </w:style>
  <w:style w:type="paragraph" w:styleId="NormalWeb">
    <w:name w:val="Normal (Web)"/>
    <w:basedOn w:val="Normal"/>
    <w:uiPriority w:val="99"/>
    <w:semiHidden/>
    <w:unhideWhenUsed/>
    <w:rsid w:val="00D037E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ndings">
    <w:name w:val="Findings"/>
    <w:basedOn w:val="Normal"/>
    <w:rsid w:val="003A0368"/>
    <w:pPr>
      <w:numPr>
        <w:numId w:val="12"/>
      </w:num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D3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75550">
      <w:bodyDiv w:val="1"/>
      <w:marLeft w:val="0"/>
      <w:marRight w:val="0"/>
      <w:marTop w:val="0"/>
      <w:marBottom w:val="0"/>
      <w:divBdr>
        <w:top w:val="none" w:sz="0" w:space="0" w:color="auto"/>
        <w:left w:val="none" w:sz="0" w:space="0" w:color="auto"/>
        <w:bottom w:val="none" w:sz="0" w:space="0" w:color="auto"/>
        <w:right w:val="none" w:sz="0" w:space="0" w:color="auto"/>
      </w:divBdr>
    </w:div>
    <w:div w:id="288168483">
      <w:bodyDiv w:val="1"/>
      <w:marLeft w:val="0"/>
      <w:marRight w:val="0"/>
      <w:marTop w:val="0"/>
      <w:marBottom w:val="0"/>
      <w:divBdr>
        <w:top w:val="none" w:sz="0" w:space="0" w:color="auto"/>
        <w:left w:val="none" w:sz="0" w:space="0" w:color="auto"/>
        <w:bottom w:val="none" w:sz="0" w:space="0" w:color="auto"/>
        <w:right w:val="none" w:sz="0" w:space="0" w:color="auto"/>
      </w:divBdr>
    </w:div>
    <w:div w:id="412628652">
      <w:bodyDiv w:val="1"/>
      <w:marLeft w:val="0"/>
      <w:marRight w:val="0"/>
      <w:marTop w:val="0"/>
      <w:marBottom w:val="0"/>
      <w:divBdr>
        <w:top w:val="none" w:sz="0" w:space="0" w:color="auto"/>
        <w:left w:val="none" w:sz="0" w:space="0" w:color="auto"/>
        <w:bottom w:val="none" w:sz="0" w:space="0" w:color="auto"/>
        <w:right w:val="none" w:sz="0" w:space="0" w:color="auto"/>
      </w:divBdr>
    </w:div>
    <w:div w:id="501044232">
      <w:bodyDiv w:val="1"/>
      <w:marLeft w:val="0"/>
      <w:marRight w:val="0"/>
      <w:marTop w:val="0"/>
      <w:marBottom w:val="0"/>
      <w:divBdr>
        <w:top w:val="none" w:sz="0" w:space="0" w:color="auto"/>
        <w:left w:val="none" w:sz="0" w:space="0" w:color="auto"/>
        <w:bottom w:val="none" w:sz="0" w:space="0" w:color="auto"/>
        <w:right w:val="none" w:sz="0" w:space="0" w:color="auto"/>
      </w:divBdr>
    </w:div>
    <w:div w:id="515851428">
      <w:bodyDiv w:val="1"/>
      <w:marLeft w:val="0"/>
      <w:marRight w:val="0"/>
      <w:marTop w:val="0"/>
      <w:marBottom w:val="0"/>
      <w:divBdr>
        <w:top w:val="none" w:sz="0" w:space="0" w:color="auto"/>
        <w:left w:val="none" w:sz="0" w:space="0" w:color="auto"/>
        <w:bottom w:val="none" w:sz="0" w:space="0" w:color="auto"/>
        <w:right w:val="none" w:sz="0" w:space="0" w:color="auto"/>
      </w:divBdr>
    </w:div>
    <w:div w:id="660038062">
      <w:bodyDiv w:val="1"/>
      <w:marLeft w:val="0"/>
      <w:marRight w:val="0"/>
      <w:marTop w:val="0"/>
      <w:marBottom w:val="0"/>
      <w:divBdr>
        <w:top w:val="none" w:sz="0" w:space="0" w:color="auto"/>
        <w:left w:val="none" w:sz="0" w:space="0" w:color="auto"/>
        <w:bottom w:val="none" w:sz="0" w:space="0" w:color="auto"/>
        <w:right w:val="none" w:sz="0" w:space="0" w:color="auto"/>
      </w:divBdr>
    </w:div>
    <w:div w:id="672226936">
      <w:bodyDiv w:val="1"/>
      <w:marLeft w:val="0"/>
      <w:marRight w:val="0"/>
      <w:marTop w:val="0"/>
      <w:marBottom w:val="0"/>
      <w:divBdr>
        <w:top w:val="none" w:sz="0" w:space="0" w:color="auto"/>
        <w:left w:val="none" w:sz="0" w:space="0" w:color="auto"/>
        <w:bottom w:val="none" w:sz="0" w:space="0" w:color="auto"/>
        <w:right w:val="none" w:sz="0" w:space="0" w:color="auto"/>
      </w:divBdr>
    </w:div>
    <w:div w:id="675226114">
      <w:bodyDiv w:val="1"/>
      <w:marLeft w:val="0"/>
      <w:marRight w:val="0"/>
      <w:marTop w:val="0"/>
      <w:marBottom w:val="0"/>
      <w:divBdr>
        <w:top w:val="none" w:sz="0" w:space="0" w:color="auto"/>
        <w:left w:val="none" w:sz="0" w:space="0" w:color="auto"/>
        <w:bottom w:val="none" w:sz="0" w:space="0" w:color="auto"/>
        <w:right w:val="none" w:sz="0" w:space="0" w:color="auto"/>
      </w:divBdr>
    </w:div>
    <w:div w:id="705368401">
      <w:bodyDiv w:val="1"/>
      <w:marLeft w:val="0"/>
      <w:marRight w:val="0"/>
      <w:marTop w:val="0"/>
      <w:marBottom w:val="0"/>
      <w:divBdr>
        <w:top w:val="none" w:sz="0" w:space="0" w:color="auto"/>
        <w:left w:val="none" w:sz="0" w:space="0" w:color="auto"/>
        <w:bottom w:val="none" w:sz="0" w:space="0" w:color="auto"/>
        <w:right w:val="none" w:sz="0" w:space="0" w:color="auto"/>
      </w:divBdr>
    </w:div>
    <w:div w:id="825247326">
      <w:bodyDiv w:val="1"/>
      <w:marLeft w:val="0"/>
      <w:marRight w:val="0"/>
      <w:marTop w:val="0"/>
      <w:marBottom w:val="0"/>
      <w:divBdr>
        <w:top w:val="none" w:sz="0" w:space="0" w:color="auto"/>
        <w:left w:val="none" w:sz="0" w:space="0" w:color="auto"/>
        <w:bottom w:val="none" w:sz="0" w:space="0" w:color="auto"/>
        <w:right w:val="none" w:sz="0" w:space="0" w:color="auto"/>
      </w:divBdr>
    </w:div>
    <w:div w:id="907422168">
      <w:bodyDiv w:val="1"/>
      <w:marLeft w:val="0"/>
      <w:marRight w:val="0"/>
      <w:marTop w:val="0"/>
      <w:marBottom w:val="0"/>
      <w:divBdr>
        <w:top w:val="none" w:sz="0" w:space="0" w:color="auto"/>
        <w:left w:val="none" w:sz="0" w:space="0" w:color="auto"/>
        <w:bottom w:val="none" w:sz="0" w:space="0" w:color="auto"/>
        <w:right w:val="none" w:sz="0" w:space="0" w:color="auto"/>
      </w:divBdr>
      <w:divsChild>
        <w:div w:id="1451046170">
          <w:marLeft w:val="240"/>
          <w:marRight w:val="120"/>
          <w:marTop w:val="0"/>
          <w:marBottom w:val="0"/>
          <w:divBdr>
            <w:top w:val="none" w:sz="0" w:space="0" w:color="auto"/>
            <w:left w:val="none" w:sz="0" w:space="0" w:color="auto"/>
            <w:bottom w:val="none" w:sz="0" w:space="0" w:color="auto"/>
            <w:right w:val="none" w:sz="0" w:space="0" w:color="auto"/>
          </w:divBdr>
        </w:div>
      </w:divsChild>
    </w:div>
    <w:div w:id="980616060">
      <w:bodyDiv w:val="1"/>
      <w:marLeft w:val="0"/>
      <w:marRight w:val="0"/>
      <w:marTop w:val="0"/>
      <w:marBottom w:val="0"/>
      <w:divBdr>
        <w:top w:val="none" w:sz="0" w:space="0" w:color="auto"/>
        <w:left w:val="none" w:sz="0" w:space="0" w:color="auto"/>
        <w:bottom w:val="none" w:sz="0" w:space="0" w:color="auto"/>
        <w:right w:val="none" w:sz="0" w:space="0" w:color="auto"/>
      </w:divBdr>
    </w:div>
    <w:div w:id="1015691894">
      <w:bodyDiv w:val="1"/>
      <w:marLeft w:val="0"/>
      <w:marRight w:val="0"/>
      <w:marTop w:val="0"/>
      <w:marBottom w:val="0"/>
      <w:divBdr>
        <w:top w:val="none" w:sz="0" w:space="0" w:color="auto"/>
        <w:left w:val="none" w:sz="0" w:space="0" w:color="auto"/>
        <w:bottom w:val="none" w:sz="0" w:space="0" w:color="auto"/>
        <w:right w:val="none" w:sz="0" w:space="0" w:color="auto"/>
      </w:divBdr>
    </w:div>
    <w:div w:id="1048606976">
      <w:bodyDiv w:val="1"/>
      <w:marLeft w:val="0"/>
      <w:marRight w:val="0"/>
      <w:marTop w:val="0"/>
      <w:marBottom w:val="0"/>
      <w:divBdr>
        <w:top w:val="none" w:sz="0" w:space="0" w:color="auto"/>
        <w:left w:val="none" w:sz="0" w:space="0" w:color="auto"/>
        <w:bottom w:val="none" w:sz="0" w:space="0" w:color="auto"/>
        <w:right w:val="none" w:sz="0" w:space="0" w:color="auto"/>
      </w:divBdr>
    </w:div>
    <w:div w:id="1292856182">
      <w:bodyDiv w:val="1"/>
      <w:marLeft w:val="0"/>
      <w:marRight w:val="0"/>
      <w:marTop w:val="0"/>
      <w:marBottom w:val="0"/>
      <w:divBdr>
        <w:top w:val="none" w:sz="0" w:space="0" w:color="auto"/>
        <w:left w:val="none" w:sz="0" w:space="0" w:color="auto"/>
        <w:bottom w:val="none" w:sz="0" w:space="0" w:color="auto"/>
        <w:right w:val="none" w:sz="0" w:space="0" w:color="auto"/>
      </w:divBdr>
      <w:divsChild>
        <w:div w:id="1662810679">
          <w:marLeft w:val="0"/>
          <w:marRight w:val="0"/>
          <w:marTop w:val="0"/>
          <w:marBottom w:val="0"/>
          <w:divBdr>
            <w:top w:val="none" w:sz="0" w:space="0" w:color="auto"/>
            <w:left w:val="none" w:sz="0" w:space="0" w:color="auto"/>
            <w:bottom w:val="none" w:sz="0" w:space="0" w:color="auto"/>
            <w:right w:val="none" w:sz="0" w:space="0" w:color="auto"/>
          </w:divBdr>
          <w:divsChild>
            <w:div w:id="1094790690">
              <w:marLeft w:val="2655"/>
              <w:marRight w:val="0"/>
              <w:marTop w:val="0"/>
              <w:marBottom w:val="0"/>
              <w:divBdr>
                <w:top w:val="none" w:sz="0" w:space="0" w:color="auto"/>
                <w:left w:val="none" w:sz="0" w:space="0" w:color="auto"/>
                <w:bottom w:val="none" w:sz="0" w:space="0" w:color="auto"/>
                <w:right w:val="none" w:sz="0" w:space="0" w:color="auto"/>
              </w:divBdr>
              <w:divsChild>
                <w:div w:id="142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7324">
      <w:bodyDiv w:val="1"/>
      <w:marLeft w:val="0"/>
      <w:marRight w:val="0"/>
      <w:marTop w:val="0"/>
      <w:marBottom w:val="0"/>
      <w:divBdr>
        <w:top w:val="none" w:sz="0" w:space="0" w:color="auto"/>
        <w:left w:val="none" w:sz="0" w:space="0" w:color="auto"/>
        <w:bottom w:val="none" w:sz="0" w:space="0" w:color="auto"/>
        <w:right w:val="none" w:sz="0" w:space="0" w:color="auto"/>
      </w:divBdr>
    </w:div>
    <w:div w:id="1535924343">
      <w:bodyDiv w:val="1"/>
      <w:marLeft w:val="0"/>
      <w:marRight w:val="0"/>
      <w:marTop w:val="0"/>
      <w:marBottom w:val="0"/>
      <w:divBdr>
        <w:top w:val="none" w:sz="0" w:space="0" w:color="auto"/>
        <w:left w:val="none" w:sz="0" w:space="0" w:color="auto"/>
        <w:bottom w:val="none" w:sz="0" w:space="0" w:color="auto"/>
        <w:right w:val="none" w:sz="0" w:space="0" w:color="auto"/>
      </w:divBdr>
    </w:div>
    <w:div w:id="1594321182">
      <w:bodyDiv w:val="1"/>
      <w:marLeft w:val="0"/>
      <w:marRight w:val="0"/>
      <w:marTop w:val="0"/>
      <w:marBottom w:val="0"/>
      <w:divBdr>
        <w:top w:val="none" w:sz="0" w:space="0" w:color="auto"/>
        <w:left w:val="none" w:sz="0" w:space="0" w:color="auto"/>
        <w:bottom w:val="none" w:sz="0" w:space="0" w:color="auto"/>
        <w:right w:val="none" w:sz="0" w:space="0" w:color="auto"/>
      </w:divBdr>
    </w:div>
    <w:div w:id="1886914588">
      <w:bodyDiv w:val="1"/>
      <w:marLeft w:val="0"/>
      <w:marRight w:val="0"/>
      <w:marTop w:val="0"/>
      <w:marBottom w:val="0"/>
      <w:divBdr>
        <w:top w:val="none" w:sz="0" w:space="0" w:color="auto"/>
        <w:left w:val="none" w:sz="0" w:space="0" w:color="auto"/>
        <w:bottom w:val="none" w:sz="0" w:space="0" w:color="auto"/>
        <w:right w:val="none" w:sz="0" w:space="0" w:color="auto"/>
      </w:divBdr>
    </w:div>
    <w:div w:id="20564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ords@utc.wa.gov" TargetMode="External"/><Relationship Id="rId18" Type="http://schemas.openxmlformats.org/officeDocument/2006/relationships/image" Target="media/image6.emf"/><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c.wa.gov/e-filing" TargetMode="External"/><Relationship Id="rId17" Type="http://schemas.openxmlformats.org/officeDocument/2006/relationships/image" Target="media/image5.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dgomez@utc.wa.gov" TargetMode="External"/><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tc.wa.gov/1016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DA788E-55FA-47A3-9D07-8A767A00113A}"/>
</file>

<file path=customXml/itemProps2.xml><?xml version="1.0" encoding="utf-8"?>
<ds:datastoreItem xmlns:ds="http://schemas.openxmlformats.org/officeDocument/2006/customXml" ds:itemID="{1D370E7D-BF00-4843-887D-9EE2CABF6C1B}"/>
</file>

<file path=customXml/itemProps3.xml><?xml version="1.0" encoding="utf-8"?>
<ds:datastoreItem xmlns:ds="http://schemas.openxmlformats.org/officeDocument/2006/customXml" ds:itemID="{B2346091-3095-46E3-A143-BEF2CA3BC4DB}"/>
</file>

<file path=customXml/itemProps4.xml><?xml version="1.0" encoding="utf-8"?>
<ds:datastoreItem xmlns:ds="http://schemas.openxmlformats.org/officeDocument/2006/customXml" ds:itemID="{706AE1C9-8C63-4A69-B5D5-E56E45E5D859}"/>
</file>

<file path=customXml/itemProps5.xml><?xml version="1.0" encoding="utf-8"?>
<ds:datastoreItem xmlns:ds="http://schemas.openxmlformats.org/officeDocument/2006/customXml" ds:itemID="{B2CADE6C-DDF7-4334-A8DD-C3B3A4437DCC}"/>
</file>

<file path=docProps/app.xml><?xml version="1.0" encoding="utf-8"?>
<Properties xmlns="http://schemas.openxmlformats.org/officeDocument/2006/extended-properties" xmlns:vt="http://schemas.openxmlformats.org/officeDocument/2006/docPropsVTypes">
  <Template>Normal.dotm</Template>
  <TotalTime>0</TotalTime>
  <Pages>22</Pages>
  <Words>4155</Words>
  <Characters>23684</Characters>
  <Application>Microsoft Office Word</Application>
  <DocSecurity>0</DocSecurity>
  <Lines>197</Lines>
  <Paragraphs>55</Paragraphs>
  <ScaleCrop>false</ScaleCrop>
  <Company/>
  <LinksUpToDate>false</LinksUpToDate>
  <CharactersWithSpaces>27784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2011-03-18T21:25:00Z</dcterms:created>
  <dcterms:modified xsi:type="dcterms:W3CDTF">2011-03-18T21:26:00Z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