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D49A3" w14:textId="77777777" w:rsidR="00FD6156" w:rsidRPr="004A1F6F" w:rsidRDefault="00FD6156" w:rsidP="00FD6156">
      <w:pPr>
        <w:tabs>
          <w:tab w:val="center" w:pos="4680"/>
        </w:tabs>
        <w:ind w:left="-360" w:right="-252"/>
        <w:jc w:val="center"/>
      </w:pPr>
      <w:r w:rsidRPr="004A1F6F">
        <w:t>BEFORE THE WASHINGTON UTILITIES AND TRANSPORTATION COMMISSION</w:t>
      </w:r>
    </w:p>
    <w:p w14:paraId="1EEEF352" w14:textId="77777777" w:rsidR="00FD6156" w:rsidRPr="004A1F6F" w:rsidRDefault="00FD6156" w:rsidP="00FD6156">
      <w:pPr>
        <w:jc w:val="both"/>
      </w:pP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FD6156" w:rsidRPr="004A1F6F" w14:paraId="2BA3A119" w14:textId="77777777" w:rsidTr="00FD6156">
        <w:tc>
          <w:tcPr>
            <w:tcW w:w="4590" w:type="dxa"/>
            <w:tcBorders>
              <w:top w:val="single" w:sz="6" w:space="0" w:color="FFFFFF"/>
              <w:left w:val="single" w:sz="6" w:space="0" w:color="FFFFFF"/>
              <w:bottom w:val="single" w:sz="8" w:space="0" w:color="000000"/>
              <w:right w:val="single" w:sz="6" w:space="0" w:color="FFFFFF"/>
            </w:tcBorders>
          </w:tcPr>
          <w:p w14:paraId="4FF94311" w14:textId="77777777" w:rsidR="00FD6156" w:rsidRPr="004A1F6F" w:rsidRDefault="00FD6156" w:rsidP="00FD6156">
            <w:r w:rsidRPr="004A1F6F">
              <w:t>WASHINGTON UTILITIES AND TRANSPORTATION COMMISSION,</w:t>
            </w:r>
          </w:p>
          <w:p w14:paraId="288EB872" w14:textId="77777777" w:rsidR="00FD6156" w:rsidRPr="004A1F6F" w:rsidRDefault="00FD6156" w:rsidP="00FD6156"/>
          <w:p w14:paraId="0646BC05" w14:textId="77777777" w:rsidR="00FD6156" w:rsidRPr="004A1F6F" w:rsidRDefault="00FD6156" w:rsidP="00FD6156">
            <w:pPr>
              <w:tabs>
                <w:tab w:val="left" w:pos="1800"/>
              </w:tabs>
            </w:pPr>
            <w:r w:rsidRPr="004A1F6F">
              <w:tab/>
              <w:t>Complainant,</w:t>
            </w:r>
          </w:p>
          <w:p w14:paraId="62A7ADAF" w14:textId="77777777" w:rsidR="00FD6156" w:rsidRPr="004A1F6F" w:rsidRDefault="00FD6156" w:rsidP="00FD6156"/>
          <w:p w14:paraId="55BEF04F" w14:textId="77777777" w:rsidR="00FD6156" w:rsidRPr="004A1F6F" w:rsidRDefault="00FD6156" w:rsidP="00FD6156">
            <w:r w:rsidRPr="004A1F6F">
              <w:t>v.</w:t>
            </w:r>
          </w:p>
          <w:p w14:paraId="1915E975" w14:textId="77777777" w:rsidR="00FD6156" w:rsidRPr="004A1F6F" w:rsidRDefault="00FD6156" w:rsidP="00FD6156">
            <w:pPr>
              <w:jc w:val="center"/>
            </w:pPr>
          </w:p>
          <w:p w14:paraId="78A9F069" w14:textId="65B1796F" w:rsidR="00FD6156" w:rsidRPr="004A1F6F" w:rsidRDefault="00FD6156" w:rsidP="00FD6156">
            <w:r w:rsidRPr="004A1F6F">
              <w:t>AVISTA CORPORATION, d</w:t>
            </w:r>
            <w:r w:rsidR="002746D0">
              <w:t>/</w:t>
            </w:r>
            <w:r w:rsidRPr="004A1F6F">
              <w:t>b</w:t>
            </w:r>
            <w:r w:rsidR="002746D0">
              <w:t>/</w:t>
            </w:r>
            <w:r w:rsidRPr="004A1F6F">
              <w:t>a</w:t>
            </w:r>
          </w:p>
          <w:p w14:paraId="2A78F437" w14:textId="77777777" w:rsidR="00FD6156" w:rsidRPr="004A1F6F" w:rsidRDefault="00FD6156" w:rsidP="00FD6156">
            <w:r w:rsidRPr="004A1F6F">
              <w:t>AVISTA UTILITIES,</w:t>
            </w:r>
          </w:p>
          <w:p w14:paraId="7D3DB66C" w14:textId="77777777" w:rsidR="00FD6156" w:rsidRPr="004A1F6F" w:rsidRDefault="00FD6156" w:rsidP="00FD6156">
            <w:pPr>
              <w:jc w:val="center"/>
            </w:pPr>
          </w:p>
          <w:p w14:paraId="438C4246" w14:textId="77777777" w:rsidR="00FD6156" w:rsidRPr="004A1F6F" w:rsidRDefault="00FD6156" w:rsidP="00FD6156">
            <w:pPr>
              <w:tabs>
                <w:tab w:val="left" w:pos="1800"/>
              </w:tabs>
            </w:pPr>
            <w:r w:rsidRPr="004A1F6F">
              <w:tab/>
              <w:t>Respondent.</w:t>
            </w:r>
          </w:p>
          <w:p w14:paraId="76D746C7" w14:textId="77777777" w:rsidR="00FD6156" w:rsidRPr="004A1F6F" w:rsidRDefault="00FD6156" w:rsidP="00FD6156">
            <w:pPr>
              <w:tabs>
                <w:tab w:val="center" w:pos="4680"/>
              </w:tabs>
            </w:pPr>
          </w:p>
        </w:tc>
        <w:tc>
          <w:tcPr>
            <w:tcW w:w="4590" w:type="dxa"/>
            <w:tcBorders>
              <w:top w:val="single" w:sz="6" w:space="0" w:color="FFFFFF"/>
              <w:left w:val="single" w:sz="8" w:space="0" w:color="000000"/>
              <w:bottom w:val="single" w:sz="6" w:space="0" w:color="FFFFFF"/>
              <w:right w:val="single" w:sz="6" w:space="0" w:color="FFFFFF"/>
            </w:tcBorders>
          </w:tcPr>
          <w:p w14:paraId="3BC327D8" w14:textId="36201ABC" w:rsidR="00FD6156" w:rsidRPr="004A1F6F" w:rsidRDefault="00FD6156" w:rsidP="00607C00">
            <w:pPr>
              <w:ind w:left="450"/>
            </w:pPr>
            <w:r w:rsidRPr="004A1F6F">
              <w:t>DOCKETS UE-1</w:t>
            </w:r>
            <w:r w:rsidR="00300AFA">
              <w:t>60228</w:t>
            </w:r>
            <w:r w:rsidRPr="004A1F6F">
              <w:t xml:space="preserve"> and </w:t>
            </w:r>
          </w:p>
          <w:p w14:paraId="48DC6482" w14:textId="52C3BE61" w:rsidR="00FD6156" w:rsidRPr="004A1F6F" w:rsidRDefault="00FD6156" w:rsidP="00607C00">
            <w:pPr>
              <w:ind w:left="450"/>
            </w:pPr>
            <w:r w:rsidRPr="004A1F6F">
              <w:t>UG-1</w:t>
            </w:r>
            <w:r w:rsidR="00300AFA">
              <w:t>60229</w:t>
            </w:r>
            <w:r w:rsidRPr="004A1F6F">
              <w:t xml:space="preserve"> </w:t>
            </w:r>
            <w:r w:rsidRPr="004A1F6F">
              <w:rPr>
                <w:i/>
              </w:rPr>
              <w:t>(Consolidated)</w:t>
            </w:r>
          </w:p>
          <w:p w14:paraId="4A089D4D" w14:textId="77777777" w:rsidR="00FD6156" w:rsidRDefault="00FD6156" w:rsidP="00607C00">
            <w:pPr>
              <w:tabs>
                <w:tab w:val="center" w:pos="4680"/>
              </w:tabs>
              <w:ind w:left="450"/>
            </w:pPr>
          </w:p>
          <w:p w14:paraId="47877727" w14:textId="6095993B" w:rsidR="004A1F6F" w:rsidRPr="004A1F6F" w:rsidRDefault="004A1F6F" w:rsidP="00607C00">
            <w:pPr>
              <w:tabs>
                <w:tab w:val="center" w:pos="4680"/>
              </w:tabs>
              <w:ind w:left="450"/>
            </w:pPr>
            <w:r>
              <w:t>COMMISSION STAFF</w:t>
            </w:r>
            <w:r w:rsidR="00C92CEB">
              <w:t>’S</w:t>
            </w:r>
            <w:r>
              <w:t xml:space="preserve"> </w:t>
            </w:r>
            <w:r w:rsidR="00B76E50">
              <w:t>ANSWER</w:t>
            </w:r>
            <w:r w:rsidR="00300AFA">
              <w:t xml:space="preserve"> TO </w:t>
            </w:r>
            <w:r w:rsidR="00B76E50">
              <w:t>AVISTA’S</w:t>
            </w:r>
            <w:r w:rsidR="00300AFA">
              <w:t xml:space="preserve"> PETITION FOR RECONSIDERATION</w:t>
            </w:r>
            <w:r w:rsidR="00FA279E">
              <w:t xml:space="preserve"> </w:t>
            </w:r>
            <w:r w:rsidR="00B82C06">
              <w:t>OR REHEARING</w:t>
            </w:r>
          </w:p>
          <w:p w14:paraId="32F2E763" w14:textId="77777777" w:rsidR="00FD6156" w:rsidRPr="004A1F6F" w:rsidRDefault="00FD6156" w:rsidP="00FD6156">
            <w:pPr>
              <w:tabs>
                <w:tab w:val="center" w:pos="4680"/>
              </w:tabs>
              <w:jc w:val="center"/>
            </w:pPr>
          </w:p>
        </w:tc>
      </w:tr>
    </w:tbl>
    <w:p w14:paraId="3F6817A5" w14:textId="77777777" w:rsidR="00FD6156" w:rsidRDefault="00FD6156" w:rsidP="00FD6156"/>
    <w:p w14:paraId="175FED6F" w14:textId="1EB5BD8C" w:rsidR="004A1F6F" w:rsidRPr="00E5126C" w:rsidRDefault="00607C00" w:rsidP="00E5126C">
      <w:pPr>
        <w:spacing w:line="480" w:lineRule="auto"/>
        <w:jc w:val="center"/>
        <w:rPr>
          <w:b/>
        </w:rPr>
      </w:pPr>
      <w:r>
        <w:rPr>
          <w:b/>
        </w:rPr>
        <w:t>I.</w:t>
      </w:r>
      <w:r>
        <w:rPr>
          <w:b/>
        </w:rPr>
        <w:tab/>
      </w:r>
      <w:r w:rsidR="00300AFA">
        <w:rPr>
          <w:b/>
        </w:rPr>
        <w:t>INTRODUCTION</w:t>
      </w:r>
    </w:p>
    <w:p w14:paraId="2456769E" w14:textId="57E51DFA" w:rsidR="00607C00" w:rsidRDefault="00607C00" w:rsidP="00607C00">
      <w:pPr>
        <w:pStyle w:val="ListParagraph"/>
        <w:numPr>
          <w:ilvl w:val="0"/>
          <w:numId w:val="27"/>
        </w:numPr>
        <w:spacing w:line="480" w:lineRule="auto"/>
        <w:ind w:left="0" w:hanging="720"/>
      </w:pPr>
      <w:r>
        <w:tab/>
      </w:r>
      <w:r w:rsidR="006749FB">
        <w:t xml:space="preserve">Pursuant to the </w:t>
      </w:r>
      <w:r w:rsidR="00B82C06">
        <w:t xml:space="preserve">Washington Utilities and Transportation </w:t>
      </w:r>
      <w:r w:rsidR="006749FB">
        <w:t xml:space="preserve">Commission’s </w:t>
      </w:r>
      <w:r w:rsidR="00077F73">
        <w:t xml:space="preserve">(Commission) </w:t>
      </w:r>
      <w:r w:rsidR="00B82C06">
        <w:t>Notice of Opportunity to File Answers to Petition for Reconsideration or Rehearing, Commission Staff (Staff) submits this Answer to Avista</w:t>
      </w:r>
      <w:r w:rsidR="00612E9C">
        <w:t xml:space="preserve"> Corporation</w:t>
      </w:r>
      <w:r w:rsidR="00B82C06">
        <w:t xml:space="preserve">’s </w:t>
      </w:r>
      <w:r w:rsidR="00306772">
        <w:t xml:space="preserve">(Avista’s) </w:t>
      </w:r>
      <w:r w:rsidR="00B82C06">
        <w:t xml:space="preserve">Petition for Reconsideration or Rehearing. </w:t>
      </w:r>
      <w:r w:rsidR="00300AFA">
        <w:t>Staff accepts the Commission’s determination in Order 06</w:t>
      </w:r>
      <w:r w:rsidR="00B76E50">
        <w:t xml:space="preserve"> and does not support </w:t>
      </w:r>
      <w:r w:rsidR="00C0554E">
        <w:t>changing the</w:t>
      </w:r>
      <w:r w:rsidR="00B76E50">
        <w:t xml:space="preserve"> decision. In Order 06, the Commission determined that Avista </w:t>
      </w:r>
      <w:r w:rsidR="00612E9C">
        <w:t>Corporation (</w:t>
      </w:r>
      <w:r w:rsidR="00CA3FA7">
        <w:t>“</w:t>
      </w:r>
      <w:r w:rsidR="00612E9C">
        <w:t>Avista</w:t>
      </w:r>
      <w:r w:rsidR="00CA3FA7">
        <w:t>”</w:t>
      </w:r>
      <w:r w:rsidR="00612E9C">
        <w:t xml:space="preserve"> or </w:t>
      </w:r>
      <w:r w:rsidR="00CA3FA7">
        <w:t>“</w:t>
      </w:r>
      <w:r w:rsidR="00612E9C">
        <w:t>Company</w:t>
      </w:r>
      <w:r w:rsidR="00CA3FA7">
        <w:t>”</w:t>
      </w:r>
      <w:r w:rsidR="00612E9C">
        <w:t xml:space="preserve">) </w:t>
      </w:r>
      <w:r w:rsidR="00B76E50">
        <w:t xml:space="preserve">had not met its burden of proof to show that its proposed rates would be fair, just, reasonable, and sufficient. This outcome </w:t>
      </w:r>
      <w:r w:rsidR="006749FB">
        <w:t xml:space="preserve">is </w:t>
      </w:r>
      <w:r w:rsidR="00B76E50">
        <w:t xml:space="preserve">reasonable, given the evidence, and need not be </w:t>
      </w:r>
      <w:r w:rsidR="00C0554E">
        <w:t>disturbed</w:t>
      </w:r>
      <w:r w:rsidR="00260112">
        <w:t>.</w:t>
      </w:r>
      <w:r w:rsidR="00644817">
        <w:t xml:space="preserve"> </w:t>
      </w:r>
      <w:r w:rsidR="00300AFA">
        <w:t xml:space="preserve">While Staff does not believe that reconsideration or a rehearing is warranted, we do agree </w:t>
      </w:r>
      <w:r w:rsidR="00306772">
        <w:t xml:space="preserve">that the decision could be clarified in </w:t>
      </w:r>
      <w:r w:rsidR="00B81144">
        <w:t>one specific</w:t>
      </w:r>
      <w:r w:rsidR="001C73F9">
        <w:t xml:space="preserve"> </w:t>
      </w:r>
      <w:r w:rsidR="00306772">
        <w:t>area</w:t>
      </w:r>
      <w:r w:rsidR="00300AFA">
        <w:t>. We will address the Company’s petition issue by issue.</w:t>
      </w:r>
    </w:p>
    <w:p w14:paraId="2FD72FFC" w14:textId="77777777" w:rsidR="00607C00" w:rsidRPr="00607C00" w:rsidRDefault="00607C00" w:rsidP="00607C00">
      <w:pPr>
        <w:spacing w:line="480" w:lineRule="auto"/>
        <w:jc w:val="center"/>
        <w:rPr>
          <w:b/>
        </w:rPr>
      </w:pPr>
      <w:r w:rsidRPr="00607C00">
        <w:rPr>
          <w:b/>
        </w:rPr>
        <w:t>II.</w:t>
      </w:r>
      <w:r w:rsidRPr="00607C00">
        <w:rPr>
          <w:b/>
        </w:rPr>
        <w:tab/>
        <w:t>BACKGROUND</w:t>
      </w:r>
    </w:p>
    <w:p w14:paraId="0F6E7199" w14:textId="77777777" w:rsidR="00607C00" w:rsidRDefault="00607C00" w:rsidP="00607C00">
      <w:pPr>
        <w:pStyle w:val="ListParagraph"/>
        <w:numPr>
          <w:ilvl w:val="0"/>
          <w:numId w:val="27"/>
        </w:numPr>
        <w:spacing w:line="480" w:lineRule="auto"/>
        <w:ind w:left="0" w:hanging="720"/>
      </w:pPr>
      <w:r>
        <w:tab/>
      </w:r>
      <w:r w:rsidR="009D315D">
        <w:t xml:space="preserve">In Order 06, the Commission </w:t>
      </w:r>
      <w:r w:rsidR="00EF1F34">
        <w:t>reiterated the attrition standard it announced in the last Avista general rate case, quoting</w:t>
      </w:r>
      <w:r w:rsidR="00137817">
        <w:t xml:space="preserve">, </w:t>
      </w:r>
      <w:r w:rsidR="00EF1F34">
        <w:t xml:space="preserve">“we do require that utilities requesting an attrition adjustment demonstrate that the cause of the mismatch between revenues, rate base and expenses is not </w:t>
      </w:r>
      <w:r w:rsidR="00EF1F34">
        <w:lastRenderedPageBreak/>
        <w:t>within the utility’s control.”</w:t>
      </w:r>
      <w:r w:rsidR="00EF1F34">
        <w:rPr>
          <w:rStyle w:val="FootnoteReference"/>
        </w:rPr>
        <w:footnoteReference w:id="2"/>
      </w:r>
      <w:r w:rsidR="00137817">
        <w:t xml:space="preserve"> Simply put, the Commission found that Avista had not presented evidence sufficient to meet this standard. </w:t>
      </w:r>
      <w:r w:rsidR="00EF1F34">
        <w:t xml:space="preserve">The Commission </w:t>
      </w:r>
      <w:r w:rsidR="009D315D">
        <w:t xml:space="preserve">identified three primary problems with Avista’s case, which led the Commission to </w:t>
      </w:r>
      <w:r w:rsidR="00137817">
        <w:t>determine</w:t>
      </w:r>
      <w:r w:rsidR="009D315D">
        <w:t xml:space="preserve"> that Avista had not demonstrated that </w:t>
      </w:r>
      <w:r w:rsidR="00EF1F34">
        <w:t xml:space="preserve">it </w:t>
      </w:r>
      <w:r w:rsidR="00137817">
        <w:t>needs</w:t>
      </w:r>
      <w:r w:rsidR="00EF1F34">
        <w:t xml:space="preserve"> an attrition adjustment</w:t>
      </w:r>
      <w:r w:rsidR="009D315D">
        <w:t xml:space="preserve">. First, </w:t>
      </w:r>
      <w:r w:rsidR="00E535F3">
        <w:t xml:space="preserve">the Commission found that, because Avista had not prepared results based </w:t>
      </w:r>
      <w:r w:rsidR="00344F06">
        <w:t xml:space="preserve">on traditional </w:t>
      </w:r>
      <w:r w:rsidR="00E535F3">
        <w:t xml:space="preserve">modified historical test year </w:t>
      </w:r>
      <w:r w:rsidR="00344F06">
        <w:t>analysis, Avista could not demonstrate that the modified test year relationships would fail to hold during the rate year.</w:t>
      </w:r>
      <w:r w:rsidR="00344F06">
        <w:rPr>
          <w:rStyle w:val="FootnoteReference"/>
        </w:rPr>
        <w:footnoteReference w:id="3"/>
      </w:r>
      <w:r w:rsidR="00344F06">
        <w:t xml:space="preserve"> </w:t>
      </w:r>
      <w:r w:rsidR="00EF1F34">
        <w:t>In other words, Avista could not show that there was a mismatch because it did not provide credible evidence of its pro forma results.</w:t>
      </w:r>
    </w:p>
    <w:p w14:paraId="4AF4306C" w14:textId="77777777" w:rsidR="00607C00" w:rsidRDefault="00607C00" w:rsidP="00607C00">
      <w:pPr>
        <w:pStyle w:val="ListParagraph"/>
        <w:numPr>
          <w:ilvl w:val="0"/>
          <w:numId w:val="27"/>
        </w:numPr>
        <w:spacing w:line="480" w:lineRule="auto"/>
        <w:ind w:left="0" w:hanging="720"/>
      </w:pPr>
      <w:r>
        <w:tab/>
      </w:r>
      <w:r w:rsidR="00EF1F34">
        <w:t xml:space="preserve">Second, the Commission found that Avista had also failed to carry its burden to show the existence of attrition because Avista is not experiencing underearning. Rather, the evidence </w:t>
      </w:r>
      <w:r w:rsidR="00612E9C">
        <w:t>convinced the Commission</w:t>
      </w:r>
      <w:r w:rsidR="00EF1F34">
        <w:t xml:space="preserve"> that Avista was earning “at</w:t>
      </w:r>
      <w:r w:rsidR="00137817">
        <w:t>,</w:t>
      </w:r>
      <w:r w:rsidR="00EF1F34">
        <w:t xml:space="preserve"> near, or even in excess of, its authorized return.”</w:t>
      </w:r>
      <w:r w:rsidR="00EF1F34">
        <w:rPr>
          <w:rStyle w:val="FootnoteReference"/>
        </w:rPr>
        <w:footnoteReference w:id="4"/>
      </w:r>
    </w:p>
    <w:p w14:paraId="39028322" w14:textId="28299997" w:rsidR="00607C00" w:rsidRDefault="00607C00" w:rsidP="00607C00">
      <w:pPr>
        <w:pStyle w:val="ListParagraph"/>
        <w:numPr>
          <w:ilvl w:val="0"/>
          <w:numId w:val="27"/>
        </w:numPr>
        <w:spacing w:line="480" w:lineRule="auto"/>
        <w:ind w:left="0" w:hanging="720"/>
      </w:pPr>
      <w:r>
        <w:tab/>
      </w:r>
      <w:r w:rsidR="00EF1F34">
        <w:t>Finally, the Commission was not persuaded that Avista’s increasing rate of capital investment and increasing expenses are beyond Avista’s control.</w:t>
      </w:r>
      <w:r w:rsidR="00EF1F34">
        <w:rPr>
          <w:rStyle w:val="FootnoteReference"/>
        </w:rPr>
        <w:footnoteReference w:id="5"/>
      </w:r>
      <w:r w:rsidR="00E51FA7">
        <w:t xml:space="preserve"> The Commission noted that Avista had cited in its brief only to Staff’s testimony that “‘the growth rates in [Avista’s] expenses and capital investments are largely the result o</w:t>
      </w:r>
      <w:r w:rsidR="00360695">
        <w:t>f</w:t>
      </w:r>
      <w:r w:rsidR="00E51FA7">
        <w:t xml:space="preserve"> factors that </w:t>
      </w:r>
      <w:r w:rsidR="00E51FA7" w:rsidRPr="00607C00">
        <w:rPr>
          <w:i/>
        </w:rPr>
        <w:t>appear</w:t>
      </w:r>
      <w:r w:rsidR="00E51FA7">
        <w:t xml:space="preserve"> to be outside of the control of the utility.</w:t>
      </w:r>
      <w:r w:rsidR="00360695">
        <w:t>’</w:t>
      </w:r>
      <w:r w:rsidR="00E51FA7">
        <w:t>”</w:t>
      </w:r>
      <w:r w:rsidR="00E51FA7">
        <w:rPr>
          <w:rStyle w:val="FootnoteReference"/>
        </w:rPr>
        <w:footnoteReference w:id="6"/>
      </w:r>
      <w:r w:rsidR="00E51FA7">
        <w:t xml:space="preserve"> </w:t>
      </w:r>
      <w:r w:rsidR="00C47A5C">
        <w:t xml:space="preserve">Staff stands by the objectivity of its analysis and its statistical representations of a reasonably likely future. That said, Staff recognizes that statistical representations of the future do not supersede the requirement that companies requesting a rate </w:t>
      </w:r>
      <w:r w:rsidR="00C47A5C">
        <w:lastRenderedPageBreak/>
        <w:t xml:space="preserve">increase justify costs. Staff accepts that </w:t>
      </w:r>
      <w:r w:rsidR="0014479E">
        <w:t>its</w:t>
      </w:r>
      <w:r w:rsidR="00BD7C4F">
        <w:t xml:space="preserve"> analysis of statistical information</w:t>
      </w:r>
      <w:r w:rsidR="0014479E">
        <w:t xml:space="preserve"> did not satisfy the Commission</w:t>
      </w:r>
      <w:r w:rsidR="00BD7C4F">
        <w:t xml:space="preserve"> </w:t>
      </w:r>
      <w:r w:rsidR="0014479E">
        <w:t>on the issue of Avista’s degree of control over the procurement of new plant.</w:t>
      </w:r>
      <w:r w:rsidR="00C47A5C">
        <w:t xml:space="preserve"> </w:t>
      </w:r>
    </w:p>
    <w:p w14:paraId="7D73324C" w14:textId="7638E61C" w:rsidR="00607C00" w:rsidRPr="00306772" w:rsidRDefault="00607C00" w:rsidP="00DF5EB8">
      <w:pPr>
        <w:pStyle w:val="ListParagraph"/>
        <w:spacing w:line="480" w:lineRule="auto"/>
        <w:ind w:left="0"/>
        <w:jc w:val="center"/>
        <w:rPr>
          <w:b/>
        </w:rPr>
      </w:pPr>
      <w:r w:rsidRPr="00306772">
        <w:rPr>
          <w:b/>
        </w:rPr>
        <w:t>III.</w:t>
      </w:r>
      <w:r w:rsidRPr="00306772">
        <w:rPr>
          <w:b/>
        </w:rPr>
        <w:tab/>
        <w:t>RESPONSE TO GROUNDS FOR RECONSIDERATION</w:t>
      </w:r>
    </w:p>
    <w:p w14:paraId="30B12DC1" w14:textId="77777777" w:rsidR="00607C00" w:rsidRDefault="00607C00" w:rsidP="00607C00">
      <w:pPr>
        <w:pStyle w:val="ListParagraph"/>
        <w:numPr>
          <w:ilvl w:val="0"/>
          <w:numId w:val="27"/>
        </w:numPr>
        <w:spacing w:line="480" w:lineRule="auto"/>
        <w:ind w:left="0" w:hanging="720"/>
      </w:pPr>
      <w:r>
        <w:tab/>
      </w:r>
      <w:r w:rsidR="003151EA">
        <w:t>What follows is Staff’s response to specific issues identified in Avista’s petition.</w:t>
      </w:r>
    </w:p>
    <w:p w14:paraId="4C854901" w14:textId="2A5FF6BF" w:rsidR="00607C00" w:rsidRPr="00607C00" w:rsidRDefault="00607C00" w:rsidP="00F374A7">
      <w:pPr>
        <w:pStyle w:val="ListParagraph"/>
        <w:spacing w:after="240"/>
        <w:ind w:left="1440" w:hanging="1440"/>
        <w:contextualSpacing w:val="0"/>
        <w:rPr>
          <w:b/>
        </w:rPr>
      </w:pPr>
      <w:r w:rsidRPr="00607C00">
        <w:rPr>
          <w:b/>
          <w:u w:val="single"/>
        </w:rPr>
        <w:t>Issue No. 1</w:t>
      </w:r>
      <w:r w:rsidR="00F374A7">
        <w:rPr>
          <w:b/>
        </w:rPr>
        <w:t>:</w:t>
      </w:r>
      <w:r w:rsidR="00F374A7">
        <w:rPr>
          <w:b/>
        </w:rPr>
        <w:tab/>
      </w:r>
      <w:r w:rsidRPr="00607C00">
        <w:rPr>
          <w:b/>
        </w:rPr>
        <w:t>Existing Rates Are Insufficient to Provide the Company With a Reasonable Opportunity to Earn Its Authorized Return</w:t>
      </w:r>
    </w:p>
    <w:p w14:paraId="2AC35F18" w14:textId="77777777" w:rsidR="00607C00" w:rsidRDefault="00607C00" w:rsidP="0014479E">
      <w:pPr>
        <w:pStyle w:val="ListParagraph"/>
        <w:numPr>
          <w:ilvl w:val="0"/>
          <w:numId w:val="27"/>
        </w:numPr>
        <w:spacing w:line="480" w:lineRule="auto"/>
        <w:ind w:left="0" w:hanging="720"/>
      </w:pPr>
      <w:r>
        <w:tab/>
      </w:r>
      <w:r w:rsidR="009C2960" w:rsidRPr="00DA6232">
        <w:t>The Company argues that the Commission did not fully examine the evidence for attrition, and as a result has not set rates that are fair, just</w:t>
      </w:r>
      <w:r w:rsidR="001C62E0">
        <w:t>,</w:t>
      </w:r>
      <w:r w:rsidR="009C2960" w:rsidRPr="00DA6232">
        <w:t xml:space="preserve"> reasonable</w:t>
      </w:r>
      <w:r w:rsidR="001C62E0">
        <w:t xml:space="preserve"> and sufficient</w:t>
      </w:r>
      <w:r>
        <w:t xml:space="preserve">. </w:t>
      </w:r>
      <w:r w:rsidR="00403244">
        <w:t xml:space="preserve">Avista essentially is arguing here that the </w:t>
      </w:r>
      <w:r w:rsidR="008026F0">
        <w:t>C</w:t>
      </w:r>
      <w:r w:rsidR="00403244">
        <w:t>ommission’s decision in Order 06 of Dockets UE-160228 and UG-160229 is inconsistent with its decision in Order 05 of Dockets UE-150204 and UG-150205. Staff d</w:t>
      </w:r>
      <w:r>
        <w:t>isagrees with Avista’s argument.</w:t>
      </w:r>
    </w:p>
    <w:p w14:paraId="7A18CF01" w14:textId="532CC81F" w:rsidR="00607C00" w:rsidRDefault="00607C00" w:rsidP="00403244">
      <w:pPr>
        <w:pStyle w:val="ListParagraph"/>
        <w:numPr>
          <w:ilvl w:val="0"/>
          <w:numId w:val="27"/>
        </w:numPr>
        <w:spacing w:line="480" w:lineRule="auto"/>
        <w:ind w:left="0" w:hanging="720"/>
      </w:pPr>
      <w:r>
        <w:tab/>
      </w:r>
      <w:r w:rsidR="00403244">
        <w:t>First, Avista repeatedly cites to the “new normal” when describing the circumstances underlying diverging rates of growth in revenues and expenses.</w:t>
      </w:r>
      <w:r w:rsidR="00751C19">
        <w:t xml:space="preserve"> Avista </w:t>
      </w:r>
      <w:r w:rsidR="00403244">
        <w:t xml:space="preserve">cites to language in the previous </w:t>
      </w:r>
      <w:r w:rsidR="00DF5633">
        <w:t>C</w:t>
      </w:r>
      <w:r w:rsidR="00403244">
        <w:t>ommission order that refers to “an environment of low load growth” as representing the “new normal,”</w:t>
      </w:r>
      <w:r w:rsidR="00D241AA">
        <w:rPr>
          <w:rStyle w:val="FootnoteReference"/>
        </w:rPr>
        <w:footnoteReference w:id="7"/>
      </w:r>
      <w:r w:rsidR="00403244">
        <w:t xml:space="preserve"> but confuses “circumstances” to include </w:t>
      </w:r>
      <w:r w:rsidR="00403244" w:rsidRPr="00607C00">
        <w:rPr>
          <w:u w:val="single"/>
        </w:rPr>
        <w:t>increased capital investments</w:t>
      </w:r>
      <w:r w:rsidR="00403244">
        <w:t xml:space="preserve">. Increased capital investments is not a circumstance. Staff does not interpret Order 06 of the present docket to mean that the </w:t>
      </w:r>
      <w:r w:rsidR="008026F0">
        <w:t>C</w:t>
      </w:r>
      <w:r w:rsidR="00403244">
        <w:t xml:space="preserve">ommission now denies that low load growth persists. Those circumstances are indeed the “new normal,” at least for now. Rather, the </w:t>
      </w:r>
      <w:r w:rsidR="008026F0">
        <w:t>C</w:t>
      </w:r>
      <w:r w:rsidR="00403244">
        <w:t xml:space="preserve">ommission’s determination in Order 06 rests on the finding that the projected increase in capital investments </w:t>
      </w:r>
      <w:r w:rsidR="00612E9C">
        <w:t>has</w:t>
      </w:r>
      <w:r w:rsidR="00403244">
        <w:t xml:space="preserve"> not been s</w:t>
      </w:r>
      <w:r w:rsidR="00CC75C1">
        <w:t>hown to be necessary</w:t>
      </w:r>
      <w:r w:rsidR="00403244">
        <w:t xml:space="preserve"> nor have the conditions underlying that increase been shown to be out of the </w:t>
      </w:r>
      <w:r w:rsidR="008026F0">
        <w:t>C</w:t>
      </w:r>
      <w:r w:rsidR="00403244">
        <w:t>ompany’s control.</w:t>
      </w:r>
    </w:p>
    <w:p w14:paraId="10B9C5CB" w14:textId="0811EF97" w:rsidR="00607C00" w:rsidRDefault="00607C00" w:rsidP="00F15C87">
      <w:pPr>
        <w:pStyle w:val="ListParagraph"/>
        <w:numPr>
          <w:ilvl w:val="0"/>
          <w:numId w:val="27"/>
        </w:numPr>
        <w:spacing w:line="480" w:lineRule="auto"/>
        <w:ind w:left="0" w:hanging="720"/>
      </w:pPr>
      <w:r>
        <w:tab/>
      </w:r>
      <w:r w:rsidR="00403244">
        <w:t xml:space="preserve">Further, in Order 05 of Dockets UE-150204 and UG-150205, the </w:t>
      </w:r>
      <w:r w:rsidR="00411347">
        <w:t>C</w:t>
      </w:r>
      <w:r w:rsidR="00403244">
        <w:t xml:space="preserve">ommission commented specifically on Avista’s failure to demonstrate that </w:t>
      </w:r>
      <w:r w:rsidR="008821CA">
        <w:t xml:space="preserve">the </w:t>
      </w:r>
      <w:r w:rsidR="00403244">
        <w:t xml:space="preserve">continued high level of </w:t>
      </w:r>
      <w:r w:rsidR="00403244">
        <w:lastRenderedPageBreak/>
        <w:t xml:space="preserve">capital investments was outside of the </w:t>
      </w:r>
      <w:r w:rsidR="006B18B8">
        <w:t>C</w:t>
      </w:r>
      <w:r w:rsidR="00403244">
        <w:t>ompany’s control</w:t>
      </w:r>
      <w:r w:rsidR="00BE330B">
        <w:t xml:space="preserve">: </w:t>
      </w:r>
      <w:r w:rsidR="008821CA">
        <w:t>“</w:t>
      </w:r>
      <w:r w:rsidR="00CC75C1">
        <w:t>[T]</w:t>
      </w:r>
      <w:r w:rsidR="00BE330B">
        <w:t>here is some, but not complete, evidence to demonstrate that the circumstances driving attrition are outside of the Company’s control</w:t>
      </w:r>
      <w:r w:rsidR="008821CA">
        <w:t>.</w:t>
      </w:r>
      <w:r w:rsidR="00BE330B">
        <w:t>…”</w:t>
      </w:r>
      <w:r w:rsidR="00BE330B">
        <w:rPr>
          <w:rStyle w:val="FootnoteReference"/>
        </w:rPr>
        <w:footnoteReference w:id="8"/>
      </w:r>
      <w:r w:rsidR="006B18B8">
        <w:t xml:space="preserve"> In the specific case of electric distribution investments, the Commission </w:t>
      </w:r>
      <w:r w:rsidR="008573BA">
        <w:t>stated</w:t>
      </w:r>
      <w:r w:rsidR="006B18B8">
        <w:t xml:space="preserve"> that “the Company has not met its burden to show that its proposed investments are based in circumstances beyond its control.</w:t>
      </w:r>
      <w:r w:rsidR="006B18B8">
        <w:rPr>
          <w:rStyle w:val="FootnoteReference"/>
        </w:rPr>
        <w:footnoteReference w:id="9"/>
      </w:r>
      <w:r w:rsidR="006B18B8">
        <w:t>”</w:t>
      </w:r>
    </w:p>
    <w:p w14:paraId="3234C6A3" w14:textId="028D1E05" w:rsidR="00607C00" w:rsidRDefault="00607C00" w:rsidP="00607C00">
      <w:pPr>
        <w:pStyle w:val="ListParagraph"/>
        <w:numPr>
          <w:ilvl w:val="0"/>
          <w:numId w:val="27"/>
        </w:numPr>
        <w:spacing w:line="480" w:lineRule="auto"/>
        <w:ind w:left="0" w:hanging="720"/>
      </w:pPr>
      <w:r>
        <w:tab/>
      </w:r>
      <w:r w:rsidR="008821CA">
        <w:t xml:space="preserve">While </w:t>
      </w:r>
      <w:r w:rsidR="00B1748C">
        <w:t xml:space="preserve">the Commission ultimately </w:t>
      </w:r>
      <w:r w:rsidR="008821CA">
        <w:t>authorized an attrition allowance in the last case, it also announced a</w:t>
      </w:r>
      <w:r w:rsidR="008573BA">
        <w:t xml:space="preserve"> standard for showing attrition.</w:t>
      </w:r>
      <w:r w:rsidR="008821CA">
        <w:t xml:space="preserve"> </w:t>
      </w:r>
      <w:r w:rsidR="00C5459E">
        <w:t xml:space="preserve">The Commission made it clear that in future cases Avista would need to present stronger evidence that capital investments and cost increases are beyond the Company’s control. </w:t>
      </w:r>
      <w:r w:rsidR="00503E70">
        <w:t>Therefore, t</w:t>
      </w:r>
      <w:r w:rsidR="00503E70" w:rsidRPr="00DA6232">
        <w:t>he Company</w:t>
      </w:r>
      <w:r w:rsidR="00503E70">
        <w:t>’s</w:t>
      </w:r>
      <w:r w:rsidR="00503E70" w:rsidRPr="00DA6232">
        <w:t xml:space="preserve"> claim</w:t>
      </w:r>
      <w:r w:rsidR="00503E70">
        <w:t xml:space="preserve"> that</w:t>
      </w:r>
      <w:r w:rsidR="00503E70" w:rsidRPr="00DA6232">
        <w:t xml:space="preserve"> the Commission “applied the same standards to the same type of evidence in both cases”</w:t>
      </w:r>
      <w:r w:rsidR="00503E70">
        <w:rPr>
          <w:rStyle w:val="FootnoteReference"/>
        </w:rPr>
        <w:footnoteReference w:id="10"/>
      </w:r>
      <w:r w:rsidR="007A0CFB">
        <w:t xml:space="preserve"> i</w:t>
      </w:r>
      <w:r w:rsidR="00503E70">
        <w:t>s incorrect.</w:t>
      </w:r>
      <w:r w:rsidR="009B6005">
        <w:t xml:space="preserve"> </w:t>
      </w:r>
      <w:r w:rsidR="00503E70">
        <w:t>T</w:t>
      </w:r>
      <w:r w:rsidR="00403244">
        <w:t xml:space="preserve">he </w:t>
      </w:r>
      <w:r w:rsidR="00411347">
        <w:t>C</w:t>
      </w:r>
      <w:r w:rsidR="00403244">
        <w:t xml:space="preserve">ommission’s </w:t>
      </w:r>
      <w:r w:rsidR="008821CA">
        <w:t>decision</w:t>
      </w:r>
      <w:r w:rsidR="00403244">
        <w:t xml:space="preserve"> to provide an attrition allowance in the last case should not </w:t>
      </w:r>
      <w:r w:rsidR="00503E70">
        <w:t xml:space="preserve">have </w:t>
      </w:r>
      <w:r w:rsidR="00403244">
        <w:t>be</w:t>
      </w:r>
      <w:r w:rsidR="00503E70">
        <w:t>en</w:t>
      </w:r>
      <w:r w:rsidR="00403244">
        <w:t xml:space="preserve"> understood to mean that the </w:t>
      </w:r>
      <w:r w:rsidR="00411347">
        <w:t>C</w:t>
      </w:r>
      <w:r w:rsidR="00403244">
        <w:t xml:space="preserve">ommission will continue to provide an attrition allowance </w:t>
      </w:r>
      <w:r w:rsidR="008821CA">
        <w:t xml:space="preserve">if Avista </w:t>
      </w:r>
      <w:r w:rsidR="00503E70">
        <w:t>fails to</w:t>
      </w:r>
      <w:r w:rsidR="008821CA">
        <w:t xml:space="preserve"> provide sufficient evidence to meet the Commission’s standard</w:t>
      </w:r>
      <w:r w:rsidR="006B2A4D">
        <w:t xml:space="preserve">. </w:t>
      </w:r>
      <w:r w:rsidR="009C2960" w:rsidRPr="00DA6232">
        <w:t>In the Commission’s judgment, that standard was not met</w:t>
      </w:r>
      <w:r w:rsidR="008861BA">
        <w:t xml:space="preserve"> in the present case</w:t>
      </w:r>
      <w:r w:rsidR="009C2960" w:rsidRPr="00DA6232">
        <w:t>.</w:t>
      </w:r>
      <w:r w:rsidR="009B6005">
        <w:rPr>
          <w:rStyle w:val="FootnoteReference"/>
        </w:rPr>
        <w:footnoteReference w:id="11"/>
      </w:r>
      <w:r w:rsidR="009C2960" w:rsidRPr="00DA6232">
        <w:t xml:space="preserve"> </w:t>
      </w:r>
    </w:p>
    <w:p w14:paraId="575EE00F" w14:textId="4D53372E" w:rsidR="00607C00" w:rsidRPr="00607C00" w:rsidRDefault="00607C00" w:rsidP="00F374A7">
      <w:pPr>
        <w:pStyle w:val="ListParagraph"/>
        <w:spacing w:after="240"/>
        <w:ind w:left="1440" w:hanging="1440"/>
        <w:contextualSpacing w:val="0"/>
        <w:rPr>
          <w:b/>
        </w:rPr>
      </w:pPr>
      <w:r w:rsidRPr="00F374A7">
        <w:rPr>
          <w:b/>
          <w:u w:val="single"/>
        </w:rPr>
        <w:t>Issue No. 2:</w:t>
      </w:r>
      <w:r w:rsidRPr="00607C00">
        <w:rPr>
          <w:b/>
        </w:rPr>
        <w:t xml:space="preserve"> </w:t>
      </w:r>
      <w:r w:rsidR="00F374A7">
        <w:rPr>
          <w:b/>
        </w:rPr>
        <w:tab/>
      </w:r>
      <w:r w:rsidRPr="00607C00">
        <w:rPr>
          <w:b/>
        </w:rPr>
        <w:t>Use of the Modified Historical Test Year</w:t>
      </w:r>
    </w:p>
    <w:p w14:paraId="714746F8" w14:textId="533FF154" w:rsidR="00607C00" w:rsidRDefault="00607C00" w:rsidP="00306772">
      <w:pPr>
        <w:pStyle w:val="ListParagraph"/>
        <w:numPr>
          <w:ilvl w:val="0"/>
          <w:numId w:val="27"/>
        </w:numPr>
        <w:spacing w:line="480" w:lineRule="auto"/>
        <w:ind w:left="0" w:hanging="720"/>
      </w:pPr>
      <w:r>
        <w:tab/>
      </w:r>
      <w:r w:rsidR="002A2441">
        <w:t xml:space="preserve">Avista </w:t>
      </w:r>
      <w:r w:rsidR="009C2960">
        <w:t xml:space="preserve">argues that, contrary to </w:t>
      </w:r>
      <w:r w:rsidR="002A2441">
        <w:t>Order 06,</w:t>
      </w:r>
      <w:r w:rsidR="009C2960">
        <w:t xml:space="preserve"> the Company presented a pro forma study in accordance with Order 05. As a result, the Company believes it has met the requirement that a pro forma study is presented as part of any attrition study. </w:t>
      </w:r>
      <w:r w:rsidR="002A2441">
        <w:t>Avista</w:t>
      </w:r>
      <w:r w:rsidR="009C2960">
        <w:t xml:space="preserve"> seeks to have the Commission acknowledge that the Company provided an appropriate pro forma study.</w:t>
      </w:r>
      <w:r w:rsidR="00306772">
        <w:t xml:space="preserve"> </w:t>
      </w:r>
      <w:r w:rsidR="009C2960">
        <w:t xml:space="preserve">Staff </w:t>
      </w:r>
      <w:r w:rsidR="002A2441">
        <w:t>believes that the</w:t>
      </w:r>
      <w:r w:rsidR="009C2960">
        <w:t xml:space="preserve"> Company’s </w:t>
      </w:r>
      <w:r w:rsidR="002A2441">
        <w:t xml:space="preserve">argument </w:t>
      </w:r>
      <w:r w:rsidR="009C2960">
        <w:t>on this issue</w:t>
      </w:r>
      <w:r w:rsidR="002A2441">
        <w:t xml:space="preserve"> has merit</w:t>
      </w:r>
      <w:r w:rsidR="00306772">
        <w:t xml:space="preserve"> and that further guidance from the Commission could be helpful</w:t>
      </w:r>
      <w:r w:rsidR="009C2960">
        <w:t>.</w:t>
      </w:r>
    </w:p>
    <w:p w14:paraId="05F8D1EE" w14:textId="03097F0C" w:rsidR="00607C00" w:rsidRDefault="00607C00" w:rsidP="00607C00">
      <w:pPr>
        <w:pStyle w:val="ListParagraph"/>
        <w:numPr>
          <w:ilvl w:val="0"/>
          <w:numId w:val="27"/>
        </w:numPr>
        <w:spacing w:line="480" w:lineRule="auto"/>
        <w:ind w:left="0" w:hanging="720"/>
      </w:pPr>
      <w:r>
        <w:lastRenderedPageBreak/>
        <w:tab/>
      </w:r>
      <w:r w:rsidR="002A2441">
        <w:t>Avista’s dispute with Order 06 seems to center on</w:t>
      </w:r>
      <w:r w:rsidR="009C2960">
        <w:t xml:space="preserve"> whether </w:t>
      </w:r>
      <w:r w:rsidR="00306772">
        <w:t xml:space="preserve">Exhibit Nos. </w:t>
      </w:r>
      <w:r w:rsidR="009C2960">
        <w:t>JSS-2 and JSS-3 contain modified historical test year studies with limited pro forma adjustments. The documents themselves are titled “WASHINGTON ELECTRIC RESULTS – PRO FORMA AND CROSS CHECK STUDIES” and “WASHINGTON NATURAL GAS – PRO FORMA AND CROSS CHECK STUDIES,</w:t>
      </w:r>
      <w:r w:rsidR="001D1216">
        <w:t>”</w:t>
      </w:r>
      <w:r w:rsidR="009C2960">
        <w:t xml:space="preserve"> respectively.</w:t>
      </w:r>
      <w:r w:rsidR="002A2441">
        <w:t xml:space="preserve"> </w:t>
      </w:r>
      <w:r w:rsidR="001D1216">
        <w:t xml:space="preserve">While the documents do contain both the pro forma and cross check studies, </w:t>
      </w:r>
      <w:r w:rsidR="00925615">
        <w:t>consistent with the document titles</w:t>
      </w:r>
      <w:r w:rsidR="001D1216">
        <w:t xml:space="preserve">, they are confusing and </w:t>
      </w:r>
      <w:r w:rsidR="00C621CB">
        <w:t xml:space="preserve">arguably </w:t>
      </w:r>
      <w:r w:rsidR="001D1216">
        <w:t xml:space="preserve">represent something other than mere </w:t>
      </w:r>
      <w:r w:rsidR="002A2441">
        <w:t xml:space="preserve">results with limited </w:t>
      </w:r>
      <w:r w:rsidR="001D1216">
        <w:t>pro forma adjustments.</w:t>
      </w:r>
    </w:p>
    <w:p w14:paraId="54862165" w14:textId="1A153A09" w:rsidR="00607C00" w:rsidRDefault="00607C00" w:rsidP="00607C00">
      <w:pPr>
        <w:pStyle w:val="ListParagraph"/>
        <w:numPr>
          <w:ilvl w:val="0"/>
          <w:numId w:val="27"/>
        </w:numPr>
        <w:spacing w:line="480" w:lineRule="auto"/>
        <w:ind w:left="0" w:hanging="720"/>
      </w:pPr>
      <w:r>
        <w:tab/>
      </w:r>
      <w:r w:rsidR="001D1216">
        <w:t>T</w:t>
      </w:r>
      <w:r w:rsidR="009C2960">
        <w:t xml:space="preserve">he Company </w:t>
      </w:r>
      <w:r w:rsidR="001D1216">
        <w:t>did make</w:t>
      </w:r>
      <w:r w:rsidR="009C2960">
        <w:t xml:space="preserve"> some efforts at demarking where the modified historical test year with limited pro forma adjustments ends, and where the cross-check elements begin. For example, in Exhibit</w:t>
      </w:r>
      <w:r w:rsidR="006F1CE0">
        <w:t xml:space="preserve"> No.</w:t>
      </w:r>
      <w:r w:rsidR="009C2960">
        <w:t xml:space="preserve"> JSS-2, p</w:t>
      </w:r>
      <w:r w:rsidR="001D1216">
        <w:t>a</w:t>
      </w:r>
      <w:r w:rsidR="009C2960">
        <w:t>g</w:t>
      </w:r>
      <w:r w:rsidR="001D1216">
        <w:t>e</w:t>
      </w:r>
      <w:r w:rsidR="005E78BF">
        <w:t xml:space="preserve"> 10, the sub</w:t>
      </w:r>
      <w:r w:rsidR="009C2960">
        <w:t xml:space="preserve">total for the pro forma study portion of the exhibit is presented, and on </w:t>
      </w:r>
      <w:r w:rsidR="005E78BF">
        <w:t xml:space="preserve">Exhibit No. </w:t>
      </w:r>
      <w:r w:rsidR="009C2960">
        <w:t>JSS-1T, p</w:t>
      </w:r>
      <w:r w:rsidR="001D1216">
        <w:t>a</w:t>
      </w:r>
      <w:r w:rsidR="009C2960">
        <w:t>g</w:t>
      </w:r>
      <w:r w:rsidR="001D1216">
        <w:t>e</w:t>
      </w:r>
      <w:r w:rsidR="009C2960">
        <w:t xml:space="preserve">s 5-6, Ms. Smith explains the pro forma portion of her exhibit. </w:t>
      </w:r>
      <w:r w:rsidR="001D1216">
        <w:t xml:space="preserve">Overall, however, </w:t>
      </w:r>
      <w:r w:rsidR="009C2960">
        <w:t xml:space="preserve">Staff believes that the Company’s presentation here is needlessly confusing. For example, on </w:t>
      </w:r>
      <w:r w:rsidR="00306772">
        <w:t>page 3 of Exhibit No. JSS-2</w:t>
      </w:r>
      <w:r w:rsidR="009C2960">
        <w:t>, the Company’s pro forma results are presented almost as if an afterthought. Confusingly, Line 1 refers to “Pro Forma Rate Base” and Line 12 refers to “Pro Forma Study Rate Base</w:t>
      </w:r>
      <w:r w:rsidR="001D1216">
        <w:t>.</w:t>
      </w:r>
      <w:r w:rsidR="009C2960">
        <w:t>”</w:t>
      </w:r>
      <w:r w:rsidR="009D239A">
        <w:t xml:space="preserve"> The lack of clarity in the presentation </w:t>
      </w:r>
      <w:r w:rsidR="00D10089">
        <w:t>may explain</w:t>
      </w:r>
      <w:r w:rsidR="009D239A">
        <w:t xml:space="preserve"> the Commission’s finding that Avista </w:t>
      </w:r>
      <w:r w:rsidR="00076D13">
        <w:t>did not provide</w:t>
      </w:r>
      <w:r w:rsidR="009D239A">
        <w:t xml:space="preserve"> an adequate modified historical test year pro forma study.</w:t>
      </w:r>
    </w:p>
    <w:p w14:paraId="3287DD33" w14:textId="58F58E48" w:rsidR="00607C00" w:rsidRPr="00607C00" w:rsidRDefault="00607C00" w:rsidP="00F374A7">
      <w:pPr>
        <w:pStyle w:val="ListParagraph"/>
        <w:spacing w:after="240"/>
        <w:ind w:left="1440" w:hanging="1440"/>
        <w:contextualSpacing w:val="0"/>
        <w:rPr>
          <w:b/>
        </w:rPr>
      </w:pPr>
      <w:r w:rsidRPr="00F374A7">
        <w:rPr>
          <w:b/>
          <w:u w:val="single"/>
        </w:rPr>
        <w:t>Issue No</w:t>
      </w:r>
      <w:r w:rsidR="00B84A50" w:rsidRPr="00F374A7">
        <w:rPr>
          <w:b/>
          <w:u w:val="single"/>
        </w:rPr>
        <w:t>.</w:t>
      </w:r>
      <w:r w:rsidRPr="00F374A7">
        <w:rPr>
          <w:b/>
          <w:u w:val="single"/>
        </w:rPr>
        <w:t xml:space="preserve"> 3:</w:t>
      </w:r>
      <w:r w:rsidRPr="00607C00">
        <w:rPr>
          <w:b/>
        </w:rPr>
        <w:t xml:space="preserve"> </w:t>
      </w:r>
      <w:r w:rsidR="00F374A7">
        <w:rPr>
          <w:b/>
        </w:rPr>
        <w:tab/>
      </w:r>
      <w:r w:rsidRPr="00607C00">
        <w:rPr>
          <w:b/>
        </w:rPr>
        <w:t>The Recent Earnings of Avista</w:t>
      </w:r>
    </w:p>
    <w:p w14:paraId="5F4AAC94" w14:textId="15FA5872" w:rsidR="00607C00" w:rsidRDefault="00607C00" w:rsidP="005641F1">
      <w:pPr>
        <w:pStyle w:val="ListParagraph"/>
        <w:numPr>
          <w:ilvl w:val="0"/>
          <w:numId w:val="27"/>
        </w:numPr>
        <w:spacing w:line="480" w:lineRule="auto"/>
        <w:ind w:left="0" w:hanging="720"/>
      </w:pPr>
      <w:r>
        <w:tab/>
      </w:r>
      <w:r w:rsidR="009C2960" w:rsidRPr="009C2960">
        <w:t>The Company seeks to have the Commission reconsider its order to recognize that, absent an attrition adjustment, the Company will return to chronic under-earning during the rate-effective period.</w:t>
      </w:r>
      <w:r w:rsidR="005641F1">
        <w:t xml:space="preserve"> </w:t>
      </w:r>
      <w:r w:rsidR="009C2960" w:rsidRPr="009C2960">
        <w:t>Staff does not support the Company’s position on this issue.</w:t>
      </w:r>
    </w:p>
    <w:p w14:paraId="4F09BB97" w14:textId="36C62512" w:rsidR="00607C00" w:rsidRDefault="00607C00" w:rsidP="00607C00">
      <w:pPr>
        <w:pStyle w:val="ListParagraph"/>
        <w:numPr>
          <w:ilvl w:val="0"/>
          <w:numId w:val="27"/>
        </w:numPr>
        <w:spacing w:line="480" w:lineRule="auto"/>
        <w:ind w:left="0" w:hanging="720"/>
      </w:pPr>
      <w:r>
        <w:tab/>
      </w:r>
      <w:r w:rsidR="00925615">
        <w:t xml:space="preserve">In Order 06, the Commission found that </w:t>
      </w:r>
      <w:r w:rsidR="00925615" w:rsidRPr="009C2960">
        <w:t xml:space="preserve">the recent performance of the Company does not show chronic under-earning, </w:t>
      </w:r>
      <w:r w:rsidR="00F70258">
        <w:t xml:space="preserve">and </w:t>
      </w:r>
      <w:r w:rsidR="005641F1">
        <w:t xml:space="preserve">that the </w:t>
      </w:r>
      <w:r w:rsidR="00F70258">
        <w:t>absence of this showing</w:t>
      </w:r>
      <w:r w:rsidR="00925615">
        <w:t xml:space="preserve"> “militates </w:t>
      </w:r>
      <w:r w:rsidR="001C73F9">
        <w:t>against</w:t>
      </w:r>
      <w:r w:rsidR="00925615">
        <w:t xml:space="preserve"> the use of an </w:t>
      </w:r>
      <w:r w:rsidR="00925615">
        <w:lastRenderedPageBreak/>
        <w:t>attrition adjustment in this case.”</w:t>
      </w:r>
      <w:r w:rsidR="00925615">
        <w:rPr>
          <w:rStyle w:val="FootnoteReference"/>
        </w:rPr>
        <w:footnoteReference w:id="12"/>
      </w:r>
      <w:r w:rsidR="00925615" w:rsidRPr="009C2960">
        <w:t xml:space="preserve"> </w:t>
      </w:r>
      <w:r w:rsidR="009C2960" w:rsidRPr="009C2960">
        <w:t>The Company</w:t>
      </w:r>
      <w:r w:rsidR="00925615">
        <w:t>, in contrast,</w:t>
      </w:r>
      <w:r w:rsidR="009C2960" w:rsidRPr="009C2960">
        <w:t xml:space="preserve"> believes that the recent performance of </w:t>
      </w:r>
      <w:r w:rsidR="00925615">
        <w:t>Avista</w:t>
      </w:r>
      <w:r w:rsidR="009C2960" w:rsidRPr="009C2960">
        <w:t xml:space="preserve"> in achieving its authorized rate of return supports the use of an attrition adjustment. </w:t>
      </w:r>
      <w:r w:rsidR="00925615">
        <w:t>Avista</w:t>
      </w:r>
      <w:r w:rsidR="009C2960" w:rsidRPr="009C2960">
        <w:t xml:space="preserve">’s argument rests on the belief that rates during 2013-2015 were set with a de facto attrition adjustment. However, the Commission only </w:t>
      </w:r>
      <w:r w:rsidR="009C2960" w:rsidRPr="00607C00">
        <w:rPr>
          <w:u w:val="single"/>
        </w:rPr>
        <w:t>explicitly</w:t>
      </w:r>
      <w:r w:rsidR="009C2960" w:rsidRPr="009C2960">
        <w:t xml:space="preserve"> authorized an attrition adjustment in the 2015 general rate case, and its effects on the Company’s ability to achieve its authorized rate of return </w:t>
      </w:r>
      <w:r w:rsidR="00CC2803">
        <w:t>cannot be considered</w:t>
      </w:r>
      <w:r w:rsidR="009C2960" w:rsidRPr="009C2960">
        <w:t xml:space="preserve"> until t</w:t>
      </w:r>
      <w:r w:rsidR="005641F1">
        <w:t>he 2016 Commission Basis Report</w:t>
      </w:r>
      <w:r w:rsidR="009C2960" w:rsidRPr="009C2960">
        <w:t xml:space="preserve"> </w:t>
      </w:r>
      <w:r w:rsidR="005641F1">
        <w:t>is</w:t>
      </w:r>
      <w:r w:rsidR="009C2960" w:rsidRPr="009C2960">
        <w:t xml:space="preserve"> received. Therefore, </w:t>
      </w:r>
      <w:r w:rsidR="009C2960" w:rsidRPr="00607C00">
        <w:t xml:space="preserve">the relevance of </w:t>
      </w:r>
      <w:r w:rsidR="00925615">
        <w:t>Avista’s</w:t>
      </w:r>
      <w:r w:rsidR="009C2960" w:rsidRPr="00607C00">
        <w:t xml:space="preserve"> recent earnings </w:t>
      </w:r>
      <w:r w:rsidR="00925615">
        <w:t>depend</w:t>
      </w:r>
      <w:r w:rsidR="000A52FB">
        <w:t>s</w:t>
      </w:r>
      <w:r w:rsidR="00925615">
        <w:t xml:space="preserve"> on whether</w:t>
      </w:r>
      <w:r w:rsidR="009C2960" w:rsidRPr="00607C00">
        <w:t xml:space="preserve"> </w:t>
      </w:r>
      <w:r w:rsidR="00925615">
        <w:t xml:space="preserve">rates in effect during </w:t>
      </w:r>
      <w:r w:rsidR="009C2960" w:rsidRPr="00607C00">
        <w:t>2013-</w:t>
      </w:r>
      <w:r w:rsidR="0006190F">
        <w:t>20</w:t>
      </w:r>
      <w:r w:rsidR="009C2960" w:rsidRPr="00607C00">
        <w:t xml:space="preserve">15 </w:t>
      </w:r>
      <w:r w:rsidR="00925615">
        <w:t xml:space="preserve">included an </w:t>
      </w:r>
      <w:r w:rsidR="009C2960" w:rsidRPr="00607C00">
        <w:t>attrition adjustment or not</w:t>
      </w:r>
      <w:r w:rsidR="009C2960" w:rsidRPr="00F15C87">
        <w:t>.</w:t>
      </w:r>
      <w:r w:rsidR="00CC2803">
        <w:t xml:space="preserve"> However, even </w:t>
      </w:r>
      <w:r w:rsidR="000A7C6E">
        <w:t>if the rates then in effect included an attrition adjustment,</w:t>
      </w:r>
      <w:r w:rsidR="00CC2803">
        <w:t xml:space="preserve"> it may be impossible to know whether </w:t>
      </w:r>
      <w:r w:rsidR="0015243A">
        <w:t>it was the attrition allowance itself that allowed Avista to earn its authorized rate of return or whether the Company simply managed its costs to align with the total revenue it was allowed.</w:t>
      </w:r>
    </w:p>
    <w:p w14:paraId="0362069A" w14:textId="26742644" w:rsidR="00607C00" w:rsidRDefault="00607C00" w:rsidP="00607C00">
      <w:pPr>
        <w:pStyle w:val="ListParagraph"/>
        <w:numPr>
          <w:ilvl w:val="0"/>
          <w:numId w:val="27"/>
        </w:numPr>
        <w:spacing w:line="480" w:lineRule="auto"/>
        <w:ind w:left="0" w:hanging="720"/>
      </w:pPr>
      <w:r>
        <w:tab/>
      </w:r>
      <w:r w:rsidR="009C2960" w:rsidRPr="009C2960">
        <w:t xml:space="preserve">It is important to note that the claims </w:t>
      </w:r>
      <w:r w:rsidR="00F70258">
        <w:t>that Avista</w:t>
      </w:r>
      <w:r w:rsidR="009C2960" w:rsidRPr="009C2960">
        <w:t xml:space="preserve"> has made regarding a possible Wash</w:t>
      </w:r>
      <w:r w:rsidR="005D6790">
        <w:t xml:space="preserve">ington jurisdiction </w:t>
      </w:r>
      <w:r w:rsidR="0006190F">
        <w:t>return on equity</w:t>
      </w:r>
      <w:r w:rsidR="005D6790">
        <w:t xml:space="preserve"> of 6.8%</w:t>
      </w:r>
      <w:r w:rsidR="005D6790">
        <w:rPr>
          <w:rStyle w:val="FootnoteReference"/>
        </w:rPr>
        <w:footnoteReference w:id="13"/>
      </w:r>
      <w:r w:rsidR="005D6790">
        <w:t xml:space="preserve"> </w:t>
      </w:r>
      <w:r w:rsidR="00F70258">
        <w:t>rely in turn on the claims the Company has made regarding</w:t>
      </w:r>
      <w:r w:rsidR="009C2960" w:rsidRPr="009C2960">
        <w:t xml:space="preserve"> the rate base balances used to make this calculation. For example, for electric service the Company uses the “Attrition Adjusted / Cross Check” total rate base figure found in</w:t>
      </w:r>
      <w:r w:rsidR="005D6790">
        <w:t xml:space="preserve"> Exhibit</w:t>
      </w:r>
      <w:r w:rsidR="009C2960" w:rsidRPr="009C2960">
        <w:t xml:space="preserve"> </w:t>
      </w:r>
      <w:r w:rsidR="009B070E">
        <w:t xml:space="preserve">No. </w:t>
      </w:r>
      <w:r w:rsidR="009C2960" w:rsidRPr="009C2960">
        <w:t>JSS-2, page 12. Use of this figure requires accepting the Company’s attrition study results. Th</w:t>
      </w:r>
      <w:r w:rsidR="00F70258">
        <w:t>is is problematic because the Commission did not find there was sufficient</w:t>
      </w:r>
      <w:r w:rsidR="00393E30">
        <w:t xml:space="preserve"> evidence</w:t>
      </w:r>
      <w:r w:rsidR="00F70258">
        <w:t xml:space="preserve"> to show that</w:t>
      </w:r>
      <w:r w:rsidR="009C2960" w:rsidRPr="009C2960">
        <w:t xml:space="preserve"> growth in rate base and expenses is outside of </w:t>
      </w:r>
      <w:r w:rsidR="00F70258">
        <w:t>Avista</w:t>
      </w:r>
      <w:r w:rsidR="009C2960" w:rsidRPr="009C2960">
        <w:t>’s control.</w:t>
      </w:r>
      <w:r w:rsidR="00393E30">
        <w:rPr>
          <w:rStyle w:val="FootnoteReference"/>
        </w:rPr>
        <w:footnoteReference w:id="14"/>
      </w:r>
      <w:r w:rsidR="00F70258">
        <w:t xml:space="preserve"> </w:t>
      </w:r>
      <w:r w:rsidR="003F4562">
        <w:t>In other words, Avista’s argument relies on exactly that evidence that the Commission found to be unreliable.</w:t>
      </w:r>
    </w:p>
    <w:p w14:paraId="1EB784DC" w14:textId="77777777" w:rsidR="00DA20D7" w:rsidRDefault="00DA20D7">
      <w:pPr>
        <w:spacing w:after="160" w:line="259" w:lineRule="auto"/>
        <w:rPr>
          <w:b/>
          <w:u w:val="single"/>
        </w:rPr>
      </w:pPr>
      <w:r>
        <w:rPr>
          <w:b/>
          <w:u w:val="single"/>
        </w:rPr>
        <w:br w:type="page"/>
      </w:r>
    </w:p>
    <w:p w14:paraId="48B18EE5" w14:textId="0E3B945E" w:rsidR="00607C00" w:rsidRPr="00F374A7" w:rsidRDefault="00607C00" w:rsidP="00F374A7">
      <w:pPr>
        <w:pStyle w:val="ListParagraph"/>
        <w:spacing w:after="240"/>
        <w:ind w:left="1440" w:hanging="1440"/>
        <w:contextualSpacing w:val="0"/>
        <w:rPr>
          <w:b/>
        </w:rPr>
      </w:pPr>
      <w:r w:rsidRPr="00F374A7">
        <w:rPr>
          <w:b/>
          <w:u w:val="single"/>
        </w:rPr>
        <w:lastRenderedPageBreak/>
        <w:t>Issue No</w:t>
      </w:r>
      <w:r w:rsidR="00B84A50" w:rsidRPr="00F374A7">
        <w:rPr>
          <w:b/>
          <w:u w:val="single"/>
        </w:rPr>
        <w:t>.</w:t>
      </w:r>
      <w:r w:rsidRPr="00F374A7">
        <w:rPr>
          <w:b/>
          <w:u w:val="single"/>
        </w:rPr>
        <w:t xml:space="preserve"> 4:</w:t>
      </w:r>
      <w:r w:rsidRPr="00607C00">
        <w:rPr>
          <w:b/>
        </w:rPr>
        <w:t xml:space="preserve"> </w:t>
      </w:r>
      <w:r w:rsidR="00F374A7">
        <w:rPr>
          <w:b/>
        </w:rPr>
        <w:tab/>
      </w:r>
      <w:r w:rsidRPr="00607C00">
        <w:rPr>
          <w:b/>
        </w:rPr>
        <w:t>The Proformed Test Period Studies Do N</w:t>
      </w:r>
      <w:r w:rsidR="00306772">
        <w:rPr>
          <w:b/>
        </w:rPr>
        <w:t>ot Show That Existing Revenues A</w:t>
      </w:r>
      <w:r w:rsidRPr="00607C00">
        <w:rPr>
          <w:b/>
        </w:rPr>
        <w:t>re Sufficient</w:t>
      </w:r>
    </w:p>
    <w:p w14:paraId="50C3CCA7" w14:textId="4EF4DE5C" w:rsidR="00607C00" w:rsidRDefault="00607C00" w:rsidP="00607C00">
      <w:pPr>
        <w:pStyle w:val="ListParagraph"/>
        <w:numPr>
          <w:ilvl w:val="0"/>
          <w:numId w:val="27"/>
        </w:numPr>
        <w:spacing w:line="480" w:lineRule="auto"/>
        <w:ind w:left="0" w:hanging="720"/>
      </w:pPr>
      <w:r>
        <w:tab/>
      </w:r>
      <w:r w:rsidR="000A0918" w:rsidRPr="000A0918">
        <w:t xml:space="preserve">The Company argues that the results of a traditional modified historical test year study </w:t>
      </w:r>
      <w:r w:rsidR="00F15C87">
        <w:t>do not reflect</w:t>
      </w:r>
      <w:r w:rsidR="000A0918" w:rsidRPr="000A0918">
        <w:t xml:space="preserve"> the revenues that would be sufficient</w:t>
      </w:r>
      <w:r>
        <w:t xml:space="preserve"> for the rate-effective period.</w:t>
      </w:r>
      <w:r w:rsidR="009B070E">
        <w:t xml:space="preserve"> </w:t>
      </w:r>
      <w:r w:rsidR="009B070E" w:rsidRPr="000A0918">
        <w:t>Staff does not support the Company’s position on this issue.</w:t>
      </w:r>
    </w:p>
    <w:p w14:paraId="46759998" w14:textId="63D4857B" w:rsidR="00607C00" w:rsidRDefault="00607C00" w:rsidP="00607C00">
      <w:pPr>
        <w:pStyle w:val="ListParagraph"/>
        <w:numPr>
          <w:ilvl w:val="0"/>
          <w:numId w:val="27"/>
        </w:numPr>
        <w:spacing w:line="480" w:lineRule="auto"/>
        <w:ind w:left="0" w:hanging="720"/>
      </w:pPr>
      <w:r>
        <w:tab/>
      </w:r>
      <w:r w:rsidR="000A7C6E">
        <w:t>It is important to keep in mind that</w:t>
      </w:r>
      <w:r w:rsidR="00C52A24">
        <w:t xml:space="preserve">, pursuant to RCW 80.04.130 (4), </w:t>
      </w:r>
      <w:r w:rsidR="00BE09F9">
        <w:t xml:space="preserve">Avista has the burden </w:t>
      </w:r>
      <w:r w:rsidR="00C52A24">
        <w:t xml:space="preserve">to show that any rate increase it proposes is just and reasonable. If a public service company does not meet its burden of proof, existing rates remain in place. </w:t>
      </w:r>
      <w:r w:rsidR="001F717B">
        <w:t xml:space="preserve">In Order 06, the Commission found that Avista had not met its burden to show that </w:t>
      </w:r>
      <w:r w:rsidR="00EF7273">
        <w:t xml:space="preserve">it required the </w:t>
      </w:r>
      <w:r w:rsidR="00875CFD">
        <w:t xml:space="preserve">increased </w:t>
      </w:r>
      <w:r w:rsidR="00EF7273">
        <w:t xml:space="preserve">rates it proposed. These </w:t>
      </w:r>
      <w:r w:rsidR="00E37252">
        <w:t xml:space="preserve">proposed </w:t>
      </w:r>
      <w:r w:rsidR="00EF7273">
        <w:t>rates rely</w:t>
      </w:r>
      <w:r w:rsidR="001F717B">
        <w:t xml:space="preserve"> on an attrition adjustment</w:t>
      </w:r>
      <w:r w:rsidR="00EF7273">
        <w:t>.</w:t>
      </w:r>
      <w:r w:rsidR="005E5A3E">
        <w:rPr>
          <w:rStyle w:val="FootnoteReference"/>
        </w:rPr>
        <w:footnoteReference w:id="15"/>
      </w:r>
      <w:r w:rsidR="005E5A3E">
        <w:t xml:space="preserve"> </w:t>
      </w:r>
      <w:r w:rsidR="00E37252">
        <w:t xml:space="preserve">The Commission found that </w:t>
      </w:r>
      <w:r w:rsidR="009324C5">
        <w:t>Avista’s case did not contain sufficient evidence</w:t>
      </w:r>
      <w:r w:rsidR="005F735B">
        <w:t xml:space="preserve"> of attrition</w:t>
      </w:r>
      <w:r w:rsidR="00E37252">
        <w:t>.</w:t>
      </w:r>
      <w:r w:rsidR="00D37CA0">
        <w:t xml:space="preserve"> </w:t>
      </w:r>
      <w:r w:rsidR="009324C5">
        <w:t xml:space="preserve">Without sufficient evidence, the </w:t>
      </w:r>
      <w:r w:rsidR="00D37CA0">
        <w:t xml:space="preserve">Commission </w:t>
      </w:r>
      <w:r w:rsidR="009324C5">
        <w:t>could not</w:t>
      </w:r>
      <w:r w:rsidR="00C52A24">
        <w:t xml:space="preserve"> determine whether there would be</w:t>
      </w:r>
      <w:r w:rsidR="00D37CA0">
        <w:t xml:space="preserve"> a mismatch of earnings and expenditures and, if so, the extent of the mismatch.</w:t>
      </w:r>
      <w:r w:rsidR="00D37CA0">
        <w:rPr>
          <w:rStyle w:val="FootnoteReference"/>
        </w:rPr>
        <w:footnoteReference w:id="16"/>
      </w:r>
    </w:p>
    <w:p w14:paraId="32D39FC5" w14:textId="71F9A4C2" w:rsidR="00607C00" w:rsidRDefault="00607C00" w:rsidP="00607C00">
      <w:pPr>
        <w:pStyle w:val="ListParagraph"/>
        <w:numPr>
          <w:ilvl w:val="0"/>
          <w:numId w:val="27"/>
        </w:numPr>
        <w:spacing w:line="480" w:lineRule="auto"/>
        <w:ind w:left="0" w:hanging="720"/>
      </w:pPr>
      <w:r>
        <w:tab/>
      </w:r>
      <w:r w:rsidR="000A0918" w:rsidRPr="000A0918">
        <w:t xml:space="preserve">While Staff testified that </w:t>
      </w:r>
      <w:r w:rsidR="00F84DFF">
        <w:t>there was likely to be a mismatch</w:t>
      </w:r>
      <w:r w:rsidR="00E37252">
        <w:t>, the burden to justify the Company’s proposed rates is on the Company. The Commission</w:t>
      </w:r>
      <w:r w:rsidR="00D37CA0">
        <w:t xml:space="preserve"> </w:t>
      </w:r>
      <w:r w:rsidR="00E37252">
        <w:t>found that the Company had not met its burden</w:t>
      </w:r>
      <w:r w:rsidR="00C52A24">
        <w:t>, but it</w:t>
      </w:r>
      <w:r>
        <w:t xml:space="preserve"> did not stop there.</w:t>
      </w:r>
    </w:p>
    <w:p w14:paraId="5F9EBEB2" w14:textId="0647BA3E" w:rsidR="00607C00" w:rsidRDefault="00607C00" w:rsidP="00607C00">
      <w:pPr>
        <w:pStyle w:val="ListParagraph"/>
        <w:numPr>
          <w:ilvl w:val="0"/>
          <w:numId w:val="27"/>
        </w:numPr>
        <w:spacing w:line="480" w:lineRule="auto"/>
        <w:ind w:left="0" w:hanging="720"/>
      </w:pPr>
      <w:r>
        <w:tab/>
      </w:r>
      <w:r w:rsidR="009324C5">
        <w:t>In Order 06, t</w:t>
      </w:r>
      <w:r w:rsidR="000A0918" w:rsidRPr="000A0918">
        <w:t xml:space="preserve">he Commission </w:t>
      </w:r>
      <w:r w:rsidR="009324C5">
        <w:t>discussed</w:t>
      </w:r>
      <w:r w:rsidR="000A0918" w:rsidRPr="000A0918">
        <w:t xml:space="preserve"> the modified historical test year presentations from </w:t>
      </w:r>
      <w:r w:rsidR="00E37252">
        <w:t>the</w:t>
      </w:r>
      <w:r w:rsidR="00E37252" w:rsidRPr="000A0918">
        <w:t xml:space="preserve"> </w:t>
      </w:r>
      <w:r w:rsidR="000A0918" w:rsidRPr="000A0918">
        <w:t>parties</w:t>
      </w:r>
      <w:r w:rsidR="00E37252">
        <w:t xml:space="preserve"> and found </w:t>
      </w:r>
      <w:r w:rsidR="00D37CA0">
        <w:t>that</w:t>
      </w:r>
      <w:r w:rsidR="00F84DFF">
        <w:t>,</w:t>
      </w:r>
      <w:r w:rsidR="00D37CA0">
        <w:t xml:space="preserve"> taken together,</w:t>
      </w:r>
      <w:r w:rsidR="00F84DFF">
        <w:t xml:space="preserve"> they </w:t>
      </w:r>
      <w:r w:rsidR="00D37CA0">
        <w:t xml:space="preserve">indicated </w:t>
      </w:r>
      <w:r w:rsidR="005F735B">
        <w:t>that a “revenue sufficiency for electric operations would be at least equally likely as finding a revenue deficiency” and that the parties’ pro forma results for gas operations all showed a sufficiency.</w:t>
      </w:r>
      <w:r w:rsidR="005F735B">
        <w:rPr>
          <w:rStyle w:val="FootnoteReference"/>
        </w:rPr>
        <w:footnoteReference w:id="17"/>
      </w:r>
      <w:r w:rsidR="005F735B">
        <w:t xml:space="preserve"> Accordingly, the Commission did consider the evidence</w:t>
      </w:r>
      <w:r w:rsidR="00C24BEC">
        <w:t>, giving it the weight it deemed appropriate</w:t>
      </w:r>
      <w:r w:rsidR="00EA6DB2">
        <w:t>, and the evidence</w:t>
      </w:r>
      <w:r w:rsidR="005F735B">
        <w:t xml:space="preserve"> </w:t>
      </w:r>
      <w:r w:rsidR="000A0918" w:rsidRPr="000A0918">
        <w:t>suggested to the Commission that existing revenues were sufficient.</w:t>
      </w:r>
      <w:r w:rsidR="00F84DFF">
        <w:t xml:space="preserve"> </w:t>
      </w:r>
    </w:p>
    <w:p w14:paraId="08508609" w14:textId="0950714A" w:rsidR="00F374A7" w:rsidRDefault="00F374A7">
      <w:pPr>
        <w:spacing w:after="160" w:line="259" w:lineRule="auto"/>
        <w:rPr>
          <w:b/>
        </w:rPr>
      </w:pPr>
    </w:p>
    <w:p w14:paraId="1B72D412" w14:textId="2D0FFD9B" w:rsidR="00607C00" w:rsidRPr="00607C00" w:rsidRDefault="00607C00" w:rsidP="00F374A7">
      <w:pPr>
        <w:pStyle w:val="ListParagraph"/>
        <w:spacing w:after="240"/>
        <w:ind w:left="1440" w:hanging="1440"/>
        <w:contextualSpacing w:val="0"/>
        <w:rPr>
          <w:b/>
        </w:rPr>
      </w:pPr>
      <w:r w:rsidRPr="00F374A7">
        <w:rPr>
          <w:b/>
          <w:u w:val="single"/>
        </w:rPr>
        <w:t>Issue No</w:t>
      </w:r>
      <w:r w:rsidR="00B84A50" w:rsidRPr="00F374A7">
        <w:rPr>
          <w:b/>
          <w:u w:val="single"/>
        </w:rPr>
        <w:t>.</w:t>
      </w:r>
      <w:r w:rsidRPr="00F374A7">
        <w:rPr>
          <w:b/>
          <w:u w:val="single"/>
        </w:rPr>
        <w:t xml:space="preserve"> 5: </w:t>
      </w:r>
      <w:r w:rsidR="00F374A7">
        <w:rPr>
          <w:b/>
        </w:rPr>
        <w:tab/>
      </w:r>
      <w:r w:rsidRPr="00607C00">
        <w:rPr>
          <w:b/>
        </w:rPr>
        <w:t>Costs Beyond Company Control</w:t>
      </w:r>
    </w:p>
    <w:p w14:paraId="1220D71F" w14:textId="1CC3E782" w:rsidR="00607C00" w:rsidRDefault="00607C00" w:rsidP="003E2CC9">
      <w:pPr>
        <w:pStyle w:val="ListParagraph"/>
        <w:keepNext/>
        <w:numPr>
          <w:ilvl w:val="0"/>
          <w:numId w:val="27"/>
        </w:numPr>
        <w:spacing w:line="480" w:lineRule="auto"/>
        <w:ind w:left="0" w:hanging="720"/>
      </w:pPr>
      <w:r>
        <w:tab/>
      </w:r>
      <w:r w:rsidR="00BE09F9">
        <w:t>Avista</w:t>
      </w:r>
      <w:r w:rsidR="000A0918" w:rsidRPr="000A0918">
        <w:t xml:space="preserve"> argues that the Commission erred in determining that the Company did not adequately support claims that escalating costs are beyond the Company’s control. Staff does not support the Company’s position on this issue.</w:t>
      </w:r>
    </w:p>
    <w:p w14:paraId="414008BA" w14:textId="77777777" w:rsidR="00607C00" w:rsidRDefault="00607C00" w:rsidP="00607C00">
      <w:pPr>
        <w:pStyle w:val="ListParagraph"/>
        <w:keepNext/>
        <w:numPr>
          <w:ilvl w:val="0"/>
          <w:numId w:val="27"/>
        </w:numPr>
        <w:spacing w:line="480" w:lineRule="auto"/>
        <w:ind w:left="0" w:hanging="720"/>
      </w:pPr>
      <w:r>
        <w:tab/>
      </w:r>
      <w:r w:rsidR="000A0918" w:rsidRPr="000A0918">
        <w:t>As the Petition makes clear, the Company provided ample testimony to the record on this issue. The Commission has simply found that the evidence provided was insufficient to support an attrition adjustment.</w:t>
      </w:r>
    </w:p>
    <w:p w14:paraId="6B006F13" w14:textId="2807AB1C" w:rsidR="00607C00" w:rsidRPr="00607C00" w:rsidRDefault="00607C00" w:rsidP="00F374A7">
      <w:pPr>
        <w:pStyle w:val="ListParagraph"/>
        <w:spacing w:after="240"/>
        <w:ind w:left="1440" w:hanging="1440"/>
        <w:contextualSpacing w:val="0"/>
        <w:rPr>
          <w:b/>
        </w:rPr>
      </w:pPr>
      <w:r w:rsidRPr="00F374A7">
        <w:rPr>
          <w:b/>
          <w:u w:val="single"/>
        </w:rPr>
        <w:t>Issue No</w:t>
      </w:r>
      <w:r w:rsidR="00B84A50" w:rsidRPr="00F374A7">
        <w:rPr>
          <w:b/>
          <w:u w:val="single"/>
        </w:rPr>
        <w:t>.</w:t>
      </w:r>
      <w:r w:rsidRPr="00F374A7">
        <w:rPr>
          <w:b/>
          <w:u w:val="single"/>
        </w:rPr>
        <w:t xml:space="preserve"> 6:</w:t>
      </w:r>
      <w:r w:rsidRPr="00607C00">
        <w:rPr>
          <w:b/>
        </w:rPr>
        <w:t xml:space="preserve"> </w:t>
      </w:r>
      <w:r w:rsidR="00F374A7">
        <w:rPr>
          <w:b/>
        </w:rPr>
        <w:tab/>
      </w:r>
      <w:r w:rsidRPr="00607C00">
        <w:rPr>
          <w:b/>
        </w:rPr>
        <w:t>Self-fulfilling Prophecy</w:t>
      </w:r>
    </w:p>
    <w:p w14:paraId="36D2A8EB" w14:textId="00480A5F" w:rsidR="006671F5" w:rsidRDefault="00607C00" w:rsidP="003E2CC9">
      <w:pPr>
        <w:pStyle w:val="ListParagraph"/>
        <w:keepNext/>
        <w:numPr>
          <w:ilvl w:val="0"/>
          <w:numId w:val="27"/>
        </w:numPr>
        <w:spacing w:line="480" w:lineRule="auto"/>
        <w:ind w:left="0" w:hanging="720"/>
      </w:pPr>
      <w:r>
        <w:tab/>
      </w:r>
      <w:r w:rsidR="000A0918" w:rsidRPr="000A0918">
        <w:t xml:space="preserve">The Company argues that the Commission should recognize that there is no evidence of record that </w:t>
      </w:r>
      <w:r w:rsidR="00875DE3">
        <w:t>cost projections</w:t>
      </w:r>
      <w:r w:rsidR="000A0918" w:rsidRPr="000A0918">
        <w:t xml:space="preserve"> will result in a self-fulfilling prophecy.</w:t>
      </w:r>
      <w:r w:rsidR="00875DE3">
        <w:rPr>
          <w:rStyle w:val="FootnoteReference"/>
        </w:rPr>
        <w:footnoteReference w:id="18"/>
      </w:r>
      <w:r w:rsidR="003E2CC9">
        <w:t xml:space="preserve"> </w:t>
      </w:r>
      <w:r w:rsidR="000A0918" w:rsidRPr="000A0918">
        <w:t xml:space="preserve">Staff does not </w:t>
      </w:r>
      <w:r w:rsidR="002501AF">
        <w:t>support</w:t>
      </w:r>
      <w:r w:rsidR="002501AF" w:rsidRPr="000A0918">
        <w:t xml:space="preserve"> </w:t>
      </w:r>
      <w:r w:rsidR="00F467AC">
        <w:t>Avista</w:t>
      </w:r>
      <w:r w:rsidR="006671F5">
        <w:t>’s position on this issue.</w:t>
      </w:r>
    </w:p>
    <w:p w14:paraId="4451B831" w14:textId="31A08235" w:rsidR="00B84A50" w:rsidRDefault="006671F5" w:rsidP="003E2CC9">
      <w:pPr>
        <w:pStyle w:val="ListParagraph"/>
        <w:keepNext/>
        <w:numPr>
          <w:ilvl w:val="0"/>
          <w:numId w:val="27"/>
        </w:numPr>
        <w:spacing w:line="480" w:lineRule="auto"/>
        <w:ind w:left="0" w:hanging="720"/>
      </w:pPr>
      <w:r>
        <w:tab/>
      </w:r>
      <w:r w:rsidR="00A11205">
        <w:t xml:space="preserve">In Staff’s interpretation, the Commission is simply noting that </w:t>
      </w:r>
      <w:r w:rsidR="00F204F2">
        <w:t>Avista</w:t>
      </w:r>
      <w:r w:rsidR="00A11205">
        <w:t xml:space="preserve"> has some ability to manage its capital expenditures according to its allowed revenues. To the extent that allowed revenues are calculated using projections of the future, the Company will manage expenses within its control to align with projections. </w:t>
      </w:r>
      <w:r w:rsidR="002501AF">
        <w:t xml:space="preserve">If Avista can meet the Commission’s standard for attrition and show that its capital investments are beyond its ability to control, then </w:t>
      </w:r>
      <w:r w:rsidR="00A11205">
        <w:t xml:space="preserve">clearly those costs cannot be “managed” and </w:t>
      </w:r>
      <w:r w:rsidR="009C4B84">
        <w:t>the Company</w:t>
      </w:r>
      <w:r w:rsidR="002501AF">
        <w:t xml:space="preserve"> will banish the </w:t>
      </w:r>
      <w:r w:rsidR="00D54951">
        <w:t>specter</w:t>
      </w:r>
      <w:r w:rsidR="002501AF">
        <w:t xml:space="preserve"> of the </w:t>
      </w:r>
      <w:r w:rsidR="000A0918" w:rsidRPr="000A0918">
        <w:t>“self-fulfilling prophecy</w:t>
      </w:r>
      <w:r w:rsidR="00607C00">
        <w:t>.</w:t>
      </w:r>
      <w:r w:rsidR="000A0918" w:rsidRPr="000A0918">
        <w:t>”</w:t>
      </w:r>
    </w:p>
    <w:p w14:paraId="0AA7EB9E" w14:textId="77777777" w:rsidR="00DA20D7" w:rsidRDefault="00DA20D7">
      <w:pPr>
        <w:spacing w:after="160" w:line="259" w:lineRule="auto"/>
        <w:rPr>
          <w:b/>
          <w:u w:val="single"/>
        </w:rPr>
      </w:pPr>
      <w:r>
        <w:rPr>
          <w:b/>
          <w:u w:val="single"/>
        </w:rPr>
        <w:br w:type="page"/>
      </w:r>
    </w:p>
    <w:p w14:paraId="0C8DBF7F" w14:textId="0F675802" w:rsidR="00B84A50" w:rsidRPr="00B84A50" w:rsidRDefault="00B84A50" w:rsidP="00F374A7">
      <w:pPr>
        <w:pStyle w:val="ListParagraph"/>
        <w:spacing w:after="240"/>
        <w:ind w:left="1440" w:hanging="1440"/>
        <w:contextualSpacing w:val="0"/>
        <w:rPr>
          <w:b/>
        </w:rPr>
      </w:pPr>
      <w:r w:rsidRPr="00B84A50">
        <w:rPr>
          <w:b/>
          <w:u w:val="single"/>
        </w:rPr>
        <w:lastRenderedPageBreak/>
        <w:t>Issue No</w:t>
      </w:r>
      <w:r>
        <w:rPr>
          <w:b/>
          <w:u w:val="single"/>
        </w:rPr>
        <w:t>.</w:t>
      </w:r>
      <w:r w:rsidRPr="00B84A50">
        <w:rPr>
          <w:b/>
          <w:u w:val="single"/>
        </w:rPr>
        <w:t xml:space="preserve"> 7</w:t>
      </w:r>
      <w:r w:rsidRPr="00AC31EF">
        <w:rPr>
          <w:b/>
          <w:u w:val="single"/>
        </w:rPr>
        <w:t>:</w:t>
      </w:r>
      <w:r w:rsidR="00F374A7">
        <w:rPr>
          <w:b/>
        </w:rPr>
        <w:tab/>
      </w:r>
      <w:r w:rsidRPr="00B84A50">
        <w:rPr>
          <w:b/>
        </w:rPr>
        <w:t xml:space="preserve"> Increasing Pace of Capital Expenditures</w:t>
      </w:r>
    </w:p>
    <w:p w14:paraId="7E74E3FE" w14:textId="2B768C43" w:rsidR="00B84A50" w:rsidRDefault="00B84A50" w:rsidP="00982252">
      <w:pPr>
        <w:pStyle w:val="ListParagraph"/>
        <w:keepNext/>
        <w:numPr>
          <w:ilvl w:val="0"/>
          <w:numId w:val="27"/>
        </w:numPr>
        <w:spacing w:line="480" w:lineRule="auto"/>
        <w:ind w:left="0" w:hanging="720"/>
      </w:pPr>
      <w:r>
        <w:tab/>
      </w:r>
      <w:r w:rsidR="000A0918" w:rsidRPr="000A0918">
        <w:t>The Company argues that the Commission should recognize that the “pace” of the Company’s capital additions is not materially increasing.</w:t>
      </w:r>
      <w:r w:rsidR="00982252">
        <w:t xml:space="preserve"> </w:t>
      </w:r>
      <w:r w:rsidR="000A0918" w:rsidRPr="000A0918">
        <w:t xml:space="preserve">Staff does not </w:t>
      </w:r>
      <w:r w:rsidR="00066716">
        <w:t>support</w:t>
      </w:r>
      <w:r w:rsidR="00066716" w:rsidRPr="000A0918">
        <w:t xml:space="preserve"> </w:t>
      </w:r>
      <w:r w:rsidR="000A0918" w:rsidRPr="000A0918">
        <w:t>the Company’s position on this issue.</w:t>
      </w:r>
    </w:p>
    <w:p w14:paraId="21495622" w14:textId="75AFFB93" w:rsidR="00B84A50" w:rsidRDefault="00B84A50" w:rsidP="00DF5EB8">
      <w:pPr>
        <w:pStyle w:val="ListParagraph"/>
        <w:numPr>
          <w:ilvl w:val="0"/>
          <w:numId w:val="27"/>
        </w:numPr>
        <w:spacing w:line="480" w:lineRule="auto"/>
        <w:ind w:left="0" w:hanging="720"/>
      </w:pPr>
      <w:r>
        <w:tab/>
      </w:r>
      <w:r w:rsidR="000A0918" w:rsidRPr="000A0918">
        <w:t xml:space="preserve">The Company’s argument is a semantic one. “Pace” refers to a rate of change; an increasing pace of capital additions means that the rate at which capital additions are being made is </w:t>
      </w:r>
      <w:r w:rsidR="002E1C11">
        <w:t xml:space="preserve">itself </w:t>
      </w:r>
      <w:r w:rsidR="000A0918" w:rsidRPr="000A0918">
        <w:t xml:space="preserve">increasing. </w:t>
      </w:r>
      <w:r w:rsidR="001468DE">
        <w:t>However, given the context</w:t>
      </w:r>
      <w:r w:rsidR="00F204F2">
        <w:t>,</w:t>
      </w:r>
      <w:r w:rsidR="001468DE">
        <w:t xml:space="preserve"> t</w:t>
      </w:r>
      <w:r w:rsidR="000A0918" w:rsidRPr="000A0918">
        <w:t xml:space="preserve">he Commission appears to have been referring </w:t>
      </w:r>
      <w:r w:rsidR="001468DE">
        <w:t xml:space="preserve">simply </w:t>
      </w:r>
      <w:r w:rsidR="000A0918" w:rsidRPr="000A0918">
        <w:t xml:space="preserve">to the </w:t>
      </w:r>
      <w:r w:rsidR="001468DE">
        <w:t xml:space="preserve">increase in </w:t>
      </w:r>
      <w:r w:rsidR="000A0918" w:rsidRPr="000A0918">
        <w:t>total overall level of rate base over time</w:t>
      </w:r>
      <w:r w:rsidR="00CF6FB3">
        <w:t>.</w:t>
      </w:r>
      <w:r w:rsidR="001468DE">
        <w:t xml:space="preserve"> Semantics notwithstanding, the Company’s practice of requesting</w:t>
      </w:r>
      <w:r w:rsidR="00667E5D">
        <w:t xml:space="preserve"> after-attrition adjustments</w:t>
      </w:r>
      <w:r w:rsidR="001E786F">
        <w:t>, representing plant growth over and above the statistical rate of growth in its attrition models,</w:t>
      </w:r>
      <w:r w:rsidR="00667E5D">
        <w:t xml:space="preserve"> demonstrates</w:t>
      </w:r>
      <w:r w:rsidR="001468DE">
        <w:t xml:space="preserve"> that the </w:t>
      </w:r>
      <w:r w:rsidR="00667E5D">
        <w:t xml:space="preserve">Company itself is arguing that the pace of capital additions </w:t>
      </w:r>
      <w:r w:rsidR="00BE669A">
        <w:t>is indeed increasing.</w:t>
      </w:r>
      <w:r w:rsidR="00037816">
        <w:t xml:space="preserve"> The Commission statemen</w:t>
      </w:r>
      <w:r w:rsidR="003238C3">
        <w:t xml:space="preserve">t </w:t>
      </w:r>
      <w:r w:rsidR="00FE225D">
        <w:t>that Avista is disputing here</w:t>
      </w:r>
      <w:r w:rsidR="003238C3">
        <w:t xml:space="preserve"> is in fact supported by the Company’s </w:t>
      </w:r>
      <w:r w:rsidR="00FB456E">
        <w:t xml:space="preserve">own </w:t>
      </w:r>
      <w:r w:rsidR="003238C3">
        <w:t>attrition studies</w:t>
      </w:r>
      <w:r w:rsidR="00FE225D">
        <w:t xml:space="preserve"> and promoted through the narrative </w:t>
      </w:r>
      <w:r w:rsidR="00CB2D66">
        <w:t>of the Company’s</w:t>
      </w:r>
      <w:r w:rsidR="00FE225D">
        <w:t xml:space="preserve"> case</w:t>
      </w:r>
      <w:r w:rsidR="00037816">
        <w:t>.</w:t>
      </w:r>
      <w:r w:rsidR="00BE669A">
        <w:t xml:space="preserve"> </w:t>
      </w:r>
    </w:p>
    <w:p w14:paraId="1B0B8620" w14:textId="6B31D6F3" w:rsidR="00B84A50" w:rsidRPr="00F374A7" w:rsidRDefault="00B84A50" w:rsidP="00F374A7">
      <w:pPr>
        <w:pStyle w:val="ListParagraph"/>
        <w:spacing w:after="240"/>
        <w:ind w:left="1440" w:hanging="1440"/>
        <w:contextualSpacing w:val="0"/>
        <w:rPr>
          <w:b/>
        </w:rPr>
      </w:pPr>
      <w:r w:rsidRPr="00B84A50">
        <w:rPr>
          <w:b/>
          <w:u w:val="single"/>
        </w:rPr>
        <w:t>Issue No</w:t>
      </w:r>
      <w:r>
        <w:rPr>
          <w:b/>
          <w:u w:val="single"/>
        </w:rPr>
        <w:t>.</w:t>
      </w:r>
      <w:r w:rsidRPr="00B84A50">
        <w:rPr>
          <w:b/>
          <w:u w:val="single"/>
        </w:rPr>
        <w:t xml:space="preserve"> 8</w:t>
      </w:r>
      <w:r w:rsidRPr="00F374A7">
        <w:rPr>
          <w:b/>
          <w:u w:val="single"/>
        </w:rPr>
        <w:t>:</w:t>
      </w:r>
      <w:r w:rsidRPr="00F374A7">
        <w:rPr>
          <w:b/>
        </w:rPr>
        <w:t xml:space="preserve"> </w:t>
      </w:r>
      <w:r w:rsidR="00F374A7" w:rsidRPr="00F374A7">
        <w:rPr>
          <w:b/>
        </w:rPr>
        <w:tab/>
      </w:r>
      <w:r w:rsidRPr="00F374A7">
        <w:rPr>
          <w:b/>
        </w:rPr>
        <w:t>No Commission Findings Related to Modified Historical Test Year Adjustments and Results</w:t>
      </w:r>
    </w:p>
    <w:p w14:paraId="6CBFF25E" w14:textId="5E62F1AB" w:rsidR="00B84A50" w:rsidRDefault="00B84A50" w:rsidP="00982252">
      <w:pPr>
        <w:pStyle w:val="ListParagraph"/>
        <w:keepNext/>
        <w:numPr>
          <w:ilvl w:val="0"/>
          <w:numId w:val="27"/>
        </w:numPr>
        <w:spacing w:line="480" w:lineRule="auto"/>
        <w:ind w:left="0" w:hanging="720"/>
      </w:pPr>
      <w:r>
        <w:tab/>
      </w:r>
      <w:r w:rsidR="00FC2FFA">
        <w:t>Avista</w:t>
      </w:r>
      <w:r w:rsidR="00AA6900" w:rsidRPr="00AA6900">
        <w:t xml:space="preserve"> argues that the Commission’s Order should recognize </w:t>
      </w:r>
      <w:r w:rsidR="00FC2FFA">
        <w:t xml:space="preserve">the Company’s specific </w:t>
      </w:r>
      <w:r w:rsidR="00AA6900" w:rsidRPr="00AA6900">
        <w:t>test year adjustments as part of the revenue requirement determination process</w:t>
      </w:r>
      <w:r w:rsidR="00FC2FFA">
        <w:t xml:space="preserve"> in this case</w:t>
      </w:r>
      <w:r w:rsidR="00AA6900" w:rsidRPr="00AA6900">
        <w:t>.</w:t>
      </w:r>
      <w:r w:rsidR="00982252">
        <w:t xml:space="preserve"> </w:t>
      </w:r>
      <w:r w:rsidR="00AA6900" w:rsidRPr="00AA6900">
        <w:t>Staff does not support the Company’s position on this issue.</w:t>
      </w:r>
    </w:p>
    <w:p w14:paraId="510C9649" w14:textId="4424FE83" w:rsidR="00B84A50" w:rsidRDefault="00B84A50" w:rsidP="00B84A50">
      <w:pPr>
        <w:pStyle w:val="ListParagraph"/>
        <w:keepNext/>
        <w:numPr>
          <w:ilvl w:val="0"/>
          <w:numId w:val="27"/>
        </w:numPr>
        <w:spacing w:line="480" w:lineRule="auto"/>
        <w:ind w:left="0" w:hanging="720"/>
      </w:pPr>
      <w:r>
        <w:tab/>
      </w:r>
      <w:r w:rsidR="00F204F2">
        <w:t>Avista</w:t>
      </w:r>
      <w:r w:rsidR="00AA6900" w:rsidRPr="00AA6900">
        <w:t xml:space="preserve"> seems to believe that</w:t>
      </w:r>
      <w:r w:rsidR="00F204F2">
        <w:t>,</w:t>
      </w:r>
      <w:r w:rsidR="00AA6900" w:rsidRPr="00AA6900">
        <w:t xml:space="preserve"> because the Commission did not accept the Company’s </w:t>
      </w:r>
      <w:r w:rsidR="00F204F2">
        <w:t xml:space="preserve">presentation of its </w:t>
      </w:r>
      <w:r w:rsidR="00AA6900" w:rsidRPr="00AA6900">
        <w:t xml:space="preserve">modified historical test year with limited pro forma adjustments, the Commission did not consider </w:t>
      </w:r>
      <w:r w:rsidR="00AA6900" w:rsidRPr="00B84A50">
        <w:rPr>
          <w:i/>
        </w:rPr>
        <w:t>any</w:t>
      </w:r>
      <w:r w:rsidR="00AA6900" w:rsidRPr="00AA6900">
        <w:t xml:space="preserve"> adjustments. This is not the case. </w:t>
      </w:r>
    </w:p>
    <w:p w14:paraId="6AEA2E6C" w14:textId="77777777" w:rsidR="00B84A50" w:rsidRDefault="00B84A50" w:rsidP="00B84A50">
      <w:pPr>
        <w:pStyle w:val="ListParagraph"/>
        <w:keepNext/>
        <w:numPr>
          <w:ilvl w:val="0"/>
          <w:numId w:val="27"/>
        </w:numPr>
        <w:spacing w:line="480" w:lineRule="auto"/>
        <w:ind w:left="0" w:hanging="720"/>
      </w:pPr>
      <w:r>
        <w:tab/>
      </w:r>
      <w:r w:rsidR="00AA6900" w:rsidRPr="00AA6900">
        <w:t xml:space="preserve">The Commission clearly recognized and considered the modified historical test year presentations of other parties, including Staff. For example, Staff’s electric modified historical </w:t>
      </w:r>
      <w:r w:rsidR="00AA6900" w:rsidRPr="00AA6900">
        <w:lastRenderedPageBreak/>
        <w:t>test year suggested a revenue reduction of more than $4.5 million</w:t>
      </w:r>
      <w:r w:rsidR="0015227F">
        <w:t>,</w:t>
      </w:r>
      <w:r w:rsidR="00AA6900" w:rsidRPr="00AA6900">
        <w:rPr>
          <w:vertAlign w:val="superscript"/>
        </w:rPr>
        <w:footnoteReference w:id="19"/>
      </w:r>
      <w:r w:rsidR="00AA6900" w:rsidRPr="00AA6900">
        <w:t xml:space="preserve"> and for gas, a revenue reduction of more than $3 million</w:t>
      </w:r>
      <w:r w:rsidR="0015227F">
        <w:t>.</w:t>
      </w:r>
      <w:r w:rsidR="00AA6900" w:rsidRPr="00AA6900">
        <w:rPr>
          <w:vertAlign w:val="superscript"/>
        </w:rPr>
        <w:footnoteReference w:id="20"/>
      </w:r>
      <w:r w:rsidR="00AA6900" w:rsidRPr="00AA6900">
        <w:t xml:space="preserve"> Instead of reducing the Company’s revenues by more than $7 million, the Commission decided to maintain current rates.</w:t>
      </w:r>
    </w:p>
    <w:p w14:paraId="2ADCDD58" w14:textId="4DFAEBBA" w:rsidR="00B84A50" w:rsidRDefault="00B84A50" w:rsidP="00B84A50">
      <w:pPr>
        <w:pStyle w:val="ListParagraph"/>
        <w:keepNext/>
        <w:numPr>
          <w:ilvl w:val="0"/>
          <w:numId w:val="27"/>
        </w:numPr>
        <w:spacing w:line="480" w:lineRule="auto"/>
        <w:ind w:left="0" w:hanging="720"/>
      </w:pPr>
      <w:r>
        <w:tab/>
      </w:r>
      <w:r w:rsidR="00AA6900" w:rsidRPr="00AA6900">
        <w:t>While the Commission does not make any findings</w:t>
      </w:r>
      <w:r w:rsidR="0015227F">
        <w:t xml:space="preserve"> in Order 06</w:t>
      </w:r>
      <w:r w:rsidR="00AA6900" w:rsidRPr="00AA6900">
        <w:t xml:space="preserve"> regarding particular adjustm</w:t>
      </w:r>
      <w:r w:rsidR="00762B8F">
        <w:t xml:space="preserve">ents, it does find that the end </w:t>
      </w:r>
      <w:r w:rsidR="00AA6900" w:rsidRPr="00AA6900">
        <w:t>results of various parties’ pro forma studies, taken as a whole, show that existing rates are sufficient for the Company.</w:t>
      </w:r>
      <w:r w:rsidR="00982252">
        <w:t xml:space="preserve"> This is discussed above in Issue </w:t>
      </w:r>
      <w:r w:rsidR="004218F1">
        <w:t xml:space="preserve">No. </w:t>
      </w:r>
      <w:r w:rsidR="00982252">
        <w:t>4.</w:t>
      </w:r>
    </w:p>
    <w:p w14:paraId="7E9B8539" w14:textId="77777777" w:rsidR="00B84A50" w:rsidRPr="00B84A50" w:rsidRDefault="00B84A50" w:rsidP="00B84A50">
      <w:pPr>
        <w:spacing w:line="480" w:lineRule="auto"/>
        <w:jc w:val="center"/>
        <w:rPr>
          <w:b/>
        </w:rPr>
      </w:pPr>
      <w:r w:rsidRPr="00B84A50">
        <w:rPr>
          <w:b/>
        </w:rPr>
        <w:t>III.</w:t>
      </w:r>
      <w:r w:rsidRPr="00B84A50">
        <w:rPr>
          <w:b/>
        </w:rPr>
        <w:tab/>
        <w:t>A REHEARING IS NOT WARRANTED</w:t>
      </w:r>
    </w:p>
    <w:p w14:paraId="1E6839B5" w14:textId="77777777" w:rsidR="00B84A50" w:rsidRDefault="00B84A50" w:rsidP="00B84A50">
      <w:pPr>
        <w:pStyle w:val="ListParagraph"/>
        <w:keepNext/>
        <w:numPr>
          <w:ilvl w:val="0"/>
          <w:numId w:val="27"/>
        </w:numPr>
        <w:spacing w:line="480" w:lineRule="auto"/>
        <w:ind w:left="0" w:hanging="720"/>
      </w:pPr>
      <w:r>
        <w:tab/>
      </w:r>
      <w:r w:rsidR="00A70CB5">
        <w:t>Avista requests a rehearing in the event the Commission does not grant reconsideration.</w:t>
      </w:r>
      <w:r w:rsidR="00A70CB5" w:rsidRPr="00607C00">
        <w:t xml:space="preserve"> </w:t>
      </w:r>
      <w:r w:rsidR="00A70CB5">
        <w:t>A rehearing, however, is not appropriate in this proceeding</w:t>
      </w:r>
      <w:r>
        <w:t>.</w:t>
      </w:r>
    </w:p>
    <w:p w14:paraId="77C14A91" w14:textId="33922EDF" w:rsidR="003D123C" w:rsidRDefault="00B84A50" w:rsidP="00B84A50">
      <w:pPr>
        <w:pStyle w:val="ListParagraph"/>
        <w:keepNext/>
        <w:numPr>
          <w:ilvl w:val="0"/>
          <w:numId w:val="27"/>
        </w:numPr>
        <w:spacing w:line="480" w:lineRule="auto"/>
        <w:ind w:left="0" w:hanging="720"/>
      </w:pPr>
      <w:r>
        <w:tab/>
      </w:r>
      <w:r w:rsidR="003D123C">
        <w:t xml:space="preserve">Rehearings are governed by RCW 80.04.200, which provides some guidance on the purpose of a rehearing. Generally a rehearing may be granted on the basis of “changed conditions since the issuance of such order,” or a result “injuriously affecting the petitioner which was not considered or anticipated at the former hearing,” or </w:t>
      </w:r>
      <w:r w:rsidR="00AE485D">
        <w:t xml:space="preserve">when </w:t>
      </w:r>
      <w:r w:rsidR="003D123C">
        <w:t>“the effect of such order has been such as was not contemplated by the commission or the petitioner.</w:t>
      </w:r>
      <w:r w:rsidR="00B37103">
        <w:t>”</w:t>
      </w:r>
      <w:r w:rsidR="003D123C">
        <w:t xml:space="preserve"> In addi</w:t>
      </w:r>
      <w:r w:rsidR="00B37103">
        <w:t>ti</w:t>
      </w:r>
      <w:r w:rsidR="003D123C">
        <w:t>on, a rehearing may be granted “for any good and sufficient cause which for any reason was not considered and determined in such former hearing.”</w:t>
      </w:r>
      <w:r w:rsidR="002400F2">
        <w:t xml:space="preserve"> Avista’s petition does not credibly set forth any of these grounds.</w:t>
      </w:r>
    </w:p>
    <w:p w14:paraId="01AA04F3" w14:textId="63629683" w:rsidR="00B84A50" w:rsidRDefault="0073391D" w:rsidP="00B84A50">
      <w:pPr>
        <w:pStyle w:val="ListParagraph"/>
        <w:keepNext/>
        <w:numPr>
          <w:ilvl w:val="0"/>
          <w:numId w:val="27"/>
        </w:numPr>
        <w:spacing w:line="480" w:lineRule="auto"/>
        <w:ind w:left="0" w:hanging="720"/>
      </w:pPr>
      <w:r>
        <w:tab/>
      </w:r>
      <w:r w:rsidR="00400D39">
        <w:t xml:space="preserve">Avista received a full hearing and already had the opportunity to place any issue before the Commission. </w:t>
      </w:r>
      <w:r w:rsidR="00367057">
        <w:t>Moreover, t</w:t>
      </w:r>
      <w:r w:rsidR="007F5D93" w:rsidRPr="00DA6232">
        <w:t xml:space="preserve">he Company had Order 05 from the previous rate case to guide its filing. It </w:t>
      </w:r>
      <w:r w:rsidR="00367057">
        <w:t xml:space="preserve">also </w:t>
      </w:r>
      <w:r w:rsidR="007F5D93" w:rsidRPr="00DA6232">
        <w:t xml:space="preserve">received feedback from other parties to </w:t>
      </w:r>
      <w:r w:rsidR="00AE485D">
        <w:t>i</w:t>
      </w:r>
      <w:r w:rsidR="00E86C8F">
        <w:t>t</w:t>
      </w:r>
      <w:r w:rsidR="00AE485D">
        <w:t>s</w:t>
      </w:r>
      <w:r w:rsidR="007F5D93" w:rsidRPr="00DA6232">
        <w:t xml:space="preserve"> case in</w:t>
      </w:r>
      <w:r w:rsidR="00E86C8F">
        <w:t xml:space="preserve"> the</w:t>
      </w:r>
      <w:r w:rsidR="007F5D93" w:rsidRPr="00DA6232">
        <w:t xml:space="preserve"> response</w:t>
      </w:r>
      <w:r w:rsidR="00E86C8F">
        <w:t xml:space="preserve"> round of</w:t>
      </w:r>
      <w:r w:rsidR="007F5D93" w:rsidRPr="00DA6232">
        <w:t xml:space="preserve"> testimony, which the Company had an opportunity to rebut </w:t>
      </w:r>
      <w:r w:rsidR="00367057">
        <w:t xml:space="preserve">in </w:t>
      </w:r>
      <w:r w:rsidR="00E86C8F">
        <w:t>the following</w:t>
      </w:r>
      <w:bookmarkStart w:id="0" w:name="_GoBack"/>
      <w:bookmarkEnd w:id="0"/>
      <w:r w:rsidR="00367057">
        <w:t xml:space="preserve"> round of written testimony</w:t>
      </w:r>
      <w:r w:rsidR="007F5D93" w:rsidRPr="00DA6232">
        <w:t xml:space="preserve">. </w:t>
      </w:r>
      <w:r w:rsidR="00367057">
        <w:lastRenderedPageBreak/>
        <w:t>Finally, the</w:t>
      </w:r>
      <w:r w:rsidR="007F5D93" w:rsidRPr="00DA6232">
        <w:t xml:space="preserve"> Company also had an evidentiary hearing at which it could have further supported its claims. The Company </w:t>
      </w:r>
      <w:r w:rsidR="00367057">
        <w:t xml:space="preserve">had control of the issues in this case and had all of the process it was due. </w:t>
      </w:r>
    </w:p>
    <w:p w14:paraId="7385FB9D" w14:textId="52A5A989" w:rsidR="00B84A50" w:rsidRDefault="00B84A50" w:rsidP="00B84A50">
      <w:pPr>
        <w:pStyle w:val="ListParagraph"/>
        <w:keepNext/>
        <w:numPr>
          <w:ilvl w:val="0"/>
          <w:numId w:val="27"/>
        </w:numPr>
        <w:spacing w:line="480" w:lineRule="auto"/>
        <w:ind w:left="0" w:hanging="720"/>
      </w:pPr>
      <w:r>
        <w:tab/>
      </w:r>
      <w:r w:rsidR="007F5D93" w:rsidRPr="00DA6232">
        <w:t xml:space="preserve">The Company </w:t>
      </w:r>
      <w:r w:rsidR="0028473A">
        <w:t>argues that the outcome was not anticipated by it or the financial community.</w:t>
      </w:r>
      <w:r w:rsidR="0028473A">
        <w:rPr>
          <w:rStyle w:val="FootnoteReference"/>
        </w:rPr>
        <w:footnoteReference w:id="21"/>
      </w:r>
      <w:r w:rsidR="0028473A">
        <w:t xml:space="preserve"> There is always a risk, however, that a utility proposing a rate increase will not receive what it proposes</w:t>
      </w:r>
      <w:r w:rsidR="007F5D93" w:rsidRPr="00DA6232">
        <w:t>.</w:t>
      </w:r>
      <w:r w:rsidR="00271CF3" w:rsidRPr="00DA6232">
        <w:t xml:space="preserve"> </w:t>
      </w:r>
      <w:r w:rsidR="0028473A">
        <w:t xml:space="preserve">That Avista did not expect the result </w:t>
      </w:r>
      <w:r w:rsidR="00BA0147">
        <w:t>doe</w:t>
      </w:r>
      <w:r w:rsidR="0028473A">
        <w:t>s not</w:t>
      </w:r>
      <w:r w:rsidR="00BA0147">
        <w:t xml:space="preserve"> constitute gro</w:t>
      </w:r>
      <w:r w:rsidR="004F20AD">
        <w:t>u</w:t>
      </w:r>
      <w:r w:rsidR="00BA0147">
        <w:t>nds</w:t>
      </w:r>
      <w:r w:rsidR="0028473A">
        <w:t xml:space="preserve"> for a rehearing. Also, despite Avista’s suggestion that the financial community was surprised by the decision</w:t>
      </w:r>
      <w:r w:rsidR="00461C0B" w:rsidRPr="00DA6232">
        <w:t xml:space="preserve">, </w:t>
      </w:r>
      <w:r w:rsidR="0028473A">
        <w:t xml:space="preserve">a quick online search indicates that </w:t>
      </w:r>
      <w:r w:rsidR="00461C0B" w:rsidRPr="00DA6232">
        <w:t xml:space="preserve">financial markets do not seem to have responded in a sharply negative way to </w:t>
      </w:r>
      <w:r w:rsidR="0028473A">
        <w:t>Order 06</w:t>
      </w:r>
      <w:r w:rsidR="00461C0B" w:rsidRPr="00DA6232">
        <w:t xml:space="preserve">. As of </w:t>
      </w:r>
      <w:r w:rsidR="00D529E9">
        <w:t>January 12</w:t>
      </w:r>
      <w:r w:rsidR="00742B73">
        <w:t>th</w:t>
      </w:r>
      <w:r w:rsidR="00461C0B" w:rsidRPr="00DA6232">
        <w:t xml:space="preserve">, Avista Corp stock </w:t>
      </w:r>
      <w:r w:rsidR="00BA0147">
        <w:t>was trading</w:t>
      </w:r>
      <w:r w:rsidR="00BA0147" w:rsidRPr="00DA6232">
        <w:t xml:space="preserve"> </w:t>
      </w:r>
      <w:r w:rsidR="00461C0B" w:rsidRPr="00DA6232">
        <w:t>at $</w:t>
      </w:r>
      <w:r w:rsidR="007543E3">
        <w:t>39.15</w:t>
      </w:r>
      <w:r w:rsidR="00461C0B" w:rsidRPr="00DA6232">
        <w:t xml:space="preserve"> per share.</w:t>
      </w:r>
      <w:r w:rsidR="00461C0B">
        <w:rPr>
          <w:rStyle w:val="FootnoteReference"/>
        </w:rPr>
        <w:footnoteReference w:id="22"/>
      </w:r>
      <w:r w:rsidR="00461C0B" w:rsidRPr="00DA6232">
        <w:t xml:space="preserve"> This falls directly in the middle of the Company’s 52-week low of $34.31 and the </w:t>
      </w:r>
      <w:r w:rsidR="00461C0B">
        <w:t>52-week high of $45.22</w:t>
      </w:r>
      <w:r>
        <w:t>.</w:t>
      </w:r>
      <w:r w:rsidR="00B34A7E">
        <w:rPr>
          <w:rStyle w:val="FootnoteReference"/>
        </w:rPr>
        <w:footnoteReference w:id="23"/>
      </w:r>
    </w:p>
    <w:p w14:paraId="67A9E1A7" w14:textId="29E6EE5C" w:rsidR="00B84A50" w:rsidRDefault="00B84A50" w:rsidP="00B84A50">
      <w:pPr>
        <w:pStyle w:val="ListParagraph"/>
        <w:keepNext/>
        <w:numPr>
          <w:ilvl w:val="0"/>
          <w:numId w:val="27"/>
        </w:numPr>
        <w:spacing w:line="480" w:lineRule="auto"/>
        <w:ind w:left="0" w:hanging="720"/>
      </w:pPr>
      <w:r>
        <w:tab/>
      </w:r>
      <w:r w:rsidR="007F5D93" w:rsidRPr="00DA6232">
        <w:t xml:space="preserve">It is true that the Company’s stock price has fallen since Order 06 was issued. </w:t>
      </w:r>
      <w:r w:rsidR="00AD223A" w:rsidRPr="00DA6232">
        <w:t>However, it is not at all clear that the majority of the fall in the Company’s stock price was due to the order itself, or the Company’s characterization of the impacts of the order in its Form 8-K filing with the Securities and Exchange Commission.</w:t>
      </w:r>
      <w:r w:rsidR="00AD223A">
        <w:rPr>
          <w:rStyle w:val="FootnoteReference"/>
        </w:rPr>
        <w:footnoteReference w:id="24"/>
      </w:r>
      <w:r w:rsidR="00AD223A" w:rsidRPr="00DA6232">
        <w:t xml:space="preserve"> In fact, Avista Corp’s share price increased on December 15 (1.24% for the day)</w:t>
      </w:r>
      <w:r w:rsidR="00AD223A">
        <w:rPr>
          <w:rStyle w:val="FootnoteReference"/>
        </w:rPr>
        <w:footnoteReference w:id="25"/>
      </w:r>
      <w:r w:rsidR="00AD223A" w:rsidRPr="00DA6232">
        <w:t xml:space="preserve">, </w:t>
      </w:r>
      <w:r w:rsidR="00AD223A">
        <w:t xml:space="preserve">the day the order was </w:t>
      </w:r>
      <w:r w:rsidR="00BA0147">
        <w:t>entered</w:t>
      </w:r>
      <w:r w:rsidR="007F5D93" w:rsidRPr="00DA6232">
        <w:t xml:space="preserve">. By close of markets on </w:t>
      </w:r>
      <w:r w:rsidR="007F5D93" w:rsidRPr="00DA6232">
        <w:lastRenderedPageBreak/>
        <w:t>December 16, Avista Corp’s share price fell approximately 2.18% from close on December 14, or 3.39% from close on December 15</w:t>
      </w:r>
      <w:r>
        <w:t>.</w:t>
      </w:r>
      <w:r w:rsidR="007F5D93">
        <w:rPr>
          <w:rStyle w:val="FootnoteReference"/>
        </w:rPr>
        <w:footnoteReference w:id="26"/>
      </w:r>
      <w:r w:rsidR="00BA0147">
        <w:t xml:space="preserve"> Avista’s share price, however, remains well within lines of where the stock has traded over the past year.</w:t>
      </w:r>
    </w:p>
    <w:p w14:paraId="3E3D682E" w14:textId="260527E8" w:rsidR="00854773" w:rsidRDefault="007D66E8" w:rsidP="00B84A50">
      <w:pPr>
        <w:pStyle w:val="ListParagraph"/>
        <w:keepNext/>
        <w:numPr>
          <w:ilvl w:val="0"/>
          <w:numId w:val="27"/>
        </w:numPr>
        <w:spacing w:line="480" w:lineRule="auto"/>
        <w:ind w:left="0" w:hanging="720"/>
      </w:pPr>
      <w:r>
        <w:tab/>
      </w:r>
      <w:r w:rsidR="00B67370">
        <w:t xml:space="preserve">In a prior case, the Commission considered putative </w:t>
      </w:r>
      <w:r>
        <w:t xml:space="preserve">reactions of financial analysts to </w:t>
      </w:r>
      <w:r w:rsidR="005A7948">
        <w:t>a Commission</w:t>
      </w:r>
      <w:r>
        <w:t xml:space="preserve"> decision </w:t>
      </w:r>
      <w:r w:rsidR="00B67370">
        <w:t>and found that they did not justify a rehearing</w:t>
      </w:r>
      <w:r>
        <w:t>. In 2001, the Commission considered a petition for reconsideration or rehearing of a decision dismissing a PSE filing.</w:t>
      </w:r>
      <w:r w:rsidR="003C5758">
        <w:rPr>
          <w:rStyle w:val="FootnoteReference"/>
        </w:rPr>
        <w:footnoteReference w:id="27"/>
      </w:r>
      <w:r>
        <w:t xml:space="preserve"> </w:t>
      </w:r>
      <w:r w:rsidR="005A7948">
        <w:t>The Commission rejected PSE’s argument</w:t>
      </w:r>
      <w:r>
        <w:t xml:space="preserve"> that the financial community deemed PSE to be financially </w:t>
      </w:r>
      <w:r w:rsidR="00B67370">
        <w:t>vulnerable following the Commis</w:t>
      </w:r>
      <w:r>
        <w:t>s</w:t>
      </w:r>
      <w:r w:rsidR="00B67370">
        <w:t>i</w:t>
      </w:r>
      <w:r>
        <w:t>on’s decision</w:t>
      </w:r>
      <w:r w:rsidR="005A7948">
        <w:t xml:space="preserve"> and that, therefore, a rehearing should be granted</w:t>
      </w:r>
      <w:r>
        <w:t>.</w:t>
      </w:r>
      <w:r w:rsidR="00B67370">
        <w:t xml:space="preserve"> </w:t>
      </w:r>
      <w:r w:rsidR="00A4250C">
        <w:t>The Commission found it was unclear what information the financial analysts were relying on and that</w:t>
      </w:r>
      <w:r w:rsidR="00854773">
        <w:t xml:space="preserve"> there was not enough information to understand exactly </w:t>
      </w:r>
      <w:r w:rsidR="005A7948">
        <w:t xml:space="preserve">how </w:t>
      </w:r>
      <w:r w:rsidR="00854773">
        <w:t>PSE was allegedly affected. The Commission also noted that the situation did not seem to be as dire as PSE claimed.</w:t>
      </w:r>
      <w:r w:rsidR="00DD3D18">
        <w:rPr>
          <w:rStyle w:val="FootnoteReference"/>
        </w:rPr>
        <w:footnoteReference w:id="28"/>
      </w:r>
    </w:p>
    <w:p w14:paraId="5154F036" w14:textId="7A291762" w:rsidR="00B84A50" w:rsidRDefault="00854773" w:rsidP="0014479E">
      <w:pPr>
        <w:pStyle w:val="ListParagraph"/>
        <w:keepNext/>
        <w:numPr>
          <w:ilvl w:val="0"/>
          <w:numId w:val="27"/>
        </w:numPr>
        <w:spacing w:line="480" w:lineRule="auto"/>
        <w:ind w:left="0" w:hanging="720"/>
      </w:pPr>
      <w:r>
        <w:tab/>
        <w:t xml:space="preserve">In the instant case, like in the PSE case, Avista has provided insufficient information on the effect of the order on the financial community’s opinion of Avista or if any opinion has even affected Avista. </w:t>
      </w:r>
      <w:r w:rsidR="005A7948">
        <w:t>As in</w:t>
      </w:r>
      <w:r>
        <w:t xml:space="preserve"> the PSE case, speculation cannot overcome the Company’s failure to meet its burden,</w:t>
      </w:r>
      <w:r w:rsidR="00DD3D18">
        <w:rPr>
          <w:rStyle w:val="FootnoteReference"/>
        </w:rPr>
        <w:footnoteReference w:id="29"/>
      </w:r>
      <w:r>
        <w:t xml:space="preserve"> and speculation is not grounds for rehearing.</w:t>
      </w:r>
    </w:p>
    <w:p w14:paraId="0F45872A" w14:textId="77777777" w:rsidR="00DA20D7" w:rsidRDefault="00DA20D7">
      <w:pPr>
        <w:spacing w:after="160" w:line="259" w:lineRule="auto"/>
        <w:rPr>
          <w:b/>
        </w:rPr>
      </w:pPr>
      <w:r>
        <w:rPr>
          <w:b/>
        </w:rPr>
        <w:br w:type="page"/>
      </w:r>
    </w:p>
    <w:p w14:paraId="1758E5E7" w14:textId="1E25128E" w:rsidR="00B84A50" w:rsidRPr="00B84A50" w:rsidRDefault="00B84A50" w:rsidP="00B84A50">
      <w:pPr>
        <w:spacing w:line="480" w:lineRule="auto"/>
        <w:jc w:val="center"/>
        <w:rPr>
          <w:b/>
        </w:rPr>
      </w:pPr>
      <w:r w:rsidRPr="00B84A50">
        <w:rPr>
          <w:b/>
        </w:rPr>
        <w:lastRenderedPageBreak/>
        <w:t>IV.</w:t>
      </w:r>
      <w:r w:rsidRPr="00B84A50">
        <w:rPr>
          <w:b/>
        </w:rPr>
        <w:tab/>
        <w:t>CONCLUSION</w:t>
      </w:r>
    </w:p>
    <w:p w14:paraId="5726B5AA" w14:textId="0733195E" w:rsidR="00004313" w:rsidRDefault="00B84A50" w:rsidP="00B84A50">
      <w:pPr>
        <w:pStyle w:val="ListParagraph"/>
        <w:keepNext/>
        <w:numPr>
          <w:ilvl w:val="0"/>
          <w:numId w:val="27"/>
        </w:numPr>
        <w:spacing w:line="480" w:lineRule="auto"/>
        <w:ind w:left="0" w:hanging="720"/>
      </w:pPr>
      <w:r>
        <w:tab/>
      </w:r>
      <w:r w:rsidR="00854773">
        <w:t>The Commission had sufficient evidentiary grounds to find that Avista failed to meet its burden of proof with respect to its proposed rate increase. The appropriate remedy is not to reconsider the case or to re-do the case but for Avista to follow the Commission’s guidance and present sufficient testimony in its next general rate case.</w:t>
      </w:r>
    </w:p>
    <w:p w14:paraId="36414DEB" w14:textId="2763C414" w:rsidR="003B3320" w:rsidRPr="003B3320" w:rsidRDefault="003B3320" w:rsidP="00E5126C">
      <w:pPr>
        <w:ind w:left="720"/>
      </w:pPr>
      <w:r w:rsidRPr="00B84A50">
        <w:t xml:space="preserve">DATED this </w:t>
      </w:r>
      <w:r w:rsidR="00B84A50">
        <w:t>13</w:t>
      </w:r>
      <w:r w:rsidR="00C31EDA" w:rsidRPr="00B84A50">
        <w:rPr>
          <w:vertAlign w:val="superscript"/>
        </w:rPr>
        <w:t>th</w:t>
      </w:r>
      <w:r w:rsidR="00C31EDA" w:rsidRPr="00B84A50">
        <w:t xml:space="preserve"> </w:t>
      </w:r>
      <w:r w:rsidR="00E5126C" w:rsidRPr="00B84A50">
        <w:t xml:space="preserve">day of </w:t>
      </w:r>
      <w:r w:rsidR="00B84A50">
        <w:t>January</w:t>
      </w:r>
      <w:r w:rsidR="00130A4A" w:rsidRPr="00B84A50">
        <w:t xml:space="preserve"> </w:t>
      </w:r>
      <w:r w:rsidRPr="00B84A50">
        <w:t>201</w:t>
      </w:r>
      <w:r w:rsidR="00B84A50">
        <w:t>7</w:t>
      </w:r>
      <w:r w:rsidRPr="00B84A50">
        <w:t>.</w:t>
      </w:r>
    </w:p>
    <w:p w14:paraId="0256EDF8" w14:textId="77777777" w:rsidR="003B3320" w:rsidRPr="003B3320" w:rsidRDefault="003B3320" w:rsidP="003B3320">
      <w:pPr>
        <w:pStyle w:val="BodyTextIndent2"/>
        <w:ind w:left="360"/>
      </w:pPr>
    </w:p>
    <w:p w14:paraId="5BF3F30C" w14:textId="77777777" w:rsidR="003B3320" w:rsidRPr="003B3320" w:rsidRDefault="003B3320" w:rsidP="003B3320">
      <w:pPr>
        <w:ind w:left="4320"/>
        <w:jc w:val="both"/>
      </w:pPr>
      <w:r w:rsidRPr="003B3320">
        <w:t xml:space="preserve">Respectfully submitted, </w:t>
      </w:r>
    </w:p>
    <w:p w14:paraId="38BFF6CB" w14:textId="77777777" w:rsidR="003B3320" w:rsidRPr="003B3320" w:rsidRDefault="003B3320" w:rsidP="003B3320">
      <w:pPr>
        <w:ind w:left="4320"/>
        <w:jc w:val="both"/>
      </w:pPr>
    </w:p>
    <w:p w14:paraId="376B95A6" w14:textId="77777777" w:rsidR="003B3320" w:rsidRPr="003B3320" w:rsidRDefault="003B3320" w:rsidP="003B3320">
      <w:pPr>
        <w:ind w:left="4320"/>
        <w:jc w:val="both"/>
      </w:pPr>
      <w:r w:rsidRPr="003B3320">
        <w:t xml:space="preserve">ROBERT W. FERGUSON </w:t>
      </w:r>
    </w:p>
    <w:p w14:paraId="3558DB38" w14:textId="77777777" w:rsidR="003B3320" w:rsidRPr="003B3320" w:rsidRDefault="003B3320" w:rsidP="003B3320">
      <w:pPr>
        <w:ind w:left="4320"/>
        <w:jc w:val="both"/>
      </w:pPr>
      <w:r w:rsidRPr="003B3320">
        <w:t>Attorney General</w:t>
      </w:r>
    </w:p>
    <w:p w14:paraId="2CDECBFC" w14:textId="77777777" w:rsidR="003B3320" w:rsidRPr="003B3320" w:rsidRDefault="003B3320" w:rsidP="003B3320">
      <w:pPr>
        <w:ind w:left="4320"/>
        <w:jc w:val="both"/>
      </w:pPr>
    </w:p>
    <w:p w14:paraId="7A4457D0" w14:textId="77777777" w:rsidR="003B3320" w:rsidRPr="003B3320" w:rsidRDefault="003B3320" w:rsidP="003B3320">
      <w:pPr>
        <w:ind w:left="4320"/>
        <w:jc w:val="both"/>
      </w:pPr>
    </w:p>
    <w:p w14:paraId="63CBF259" w14:textId="77777777" w:rsidR="003B3320" w:rsidRPr="003B3320" w:rsidRDefault="003B3320" w:rsidP="003B3320">
      <w:pPr>
        <w:ind w:left="4320"/>
        <w:jc w:val="both"/>
      </w:pPr>
      <w:r w:rsidRPr="003B3320">
        <w:t>______________________________________</w:t>
      </w:r>
    </w:p>
    <w:p w14:paraId="221D250A" w14:textId="2A705850" w:rsidR="003B3320" w:rsidRPr="003B3320" w:rsidRDefault="00AA6900" w:rsidP="003B3320">
      <w:pPr>
        <w:ind w:left="4320"/>
        <w:jc w:val="both"/>
      </w:pPr>
      <w:r>
        <w:t>JENNIFER CAMERON-RULKOWSKI</w:t>
      </w:r>
    </w:p>
    <w:p w14:paraId="5322A8E7" w14:textId="77777777" w:rsidR="003B3320" w:rsidRPr="003B3320" w:rsidRDefault="003B3320" w:rsidP="003B3320">
      <w:pPr>
        <w:ind w:left="4320"/>
        <w:jc w:val="both"/>
      </w:pPr>
      <w:r w:rsidRPr="003B3320">
        <w:t>Assistant Attorney General</w:t>
      </w:r>
    </w:p>
    <w:p w14:paraId="73B68F90" w14:textId="77777777" w:rsidR="003B3320" w:rsidRPr="003B3320" w:rsidRDefault="003B3320" w:rsidP="003B3320">
      <w:pPr>
        <w:ind w:left="4320"/>
        <w:jc w:val="both"/>
      </w:pPr>
      <w:r w:rsidRPr="003B3320">
        <w:t>Counsel for Washington Utilities and</w:t>
      </w:r>
    </w:p>
    <w:p w14:paraId="466BF786" w14:textId="141E562E" w:rsidR="006A5D82" w:rsidRPr="00EF1F34" w:rsidRDefault="003B3320" w:rsidP="00DF5EB8">
      <w:pPr>
        <w:ind w:left="4320"/>
        <w:jc w:val="both"/>
      </w:pPr>
      <w:r w:rsidRPr="003B3320">
        <w:t>Transportation Commission Staff</w:t>
      </w:r>
    </w:p>
    <w:sectPr w:rsidR="006A5D82" w:rsidRPr="00EF1F34" w:rsidSect="00A172D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B4330" w14:textId="77777777" w:rsidR="00E976F8" w:rsidRDefault="00E976F8" w:rsidP="00321309">
      <w:r>
        <w:separator/>
      </w:r>
    </w:p>
  </w:endnote>
  <w:endnote w:type="continuationSeparator" w:id="0">
    <w:p w14:paraId="15D1276F" w14:textId="77777777" w:rsidR="00E976F8" w:rsidRDefault="00E976F8" w:rsidP="00321309">
      <w:r>
        <w:continuationSeparator/>
      </w:r>
    </w:p>
  </w:endnote>
  <w:endnote w:type="continuationNotice" w:id="1">
    <w:p w14:paraId="7459FFCC" w14:textId="77777777" w:rsidR="00E976F8" w:rsidRDefault="00E97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F2353" w14:textId="77777777" w:rsidR="00DA20D7" w:rsidRDefault="00DA20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870B3" w14:textId="77777777" w:rsidR="00E976F8" w:rsidRPr="00F408BE" w:rsidRDefault="00E976F8">
    <w:pPr>
      <w:pStyle w:val="Footer"/>
      <w:rPr>
        <w:sz w:val="20"/>
        <w:szCs w:val="20"/>
      </w:rPr>
    </w:pPr>
  </w:p>
  <w:p w14:paraId="79AC1AAE" w14:textId="0A3F0E72" w:rsidR="00E976F8" w:rsidRDefault="00E976F8" w:rsidP="00130A4A">
    <w:pPr>
      <w:pStyle w:val="Footer"/>
      <w:rPr>
        <w:sz w:val="20"/>
        <w:szCs w:val="20"/>
      </w:rPr>
    </w:pPr>
    <w:r>
      <w:rPr>
        <w:sz w:val="20"/>
        <w:szCs w:val="20"/>
      </w:rPr>
      <w:t>STAFF’S</w:t>
    </w:r>
    <w:r w:rsidRPr="00F408BE">
      <w:rPr>
        <w:sz w:val="20"/>
        <w:szCs w:val="20"/>
      </w:rPr>
      <w:t xml:space="preserve"> </w:t>
    </w:r>
    <w:r>
      <w:rPr>
        <w:sz w:val="20"/>
        <w:szCs w:val="20"/>
      </w:rPr>
      <w:t xml:space="preserve">ANSWER TO AVISTA’S PETITION </w:t>
    </w:r>
  </w:p>
  <w:p w14:paraId="773846AF" w14:textId="350A23FC" w:rsidR="00E976F8" w:rsidRPr="00F408BE" w:rsidRDefault="00E976F8" w:rsidP="00130A4A">
    <w:pPr>
      <w:pStyle w:val="Footer"/>
      <w:rPr>
        <w:sz w:val="20"/>
        <w:szCs w:val="20"/>
      </w:rPr>
    </w:pPr>
    <w:r>
      <w:rPr>
        <w:sz w:val="20"/>
        <w:szCs w:val="20"/>
      </w:rPr>
      <w:t>FOR RECONSIDERATION</w:t>
    </w:r>
    <w:r w:rsidRPr="00F408BE">
      <w:rPr>
        <w:sz w:val="20"/>
        <w:szCs w:val="20"/>
      </w:rPr>
      <w:t xml:space="preserve"> </w:t>
    </w:r>
    <w:r>
      <w:rPr>
        <w:sz w:val="20"/>
        <w:szCs w:val="20"/>
      </w:rPr>
      <w:t xml:space="preserve">OR REHEARING </w:t>
    </w:r>
    <w:r w:rsidRPr="00F408BE">
      <w:rPr>
        <w:sz w:val="20"/>
        <w:szCs w:val="20"/>
      </w:rPr>
      <w:t xml:space="preserve">- </w:t>
    </w:r>
    <w:r w:rsidRPr="00F408BE">
      <w:rPr>
        <w:rStyle w:val="PageNumber"/>
        <w:sz w:val="20"/>
        <w:szCs w:val="20"/>
      </w:rPr>
      <w:fldChar w:fldCharType="begin"/>
    </w:r>
    <w:r w:rsidRPr="00F408BE">
      <w:rPr>
        <w:rStyle w:val="PageNumber"/>
        <w:sz w:val="20"/>
        <w:szCs w:val="20"/>
      </w:rPr>
      <w:instrText xml:space="preserve"> PAGE </w:instrText>
    </w:r>
    <w:r w:rsidRPr="00F408BE">
      <w:rPr>
        <w:rStyle w:val="PageNumber"/>
        <w:sz w:val="20"/>
        <w:szCs w:val="20"/>
      </w:rPr>
      <w:fldChar w:fldCharType="separate"/>
    </w:r>
    <w:r w:rsidR="00E86C8F">
      <w:rPr>
        <w:rStyle w:val="PageNumber"/>
        <w:noProof/>
        <w:sz w:val="20"/>
        <w:szCs w:val="20"/>
      </w:rPr>
      <w:t>10</w:t>
    </w:r>
    <w:r w:rsidRPr="00F408BE">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7CB46" w14:textId="77777777" w:rsidR="00DA20D7" w:rsidRDefault="00DA2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12C0" w14:textId="77777777" w:rsidR="00E976F8" w:rsidRDefault="00E976F8" w:rsidP="00321309">
      <w:r>
        <w:separator/>
      </w:r>
    </w:p>
  </w:footnote>
  <w:footnote w:type="continuationSeparator" w:id="0">
    <w:p w14:paraId="010F9BEE" w14:textId="77777777" w:rsidR="00E976F8" w:rsidRDefault="00E976F8" w:rsidP="00321309">
      <w:r>
        <w:continuationSeparator/>
      </w:r>
    </w:p>
  </w:footnote>
  <w:footnote w:type="continuationNotice" w:id="1">
    <w:p w14:paraId="272F5CA9" w14:textId="77777777" w:rsidR="00E976F8" w:rsidRDefault="00E976F8"/>
  </w:footnote>
  <w:footnote w:id="2">
    <w:p w14:paraId="33B4BAFA" w14:textId="74A66CDE" w:rsidR="00E976F8" w:rsidRDefault="00E976F8">
      <w:pPr>
        <w:pStyle w:val="FootnoteText"/>
      </w:pPr>
      <w:r>
        <w:rPr>
          <w:rStyle w:val="FootnoteReference"/>
        </w:rPr>
        <w:footnoteRef/>
      </w:r>
      <w:r>
        <w:t xml:space="preserve"> Order 06 at ¶ 52, </w:t>
      </w:r>
      <w:r w:rsidRPr="00607C00">
        <w:rPr>
          <w:i/>
        </w:rPr>
        <w:t>quoting</w:t>
      </w:r>
      <w:r>
        <w:t xml:space="preserve"> </w:t>
      </w:r>
      <w:r>
        <w:rPr>
          <w:i/>
        </w:rPr>
        <w:t>Wash. Utils. &amp; Transp. Comm’n v. Avista Corp.</w:t>
      </w:r>
      <w:r>
        <w:t>, Dockets UE-150204 and UG-150205, Order 05, ¶ 110 (Jan. 6, 2016) (Order 05).</w:t>
      </w:r>
    </w:p>
  </w:footnote>
  <w:footnote w:id="3">
    <w:p w14:paraId="76B4DF67" w14:textId="00344823" w:rsidR="00E976F8" w:rsidRDefault="00E976F8">
      <w:pPr>
        <w:pStyle w:val="FootnoteText"/>
      </w:pPr>
      <w:r>
        <w:rPr>
          <w:rStyle w:val="FootnoteReference"/>
        </w:rPr>
        <w:footnoteRef/>
      </w:r>
      <w:r>
        <w:t xml:space="preserve"> Order 06 at ¶¶ 62-63.</w:t>
      </w:r>
    </w:p>
  </w:footnote>
  <w:footnote w:id="4">
    <w:p w14:paraId="78CFC4BB" w14:textId="5814CA3D" w:rsidR="00E976F8" w:rsidRDefault="00E976F8">
      <w:pPr>
        <w:pStyle w:val="FootnoteText"/>
      </w:pPr>
      <w:r>
        <w:rPr>
          <w:rStyle w:val="FootnoteReference"/>
        </w:rPr>
        <w:footnoteRef/>
      </w:r>
      <w:r>
        <w:t xml:space="preserve"> Order 06 at ¶ 66.</w:t>
      </w:r>
    </w:p>
  </w:footnote>
  <w:footnote w:id="5">
    <w:p w14:paraId="1499E5D2" w14:textId="7E2842B0" w:rsidR="00E976F8" w:rsidRDefault="00E976F8">
      <w:pPr>
        <w:pStyle w:val="FootnoteText"/>
      </w:pPr>
      <w:r>
        <w:rPr>
          <w:rStyle w:val="FootnoteReference"/>
        </w:rPr>
        <w:footnoteRef/>
      </w:r>
      <w:r>
        <w:t xml:space="preserve"> Order 06 at ¶ 70.</w:t>
      </w:r>
    </w:p>
  </w:footnote>
  <w:footnote w:id="6">
    <w:p w14:paraId="0AEFB574" w14:textId="5C32836D" w:rsidR="00E976F8" w:rsidRDefault="00E976F8">
      <w:pPr>
        <w:pStyle w:val="FootnoteText"/>
      </w:pPr>
      <w:r>
        <w:rPr>
          <w:rStyle w:val="FootnoteReference"/>
        </w:rPr>
        <w:footnoteRef/>
      </w:r>
      <w:r>
        <w:t xml:space="preserve"> Order 06 at ¶ 70.</w:t>
      </w:r>
    </w:p>
  </w:footnote>
  <w:footnote w:id="7">
    <w:p w14:paraId="7F249DCE" w14:textId="2FAB76D0" w:rsidR="00E976F8" w:rsidRDefault="00E976F8">
      <w:pPr>
        <w:pStyle w:val="FootnoteText"/>
      </w:pPr>
      <w:r>
        <w:rPr>
          <w:rStyle w:val="FootnoteReference"/>
        </w:rPr>
        <w:footnoteRef/>
      </w:r>
      <w:r>
        <w:t xml:space="preserve"> Petition at ¶ 9.</w:t>
      </w:r>
    </w:p>
  </w:footnote>
  <w:footnote w:id="8">
    <w:p w14:paraId="058ABC9D" w14:textId="47C110DE" w:rsidR="00E976F8" w:rsidRDefault="00E976F8">
      <w:pPr>
        <w:pStyle w:val="FootnoteText"/>
      </w:pPr>
      <w:r>
        <w:rPr>
          <w:rStyle w:val="FootnoteReference"/>
        </w:rPr>
        <w:footnoteRef/>
      </w:r>
      <w:r>
        <w:t xml:space="preserve"> Order 05 at ¶ 129.</w:t>
      </w:r>
    </w:p>
  </w:footnote>
  <w:footnote w:id="9">
    <w:p w14:paraId="287AEE28" w14:textId="7E365DE2" w:rsidR="00E976F8" w:rsidRDefault="00E976F8">
      <w:pPr>
        <w:pStyle w:val="FootnoteText"/>
      </w:pPr>
      <w:r>
        <w:rPr>
          <w:rStyle w:val="FootnoteReference"/>
        </w:rPr>
        <w:footnoteRef/>
      </w:r>
      <w:r>
        <w:t xml:space="preserve"> Order 05 at ¶ 136.</w:t>
      </w:r>
    </w:p>
  </w:footnote>
  <w:footnote w:id="10">
    <w:p w14:paraId="069B78BD" w14:textId="77777777" w:rsidR="00503E70" w:rsidRDefault="00503E70" w:rsidP="00503E70">
      <w:pPr>
        <w:pStyle w:val="FootnoteText"/>
      </w:pPr>
      <w:r>
        <w:rPr>
          <w:rStyle w:val="FootnoteReference"/>
        </w:rPr>
        <w:footnoteRef/>
      </w:r>
      <w:r>
        <w:t xml:space="preserve"> Petition at ¶ 13.</w:t>
      </w:r>
    </w:p>
  </w:footnote>
  <w:footnote w:id="11">
    <w:p w14:paraId="73EDB1CF" w14:textId="32C16743" w:rsidR="00E976F8" w:rsidRDefault="00E976F8" w:rsidP="009B6005">
      <w:pPr>
        <w:pStyle w:val="FootnoteText"/>
      </w:pPr>
      <w:r>
        <w:rPr>
          <w:rStyle w:val="FootnoteReference"/>
        </w:rPr>
        <w:footnoteRef/>
      </w:r>
      <w:r>
        <w:t xml:space="preserve"> </w:t>
      </w:r>
      <w:r>
        <w:rPr>
          <w:i/>
        </w:rPr>
        <w:t xml:space="preserve">See </w:t>
      </w:r>
      <w:r>
        <w:t>Order 06 at ¶ 70.</w:t>
      </w:r>
    </w:p>
  </w:footnote>
  <w:footnote w:id="12">
    <w:p w14:paraId="5D23248D" w14:textId="679398D4" w:rsidR="00E976F8" w:rsidRDefault="00E976F8">
      <w:pPr>
        <w:pStyle w:val="FootnoteText"/>
      </w:pPr>
      <w:r>
        <w:rPr>
          <w:rStyle w:val="FootnoteReference"/>
        </w:rPr>
        <w:footnoteRef/>
      </w:r>
      <w:r>
        <w:t xml:space="preserve"> Order 06 at ¶ 66.</w:t>
      </w:r>
    </w:p>
  </w:footnote>
  <w:footnote w:id="13">
    <w:p w14:paraId="1F36547C" w14:textId="278C4AA0" w:rsidR="00E976F8" w:rsidRDefault="00E976F8">
      <w:pPr>
        <w:pStyle w:val="FootnoteText"/>
      </w:pPr>
      <w:r>
        <w:rPr>
          <w:rStyle w:val="FootnoteReference"/>
        </w:rPr>
        <w:footnoteRef/>
      </w:r>
      <w:r>
        <w:t xml:space="preserve"> Petition at ¶ 29.</w:t>
      </w:r>
    </w:p>
  </w:footnote>
  <w:footnote w:id="14">
    <w:p w14:paraId="54720FED" w14:textId="5D60B982" w:rsidR="00E976F8" w:rsidRPr="00F15C87" w:rsidRDefault="00E976F8">
      <w:pPr>
        <w:pStyle w:val="FootnoteText"/>
      </w:pPr>
      <w:r>
        <w:rPr>
          <w:rStyle w:val="FootnoteReference"/>
        </w:rPr>
        <w:footnoteRef/>
      </w:r>
      <w:r>
        <w:t xml:space="preserve"> </w:t>
      </w:r>
      <w:r>
        <w:rPr>
          <w:i/>
        </w:rPr>
        <w:t xml:space="preserve">See </w:t>
      </w:r>
      <w:r>
        <w:t>Order 06 at ¶ 69.</w:t>
      </w:r>
    </w:p>
  </w:footnote>
  <w:footnote w:id="15">
    <w:p w14:paraId="10E09F88" w14:textId="600AB7D6" w:rsidR="00E976F8" w:rsidRDefault="00E976F8">
      <w:pPr>
        <w:pStyle w:val="FootnoteText"/>
      </w:pPr>
      <w:r>
        <w:rPr>
          <w:rStyle w:val="FootnoteReference"/>
        </w:rPr>
        <w:footnoteRef/>
      </w:r>
      <w:r>
        <w:t xml:space="preserve"> Order 06 at ¶¶ 59-61.</w:t>
      </w:r>
    </w:p>
  </w:footnote>
  <w:footnote w:id="16">
    <w:p w14:paraId="01B54EB1" w14:textId="6ACAE0D4" w:rsidR="00E976F8" w:rsidRDefault="00E976F8">
      <w:pPr>
        <w:pStyle w:val="FootnoteText"/>
      </w:pPr>
      <w:r>
        <w:rPr>
          <w:rStyle w:val="FootnoteReference"/>
        </w:rPr>
        <w:footnoteRef/>
      </w:r>
      <w:r>
        <w:t xml:space="preserve"> Order 06 at ¶ 62.</w:t>
      </w:r>
    </w:p>
  </w:footnote>
  <w:footnote w:id="17">
    <w:p w14:paraId="4AB415C0" w14:textId="77777777" w:rsidR="00E976F8" w:rsidRDefault="00E976F8" w:rsidP="005F735B">
      <w:pPr>
        <w:pStyle w:val="FootnoteText"/>
      </w:pPr>
      <w:r>
        <w:rPr>
          <w:rStyle w:val="FootnoteReference"/>
        </w:rPr>
        <w:footnoteRef/>
      </w:r>
      <w:r>
        <w:t xml:space="preserve"> Order 06 at ¶ 65.</w:t>
      </w:r>
    </w:p>
  </w:footnote>
  <w:footnote w:id="18">
    <w:p w14:paraId="61739AC9" w14:textId="77777777" w:rsidR="00CC5196" w:rsidRDefault="00875DE3" w:rsidP="00875DE3">
      <w:pPr>
        <w:autoSpaceDE w:val="0"/>
        <w:autoSpaceDN w:val="0"/>
        <w:adjustRightInd w:val="0"/>
        <w:rPr>
          <w:sz w:val="20"/>
          <w:szCs w:val="20"/>
        </w:rPr>
      </w:pPr>
      <w:r w:rsidRPr="00875DE3">
        <w:rPr>
          <w:rStyle w:val="FootnoteReference"/>
          <w:sz w:val="20"/>
          <w:szCs w:val="20"/>
        </w:rPr>
        <w:footnoteRef/>
      </w:r>
      <w:r w:rsidRPr="00875DE3">
        <w:rPr>
          <w:sz w:val="20"/>
          <w:szCs w:val="20"/>
        </w:rPr>
        <w:t xml:space="preserve"> Specifically, in Order 06 at </w:t>
      </w:r>
      <w:r w:rsidR="002E693C">
        <w:rPr>
          <w:sz w:val="20"/>
          <w:szCs w:val="20"/>
        </w:rPr>
        <w:t>¶</w:t>
      </w:r>
      <w:r w:rsidR="006671F5">
        <w:rPr>
          <w:sz w:val="20"/>
          <w:szCs w:val="20"/>
        </w:rPr>
        <w:t xml:space="preserve"> </w:t>
      </w:r>
      <w:r w:rsidR="002E693C">
        <w:rPr>
          <w:sz w:val="20"/>
          <w:szCs w:val="20"/>
        </w:rPr>
        <w:t xml:space="preserve">68, </w:t>
      </w:r>
      <w:r w:rsidR="00CC5196">
        <w:rPr>
          <w:sz w:val="20"/>
          <w:szCs w:val="20"/>
        </w:rPr>
        <w:t>the</w:t>
      </w:r>
      <w:r w:rsidR="002E693C">
        <w:rPr>
          <w:sz w:val="20"/>
          <w:szCs w:val="20"/>
        </w:rPr>
        <w:t xml:space="preserve"> Commission reiterated</w:t>
      </w:r>
      <w:r w:rsidR="00CC5196">
        <w:rPr>
          <w:sz w:val="20"/>
          <w:szCs w:val="20"/>
        </w:rPr>
        <w:t>:</w:t>
      </w:r>
    </w:p>
    <w:p w14:paraId="441650B3" w14:textId="77777777" w:rsidR="00CC5196" w:rsidRDefault="00875DE3" w:rsidP="00CC5196">
      <w:pPr>
        <w:autoSpaceDE w:val="0"/>
        <w:autoSpaceDN w:val="0"/>
        <w:adjustRightInd w:val="0"/>
        <w:ind w:left="720"/>
        <w:rPr>
          <w:rFonts w:eastAsiaTheme="minorHAnsi"/>
          <w:sz w:val="20"/>
          <w:szCs w:val="20"/>
        </w:rPr>
      </w:pPr>
      <w:r w:rsidRPr="00875DE3">
        <w:rPr>
          <w:rFonts w:eastAsiaTheme="minorHAnsi"/>
          <w:sz w:val="20"/>
          <w:szCs w:val="20"/>
        </w:rPr>
        <w:t>[A]uthorizing a practice that simply projects future levels of expense and capital</w:t>
      </w:r>
      <w:r>
        <w:rPr>
          <w:rFonts w:eastAsiaTheme="minorHAnsi"/>
          <w:sz w:val="20"/>
          <w:szCs w:val="20"/>
        </w:rPr>
        <w:t xml:space="preserve"> </w:t>
      </w:r>
      <w:r w:rsidRPr="00875DE3">
        <w:rPr>
          <w:rFonts w:eastAsiaTheme="minorHAnsi"/>
          <w:sz w:val="20"/>
          <w:szCs w:val="20"/>
        </w:rPr>
        <w:t>expenditures . . . may, as multiple commenters point out, “become a ‘self-fulfilling</w:t>
      </w:r>
      <w:r w:rsidR="002E693C">
        <w:rPr>
          <w:rFonts w:eastAsiaTheme="minorHAnsi"/>
          <w:sz w:val="20"/>
          <w:szCs w:val="20"/>
        </w:rPr>
        <w:t xml:space="preserve"> </w:t>
      </w:r>
      <w:r w:rsidRPr="00875DE3">
        <w:rPr>
          <w:rFonts w:eastAsiaTheme="minorHAnsi"/>
          <w:sz w:val="20"/>
          <w:szCs w:val="20"/>
        </w:rPr>
        <w:t>prophecy’ where there is an incentive for rates of capital expenditure to be driven by an</w:t>
      </w:r>
      <w:r>
        <w:rPr>
          <w:rFonts w:eastAsiaTheme="minorHAnsi"/>
          <w:sz w:val="20"/>
          <w:szCs w:val="20"/>
        </w:rPr>
        <w:t xml:space="preserve"> </w:t>
      </w:r>
      <w:r w:rsidRPr="00875DE3">
        <w:rPr>
          <w:rFonts w:eastAsiaTheme="minorHAnsi"/>
          <w:sz w:val="20"/>
          <w:szCs w:val="20"/>
        </w:rPr>
        <w:t>effort to match earlier projections.</w:t>
      </w:r>
    </w:p>
    <w:p w14:paraId="1560B14A" w14:textId="39CC2BBE" w:rsidR="00875DE3" w:rsidRPr="00875DE3" w:rsidRDefault="00CC5196" w:rsidP="00CC5196">
      <w:pPr>
        <w:autoSpaceDE w:val="0"/>
        <w:autoSpaceDN w:val="0"/>
        <w:adjustRightInd w:val="0"/>
        <w:rPr>
          <w:rFonts w:eastAsiaTheme="minorHAnsi"/>
          <w:sz w:val="20"/>
          <w:szCs w:val="20"/>
        </w:rPr>
      </w:pPr>
      <w:r>
        <w:rPr>
          <w:rFonts w:eastAsiaTheme="minorHAnsi"/>
          <w:i/>
          <w:sz w:val="20"/>
          <w:szCs w:val="20"/>
        </w:rPr>
        <w:t xml:space="preserve">Quoting </w:t>
      </w:r>
      <w:r>
        <w:rPr>
          <w:rFonts w:eastAsiaTheme="minorHAnsi"/>
          <w:sz w:val="20"/>
          <w:szCs w:val="20"/>
        </w:rPr>
        <w:t xml:space="preserve">Order 05 at ¶ 119. </w:t>
      </w:r>
    </w:p>
  </w:footnote>
  <w:footnote w:id="19">
    <w:p w14:paraId="33A7A1E8" w14:textId="75C14A80" w:rsidR="00E976F8" w:rsidRDefault="00E976F8" w:rsidP="00AA6900">
      <w:pPr>
        <w:pStyle w:val="FootnoteText"/>
      </w:pPr>
      <w:r>
        <w:rPr>
          <w:rStyle w:val="FootnoteReference"/>
        </w:rPr>
        <w:footnoteRef/>
      </w:r>
      <w:r>
        <w:t xml:space="preserve"> Exh. No. JH-2, p. 10.</w:t>
      </w:r>
    </w:p>
  </w:footnote>
  <w:footnote w:id="20">
    <w:p w14:paraId="40FB198C" w14:textId="0CB0CA02" w:rsidR="00E976F8" w:rsidRDefault="00E976F8" w:rsidP="00AA6900">
      <w:pPr>
        <w:pStyle w:val="FootnoteText"/>
      </w:pPr>
      <w:r>
        <w:rPr>
          <w:rStyle w:val="FootnoteReference"/>
        </w:rPr>
        <w:footnoteRef/>
      </w:r>
      <w:r>
        <w:t xml:space="preserve"> Exh. No. JH-3, p. 10.</w:t>
      </w:r>
    </w:p>
  </w:footnote>
  <w:footnote w:id="21">
    <w:p w14:paraId="6B6DC3B5" w14:textId="6590DF6A" w:rsidR="00E976F8" w:rsidRDefault="00E976F8">
      <w:pPr>
        <w:pStyle w:val="FootnoteText"/>
      </w:pPr>
      <w:r>
        <w:rPr>
          <w:rStyle w:val="FootnoteReference"/>
        </w:rPr>
        <w:footnoteRef/>
      </w:r>
      <w:r>
        <w:t xml:space="preserve"> Petition at ¶ 59.</w:t>
      </w:r>
    </w:p>
  </w:footnote>
  <w:footnote w:id="22">
    <w:p w14:paraId="54943CDF" w14:textId="3865DBE4" w:rsidR="00E976F8" w:rsidRDefault="00E976F8" w:rsidP="00461C0B">
      <w:pPr>
        <w:pStyle w:val="FootnoteText"/>
      </w:pPr>
      <w:r w:rsidRPr="008A718B">
        <w:rPr>
          <w:rStyle w:val="FootnoteReference"/>
        </w:rPr>
        <w:footnoteRef/>
      </w:r>
      <w:r w:rsidRPr="008A718B">
        <w:t xml:space="preserve"> </w:t>
      </w:r>
      <w:r>
        <w:t xml:space="preserve">Google Finance, Avista Corporation Common Stock for </w:t>
      </w:r>
      <w:r w:rsidR="007543E3">
        <w:t>January</w:t>
      </w:r>
      <w:r w:rsidR="00F56A62">
        <w:t xml:space="preserve"> </w:t>
      </w:r>
      <w:r w:rsidR="007543E3">
        <w:t>12</w:t>
      </w:r>
      <w:r w:rsidR="00F56A62">
        <w:t>, 201</w:t>
      </w:r>
      <w:r w:rsidR="007543E3">
        <w:t>7</w:t>
      </w:r>
      <w:r>
        <w:t xml:space="preserve">, </w:t>
      </w:r>
      <w:hyperlink r:id="rId1" w:history="1">
        <w:r w:rsidRPr="00CF7A0E">
          <w:rPr>
            <w:rStyle w:val="Hyperlink"/>
          </w:rPr>
          <w:t>https://www.google.com/finance?chdnp=1&amp;chdd=1&amp;chds=1&amp;chdv=1&amp;chvs=maximized&amp;chdeh=0&amp;chfdeh=0&amp;chdet=1484259117598&amp;chddm=391&amp;chls=IntervalBasedLine&amp;q=NYSE:AVA&amp;ntsp=0&amp;ei=Iv93WNC1HYezjAGq06y4BQ</w:t>
        </w:r>
      </w:hyperlink>
      <w:r>
        <w:t xml:space="preserve"> </w:t>
      </w:r>
      <w:r w:rsidR="00F56A62">
        <w:t>(accessed January 1</w:t>
      </w:r>
      <w:r w:rsidR="007543E3">
        <w:t>2</w:t>
      </w:r>
      <w:r w:rsidR="00F56A62">
        <w:t>, 2017).</w:t>
      </w:r>
      <w:r>
        <w:t xml:space="preserve"> Printout included as Attachment A</w:t>
      </w:r>
      <w:r w:rsidR="004C5E70">
        <w:t>.</w:t>
      </w:r>
    </w:p>
  </w:footnote>
  <w:footnote w:id="23">
    <w:p w14:paraId="77BE5923" w14:textId="0D5A3796" w:rsidR="00E976F8" w:rsidRPr="00310F89" w:rsidRDefault="00E976F8">
      <w:pPr>
        <w:pStyle w:val="FootnoteText"/>
        <w:rPr>
          <w:i/>
        </w:rPr>
      </w:pPr>
      <w:r>
        <w:rPr>
          <w:rStyle w:val="FootnoteReference"/>
        </w:rPr>
        <w:footnoteRef/>
      </w:r>
      <w:r>
        <w:t xml:space="preserve"> </w:t>
      </w:r>
      <w:r>
        <w:rPr>
          <w:i/>
        </w:rPr>
        <w:t>Id.</w:t>
      </w:r>
    </w:p>
  </w:footnote>
  <w:footnote w:id="24">
    <w:p w14:paraId="5AE572D4" w14:textId="511B3FE0" w:rsidR="00E976F8" w:rsidRDefault="00E976F8" w:rsidP="00AD223A">
      <w:pPr>
        <w:pStyle w:val="FootnoteText"/>
      </w:pPr>
      <w:r>
        <w:rPr>
          <w:rStyle w:val="FootnoteReference"/>
        </w:rPr>
        <w:footnoteRef/>
      </w:r>
      <w:r>
        <w:t xml:space="preserve"> Avista Securities and Exchange Commission Form 8-K, available at </w:t>
      </w:r>
      <w:hyperlink r:id="rId2" w:history="1">
        <w:r w:rsidRPr="007E0805">
          <w:rPr>
            <w:rStyle w:val="Hyperlink"/>
          </w:rPr>
          <w:t>https://www.sec.gov/Archives/edgar/data/104918/000010491816000286/wagrcdecision8-kdecember16.htm</w:t>
        </w:r>
      </w:hyperlink>
      <w:r>
        <w:t xml:space="preserve"> (accessed January 10, 2017).</w:t>
      </w:r>
    </w:p>
  </w:footnote>
  <w:footnote w:id="25">
    <w:p w14:paraId="2F732015" w14:textId="5D413412" w:rsidR="00E976F8" w:rsidRDefault="00E976F8" w:rsidP="00AD223A">
      <w:pPr>
        <w:pStyle w:val="FootnoteText"/>
      </w:pPr>
      <w:r>
        <w:rPr>
          <w:rStyle w:val="FootnoteReference"/>
        </w:rPr>
        <w:footnoteRef/>
      </w:r>
      <w:r>
        <w:t xml:space="preserve"> Avista’s stock closed at $41.65 on December 14, and closed at $42.17 on December 15, 2016. Google Finance, Avista Corporation Common Stock for December 14-16, 2016. </w:t>
      </w:r>
      <w:hyperlink r:id="rId3" w:history="1">
        <w:r w:rsidR="009C0B07" w:rsidRPr="009C0B07">
          <w:rPr>
            <w:rStyle w:val="Hyperlink"/>
          </w:rPr>
          <w:t>https://www.google.com/finance?chdnp=1&amp;chdd=1&amp;chds=1&amp;chdv=1&amp;chvs=maximized&amp;chdeh=0&amp;chfdeh=0&amp;chdet=1481922000000&amp;chddm=1173&amp;chls=IntervalBasedLine&amp;q=NYSE:AVA&amp;ntsp=0&amp;ei=yAd4WLnhEcK-jAGWhrDYCAhttps://www.google.com/finance?chdnp=1&amp;chdd=1&amp;chds=1&amp;chdv=1&amp;chvs=maximized&amp;chdeh=0&amp;chfdeh=0&amp;chdet=1481922000000&amp;chddm=1173&amp;chls=IntervalBasedLine&amp;q=NYSE:AVA&amp;ntsp=0&amp;ei=yAd4WLnhEcK-jAGWhrDYCA</w:t>
        </w:r>
      </w:hyperlink>
      <w:r w:rsidR="001D6721" w:rsidRPr="001D6721">
        <w:t xml:space="preserve"> </w:t>
      </w:r>
      <w:r w:rsidR="00F56A62">
        <w:t>(accessed January 12, 2017).</w:t>
      </w:r>
    </w:p>
  </w:footnote>
  <w:footnote w:id="26">
    <w:p w14:paraId="51D906F0" w14:textId="3CE99CDB" w:rsidR="00E976F8" w:rsidRDefault="00E976F8">
      <w:pPr>
        <w:pStyle w:val="FootnoteText"/>
      </w:pPr>
      <w:r>
        <w:rPr>
          <w:rStyle w:val="FootnoteReference"/>
        </w:rPr>
        <w:footnoteRef/>
      </w:r>
      <w:r>
        <w:t xml:space="preserve"> Google Finance, Avista Corp. Common Stock from December 13, 2016 to December 23, 2016: </w:t>
      </w:r>
      <w:hyperlink r:id="rId4" w:history="1">
        <w:r w:rsidRPr="007E0805">
          <w:rPr>
            <w:rStyle w:val="Hyperlink"/>
          </w:rPr>
          <w:t>https://www.google.com/finance?chdnp=1&amp;chdd=1&amp;chds=1&amp;chdv=1&amp;chvs=maximized&amp;chdeh=0&amp;chfdeh=0&amp;chdet=1482526800000&amp;chddm=3519&amp;chls=IntervalBasedLine&amp;q=NYSE:AVA&amp;ntsp=0&amp;ei=90psWLiNLYyJjAG_34_4Dg</w:t>
        </w:r>
      </w:hyperlink>
      <w:r>
        <w:t xml:space="preserve"> (accessed January 10, 2017). </w:t>
      </w:r>
      <w:r>
        <w:rPr>
          <w:b/>
        </w:rPr>
        <w:t xml:space="preserve">Note: </w:t>
      </w:r>
      <w:r>
        <w:t>Price shown in bold letters is the price for the current date. Printout included as Attachment B.</w:t>
      </w:r>
    </w:p>
  </w:footnote>
  <w:footnote w:id="27">
    <w:p w14:paraId="6767AB64" w14:textId="14DE1187" w:rsidR="00E976F8" w:rsidRPr="003C5758" w:rsidRDefault="00E976F8">
      <w:pPr>
        <w:pStyle w:val="FootnoteText"/>
        <w:rPr>
          <w:i/>
        </w:rPr>
      </w:pPr>
      <w:r>
        <w:rPr>
          <w:rStyle w:val="FootnoteReference"/>
        </w:rPr>
        <w:footnoteRef/>
      </w:r>
      <w:r>
        <w:t xml:space="preserve"> </w:t>
      </w:r>
      <w:r>
        <w:rPr>
          <w:i/>
        </w:rPr>
        <w:t>Wash. Utils. &amp; Transp. Comm’n v. Puget Sound Energy,</w:t>
      </w:r>
      <w:r>
        <w:t xml:space="preserve"> Docket No. UE-011163, and </w:t>
      </w:r>
      <w:r>
        <w:rPr>
          <w:i/>
        </w:rPr>
        <w:t xml:space="preserve">In Re Petition of Puget Sound Energy for an Order Authorizing Deferral of Certain </w:t>
      </w:r>
      <w:r w:rsidR="00D54951">
        <w:rPr>
          <w:i/>
        </w:rPr>
        <w:t>Electric</w:t>
      </w:r>
      <w:r>
        <w:rPr>
          <w:i/>
        </w:rPr>
        <w:t xml:space="preserve"> Energy Supply Costs, </w:t>
      </w:r>
      <w:r w:rsidRPr="003C5758">
        <w:t>Docket No. UE-</w:t>
      </w:r>
      <w:r>
        <w:t xml:space="preserve">011170, Seventh Supplemental Order, </w:t>
      </w:r>
      <w:r w:rsidRPr="003C5758">
        <w:rPr>
          <w:i/>
        </w:rPr>
        <w:t>Order Denying Reconsideration or Rehearing</w:t>
      </w:r>
      <w:r>
        <w:t xml:space="preserve"> (Oct. 24, 2001) (PSE Order).</w:t>
      </w:r>
    </w:p>
  </w:footnote>
  <w:footnote w:id="28">
    <w:p w14:paraId="78C88AB9" w14:textId="7635E758" w:rsidR="00E976F8" w:rsidRDefault="00E976F8">
      <w:pPr>
        <w:pStyle w:val="FootnoteText"/>
      </w:pPr>
      <w:r>
        <w:rPr>
          <w:rStyle w:val="FootnoteReference"/>
        </w:rPr>
        <w:footnoteRef/>
      </w:r>
      <w:r>
        <w:t xml:space="preserve"> PSE Order at ¶ 43.</w:t>
      </w:r>
    </w:p>
  </w:footnote>
  <w:footnote w:id="29">
    <w:p w14:paraId="4A62168B" w14:textId="100555EF" w:rsidR="00E976F8" w:rsidRPr="00DD3D18" w:rsidRDefault="00E976F8">
      <w:pPr>
        <w:pStyle w:val="FootnoteText"/>
      </w:pPr>
      <w:r>
        <w:rPr>
          <w:rStyle w:val="FootnoteReference"/>
        </w:rPr>
        <w:footnoteRef/>
      </w:r>
      <w:r>
        <w:t xml:space="preserve"> </w:t>
      </w:r>
      <w:r>
        <w:rPr>
          <w:i/>
        </w:rPr>
        <w:t xml:space="preserve">See </w:t>
      </w:r>
      <w:r>
        <w:t>PSE Order at ¶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0B4D8" w14:textId="77777777" w:rsidR="00DA20D7" w:rsidRDefault="00DA20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EDF94" w14:textId="77777777" w:rsidR="00DA20D7" w:rsidRDefault="00DA20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40F86" w14:textId="77777777" w:rsidR="00DA20D7" w:rsidRDefault="00DA2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EA6"/>
    <w:multiLevelType w:val="hybridMultilevel"/>
    <w:tmpl w:val="F2C8AD0C"/>
    <w:lvl w:ilvl="0" w:tplc="2FF2E1C6">
      <w:start w:val="2"/>
      <w:numFmt w:val="upperLetter"/>
      <w:lvlText w:val="%1."/>
      <w:lvlJc w:val="left"/>
      <w:pPr>
        <w:ind w:left="41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1232"/>
    <w:multiLevelType w:val="hybridMultilevel"/>
    <w:tmpl w:val="8074436C"/>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46909"/>
    <w:multiLevelType w:val="hybridMultilevel"/>
    <w:tmpl w:val="295E6056"/>
    <w:lvl w:ilvl="0" w:tplc="F372E49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C6084"/>
    <w:multiLevelType w:val="hybridMultilevel"/>
    <w:tmpl w:val="C806026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0E4E7BC3"/>
    <w:multiLevelType w:val="hybridMultilevel"/>
    <w:tmpl w:val="09847682"/>
    <w:lvl w:ilvl="0" w:tplc="E1423F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65DD9"/>
    <w:multiLevelType w:val="hybridMultilevel"/>
    <w:tmpl w:val="13A61D3A"/>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006CE"/>
    <w:multiLevelType w:val="hybridMultilevel"/>
    <w:tmpl w:val="30F6A988"/>
    <w:lvl w:ilvl="0" w:tplc="339C6236">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D39B6"/>
    <w:multiLevelType w:val="hybridMultilevel"/>
    <w:tmpl w:val="620CEF6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1AB4233C"/>
    <w:multiLevelType w:val="hybridMultilevel"/>
    <w:tmpl w:val="C38EA880"/>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552C3"/>
    <w:multiLevelType w:val="hybridMultilevel"/>
    <w:tmpl w:val="B0483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8686C"/>
    <w:multiLevelType w:val="hybridMultilevel"/>
    <w:tmpl w:val="39C6B75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6400D"/>
    <w:multiLevelType w:val="hybridMultilevel"/>
    <w:tmpl w:val="F252F526"/>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660FA"/>
    <w:multiLevelType w:val="hybridMultilevel"/>
    <w:tmpl w:val="41F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A7AFA"/>
    <w:multiLevelType w:val="hybridMultilevel"/>
    <w:tmpl w:val="554A710C"/>
    <w:lvl w:ilvl="0" w:tplc="7C207ED8">
      <w:start w:val="1"/>
      <w:numFmt w:val="decimal"/>
      <w:lvlText w:val="%1"/>
      <w:lvlJc w:val="left"/>
      <w:pPr>
        <w:ind w:left="720" w:hanging="360"/>
      </w:pPr>
      <w:rPr>
        <w:rFonts w:hint="default"/>
        <w:i/>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435B0"/>
    <w:multiLevelType w:val="hybridMultilevel"/>
    <w:tmpl w:val="6292D73E"/>
    <w:lvl w:ilvl="0" w:tplc="BB702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F96A83"/>
    <w:multiLevelType w:val="hybridMultilevel"/>
    <w:tmpl w:val="33DE5042"/>
    <w:lvl w:ilvl="0" w:tplc="7096A17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AE743B"/>
    <w:multiLevelType w:val="hybridMultilevel"/>
    <w:tmpl w:val="99827A4A"/>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415BB2"/>
    <w:multiLevelType w:val="hybridMultilevel"/>
    <w:tmpl w:val="ACB2AFFC"/>
    <w:lvl w:ilvl="0" w:tplc="04090015">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48EF440B"/>
    <w:multiLevelType w:val="hybridMultilevel"/>
    <w:tmpl w:val="863E81EA"/>
    <w:lvl w:ilvl="0" w:tplc="A93025C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86BBE"/>
    <w:multiLevelType w:val="hybridMultilevel"/>
    <w:tmpl w:val="7A62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534B9"/>
    <w:multiLevelType w:val="hybridMultilevel"/>
    <w:tmpl w:val="28B295B2"/>
    <w:lvl w:ilvl="0" w:tplc="B6568E1E">
      <w:start w:val="9"/>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F2076"/>
    <w:multiLevelType w:val="hybridMultilevel"/>
    <w:tmpl w:val="CD5E4A96"/>
    <w:lvl w:ilvl="0" w:tplc="8E7A817C">
      <w:start w:val="1"/>
      <w:numFmt w:val="decimal"/>
      <w:lvlText w:val="%1"/>
      <w:lvlJc w:val="left"/>
      <w:pPr>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31AFC"/>
    <w:multiLevelType w:val="hybridMultilevel"/>
    <w:tmpl w:val="22F437B2"/>
    <w:lvl w:ilvl="0" w:tplc="F262410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F1BAB"/>
    <w:multiLevelType w:val="hybridMultilevel"/>
    <w:tmpl w:val="2B1AF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31A6C"/>
    <w:multiLevelType w:val="hybridMultilevel"/>
    <w:tmpl w:val="AF9EECB8"/>
    <w:lvl w:ilvl="0" w:tplc="B6568E1E">
      <w:start w:val="9"/>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5" w15:restartNumberingAfterBreak="0">
    <w:nsid w:val="77747257"/>
    <w:multiLevelType w:val="hybridMultilevel"/>
    <w:tmpl w:val="D3782792"/>
    <w:lvl w:ilvl="0" w:tplc="DD606D70">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6" w15:restartNumberingAfterBreak="0">
    <w:nsid w:val="7F1A551F"/>
    <w:multiLevelType w:val="hybridMultilevel"/>
    <w:tmpl w:val="D720A0BE"/>
    <w:lvl w:ilvl="0" w:tplc="CA7EF55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8"/>
  </w:num>
  <w:num w:numId="2">
    <w:abstractNumId w:val="15"/>
  </w:num>
  <w:num w:numId="3">
    <w:abstractNumId w:val="14"/>
  </w:num>
  <w:num w:numId="4">
    <w:abstractNumId w:val="17"/>
  </w:num>
  <w:num w:numId="5">
    <w:abstractNumId w:val="6"/>
  </w:num>
  <w:num w:numId="6">
    <w:abstractNumId w:val="0"/>
  </w:num>
  <w:num w:numId="7">
    <w:abstractNumId w:val="12"/>
  </w:num>
  <w:num w:numId="8">
    <w:abstractNumId w:val="4"/>
  </w:num>
  <w:num w:numId="9">
    <w:abstractNumId w:val="19"/>
  </w:num>
  <w:num w:numId="10">
    <w:abstractNumId w:val="10"/>
  </w:num>
  <w:num w:numId="11">
    <w:abstractNumId w:val="5"/>
  </w:num>
  <w:num w:numId="12">
    <w:abstractNumId w:val="16"/>
  </w:num>
  <w:num w:numId="13">
    <w:abstractNumId w:val="1"/>
  </w:num>
  <w:num w:numId="14">
    <w:abstractNumId w:val="11"/>
  </w:num>
  <w:num w:numId="15">
    <w:abstractNumId w:val="26"/>
  </w:num>
  <w:num w:numId="16">
    <w:abstractNumId w:val="21"/>
  </w:num>
  <w:num w:numId="17">
    <w:abstractNumId w:val="23"/>
  </w:num>
  <w:num w:numId="18">
    <w:abstractNumId w:val="25"/>
  </w:num>
  <w:num w:numId="19">
    <w:abstractNumId w:val="2"/>
  </w:num>
  <w:num w:numId="20">
    <w:abstractNumId w:val="7"/>
  </w:num>
  <w:num w:numId="21">
    <w:abstractNumId w:val="3"/>
  </w:num>
  <w:num w:numId="22">
    <w:abstractNumId w:val="22"/>
  </w:num>
  <w:num w:numId="23">
    <w:abstractNumId w:val="20"/>
  </w:num>
  <w:num w:numId="24">
    <w:abstractNumId w:val="24"/>
  </w:num>
  <w:num w:numId="25">
    <w:abstractNumId w:val="18"/>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hideSpellingErrors/>
  <w:hideGrammaticalError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A3"/>
    <w:rsid w:val="0000201B"/>
    <w:rsid w:val="00004313"/>
    <w:rsid w:val="000056E2"/>
    <w:rsid w:val="00011DA3"/>
    <w:rsid w:val="00014D18"/>
    <w:rsid w:val="00016073"/>
    <w:rsid w:val="00022932"/>
    <w:rsid w:val="00037816"/>
    <w:rsid w:val="00042AC1"/>
    <w:rsid w:val="000439DD"/>
    <w:rsid w:val="00043F91"/>
    <w:rsid w:val="00046A1F"/>
    <w:rsid w:val="00052821"/>
    <w:rsid w:val="000600E4"/>
    <w:rsid w:val="0006190F"/>
    <w:rsid w:val="00061C66"/>
    <w:rsid w:val="00064503"/>
    <w:rsid w:val="00066716"/>
    <w:rsid w:val="00071B6C"/>
    <w:rsid w:val="00073F7E"/>
    <w:rsid w:val="00075829"/>
    <w:rsid w:val="00076BC4"/>
    <w:rsid w:val="00076D13"/>
    <w:rsid w:val="00077F73"/>
    <w:rsid w:val="00085303"/>
    <w:rsid w:val="000921F7"/>
    <w:rsid w:val="000A0918"/>
    <w:rsid w:val="000A2D7C"/>
    <w:rsid w:val="000A52FB"/>
    <w:rsid w:val="000A77E2"/>
    <w:rsid w:val="000A7C6E"/>
    <w:rsid w:val="000B4922"/>
    <w:rsid w:val="000B4E81"/>
    <w:rsid w:val="000B6DFF"/>
    <w:rsid w:val="000C04CF"/>
    <w:rsid w:val="000D0580"/>
    <w:rsid w:val="000D06F9"/>
    <w:rsid w:val="000D112E"/>
    <w:rsid w:val="000D3A97"/>
    <w:rsid w:val="000D5633"/>
    <w:rsid w:val="000E37F7"/>
    <w:rsid w:val="000E3B1E"/>
    <w:rsid w:val="000E5B46"/>
    <w:rsid w:val="000F335F"/>
    <w:rsid w:val="000F3A2C"/>
    <w:rsid w:val="000F6F33"/>
    <w:rsid w:val="000F6F8C"/>
    <w:rsid w:val="0010779D"/>
    <w:rsid w:val="00107E37"/>
    <w:rsid w:val="00110480"/>
    <w:rsid w:val="00111EDF"/>
    <w:rsid w:val="00111FEB"/>
    <w:rsid w:val="00112B43"/>
    <w:rsid w:val="00114178"/>
    <w:rsid w:val="00115BCD"/>
    <w:rsid w:val="00126819"/>
    <w:rsid w:val="00130A4A"/>
    <w:rsid w:val="0013197F"/>
    <w:rsid w:val="00133FDE"/>
    <w:rsid w:val="0013502B"/>
    <w:rsid w:val="001351BD"/>
    <w:rsid w:val="00137817"/>
    <w:rsid w:val="00141625"/>
    <w:rsid w:val="0014479E"/>
    <w:rsid w:val="00146117"/>
    <w:rsid w:val="001468DE"/>
    <w:rsid w:val="00146AF6"/>
    <w:rsid w:val="0015227F"/>
    <w:rsid w:val="0015243A"/>
    <w:rsid w:val="00157663"/>
    <w:rsid w:val="00164C04"/>
    <w:rsid w:val="00165308"/>
    <w:rsid w:val="001733E7"/>
    <w:rsid w:val="001734A7"/>
    <w:rsid w:val="00173BBB"/>
    <w:rsid w:val="00182B83"/>
    <w:rsid w:val="0018342C"/>
    <w:rsid w:val="0018500F"/>
    <w:rsid w:val="00185300"/>
    <w:rsid w:val="001864BA"/>
    <w:rsid w:val="00186810"/>
    <w:rsid w:val="001943EF"/>
    <w:rsid w:val="0019544B"/>
    <w:rsid w:val="001A52EF"/>
    <w:rsid w:val="001A7792"/>
    <w:rsid w:val="001A7FF2"/>
    <w:rsid w:val="001B3EE9"/>
    <w:rsid w:val="001B6E16"/>
    <w:rsid w:val="001B7585"/>
    <w:rsid w:val="001C0696"/>
    <w:rsid w:val="001C1DC0"/>
    <w:rsid w:val="001C3C91"/>
    <w:rsid w:val="001C62E0"/>
    <w:rsid w:val="001C73F9"/>
    <w:rsid w:val="001C7815"/>
    <w:rsid w:val="001D1216"/>
    <w:rsid w:val="001D358C"/>
    <w:rsid w:val="001D6721"/>
    <w:rsid w:val="001E1215"/>
    <w:rsid w:val="001E4381"/>
    <w:rsid w:val="001E4AA3"/>
    <w:rsid w:val="001E786F"/>
    <w:rsid w:val="001F3914"/>
    <w:rsid w:val="001F425C"/>
    <w:rsid w:val="001F6050"/>
    <w:rsid w:val="001F717B"/>
    <w:rsid w:val="001F79A0"/>
    <w:rsid w:val="001F7B88"/>
    <w:rsid w:val="00204EA1"/>
    <w:rsid w:val="00206A39"/>
    <w:rsid w:val="002163AB"/>
    <w:rsid w:val="00221E58"/>
    <w:rsid w:val="00226752"/>
    <w:rsid w:val="002327D6"/>
    <w:rsid w:val="002400F2"/>
    <w:rsid w:val="0024131F"/>
    <w:rsid w:val="00242B00"/>
    <w:rsid w:val="0024451C"/>
    <w:rsid w:val="00246135"/>
    <w:rsid w:val="002469DD"/>
    <w:rsid w:val="0024769D"/>
    <w:rsid w:val="002501AF"/>
    <w:rsid w:val="0025071B"/>
    <w:rsid w:val="00253553"/>
    <w:rsid w:val="002555EC"/>
    <w:rsid w:val="002561F6"/>
    <w:rsid w:val="00260112"/>
    <w:rsid w:val="002646F7"/>
    <w:rsid w:val="00271CF3"/>
    <w:rsid w:val="0027340C"/>
    <w:rsid w:val="002746D0"/>
    <w:rsid w:val="00274720"/>
    <w:rsid w:val="0028473A"/>
    <w:rsid w:val="002857F0"/>
    <w:rsid w:val="002921A5"/>
    <w:rsid w:val="002925C4"/>
    <w:rsid w:val="002940C1"/>
    <w:rsid w:val="00295AC6"/>
    <w:rsid w:val="00297113"/>
    <w:rsid w:val="00297E9C"/>
    <w:rsid w:val="002A2441"/>
    <w:rsid w:val="002A37C9"/>
    <w:rsid w:val="002A5D1B"/>
    <w:rsid w:val="002B037A"/>
    <w:rsid w:val="002B2E9E"/>
    <w:rsid w:val="002B3BEA"/>
    <w:rsid w:val="002B439A"/>
    <w:rsid w:val="002C059A"/>
    <w:rsid w:val="002C17E0"/>
    <w:rsid w:val="002C3ACF"/>
    <w:rsid w:val="002E1C11"/>
    <w:rsid w:val="002E1CFF"/>
    <w:rsid w:val="002E3F88"/>
    <w:rsid w:val="002E634D"/>
    <w:rsid w:val="002E693C"/>
    <w:rsid w:val="002E6C2C"/>
    <w:rsid w:val="002E7120"/>
    <w:rsid w:val="002F011A"/>
    <w:rsid w:val="002F08D5"/>
    <w:rsid w:val="002F1F9F"/>
    <w:rsid w:val="002F2F11"/>
    <w:rsid w:val="002F333A"/>
    <w:rsid w:val="002F3CE1"/>
    <w:rsid w:val="00300AFA"/>
    <w:rsid w:val="00300F25"/>
    <w:rsid w:val="00306772"/>
    <w:rsid w:val="00307411"/>
    <w:rsid w:val="00310F89"/>
    <w:rsid w:val="00312088"/>
    <w:rsid w:val="0031509B"/>
    <w:rsid w:val="003151EA"/>
    <w:rsid w:val="0031742D"/>
    <w:rsid w:val="00321309"/>
    <w:rsid w:val="003238C3"/>
    <w:rsid w:val="00325D0B"/>
    <w:rsid w:val="003269FA"/>
    <w:rsid w:val="00330ED3"/>
    <w:rsid w:val="0033192F"/>
    <w:rsid w:val="00331B32"/>
    <w:rsid w:val="00333619"/>
    <w:rsid w:val="00333C3B"/>
    <w:rsid w:val="00333C56"/>
    <w:rsid w:val="00337019"/>
    <w:rsid w:val="00337136"/>
    <w:rsid w:val="003405FF"/>
    <w:rsid w:val="00344F06"/>
    <w:rsid w:val="0034560E"/>
    <w:rsid w:val="00347FF9"/>
    <w:rsid w:val="00350CAC"/>
    <w:rsid w:val="00352878"/>
    <w:rsid w:val="00353BDF"/>
    <w:rsid w:val="003550D5"/>
    <w:rsid w:val="003557EA"/>
    <w:rsid w:val="0035657A"/>
    <w:rsid w:val="00360695"/>
    <w:rsid w:val="00362559"/>
    <w:rsid w:val="003640D6"/>
    <w:rsid w:val="00367057"/>
    <w:rsid w:val="00367BA9"/>
    <w:rsid w:val="00371BA5"/>
    <w:rsid w:val="00376528"/>
    <w:rsid w:val="00381C48"/>
    <w:rsid w:val="003841B4"/>
    <w:rsid w:val="00385B89"/>
    <w:rsid w:val="00387197"/>
    <w:rsid w:val="0039240B"/>
    <w:rsid w:val="00393E30"/>
    <w:rsid w:val="00396F98"/>
    <w:rsid w:val="003A1174"/>
    <w:rsid w:val="003A1547"/>
    <w:rsid w:val="003A5151"/>
    <w:rsid w:val="003A5664"/>
    <w:rsid w:val="003A6685"/>
    <w:rsid w:val="003B3320"/>
    <w:rsid w:val="003B335B"/>
    <w:rsid w:val="003B7720"/>
    <w:rsid w:val="003C5758"/>
    <w:rsid w:val="003D123C"/>
    <w:rsid w:val="003D30EA"/>
    <w:rsid w:val="003D7E44"/>
    <w:rsid w:val="003E2CC9"/>
    <w:rsid w:val="003E364F"/>
    <w:rsid w:val="003E3FEA"/>
    <w:rsid w:val="003F1A7E"/>
    <w:rsid w:val="003F1FDA"/>
    <w:rsid w:val="003F37C9"/>
    <w:rsid w:val="003F4562"/>
    <w:rsid w:val="003F6A16"/>
    <w:rsid w:val="00400D39"/>
    <w:rsid w:val="00403244"/>
    <w:rsid w:val="00404B38"/>
    <w:rsid w:val="004069BF"/>
    <w:rsid w:val="004110DA"/>
    <w:rsid w:val="00411347"/>
    <w:rsid w:val="00411D30"/>
    <w:rsid w:val="004161B5"/>
    <w:rsid w:val="00417658"/>
    <w:rsid w:val="004218F1"/>
    <w:rsid w:val="004268A3"/>
    <w:rsid w:val="004305C5"/>
    <w:rsid w:val="00432DD2"/>
    <w:rsid w:val="0043451C"/>
    <w:rsid w:val="004351D4"/>
    <w:rsid w:val="00435210"/>
    <w:rsid w:val="00435E3D"/>
    <w:rsid w:val="00441B95"/>
    <w:rsid w:val="00452AE9"/>
    <w:rsid w:val="00454019"/>
    <w:rsid w:val="00454361"/>
    <w:rsid w:val="004576C7"/>
    <w:rsid w:val="00461C0B"/>
    <w:rsid w:val="00467EA3"/>
    <w:rsid w:val="0047058D"/>
    <w:rsid w:val="00470B0D"/>
    <w:rsid w:val="00472402"/>
    <w:rsid w:val="00474D9F"/>
    <w:rsid w:val="00474E53"/>
    <w:rsid w:val="004823FF"/>
    <w:rsid w:val="00490B63"/>
    <w:rsid w:val="00495FF7"/>
    <w:rsid w:val="004965D5"/>
    <w:rsid w:val="004A1AD8"/>
    <w:rsid w:val="004A1F6F"/>
    <w:rsid w:val="004A536D"/>
    <w:rsid w:val="004A5DDC"/>
    <w:rsid w:val="004B6234"/>
    <w:rsid w:val="004B6CE9"/>
    <w:rsid w:val="004C0E87"/>
    <w:rsid w:val="004C3E2B"/>
    <w:rsid w:val="004C4EFB"/>
    <w:rsid w:val="004C5E70"/>
    <w:rsid w:val="004C635D"/>
    <w:rsid w:val="004C6D0D"/>
    <w:rsid w:val="004D2661"/>
    <w:rsid w:val="004D4309"/>
    <w:rsid w:val="004D772E"/>
    <w:rsid w:val="004E72B0"/>
    <w:rsid w:val="004F0407"/>
    <w:rsid w:val="004F20AD"/>
    <w:rsid w:val="004F2EB5"/>
    <w:rsid w:val="004F3762"/>
    <w:rsid w:val="004F4AA7"/>
    <w:rsid w:val="004F5589"/>
    <w:rsid w:val="004F6224"/>
    <w:rsid w:val="00503E70"/>
    <w:rsid w:val="00504ACE"/>
    <w:rsid w:val="005056C5"/>
    <w:rsid w:val="005100FA"/>
    <w:rsid w:val="0051257B"/>
    <w:rsid w:val="00513279"/>
    <w:rsid w:val="00521470"/>
    <w:rsid w:val="0052149F"/>
    <w:rsid w:val="00522516"/>
    <w:rsid w:val="0052293D"/>
    <w:rsid w:val="00522D6F"/>
    <w:rsid w:val="0052341A"/>
    <w:rsid w:val="00533DE4"/>
    <w:rsid w:val="00534CF5"/>
    <w:rsid w:val="00536CC0"/>
    <w:rsid w:val="00536F67"/>
    <w:rsid w:val="00551A88"/>
    <w:rsid w:val="0055547B"/>
    <w:rsid w:val="0056083A"/>
    <w:rsid w:val="005641F1"/>
    <w:rsid w:val="00565B2F"/>
    <w:rsid w:val="0057307A"/>
    <w:rsid w:val="00587278"/>
    <w:rsid w:val="00590114"/>
    <w:rsid w:val="00597129"/>
    <w:rsid w:val="005A2A63"/>
    <w:rsid w:val="005A3233"/>
    <w:rsid w:val="005A69D0"/>
    <w:rsid w:val="005A7948"/>
    <w:rsid w:val="005B09A0"/>
    <w:rsid w:val="005B0DFA"/>
    <w:rsid w:val="005B6E39"/>
    <w:rsid w:val="005C0877"/>
    <w:rsid w:val="005C2BAD"/>
    <w:rsid w:val="005C31CC"/>
    <w:rsid w:val="005C51A2"/>
    <w:rsid w:val="005C7A71"/>
    <w:rsid w:val="005D633B"/>
    <w:rsid w:val="005D6790"/>
    <w:rsid w:val="005D6ED0"/>
    <w:rsid w:val="005E590C"/>
    <w:rsid w:val="005E5A3E"/>
    <w:rsid w:val="005E78BF"/>
    <w:rsid w:val="005F1F36"/>
    <w:rsid w:val="005F5788"/>
    <w:rsid w:val="005F5CFF"/>
    <w:rsid w:val="005F735B"/>
    <w:rsid w:val="00601475"/>
    <w:rsid w:val="00604FB6"/>
    <w:rsid w:val="00606650"/>
    <w:rsid w:val="00606F21"/>
    <w:rsid w:val="00607C00"/>
    <w:rsid w:val="00610D9F"/>
    <w:rsid w:val="00612E9C"/>
    <w:rsid w:val="006217B6"/>
    <w:rsid w:val="006238AE"/>
    <w:rsid w:val="006339E5"/>
    <w:rsid w:val="00634084"/>
    <w:rsid w:val="00635D40"/>
    <w:rsid w:val="00636B58"/>
    <w:rsid w:val="006376ED"/>
    <w:rsid w:val="006403AB"/>
    <w:rsid w:val="006408C8"/>
    <w:rsid w:val="006419DE"/>
    <w:rsid w:val="00643B5C"/>
    <w:rsid w:val="00644817"/>
    <w:rsid w:val="00645494"/>
    <w:rsid w:val="006455D5"/>
    <w:rsid w:val="00645B4F"/>
    <w:rsid w:val="00650740"/>
    <w:rsid w:val="00651D6A"/>
    <w:rsid w:val="0065224E"/>
    <w:rsid w:val="00653278"/>
    <w:rsid w:val="00655692"/>
    <w:rsid w:val="006615AD"/>
    <w:rsid w:val="00663591"/>
    <w:rsid w:val="006671F5"/>
    <w:rsid w:val="00667E5D"/>
    <w:rsid w:val="006742AA"/>
    <w:rsid w:val="006749FB"/>
    <w:rsid w:val="00677662"/>
    <w:rsid w:val="00677AE2"/>
    <w:rsid w:val="0068115E"/>
    <w:rsid w:val="0068182E"/>
    <w:rsid w:val="00683296"/>
    <w:rsid w:val="00686DF8"/>
    <w:rsid w:val="0068796D"/>
    <w:rsid w:val="00691384"/>
    <w:rsid w:val="0069233D"/>
    <w:rsid w:val="006946A5"/>
    <w:rsid w:val="006A5D82"/>
    <w:rsid w:val="006A7C50"/>
    <w:rsid w:val="006B182F"/>
    <w:rsid w:val="006B18B8"/>
    <w:rsid w:val="006B2A4D"/>
    <w:rsid w:val="006B3C65"/>
    <w:rsid w:val="006B5296"/>
    <w:rsid w:val="006B6519"/>
    <w:rsid w:val="006C6EB5"/>
    <w:rsid w:val="006D1609"/>
    <w:rsid w:val="006D25DE"/>
    <w:rsid w:val="006D2DFF"/>
    <w:rsid w:val="006E218C"/>
    <w:rsid w:val="006E2DD1"/>
    <w:rsid w:val="006E492E"/>
    <w:rsid w:val="006E5F04"/>
    <w:rsid w:val="006F1CE0"/>
    <w:rsid w:val="006F213D"/>
    <w:rsid w:val="006F335C"/>
    <w:rsid w:val="006F7132"/>
    <w:rsid w:val="006F77BB"/>
    <w:rsid w:val="006F7D80"/>
    <w:rsid w:val="007001F0"/>
    <w:rsid w:val="00701312"/>
    <w:rsid w:val="007026CE"/>
    <w:rsid w:val="00705F9D"/>
    <w:rsid w:val="00707C07"/>
    <w:rsid w:val="007130B7"/>
    <w:rsid w:val="0071456F"/>
    <w:rsid w:val="0071535F"/>
    <w:rsid w:val="007167CB"/>
    <w:rsid w:val="00716C09"/>
    <w:rsid w:val="00726FEF"/>
    <w:rsid w:val="0073205A"/>
    <w:rsid w:val="0073391D"/>
    <w:rsid w:val="00733F79"/>
    <w:rsid w:val="00735737"/>
    <w:rsid w:val="007407C0"/>
    <w:rsid w:val="00742694"/>
    <w:rsid w:val="00742B73"/>
    <w:rsid w:val="00743B0D"/>
    <w:rsid w:val="007504D1"/>
    <w:rsid w:val="00750F5C"/>
    <w:rsid w:val="00751C19"/>
    <w:rsid w:val="007543E3"/>
    <w:rsid w:val="00761046"/>
    <w:rsid w:val="00762B8F"/>
    <w:rsid w:val="0076679A"/>
    <w:rsid w:val="007669D1"/>
    <w:rsid w:val="00766B08"/>
    <w:rsid w:val="00767244"/>
    <w:rsid w:val="007675A5"/>
    <w:rsid w:val="007709D9"/>
    <w:rsid w:val="00774EC5"/>
    <w:rsid w:val="00776727"/>
    <w:rsid w:val="00780B0C"/>
    <w:rsid w:val="00783790"/>
    <w:rsid w:val="007853F2"/>
    <w:rsid w:val="00795AFF"/>
    <w:rsid w:val="00795CDA"/>
    <w:rsid w:val="00796A12"/>
    <w:rsid w:val="007A0CFB"/>
    <w:rsid w:val="007B00F3"/>
    <w:rsid w:val="007B464D"/>
    <w:rsid w:val="007B715E"/>
    <w:rsid w:val="007C0A5D"/>
    <w:rsid w:val="007C1BE8"/>
    <w:rsid w:val="007D0141"/>
    <w:rsid w:val="007D34FF"/>
    <w:rsid w:val="007D4B45"/>
    <w:rsid w:val="007D4B4A"/>
    <w:rsid w:val="007D66E8"/>
    <w:rsid w:val="007E1904"/>
    <w:rsid w:val="007E2F74"/>
    <w:rsid w:val="007E49A4"/>
    <w:rsid w:val="007E792F"/>
    <w:rsid w:val="007F18DB"/>
    <w:rsid w:val="007F2DF8"/>
    <w:rsid w:val="007F44DC"/>
    <w:rsid w:val="007F5D93"/>
    <w:rsid w:val="007F72D9"/>
    <w:rsid w:val="008026F0"/>
    <w:rsid w:val="008075C8"/>
    <w:rsid w:val="00807ACD"/>
    <w:rsid w:val="00810CAF"/>
    <w:rsid w:val="008132F7"/>
    <w:rsid w:val="008204F5"/>
    <w:rsid w:val="00822FA9"/>
    <w:rsid w:val="008241F6"/>
    <w:rsid w:val="00824E35"/>
    <w:rsid w:val="008264CE"/>
    <w:rsid w:val="00833D86"/>
    <w:rsid w:val="0084435A"/>
    <w:rsid w:val="00851E5B"/>
    <w:rsid w:val="00854773"/>
    <w:rsid w:val="00854E99"/>
    <w:rsid w:val="00855264"/>
    <w:rsid w:val="0085620E"/>
    <w:rsid w:val="00856A39"/>
    <w:rsid w:val="008573BA"/>
    <w:rsid w:val="00861DCC"/>
    <w:rsid w:val="0086237A"/>
    <w:rsid w:val="008633E0"/>
    <w:rsid w:val="00863DBA"/>
    <w:rsid w:val="00875CFD"/>
    <w:rsid w:val="00875DE3"/>
    <w:rsid w:val="00881ADA"/>
    <w:rsid w:val="008821CA"/>
    <w:rsid w:val="00882D79"/>
    <w:rsid w:val="008861BA"/>
    <w:rsid w:val="00891317"/>
    <w:rsid w:val="008A5A3C"/>
    <w:rsid w:val="008A718B"/>
    <w:rsid w:val="008B5B54"/>
    <w:rsid w:val="008C32B0"/>
    <w:rsid w:val="008C4838"/>
    <w:rsid w:val="008C7086"/>
    <w:rsid w:val="008C7A6C"/>
    <w:rsid w:val="008D60EE"/>
    <w:rsid w:val="008D77BB"/>
    <w:rsid w:val="008E0439"/>
    <w:rsid w:val="008E263E"/>
    <w:rsid w:val="008E2B98"/>
    <w:rsid w:val="008E7288"/>
    <w:rsid w:val="008E7296"/>
    <w:rsid w:val="008F1D5E"/>
    <w:rsid w:val="008F3FBF"/>
    <w:rsid w:val="008F6352"/>
    <w:rsid w:val="009004C9"/>
    <w:rsid w:val="00912584"/>
    <w:rsid w:val="009141CE"/>
    <w:rsid w:val="009146B4"/>
    <w:rsid w:val="00925615"/>
    <w:rsid w:val="00925D95"/>
    <w:rsid w:val="0093070A"/>
    <w:rsid w:val="009324C5"/>
    <w:rsid w:val="0093694D"/>
    <w:rsid w:val="00937F7C"/>
    <w:rsid w:val="00941F26"/>
    <w:rsid w:val="00951822"/>
    <w:rsid w:val="009522CA"/>
    <w:rsid w:val="00953D90"/>
    <w:rsid w:val="00955FBC"/>
    <w:rsid w:val="009626D2"/>
    <w:rsid w:val="0096614A"/>
    <w:rsid w:val="009708AF"/>
    <w:rsid w:val="0097485F"/>
    <w:rsid w:val="00977521"/>
    <w:rsid w:val="00980FFC"/>
    <w:rsid w:val="00982252"/>
    <w:rsid w:val="00982C31"/>
    <w:rsid w:val="00983611"/>
    <w:rsid w:val="00983AC8"/>
    <w:rsid w:val="00984DCC"/>
    <w:rsid w:val="0098677E"/>
    <w:rsid w:val="00997207"/>
    <w:rsid w:val="009A1837"/>
    <w:rsid w:val="009A21E2"/>
    <w:rsid w:val="009A2221"/>
    <w:rsid w:val="009A33E8"/>
    <w:rsid w:val="009A3BB7"/>
    <w:rsid w:val="009B070E"/>
    <w:rsid w:val="009B262A"/>
    <w:rsid w:val="009B3CD9"/>
    <w:rsid w:val="009B4EDE"/>
    <w:rsid w:val="009B5CAF"/>
    <w:rsid w:val="009B5D76"/>
    <w:rsid w:val="009B6005"/>
    <w:rsid w:val="009C0B07"/>
    <w:rsid w:val="009C1BB0"/>
    <w:rsid w:val="009C2960"/>
    <w:rsid w:val="009C4156"/>
    <w:rsid w:val="009C4B84"/>
    <w:rsid w:val="009D09C5"/>
    <w:rsid w:val="009D239A"/>
    <w:rsid w:val="009D315D"/>
    <w:rsid w:val="009D5713"/>
    <w:rsid w:val="009D6356"/>
    <w:rsid w:val="009D6749"/>
    <w:rsid w:val="009E012B"/>
    <w:rsid w:val="009E44D2"/>
    <w:rsid w:val="009F6F65"/>
    <w:rsid w:val="00A03D15"/>
    <w:rsid w:val="00A10516"/>
    <w:rsid w:val="00A11205"/>
    <w:rsid w:val="00A126BE"/>
    <w:rsid w:val="00A14E42"/>
    <w:rsid w:val="00A16FC7"/>
    <w:rsid w:val="00A172D7"/>
    <w:rsid w:val="00A17D51"/>
    <w:rsid w:val="00A22D5B"/>
    <w:rsid w:val="00A24B08"/>
    <w:rsid w:val="00A30097"/>
    <w:rsid w:val="00A326A9"/>
    <w:rsid w:val="00A32704"/>
    <w:rsid w:val="00A35FE3"/>
    <w:rsid w:val="00A363B1"/>
    <w:rsid w:val="00A3643E"/>
    <w:rsid w:val="00A40E91"/>
    <w:rsid w:val="00A4250C"/>
    <w:rsid w:val="00A535FC"/>
    <w:rsid w:val="00A54C93"/>
    <w:rsid w:val="00A56642"/>
    <w:rsid w:val="00A612AF"/>
    <w:rsid w:val="00A659CF"/>
    <w:rsid w:val="00A66738"/>
    <w:rsid w:val="00A67A81"/>
    <w:rsid w:val="00A70CB5"/>
    <w:rsid w:val="00A7320A"/>
    <w:rsid w:val="00A739EA"/>
    <w:rsid w:val="00A8192F"/>
    <w:rsid w:val="00A83C19"/>
    <w:rsid w:val="00A85514"/>
    <w:rsid w:val="00A86F81"/>
    <w:rsid w:val="00A9761B"/>
    <w:rsid w:val="00AA2C90"/>
    <w:rsid w:val="00AA3358"/>
    <w:rsid w:val="00AA5E7F"/>
    <w:rsid w:val="00AA6900"/>
    <w:rsid w:val="00AB0163"/>
    <w:rsid w:val="00AB1E9C"/>
    <w:rsid w:val="00AB26FC"/>
    <w:rsid w:val="00AB28D5"/>
    <w:rsid w:val="00AB34D9"/>
    <w:rsid w:val="00AB3607"/>
    <w:rsid w:val="00AB36A0"/>
    <w:rsid w:val="00AB4AB8"/>
    <w:rsid w:val="00AB687B"/>
    <w:rsid w:val="00AB6F4E"/>
    <w:rsid w:val="00AB70A6"/>
    <w:rsid w:val="00AC0707"/>
    <w:rsid w:val="00AC14AE"/>
    <w:rsid w:val="00AC2013"/>
    <w:rsid w:val="00AC31EF"/>
    <w:rsid w:val="00AC584D"/>
    <w:rsid w:val="00AC666C"/>
    <w:rsid w:val="00AD1407"/>
    <w:rsid w:val="00AD1B14"/>
    <w:rsid w:val="00AD223A"/>
    <w:rsid w:val="00AD2493"/>
    <w:rsid w:val="00AD4574"/>
    <w:rsid w:val="00AE0EDC"/>
    <w:rsid w:val="00AE485D"/>
    <w:rsid w:val="00AF5076"/>
    <w:rsid w:val="00AF533B"/>
    <w:rsid w:val="00AF7BCD"/>
    <w:rsid w:val="00AF7D7D"/>
    <w:rsid w:val="00B02131"/>
    <w:rsid w:val="00B02553"/>
    <w:rsid w:val="00B05287"/>
    <w:rsid w:val="00B06DE4"/>
    <w:rsid w:val="00B07C28"/>
    <w:rsid w:val="00B101FA"/>
    <w:rsid w:val="00B14C97"/>
    <w:rsid w:val="00B16581"/>
    <w:rsid w:val="00B1748C"/>
    <w:rsid w:val="00B22FD7"/>
    <w:rsid w:val="00B24F43"/>
    <w:rsid w:val="00B2670F"/>
    <w:rsid w:val="00B30845"/>
    <w:rsid w:val="00B34A7E"/>
    <w:rsid w:val="00B35105"/>
    <w:rsid w:val="00B37087"/>
    <w:rsid w:val="00B37103"/>
    <w:rsid w:val="00B45F7A"/>
    <w:rsid w:val="00B4609C"/>
    <w:rsid w:val="00B51208"/>
    <w:rsid w:val="00B61FAE"/>
    <w:rsid w:val="00B67370"/>
    <w:rsid w:val="00B67BF5"/>
    <w:rsid w:val="00B70FCA"/>
    <w:rsid w:val="00B74ACF"/>
    <w:rsid w:val="00B76E50"/>
    <w:rsid w:val="00B81144"/>
    <w:rsid w:val="00B82C06"/>
    <w:rsid w:val="00B84A50"/>
    <w:rsid w:val="00B91050"/>
    <w:rsid w:val="00B94256"/>
    <w:rsid w:val="00B94808"/>
    <w:rsid w:val="00B96AC2"/>
    <w:rsid w:val="00BA0147"/>
    <w:rsid w:val="00BA0A82"/>
    <w:rsid w:val="00BA2AF2"/>
    <w:rsid w:val="00BA2D7E"/>
    <w:rsid w:val="00BA46C4"/>
    <w:rsid w:val="00BA609B"/>
    <w:rsid w:val="00BB582B"/>
    <w:rsid w:val="00BB5C33"/>
    <w:rsid w:val="00BB7328"/>
    <w:rsid w:val="00BC11C3"/>
    <w:rsid w:val="00BC3332"/>
    <w:rsid w:val="00BC7B33"/>
    <w:rsid w:val="00BD17A2"/>
    <w:rsid w:val="00BD29A3"/>
    <w:rsid w:val="00BD33EA"/>
    <w:rsid w:val="00BD62DD"/>
    <w:rsid w:val="00BD7C4F"/>
    <w:rsid w:val="00BE09F9"/>
    <w:rsid w:val="00BE1FCD"/>
    <w:rsid w:val="00BE330B"/>
    <w:rsid w:val="00BE4F79"/>
    <w:rsid w:val="00BE669A"/>
    <w:rsid w:val="00BE7029"/>
    <w:rsid w:val="00BE7E5C"/>
    <w:rsid w:val="00BF06A1"/>
    <w:rsid w:val="00BF2ACB"/>
    <w:rsid w:val="00BF422A"/>
    <w:rsid w:val="00BF6D6F"/>
    <w:rsid w:val="00C03E1A"/>
    <w:rsid w:val="00C0554E"/>
    <w:rsid w:val="00C06F22"/>
    <w:rsid w:val="00C07020"/>
    <w:rsid w:val="00C161D2"/>
    <w:rsid w:val="00C170A4"/>
    <w:rsid w:val="00C22311"/>
    <w:rsid w:val="00C24BEC"/>
    <w:rsid w:val="00C274FA"/>
    <w:rsid w:val="00C3136D"/>
    <w:rsid w:val="00C31EDA"/>
    <w:rsid w:val="00C32141"/>
    <w:rsid w:val="00C3507B"/>
    <w:rsid w:val="00C36F06"/>
    <w:rsid w:val="00C4049A"/>
    <w:rsid w:val="00C4081A"/>
    <w:rsid w:val="00C42493"/>
    <w:rsid w:val="00C4331E"/>
    <w:rsid w:val="00C47A5C"/>
    <w:rsid w:val="00C52A24"/>
    <w:rsid w:val="00C53B4D"/>
    <w:rsid w:val="00C5459E"/>
    <w:rsid w:val="00C55F3A"/>
    <w:rsid w:val="00C56407"/>
    <w:rsid w:val="00C621CB"/>
    <w:rsid w:val="00C62A94"/>
    <w:rsid w:val="00C70E44"/>
    <w:rsid w:val="00C7273C"/>
    <w:rsid w:val="00C80C9B"/>
    <w:rsid w:val="00C841A7"/>
    <w:rsid w:val="00C84988"/>
    <w:rsid w:val="00C858DE"/>
    <w:rsid w:val="00C859AE"/>
    <w:rsid w:val="00C86913"/>
    <w:rsid w:val="00C86CDC"/>
    <w:rsid w:val="00C91FA3"/>
    <w:rsid w:val="00C92047"/>
    <w:rsid w:val="00C92CEB"/>
    <w:rsid w:val="00C949F1"/>
    <w:rsid w:val="00C96346"/>
    <w:rsid w:val="00CA1DDE"/>
    <w:rsid w:val="00CA3FA7"/>
    <w:rsid w:val="00CA7312"/>
    <w:rsid w:val="00CB02B5"/>
    <w:rsid w:val="00CB2D66"/>
    <w:rsid w:val="00CC0651"/>
    <w:rsid w:val="00CC1530"/>
    <w:rsid w:val="00CC2803"/>
    <w:rsid w:val="00CC5196"/>
    <w:rsid w:val="00CC75C1"/>
    <w:rsid w:val="00CD119E"/>
    <w:rsid w:val="00CD2481"/>
    <w:rsid w:val="00CD366C"/>
    <w:rsid w:val="00CE045E"/>
    <w:rsid w:val="00CE0AD2"/>
    <w:rsid w:val="00CE1811"/>
    <w:rsid w:val="00CE2622"/>
    <w:rsid w:val="00CE30F5"/>
    <w:rsid w:val="00CE3A4A"/>
    <w:rsid w:val="00CE40A1"/>
    <w:rsid w:val="00CF0C11"/>
    <w:rsid w:val="00CF1784"/>
    <w:rsid w:val="00CF3D26"/>
    <w:rsid w:val="00CF51C3"/>
    <w:rsid w:val="00CF6FB3"/>
    <w:rsid w:val="00CF7450"/>
    <w:rsid w:val="00CF7CD2"/>
    <w:rsid w:val="00CF7E77"/>
    <w:rsid w:val="00D0341F"/>
    <w:rsid w:val="00D05391"/>
    <w:rsid w:val="00D06E38"/>
    <w:rsid w:val="00D07AA1"/>
    <w:rsid w:val="00D10089"/>
    <w:rsid w:val="00D1084C"/>
    <w:rsid w:val="00D16BCD"/>
    <w:rsid w:val="00D211BD"/>
    <w:rsid w:val="00D21C08"/>
    <w:rsid w:val="00D241AA"/>
    <w:rsid w:val="00D30279"/>
    <w:rsid w:val="00D311AE"/>
    <w:rsid w:val="00D32386"/>
    <w:rsid w:val="00D37CA0"/>
    <w:rsid w:val="00D422CC"/>
    <w:rsid w:val="00D465CC"/>
    <w:rsid w:val="00D46D11"/>
    <w:rsid w:val="00D529E9"/>
    <w:rsid w:val="00D53A4B"/>
    <w:rsid w:val="00D54951"/>
    <w:rsid w:val="00D676CD"/>
    <w:rsid w:val="00D736B8"/>
    <w:rsid w:val="00D81909"/>
    <w:rsid w:val="00D82236"/>
    <w:rsid w:val="00D82C67"/>
    <w:rsid w:val="00D8389B"/>
    <w:rsid w:val="00D859A5"/>
    <w:rsid w:val="00D863D2"/>
    <w:rsid w:val="00D947AA"/>
    <w:rsid w:val="00D97C02"/>
    <w:rsid w:val="00DA0EA5"/>
    <w:rsid w:val="00DA1A3C"/>
    <w:rsid w:val="00DA20D7"/>
    <w:rsid w:val="00DA6232"/>
    <w:rsid w:val="00DB01A0"/>
    <w:rsid w:val="00DB234D"/>
    <w:rsid w:val="00DC289A"/>
    <w:rsid w:val="00DC2CB0"/>
    <w:rsid w:val="00DC5823"/>
    <w:rsid w:val="00DD145F"/>
    <w:rsid w:val="00DD3D18"/>
    <w:rsid w:val="00DD4590"/>
    <w:rsid w:val="00DD6067"/>
    <w:rsid w:val="00DE45E1"/>
    <w:rsid w:val="00DF1513"/>
    <w:rsid w:val="00DF1C33"/>
    <w:rsid w:val="00DF5633"/>
    <w:rsid w:val="00DF5EB8"/>
    <w:rsid w:val="00DF66AE"/>
    <w:rsid w:val="00DF7B1B"/>
    <w:rsid w:val="00E01891"/>
    <w:rsid w:val="00E04514"/>
    <w:rsid w:val="00E0477E"/>
    <w:rsid w:val="00E053B2"/>
    <w:rsid w:val="00E06D5E"/>
    <w:rsid w:val="00E07191"/>
    <w:rsid w:val="00E14338"/>
    <w:rsid w:val="00E2016E"/>
    <w:rsid w:val="00E223DA"/>
    <w:rsid w:val="00E23132"/>
    <w:rsid w:val="00E32C22"/>
    <w:rsid w:val="00E37252"/>
    <w:rsid w:val="00E3764C"/>
    <w:rsid w:val="00E40FB2"/>
    <w:rsid w:val="00E5126C"/>
    <w:rsid w:val="00E51996"/>
    <w:rsid w:val="00E51FA7"/>
    <w:rsid w:val="00E535F3"/>
    <w:rsid w:val="00E53E38"/>
    <w:rsid w:val="00E6234D"/>
    <w:rsid w:val="00E650A5"/>
    <w:rsid w:val="00E666A7"/>
    <w:rsid w:val="00E7168A"/>
    <w:rsid w:val="00E7185C"/>
    <w:rsid w:val="00E72879"/>
    <w:rsid w:val="00E815CB"/>
    <w:rsid w:val="00E83B80"/>
    <w:rsid w:val="00E84677"/>
    <w:rsid w:val="00E85E59"/>
    <w:rsid w:val="00E86C8F"/>
    <w:rsid w:val="00E87858"/>
    <w:rsid w:val="00E94ACC"/>
    <w:rsid w:val="00E976F8"/>
    <w:rsid w:val="00EA17AE"/>
    <w:rsid w:val="00EA6DB2"/>
    <w:rsid w:val="00EB2164"/>
    <w:rsid w:val="00EC4566"/>
    <w:rsid w:val="00EC69BD"/>
    <w:rsid w:val="00EC72C1"/>
    <w:rsid w:val="00ED0558"/>
    <w:rsid w:val="00ED0918"/>
    <w:rsid w:val="00ED1F01"/>
    <w:rsid w:val="00ED1FB0"/>
    <w:rsid w:val="00ED2378"/>
    <w:rsid w:val="00ED3A74"/>
    <w:rsid w:val="00ED4591"/>
    <w:rsid w:val="00ED65B7"/>
    <w:rsid w:val="00ED764F"/>
    <w:rsid w:val="00ED7D3A"/>
    <w:rsid w:val="00EE05CE"/>
    <w:rsid w:val="00EE2F9C"/>
    <w:rsid w:val="00EE55FC"/>
    <w:rsid w:val="00EF1F34"/>
    <w:rsid w:val="00EF7273"/>
    <w:rsid w:val="00F025FB"/>
    <w:rsid w:val="00F072D5"/>
    <w:rsid w:val="00F07985"/>
    <w:rsid w:val="00F100DA"/>
    <w:rsid w:val="00F1494C"/>
    <w:rsid w:val="00F15C87"/>
    <w:rsid w:val="00F204F2"/>
    <w:rsid w:val="00F2349C"/>
    <w:rsid w:val="00F27B12"/>
    <w:rsid w:val="00F34DF8"/>
    <w:rsid w:val="00F374A7"/>
    <w:rsid w:val="00F408BE"/>
    <w:rsid w:val="00F43BA5"/>
    <w:rsid w:val="00F4445A"/>
    <w:rsid w:val="00F467AC"/>
    <w:rsid w:val="00F47582"/>
    <w:rsid w:val="00F47B15"/>
    <w:rsid w:val="00F47E91"/>
    <w:rsid w:val="00F5062C"/>
    <w:rsid w:val="00F515C2"/>
    <w:rsid w:val="00F53161"/>
    <w:rsid w:val="00F54181"/>
    <w:rsid w:val="00F55507"/>
    <w:rsid w:val="00F56A62"/>
    <w:rsid w:val="00F5748F"/>
    <w:rsid w:val="00F70258"/>
    <w:rsid w:val="00F77E0E"/>
    <w:rsid w:val="00F77F2D"/>
    <w:rsid w:val="00F808AA"/>
    <w:rsid w:val="00F84DFF"/>
    <w:rsid w:val="00F93B3C"/>
    <w:rsid w:val="00F961EE"/>
    <w:rsid w:val="00F97159"/>
    <w:rsid w:val="00FA26C4"/>
    <w:rsid w:val="00FA279E"/>
    <w:rsid w:val="00FB2B3E"/>
    <w:rsid w:val="00FB456E"/>
    <w:rsid w:val="00FB4633"/>
    <w:rsid w:val="00FB7E5E"/>
    <w:rsid w:val="00FC2190"/>
    <w:rsid w:val="00FC2FFA"/>
    <w:rsid w:val="00FC5457"/>
    <w:rsid w:val="00FC5C1A"/>
    <w:rsid w:val="00FD0E70"/>
    <w:rsid w:val="00FD6156"/>
    <w:rsid w:val="00FD6C8A"/>
    <w:rsid w:val="00FD7C83"/>
    <w:rsid w:val="00FD7F2E"/>
    <w:rsid w:val="00FE225D"/>
    <w:rsid w:val="00FE503F"/>
    <w:rsid w:val="00FE653C"/>
    <w:rsid w:val="00FE7C0C"/>
    <w:rsid w:val="00FF0479"/>
    <w:rsid w:val="00FF0D7A"/>
    <w:rsid w:val="00FF536E"/>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B8735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C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AA3"/>
    <w:pPr>
      <w:tabs>
        <w:tab w:val="center" w:pos="4320"/>
        <w:tab w:val="right" w:pos="8640"/>
      </w:tabs>
    </w:pPr>
  </w:style>
  <w:style w:type="character" w:customStyle="1" w:styleId="HeaderChar">
    <w:name w:val="Header Char"/>
    <w:basedOn w:val="DefaultParagraphFont"/>
    <w:link w:val="Header"/>
    <w:rsid w:val="001E4AA3"/>
    <w:rPr>
      <w:rFonts w:eastAsia="Times New Roman"/>
    </w:rPr>
  </w:style>
  <w:style w:type="paragraph" w:styleId="Title">
    <w:name w:val="Title"/>
    <w:basedOn w:val="Normal"/>
    <w:link w:val="TitleChar"/>
    <w:qFormat/>
    <w:rsid w:val="001E4AA3"/>
    <w:pPr>
      <w:jc w:val="center"/>
    </w:pPr>
    <w:rPr>
      <w:b/>
      <w:bCs/>
    </w:rPr>
  </w:style>
  <w:style w:type="character" w:customStyle="1" w:styleId="TitleChar">
    <w:name w:val="Title Char"/>
    <w:basedOn w:val="DefaultParagraphFont"/>
    <w:link w:val="Title"/>
    <w:rsid w:val="001E4AA3"/>
    <w:rPr>
      <w:rFonts w:ascii="Palatino Linotype" w:eastAsia="Times New Roman" w:hAnsi="Palatino Linotype"/>
      <w:b/>
      <w:bCs/>
    </w:rPr>
  </w:style>
  <w:style w:type="paragraph" w:styleId="ListParagraph">
    <w:name w:val="List Paragraph"/>
    <w:basedOn w:val="Normal"/>
    <w:uiPriority w:val="34"/>
    <w:qFormat/>
    <w:rsid w:val="00321309"/>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1,ft Char"/>
    <w:basedOn w:val="Normal"/>
    <w:link w:val="FootnoteTextChar"/>
    <w:uiPriority w:val="99"/>
    <w:unhideWhenUsed/>
    <w:qFormat/>
    <w:rsid w:val="00321309"/>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321309"/>
    <w:rPr>
      <w:sz w:val="20"/>
      <w:szCs w:val="20"/>
    </w:rPr>
  </w:style>
  <w:style w:type="character" w:styleId="FootnoteReference">
    <w:name w:val="footnote reference"/>
    <w:basedOn w:val="DefaultParagraphFont"/>
    <w:uiPriority w:val="99"/>
    <w:unhideWhenUsed/>
    <w:qFormat/>
    <w:rsid w:val="00321309"/>
    <w:rPr>
      <w:vertAlign w:val="superscript"/>
    </w:rPr>
  </w:style>
  <w:style w:type="character" w:customStyle="1" w:styleId="sssh">
    <w:name w:val="ss_sh"/>
    <w:basedOn w:val="DefaultParagraphFont"/>
    <w:rsid w:val="00321309"/>
  </w:style>
  <w:style w:type="character" w:styleId="CommentReference">
    <w:name w:val="annotation reference"/>
    <w:basedOn w:val="DefaultParagraphFont"/>
    <w:semiHidden/>
    <w:unhideWhenUsed/>
    <w:rsid w:val="00321309"/>
    <w:rPr>
      <w:sz w:val="16"/>
      <w:szCs w:val="16"/>
    </w:rPr>
  </w:style>
  <w:style w:type="paragraph" w:styleId="CommentText">
    <w:name w:val="annotation text"/>
    <w:basedOn w:val="Normal"/>
    <w:link w:val="CommentTextChar"/>
    <w:semiHidden/>
    <w:unhideWhenUsed/>
    <w:rsid w:val="00321309"/>
    <w:rPr>
      <w:sz w:val="20"/>
      <w:szCs w:val="20"/>
    </w:rPr>
  </w:style>
  <w:style w:type="character" w:customStyle="1" w:styleId="CommentTextChar">
    <w:name w:val="Comment Text Char"/>
    <w:basedOn w:val="DefaultParagraphFont"/>
    <w:link w:val="CommentText"/>
    <w:semiHidden/>
    <w:rsid w:val="00321309"/>
    <w:rPr>
      <w:rFonts w:eastAsia="Times New Roman"/>
      <w:sz w:val="20"/>
      <w:szCs w:val="20"/>
    </w:rPr>
  </w:style>
  <w:style w:type="paragraph" w:styleId="BalloonText">
    <w:name w:val="Balloon Text"/>
    <w:basedOn w:val="Normal"/>
    <w:link w:val="BalloonTextChar"/>
    <w:uiPriority w:val="99"/>
    <w:semiHidden/>
    <w:unhideWhenUsed/>
    <w:rsid w:val="00321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0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E7E5C"/>
    <w:rPr>
      <w:rFonts w:ascii="Palatino Linotype" w:hAnsi="Palatino Linotype"/>
      <w:b/>
      <w:bCs/>
    </w:rPr>
  </w:style>
  <w:style w:type="character" w:customStyle="1" w:styleId="CommentSubjectChar">
    <w:name w:val="Comment Subject Char"/>
    <w:basedOn w:val="CommentTextChar"/>
    <w:link w:val="CommentSubject"/>
    <w:uiPriority w:val="99"/>
    <w:semiHidden/>
    <w:rsid w:val="00BE7E5C"/>
    <w:rPr>
      <w:rFonts w:ascii="Palatino Linotype" w:eastAsia="Times New Roman" w:hAnsi="Palatino Linotype"/>
      <w:b/>
      <w:bCs/>
      <w:sz w:val="20"/>
      <w:szCs w:val="20"/>
    </w:rPr>
  </w:style>
  <w:style w:type="paragraph" w:styleId="Footer">
    <w:name w:val="footer"/>
    <w:basedOn w:val="Normal"/>
    <w:link w:val="FooterChar"/>
    <w:unhideWhenUsed/>
    <w:rsid w:val="004F3762"/>
    <w:pPr>
      <w:tabs>
        <w:tab w:val="center" w:pos="4680"/>
        <w:tab w:val="right" w:pos="9360"/>
      </w:tabs>
    </w:pPr>
  </w:style>
  <w:style w:type="character" w:customStyle="1" w:styleId="FooterChar">
    <w:name w:val="Footer Char"/>
    <w:basedOn w:val="DefaultParagraphFont"/>
    <w:link w:val="Footer"/>
    <w:uiPriority w:val="99"/>
    <w:rsid w:val="004F3762"/>
    <w:rPr>
      <w:rFonts w:ascii="Palatino Linotype" w:eastAsia="Times New Roman" w:hAnsi="Palatino Linotype"/>
    </w:rPr>
  </w:style>
  <w:style w:type="paragraph" w:styleId="NoSpacing">
    <w:name w:val="No Spacing"/>
    <w:aliases w:val="Answer"/>
    <w:uiPriority w:val="1"/>
    <w:qFormat/>
    <w:rsid w:val="00D1084C"/>
    <w:pPr>
      <w:spacing w:after="0" w:line="240" w:lineRule="auto"/>
    </w:pPr>
    <w:rPr>
      <w:rFonts w:ascii="Palatino Linotype" w:eastAsia="Times New Roman" w:hAnsi="Palatino Linotype"/>
    </w:rPr>
  </w:style>
  <w:style w:type="character" w:customStyle="1" w:styleId="query">
    <w:name w:val="query"/>
    <w:basedOn w:val="DefaultParagraphFont"/>
    <w:rsid w:val="00D1084C"/>
  </w:style>
  <w:style w:type="paragraph" w:customStyle="1" w:styleId="UTCBody">
    <w:name w:val="UTC Body"/>
    <w:basedOn w:val="Normal"/>
    <w:link w:val="UTCBodyChar"/>
    <w:qFormat/>
    <w:rsid w:val="00AB6F4E"/>
    <w:rPr>
      <w:rFonts w:eastAsiaTheme="minorHAnsi"/>
    </w:rPr>
  </w:style>
  <w:style w:type="character" w:customStyle="1" w:styleId="UTCBodyChar">
    <w:name w:val="UTC Body Char"/>
    <w:basedOn w:val="DefaultParagraphFont"/>
    <w:link w:val="UTCBody"/>
    <w:rsid w:val="00AB6F4E"/>
  </w:style>
  <w:style w:type="character" w:styleId="PageNumber">
    <w:name w:val="page number"/>
    <w:basedOn w:val="DefaultParagraphFont"/>
    <w:rsid w:val="00FD6156"/>
  </w:style>
  <w:style w:type="paragraph" w:styleId="BodyTextIndent2">
    <w:name w:val="Body Text Indent 2"/>
    <w:basedOn w:val="Normal"/>
    <w:link w:val="BodyTextIndent2Char"/>
    <w:rsid w:val="003B3320"/>
    <w:pPr>
      <w:ind w:left="686"/>
    </w:pPr>
  </w:style>
  <w:style w:type="character" w:customStyle="1" w:styleId="BodyTextIndent2Char">
    <w:name w:val="Body Text Indent 2 Char"/>
    <w:basedOn w:val="DefaultParagraphFont"/>
    <w:link w:val="BodyTextIndent2"/>
    <w:rsid w:val="003B3320"/>
    <w:rPr>
      <w:rFonts w:eastAsia="Times New Roman"/>
    </w:rPr>
  </w:style>
  <w:style w:type="paragraph" w:styleId="Revision">
    <w:name w:val="Revision"/>
    <w:hidden/>
    <w:uiPriority w:val="99"/>
    <w:semiHidden/>
    <w:rsid w:val="00810CAF"/>
    <w:pPr>
      <w:spacing w:after="0" w:line="240" w:lineRule="auto"/>
    </w:pPr>
    <w:rPr>
      <w:rFonts w:eastAsia="Times New Roman"/>
    </w:rPr>
  </w:style>
  <w:style w:type="character" w:styleId="Hyperlink">
    <w:name w:val="Hyperlink"/>
    <w:basedOn w:val="DefaultParagraphFont"/>
    <w:uiPriority w:val="99"/>
    <w:unhideWhenUsed/>
    <w:rsid w:val="0052341A"/>
    <w:rPr>
      <w:color w:val="0563C1" w:themeColor="hyperlink"/>
      <w:u w:val="single"/>
    </w:rPr>
  </w:style>
  <w:style w:type="character" w:styleId="FollowedHyperlink">
    <w:name w:val="FollowedHyperlink"/>
    <w:basedOn w:val="DefaultParagraphFont"/>
    <w:uiPriority w:val="99"/>
    <w:semiHidden/>
    <w:unhideWhenUsed/>
    <w:rsid w:val="003765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6749">
      <w:bodyDiv w:val="1"/>
      <w:marLeft w:val="0"/>
      <w:marRight w:val="0"/>
      <w:marTop w:val="0"/>
      <w:marBottom w:val="0"/>
      <w:divBdr>
        <w:top w:val="none" w:sz="0" w:space="0" w:color="auto"/>
        <w:left w:val="none" w:sz="0" w:space="0" w:color="auto"/>
        <w:bottom w:val="none" w:sz="0" w:space="0" w:color="auto"/>
        <w:right w:val="none" w:sz="0" w:space="0" w:color="auto"/>
      </w:divBdr>
    </w:div>
    <w:div w:id="429859167">
      <w:bodyDiv w:val="1"/>
      <w:marLeft w:val="0"/>
      <w:marRight w:val="0"/>
      <w:marTop w:val="0"/>
      <w:marBottom w:val="0"/>
      <w:divBdr>
        <w:top w:val="none" w:sz="0" w:space="0" w:color="auto"/>
        <w:left w:val="none" w:sz="0" w:space="0" w:color="auto"/>
        <w:bottom w:val="none" w:sz="0" w:space="0" w:color="auto"/>
        <w:right w:val="none" w:sz="0" w:space="0" w:color="auto"/>
      </w:divBdr>
    </w:div>
    <w:div w:id="699160725">
      <w:bodyDiv w:val="1"/>
      <w:marLeft w:val="0"/>
      <w:marRight w:val="0"/>
      <w:marTop w:val="0"/>
      <w:marBottom w:val="0"/>
      <w:divBdr>
        <w:top w:val="none" w:sz="0" w:space="0" w:color="auto"/>
        <w:left w:val="none" w:sz="0" w:space="0" w:color="auto"/>
        <w:bottom w:val="none" w:sz="0" w:space="0" w:color="auto"/>
        <w:right w:val="none" w:sz="0" w:space="0" w:color="auto"/>
      </w:divBdr>
    </w:div>
    <w:div w:id="1433087770">
      <w:bodyDiv w:val="1"/>
      <w:marLeft w:val="0"/>
      <w:marRight w:val="0"/>
      <w:marTop w:val="0"/>
      <w:marBottom w:val="0"/>
      <w:divBdr>
        <w:top w:val="none" w:sz="0" w:space="0" w:color="auto"/>
        <w:left w:val="none" w:sz="0" w:space="0" w:color="auto"/>
        <w:bottom w:val="none" w:sz="0" w:space="0" w:color="auto"/>
        <w:right w:val="none" w:sz="0" w:space="0" w:color="auto"/>
      </w:divBdr>
    </w:div>
    <w:div w:id="1615097026">
      <w:bodyDiv w:val="1"/>
      <w:marLeft w:val="0"/>
      <w:marRight w:val="0"/>
      <w:marTop w:val="0"/>
      <w:marBottom w:val="0"/>
      <w:divBdr>
        <w:top w:val="none" w:sz="0" w:space="0" w:color="auto"/>
        <w:left w:val="none" w:sz="0" w:space="0" w:color="auto"/>
        <w:bottom w:val="none" w:sz="0" w:space="0" w:color="auto"/>
        <w:right w:val="none" w:sz="0" w:space="0" w:color="auto"/>
      </w:divBdr>
    </w:div>
    <w:div w:id="20483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finance?chdnp=1&amp;chdd=1&amp;chds=1&amp;chdv=1&amp;chvs=maximized&amp;chdeh=0&amp;chfdeh=0&amp;chdet=1481922000000&amp;chddm=1173&amp;chls=IntervalBasedLine&amp;q=NYSE:AVA&amp;ntsp=0&amp;ei=yAd4WLnhEcK-jAGWhrDYCAhttps://www.google.com/finance?chdnp=1&amp;chdd=1&amp;chds=1&amp;chdv=1&amp;chvs=maximized&amp;chdeh=0&amp;chfdeh=0&amp;chdet=1481922000000&amp;chddm=1173&amp;chls=IntervalBasedLine&amp;q=NYSE:AVA&amp;ntsp=0&amp;ei=yAd4WLnhEcK-jAGWhrDYCA" TargetMode="External"/><Relationship Id="rId2" Type="http://schemas.openxmlformats.org/officeDocument/2006/relationships/hyperlink" Target="https://www.sec.gov/Archives/edgar/data/104918/000010491816000286/wagrcdecision8-kdecember16.htm" TargetMode="External"/><Relationship Id="rId1" Type="http://schemas.openxmlformats.org/officeDocument/2006/relationships/hyperlink" Target="https://www.google.com/finance?chdnp=1&amp;chdd=1&amp;chds=1&amp;chdv=1&amp;chvs=maximized&amp;chdeh=0&amp;chfdeh=0&amp;chdet=1484259117598&amp;chddm=391&amp;chls=IntervalBasedLine&amp;q=NYSE:AVA&amp;ntsp=0&amp;ei=Iv93WNC1HYezjAGq06y4BQ" TargetMode="External"/><Relationship Id="rId4" Type="http://schemas.openxmlformats.org/officeDocument/2006/relationships/hyperlink" Target="https://www.google.com/finance?chdnp=1&amp;chdd=1&amp;chds=1&amp;chdv=1&amp;chvs=maximized&amp;chdeh=0&amp;chfdeh=0&amp;chdet=1482526800000&amp;chddm=3519&amp;chls=IntervalBasedLine&amp;q=NYSE:AVA&amp;ntsp=0&amp;ei=90psWLiNLYyJjAG_34_4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2017-01-14T00:10:47+00:00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160228</DocketNumber>
    <DelegatedOrder xmlns="dc463f71-b30c-4ab2-9473-d307f9d35888">false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234369-1F5C-49C4-98DE-32ECA4DE699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de7b3f8-6eac-457b-bc2a-336d890ae149"/>
    <ds:schemaRef ds:uri="http://www.w3.org/XML/1998/namespace"/>
  </ds:schemaRefs>
</ds:datastoreItem>
</file>

<file path=customXml/itemProps2.xml><?xml version="1.0" encoding="utf-8"?>
<ds:datastoreItem xmlns:ds="http://schemas.openxmlformats.org/officeDocument/2006/customXml" ds:itemID="{C3BFC760-044F-44DF-B831-8C8B6B6C64ED}"/>
</file>

<file path=customXml/itemProps3.xml><?xml version="1.0" encoding="utf-8"?>
<ds:datastoreItem xmlns:ds="http://schemas.openxmlformats.org/officeDocument/2006/customXml" ds:itemID="{569E1138-FECA-426C-9B46-B2E3F2740037}">
  <ds:schemaRefs>
    <ds:schemaRef ds:uri="http://schemas.microsoft.com/sharepoint/v3/contenttype/forms"/>
  </ds:schemaRefs>
</ds:datastoreItem>
</file>

<file path=customXml/itemProps4.xml><?xml version="1.0" encoding="utf-8"?>
<ds:datastoreItem xmlns:ds="http://schemas.openxmlformats.org/officeDocument/2006/customXml" ds:itemID="{3D468D65-8E6B-411E-8FFB-832836A4B40B}">
  <ds:schemaRefs>
    <ds:schemaRef ds:uri="http://schemas.openxmlformats.org/officeDocument/2006/bibliography"/>
  </ds:schemaRefs>
</ds:datastoreItem>
</file>

<file path=customXml/itemProps5.xml><?xml version="1.0" encoding="utf-8"?>
<ds:datastoreItem xmlns:ds="http://schemas.openxmlformats.org/officeDocument/2006/customXml" ds:itemID="{B697067E-7A3D-4B78-A15B-2BA37F6E9102}"/>
</file>

<file path=docProps/app.xml><?xml version="1.0" encoding="utf-8"?>
<Properties xmlns="http://schemas.openxmlformats.org/officeDocument/2006/extended-properties" xmlns:vt="http://schemas.openxmlformats.org/officeDocument/2006/docPropsVTypes">
  <Template>Normal.dotm</Template>
  <TotalTime>0</TotalTime>
  <Pages>13</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2017-01-13T20:13:00Z</dcterms:created>
  <dcterms:modified xsi:type="dcterms:W3CDTF">2017-01-13T21:56:00Z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y fmtid="{D5CDD505-2E9C-101B-9397-08002B2CF9AE}" pid="4" name="IsEFSEC">
    <vt:bool>false</vt:bool>
  </property>
</Properties>
</file>