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D7D55" w14:textId="77777777" w:rsidR="00244353" w:rsidRPr="00CB7F45" w:rsidRDefault="00244353" w:rsidP="00C6214E">
      <w:pPr>
        <w:pStyle w:val="Title"/>
        <w:spacing w:line="264" w:lineRule="auto"/>
        <w:rPr>
          <w:rFonts w:ascii="Times New Roman" w:hAnsi="Times New Roman"/>
          <w:sz w:val="25"/>
          <w:szCs w:val="25"/>
        </w:rPr>
      </w:pPr>
      <w:r w:rsidRPr="00CB7F45">
        <w:rPr>
          <w:rFonts w:ascii="Times New Roman" w:hAnsi="Times New Roman"/>
          <w:sz w:val="25"/>
          <w:szCs w:val="25"/>
        </w:rPr>
        <w:t>BEFORE THE WASHINGTON</w:t>
      </w:r>
    </w:p>
    <w:p w14:paraId="7D2DF334" w14:textId="77777777" w:rsidR="00244353" w:rsidRPr="00CB7F45" w:rsidRDefault="00244353" w:rsidP="00C6214E">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66D7FD1C" w14:textId="77777777" w:rsidR="00E051E8" w:rsidRPr="00CB7F45" w:rsidRDefault="00E051E8" w:rsidP="00C6214E">
      <w:pPr>
        <w:spacing w:line="264" w:lineRule="auto"/>
        <w:rPr>
          <w:rFonts w:ascii="Times New Roman" w:hAnsi="Times New Roman"/>
          <w:sz w:val="25"/>
          <w:szCs w:val="25"/>
        </w:rPr>
      </w:pPr>
    </w:p>
    <w:tbl>
      <w:tblPr>
        <w:tblW w:w="9606" w:type="dxa"/>
        <w:tblLook w:val="0000" w:firstRow="0" w:lastRow="0" w:firstColumn="0" w:lastColumn="0" w:noHBand="0" w:noVBand="0"/>
      </w:tblPr>
      <w:tblGrid>
        <w:gridCol w:w="9162"/>
        <w:gridCol w:w="222"/>
        <w:gridCol w:w="222"/>
      </w:tblGrid>
      <w:tr w:rsidR="00244353" w:rsidRPr="00CB7F45" w14:paraId="5A7E9D48" w14:textId="77777777" w:rsidTr="00C6214E">
        <w:tc>
          <w:tcPr>
            <w:tcW w:w="9162" w:type="dxa"/>
          </w:tcPr>
          <w:p w14:paraId="11ADAC3C" w14:textId="77777777" w:rsidR="003E56DF" w:rsidRPr="005A7527" w:rsidRDefault="003E56DF" w:rsidP="00C6214E">
            <w:pPr>
              <w:pStyle w:val="BodyText"/>
              <w:spacing w:line="264" w:lineRule="auto"/>
              <w:rPr>
                <w:rFonts w:ascii="Times New Roman" w:hAnsi="Times New Roman"/>
                <w:b w:val="0"/>
                <w:sz w:val="25"/>
                <w:szCs w:val="25"/>
              </w:rPr>
            </w:pP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248"/>
            </w:tblGrid>
            <w:tr w:rsidR="003E56DF" w:rsidRPr="003E56DF" w14:paraId="7B0B6C63" w14:textId="77777777" w:rsidTr="00C6214E">
              <w:trPr>
                <w:trHeight w:val="3780"/>
              </w:trPr>
              <w:tc>
                <w:tcPr>
                  <w:tcW w:w="4248" w:type="dxa"/>
                </w:tcPr>
                <w:p w14:paraId="4EB545C6" w14:textId="77777777" w:rsid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WASHINGTON UTILITIES AND TRANSPORTATION COMMISSION,</w:t>
                  </w:r>
                </w:p>
                <w:p w14:paraId="2CDCE300" w14:textId="77777777" w:rsidR="00FC7FCA" w:rsidRDefault="00FC7FCA" w:rsidP="00C6214E">
                  <w:pPr>
                    <w:pStyle w:val="BodyText"/>
                    <w:spacing w:line="264" w:lineRule="auto"/>
                    <w:rPr>
                      <w:rFonts w:ascii="Times New Roman" w:hAnsi="Times New Roman"/>
                      <w:b w:val="0"/>
                      <w:sz w:val="25"/>
                      <w:szCs w:val="25"/>
                    </w:rPr>
                  </w:pPr>
                </w:p>
                <w:p w14:paraId="65AD0914" w14:textId="77777777" w:rsidR="003E56DF" w:rsidRDefault="003E56DF" w:rsidP="00C6214E">
                  <w:pPr>
                    <w:pStyle w:val="BodyText"/>
                    <w:tabs>
                      <w:tab w:val="left" w:pos="2174"/>
                    </w:tabs>
                    <w:spacing w:line="264" w:lineRule="auto"/>
                    <w:rPr>
                      <w:rFonts w:ascii="Times New Roman" w:hAnsi="Times New Roman"/>
                      <w:b w:val="0"/>
                      <w:sz w:val="25"/>
                      <w:szCs w:val="25"/>
                    </w:rPr>
                  </w:pPr>
                  <w:r w:rsidRPr="003E56DF">
                    <w:rPr>
                      <w:rFonts w:ascii="Times New Roman" w:hAnsi="Times New Roman"/>
                      <w:b w:val="0"/>
                      <w:sz w:val="25"/>
                      <w:szCs w:val="25"/>
                    </w:rPr>
                    <w:tab/>
                    <w:t>Complainant,</w:t>
                  </w:r>
                </w:p>
                <w:p w14:paraId="3A424046" w14:textId="77777777" w:rsidR="003E56DF" w:rsidRPr="003E56DF" w:rsidRDefault="003E56DF" w:rsidP="00C6214E">
                  <w:pPr>
                    <w:pStyle w:val="BodyText"/>
                    <w:tabs>
                      <w:tab w:val="left" w:pos="2174"/>
                    </w:tabs>
                    <w:spacing w:line="264" w:lineRule="auto"/>
                    <w:rPr>
                      <w:rFonts w:ascii="Times New Roman" w:hAnsi="Times New Roman"/>
                      <w:b w:val="0"/>
                      <w:sz w:val="25"/>
                      <w:szCs w:val="25"/>
                    </w:rPr>
                  </w:pPr>
                </w:p>
                <w:p w14:paraId="1AA88883" w14:textId="77777777" w:rsidR="003E56DF" w:rsidRDefault="003E56DF" w:rsidP="00C6214E">
                  <w:pPr>
                    <w:pStyle w:val="BodyText"/>
                    <w:tabs>
                      <w:tab w:val="left" w:pos="2174"/>
                    </w:tabs>
                    <w:spacing w:line="264" w:lineRule="auto"/>
                    <w:rPr>
                      <w:rFonts w:ascii="Times New Roman" w:hAnsi="Times New Roman"/>
                      <w:b w:val="0"/>
                      <w:sz w:val="25"/>
                      <w:szCs w:val="25"/>
                    </w:rPr>
                  </w:pPr>
                  <w:r w:rsidRPr="003E56DF">
                    <w:rPr>
                      <w:rFonts w:ascii="Times New Roman" w:hAnsi="Times New Roman"/>
                      <w:b w:val="0"/>
                      <w:sz w:val="25"/>
                      <w:szCs w:val="25"/>
                    </w:rPr>
                    <w:t>v.</w:t>
                  </w:r>
                </w:p>
                <w:p w14:paraId="4E89BD37" w14:textId="77777777" w:rsidR="003E56DF" w:rsidRPr="003E56DF" w:rsidRDefault="003E56DF" w:rsidP="00C6214E">
                  <w:pPr>
                    <w:pStyle w:val="BodyText"/>
                    <w:tabs>
                      <w:tab w:val="left" w:pos="2174"/>
                    </w:tabs>
                    <w:spacing w:line="264" w:lineRule="auto"/>
                    <w:rPr>
                      <w:rFonts w:ascii="Times New Roman" w:hAnsi="Times New Roman"/>
                      <w:b w:val="0"/>
                      <w:sz w:val="25"/>
                      <w:szCs w:val="25"/>
                    </w:rPr>
                  </w:pPr>
                </w:p>
                <w:p w14:paraId="152CC698" w14:textId="77777777" w:rsidR="003E56DF" w:rsidRDefault="003E56DF" w:rsidP="00C6214E">
                  <w:pPr>
                    <w:pStyle w:val="BodyText"/>
                    <w:tabs>
                      <w:tab w:val="left" w:pos="2174"/>
                    </w:tabs>
                    <w:spacing w:line="264" w:lineRule="auto"/>
                    <w:rPr>
                      <w:rFonts w:ascii="Times New Roman" w:hAnsi="Times New Roman"/>
                      <w:b w:val="0"/>
                      <w:sz w:val="25"/>
                      <w:szCs w:val="25"/>
                    </w:rPr>
                  </w:pPr>
                  <w:r w:rsidRPr="003E56DF">
                    <w:rPr>
                      <w:rFonts w:ascii="Times New Roman" w:hAnsi="Times New Roman"/>
                      <w:b w:val="0"/>
                      <w:sz w:val="25"/>
                      <w:szCs w:val="25"/>
                    </w:rPr>
                    <w:t>WASTE CONTROL, INC. (G-101),</w:t>
                  </w:r>
                </w:p>
                <w:p w14:paraId="71CB6000" w14:textId="77777777" w:rsidR="003E56DF" w:rsidRPr="003E56DF" w:rsidRDefault="003E56DF" w:rsidP="00C6214E">
                  <w:pPr>
                    <w:pStyle w:val="BodyText"/>
                    <w:tabs>
                      <w:tab w:val="left" w:pos="2174"/>
                    </w:tabs>
                    <w:spacing w:line="264" w:lineRule="auto"/>
                    <w:rPr>
                      <w:rFonts w:ascii="Times New Roman" w:hAnsi="Times New Roman"/>
                      <w:b w:val="0"/>
                      <w:sz w:val="25"/>
                      <w:szCs w:val="25"/>
                    </w:rPr>
                  </w:pPr>
                </w:p>
                <w:p w14:paraId="222ED557" w14:textId="77777777" w:rsidR="003E56DF" w:rsidRDefault="003E56DF" w:rsidP="00C6214E">
                  <w:pPr>
                    <w:pStyle w:val="BodyText"/>
                    <w:tabs>
                      <w:tab w:val="left" w:pos="2174"/>
                    </w:tabs>
                    <w:spacing w:line="264" w:lineRule="auto"/>
                    <w:rPr>
                      <w:rFonts w:ascii="Times New Roman" w:hAnsi="Times New Roman"/>
                      <w:b w:val="0"/>
                      <w:sz w:val="25"/>
                      <w:szCs w:val="25"/>
                    </w:rPr>
                  </w:pPr>
                  <w:r w:rsidRPr="003E56DF">
                    <w:rPr>
                      <w:rFonts w:ascii="Times New Roman" w:hAnsi="Times New Roman"/>
                      <w:b w:val="0"/>
                      <w:sz w:val="25"/>
                      <w:szCs w:val="25"/>
                    </w:rPr>
                    <w:tab/>
                    <w:t>Respondent.</w:t>
                  </w:r>
                </w:p>
                <w:p w14:paraId="1BDAF07C" w14:textId="77777777" w:rsidR="00FC7FCA" w:rsidRDefault="00FC7FCA" w:rsidP="00C6214E">
                  <w:pPr>
                    <w:pStyle w:val="BodyText"/>
                    <w:tabs>
                      <w:tab w:val="left" w:pos="2174"/>
                    </w:tabs>
                    <w:spacing w:line="264" w:lineRule="auto"/>
                    <w:rPr>
                      <w:rFonts w:ascii="Times New Roman" w:hAnsi="Times New Roman"/>
                      <w:b w:val="0"/>
                      <w:sz w:val="25"/>
                      <w:szCs w:val="25"/>
                    </w:rPr>
                  </w:pPr>
                </w:p>
                <w:p w14:paraId="1D18BF4D" w14:textId="77777777" w:rsidR="003E56DF" w:rsidRPr="003E56DF" w:rsidRDefault="003E56DF" w:rsidP="00C6214E">
                  <w:pPr>
                    <w:pStyle w:val="BodyText"/>
                    <w:tabs>
                      <w:tab w:val="left" w:pos="2174"/>
                    </w:tabs>
                    <w:spacing w:line="264" w:lineRule="auto"/>
                    <w:rPr>
                      <w:rFonts w:ascii="Times New Roman" w:hAnsi="Times New Roman"/>
                      <w:b w:val="0"/>
                      <w:sz w:val="25"/>
                      <w:szCs w:val="25"/>
                    </w:rPr>
                  </w:pPr>
                  <w:r w:rsidRPr="003E56DF">
                    <w:rPr>
                      <w:rFonts w:ascii="Times New Roman" w:hAnsi="Times New Roman"/>
                      <w:b w:val="0"/>
                      <w:sz w:val="25"/>
                      <w:szCs w:val="25"/>
                    </w:rPr>
                    <w:t>. . . . . . . . . . . . . . . . . . . . . . . . . . . . . . . .</w:t>
                  </w:r>
                </w:p>
              </w:tc>
              <w:tc>
                <w:tcPr>
                  <w:tcW w:w="450" w:type="dxa"/>
                </w:tcPr>
                <w:p w14:paraId="596FA325" w14:textId="77777777" w:rsidR="003E56DF"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t>
                  </w:r>
                </w:p>
                <w:p w14:paraId="2AD2A8CC" w14:textId="77777777" w:rsidR="003E56DF"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t>
                  </w:r>
                </w:p>
                <w:p w14:paraId="6EA2523A" w14:textId="77777777" w:rsidR="003E56DF"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t>
                  </w:r>
                </w:p>
                <w:p w14:paraId="64397D25" w14:textId="77777777" w:rsidR="003E56DF"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t>
                  </w:r>
                </w:p>
                <w:p w14:paraId="0C82DADF" w14:textId="77777777" w:rsidR="003E56DF"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t>
                  </w:r>
                </w:p>
                <w:p w14:paraId="13135C1B" w14:textId="77777777" w:rsidR="003E56DF"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t>
                  </w:r>
                </w:p>
                <w:p w14:paraId="68C12909" w14:textId="77777777" w:rsidR="003E56DF"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t>
                  </w:r>
                </w:p>
                <w:p w14:paraId="55502512" w14:textId="77777777" w:rsidR="003E56DF"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t>
                  </w:r>
                </w:p>
                <w:p w14:paraId="7EAB0578" w14:textId="77777777" w:rsidR="003E56DF"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t>
                  </w:r>
                </w:p>
                <w:p w14:paraId="01FDB5F2" w14:textId="77777777" w:rsidR="003E56DF"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t>
                  </w:r>
                </w:p>
                <w:p w14:paraId="7D39C75F" w14:textId="77777777" w:rsidR="003E56DF"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t>
                  </w:r>
                </w:p>
                <w:p w14:paraId="47F22BBB" w14:textId="77777777" w:rsid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w:t>
                  </w:r>
                </w:p>
                <w:p w14:paraId="2CA28C23" w14:textId="6D3EE1D8" w:rsidR="00FC7FCA" w:rsidRPr="003E56DF" w:rsidRDefault="00FC7FCA" w:rsidP="00C6214E">
                  <w:pPr>
                    <w:pStyle w:val="BodyText"/>
                    <w:spacing w:line="264" w:lineRule="auto"/>
                    <w:rPr>
                      <w:rFonts w:ascii="Times New Roman" w:hAnsi="Times New Roman"/>
                      <w:b w:val="0"/>
                      <w:sz w:val="25"/>
                      <w:szCs w:val="25"/>
                    </w:rPr>
                  </w:pPr>
                </w:p>
              </w:tc>
              <w:tc>
                <w:tcPr>
                  <w:tcW w:w="4248" w:type="dxa"/>
                </w:tcPr>
                <w:p w14:paraId="28D43BD2" w14:textId="0885884E" w:rsidR="003C7362"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DOCKET TG-140560</w:t>
                  </w:r>
                </w:p>
                <w:p w14:paraId="21DBF647" w14:textId="77777777" w:rsidR="003E56DF" w:rsidRDefault="003E56DF" w:rsidP="00C6214E">
                  <w:pPr>
                    <w:pStyle w:val="BodyText"/>
                    <w:spacing w:line="264" w:lineRule="auto"/>
                    <w:rPr>
                      <w:rFonts w:ascii="Times New Roman" w:hAnsi="Times New Roman"/>
                      <w:b w:val="0"/>
                      <w:sz w:val="25"/>
                      <w:szCs w:val="25"/>
                    </w:rPr>
                  </w:pPr>
                </w:p>
                <w:p w14:paraId="5B622044" w14:textId="77777777" w:rsidR="00C6214E" w:rsidRDefault="00C6214E" w:rsidP="00C6214E">
                  <w:pPr>
                    <w:pStyle w:val="BodyText"/>
                    <w:spacing w:line="264" w:lineRule="auto"/>
                    <w:rPr>
                      <w:rFonts w:ascii="Times New Roman" w:hAnsi="Times New Roman"/>
                      <w:b w:val="0"/>
                      <w:sz w:val="25"/>
                      <w:szCs w:val="25"/>
                    </w:rPr>
                  </w:pPr>
                </w:p>
                <w:p w14:paraId="7107B30A" w14:textId="6A840B49" w:rsidR="003C7362" w:rsidRPr="003E56DF" w:rsidRDefault="003E56DF" w:rsidP="00C6214E">
                  <w:pPr>
                    <w:pStyle w:val="BodyText"/>
                    <w:spacing w:line="264" w:lineRule="auto"/>
                    <w:rPr>
                      <w:rFonts w:ascii="Times New Roman" w:hAnsi="Times New Roman"/>
                      <w:b w:val="0"/>
                      <w:sz w:val="25"/>
                      <w:szCs w:val="25"/>
                    </w:rPr>
                  </w:pPr>
                  <w:r w:rsidRPr="003E56DF">
                    <w:rPr>
                      <w:rFonts w:ascii="Times New Roman" w:hAnsi="Times New Roman"/>
                      <w:b w:val="0"/>
                      <w:sz w:val="25"/>
                      <w:szCs w:val="25"/>
                    </w:rPr>
                    <w:t>ORDER 0</w:t>
                  </w:r>
                  <w:r w:rsidR="00F846B2">
                    <w:rPr>
                      <w:rFonts w:ascii="Times New Roman" w:hAnsi="Times New Roman"/>
                      <w:b w:val="0"/>
                      <w:sz w:val="25"/>
                      <w:szCs w:val="25"/>
                    </w:rPr>
                    <w:t>5</w:t>
                  </w:r>
                </w:p>
                <w:p w14:paraId="69F4868D" w14:textId="77777777" w:rsidR="003E56DF" w:rsidRPr="003E56DF" w:rsidRDefault="003E56DF" w:rsidP="00C6214E">
                  <w:pPr>
                    <w:pStyle w:val="BodyText"/>
                    <w:spacing w:line="264" w:lineRule="auto"/>
                    <w:rPr>
                      <w:rFonts w:ascii="Times New Roman" w:hAnsi="Times New Roman"/>
                      <w:b w:val="0"/>
                      <w:sz w:val="25"/>
                      <w:szCs w:val="25"/>
                    </w:rPr>
                  </w:pPr>
                </w:p>
                <w:p w14:paraId="0BB0070E" w14:textId="77777777" w:rsidR="003E56DF" w:rsidRPr="003E56DF" w:rsidRDefault="003E56DF" w:rsidP="00C6214E">
                  <w:pPr>
                    <w:spacing w:line="264" w:lineRule="auto"/>
                    <w:rPr>
                      <w:rFonts w:ascii="Times New Roman" w:hAnsi="Times New Roman"/>
                      <w:b/>
                      <w:sz w:val="25"/>
                      <w:szCs w:val="25"/>
                    </w:rPr>
                  </w:pPr>
                </w:p>
              </w:tc>
            </w:tr>
            <w:tr w:rsidR="00FC7FCA" w:rsidRPr="003E56DF" w14:paraId="562DBEFE" w14:textId="77777777" w:rsidTr="00B850EA">
              <w:tc>
                <w:tcPr>
                  <w:tcW w:w="4248" w:type="dxa"/>
                </w:tcPr>
                <w:p w14:paraId="2DAFBA1F" w14:textId="735EFF57" w:rsidR="00FC7FCA" w:rsidRPr="003E56DF" w:rsidRDefault="00FC7FCA" w:rsidP="00C6214E">
                  <w:pPr>
                    <w:pStyle w:val="BodyText"/>
                    <w:spacing w:line="264" w:lineRule="auto"/>
                    <w:rPr>
                      <w:rFonts w:ascii="Times New Roman" w:hAnsi="Times New Roman"/>
                      <w:b w:val="0"/>
                      <w:sz w:val="25"/>
                      <w:szCs w:val="25"/>
                    </w:rPr>
                  </w:pPr>
                </w:p>
              </w:tc>
              <w:tc>
                <w:tcPr>
                  <w:tcW w:w="450" w:type="dxa"/>
                </w:tcPr>
                <w:p w14:paraId="4983F693" w14:textId="77777777" w:rsidR="00FC7FCA" w:rsidRPr="003E56DF" w:rsidRDefault="00FC7FCA" w:rsidP="00C6214E">
                  <w:pPr>
                    <w:pStyle w:val="BodyText"/>
                    <w:spacing w:line="264" w:lineRule="auto"/>
                    <w:rPr>
                      <w:rFonts w:ascii="Times New Roman" w:hAnsi="Times New Roman"/>
                      <w:b w:val="0"/>
                      <w:sz w:val="25"/>
                      <w:szCs w:val="25"/>
                    </w:rPr>
                  </w:pPr>
                </w:p>
              </w:tc>
              <w:tc>
                <w:tcPr>
                  <w:tcW w:w="4248" w:type="dxa"/>
                </w:tcPr>
                <w:p w14:paraId="669751E5" w14:textId="77777777" w:rsidR="00FC7FCA" w:rsidRPr="003E56DF" w:rsidRDefault="00FC7FCA" w:rsidP="00C6214E">
                  <w:pPr>
                    <w:pStyle w:val="BodyText"/>
                    <w:spacing w:line="264" w:lineRule="auto"/>
                    <w:rPr>
                      <w:rFonts w:ascii="Times New Roman" w:hAnsi="Times New Roman"/>
                      <w:b w:val="0"/>
                      <w:sz w:val="25"/>
                      <w:szCs w:val="25"/>
                    </w:rPr>
                  </w:pPr>
                </w:p>
              </w:tc>
            </w:tr>
          </w:tbl>
          <w:p w14:paraId="6412E524" w14:textId="341AF30E" w:rsidR="00244353" w:rsidRPr="00CB7F45" w:rsidRDefault="00244353" w:rsidP="00C6214E">
            <w:pPr>
              <w:tabs>
                <w:tab w:val="left" w:pos="2160"/>
              </w:tabs>
              <w:spacing w:line="264" w:lineRule="auto"/>
              <w:rPr>
                <w:rFonts w:ascii="Times New Roman" w:hAnsi="Times New Roman"/>
                <w:sz w:val="25"/>
                <w:szCs w:val="25"/>
              </w:rPr>
            </w:pPr>
          </w:p>
        </w:tc>
        <w:tc>
          <w:tcPr>
            <w:tcW w:w="222" w:type="dxa"/>
          </w:tcPr>
          <w:p w14:paraId="293FB9DA" w14:textId="77777777" w:rsidR="00C05C38" w:rsidRPr="00CB7F45" w:rsidRDefault="00C05C38" w:rsidP="00C6214E">
            <w:pPr>
              <w:spacing w:line="264" w:lineRule="auto"/>
              <w:rPr>
                <w:rFonts w:ascii="Times New Roman" w:hAnsi="Times New Roman"/>
                <w:sz w:val="25"/>
                <w:szCs w:val="25"/>
              </w:rPr>
            </w:pPr>
          </w:p>
        </w:tc>
        <w:tc>
          <w:tcPr>
            <w:tcW w:w="222" w:type="dxa"/>
          </w:tcPr>
          <w:p w14:paraId="49FBC342" w14:textId="4A360EA1" w:rsidR="00244353" w:rsidRPr="00CB7F45" w:rsidRDefault="00244353" w:rsidP="00C6214E">
            <w:pPr>
              <w:spacing w:line="264" w:lineRule="auto"/>
              <w:rPr>
                <w:rFonts w:ascii="Times New Roman" w:hAnsi="Times New Roman"/>
                <w:sz w:val="25"/>
                <w:szCs w:val="25"/>
              </w:rPr>
            </w:pPr>
          </w:p>
        </w:tc>
      </w:tr>
    </w:tbl>
    <w:p w14:paraId="7CF20522" w14:textId="77777777" w:rsidR="00C6214E" w:rsidRPr="00C6214E" w:rsidRDefault="00C6214E" w:rsidP="00C6214E">
      <w:pPr>
        <w:spacing w:line="264" w:lineRule="auto"/>
        <w:jc w:val="center"/>
        <w:rPr>
          <w:rFonts w:ascii="Times New Roman" w:hAnsi="Times New Roman"/>
          <w:b/>
          <w:sz w:val="25"/>
          <w:szCs w:val="25"/>
          <w:u w:val="single"/>
        </w:rPr>
      </w:pPr>
      <w:r w:rsidRPr="00C6214E">
        <w:rPr>
          <w:rFonts w:ascii="Times New Roman" w:hAnsi="Times New Roman"/>
          <w:b/>
          <w:sz w:val="25"/>
          <w:szCs w:val="25"/>
          <w:u w:val="single"/>
        </w:rPr>
        <w:t>ORDER GRANTING IN PART AND DENYING IN PART STAFF’S MOTION TO CLARIFY THE SCOPE OF WAC 480-07-520(4) AND MOTION TO COMPEL; GRANTING IN PART AND DENYING IN PART WCI’S MOTION FOR DISCOVERY MASTER AND/OR ALTERNATIVELY, SCHEDULING OF A DISCOVERY CONFERENCE</w:t>
      </w:r>
    </w:p>
    <w:p w14:paraId="6BBBE535" w14:textId="77777777" w:rsidR="00C6214E" w:rsidRPr="00C6214E" w:rsidRDefault="00C6214E" w:rsidP="00C6214E">
      <w:pPr>
        <w:spacing w:line="264" w:lineRule="auto"/>
        <w:jc w:val="center"/>
        <w:rPr>
          <w:rFonts w:ascii="Times New Roman" w:hAnsi="Times New Roman"/>
          <w:b/>
          <w:sz w:val="25"/>
          <w:szCs w:val="25"/>
          <w:u w:val="single"/>
        </w:rPr>
      </w:pPr>
    </w:p>
    <w:p w14:paraId="225505D6" w14:textId="77777777" w:rsidR="00C6214E" w:rsidRPr="00C6214E" w:rsidRDefault="00C6214E" w:rsidP="00C6214E">
      <w:pPr>
        <w:spacing w:line="264" w:lineRule="auto"/>
        <w:jc w:val="center"/>
        <w:rPr>
          <w:rFonts w:ascii="Times New Roman" w:hAnsi="Times New Roman"/>
          <w:b/>
          <w:sz w:val="25"/>
          <w:szCs w:val="25"/>
          <w:u w:val="single"/>
        </w:rPr>
      </w:pPr>
      <w:r w:rsidRPr="00C6214E">
        <w:rPr>
          <w:rFonts w:ascii="Times New Roman" w:hAnsi="Times New Roman"/>
          <w:b/>
          <w:sz w:val="25"/>
          <w:szCs w:val="25"/>
          <w:u w:val="single"/>
        </w:rPr>
        <w:t>NOTICE OF DISCOVERY CONFERENCE</w:t>
      </w:r>
    </w:p>
    <w:p w14:paraId="32CDA5A7" w14:textId="77777777" w:rsidR="00C6214E" w:rsidRPr="00C6214E" w:rsidRDefault="00C6214E" w:rsidP="00C6214E">
      <w:pPr>
        <w:spacing w:line="264" w:lineRule="auto"/>
        <w:jc w:val="center"/>
        <w:rPr>
          <w:rFonts w:ascii="Times New Roman" w:hAnsi="Times New Roman"/>
          <w:b/>
          <w:sz w:val="25"/>
          <w:szCs w:val="25"/>
          <w:u w:val="single"/>
        </w:rPr>
      </w:pPr>
      <w:r w:rsidRPr="00C6214E">
        <w:rPr>
          <w:rFonts w:ascii="Times New Roman" w:hAnsi="Times New Roman"/>
          <w:b/>
          <w:sz w:val="25"/>
          <w:szCs w:val="25"/>
          <w:u w:val="single"/>
        </w:rPr>
        <w:t>(Set for July 11, 2014, at 9:30 a.m.)</w:t>
      </w:r>
    </w:p>
    <w:p w14:paraId="3BDC072A" w14:textId="105FCEC8" w:rsidR="00573CD4" w:rsidRDefault="00573CD4" w:rsidP="00C6214E">
      <w:pPr>
        <w:spacing w:line="264" w:lineRule="auto"/>
        <w:rPr>
          <w:rFonts w:ascii="Times New Roman" w:hAnsi="Times New Roman"/>
          <w:sz w:val="25"/>
          <w:szCs w:val="25"/>
        </w:rPr>
      </w:pPr>
    </w:p>
    <w:p w14:paraId="41E72423" w14:textId="77777777" w:rsidR="00C6214E" w:rsidRPr="000A29A6" w:rsidRDefault="00C6214E" w:rsidP="00C6214E">
      <w:pPr>
        <w:spacing w:line="264" w:lineRule="auto"/>
        <w:rPr>
          <w:rFonts w:ascii="Times New Roman" w:hAnsi="Times New Roman"/>
          <w:sz w:val="25"/>
          <w:szCs w:val="25"/>
        </w:rPr>
      </w:pPr>
    </w:p>
    <w:p w14:paraId="4664C473" w14:textId="57B550E3" w:rsidR="001E3132" w:rsidRPr="00C6214E" w:rsidRDefault="002F1460" w:rsidP="00C6214E">
      <w:pPr>
        <w:numPr>
          <w:ilvl w:val="0"/>
          <w:numId w:val="1"/>
        </w:numPr>
        <w:spacing w:line="264" w:lineRule="auto"/>
        <w:ind w:hanging="720"/>
        <w:rPr>
          <w:rFonts w:ascii="Times New Roman" w:hAnsi="Times New Roman"/>
          <w:sz w:val="25"/>
          <w:szCs w:val="25"/>
        </w:rPr>
      </w:pPr>
      <w:r w:rsidRPr="00C6214E">
        <w:rPr>
          <w:rFonts w:ascii="Times New Roman" w:hAnsi="Times New Roman"/>
          <w:b/>
          <w:sz w:val="25"/>
          <w:szCs w:val="25"/>
        </w:rPr>
        <w:t xml:space="preserve">Background.  </w:t>
      </w:r>
      <w:r w:rsidR="003C7362" w:rsidRPr="00C6214E">
        <w:rPr>
          <w:rFonts w:ascii="Times New Roman" w:hAnsi="Times New Roman"/>
          <w:sz w:val="25"/>
          <w:szCs w:val="25"/>
        </w:rPr>
        <w:t>On April 3, 2014, Waste Control, Inc. (WCI or Company) filed with the Washington Utilities and Transportation Commission (Commission) new Tariff No. 16 reflecting a general rate increase that, if approved, would generate approximately $532,000 (15.4 percent) in additional revenue.  The Commission convened a prehearing conference in this docket on April 30</w:t>
      </w:r>
      <w:r w:rsidR="00C82B11" w:rsidRPr="00C6214E">
        <w:rPr>
          <w:rFonts w:ascii="Times New Roman" w:hAnsi="Times New Roman"/>
          <w:sz w:val="25"/>
          <w:szCs w:val="25"/>
        </w:rPr>
        <w:t>, 2014</w:t>
      </w:r>
      <w:r w:rsidR="00FC7FCA" w:rsidRPr="00C6214E">
        <w:rPr>
          <w:rFonts w:ascii="Times New Roman" w:hAnsi="Times New Roman"/>
          <w:sz w:val="25"/>
          <w:szCs w:val="25"/>
        </w:rPr>
        <w:t>, before Administrative Law Judge Marguerite E. Friedlander (ALJ)</w:t>
      </w:r>
      <w:r w:rsidR="00C82B11" w:rsidRPr="00C6214E">
        <w:rPr>
          <w:rFonts w:ascii="Times New Roman" w:hAnsi="Times New Roman"/>
          <w:sz w:val="25"/>
          <w:szCs w:val="25"/>
        </w:rPr>
        <w:t xml:space="preserve">.  At the prehearing conference, </w:t>
      </w:r>
      <w:r w:rsidR="00F02432" w:rsidRPr="00C6214E">
        <w:rPr>
          <w:rFonts w:ascii="Times New Roman" w:hAnsi="Times New Roman"/>
          <w:sz w:val="25"/>
          <w:szCs w:val="25"/>
        </w:rPr>
        <w:t>the parties agreed to a technical conference between their subject matter experts on May 15 and</w:t>
      </w:r>
      <w:r w:rsidR="009535BF" w:rsidRPr="00C6214E">
        <w:rPr>
          <w:rFonts w:ascii="Times New Roman" w:hAnsi="Times New Roman"/>
          <w:sz w:val="25"/>
          <w:szCs w:val="25"/>
        </w:rPr>
        <w:t xml:space="preserve"> </w:t>
      </w:r>
      <w:r w:rsidR="00F02432" w:rsidRPr="00C6214E">
        <w:rPr>
          <w:rFonts w:ascii="Times New Roman" w:hAnsi="Times New Roman"/>
          <w:sz w:val="25"/>
          <w:szCs w:val="25"/>
        </w:rPr>
        <w:t>16, 2014</w:t>
      </w:r>
      <w:r w:rsidR="00C82B11" w:rsidRPr="00C6214E">
        <w:rPr>
          <w:rFonts w:ascii="Times New Roman" w:hAnsi="Times New Roman"/>
          <w:sz w:val="25"/>
          <w:szCs w:val="25"/>
        </w:rPr>
        <w:t>.</w:t>
      </w:r>
      <w:r w:rsidR="009535BF">
        <w:rPr>
          <w:rStyle w:val="FootnoteReference"/>
          <w:rFonts w:ascii="Times New Roman" w:hAnsi="Times New Roman"/>
          <w:sz w:val="25"/>
          <w:szCs w:val="25"/>
        </w:rPr>
        <w:footnoteReference w:id="1"/>
      </w:r>
      <w:r w:rsidR="00101032" w:rsidRPr="00C6214E">
        <w:rPr>
          <w:rFonts w:ascii="Times New Roman" w:hAnsi="Times New Roman"/>
          <w:sz w:val="25"/>
          <w:szCs w:val="25"/>
        </w:rPr>
        <w:t xml:space="preserve"> </w:t>
      </w:r>
    </w:p>
    <w:p w14:paraId="15B0567B" w14:textId="77777777" w:rsidR="002F1460" w:rsidRDefault="002F1460" w:rsidP="00C6214E">
      <w:pPr>
        <w:spacing w:line="264" w:lineRule="auto"/>
        <w:rPr>
          <w:rFonts w:ascii="Times New Roman" w:hAnsi="Times New Roman"/>
          <w:sz w:val="25"/>
          <w:szCs w:val="25"/>
        </w:rPr>
      </w:pPr>
    </w:p>
    <w:p w14:paraId="3A541F6D" w14:textId="7E04A180" w:rsidR="003E7978" w:rsidRDefault="000D35DA" w:rsidP="00C6214E">
      <w:pPr>
        <w:numPr>
          <w:ilvl w:val="0"/>
          <w:numId w:val="1"/>
        </w:numPr>
        <w:spacing w:line="264" w:lineRule="auto"/>
        <w:ind w:hanging="720"/>
        <w:rPr>
          <w:rFonts w:ascii="Times New Roman" w:hAnsi="Times New Roman"/>
          <w:sz w:val="25"/>
          <w:szCs w:val="25"/>
        </w:rPr>
      </w:pPr>
      <w:r w:rsidRPr="003E7978">
        <w:rPr>
          <w:rFonts w:ascii="Times New Roman" w:hAnsi="Times New Roman"/>
          <w:b/>
          <w:sz w:val="25"/>
          <w:szCs w:val="25"/>
        </w:rPr>
        <w:t>Appearances.</w:t>
      </w:r>
      <w:r w:rsidRPr="003E7978">
        <w:rPr>
          <w:rFonts w:ascii="Times New Roman" w:hAnsi="Times New Roman"/>
          <w:sz w:val="25"/>
          <w:szCs w:val="25"/>
        </w:rPr>
        <w:t xml:space="preserve">  </w:t>
      </w:r>
      <w:r w:rsidR="003C7362" w:rsidRPr="003C7362">
        <w:rPr>
          <w:rFonts w:ascii="Times New Roman" w:hAnsi="Times New Roman"/>
          <w:sz w:val="25"/>
          <w:szCs w:val="25"/>
        </w:rPr>
        <w:t xml:space="preserve">David W. Wiley, Williams, Kastner &amp; Gibbs PLLC, Seattle, Washington, represents </w:t>
      </w:r>
      <w:r w:rsidR="00643717">
        <w:rPr>
          <w:rFonts w:ascii="Times New Roman" w:hAnsi="Times New Roman"/>
          <w:sz w:val="25"/>
          <w:szCs w:val="25"/>
        </w:rPr>
        <w:t>WCI</w:t>
      </w:r>
      <w:r w:rsidR="003C7362" w:rsidRPr="003C7362">
        <w:rPr>
          <w:rFonts w:ascii="Times New Roman" w:hAnsi="Times New Roman"/>
          <w:sz w:val="25"/>
          <w:szCs w:val="25"/>
        </w:rPr>
        <w:t xml:space="preserve">.  </w:t>
      </w:r>
      <w:r w:rsidR="00643717">
        <w:rPr>
          <w:rFonts w:ascii="Times New Roman" w:hAnsi="Times New Roman"/>
          <w:sz w:val="25"/>
          <w:szCs w:val="25"/>
        </w:rPr>
        <w:t>Brett Shearer</w:t>
      </w:r>
      <w:r w:rsidR="003C7362" w:rsidRPr="003C7362">
        <w:rPr>
          <w:rFonts w:ascii="Times New Roman" w:hAnsi="Times New Roman"/>
          <w:sz w:val="25"/>
          <w:szCs w:val="25"/>
        </w:rPr>
        <w:t xml:space="preserve">, Assistant Attorney General, Olympia, Washington, represents </w:t>
      </w:r>
      <w:r w:rsidR="00C82B11">
        <w:rPr>
          <w:rFonts w:ascii="Times New Roman" w:hAnsi="Times New Roman"/>
          <w:sz w:val="25"/>
          <w:szCs w:val="25"/>
        </w:rPr>
        <w:t>the Commission’s regulatory staff (</w:t>
      </w:r>
      <w:r w:rsidR="003C7362" w:rsidRPr="003C7362">
        <w:rPr>
          <w:rFonts w:ascii="Times New Roman" w:hAnsi="Times New Roman"/>
          <w:sz w:val="25"/>
          <w:szCs w:val="25"/>
        </w:rPr>
        <w:t>Staff</w:t>
      </w:r>
      <w:r w:rsidR="00C82B11">
        <w:rPr>
          <w:rFonts w:ascii="Times New Roman" w:hAnsi="Times New Roman"/>
          <w:sz w:val="25"/>
          <w:szCs w:val="25"/>
        </w:rPr>
        <w:t>)</w:t>
      </w:r>
      <w:r w:rsidR="003C7362" w:rsidRPr="003C7362">
        <w:rPr>
          <w:rFonts w:ascii="Times New Roman" w:hAnsi="Times New Roman"/>
          <w:sz w:val="25"/>
          <w:szCs w:val="25"/>
        </w:rPr>
        <w:t>.</w:t>
      </w:r>
      <w:r w:rsidR="00C82B11" w:rsidRPr="00C82B11">
        <w:rPr>
          <w:rStyle w:val="FootnoteReference"/>
          <w:rFonts w:ascii="Times New Roman" w:hAnsi="Times New Roman"/>
          <w:sz w:val="25"/>
          <w:szCs w:val="25"/>
        </w:rPr>
        <w:t xml:space="preserve"> </w:t>
      </w:r>
      <w:r w:rsidR="00C82B11" w:rsidRPr="003C7362">
        <w:rPr>
          <w:rStyle w:val="FootnoteReference"/>
          <w:rFonts w:ascii="Times New Roman" w:hAnsi="Times New Roman"/>
          <w:sz w:val="25"/>
          <w:szCs w:val="25"/>
        </w:rPr>
        <w:footnoteReference w:id="2"/>
      </w:r>
      <w:r w:rsidR="003C7362" w:rsidRPr="003C7362">
        <w:rPr>
          <w:rFonts w:ascii="Times New Roman" w:hAnsi="Times New Roman"/>
          <w:sz w:val="25"/>
          <w:szCs w:val="25"/>
        </w:rPr>
        <w:t xml:space="preserve">  James K. Sells, Gig Harbor, Washington, represents </w:t>
      </w:r>
      <w:r w:rsidR="00C82B11">
        <w:rPr>
          <w:rFonts w:ascii="Times New Roman" w:hAnsi="Times New Roman"/>
          <w:sz w:val="25"/>
          <w:szCs w:val="25"/>
        </w:rPr>
        <w:t xml:space="preserve">the </w:t>
      </w:r>
      <w:r w:rsidR="003C7362" w:rsidRPr="003C7362">
        <w:rPr>
          <w:rFonts w:ascii="Times New Roman" w:hAnsi="Times New Roman"/>
          <w:sz w:val="25"/>
          <w:szCs w:val="25"/>
        </w:rPr>
        <w:t>W</w:t>
      </w:r>
      <w:r w:rsidR="00C82B11">
        <w:rPr>
          <w:rFonts w:ascii="Times New Roman" w:hAnsi="Times New Roman"/>
          <w:sz w:val="25"/>
          <w:szCs w:val="25"/>
        </w:rPr>
        <w:t xml:space="preserve">ashington </w:t>
      </w:r>
      <w:r w:rsidR="003C7362" w:rsidRPr="003C7362">
        <w:rPr>
          <w:rFonts w:ascii="Times New Roman" w:hAnsi="Times New Roman"/>
          <w:sz w:val="25"/>
          <w:szCs w:val="25"/>
        </w:rPr>
        <w:t>R</w:t>
      </w:r>
      <w:r w:rsidR="00C82B11">
        <w:rPr>
          <w:rFonts w:ascii="Times New Roman" w:hAnsi="Times New Roman"/>
          <w:sz w:val="25"/>
          <w:szCs w:val="25"/>
        </w:rPr>
        <w:t xml:space="preserve">efuse and </w:t>
      </w:r>
      <w:r w:rsidR="003C7362" w:rsidRPr="003C7362">
        <w:rPr>
          <w:rFonts w:ascii="Times New Roman" w:hAnsi="Times New Roman"/>
          <w:sz w:val="25"/>
          <w:szCs w:val="25"/>
        </w:rPr>
        <w:t>R</w:t>
      </w:r>
      <w:r w:rsidR="00C82B11">
        <w:rPr>
          <w:rFonts w:ascii="Times New Roman" w:hAnsi="Times New Roman"/>
          <w:sz w:val="25"/>
          <w:szCs w:val="25"/>
        </w:rPr>
        <w:t xml:space="preserve">ecycling </w:t>
      </w:r>
      <w:r w:rsidR="003C7362" w:rsidRPr="003C7362">
        <w:rPr>
          <w:rFonts w:ascii="Times New Roman" w:hAnsi="Times New Roman"/>
          <w:sz w:val="25"/>
          <w:szCs w:val="25"/>
        </w:rPr>
        <w:t>A</w:t>
      </w:r>
      <w:r w:rsidR="00C82B11">
        <w:rPr>
          <w:rFonts w:ascii="Times New Roman" w:hAnsi="Times New Roman"/>
          <w:sz w:val="25"/>
          <w:szCs w:val="25"/>
        </w:rPr>
        <w:t>ssociation (WRRA)</w:t>
      </w:r>
      <w:r w:rsidR="003C7362" w:rsidRPr="003C7362">
        <w:rPr>
          <w:rFonts w:ascii="Times New Roman" w:hAnsi="Times New Roman"/>
          <w:sz w:val="25"/>
          <w:szCs w:val="25"/>
        </w:rPr>
        <w:t>.</w:t>
      </w:r>
      <w:r w:rsidR="003C7362">
        <w:rPr>
          <w:sz w:val="25"/>
          <w:szCs w:val="25"/>
        </w:rPr>
        <w:t xml:space="preserve">  </w:t>
      </w:r>
    </w:p>
    <w:p w14:paraId="2EA21CAC" w14:textId="77777777" w:rsidR="00184D7C" w:rsidRDefault="00184D7C" w:rsidP="00C6214E">
      <w:pPr>
        <w:pStyle w:val="ListParagraph"/>
        <w:spacing w:line="264" w:lineRule="auto"/>
        <w:rPr>
          <w:sz w:val="25"/>
          <w:szCs w:val="25"/>
        </w:rPr>
      </w:pPr>
    </w:p>
    <w:p w14:paraId="466E4094" w14:textId="77777777" w:rsidR="004E7B57" w:rsidRDefault="004E7B57" w:rsidP="00C6214E">
      <w:pPr>
        <w:numPr>
          <w:ilvl w:val="0"/>
          <w:numId w:val="1"/>
        </w:numPr>
        <w:spacing w:line="264" w:lineRule="auto"/>
        <w:ind w:hanging="720"/>
        <w:rPr>
          <w:rFonts w:ascii="Times New Roman" w:hAnsi="Times New Roman"/>
          <w:sz w:val="25"/>
          <w:szCs w:val="25"/>
        </w:rPr>
      </w:pPr>
      <w:r>
        <w:rPr>
          <w:rFonts w:ascii="Times New Roman" w:hAnsi="Times New Roman"/>
          <w:b/>
          <w:sz w:val="25"/>
          <w:szCs w:val="25"/>
        </w:rPr>
        <w:t>Procedural History.</w:t>
      </w:r>
      <w:r w:rsidR="000D35DA" w:rsidRPr="00577BB1">
        <w:rPr>
          <w:rFonts w:ascii="Times New Roman" w:hAnsi="Times New Roman"/>
          <w:sz w:val="25"/>
          <w:szCs w:val="25"/>
        </w:rPr>
        <w:t xml:space="preserve">  </w:t>
      </w:r>
      <w:r w:rsidR="003C7362">
        <w:rPr>
          <w:rFonts w:ascii="Times New Roman" w:hAnsi="Times New Roman"/>
          <w:sz w:val="25"/>
          <w:szCs w:val="25"/>
        </w:rPr>
        <w:t xml:space="preserve">On June </w:t>
      </w:r>
      <w:r w:rsidR="00C82B11">
        <w:rPr>
          <w:rFonts w:ascii="Times New Roman" w:hAnsi="Times New Roman"/>
          <w:sz w:val="25"/>
          <w:szCs w:val="25"/>
        </w:rPr>
        <w:t>10</w:t>
      </w:r>
      <w:r w:rsidR="003C7362">
        <w:rPr>
          <w:rFonts w:ascii="Times New Roman" w:hAnsi="Times New Roman"/>
          <w:sz w:val="25"/>
          <w:szCs w:val="25"/>
        </w:rPr>
        <w:t xml:space="preserve">, 2014, </w:t>
      </w:r>
      <w:r w:rsidR="00C82B11">
        <w:rPr>
          <w:rFonts w:ascii="Times New Roman" w:hAnsi="Times New Roman"/>
          <w:sz w:val="25"/>
          <w:szCs w:val="25"/>
        </w:rPr>
        <w:t>WCI</w:t>
      </w:r>
      <w:r w:rsidR="003C7362">
        <w:rPr>
          <w:rFonts w:ascii="Times New Roman" w:hAnsi="Times New Roman"/>
          <w:sz w:val="25"/>
          <w:szCs w:val="25"/>
        </w:rPr>
        <w:t xml:space="preserve"> filed a Motion for</w:t>
      </w:r>
      <w:r w:rsidR="00C82B11">
        <w:rPr>
          <w:rFonts w:ascii="Times New Roman" w:hAnsi="Times New Roman"/>
          <w:sz w:val="25"/>
          <w:szCs w:val="25"/>
        </w:rPr>
        <w:t xml:space="preserve"> Appointment of a Discovery Master and/or, Alternatively, Scheduling of a Discovery Conference (WCI</w:t>
      </w:r>
      <w:r w:rsidR="00A5337F">
        <w:rPr>
          <w:rFonts w:ascii="Times New Roman" w:hAnsi="Times New Roman"/>
          <w:sz w:val="25"/>
          <w:szCs w:val="25"/>
        </w:rPr>
        <w:t>’s</w:t>
      </w:r>
      <w:r w:rsidR="00C82B11">
        <w:rPr>
          <w:rFonts w:ascii="Times New Roman" w:hAnsi="Times New Roman"/>
          <w:sz w:val="25"/>
          <w:szCs w:val="25"/>
        </w:rPr>
        <w:t xml:space="preserve"> Discovery Motion).</w:t>
      </w:r>
      <w:r w:rsidR="003C7362">
        <w:rPr>
          <w:rFonts w:ascii="Times New Roman" w:hAnsi="Times New Roman"/>
          <w:sz w:val="25"/>
          <w:szCs w:val="25"/>
        </w:rPr>
        <w:t xml:space="preserve">  </w:t>
      </w:r>
      <w:r>
        <w:rPr>
          <w:rFonts w:ascii="Times New Roman" w:hAnsi="Times New Roman"/>
          <w:sz w:val="25"/>
          <w:szCs w:val="25"/>
        </w:rPr>
        <w:t>On June 18, 2014, Staff filed its Response to the WCI Discovery Motion (Staff’s Response).  WRRA filed a Response to, and Joinder in, Respondent’s Discovery Motion (WRRA’s Response and Joinder) on June 23, 2014.</w:t>
      </w:r>
      <w:r>
        <w:rPr>
          <w:rStyle w:val="FootnoteReference"/>
          <w:rFonts w:ascii="Times New Roman" w:hAnsi="Times New Roman"/>
          <w:sz w:val="25"/>
          <w:szCs w:val="25"/>
        </w:rPr>
        <w:footnoteReference w:id="3"/>
      </w:r>
      <w:r>
        <w:rPr>
          <w:rFonts w:ascii="Times New Roman" w:hAnsi="Times New Roman"/>
          <w:sz w:val="25"/>
          <w:szCs w:val="25"/>
        </w:rPr>
        <w:t xml:space="preserve">  </w:t>
      </w:r>
    </w:p>
    <w:p w14:paraId="0766A2AA" w14:textId="77777777" w:rsidR="004E7B57" w:rsidRDefault="004E7B57" w:rsidP="00C6214E">
      <w:pPr>
        <w:pStyle w:val="ListParagraph"/>
        <w:spacing w:line="264" w:lineRule="auto"/>
        <w:rPr>
          <w:sz w:val="25"/>
          <w:szCs w:val="25"/>
        </w:rPr>
      </w:pPr>
    </w:p>
    <w:p w14:paraId="2C099A06" w14:textId="5A3ED994" w:rsidR="004E7B57" w:rsidRDefault="004E7B57"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t>On June 12, 2014, Staff filed a Motion to Clarify the Scope of WAC 480-07-520(4), Compel Discovery, and Expedited Motion for Extension of Time (Staff’s Discovery Motion).</w:t>
      </w:r>
      <w:r>
        <w:rPr>
          <w:rStyle w:val="FootnoteReference"/>
          <w:rFonts w:ascii="Times New Roman" w:hAnsi="Times New Roman"/>
          <w:sz w:val="25"/>
          <w:szCs w:val="25"/>
        </w:rPr>
        <w:footnoteReference w:id="4"/>
      </w:r>
      <w:r>
        <w:rPr>
          <w:rFonts w:ascii="Times New Roman" w:hAnsi="Times New Roman"/>
          <w:sz w:val="25"/>
          <w:szCs w:val="25"/>
        </w:rPr>
        <w:t xml:space="preserve">  </w:t>
      </w:r>
      <w:r w:rsidRPr="00494542">
        <w:rPr>
          <w:rFonts w:ascii="Times New Roman" w:hAnsi="Times New Roman"/>
          <w:sz w:val="25"/>
          <w:szCs w:val="25"/>
        </w:rPr>
        <w:t>WCI filed a Response to Staff Discovery Motion on June 23, 2014</w:t>
      </w:r>
      <w:r>
        <w:rPr>
          <w:rFonts w:ascii="Times New Roman" w:hAnsi="Times New Roman"/>
          <w:sz w:val="25"/>
          <w:szCs w:val="25"/>
        </w:rPr>
        <w:t xml:space="preserve"> (WCI’s Response)</w:t>
      </w:r>
      <w:r w:rsidRPr="00494542">
        <w:rPr>
          <w:rFonts w:ascii="Times New Roman" w:hAnsi="Times New Roman"/>
          <w:sz w:val="25"/>
          <w:szCs w:val="25"/>
        </w:rPr>
        <w:t xml:space="preserve">.  </w:t>
      </w:r>
    </w:p>
    <w:p w14:paraId="54EA7BA8" w14:textId="77777777" w:rsidR="004E7B57" w:rsidRDefault="004E7B57" w:rsidP="00C6214E">
      <w:pPr>
        <w:pStyle w:val="ListParagraph"/>
        <w:spacing w:line="264" w:lineRule="auto"/>
        <w:rPr>
          <w:sz w:val="25"/>
          <w:szCs w:val="25"/>
        </w:rPr>
      </w:pPr>
    </w:p>
    <w:p w14:paraId="382DED04" w14:textId="49A84103" w:rsidR="004E7B57" w:rsidRPr="00F742ED" w:rsidRDefault="004E7B57" w:rsidP="00C6214E">
      <w:pPr>
        <w:spacing w:line="264" w:lineRule="auto"/>
        <w:jc w:val="center"/>
        <w:rPr>
          <w:rFonts w:ascii="Times New Roman" w:hAnsi="Times New Roman"/>
          <w:b/>
          <w:sz w:val="25"/>
          <w:szCs w:val="25"/>
          <w:u w:val="single"/>
        </w:rPr>
      </w:pPr>
      <w:r w:rsidRPr="00F742ED">
        <w:rPr>
          <w:rFonts w:ascii="Times New Roman" w:hAnsi="Times New Roman"/>
          <w:b/>
          <w:sz w:val="25"/>
          <w:szCs w:val="25"/>
          <w:u w:val="single"/>
        </w:rPr>
        <w:t>WCI’s Position</w:t>
      </w:r>
    </w:p>
    <w:p w14:paraId="1B3F1C6A" w14:textId="77777777" w:rsidR="004E7B57" w:rsidRDefault="004E7B57" w:rsidP="00C6214E">
      <w:pPr>
        <w:pStyle w:val="ListParagraph"/>
        <w:spacing w:line="264" w:lineRule="auto"/>
        <w:rPr>
          <w:sz w:val="25"/>
          <w:szCs w:val="25"/>
        </w:rPr>
      </w:pPr>
    </w:p>
    <w:p w14:paraId="63CF6F5A" w14:textId="0EB04476" w:rsidR="00EA661B" w:rsidRDefault="000A4235"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Acknowledging Staff’s “continuing dissatisfaction … with the thousands of pages of responses, supporting data and documents </w:t>
      </w:r>
      <w:r w:rsidR="00887EDE">
        <w:rPr>
          <w:rFonts w:ascii="Times New Roman" w:hAnsi="Times New Roman"/>
          <w:sz w:val="25"/>
          <w:szCs w:val="25"/>
        </w:rPr>
        <w:t>supplied so far by the Company in discovery,”</w:t>
      </w:r>
      <w:r w:rsidR="006128A2">
        <w:rPr>
          <w:rStyle w:val="FootnoteReference"/>
          <w:rFonts w:ascii="Times New Roman" w:hAnsi="Times New Roman"/>
          <w:sz w:val="25"/>
          <w:szCs w:val="25"/>
        </w:rPr>
        <w:footnoteReference w:id="5"/>
      </w:r>
      <w:r w:rsidR="00887EDE">
        <w:rPr>
          <w:rFonts w:ascii="Times New Roman" w:hAnsi="Times New Roman"/>
          <w:sz w:val="25"/>
          <w:szCs w:val="25"/>
        </w:rPr>
        <w:t xml:space="preserve"> WCI </w:t>
      </w:r>
      <w:r w:rsidR="000E6C4D">
        <w:rPr>
          <w:rFonts w:ascii="Times New Roman" w:hAnsi="Times New Roman"/>
          <w:sz w:val="25"/>
          <w:szCs w:val="25"/>
        </w:rPr>
        <w:t xml:space="preserve">requests the </w:t>
      </w:r>
      <w:r w:rsidR="006128A2">
        <w:rPr>
          <w:rFonts w:ascii="Times New Roman" w:hAnsi="Times New Roman"/>
          <w:sz w:val="25"/>
          <w:szCs w:val="25"/>
        </w:rPr>
        <w:t xml:space="preserve">appointment of a third-party discovery master to </w:t>
      </w:r>
      <w:r w:rsidR="006128A2">
        <w:rPr>
          <w:rFonts w:ascii="Times New Roman" w:hAnsi="Times New Roman"/>
          <w:sz w:val="25"/>
          <w:szCs w:val="25"/>
        </w:rPr>
        <w:lastRenderedPageBreak/>
        <w:t>resolve the “discovery impasse.”</w:t>
      </w:r>
      <w:r w:rsidR="004C6B14">
        <w:rPr>
          <w:rStyle w:val="FootnoteReference"/>
          <w:rFonts w:ascii="Times New Roman" w:hAnsi="Times New Roman"/>
          <w:sz w:val="25"/>
          <w:szCs w:val="25"/>
        </w:rPr>
        <w:footnoteReference w:id="6"/>
      </w:r>
      <w:r w:rsidR="004C6B14">
        <w:rPr>
          <w:rFonts w:ascii="Times New Roman" w:hAnsi="Times New Roman"/>
          <w:sz w:val="25"/>
          <w:szCs w:val="25"/>
        </w:rPr>
        <w:t xml:space="preserve">  </w:t>
      </w:r>
      <w:r w:rsidR="00590AB4">
        <w:rPr>
          <w:rFonts w:ascii="Times New Roman" w:hAnsi="Times New Roman"/>
          <w:sz w:val="25"/>
          <w:szCs w:val="25"/>
        </w:rPr>
        <w:t>In the alternative, or even concurrently, the Company asks the Commission to convene a discovery conference pursuant to WAC 480-07-415.</w:t>
      </w:r>
      <w:r w:rsidR="00590AB4">
        <w:rPr>
          <w:rStyle w:val="FootnoteReference"/>
          <w:rFonts w:ascii="Times New Roman" w:hAnsi="Times New Roman"/>
          <w:sz w:val="25"/>
          <w:szCs w:val="25"/>
        </w:rPr>
        <w:footnoteReference w:id="7"/>
      </w:r>
      <w:r w:rsidR="00590AB4">
        <w:rPr>
          <w:rFonts w:ascii="Times New Roman" w:hAnsi="Times New Roman"/>
          <w:sz w:val="25"/>
          <w:szCs w:val="25"/>
        </w:rPr>
        <w:t xml:space="preserve">  </w:t>
      </w:r>
    </w:p>
    <w:p w14:paraId="34DCFB19" w14:textId="77777777" w:rsidR="00590AB4" w:rsidRDefault="00590AB4" w:rsidP="00C6214E">
      <w:pPr>
        <w:pStyle w:val="ListParagraph"/>
        <w:spacing w:line="264" w:lineRule="auto"/>
        <w:rPr>
          <w:sz w:val="25"/>
          <w:szCs w:val="25"/>
        </w:rPr>
      </w:pPr>
    </w:p>
    <w:p w14:paraId="3AE56E81" w14:textId="08F4D68C" w:rsidR="00A13291" w:rsidRDefault="00590AB4"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WCI states that it has contacted Staff on numerous occasions via email, correspondence, and telephone </w:t>
      </w:r>
      <w:r w:rsidR="00E140AD">
        <w:rPr>
          <w:rFonts w:ascii="Times New Roman" w:hAnsi="Times New Roman"/>
          <w:sz w:val="25"/>
          <w:szCs w:val="25"/>
        </w:rPr>
        <w:t xml:space="preserve">to resolve </w:t>
      </w:r>
      <w:r w:rsidR="00FC7FCA">
        <w:rPr>
          <w:rFonts w:ascii="Times New Roman" w:hAnsi="Times New Roman"/>
          <w:sz w:val="25"/>
          <w:szCs w:val="25"/>
        </w:rPr>
        <w:t xml:space="preserve">Staff’s apparent </w:t>
      </w:r>
      <w:r w:rsidR="002A0CC3">
        <w:rPr>
          <w:rFonts w:ascii="Times New Roman" w:hAnsi="Times New Roman"/>
          <w:sz w:val="25"/>
          <w:szCs w:val="25"/>
        </w:rPr>
        <w:t>discontent</w:t>
      </w:r>
      <w:r w:rsidR="00FC7FCA">
        <w:rPr>
          <w:rFonts w:ascii="Times New Roman" w:hAnsi="Times New Roman"/>
          <w:sz w:val="25"/>
          <w:szCs w:val="25"/>
        </w:rPr>
        <w:t xml:space="preserve"> with the Company’s data request responses</w:t>
      </w:r>
      <w:r w:rsidR="00E140AD">
        <w:rPr>
          <w:rFonts w:ascii="Times New Roman" w:hAnsi="Times New Roman"/>
          <w:sz w:val="25"/>
          <w:szCs w:val="25"/>
        </w:rPr>
        <w:t>.</w:t>
      </w:r>
      <w:r w:rsidR="00E140AD">
        <w:rPr>
          <w:rStyle w:val="FootnoteReference"/>
          <w:rFonts w:ascii="Times New Roman" w:hAnsi="Times New Roman"/>
          <w:sz w:val="25"/>
          <w:szCs w:val="25"/>
        </w:rPr>
        <w:footnoteReference w:id="8"/>
      </w:r>
      <w:r w:rsidR="00E140AD">
        <w:rPr>
          <w:rFonts w:ascii="Times New Roman" w:hAnsi="Times New Roman"/>
          <w:sz w:val="25"/>
          <w:szCs w:val="25"/>
        </w:rPr>
        <w:t xml:space="preserve">  </w:t>
      </w:r>
      <w:r w:rsidR="00FC7FCA">
        <w:rPr>
          <w:rFonts w:ascii="Times New Roman" w:hAnsi="Times New Roman"/>
          <w:sz w:val="25"/>
          <w:szCs w:val="25"/>
        </w:rPr>
        <w:t xml:space="preserve">Yet, </w:t>
      </w:r>
      <w:r w:rsidR="00E140AD">
        <w:rPr>
          <w:rFonts w:ascii="Times New Roman" w:hAnsi="Times New Roman"/>
          <w:sz w:val="25"/>
          <w:szCs w:val="25"/>
        </w:rPr>
        <w:t xml:space="preserve">WCI </w:t>
      </w:r>
      <w:r w:rsidR="002A0CC3">
        <w:rPr>
          <w:rFonts w:ascii="Times New Roman" w:hAnsi="Times New Roman"/>
          <w:sz w:val="25"/>
          <w:szCs w:val="25"/>
        </w:rPr>
        <w:t>contends that</w:t>
      </w:r>
      <w:r w:rsidR="00E140AD">
        <w:rPr>
          <w:rFonts w:ascii="Times New Roman" w:hAnsi="Times New Roman"/>
          <w:sz w:val="25"/>
          <w:szCs w:val="25"/>
        </w:rPr>
        <w:t xml:space="preserve"> Staff </w:t>
      </w:r>
      <w:r w:rsidR="00FC7FCA">
        <w:rPr>
          <w:rFonts w:ascii="Times New Roman" w:hAnsi="Times New Roman"/>
          <w:sz w:val="25"/>
          <w:szCs w:val="25"/>
        </w:rPr>
        <w:t xml:space="preserve">has expended </w:t>
      </w:r>
      <w:r w:rsidR="00E140AD">
        <w:rPr>
          <w:rFonts w:ascii="Times New Roman" w:hAnsi="Times New Roman"/>
          <w:sz w:val="25"/>
          <w:szCs w:val="25"/>
        </w:rPr>
        <w:t>“negligible effort to date to communicate with the Company about any alleged continuing deficiencies or shortcomings in the discovery process.”</w:t>
      </w:r>
      <w:r w:rsidR="00E140AD">
        <w:rPr>
          <w:rStyle w:val="FootnoteReference"/>
          <w:rFonts w:ascii="Times New Roman" w:hAnsi="Times New Roman"/>
          <w:sz w:val="25"/>
          <w:szCs w:val="25"/>
        </w:rPr>
        <w:footnoteReference w:id="9"/>
      </w:r>
      <w:r w:rsidR="008E5B60">
        <w:rPr>
          <w:rFonts w:ascii="Times New Roman" w:hAnsi="Times New Roman"/>
          <w:sz w:val="25"/>
          <w:szCs w:val="25"/>
        </w:rPr>
        <w:t xml:space="preserve">  </w:t>
      </w:r>
      <w:r w:rsidR="00A13291">
        <w:rPr>
          <w:rFonts w:ascii="Times New Roman" w:hAnsi="Times New Roman"/>
          <w:sz w:val="25"/>
          <w:szCs w:val="25"/>
        </w:rPr>
        <w:t>For example, WCI notes that Staff’s Discovery Motion was the first it had heard that Staff had a problem with WCI’s responses to Staff Data Request Nos. 7 and 8.</w:t>
      </w:r>
      <w:r w:rsidR="00A13291">
        <w:rPr>
          <w:rStyle w:val="FootnoteReference"/>
          <w:rFonts w:ascii="Times New Roman" w:hAnsi="Times New Roman"/>
          <w:sz w:val="25"/>
          <w:szCs w:val="25"/>
        </w:rPr>
        <w:footnoteReference w:id="10"/>
      </w:r>
      <w:r w:rsidR="00A13291">
        <w:rPr>
          <w:rFonts w:ascii="Times New Roman" w:hAnsi="Times New Roman"/>
          <w:sz w:val="25"/>
          <w:szCs w:val="25"/>
        </w:rPr>
        <w:t xml:space="preserve">  The Company contends that Staff has not attempted to “work out discovery disputes ‘informally’ and ‘in good faith.’”</w:t>
      </w:r>
      <w:r w:rsidR="00A13291">
        <w:rPr>
          <w:rStyle w:val="FootnoteReference"/>
          <w:rFonts w:ascii="Times New Roman" w:hAnsi="Times New Roman"/>
          <w:sz w:val="25"/>
          <w:szCs w:val="25"/>
        </w:rPr>
        <w:footnoteReference w:id="11"/>
      </w:r>
      <w:r w:rsidR="00A13291">
        <w:rPr>
          <w:rFonts w:ascii="Times New Roman" w:hAnsi="Times New Roman"/>
          <w:sz w:val="25"/>
          <w:szCs w:val="25"/>
        </w:rPr>
        <w:t xml:space="preserve">  In fact, WCI argues that the Commission’s discovery rule “presuppose[s] some effort, perhaps a telephonic or email request, for written follow-up to the [r]esponse before a [m]otion to [c]ompel is filed.”</w:t>
      </w:r>
      <w:r w:rsidR="00A13291">
        <w:rPr>
          <w:rStyle w:val="FootnoteReference"/>
          <w:rFonts w:ascii="Times New Roman" w:hAnsi="Times New Roman"/>
          <w:sz w:val="25"/>
          <w:szCs w:val="25"/>
        </w:rPr>
        <w:footnoteReference w:id="12"/>
      </w:r>
    </w:p>
    <w:p w14:paraId="6C317FA6" w14:textId="77777777" w:rsidR="00A13291" w:rsidRDefault="00A13291" w:rsidP="00C6214E">
      <w:pPr>
        <w:pStyle w:val="ListParagraph"/>
        <w:spacing w:line="264" w:lineRule="auto"/>
        <w:rPr>
          <w:sz w:val="25"/>
          <w:szCs w:val="25"/>
        </w:rPr>
      </w:pPr>
    </w:p>
    <w:p w14:paraId="1D5B25E1" w14:textId="0ECD11D3" w:rsidR="00590AB4" w:rsidRDefault="008E5B60"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t>The Company contends that any objections</w:t>
      </w:r>
      <w:r w:rsidR="00751B8A">
        <w:rPr>
          <w:rFonts w:ascii="Times New Roman" w:hAnsi="Times New Roman"/>
          <w:sz w:val="25"/>
          <w:szCs w:val="25"/>
        </w:rPr>
        <w:t xml:space="preserve"> </w:t>
      </w:r>
      <w:r w:rsidR="00E140AD">
        <w:rPr>
          <w:rFonts w:ascii="Times New Roman" w:hAnsi="Times New Roman"/>
          <w:sz w:val="25"/>
          <w:szCs w:val="25"/>
        </w:rPr>
        <w:t xml:space="preserve">Staff has </w:t>
      </w:r>
      <w:r w:rsidR="00751B8A">
        <w:rPr>
          <w:rFonts w:ascii="Times New Roman" w:hAnsi="Times New Roman"/>
          <w:sz w:val="25"/>
          <w:szCs w:val="25"/>
        </w:rPr>
        <w:t>concerning</w:t>
      </w:r>
      <w:r w:rsidR="00E140AD">
        <w:rPr>
          <w:rFonts w:ascii="Times New Roman" w:hAnsi="Times New Roman"/>
          <w:sz w:val="25"/>
          <w:szCs w:val="25"/>
        </w:rPr>
        <w:t xml:space="preserve"> WCI data request responses would best be handled </w:t>
      </w:r>
      <w:r w:rsidR="00751B8A">
        <w:rPr>
          <w:rFonts w:ascii="Times New Roman" w:hAnsi="Times New Roman"/>
          <w:sz w:val="25"/>
          <w:szCs w:val="25"/>
        </w:rPr>
        <w:t>by an in-person</w:t>
      </w:r>
      <w:r w:rsidR="00E140AD">
        <w:rPr>
          <w:rFonts w:ascii="Times New Roman" w:hAnsi="Times New Roman"/>
          <w:sz w:val="25"/>
          <w:szCs w:val="25"/>
        </w:rPr>
        <w:t xml:space="preserve"> discovery conference or in</w:t>
      </w:r>
      <w:r w:rsidR="00751B8A">
        <w:rPr>
          <w:rFonts w:ascii="Times New Roman" w:hAnsi="Times New Roman"/>
          <w:sz w:val="25"/>
          <w:szCs w:val="25"/>
        </w:rPr>
        <w:t>-person</w:t>
      </w:r>
      <w:r w:rsidR="00E140AD">
        <w:rPr>
          <w:rFonts w:ascii="Times New Roman" w:hAnsi="Times New Roman"/>
          <w:sz w:val="25"/>
          <w:szCs w:val="25"/>
        </w:rPr>
        <w:t xml:space="preserve"> additional technical conferences.</w:t>
      </w:r>
      <w:r w:rsidR="00E140AD">
        <w:rPr>
          <w:rStyle w:val="FootnoteReference"/>
          <w:rFonts w:ascii="Times New Roman" w:hAnsi="Times New Roman"/>
          <w:sz w:val="25"/>
          <w:szCs w:val="25"/>
        </w:rPr>
        <w:footnoteReference w:id="13"/>
      </w:r>
      <w:r w:rsidR="00197403">
        <w:rPr>
          <w:rFonts w:ascii="Times New Roman" w:hAnsi="Times New Roman"/>
          <w:sz w:val="25"/>
          <w:szCs w:val="25"/>
        </w:rPr>
        <w:t xml:space="preserve">  </w:t>
      </w:r>
      <w:r w:rsidR="00751B8A">
        <w:rPr>
          <w:rFonts w:ascii="Times New Roman" w:hAnsi="Times New Roman"/>
          <w:sz w:val="25"/>
          <w:szCs w:val="25"/>
        </w:rPr>
        <w:t xml:space="preserve">WCI asserts that </w:t>
      </w:r>
      <w:r>
        <w:rPr>
          <w:rFonts w:ascii="Times New Roman" w:hAnsi="Times New Roman"/>
          <w:sz w:val="25"/>
          <w:szCs w:val="25"/>
        </w:rPr>
        <w:t xml:space="preserve">the perfect opportunity to resolve any issues </w:t>
      </w:r>
      <w:r w:rsidR="00751B8A">
        <w:rPr>
          <w:rFonts w:ascii="Times New Roman" w:hAnsi="Times New Roman"/>
          <w:sz w:val="25"/>
          <w:szCs w:val="25"/>
        </w:rPr>
        <w:t xml:space="preserve">Staff </w:t>
      </w:r>
      <w:r>
        <w:rPr>
          <w:rFonts w:ascii="Times New Roman" w:hAnsi="Times New Roman"/>
          <w:sz w:val="25"/>
          <w:szCs w:val="25"/>
        </w:rPr>
        <w:t xml:space="preserve">had was the </w:t>
      </w:r>
      <w:r w:rsidR="00751B8A">
        <w:rPr>
          <w:rFonts w:ascii="Times New Roman" w:hAnsi="Times New Roman"/>
          <w:sz w:val="25"/>
          <w:szCs w:val="25"/>
        </w:rPr>
        <w:t>May 15</w:t>
      </w:r>
      <w:r>
        <w:rPr>
          <w:rFonts w:ascii="Times New Roman" w:hAnsi="Times New Roman"/>
          <w:sz w:val="25"/>
          <w:szCs w:val="25"/>
        </w:rPr>
        <w:t>-16, 2014, technical conference.</w:t>
      </w:r>
      <w:r w:rsidR="0039621D" w:rsidRPr="0039621D">
        <w:rPr>
          <w:rStyle w:val="FootnoteReference"/>
          <w:rFonts w:ascii="Times New Roman" w:hAnsi="Times New Roman"/>
          <w:sz w:val="25"/>
          <w:szCs w:val="25"/>
        </w:rPr>
        <w:t xml:space="preserve"> </w:t>
      </w:r>
      <w:r w:rsidR="0039621D">
        <w:rPr>
          <w:rStyle w:val="FootnoteReference"/>
          <w:rFonts w:ascii="Times New Roman" w:hAnsi="Times New Roman"/>
          <w:sz w:val="25"/>
          <w:szCs w:val="25"/>
        </w:rPr>
        <w:footnoteReference w:id="14"/>
      </w:r>
      <w:r>
        <w:rPr>
          <w:rFonts w:ascii="Times New Roman" w:hAnsi="Times New Roman"/>
          <w:sz w:val="25"/>
          <w:szCs w:val="25"/>
        </w:rPr>
        <w:t xml:space="preserve">  Instead, by refusing </w:t>
      </w:r>
      <w:r w:rsidR="00751B8A">
        <w:rPr>
          <w:rFonts w:ascii="Times New Roman" w:hAnsi="Times New Roman"/>
          <w:sz w:val="25"/>
          <w:szCs w:val="25"/>
        </w:rPr>
        <w:t>to participate in-person and limit</w:t>
      </w:r>
      <w:r>
        <w:rPr>
          <w:rFonts w:ascii="Times New Roman" w:hAnsi="Times New Roman"/>
          <w:sz w:val="25"/>
          <w:szCs w:val="25"/>
        </w:rPr>
        <w:t>ing</w:t>
      </w:r>
      <w:r w:rsidR="00751B8A">
        <w:rPr>
          <w:rFonts w:ascii="Times New Roman" w:hAnsi="Times New Roman"/>
          <w:sz w:val="25"/>
          <w:szCs w:val="25"/>
        </w:rPr>
        <w:t xml:space="preserve"> the subject </w:t>
      </w:r>
      <w:r>
        <w:rPr>
          <w:rFonts w:ascii="Times New Roman" w:hAnsi="Times New Roman"/>
          <w:sz w:val="25"/>
          <w:szCs w:val="25"/>
        </w:rPr>
        <w:t xml:space="preserve">matter </w:t>
      </w:r>
      <w:r w:rsidR="00751B8A">
        <w:rPr>
          <w:rFonts w:ascii="Times New Roman" w:hAnsi="Times New Roman"/>
          <w:sz w:val="25"/>
          <w:szCs w:val="25"/>
        </w:rPr>
        <w:t>of the conference “to reconciling the differences between the dismissed and current filing</w:t>
      </w:r>
      <w:r>
        <w:rPr>
          <w:rFonts w:ascii="Times New Roman" w:hAnsi="Times New Roman"/>
          <w:sz w:val="25"/>
          <w:szCs w:val="25"/>
        </w:rPr>
        <w:t>,</w:t>
      </w:r>
      <w:r w:rsidR="00751B8A">
        <w:rPr>
          <w:rFonts w:ascii="Times New Roman" w:hAnsi="Times New Roman"/>
          <w:sz w:val="25"/>
          <w:szCs w:val="25"/>
        </w:rPr>
        <w:t>”</w:t>
      </w:r>
      <w:r>
        <w:rPr>
          <w:rFonts w:ascii="Times New Roman" w:hAnsi="Times New Roman"/>
          <w:sz w:val="25"/>
          <w:szCs w:val="25"/>
        </w:rPr>
        <w:t xml:space="preserve"> Staff circumvented </w:t>
      </w:r>
      <w:r w:rsidR="0039621D">
        <w:rPr>
          <w:rFonts w:ascii="Times New Roman" w:hAnsi="Times New Roman"/>
          <w:sz w:val="25"/>
          <w:szCs w:val="25"/>
        </w:rPr>
        <w:t>that opportunity</w:t>
      </w:r>
      <w:r>
        <w:rPr>
          <w:rFonts w:ascii="Times New Roman" w:hAnsi="Times New Roman"/>
          <w:sz w:val="25"/>
          <w:szCs w:val="25"/>
        </w:rPr>
        <w:t>.</w:t>
      </w:r>
      <w:r w:rsidR="00751B8A">
        <w:rPr>
          <w:rStyle w:val="FootnoteReference"/>
          <w:rFonts w:ascii="Times New Roman" w:hAnsi="Times New Roman"/>
          <w:sz w:val="25"/>
          <w:szCs w:val="25"/>
        </w:rPr>
        <w:footnoteReference w:id="15"/>
      </w:r>
      <w:r w:rsidR="00751B8A">
        <w:rPr>
          <w:rFonts w:ascii="Times New Roman" w:hAnsi="Times New Roman"/>
          <w:sz w:val="25"/>
          <w:szCs w:val="25"/>
        </w:rPr>
        <w:t xml:space="preserve">  </w:t>
      </w:r>
    </w:p>
    <w:p w14:paraId="3FD844F6" w14:textId="77777777" w:rsidR="00197403" w:rsidRDefault="00197403" w:rsidP="00C6214E">
      <w:pPr>
        <w:pStyle w:val="ListParagraph"/>
        <w:spacing w:line="264" w:lineRule="auto"/>
        <w:rPr>
          <w:sz w:val="25"/>
          <w:szCs w:val="25"/>
        </w:rPr>
      </w:pPr>
    </w:p>
    <w:p w14:paraId="45F1A5B8" w14:textId="0589B392" w:rsidR="006B6CD0" w:rsidRDefault="0039621D"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lastRenderedPageBreak/>
        <w:t xml:space="preserve">In support of this claim, </w:t>
      </w:r>
      <w:r w:rsidR="00C723A9">
        <w:rPr>
          <w:rFonts w:ascii="Times New Roman" w:hAnsi="Times New Roman"/>
          <w:sz w:val="25"/>
          <w:szCs w:val="25"/>
        </w:rPr>
        <w:t xml:space="preserve">WCI attached several emails and correspondence between the Company and Staff </w:t>
      </w:r>
      <w:r>
        <w:rPr>
          <w:rFonts w:ascii="Times New Roman" w:hAnsi="Times New Roman"/>
          <w:sz w:val="25"/>
          <w:szCs w:val="25"/>
        </w:rPr>
        <w:t>which date back to before and even after the technical conference.  These emails concern</w:t>
      </w:r>
      <w:r w:rsidR="00C723A9">
        <w:rPr>
          <w:rFonts w:ascii="Times New Roman" w:hAnsi="Times New Roman"/>
          <w:sz w:val="25"/>
          <w:szCs w:val="25"/>
        </w:rPr>
        <w:t xml:space="preserve"> discovery issues</w:t>
      </w:r>
      <w:r w:rsidR="002A0CC3">
        <w:rPr>
          <w:rFonts w:ascii="Times New Roman" w:hAnsi="Times New Roman"/>
          <w:sz w:val="25"/>
          <w:szCs w:val="25"/>
        </w:rPr>
        <w:t xml:space="preserve"> including the hardcoding of spreadsheets</w:t>
      </w:r>
      <w:r w:rsidR="00C723A9">
        <w:rPr>
          <w:rFonts w:ascii="Times New Roman" w:hAnsi="Times New Roman"/>
          <w:sz w:val="25"/>
          <w:szCs w:val="25"/>
        </w:rPr>
        <w:t>.</w:t>
      </w:r>
      <w:r w:rsidR="00C723A9">
        <w:rPr>
          <w:rStyle w:val="FootnoteReference"/>
          <w:rFonts w:ascii="Times New Roman" w:hAnsi="Times New Roman"/>
          <w:sz w:val="25"/>
          <w:szCs w:val="25"/>
        </w:rPr>
        <w:footnoteReference w:id="16"/>
      </w:r>
      <w:r w:rsidR="00C723A9">
        <w:rPr>
          <w:rFonts w:ascii="Times New Roman" w:hAnsi="Times New Roman"/>
          <w:sz w:val="25"/>
          <w:szCs w:val="25"/>
        </w:rPr>
        <w:t xml:space="preserve">  </w:t>
      </w:r>
      <w:r>
        <w:rPr>
          <w:rFonts w:ascii="Times New Roman" w:hAnsi="Times New Roman"/>
          <w:sz w:val="25"/>
          <w:szCs w:val="25"/>
        </w:rPr>
        <w:t xml:space="preserve">Staff </w:t>
      </w:r>
      <w:r w:rsidR="002A0CC3">
        <w:rPr>
          <w:rFonts w:ascii="Times New Roman" w:hAnsi="Times New Roman"/>
          <w:sz w:val="25"/>
          <w:szCs w:val="25"/>
        </w:rPr>
        <w:t>demands</w:t>
      </w:r>
      <w:r>
        <w:rPr>
          <w:rFonts w:ascii="Times New Roman" w:hAnsi="Times New Roman"/>
          <w:sz w:val="25"/>
          <w:szCs w:val="25"/>
        </w:rPr>
        <w:t xml:space="preserve"> </w:t>
      </w:r>
      <w:r w:rsidR="002A0CC3">
        <w:rPr>
          <w:rFonts w:ascii="Times New Roman" w:hAnsi="Times New Roman"/>
          <w:sz w:val="25"/>
          <w:szCs w:val="25"/>
        </w:rPr>
        <w:t xml:space="preserve">that </w:t>
      </w:r>
      <w:r>
        <w:rPr>
          <w:rFonts w:ascii="Times New Roman" w:hAnsi="Times New Roman"/>
          <w:sz w:val="25"/>
          <w:szCs w:val="25"/>
        </w:rPr>
        <w:t xml:space="preserve">the </w:t>
      </w:r>
      <w:r w:rsidR="002A0CC3">
        <w:rPr>
          <w:rFonts w:ascii="Times New Roman" w:hAnsi="Times New Roman"/>
          <w:sz w:val="25"/>
          <w:szCs w:val="25"/>
        </w:rPr>
        <w:t xml:space="preserve">Company </w:t>
      </w:r>
      <w:r w:rsidR="003E6255">
        <w:rPr>
          <w:rFonts w:ascii="Times New Roman" w:hAnsi="Times New Roman"/>
          <w:sz w:val="25"/>
          <w:szCs w:val="25"/>
        </w:rPr>
        <w:t>replace</w:t>
      </w:r>
      <w:r w:rsidR="002A0CC3">
        <w:rPr>
          <w:rFonts w:ascii="Times New Roman" w:hAnsi="Times New Roman"/>
          <w:sz w:val="25"/>
          <w:szCs w:val="25"/>
        </w:rPr>
        <w:t xml:space="preserve"> these hardcodes</w:t>
      </w:r>
      <w:r w:rsidR="003E6255">
        <w:rPr>
          <w:rFonts w:ascii="Times New Roman" w:hAnsi="Times New Roman"/>
          <w:sz w:val="25"/>
          <w:szCs w:val="25"/>
        </w:rPr>
        <w:t xml:space="preserve"> with calculations and externally-linked documents used in support of its filing.  One of the spreadsheets in controversy is an exhibit, Exhibit No. JD-8, sponsored by WCI witness, Ms. Jacqueline Davis.  </w:t>
      </w:r>
      <w:r w:rsidR="00C723A9">
        <w:rPr>
          <w:rFonts w:ascii="Times New Roman" w:hAnsi="Times New Roman"/>
          <w:sz w:val="25"/>
          <w:szCs w:val="25"/>
        </w:rPr>
        <w:t>The Company argues that it</w:t>
      </w:r>
      <w:r w:rsidR="002A0CC3">
        <w:rPr>
          <w:rFonts w:ascii="Times New Roman" w:hAnsi="Times New Roman"/>
          <w:sz w:val="25"/>
          <w:szCs w:val="25"/>
        </w:rPr>
        <w:t>s</w:t>
      </w:r>
      <w:r w:rsidR="00C723A9">
        <w:rPr>
          <w:rFonts w:ascii="Times New Roman" w:hAnsi="Times New Roman"/>
          <w:sz w:val="25"/>
          <w:szCs w:val="25"/>
        </w:rPr>
        <w:t xml:space="preserve"> </w:t>
      </w:r>
      <w:r w:rsidR="002A0CC3">
        <w:rPr>
          <w:rFonts w:ascii="Times New Roman" w:hAnsi="Times New Roman"/>
          <w:sz w:val="25"/>
          <w:szCs w:val="25"/>
        </w:rPr>
        <w:t>exhibit</w:t>
      </w:r>
      <w:r w:rsidR="00977470">
        <w:rPr>
          <w:rFonts w:ascii="Times New Roman" w:hAnsi="Times New Roman"/>
          <w:sz w:val="25"/>
          <w:szCs w:val="25"/>
        </w:rPr>
        <w:t xml:space="preserve"> is an “amalgamated work product of [S]taff and [the C]ompany </w:t>
      </w:r>
      <w:r w:rsidR="002A0CC3">
        <w:rPr>
          <w:rFonts w:ascii="Times New Roman" w:hAnsi="Times New Roman"/>
          <w:sz w:val="25"/>
          <w:szCs w:val="25"/>
        </w:rPr>
        <w:t xml:space="preserve">[created] </w:t>
      </w:r>
      <w:r w:rsidR="00977470">
        <w:rPr>
          <w:rFonts w:ascii="Times New Roman" w:hAnsi="Times New Roman"/>
          <w:sz w:val="25"/>
          <w:szCs w:val="25"/>
        </w:rPr>
        <w:t>in the evolution of audits … in other words, the [C]ompany ([B]ooth Davis) was not uniformly the author/creator of some parts of the worksheets, etc.”</w:t>
      </w:r>
      <w:r w:rsidR="00977470">
        <w:rPr>
          <w:rStyle w:val="FootnoteReference"/>
          <w:rFonts w:ascii="Times New Roman" w:hAnsi="Times New Roman"/>
          <w:sz w:val="25"/>
          <w:szCs w:val="25"/>
        </w:rPr>
        <w:footnoteReference w:id="17"/>
      </w:r>
      <w:r w:rsidR="00977470">
        <w:rPr>
          <w:rFonts w:ascii="Times New Roman" w:hAnsi="Times New Roman"/>
          <w:sz w:val="25"/>
          <w:szCs w:val="25"/>
        </w:rPr>
        <w:t xml:space="preserve">  WCI also indicates that it </w:t>
      </w:r>
      <w:r w:rsidR="00C723A9">
        <w:rPr>
          <w:rFonts w:ascii="Times New Roman" w:hAnsi="Times New Roman"/>
          <w:sz w:val="25"/>
          <w:szCs w:val="25"/>
        </w:rPr>
        <w:t xml:space="preserve">only included the spreadsheet in support of Ms. Davis’ testimony “to establish where [it] derived the amount of the 2009 </w:t>
      </w:r>
      <w:r w:rsidR="00EF2CC1">
        <w:rPr>
          <w:rFonts w:ascii="Times New Roman" w:hAnsi="Times New Roman"/>
          <w:sz w:val="25"/>
          <w:szCs w:val="25"/>
        </w:rPr>
        <w:t xml:space="preserve">[affiliated] </w:t>
      </w:r>
      <w:r w:rsidR="00C723A9">
        <w:rPr>
          <w:rFonts w:ascii="Times New Roman" w:hAnsi="Times New Roman"/>
          <w:sz w:val="25"/>
          <w:szCs w:val="25"/>
        </w:rPr>
        <w:t>rent allowance”</w:t>
      </w:r>
      <w:r w:rsidR="00EF2CC1">
        <w:rPr>
          <w:rFonts w:ascii="Times New Roman" w:hAnsi="Times New Roman"/>
          <w:sz w:val="25"/>
          <w:szCs w:val="25"/>
        </w:rPr>
        <w:t xml:space="preserve"> allowed in the prior general rate case.</w:t>
      </w:r>
      <w:r w:rsidR="00C723A9">
        <w:rPr>
          <w:rStyle w:val="FootnoteReference"/>
          <w:rFonts w:ascii="Times New Roman" w:hAnsi="Times New Roman"/>
          <w:sz w:val="25"/>
          <w:szCs w:val="25"/>
        </w:rPr>
        <w:footnoteReference w:id="18"/>
      </w:r>
      <w:r w:rsidR="00C5736E">
        <w:rPr>
          <w:rFonts w:ascii="Times New Roman" w:hAnsi="Times New Roman"/>
          <w:sz w:val="25"/>
          <w:szCs w:val="25"/>
        </w:rPr>
        <w:t xml:space="preserve">  </w:t>
      </w:r>
      <w:r w:rsidR="00736600">
        <w:rPr>
          <w:rFonts w:ascii="Times New Roman" w:hAnsi="Times New Roman"/>
          <w:sz w:val="25"/>
          <w:szCs w:val="25"/>
        </w:rPr>
        <w:t>In Attachment</w:t>
      </w:r>
      <w:r w:rsidR="0021028A">
        <w:rPr>
          <w:rFonts w:ascii="Times New Roman" w:hAnsi="Times New Roman"/>
          <w:sz w:val="25"/>
          <w:szCs w:val="25"/>
        </w:rPr>
        <w:t>s</w:t>
      </w:r>
      <w:r w:rsidR="00736600">
        <w:rPr>
          <w:rFonts w:ascii="Times New Roman" w:hAnsi="Times New Roman"/>
          <w:sz w:val="25"/>
          <w:szCs w:val="25"/>
        </w:rPr>
        <w:t xml:space="preserve"> 8</w:t>
      </w:r>
      <w:r w:rsidR="0021028A">
        <w:rPr>
          <w:rFonts w:ascii="Times New Roman" w:hAnsi="Times New Roman"/>
          <w:sz w:val="25"/>
          <w:szCs w:val="25"/>
        </w:rPr>
        <w:t xml:space="preserve"> and 9</w:t>
      </w:r>
      <w:r w:rsidR="00736600">
        <w:rPr>
          <w:rFonts w:ascii="Times New Roman" w:hAnsi="Times New Roman"/>
          <w:sz w:val="25"/>
          <w:szCs w:val="25"/>
        </w:rPr>
        <w:t xml:space="preserve"> to WCI’s Discovery Motion, the Company includes email</w:t>
      </w:r>
      <w:r w:rsidR="0021028A">
        <w:rPr>
          <w:rFonts w:ascii="Times New Roman" w:hAnsi="Times New Roman"/>
          <w:sz w:val="25"/>
          <w:szCs w:val="25"/>
        </w:rPr>
        <w:t>s</w:t>
      </w:r>
      <w:r w:rsidR="00736600">
        <w:rPr>
          <w:rFonts w:ascii="Times New Roman" w:hAnsi="Times New Roman"/>
          <w:sz w:val="25"/>
          <w:szCs w:val="25"/>
        </w:rPr>
        <w:t xml:space="preserve"> from Ms. Davis, an accountant, to </w:t>
      </w:r>
      <w:r w:rsidR="002A0CC3">
        <w:rPr>
          <w:rFonts w:ascii="Times New Roman" w:hAnsi="Times New Roman"/>
          <w:sz w:val="25"/>
          <w:szCs w:val="25"/>
        </w:rPr>
        <w:t xml:space="preserve">Ms. </w:t>
      </w:r>
      <w:r w:rsidR="00736600">
        <w:rPr>
          <w:rFonts w:ascii="Times New Roman" w:hAnsi="Times New Roman"/>
          <w:sz w:val="25"/>
          <w:szCs w:val="25"/>
        </w:rPr>
        <w:t>Melissa Cheesman, Staff’</w:t>
      </w:r>
      <w:r w:rsidR="0021028A">
        <w:rPr>
          <w:rFonts w:ascii="Times New Roman" w:hAnsi="Times New Roman"/>
          <w:sz w:val="25"/>
          <w:szCs w:val="25"/>
        </w:rPr>
        <w:t>s accountant, stating that hardcodes for the spreadsheets associated with Exhibit No. JD-8 have been corrected.  In a later email from Ms. Cheesman to Ms. Davis</w:t>
      </w:r>
      <w:r w:rsidR="002D2983">
        <w:rPr>
          <w:rFonts w:ascii="Times New Roman" w:hAnsi="Times New Roman"/>
          <w:sz w:val="25"/>
          <w:szCs w:val="25"/>
        </w:rPr>
        <w:t xml:space="preserve">, Staff informs WCI that the </w:t>
      </w:r>
      <w:r w:rsidR="00BF596D">
        <w:rPr>
          <w:rFonts w:ascii="Times New Roman" w:hAnsi="Times New Roman"/>
          <w:sz w:val="25"/>
          <w:szCs w:val="25"/>
        </w:rPr>
        <w:t xml:space="preserve">revised </w:t>
      </w:r>
      <w:r w:rsidR="002D2983">
        <w:rPr>
          <w:rFonts w:ascii="Times New Roman" w:hAnsi="Times New Roman"/>
          <w:sz w:val="25"/>
          <w:szCs w:val="25"/>
        </w:rPr>
        <w:t xml:space="preserve">spreadsheets still contain </w:t>
      </w:r>
      <w:r w:rsidR="00BF596D">
        <w:rPr>
          <w:rFonts w:ascii="Times New Roman" w:hAnsi="Times New Roman"/>
          <w:sz w:val="25"/>
          <w:szCs w:val="25"/>
        </w:rPr>
        <w:t>hardcodes and external links but does not indicate the location of the non-conforming cells in each spreadsheet.</w:t>
      </w:r>
      <w:r w:rsidR="00645425">
        <w:rPr>
          <w:rStyle w:val="FootnoteReference"/>
          <w:rFonts w:ascii="Times New Roman" w:hAnsi="Times New Roman"/>
          <w:sz w:val="25"/>
          <w:szCs w:val="25"/>
        </w:rPr>
        <w:footnoteReference w:id="19"/>
      </w:r>
      <w:r w:rsidR="00BF596D">
        <w:rPr>
          <w:rFonts w:ascii="Times New Roman" w:hAnsi="Times New Roman"/>
          <w:sz w:val="25"/>
          <w:szCs w:val="25"/>
        </w:rPr>
        <w:t xml:space="preserve"> </w:t>
      </w:r>
      <w:r w:rsidR="0021028A">
        <w:rPr>
          <w:rFonts w:ascii="Times New Roman" w:hAnsi="Times New Roman"/>
          <w:sz w:val="25"/>
          <w:szCs w:val="25"/>
        </w:rPr>
        <w:t xml:space="preserve"> </w:t>
      </w:r>
      <w:r w:rsidR="00645425">
        <w:rPr>
          <w:rFonts w:ascii="Times New Roman" w:hAnsi="Times New Roman"/>
          <w:sz w:val="25"/>
          <w:szCs w:val="25"/>
        </w:rPr>
        <w:t xml:space="preserve">The Company contends </w:t>
      </w:r>
      <w:r w:rsidR="002A0CC3">
        <w:rPr>
          <w:rFonts w:ascii="Times New Roman" w:hAnsi="Times New Roman"/>
          <w:sz w:val="25"/>
          <w:szCs w:val="25"/>
        </w:rPr>
        <w:t xml:space="preserve">that </w:t>
      </w:r>
      <w:r w:rsidR="00645425">
        <w:rPr>
          <w:rFonts w:ascii="Times New Roman" w:hAnsi="Times New Roman"/>
          <w:sz w:val="25"/>
          <w:szCs w:val="25"/>
        </w:rPr>
        <w:t xml:space="preserve">a discovery conference </w:t>
      </w:r>
      <w:r w:rsidR="002A0CC3">
        <w:rPr>
          <w:rFonts w:ascii="Times New Roman" w:hAnsi="Times New Roman"/>
          <w:sz w:val="25"/>
          <w:szCs w:val="25"/>
        </w:rPr>
        <w:t xml:space="preserve">that </w:t>
      </w:r>
      <w:r w:rsidR="00645425">
        <w:rPr>
          <w:rFonts w:ascii="Times New Roman" w:hAnsi="Times New Roman"/>
          <w:sz w:val="25"/>
          <w:szCs w:val="25"/>
        </w:rPr>
        <w:t>would get the parties in the same room is a better option than the constant volley of data requests and apparently non-conforming responses.</w:t>
      </w:r>
      <w:r w:rsidR="00645425">
        <w:rPr>
          <w:rStyle w:val="FootnoteReference"/>
          <w:rFonts w:ascii="Times New Roman" w:hAnsi="Times New Roman"/>
          <w:sz w:val="25"/>
          <w:szCs w:val="25"/>
        </w:rPr>
        <w:footnoteReference w:id="20"/>
      </w:r>
    </w:p>
    <w:p w14:paraId="63A9686B" w14:textId="77777777" w:rsidR="006B6CD0" w:rsidRDefault="006B6CD0" w:rsidP="00C6214E">
      <w:pPr>
        <w:pStyle w:val="ListParagraph"/>
        <w:spacing w:line="264" w:lineRule="auto"/>
        <w:rPr>
          <w:sz w:val="25"/>
          <w:szCs w:val="25"/>
        </w:rPr>
      </w:pPr>
    </w:p>
    <w:p w14:paraId="05726C31" w14:textId="2D70E4E1" w:rsidR="00C723A9" w:rsidRDefault="00645425"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In addition, </w:t>
      </w:r>
      <w:r w:rsidR="00C5736E">
        <w:rPr>
          <w:rFonts w:ascii="Times New Roman" w:hAnsi="Times New Roman"/>
          <w:sz w:val="25"/>
          <w:szCs w:val="25"/>
        </w:rPr>
        <w:t xml:space="preserve">WCI </w:t>
      </w:r>
      <w:r w:rsidR="006B6CD0">
        <w:rPr>
          <w:rFonts w:ascii="Times New Roman" w:hAnsi="Times New Roman"/>
          <w:sz w:val="25"/>
          <w:szCs w:val="25"/>
        </w:rPr>
        <w:t>argues</w:t>
      </w:r>
      <w:r w:rsidR="00C5736E">
        <w:rPr>
          <w:rFonts w:ascii="Times New Roman" w:hAnsi="Times New Roman"/>
          <w:sz w:val="25"/>
          <w:szCs w:val="25"/>
        </w:rPr>
        <w:t xml:space="preserve"> that the </w:t>
      </w:r>
      <w:r w:rsidR="00AD3000">
        <w:rPr>
          <w:rFonts w:ascii="Times New Roman" w:hAnsi="Times New Roman"/>
          <w:sz w:val="25"/>
          <w:szCs w:val="25"/>
        </w:rPr>
        <w:t>Commission’s</w:t>
      </w:r>
      <w:r w:rsidR="00383776">
        <w:rPr>
          <w:rFonts w:ascii="Times New Roman" w:hAnsi="Times New Roman"/>
          <w:sz w:val="25"/>
          <w:szCs w:val="25"/>
        </w:rPr>
        <w:t xml:space="preserve"> rule</w:t>
      </w:r>
      <w:r w:rsidR="00AD3000">
        <w:rPr>
          <w:rFonts w:ascii="Times New Roman" w:hAnsi="Times New Roman"/>
          <w:sz w:val="25"/>
          <w:szCs w:val="25"/>
        </w:rPr>
        <w:t>s</w:t>
      </w:r>
      <w:r w:rsidR="00383776">
        <w:rPr>
          <w:rFonts w:ascii="Times New Roman" w:hAnsi="Times New Roman"/>
          <w:sz w:val="25"/>
          <w:szCs w:val="25"/>
        </w:rPr>
        <w:t xml:space="preserve"> do not require removal of </w:t>
      </w:r>
      <w:r>
        <w:rPr>
          <w:rFonts w:ascii="Times New Roman" w:hAnsi="Times New Roman"/>
          <w:sz w:val="25"/>
          <w:szCs w:val="25"/>
        </w:rPr>
        <w:t xml:space="preserve">the controversial </w:t>
      </w:r>
      <w:r w:rsidR="00383776">
        <w:rPr>
          <w:rFonts w:ascii="Times New Roman" w:hAnsi="Times New Roman"/>
          <w:sz w:val="25"/>
          <w:szCs w:val="25"/>
        </w:rPr>
        <w:t>hardcodes.</w:t>
      </w:r>
      <w:r w:rsidR="00383776">
        <w:rPr>
          <w:rStyle w:val="FootnoteReference"/>
          <w:rFonts w:ascii="Times New Roman" w:hAnsi="Times New Roman"/>
          <w:sz w:val="25"/>
          <w:szCs w:val="25"/>
        </w:rPr>
        <w:footnoteReference w:id="21"/>
      </w:r>
      <w:r w:rsidR="00383776">
        <w:rPr>
          <w:rFonts w:ascii="Times New Roman" w:hAnsi="Times New Roman"/>
          <w:sz w:val="25"/>
          <w:szCs w:val="25"/>
        </w:rPr>
        <w:t xml:space="preserve">  </w:t>
      </w:r>
      <w:r w:rsidR="00AD3000">
        <w:rPr>
          <w:rFonts w:ascii="Times New Roman" w:hAnsi="Times New Roman"/>
          <w:sz w:val="25"/>
          <w:szCs w:val="25"/>
        </w:rPr>
        <w:t>Neither t</w:t>
      </w:r>
      <w:r w:rsidR="00AD3000" w:rsidRPr="00AD3000">
        <w:rPr>
          <w:rFonts w:ascii="Times New Roman" w:hAnsi="Times New Roman"/>
          <w:sz w:val="25"/>
          <w:szCs w:val="25"/>
        </w:rPr>
        <w:t>he general discovery rule, WAC 480-07-400, nor</w:t>
      </w:r>
      <w:r w:rsidR="00AD3000">
        <w:rPr>
          <w:rFonts w:ascii="Times New Roman" w:hAnsi="Times New Roman"/>
          <w:sz w:val="25"/>
          <w:szCs w:val="25"/>
        </w:rPr>
        <w:t xml:space="preserve"> the electronic formatting rule,</w:t>
      </w:r>
      <w:r w:rsidR="00AD3000" w:rsidRPr="00AD3000">
        <w:rPr>
          <w:rFonts w:ascii="Times New Roman" w:hAnsi="Times New Roman"/>
          <w:sz w:val="25"/>
          <w:szCs w:val="25"/>
        </w:rPr>
        <w:t xml:space="preserve"> WAC 480-07-140(6) and </w:t>
      </w:r>
      <w:r w:rsidR="00AD3000">
        <w:rPr>
          <w:rFonts w:ascii="Times New Roman" w:hAnsi="Times New Roman"/>
          <w:sz w:val="25"/>
          <w:szCs w:val="25"/>
        </w:rPr>
        <w:t xml:space="preserve">the solid waste general rate case rule, </w:t>
      </w:r>
      <w:r w:rsidR="00AD3000" w:rsidRPr="00AD3000">
        <w:rPr>
          <w:rFonts w:ascii="Times New Roman" w:hAnsi="Times New Roman"/>
          <w:sz w:val="25"/>
          <w:szCs w:val="25"/>
        </w:rPr>
        <w:t>WAC 480-07-520(4), explicitly require the removal of hardcodes or externally-linked sources.</w:t>
      </w:r>
      <w:r w:rsidR="00AD3000">
        <w:rPr>
          <w:rStyle w:val="FootnoteReference"/>
          <w:rFonts w:ascii="Times New Roman" w:hAnsi="Times New Roman"/>
          <w:sz w:val="25"/>
          <w:szCs w:val="25"/>
        </w:rPr>
        <w:footnoteReference w:id="22"/>
      </w:r>
      <w:r w:rsidR="00AD3000" w:rsidRPr="00AD3000">
        <w:rPr>
          <w:rFonts w:ascii="Times New Roman" w:hAnsi="Times New Roman"/>
          <w:sz w:val="25"/>
          <w:szCs w:val="25"/>
        </w:rPr>
        <w:t xml:space="preserve">  </w:t>
      </w:r>
      <w:r w:rsidR="00AD3000">
        <w:rPr>
          <w:rFonts w:ascii="Times New Roman" w:hAnsi="Times New Roman"/>
          <w:sz w:val="25"/>
          <w:szCs w:val="25"/>
        </w:rPr>
        <w:t>In fact, t</w:t>
      </w:r>
      <w:r>
        <w:rPr>
          <w:rFonts w:ascii="Times New Roman" w:hAnsi="Times New Roman"/>
          <w:sz w:val="25"/>
          <w:szCs w:val="25"/>
        </w:rPr>
        <w:t>he</w:t>
      </w:r>
      <w:r w:rsidR="006B6CD0">
        <w:rPr>
          <w:rFonts w:ascii="Times New Roman" w:hAnsi="Times New Roman"/>
          <w:sz w:val="25"/>
          <w:szCs w:val="25"/>
        </w:rPr>
        <w:t xml:space="preserve"> Company asserts that the Commission’s regulations provide an exemption </w:t>
      </w:r>
      <w:r w:rsidR="004E7B57">
        <w:rPr>
          <w:rFonts w:ascii="Times New Roman" w:hAnsi="Times New Roman"/>
          <w:sz w:val="25"/>
          <w:szCs w:val="25"/>
        </w:rPr>
        <w:t xml:space="preserve">to the production requirement </w:t>
      </w:r>
      <w:r w:rsidR="006B6CD0">
        <w:rPr>
          <w:rFonts w:ascii="Times New Roman" w:hAnsi="Times New Roman"/>
          <w:sz w:val="25"/>
          <w:szCs w:val="25"/>
        </w:rPr>
        <w:t xml:space="preserve">for electronic </w:t>
      </w:r>
      <w:r>
        <w:rPr>
          <w:rFonts w:ascii="Times New Roman" w:hAnsi="Times New Roman"/>
          <w:sz w:val="25"/>
          <w:szCs w:val="25"/>
        </w:rPr>
        <w:t xml:space="preserve">spreadsheets </w:t>
      </w:r>
      <w:r w:rsidR="002A0CC3">
        <w:rPr>
          <w:rFonts w:ascii="Times New Roman" w:hAnsi="Times New Roman"/>
          <w:sz w:val="25"/>
          <w:szCs w:val="25"/>
        </w:rPr>
        <w:t xml:space="preserve">that are </w:t>
      </w:r>
      <w:r w:rsidR="006B6CD0">
        <w:rPr>
          <w:rFonts w:ascii="Times New Roman" w:hAnsi="Times New Roman"/>
          <w:sz w:val="25"/>
          <w:szCs w:val="25"/>
        </w:rPr>
        <w:t xml:space="preserve">not created by, for, or on behalf of a party to or a witness in the </w:t>
      </w:r>
      <w:r w:rsidR="006B6CD0">
        <w:rPr>
          <w:rFonts w:ascii="Times New Roman" w:hAnsi="Times New Roman"/>
          <w:sz w:val="25"/>
          <w:szCs w:val="25"/>
        </w:rPr>
        <w:lastRenderedPageBreak/>
        <w:t xml:space="preserve">proceeding for which no version in the </w:t>
      </w:r>
      <w:r w:rsidR="002A0CC3">
        <w:rPr>
          <w:rFonts w:ascii="Times New Roman" w:hAnsi="Times New Roman"/>
          <w:sz w:val="25"/>
          <w:szCs w:val="25"/>
        </w:rPr>
        <w:t>required formatting is available</w:t>
      </w:r>
      <w:r w:rsidR="006B6CD0">
        <w:rPr>
          <w:rStyle w:val="FootnoteReference"/>
          <w:rFonts w:ascii="Times New Roman" w:hAnsi="Times New Roman"/>
          <w:sz w:val="25"/>
          <w:szCs w:val="25"/>
        </w:rPr>
        <w:footnoteReference w:id="23"/>
      </w:r>
      <w:r w:rsidR="002E216D">
        <w:rPr>
          <w:rFonts w:ascii="Times New Roman" w:hAnsi="Times New Roman"/>
          <w:sz w:val="25"/>
          <w:szCs w:val="25"/>
        </w:rPr>
        <w:t xml:space="preserve"> or are </w:t>
      </w:r>
      <w:r w:rsidR="00AD3000">
        <w:rPr>
          <w:rFonts w:ascii="Times New Roman" w:hAnsi="Times New Roman"/>
          <w:sz w:val="25"/>
          <w:szCs w:val="25"/>
        </w:rPr>
        <w:t xml:space="preserve">voluminous </w:t>
      </w:r>
      <w:r w:rsidR="00AD3000" w:rsidRPr="00AD3000">
        <w:rPr>
          <w:rFonts w:ascii="Times New Roman" w:hAnsi="Times New Roman"/>
          <w:sz w:val="25"/>
          <w:szCs w:val="25"/>
        </w:rPr>
        <w:t>material not originally prepared in the required format</w:t>
      </w:r>
      <w:r w:rsidR="00AD3000">
        <w:rPr>
          <w:rFonts w:ascii="Times New Roman" w:hAnsi="Times New Roman"/>
          <w:sz w:val="25"/>
          <w:szCs w:val="25"/>
        </w:rPr>
        <w:t>.</w:t>
      </w:r>
      <w:r w:rsidR="00AD3000">
        <w:rPr>
          <w:rStyle w:val="FootnoteReference"/>
          <w:rFonts w:ascii="Times New Roman" w:hAnsi="Times New Roman"/>
          <w:sz w:val="25"/>
          <w:szCs w:val="25"/>
        </w:rPr>
        <w:footnoteReference w:id="24"/>
      </w:r>
    </w:p>
    <w:p w14:paraId="561299C5" w14:textId="77777777" w:rsidR="005D4F4D" w:rsidRDefault="005D4F4D" w:rsidP="00C6214E">
      <w:pPr>
        <w:pStyle w:val="ListParagraph"/>
        <w:spacing w:line="264" w:lineRule="auto"/>
        <w:rPr>
          <w:sz w:val="25"/>
          <w:szCs w:val="25"/>
        </w:rPr>
      </w:pPr>
    </w:p>
    <w:p w14:paraId="47AD152F" w14:textId="73B00947" w:rsidR="005D4F4D" w:rsidRPr="00F742ED" w:rsidRDefault="005D4F4D" w:rsidP="00C6214E">
      <w:pPr>
        <w:spacing w:line="264" w:lineRule="auto"/>
        <w:jc w:val="center"/>
        <w:rPr>
          <w:rFonts w:ascii="Times New Roman" w:hAnsi="Times New Roman"/>
          <w:b/>
          <w:sz w:val="25"/>
          <w:szCs w:val="25"/>
          <w:u w:val="single"/>
        </w:rPr>
      </w:pPr>
      <w:r w:rsidRPr="00F742ED">
        <w:rPr>
          <w:rFonts w:ascii="Times New Roman" w:hAnsi="Times New Roman"/>
          <w:b/>
          <w:sz w:val="25"/>
          <w:szCs w:val="25"/>
          <w:u w:val="single"/>
        </w:rPr>
        <w:t xml:space="preserve">Staff’s </w:t>
      </w:r>
      <w:r w:rsidR="004E7B57" w:rsidRPr="00F742ED">
        <w:rPr>
          <w:rFonts w:ascii="Times New Roman" w:hAnsi="Times New Roman"/>
          <w:b/>
          <w:sz w:val="25"/>
          <w:szCs w:val="25"/>
          <w:u w:val="single"/>
        </w:rPr>
        <w:t>Position</w:t>
      </w:r>
    </w:p>
    <w:p w14:paraId="5813B985" w14:textId="77777777" w:rsidR="005D4F4D" w:rsidRDefault="005D4F4D" w:rsidP="00C6214E">
      <w:pPr>
        <w:spacing w:line="264" w:lineRule="auto"/>
        <w:jc w:val="center"/>
        <w:rPr>
          <w:rFonts w:ascii="Times New Roman" w:hAnsi="Times New Roman"/>
          <w:sz w:val="25"/>
          <w:szCs w:val="25"/>
          <w:u w:val="single"/>
        </w:rPr>
      </w:pPr>
    </w:p>
    <w:p w14:paraId="46F1E36C" w14:textId="02BC3C48" w:rsidR="00D02359" w:rsidRDefault="00383776" w:rsidP="00C6214E">
      <w:pPr>
        <w:numPr>
          <w:ilvl w:val="0"/>
          <w:numId w:val="1"/>
        </w:numPr>
        <w:spacing w:line="264" w:lineRule="auto"/>
        <w:ind w:hanging="720"/>
        <w:rPr>
          <w:rFonts w:ascii="Times New Roman" w:hAnsi="Times New Roman"/>
          <w:sz w:val="25"/>
          <w:szCs w:val="25"/>
        </w:rPr>
      </w:pPr>
      <w:r w:rsidRPr="00490747">
        <w:rPr>
          <w:rFonts w:ascii="Times New Roman" w:hAnsi="Times New Roman"/>
          <w:sz w:val="25"/>
          <w:szCs w:val="25"/>
        </w:rPr>
        <w:t>Staff asserts that the appointment of a discovery master and/or scheduling of a discovery conference would “be an exercise in futility at this stage of the proceeding.”</w:t>
      </w:r>
      <w:r>
        <w:rPr>
          <w:rStyle w:val="FootnoteReference"/>
          <w:rFonts w:ascii="Times New Roman" w:hAnsi="Times New Roman"/>
          <w:sz w:val="25"/>
          <w:szCs w:val="25"/>
        </w:rPr>
        <w:footnoteReference w:id="25"/>
      </w:r>
      <w:r w:rsidRPr="00490747">
        <w:rPr>
          <w:rFonts w:ascii="Times New Roman" w:hAnsi="Times New Roman"/>
          <w:sz w:val="25"/>
          <w:szCs w:val="25"/>
        </w:rPr>
        <w:t xml:space="preserve">  </w:t>
      </w:r>
      <w:r w:rsidR="00F31D3A" w:rsidRPr="00490747">
        <w:rPr>
          <w:rFonts w:ascii="Times New Roman" w:hAnsi="Times New Roman"/>
          <w:sz w:val="25"/>
          <w:szCs w:val="25"/>
        </w:rPr>
        <w:t xml:space="preserve">Staff argues a discovery master </w:t>
      </w:r>
      <w:r w:rsidR="00DD6102" w:rsidRPr="00490747">
        <w:rPr>
          <w:rFonts w:ascii="Times New Roman" w:hAnsi="Times New Roman"/>
          <w:sz w:val="25"/>
          <w:szCs w:val="25"/>
        </w:rPr>
        <w:t>would face the “extremely difficult and time-consuming task” of reviewing “extensive amount[s] of relevant information” produced so far in this proceeding and its predecessor, Docket TG-131794.</w:t>
      </w:r>
      <w:r w:rsidR="00DD6102">
        <w:rPr>
          <w:rStyle w:val="FootnoteReference"/>
          <w:rFonts w:ascii="Times New Roman" w:hAnsi="Times New Roman"/>
          <w:sz w:val="25"/>
          <w:szCs w:val="25"/>
        </w:rPr>
        <w:footnoteReference w:id="26"/>
      </w:r>
      <w:r w:rsidR="00DD6102" w:rsidRPr="00490747">
        <w:rPr>
          <w:rFonts w:ascii="Times New Roman" w:hAnsi="Times New Roman"/>
          <w:sz w:val="25"/>
          <w:szCs w:val="25"/>
        </w:rPr>
        <w:t xml:space="preserve">  Similarly, </w:t>
      </w:r>
      <w:r w:rsidR="002E216D">
        <w:rPr>
          <w:rFonts w:ascii="Times New Roman" w:hAnsi="Times New Roman"/>
          <w:sz w:val="25"/>
          <w:szCs w:val="25"/>
        </w:rPr>
        <w:t>it</w:t>
      </w:r>
      <w:r w:rsidR="00DD6102" w:rsidRPr="00490747">
        <w:rPr>
          <w:rFonts w:ascii="Times New Roman" w:hAnsi="Times New Roman"/>
          <w:sz w:val="25"/>
          <w:szCs w:val="25"/>
        </w:rPr>
        <w:t xml:space="preserve"> dismisses the suggestion of a discovery conference, noting frankly that WCI “has provoked exasperation among Staff” such that “there is simply no longer substantial prospect for a discovery conference to save Staff or the Company effort or expense.”</w:t>
      </w:r>
      <w:r w:rsidR="00DD6102">
        <w:rPr>
          <w:rStyle w:val="FootnoteReference"/>
          <w:rFonts w:ascii="Times New Roman" w:hAnsi="Times New Roman"/>
          <w:sz w:val="25"/>
          <w:szCs w:val="25"/>
        </w:rPr>
        <w:footnoteReference w:id="27"/>
      </w:r>
      <w:r w:rsidR="00DD6102" w:rsidRPr="00490747">
        <w:rPr>
          <w:rFonts w:ascii="Times New Roman" w:hAnsi="Times New Roman"/>
          <w:sz w:val="25"/>
          <w:szCs w:val="25"/>
        </w:rPr>
        <w:t xml:space="preserve">  </w:t>
      </w:r>
    </w:p>
    <w:p w14:paraId="692F2DAD" w14:textId="77777777" w:rsidR="00D02359" w:rsidRDefault="00D02359" w:rsidP="00C6214E">
      <w:pPr>
        <w:spacing w:line="264" w:lineRule="auto"/>
        <w:rPr>
          <w:rFonts w:ascii="Times New Roman" w:hAnsi="Times New Roman"/>
          <w:sz w:val="25"/>
          <w:szCs w:val="25"/>
        </w:rPr>
      </w:pPr>
    </w:p>
    <w:p w14:paraId="599F340D" w14:textId="02473207" w:rsidR="00CE6200" w:rsidRPr="00490747" w:rsidRDefault="00E73526" w:rsidP="00C6214E">
      <w:pPr>
        <w:numPr>
          <w:ilvl w:val="0"/>
          <w:numId w:val="1"/>
        </w:numPr>
        <w:spacing w:line="264" w:lineRule="auto"/>
        <w:ind w:hanging="720"/>
        <w:rPr>
          <w:rFonts w:ascii="Times New Roman" w:hAnsi="Times New Roman"/>
          <w:sz w:val="25"/>
          <w:szCs w:val="25"/>
        </w:rPr>
      </w:pPr>
      <w:r w:rsidRPr="00490747">
        <w:rPr>
          <w:rFonts w:ascii="Times New Roman" w:hAnsi="Times New Roman"/>
          <w:sz w:val="25"/>
          <w:szCs w:val="25"/>
        </w:rPr>
        <w:t xml:space="preserve">Instead, Staff asks that the Commission clarify </w:t>
      </w:r>
      <w:r w:rsidR="00E7203A" w:rsidRPr="00490747">
        <w:rPr>
          <w:rFonts w:ascii="Times New Roman" w:hAnsi="Times New Roman"/>
          <w:sz w:val="25"/>
          <w:szCs w:val="25"/>
        </w:rPr>
        <w:t xml:space="preserve">that </w:t>
      </w:r>
      <w:r w:rsidR="00D02359">
        <w:rPr>
          <w:rFonts w:ascii="Times New Roman" w:hAnsi="Times New Roman"/>
          <w:sz w:val="25"/>
          <w:szCs w:val="25"/>
        </w:rPr>
        <w:t xml:space="preserve">solid waste companies seeking a general rate increase are required to provide supporting calculations and documents pursuant to </w:t>
      </w:r>
      <w:r w:rsidRPr="00490747">
        <w:rPr>
          <w:rFonts w:ascii="Times New Roman" w:hAnsi="Times New Roman"/>
          <w:sz w:val="25"/>
          <w:szCs w:val="25"/>
        </w:rPr>
        <w:t xml:space="preserve">WAC 480-07-520(4) and the work paper filing </w:t>
      </w:r>
      <w:r w:rsidR="00D02359">
        <w:rPr>
          <w:rFonts w:ascii="Times New Roman" w:hAnsi="Times New Roman"/>
          <w:sz w:val="25"/>
          <w:szCs w:val="25"/>
        </w:rPr>
        <w:t>rules</w:t>
      </w:r>
      <w:r w:rsidR="00E7203A" w:rsidRPr="00490747">
        <w:rPr>
          <w:rFonts w:ascii="Times New Roman" w:hAnsi="Times New Roman"/>
          <w:sz w:val="25"/>
          <w:szCs w:val="25"/>
        </w:rPr>
        <w:t>.</w:t>
      </w:r>
      <w:r w:rsidR="00E7203A">
        <w:rPr>
          <w:rStyle w:val="FootnoteReference"/>
          <w:rFonts w:ascii="Times New Roman" w:hAnsi="Times New Roman"/>
          <w:sz w:val="25"/>
          <w:szCs w:val="25"/>
        </w:rPr>
        <w:footnoteReference w:id="28"/>
      </w:r>
      <w:r w:rsidR="00E7203A" w:rsidRPr="00490747">
        <w:rPr>
          <w:rFonts w:ascii="Times New Roman" w:hAnsi="Times New Roman"/>
          <w:sz w:val="25"/>
          <w:szCs w:val="25"/>
        </w:rPr>
        <w:t xml:space="preserve">  </w:t>
      </w:r>
      <w:r w:rsidR="00D02359">
        <w:rPr>
          <w:rFonts w:ascii="Times New Roman" w:hAnsi="Times New Roman"/>
          <w:sz w:val="25"/>
          <w:szCs w:val="25"/>
        </w:rPr>
        <w:t xml:space="preserve">With the clarification, </w:t>
      </w:r>
      <w:r w:rsidR="00E7203A" w:rsidRPr="00490747">
        <w:rPr>
          <w:rFonts w:ascii="Times New Roman" w:hAnsi="Times New Roman"/>
          <w:sz w:val="25"/>
          <w:szCs w:val="25"/>
        </w:rPr>
        <w:t xml:space="preserve">Staff </w:t>
      </w:r>
      <w:r w:rsidR="004E7B57" w:rsidRPr="00490747">
        <w:rPr>
          <w:rFonts w:ascii="Times New Roman" w:hAnsi="Times New Roman"/>
          <w:sz w:val="25"/>
          <w:szCs w:val="25"/>
        </w:rPr>
        <w:t>requests</w:t>
      </w:r>
      <w:r w:rsidR="00E7203A" w:rsidRPr="00490747">
        <w:rPr>
          <w:rFonts w:ascii="Times New Roman" w:hAnsi="Times New Roman"/>
          <w:sz w:val="25"/>
          <w:szCs w:val="25"/>
        </w:rPr>
        <w:t xml:space="preserve"> </w:t>
      </w:r>
      <w:r w:rsidR="004E7B57" w:rsidRPr="00490747">
        <w:rPr>
          <w:rFonts w:ascii="Times New Roman" w:hAnsi="Times New Roman"/>
          <w:sz w:val="25"/>
          <w:szCs w:val="25"/>
        </w:rPr>
        <w:t xml:space="preserve">that </w:t>
      </w:r>
      <w:r w:rsidR="00E7203A" w:rsidRPr="00490747">
        <w:rPr>
          <w:rFonts w:ascii="Times New Roman" w:hAnsi="Times New Roman"/>
          <w:sz w:val="25"/>
          <w:szCs w:val="25"/>
        </w:rPr>
        <w:t xml:space="preserve">the Commission </w:t>
      </w:r>
      <w:r w:rsidR="00D02359">
        <w:rPr>
          <w:rFonts w:ascii="Times New Roman" w:hAnsi="Times New Roman"/>
          <w:sz w:val="25"/>
          <w:szCs w:val="25"/>
        </w:rPr>
        <w:t xml:space="preserve">then </w:t>
      </w:r>
      <w:r w:rsidR="00952399" w:rsidRPr="00490747">
        <w:rPr>
          <w:rFonts w:ascii="Times New Roman" w:hAnsi="Times New Roman"/>
          <w:sz w:val="25"/>
          <w:szCs w:val="25"/>
        </w:rPr>
        <w:t xml:space="preserve">compel </w:t>
      </w:r>
      <w:r w:rsidR="00D02359">
        <w:rPr>
          <w:rFonts w:ascii="Times New Roman" w:hAnsi="Times New Roman"/>
          <w:sz w:val="25"/>
          <w:szCs w:val="25"/>
        </w:rPr>
        <w:t xml:space="preserve">full </w:t>
      </w:r>
      <w:r w:rsidR="002E216D">
        <w:rPr>
          <w:rFonts w:ascii="Times New Roman" w:hAnsi="Times New Roman"/>
          <w:sz w:val="25"/>
          <w:szCs w:val="25"/>
        </w:rPr>
        <w:t>responses to it</w:t>
      </w:r>
      <w:r w:rsidR="00952399" w:rsidRPr="00490747">
        <w:rPr>
          <w:rFonts w:ascii="Times New Roman" w:hAnsi="Times New Roman"/>
          <w:sz w:val="25"/>
          <w:szCs w:val="25"/>
        </w:rPr>
        <w:t>s Data Request Nos. 7, 8, and 11</w:t>
      </w:r>
      <w:r w:rsidRPr="00490747">
        <w:rPr>
          <w:rFonts w:ascii="Times New Roman" w:hAnsi="Times New Roman"/>
          <w:sz w:val="25"/>
          <w:szCs w:val="25"/>
        </w:rPr>
        <w:t>.</w:t>
      </w:r>
      <w:r>
        <w:rPr>
          <w:rStyle w:val="FootnoteReference"/>
          <w:rFonts w:ascii="Times New Roman" w:hAnsi="Times New Roman"/>
          <w:sz w:val="25"/>
          <w:szCs w:val="25"/>
        </w:rPr>
        <w:footnoteReference w:id="29"/>
      </w:r>
      <w:r w:rsidRPr="00490747">
        <w:rPr>
          <w:rFonts w:ascii="Times New Roman" w:hAnsi="Times New Roman"/>
          <w:sz w:val="25"/>
          <w:szCs w:val="25"/>
        </w:rPr>
        <w:t xml:space="preserve"> </w:t>
      </w:r>
      <w:r w:rsidR="00DD6102" w:rsidRPr="00490747">
        <w:rPr>
          <w:rFonts w:ascii="Times New Roman" w:hAnsi="Times New Roman"/>
          <w:sz w:val="25"/>
          <w:szCs w:val="25"/>
        </w:rPr>
        <w:t xml:space="preserve"> </w:t>
      </w:r>
      <w:r w:rsidR="00D02359">
        <w:rPr>
          <w:rFonts w:ascii="Times New Roman" w:hAnsi="Times New Roman"/>
          <w:sz w:val="25"/>
          <w:szCs w:val="25"/>
        </w:rPr>
        <w:t>Absent</w:t>
      </w:r>
      <w:r w:rsidRPr="00490747">
        <w:rPr>
          <w:rFonts w:ascii="Times New Roman" w:hAnsi="Times New Roman"/>
          <w:sz w:val="25"/>
          <w:szCs w:val="25"/>
        </w:rPr>
        <w:t xml:space="preserve"> WCI’s work papers, which Staff c</w:t>
      </w:r>
      <w:r w:rsidR="00952399" w:rsidRPr="00490747">
        <w:rPr>
          <w:rFonts w:ascii="Times New Roman" w:hAnsi="Times New Roman"/>
          <w:sz w:val="25"/>
          <w:szCs w:val="25"/>
        </w:rPr>
        <w:t>haracterize</w:t>
      </w:r>
      <w:r w:rsidRPr="00490747">
        <w:rPr>
          <w:rFonts w:ascii="Times New Roman" w:hAnsi="Times New Roman"/>
          <w:sz w:val="25"/>
          <w:szCs w:val="25"/>
        </w:rPr>
        <w:t xml:space="preserve"> as “absolutely essential”</w:t>
      </w:r>
      <w:r w:rsidR="00490747" w:rsidRPr="00490747">
        <w:rPr>
          <w:rFonts w:ascii="Times New Roman" w:hAnsi="Times New Roman"/>
          <w:sz w:val="25"/>
          <w:szCs w:val="25"/>
        </w:rPr>
        <w:t xml:space="preserve"> and the subject of the aforementioned data requests,</w:t>
      </w:r>
      <w:r w:rsidRPr="00490747">
        <w:rPr>
          <w:rFonts w:ascii="Times New Roman" w:hAnsi="Times New Roman"/>
          <w:sz w:val="25"/>
          <w:szCs w:val="25"/>
        </w:rPr>
        <w:t xml:space="preserve"> it cannot fully analyze the Company’s request.</w:t>
      </w:r>
      <w:r>
        <w:rPr>
          <w:rStyle w:val="FootnoteReference"/>
          <w:rFonts w:ascii="Times New Roman" w:hAnsi="Times New Roman"/>
          <w:sz w:val="25"/>
          <w:szCs w:val="25"/>
        </w:rPr>
        <w:footnoteReference w:id="30"/>
      </w:r>
      <w:r w:rsidR="00952399" w:rsidRPr="00490747">
        <w:rPr>
          <w:rFonts w:ascii="Times New Roman" w:hAnsi="Times New Roman"/>
          <w:sz w:val="25"/>
          <w:szCs w:val="25"/>
        </w:rPr>
        <w:t xml:space="preserve">  </w:t>
      </w:r>
      <w:r w:rsidR="00E24884" w:rsidRPr="00490747">
        <w:rPr>
          <w:rFonts w:ascii="Times New Roman" w:hAnsi="Times New Roman"/>
          <w:sz w:val="25"/>
          <w:szCs w:val="25"/>
        </w:rPr>
        <w:t xml:space="preserve">  </w:t>
      </w:r>
    </w:p>
    <w:p w14:paraId="4259E0FD" w14:textId="77777777" w:rsidR="00C82B11" w:rsidRDefault="00C82B11" w:rsidP="00C6214E">
      <w:pPr>
        <w:pStyle w:val="ListParagraph"/>
        <w:spacing w:line="264" w:lineRule="auto"/>
        <w:rPr>
          <w:sz w:val="25"/>
          <w:szCs w:val="25"/>
        </w:rPr>
      </w:pPr>
    </w:p>
    <w:p w14:paraId="656BD2F5" w14:textId="02F5AAFF" w:rsidR="00BA089C" w:rsidRPr="00BA089C" w:rsidRDefault="00490747"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With regard to WAC 480-07-520(4), </w:t>
      </w:r>
      <w:r w:rsidR="00E05C01">
        <w:rPr>
          <w:rFonts w:ascii="Times New Roman" w:hAnsi="Times New Roman"/>
          <w:sz w:val="25"/>
          <w:szCs w:val="25"/>
        </w:rPr>
        <w:t xml:space="preserve">Staff </w:t>
      </w:r>
      <w:r w:rsidR="00EB2CF3">
        <w:rPr>
          <w:rFonts w:ascii="Times New Roman" w:hAnsi="Times New Roman"/>
          <w:sz w:val="25"/>
          <w:szCs w:val="25"/>
        </w:rPr>
        <w:t>asks the Commission to rule that WAC 480-07-520(4) and WAC 480-07-140(6) require WCI to provide Staff “with spreadsheets that include formulas and linked spreadsheets … [that are not] locked, password protected, or [include] hidden cells.”</w:t>
      </w:r>
      <w:r w:rsidR="00EB2CF3">
        <w:rPr>
          <w:rStyle w:val="FootnoteReference"/>
          <w:rFonts w:ascii="Times New Roman" w:hAnsi="Times New Roman"/>
          <w:sz w:val="25"/>
          <w:szCs w:val="25"/>
        </w:rPr>
        <w:footnoteReference w:id="31"/>
      </w:r>
      <w:r w:rsidR="00EB2CF3">
        <w:rPr>
          <w:rFonts w:ascii="Times New Roman" w:hAnsi="Times New Roman"/>
          <w:sz w:val="25"/>
          <w:szCs w:val="25"/>
        </w:rPr>
        <w:t xml:space="preserve">  If hardcodes </w:t>
      </w:r>
      <w:r w:rsidR="00D02359">
        <w:rPr>
          <w:rFonts w:ascii="Times New Roman" w:hAnsi="Times New Roman"/>
          <w:sz w:val="25"/>
          <w:szCs w:val="25"/>
        </w:rPr>
        <w:t xml:space="preserve">within the Company’s </w:t>
      </w:r>
      <w:r w:rsidR="00D02359">
        <w:rPr>
          <w:rFonts w:ascii="Times New Roman" w:hAnsi="Times New Roman"/>
          <w:sz w:val="25"/>
          <w:szCs w:val="25"/>
        </w:rPr>
        <w:lastRenderedPageBreak/>
        <w:t xml:space="preserve">responses to Staff Data Request Nos. 7, 8, and 11 </w:t>
      </w:r>
      <w:r w:rsidR="00EB2CF3">
        <w:rPr>
          <w:rFonts w:ascii="Times New Roman" w:hAnsi="Times New Roman"/>
          <w:sz w:val="25"/>
          <w:szCs w:val="25"/>
        </w:rPr>
        <w:t>cannot be linked, Staff requests that the Commission order the Company to cross-reference these values “so that their sources and destinations are readily identified.”</w:t>
      </w:r>
      <w:r w:rsidR="00EB2CF3">
        <w:rPr>
          <w:rStyle w:val="FootnoteReference"/>
          <w:rFonts w:ascii="Times New Roman" w:hAnsi="Times New Roman"/>
          <w:sz w:val="25"/>
          <w:szCs w:val="25"/>
        </w:rPr>
        <w:footnoteReference w:id="32"/>
      </w:r>
      <w:r w:rsidR="00EB2CF3">
        <w:rPr>
          <w:rFonts w:ascii="Times New Roman" w:hAnsi="Times New Roman"/>
          <w:sz w:val="25"/>
          <w:szCs w:val="25"/>
        </w:rPr>
        <w:t xml:space="preserve">  </w:t>
      </w:r>
      <w:r w:rsidR="00BA089C">
        <w:rPr>
          <w:rFonts w:ascii="Times New Roman" w:hAnsi="Times New Roman"/>
          <w:sz w:val="25"/>
          <w:szCs w:val="25"/>
        </w:rPr>
        <w:t xml:space="preserve">  </w:t>
      </w:r>
    </w:p>
    <w:p w14:paraId="48449ED4" w14:textId="77777777" w:rsidR="004D11DB" w:rsidRDefault="004D11DB" w:rsidP="00C6214E">
      <w:pPr>
        <w:pStyle w:val="ListParagraph"/>
        <w:spacing w:line="264" w:lineRule="auto"/>
        <w:rPr>
          <w:sz w:val="25"/>
          <w:szCs w:val="25"/>
        </w:rPr>
      </w:pPr>
    </w:p>
    <w:p w14:paraId="6A1C5EDD" w14:textId="3AE9DD52" w:rsidR="000D31AC" w:rsidRPr="009373BA" w:rsidRDefault="00AD6522"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Staff argues that discovery rules are broad, with limits primarily </w:t>
      </w:r>
      <w:r w:rsidR="00861717">
        <w:rPr>
          <w:rFonts w:ascii="Times New Roman" w:hAnsi="Times New Roman"/>
          <w:sz w:val="25"/>
          <w:szCs w:val="25"/>
        </w:rPr>
        <w:t xml:space="preserve">focused </w:t>
      </w:r>
      <w:r>
        <w:rPr>
          <w:rFonts w:ascii="Times New Roman" w:hAnsi="Times New Roman"/>
          <w:sz w:val="25"/>
          <w:szCs w:val="25"/>
        </w:rPr>
        <w:t xml:space="preserve">on </w:t>
      </w:r>
      <w:r w:rsidR="00D02359">
        <w:rPr>
          <w:rFonts w:ascii="Times New Roman" w:hAnsi="Times New Roman"/>
          <w:sz w:val="25"/>
          <w:szCs w:val="25"/>
        </w:rPr>
        <w:t xml:space="preserve">requests that are </w:t>
      </w:r>
      <w:r>
        <w:rPr>
          <w:rFonts w:ascii="Times New Roman" w:hAnsi="Times New Roman"/>
          <w:sz w:val="25"/>
          <w:szCs w:val="25"/>
        </w:rPr>
        <w:t xml:space="preserve">unreasonable and </w:t>
      </w:r>
      <w:r w:rsidR="00D02359">
        <w:rPr>
          <w:rFonts w:ascii="Times New Roman" w:hAnsi="Times New Roman"/>
          <w:sz w:val="25"/>
          <w:szCs w:val="25"/>
        </w:rPr>
        <w:t xml:space="preserve">create </w:t>
      </w:r>
      <w:r>
        <w:rPr>
          <w:rFonts w:ascii="Times New Roman" w:hAnsi="Times New Roman"/>
          <w:sz w:val="25"/>
          <w:szCs w:val="25"/>
        </w:rPr>
        <w:t>excessive burdens</w:t>
      </w:r>
      <w:r w:rsidR="00D02359">
        <w:rPr>
          <w:rFonts w:ascii="Times New Roman" w:hAnsi="Times New Roman"/>
          <w:sz w:val="25"/>
          <w:szCs w:val="25"/>
        </w:rPr>
        <w:t xml:space="preserve"> on responders</w:t>
      </w:r>
      <w:r>
        <w:rPr>
          <w:rFonts w:ascii="Times New Roman" w:hAnsi="Times New Roman"/>
          <w:sz w:val="25"/>
          <w:szCs w:val="25"/>
        </w:rPr>
        <w:t>.</w:t>
      </w:r>
      <w:r>
        <w:rPr>
          <w:rStyle w:val="FootnoteReference"/>
          <w:rFonts w:ascii="Times New Roman" w:hAnsi="Times New Roman"/>
          <w:sz w:val="25"/>
          <w:szCs w:val="25"/>
        </w:rPr>
        <w:footnoteReference w:id="33"/>
      </w:r>
      <w:r>
        <w:rPr>
          <w:rFonts w:ascii="Times New Roman" w:hAnsi="Times New Roman"/>
          <w:sz w:val="25"/>
          <w:szCs w:val="25"/>
        </w:rPr>
        <w:t xml:space="preserve">  </w:t>
      </w:r>
      <w:r w:rsidR="00D02359">
        <w:rPr>
          <w:rFonts w:ascii="Times New Roman" w:hAnsi="Times New Roman"/>
          <w:sz w:val="25"/>
          <w:szCs w:val="25"/>
        </w:rPr>
        <w:t>However,</w:t>
      </w:r>
      <w:r>
        <w:rPr>
          <w:rFonts w:ascii="Times New Roman" w:hAnsi="Times New Roman"/>
          <w:sz w:val="25"/>
          <w:szCs w:val="25"/>
        </w:rPr>
        <w:t xml:space="preserve"> Staff </w:t>
      </w:r>
      <w:r w:rsidR="00D02359">
        <w:rPr>
          <w:rFonts w:ascii="Times New Roman" w:hAnsi="Times New Roman"/>
          <w:sz w:val="25"/>
          <w:szCs w:val="25"/>
        </w:rPr>
        <w:t xml:space="preserve">asserts that the Commission’s own rules require provision of the information </w:t>
      </w:r>
      <w:r w:rsidR="002E216D">
        <w:rPr>
          <w:rFonts w:ascii="Times New Roman" w:hAnsi="Times New Roman"/>
          <w:sz w:val="25"/>
          <w:szCs w:val="25"/>
        </w:rPr>
        <w:t xml:space="preserve">for which </w:t>
      </w:r>
      <w:r w:rsidR="00D02359">
        <w:rPr>
          <w:rFonts w:ascii="Times New Roman" w:hAnsi="Times New Roman"/>
          <w:sz w:val="25"/>
          <w:szCs w:val="25"/>
        </w:rPr>
        <w:t>it is asking.</w:t>
      </w:r>
      <w:r>
        <w:rPr>
          <w:rStyle w:val="FootnoteReference"/>
          <w:rFonts w:ascii="Times New Roman" w:hAnsi="Times New Roman"/>
          <w:sz w:val="25"/>
          <w:szCs w:val="25"/>
        </w:rPr>
        <w:footnoteReference w:id="34"/>
      </w:r>
    </w:p>
    <w:p w14:paraId="7A6166CC" w14:textId="77777777" w:rsidR="00AD6522" w:rsidRDefault="00AD6522" w:rsidP="00C6214E">
      <w:pPr>
        <w:spacing w:line="264" w:lineRule="auto"/>
        <w:rPr>
          <w:rFonts w:ascii="Times New Roman" w:hAnsi="Times New Roman"/>
          <w:sz w:val="25"/>
          <w:szCs w:val="25"/>
        </w:rPr>
      </w:pPr>
    </w:p>
    <w:p w14:paraId="05B19CCB" w14:textId="19EEAD19" w:rsidR="00AD6522" w:rsidRPr="009373BA" w:rsidRDefault="00712545"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t>The</w:t>
      </w:r>
      <w:r w:rsidR="00DA4A4A">
        <w:rPr>
          <w:rFonts w:ascii="Times New Roman" w:hAnsi="Times New Roman"/>
          <w:sz w:val="25"/>
          <w:szCs w:val="25"/>
        </w:rPr>
        <w:t xml:space="preserve"> Commission’s rules require both proper formatting,</w:t>
      </w:r>
      <w:r w:rsidR="00DA4A4A">
        <w:rPr>
          <w:rStyle w:val="FootnoteReference"/>
          <w:rFonts w:ascii="Times New Roman" w:hAnsi="Times New Roman"/>
          <w:sz w:val="25"/>
          <w:szCs w:val="25"/>
        </w:rPr>
        <w:footnoteReference w:id="35"/>
      </w:r>
      <w:r w:rsidR="00DA4A4A">
        <w:rPr>
          <w:rFonts w:ascii="Times New Roman" w:hAnsi="Times New Roman"/>
          <w:sz w:val="25"/>
          <w:szCs w:val="25"/>
        </w:rPr>
        <w:t xml:space="preserve"> for example, spreadsheets submitted in the Excel format, and supporting formulas with “all supporting calculations and documentation for all adjustments.”</w:t>
      </w:r>
      <w:r w:rsidR="00DA4A4A">
        <w:rPr>
          <w:rStyle w:val="FootnoteReference"/>
          <w:rFonts w:ascii="Times New Roman" w:hAnsi="Times New Roman"/>
          <w:sz w:val="25"/>
          <w:szCs w:val="25"/>
        </w:rPr>
        <w:footnoteReference w:id="36"/>
      </w:r>
      <w:r w:rsidR="00DA4A4A">
        <w:rPr>
          <w:rFonts w:ascii="Times New Roman" w:hAnsi="Times New Roman"/>
          <w:sz w:val="25"/>
          <w:szCs w:val="25"/>
        </w:rPr>
        <w:t xml:space="preserve"> </w:t>
      </w:r>
      <w:r w:rsidR="002E216D">
        <w:rPr>
          <w:rFonts w:ascii="Times New Roman" w:hAnsi="Times New Roman"/>
          <w:sz w:val="25"/>
          <w:szCs w:val="25"/>
        </w:rPr>
        <w:t xml:space="preserve"> </w:t>
      </w:r>
      <w:r w:rsidR="005F171C">
        <w:rPr>
          <w:rFonts w:ascii="Times New Roman" w:hAnsi="Times New Roman"/>
          <w:sz w:val="25"/>
          <w:szCs w:val="25"/>
        </w:rPr>
        <w:t xml:space="preserve">Staff explains that WAC 480-07-140(6)(b) requires </w:t>
      </w:r>
      <w:r>
        <w:rPr>
          <w:rFonts w:ascii="Times New Roman" w:hAnsi="Times New Roman"/>
          <w:sz w:val="25"/>
          <w:szCs w:val="25"/>
        </w:rPr>
        <w:t xml:space="preserve">that </w:t>
      </w:r>
      <w:r w:rsidR="005F171C">
        <w:rPr>
          <w:rFonts w:ascii="Times New Roman" w:hAnsi="Times New Roman"/>
          <w:sz w:val="25"/>
          <w:szCs w:val="25"/>
        </w:rPr>
        <w:t xml:space="preserve">these formulas and calculations </w:t>
      </w:r>
      <w:r>
        <w:rPr>
          <w:rFonts w:ascii="Times New Roman" w:hAnsi="Times New Roman"/>
          <w:sz w:val="25"/>
          <w:szCs w:val="25"/>
        </w:rPr>
        <w:t>are</w:t>
      </w:r>
      <w:r w:rsidR="005F171C">
        <w:rPr>
          <w:rFonts w:ascii="Times New Roman" w:hAnsi="Times New Roman"/>
          <w:sz w:val="25"/>
          <w:szCs w:val="25"/>
        </w:rPr>
        <w:t xml:space="preserve"> not locked, password protected, or hidden.</w:t>
      </w:r>
      <w:r w:rsidR="005F171C">
        <w:rPr>
          <w:rStyle w:val="FootnoteReference"/>
          <w:rFonts w:ascii="Times New Roman" w:hAnsi="Times New Roman"/>
          <w:sz w:val="25"/>
          <w:szCs w:val="25"/>
        </w:rPr>
        <w:footnoteReference w:id="37"/>
      </w:r>
      <w:r w:rsidR="005F171C">
        <w:rPr>
          <w:rFonts w:ascii="Times New Roman" w:hAnsi="Times New Roman"/>
          <w:sz w:val="25"/>
          <w:szCs w:val="25"/>
        </w:rPr>
        <w:t xml:space="preserve">  </w:t>
      </w:r>
      <w:r>
        <w:rPr>
          <w:rFonts w:ascii="Times New Roman" w:hAnsi="Times New Roman"/>
          <w:sz w:val="25"/>
          <w:szCs w:val="25"/>
        </w:rPr>
        <w:t>According to Staff,</w:t>
      </w:r>
      <w:r w:rsidR="005F171C">
        <w:rPr>
          <w:rFonts w:ascii="Times New Roman" w:hAnsi="Times New Roman"/>
          <w:sz w:val="25"/>
          <w:szCs w:val="25"/>
        </w:rPr>
        <w:t xml:space="preserve"> WCI’s attempt</w:t>
      </w:r>
      <w:r w:rsidR="002E216D">
        <w:rPr>
          <w:rFonts w:ascii="Times New Roman" w:hAnsi="Times New Roman"/>
          <w:sz w:val="25"/>
          <w:szCs w:val="25"/>
        </w:rPr>
        <w:t>s</w:t>
      </w:r>
      <w:r w:rsidR="005F171C">
        <w:rPr>
          <w:rFonts w:ascii="Times New Roman" w:hAnsi="Times New Roman"/>
          <w:sz w:val="25"/>
          <w:szCs w:val="25"/>
        </w:rPr>
        <w:t xml:space="preserve"> to comply with this provision </w:t>
      </w:r>
      <w:r w:rsidR="002E216D">
        <w:rPr>
          <w:rFonts w:ascii="Times New Roman" w:hAnsi="Times New Roman"/>
          <w:sz w:val="25"/>
          <w:szCs w:val="25"/>
        </w:rPr>
        <w:t xml:space="preserve">resulted in the Company </w:t>
      </w:r>
      <w:r w:rsidR="005F171C">
        <w:rPr>
          <w:rFonts w:ascii="Times New Roman" w:hAnsi="Times New Roman"/>
          <w:sz w:val="25"/>
          <w:szCs w:val="25"/>
        </w:rPr>
        <w:t>remov</w:t>
      </w:r>
      <w:r w:rsidR="002E216D">
        <w:rPr>
          <w:rFonts w:ascii="Times New Roman" w:hAnsi="Times New Roman"/>
          <w:sz w:val="25"/>
          <w:szCs w:val="25"/>
        </w:rPr>
        <w:t>ing</w:t>
      </w:r>
      <w:r w:rsidR="005F171C">
        <w:rPr>
          <w:rFonts w:ascii="Times New Roman" w:hAnsi="Times New Roman"/>
          <w:sz w:val="25"/>
          <w:szCs w:val="25"/>
        </w:rPr>
        <w:t xml:space="preserve"> “cell references to linked files in the belief that it would not have to provide the linked files</w:t>
      </w:r>
      <w:r>
        <w:rPr>
          <w:rFonts w:ascii="Times New Roman" w:hAnsi="Times New Roman"/>
          <w:sz w:val="25"/>
          <w:szCs w:val="25"/>
        </w:rPr>
        <w:t>.”</w:t>
      </w:r>
      <w:r w:rsidRPr="00712545">
        <w:rPr>
          <w:rStyle w:val="FootnoteReference"/>
          <w:rFonts w:ascii="Times New Roman" w:hAnsi="Times New Roman"/>
          <w:sz w:val="25"/>
          <w:szCs w:val="25"/>
        </w:rPr>
        <w:t xml:space="preserve"> </w:t>
      </w:r>
      <w:r>
        <w:rPr>
          <w:rStyle w:val="FootnoteReference"/>
          <w:rFonts w:ascii="Times New Roman" w:hAnsi="Times New Roman"/>
          <w:sz w:val="25"/>
          <w:szCs w:val="25"/>
        </w:rPr>
        <w:footnoteReference w:id="38"/>
      </w:r>
      <w:r>
        <w:rPr>
          <w:rFonts w:ascii="Times New Roman" w:hAnsi="Times New Roman"/>
          <w:sz w:val="25"/>
          <w:szCs w:val="25"/>
        </w:rPr>
        <w:t xml:space="preserve">  Yet,</w:t>
      </w:r>
      <w:r w:rsidR="005F171C">
        <w:rPr>
          <w:rFonts w:ascii="Times New Roman" w:hAnsi="Times New Roman"/>
          <w:sz w:val="25"/>
          <w:szCs w:val="25"/>
        </w:rPr>
        <w:t xml:space="preserve"> </w:t>
      </w:r>
      <w:r>
        <w:rPr>
          <w:rFonts w:ascii="Times New Roman" w:hAnsi="Times New Roman"/>
          <w:sz w:val="25"/>
          <w:szCs w:val="25"/>
        </w:rPr>
        <w:t>in</w:t>
      </w:r>
      <w:r w:rsidR="005F171C">
        <w:rPr>
          <w:rFonts w:ascii="Times New Roman" w:hAnsi="Times New Roman"/>
          <w:sz w:val="25"/>
          <w:szCs w:val="25"/>
        </w:rPr>
        <w:t xml:space="preserve"> removing </w:t>
      </w:r>
      <w:r>
        <w:rPr>
          <w:rFonts w:ascii="Times New Roman" w:hAnsi="Times New Roman"/>
          <w:sz w:val="25"/>
          <w:szCs w:val="25"/>
        </w:rPr>
        <w:t>these</w:t>
      </w:r>
      <w:r w:rsidR="005F171C">
        <w:rPr>
          <w:rFonts w:ascii="Times New Roman" w:hAnsi="Times New Roman"/>
          <w:sz w:val="25"/>
          <w:szCs w:val="25"/>
        </w:rPr>
        <w:t xml:space="preserve"> references</w:t>
      </w:r>
      <w:r>
        <w:rPr>
          <w:rFonts w:ascii="Times New Roman" w:hAnsi="Times New Roman"/>
          <w:sz w:val="25"/>
          <w:szCs w:val="25"/>
        </w:rPr>
        <w:t>, WCI</w:t>
      </w:r>
      <w:r w:rsidR="005F171C">
        <w:rPr>
          <w:rFonts w:ascii="Times New Roman" w:hAnsi="Times New Roman"/>
          <w:sz w:val="25"/>
          <w:szCs w:val="25"/>
        </w:rPr>
        <w:t xml:space="preserve"> created more hardcodes and further </w:t>
      </w:r>
      <w:r>
        <w:rPr>
          <w:rFonts w:ascii="Times New Roman" w:hAnsi="Times New Roman"/>
          <w:sz w:val="25"/>
          <w:szCs w:val="25"/>
        </w:rPr>
        <w:t xml:space="preserve">complicated </w:t>
      </w:r>
      <w:r w:rsidR="002E216D">
        <w:rPr>
          <w:rFonts w:ascii="Times New Roman" w:hAnsi="Times New Roman"/>
          <w:sz w:val="25"/>
          <w:szCs w:val="25"/>
        </w:rPr>
        <w:t xml:space="preserve">Staff’s </w:t>
      </w:r>
      <w:r>
        <w:rPr>
          <w:rFonts w:ascii="Times New Roman" w:hAnsi="Times New Roman"/>
          <w:sz w:val="25"/>
          <w:szCs w:val="25"/>
        </w:rPr>
        <w:t>analysis of the data</w:t>
      </w:r>
      <w:r w:rsidR="005F171C">
        <w:rPr>
          <w:rFonts w:ascii="Times New Roman" w:hAnsi="Times New Roman"/>
          <w:sz w:val="25"/>
          <w:szCs w:val="25"/>
        </w:rPr>
        <w:t>.</w:t>
      </w:r>
      <w:r>
        <w:rPr>
          <w:rStyle w:val="FootnoteReference"/>
          <w:rFonts w:ascii="Times New Roman" w:hAnsi="Times New Roman"/>
          <w:sz w:val="25"/>
          <w:szCs w:val="25"/>
        </w:rPr>
        <w:footnoteReference w:id="39"/>
      </w:r>
    </w:p>
    <w:p w14:paraId="6E48CEDF" w14:textId="645C3775" w:rsidR="006C1F97" w:rsidRDefault="006C1F97">
      <w:pPr>
        <w:rPr>
          <w:rFonts w:ascii="Times New Roman" w:hAnsi="Times New Roman"/>
          <w:sz w:val="25"/>
          <w:szCs w:val="25"/>
        </w:rPr>
      </w:pPr>
      <w:r>
        <w:rPr>
          <w:sz w:val="25"/>
          <w:szCs w:val="25"/>
        </w:rPr>
        <w:br w:type="page"/>
      </w:r>
    </w:p>
    <w:p w14:paraId="40C87253" w14:textId="77777777" w:rsidR="006C1F97" w:rsidRDefault="006C1F97" w:rsidP="00C6214E">
      <w:pPr>
        <w:pStyle w:val="ListParagraph"/>
        <w:spacing w:line="264" w:lineRule="auto"/>
        <w:rPr>
          <w:sz w:val="25"/>
          <w:szCs w:val="25"/>
        </w:rPr>
      </w:pPr>
    </w:p>
    <w:p w14:paraId="5548FEB8" w14:textId="56637570" w:rsidR="0024430F" w:rsidRPr="008F3C00" w:rsidRDefault="00712545" w:rsidP="00C6214E">
      <w:pPr>
        <w:numPr>
          <w:ilvl w:val="0"/>
          <w:numId w:val="1"/>
        </w:numPr>
        <w:spacing w:line="264" w:lineRule="auto"/>
        <w:ind w:hanging="720"/>
        <w:rPr>
          <w:sz w:val="25"/>
          <w:szCs w:val="25"/>
        </w:rPr>
      </w:pPr>
      <w:r>
        <w:rPr>
          <w:rFonts w:ascii="Times New Roman" w:hAnsi="Times New Roman"/>
          <w:sz w:val="25"/>
          <w:szCs w:val="25"/>
        </w:rPr>
        <w:t>Staff, in support of its Motion to Compel,</w:t>
      </w:r>
      <w:r w:rsidR="0024430F">
        <w:rPr>
          <w:rFonts w:ascii="Times New Roman" w:hAnsi="Times New Roman"/>
          <w:sz w:val="25"/>
          <w:szCs w:val="25"/>
        </w:rPr>
        <w:t xml:space="preserve"> asserts that </w:t>
      </w:r>
      <w:r w:rsidR="00470FD6">
        <w:rPr>
          <w:rFonts w:ascii="Times New Roman" w:hAnsi="Times New Roman"/>
          <w:sz w:val="25"/>
          <w:szCs w:val="25"/>
        </w:rPr>
        <w:t>WCI</w:t>
      </w:r>
      <w:r>
        <w:rPr>
          <w:rFonts w:ascii="Times New Roman" w:hAnsi="Times New Roman"/>
          <w:sz w:val="25"/>
          <w:szCs w:val="25"/>
        </w:rPr>
        <w:t xml:space="preserve"> only</w:t>
      </w:r>
      <w:r w:rsidR="00470FD6">
        <w:rPr>
          <w:rFonts w:ascii="Times New Roman" w:hAnsi="Times New Roman"/>
          <w:sz w:val="25"/>
          <w:szCs w:val="25"/>
        </w:rPr>
        <w:t xml:space="preserve"> provided an incomplete response </w:t>
      </w:r>
      <w:r>
        <w:rPr>
          <w:rFonts w:ascii="Times New Roman" w:hAnsi="Times New Roman"/>
          <w:sz w:val="25"/>
          <w:szCs w:val="25"/>
        </w:rPr>
        <w:t>to Data Request No. 7</w:t>
      </w:r>
      <w:r w:rsidR="00470FD6">
        <w:rPr>
          <w:rFonts w:ascii="Times New Roman" w:hAnsi="Times New Roman"/>
          <w:sz w:val="25"/>
          <w:szCs w:val="25"/>
        </w:rPr>
        <w:t>.</w:t>
      </w:r>
      <w:r w:rsidR="00470FD6">
        <w:rPr>
          <w:rStyle w:val="FootnoteReference"/>
          <w:rFonts w:ascii="Times New Roman" w:hAnsi="Times New Roman"/>
          <w:sz w:val="25"/>
          <w:szCs w:val="25"/>
        </w:rPr>
        <w:footnoteReference w:id="40"/>
      </w:r>
      <w:r w:rsidR="00470FD6">
        <w:rPr>
          <w:rFonts w:ascii="Times New Roman" w:hAnsi="Times New Roman"/>
          <w:sz w:val="25"/>
          <w:szCs w:val="25"/>
        </w:rPr>
        <w:t xml:space="preserve">  The Company addressed </w:t>
      </w:r>
      <w:r w:rsidR="002E216D">
        <w:rPr>
          <w:rFonts w:ascii="Times New Roman" w:hAnsi="Times New Roman"/>
          <w:sz w:val="25"/>
          <w:szCs w:val="25"/>
        </w:rPr>
        <w:t xml:space="preserve">only </w:t>
      </w:r>
      <w:r w:rsidR="00470FD6">
        <w:rPr>
          <w:rFonts w:ascii="Times New Roman" w:hAnsi="Times New Roman"/>
          <w:sz w:val="25"/>
          <w:szCs w:val="25"/>
        </w:rPr>
        <w:t>six of the seventeen adjustments</w:t>
      </w:r>
      <w:r w:rsidR="00DB6233">
        <w:rPr>
          <w:rFonts w:ascii="Times New Roman" w:hAnsi="Times New Roman"/>
          <w:sz w:val="25"/>
          <w:szCs w:val="25"/>
        </w:rPr>
        <w:t xml:space="preserve">, and, even then, its response simply contained “a copy of [WCI’s] May 16, 2014, summary report of the May 15 and 16 </w:t>
      </w:r>
      <w:r>
        <w:rPr>
          <w:rFonts w:ascii="Times New Roman" w:hAnsi="Times New Roman"/>
          <w:sz w:val="25"/>
          <w:szCs w:val="25"/>
        </w:rPr>
        <w:t>[t]echnical [c]</w:t>
      </w:r>
      <w:r w:rsidR="00DB6233">
        <w:rPr>
          <w:rFonts w:ascii="Times New Roman" w:hAnsi="Times New Roman"/>
          <w:sz w:val="25"/>
          <w:szCs w:val="25"/>
        </w:rPr>
        <w:t>onference.”</w:t>
      </w:r>
      <w:r w:rsidR="00DB6233">
        <w:rPr>
          <w:rStyle w:val="FootnoteReference"/>
          <w:rFonts w:ascii="Times New Roman" w:hAnsi="Times New Roman"/>
          <w:sz w:val="25"/>
          <w:szCs w:val="25"/>
        </w:rPr>
        <w:footnoteReference w:id="41"/>
      </w:r>
      <w:r w:rsidR="00470FD6">
        <w:rPr>
          <w:rFonts w:ascii="Times New Roman" w:hAnsi="Times New Roman"/>
          <w:sz w:val="25"/>
          <w:szCs w:val="25"/>
        </w:rPr>
        <w:t xml:space="preserve"> </w:t>
      </w:r>
      <w:r w:rsidR="00DB6233">
        <w:rPr>
          <w:rFonts w:ascii="Times New Roman" w:hAnsi="Times New Roman"/>
          <w:sz w:val="25"/>
          <w:szCs w:val="25"/>
        </w:rPr>
        <w:t xml:space="preserve">Within this summary, the Company references several spreadsheets “but does not provide file names to clarify </w:t>
      </w:r>
      <w:r>
        <w:rPr>
          <w:rFonts w:ascii="Times New Roman" w:hAnsi="Times New Roman"/>
          <w:sz w:val="25"/>
          <w:szCs w:val="25"/>
        </w:rPr>
        <w:t>[its]</w:t>
      </w:r>
      <w:r w:rsidR="00DB6233">
        <w:rPr>
          <w:rFonts w:ascii="Times New Roman" w:hAnsi="Times New Roman"/>
          <w:sz w:val="25"/>
          <w:szCs w:val="25"/>
        </w:rPr>
        <w:t xml:space="preserve"> response.”</w:t>
      </w:r>
      <w:r w:rsidR="00DB6233">
        <w:rPr>
          <w:rStyle w:val="FootnoteReference"/>
          <w:rFonts w:ascii="Times New Roman" w:hAnsi="Times New Roman"/>
          <w:sz w:val="25"/>
          <w:szCs w:val="25"/>
        </w:rPr>
        <w:footnoteReference w:id="42"/>
      </w:r>
      <w:r w:rsidR="008F3C00">
        <w:rPr>
          <w:rFonts w:ascii="Times New Roman" w:hAnsi="Times New Roman"/>
          <w:sz w:val="25"/>
          <w:szCs w:val="25"/>
        </w:rPr>
        <w:t xml:space="preserve">  </w:t>
      </w:r>
    </w:p>
    <w:p w14:paraId="36759988" w14:textId="77777777" w:rsidR="008F3C00" w:rsidRDefault="008F3C00" w:rsidP="00C6214E">
      <w:pPr>
        <w:pStyle w:val="ListParagraph"/>
        <w:spacing w:line="264" w:lineRule="auto"/>
        <w:rPr>
          <w:sz w:val="25"/>
          <w:szCs w:val="25"/>
        </w:rPr>
      </w:pPr>
    </w:p>
    <w:p w14:paraId="2E3FFC00" w14:textId="107289D8" w:rsidR="00694CC9" w:rsidRDefault="00D119A7"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WCI </w:t>
      </w:r>
      <w:r w:rsidR="00857F68">
        <w:rPr>
          <w:rFonts w:ascii="Times New Roman" w:hAnsi="Times New Roman"/>
          <w:sz w:val="25"/>
          <w:szCs w:val="25"/>
        </w:rPr>
        <w:t>refused to provide a meaningful response to Data Request No. 8, and instead, the Company stated that the request for supporting workbooks “was resolved as well in last week’s technical conference.”</w:t>
      </w:r>
      <w:r w:rsidR="00857F68">
        <w:rPr>
          <w:rStyle w:val="FootnoteReference"/>
          <w:rFonts w:ascii="Times New Roman" w:hAnsi="Times New Roman"/>
          <w:sz w:val="25"/>
          <w:szCs w:val="25"/>
        </w:rPr>
        <w:footnoteReference w:id="43"/>
      </w:r>
      <w:r w:rsidR="004B1A94">
        <w:rPr>
          <w:rFonts w:ascii="Times New Roman" w:hAnsi="Times New Roman"/>
          <w:sz w:val="25"/>
          <w:szCs w:val="25"/>
        </w:rPr>
        <w:t xml:space="preserve">  </w:t>
      </w:r>
      <w:r w:rsidR="00712545">
        <w:rPr>
          <w:rFonts w:ascii="Times New Roman" w:hAnsi="Times New Roman"/>
          <w:sz w:val="25"/>
          <w:szCs w:val="25"/>
        </w:rPr>
        <w:t xml:space="preserve">Staff states that </w:t>
      </w:r>
      <w:r w:rsidR="004B1A94">
        <w:rPr>
          <w:rFonts w:ascii="Times New Roman" w:hAnsi="Times New Roman"/>
          <w:sz w:val="25"/>
          <w:szCs w:val="25"/>
        </w:rPr>
        <w:t xml:space="preserve">WCI </w:t>
      </w:r>
      <w:r w:rsidR="00712545">
        <w:rPr>
          <w:rFonts w:ascii="Times New Roman" w:hAnsi="Times New Roman"/>
          <w:sz w:val="25"/>
          <w:szCs w:val="25"/>
        </w:rPr>
        <w:t>claimed to have</w:t>
      </w:r>
      <w:r w:rsidR="004B1A94">
        <w:rPr>
          <w:rFonts w:ascii="Times New Roman" w:hAnsi="Times New Roman"/>
          <w:sz w:val="25"/>
          <w:szCs w:val="25"/>
        </w:rPr>
        <w:t xml:space="preserve"> already answered the Data Request in the attachment to Staff Data Request No. 7, a May 19, 2014, letter to Staff’s attorney, and responses the Company submitted to Staff Data Re</w:t>
      </w:r>
      <w:r w:rsidR="00694CC9">
        <w:rPr>
          <w:rFonts w:ascii="Times New Roman" w:hAnsi="Times New Roman"/>
          <w:sz w:val="25"/>
          <w:szCs w:val="25"/>
        </w:rPr>
        <w:t>quest Nos. 2 and 8 in Docket TG-131794.</w:t>
      </w:r>
      <w:r w:rsidR="00694CC9">
        <w:rPr>
          <w:rStyle w:val="FootnoteReference"/>
          <w:rFonts w:ascii="Times New Roman" w:hAnsi="Times New Roman"/>
          <w:sz w:val="25"/>
          <w:szCs w:val="25"/>
        </w:rPr>
        <w:footnoteReference w:id="44"/>
      </w:r>
      <w:r w:rsidR="00694CC9">
        <w:rPr>
          <w:rFonts w:ascii="Times New Roman" w:hAnsi="Times New Roman"/>
          <w:sz w:val="25"/>
          <w:szCs w:val="25"/>
        </w:rPr>
        <w:t xml:space="preserve">  </w:t>
      </w:r>
    </w:p>
    <w:p w14:paraId="68007EA8" w14:textId="77777777" w:rsidR="00694CC9" w:rsidRDefault="00694CC9" w:rsidP="00C6214E">
      <w:pPr>
        <w:pStyle w:val="ListParagraph"/>
        <w:spacing w:line="264" w:lineRule="auto"/>
        <w:rPr>
          <w:sz w:val="25"/>
          <w:szCs w:val="25"/>
        </w:rPr>
      </w:pPr>
    </w:p>
    <w:p w14:paraId="1A2FCA6E" w14:textId="14DB716B" w:rsidR="008F3C00" w:rsidRDefault="00694CC9"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t>Staff argues that none of these documents provides the detailed narrative addressing “the used and usefulness of all the itemized properties included in [WCI’s] supporting workbook(s).”</w:t>
      </w:r>
      <w:r>
        <w:rPr>
          <w:rStyle w:val="FootnoteReference"/>
          <w:rFonts w:ascii="Times New Roman" w:hAnsi="Times New Roman"/>
          <w:sz w:val="25"/>
          <w:szCs w:val="25"/>
        </w:rPr>
        <w:footnoteReference w:id="45"/>
      </w:r>
      <w:r>
        <w:rPr>
          <w:rFonts w:ascii="Times New Roman" w:hAnsi="Times New Roman"/>
          <w:sz w:val="25"/>
          <w:szCs w:val="25"/>
        </w:rPr>
        <w:t xml:space="preserve">  </w:t>
      </w:r>
      <w:r w:rsidR="00BC57B8">
        <w:rPr>
          <w:rFonts w:ascii="Times New Roman" w:hAnsi="Times New Roman"/>
          <w:sz w:val="25"/>
          <w:szCs w:val="25"/>
        </w:rPr>
        <w:t xml:space="preserve">The information provided by </w:t>
      </w:r>
      <w:r>
        <w:rPr>
          <w:rFonts w:ascii="Times New Roman" w:hAnsi="Times New Roman"/>
          <w:sz w:val="25"/>
          <w:szCs w:val="25"/>
        </w:rPr>
        <w:t>WCI</w:t>
      </w:r>
      <w:r w:rsidR="00BC57B8">
        <w:rPr>
          <w:rFonts w:ascii="Times New Roman" w:hAnsi="Times New Roman"/>
          <w:sz w:val="25"/>
          <w:szCs w:val="25"/>
        </w:rPr>
        <w:t xml:space="preserve"> regarding </w:t>
      </w:r>
      <w:r>
        <w:rPr>
          <w:rFonts w:ascii="Times New Roman" w:hAnsi="Times New Roman"/>
          <w:sz w:val="25"/>
          <w:szCs w:val="25"/>
        </w:rPr>
        <w:t>Data Request Nos. 2 and 8</w:t>
      </w:r>
      <w:r w:rsidR="00D119A7">
        <w:rPr>
          <w:rFonts w:ascii="Times New Roman" w:hAnsi="Times New Roman"/>
          <w:sz w:val="25"/>
          <w:szCs w:val="25"/>
        </w:rPr>
        <w:t xml:space="preserve"> </w:t>
      </w:r>
      <w:r w:rsidR="00BC57B8">
        <w:rPr>
          <w:rFonts w:ascii="Times New Roman" w:hAnsi="Times New Roman"/>
          <w:sz w:val="25"/>
          <w:szCs w:val="25"/>
        </w:rPr>
        <w:t>in Docket TG-131794, according to Staff, does not include detailed narratives of “the used and usefulness of all property included in land rents”</w:t>
      </w:r>
      <w:r w:rsidR="00BC57B8">
        <w:rPr>
          <w:rStyle w:val="FootnoteReference"/>
          <w:rFonts w:ascii="Times New Roman" w:hAnsi="Times New Roman"/>
          <w:sz w:val="25"/>
          <w:szCs w:val="25"/>
        </w:rPr>
        <w:footnoteReference w:id="46"/>
      </w:r>
      <w:r w:rsidR="00BC57B8">
        <w:rPr>
          <w:rFonts w:ascii="Times New Roman" w:hAnsi="Times New Roman"/>
          <w:sz w:val="25"/>
          <w:szCs w:val="25"/>
        </w:rPr>
        <w:t xml:space="preserve"> or “construction that took place during the test year </w:t>
      </w:r>
      <w:r w:rsidR="005524F5">
        <w:rPr>
          <w:rFonts w:ascii="Times New Roman" w:hAnsi="Times New Roman"/>
          <w:sz w:val="25"/>
          <w:szCs w:val="25"/>
        </w:rPr>
        <w:t>to April 3, 2014, on all the itemized properties included in the supporting [workbook(s)].”</w:t>
      </w:r>
      <w:r w:rsidR="005524F5">
        <w:rPr>
          <w:rStyle w:val="FootnoteReference"/>
          <w:rFonts w:ascii="Times New Roman" w:hAnsi="Times New Roman"/>
          <w:sz w:val="25"/>
          <w:szCs w:val="25"/>
        </w:rPr>
        <w:footnoteReference w:id="47"/>
      </w:r>
    </w:p>
    <w:p w14:paraId="2BD1C70D" w14:textId="77777777" w:rsidR="001228A0" w:rsidRDefault="001228A0" w:rsidP="00C6214E">
      <w:pPr>
        <w:pStyle w:val="ListParagraph"/>
        <w:spacing w:line="264" w:lineRule="auto"/>
        <w:rPr>
          <w:sz w:val="25"/>
          <w:szCs w:val="25"/>
        </w:rPr>
      </w:pPr>
    </w:p>
    <w:p w14:paraId="29CE11F2" w14:textId="5C736766" w:rsidR="001228A0" w:rsidRDefault="00352BEB"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t>Finally</w:t>
      </w:r>
      <w:r w:rsidR="001228A0">
        <w:rPr>
          <w:rFonts w:ascii="Times New Roman" w:hAnsi="Times New Roman"/>
          <w:sz w:val="25"/>
          <w:szCs w:val="25"/>
        </w:rPr>
        <w:t xml:space="preserve">, Staff </w:t>
      </w:r>
      <w:r>
        <w:rPr>
          <w:rFonts w:ascii="Times New Roman" w:hAnsi="Times New Roman"/>
          <w:sz w:val="25"/>
          <w:szCs w:val="25"/>
        </w:rPr>
        <w:t>states that</w:t>
      </w:r>
      <w:r w:rsidR="001228A0">
        <w:rPr>
          <w:rFonts w:ascii="Times New Roman" w:hAnsi="Times New Roman"/>
          <w:sz w:val="25"/>
          <w:szCs w:val="25"/>
        </w:rPr>
        <w:t xml:space="preserve"> it propounded Data Request No. 11 asking, in part, that the Company:</w:t>
      </w:r>
    </w:p>
    <w:p w14:paraId="61932AAF" w14:textId="77777777" w:rsidR="001228A0" w:rsidRDefault="001228A0" w:rsidP="00C6214E">
      <w:pPr>
        <w:pStyle w:val="ListParagraph"/>
        <w:spacing w:line="264" w:lineRule="auto"/>
        <w:rPr>
          <w:sz w:val="25"/>
          <w:szCs w:val="25"/>
        </w:rPr>
      </w:pPr>
    </w:p>
    <w:p w14:paraId="64D6A66D" w14:textId="77777777" w:rsidR="006C1F97" w:rsidRDefault="006C1F97" w:rsidP="00C6214E">
      <w:pPr>
        <w:pStyle w:val="ListParagraph"/>
        <w:spacing w:line="264" w:lineRule="auto"/>
        <w:rPr>
          <w:sz w:val="25"/>
          <w:szCs w:val="25"/>
        </w:rPr>
      </w:pPr>
    </w:p>
    <w:p w14:paraId="65D95722" w14:textId="77777777" w:rsidR="001228A0" w:rsidRPr="0060282C" w:rsidRDefault="001228A0" w:rsidP="00C6214E">
      <w:pPr>
        <w:spacing w:line="264" w:lineRule="auto"/>
        <w:ind w:left="1440" w:right="720"/>
        <w:rPr>
          <w:rFonts w:ascii="Times New Roman" w:hAnsi="Times New Roman"/>
          <w:sz w:val="25"/>
          <w:szCs w:val="25"/>
        </w:rPr>
      </w:pPr>
      <w:proofErr w:type="gramStart"/>
      <w:r>
        <w:rPr>
          <w:rFonts w:ascii="Times New Roman" w:hAnsi="Times New Roman"/>
          <w:sz w:val="25"/>
          <w:szCs w:val="25"/>
        </w:rPr>
        <w:lastRenderedPageBreak/>
        <w:t>please</w:t>
      </w:r>
      <w:proofErr w:type="gramEnd"/>
      <w:r>
        <w:rPr>
          <w:rFonts w:ascii="Times New Roman" w:hAnsi="Times New Roman"/>
          <w:sz w:val="25"/>
          <w:szCs w:val="25"/>
        </w:rPr>
        <w:t xml:space="preserve"> correct [all filed, either received or newly filed] to comply with WAC 480-07-140(6)(b): for every hardcode, provide the source or calculation, and provide all externally linked files.  If the [C]ompany provides externally linked files that themselves contain hardcodes or external links, (1) for every hardcode, provide the source or calculation, and (2) provide all externally linked files.</w:t>
      </w:r>
      <w:r>
        <w:rPr>
          <w:rStyle w:val="FootnoteReference"/>
          <w:rFonts w:ascii="Times New Roman" w:hAnsi="Times New Roman"/>
          <w:sz w:val="25"/>
          <w:szCs w:val="25"/>
        </w:rPr>
        <w:footnoteReference w:id="48"/>
      </w:r>
      <w:r>
        <w:rPr>
          <w:rFonts w:ascii="Times New Roman" w:hAnsi="Times New Roman"/>
          <w:sz w:val="25"/>
          <w:szCs w:val="25"/>
        </w:rPr>
        <w:t xml:space="preserve"> </w:t>
      </w:r>
    </w:p>
    <w:p w14:paraId="3746A26B" w14:textId="77777777" w:rsidR="001228A0" w:rsidRDefault="001228A0" w:rsidP="00C6214E">
      <w:pPr>
        <w:spacing w:line="264" w:lineRule="auto"/>
        <w:rPr>
          <w:rFonts w:ascii="Times New Roman" w:hAnsi="Times New Roman"/>
          <w:sz w:val="25"/>
          <w:szCs w:val="25"/>
        </w:rPr>
      </w:pPr>
    </w:p>
    <w:p w14:paraId="22D409CD" w14:textId="72D39E08" w:rsidR="001228A0" w:rsidRDefault="001228A0" w:rsidP="00C6214E">
      <w:pPr>
        <w:spacing w:line="264" w:lineRule="auto"/>
        <w:rPr>
          <w:rFonts w:ascii="Times New Roman" w:hAnsi="Times New Roman"/>
          <w:sz w:val="25"/>
          <w:szCs w:val="25"/>
        </w:rPr>
      </w:pPr>
      <w:r>
        <w:rPr>
          <w:rFonts w:ascii="Times New Roman" w:hAnsi="Times New Roman"/>
          <w:sz w:val="25"/>
          <w:szCs w:val="25"/>
        </w:rPr>
        <w:t xml:space="preserve">Staff </w:t>
      </w:r>
      <w:r w:rsidR="00352BEB">
        <w:rPr>
          <w:rFonts w:ascii="Times New Roman" w:hAnsi="Times New Roman"/>
          <w:sz w:val="25"/>
          <w:szCs w:val="25"/>
        </w:rPr>
        <w:t>asserts</w:t>
      </w:r>
      <w:r>
        <w:rPr>
          <w:rFonts w:ascii="Times New Roman" w:hAnsi="Times New Roman"/>
          <w:sz w:val="25"/>
          <w:szCs w:val="25"/>
        </w:rPr>
        <w:t xml:space="preserve"> that WCI has objected to providing this information on multiple grounds, including the exemptions listed in WAC 480-07-140(6)(b)(i)(A) and (B).</w:t>
      </w:r>
      <w:r>
        <w:rPr>
          <w:rStyle w:val="FootnoteReference"/>
          <w:rFonts w:ascii="Times New Roman" w:hAnsi="Times New Roman"/>
          <w:sz w:val="25"/>
          <w:szCs w:val="25"/>
        </w:rPr>
        <w:footnoteReference w:id="49"/>
      </w:r>
      <w:r>
        <w:rPr>
          <w:rFonts w:ascii="Times New Roman" w:hAnsi="Times New Roman"/>
          <w:sz w:val="25"/>
          <w:szCs w:val="25"/>
        </w:rPr>
        <w:t xml:space="preserve">  </w:t>
      </w:r>
      <w:r w:rsidR="00352BEB">
        <w:rPr>
          <w:rFonts w:ascii="Times New Roman" w:hAnsi="Times New Roman"/>
          <w:sz w:val="25"/>
          <w:szCs w:val="25"/>
        </w:rPr>
        <w:t>WAC 480-07-140(6)(b)(i)(A) exempts “[d]</w:t>
      </w:r>
      <w:r w:rsidR="00352BEB" w:rsidRPr="00352BEB">
        <w:rPr>
          <w:rFonts w:ascii="Times New Roman" w:hAnsi="Times New Roman"/>
          <w:sz w:val="25"/>
          <w:szCs w:val="25"/>
        </w:rPr>
        <w:t>ocuments not created by, for, or on behalf of a party to or a witness in the proceeding for which no version in the required formatting is available</w:t>
      </w:r>
      <w:r w:rsidR="00AD3000">
        <w:rPr>
          <w:rFonts w:ascii="Times New Roman" w:hAnsi="Times New Roman"/>
          <w:sz w:val="25"/>
          <w:szCs w:val="25"/>
        </w:rPr>
        <w:t xml:space="preserve">,” and WAC 480-07-140(6)(b)(i)(B) exempts </w:t>
      </w:r>
      <w:r w:rsidR="00AD3000" w:rsidRPr="00AD3000">
        <w:rPr>
          <w:rFonts w:ascii="Times New Roman" w:hAnsi="Times New Roman"/>
          <w:sz w:val="25"/>
          <w:szCs w:val="25"/>
        </w:rPr>
        <w:t>“[p]ublished, copyrighted material and voluminous material not originally prepared in the required format</w:t>
      </w:r>
      <w:r w:rsidR="00AD3000">
        <w:rPr>
          <w:rFonts w:ascii="Times New Roman" w:hAnsi="Times New Roman"/>
          <w:sz w:val="25"/>
          <w:szCs w:val="25"/>
        </w:rPr>
        <w:t xml:space="preserve">.”  Both exemptions turn on the </w:t>
      </w:r>
      <w:r w:rsidR="00D74E30">
        <w:rPr>
          <w:rFonts w:ascii="Times New Roman" w:hAnsi="Times New Roman"/>
          <w:sz w:val="25"/>
          <w:szCs w:val="25"/>
        </w:rPr>
        <w:t xml:space="preserve">unavailability of </w:t>
      </w:r>
      <w:r w:rsidR="00AD3000">
        <w:rPr>
          <w:rFonts w:ascii="Times New Roman" w:hAnsi="Times New Roman"/>
          <w:sz w:val="25"/>
          <w:szCs w:val="25"/>
        </w:rPr>
        <w:t xml:space="preserve">documents requested in an electronic spreadsheet format.  </w:t>
      </w:r>
      <w:r w:rsidR="00352BEB">
        <w:rPr>
          <w:rFonts w:ascii="Times New Roman" w:hAnsi="Times New Roman"/>
          <w:sz w:val="25"/>
          <w:szCs w:val="25"/>
        </w:rPr>
        <w:t xml:space="preserve">Staff contends that, </w:t>
      </w:r>
      <w:r w:rsidR="00AD3000">
        <w:rPr>
          <w:rFonts w:ascii="Times New Roman" w:hAnsi="Times New Roman"/>
          <w:sz w:val="25"/>
          <w:szCs w:val="25"/>
        </w:rPr>
        <w:t xml:space="preserve">based on </w:t>
      </w:r>
      <w:r w:rsidR="00352BEB">
        <w:rPr>
          <w:rFonts w:ascii="Times New Roman" w:hAnsi="Times New Roman"/>
          <w:sz w:val="25"/>
          <w:szCs w:val="25"/>
        </w:rPr>
        <w:t>the fact that WCI provided the documents as spreadsheets in response to the data requests</w:t>
      </w:r>
      <w:r w:rsidR="00D74E30">
        <w:rPr>
          <w:rFonts w:ascii="Times New Roman" w:hAnsi="Times New Roman"/>
          <w:sz w:val="25"/>
          <w:szCs w:val="25"/>
        </w:rPr>
        <w:t>,</w:t>
      </w:r>
      <w:r w:rsidR="00352BEB">
        <w:rPr>
          <w:rFonts w:ascii="Times New Roman" w:hAnsi="Times New Roman"/>
          <w:sz w:val="25"/>
          <w:szCs w:val="25"/>
        </w:rPr>
        <w:t xml:space="preserve"> “they are already in the requisite format.”</w:t>
      </w:r>
      <w:r w:rsidR="00D74E30">
        <w:rPr>
          <w:rStyle w:val="FootnoteReference"/>
          <w:rFonts w:ascii="Times New Roman" w:hAnsi="Times New Roman"/>
          <w:sz w:val="25"/>
          <w:szCs w:val="25"/>
        </w:rPr>
        <w:footnoteReference w:id="50"/>
      </w:r>
      <w:r w:rsidR="00352BEB">
        <w:rPr>
          <w:rFonts w:ascii="Times New Roman" w:hAnsi="Times New Roman"/>
          <w:sz w:val="25"/>
          <w:szCs w:val="25"/>
        </w:rPr>
        <w:t xml:space="preserve">  </w:t>
      </w:r>
    </w:p>
    <w:p w14:paraId="4B0E8AF4" w14:textId="77777777" w:rsidR="00D04211" w:rsidRDefault="00D04211" w:rsidP="00C6214E">
      <w:pPr>
        <w:pStyle w:val="ListParagraph"/>
        <w:spacing w:line="264" w:lineRule="auto"/>
        <w:rPr>
          <w:sz w:val="25"/>
          <w:szCs w:val="25"/>
        </w:rPr>
      </w:pPr>
    </w:p>
    <w:p w14:paraId="53E367B1" w14:textId="568F6980" w:rsidR="00202564" w:rsidRPr="002C15B3" w:rsidRDefault="000D35DA" w:rsidP="00C6214E">
      <w:pPr>
        <w:numPr>
          <w:ilvl w:val="0"/>
          <w:numId w:val="1"/>
        </w:numPr>
        <w:spacing w:line="264" w:lineRule="auto"/>
        <w:ind w:hanging="720"/>
        <w:rPr>
          <w:rFonts w:ascii="Times New Roman" w:hAnsi="Times New Roman"/>
          <w:sz w:val="25"/>
          <w:szCs w:val="25"/>
        </w:rPr>
      </w:pPr>
      <w:r w:rsidRPr="002C15B3">
        <w:rPr>
          <w:rFonts w:ascii="Times New Roman" w:hAnsi="Times New Roman"/>
          <w:b/>
          <w:sz w:val="25"/>
          <w:szCs w:val="25"/>
        </w:rPr>
        <w:t>Discussion.</w:t>
      </w:r>
      <w:r w:rsidR="00202564" w:rsidRPr="002C15B3">
        <w:rPr>
          <w:rFonts w:ascii="Times New Roman" w:hAnsi="Times New Roman"/>
          <w:sz w:val="25"/>
          <w:szCs w:val="25"/>
        </w:rPr>
        <w:t xml:space="preserve">  </w:t>
      </w:r>
      <w:r w:rsidR="002C15B3" w:rsidRPr="002C15B3">
        <w:rPr>
          <w:rFonts w:ascii="Times New Roman" w:hAnsi="Times New Roman"/>
          <w:sz w:val="25"/>
          <w:szCs w:val="25"/>
        </w:rPr>
        <w:t xml:space="preserve">We decline to opine upon the scope of WAC 480-07-520(4), as requested in Staff’s Discovery Motion, since the production of the information Staff seeks is already required under WAC 480-07-140(6).  </w:t>
      </w:r>
      <w:r w:rsidR="00202564" w:rsidRPr="002C15B3">
        <w:rPr>
          <w:rFonts w:ascii="Times New Roman" w:hAnsi="Times New Roman"/>
          <w:sz w:val="25"/>
          <w:szCs w:val="25"/>
        </w:rPr>
        <w:t xml:space="preserve">WAC 480-07-140(6)(b) requires </w:t>
      </w:r>
      <w:r w:rsidR="0052384C">
        <w:rPr>
          <w:rFonts w:ascii="Times New Roman" w:hAnsi="Times New Roman"/>
          <w:sz w:val="25"/>
          <w:szCs w:val="25"/>
        </w:rPr>
        <w:t>submission of</w:t>
      </w:r>
      <w:r w:rsidR="00202564" w:rsidRPr="002C15B3">
        <w:rPr>
          <w:rFonts w:ascii="Times New Roman" w:hAnsi="Times New Roman"/>
          <w:sz w:val="25"/>
          <w:szCs w:val="25"/>
        </w:rPr>
        <w:t xml:space="preserve"> electronic versions of all documents </w:t>
      </w:r>
      <w:r w:rsidR="0052384C">
        <w:rPr>
          <w:rFonts w:ascii="Times New Roman" w:hAnsi="Times New Roman"/>
          <w:sz w:val="25"/>
          <w:szCs w:val="25"/>
        </w:rPr>
        <w:t>provided</w:t>
      </w:r>
      <w:r w:rsidR="00A13291" w:rsidRPr="002C15B3">
        <w:rPr>
          <w:rFonts w:ascii="Times New Roman" w:hAnsi="Times New Roman"/>
          <w:sz w:val="25"/>
          <w:szCs w:val="25"/>
        </w:rPr>
        <w:t xml:space="preserve"> to</w:t>
      </w:r>
      <w:r w:rsidR="00202564" w:rsidRPr="002C15B3">
        <w:rPr>
          <w:rFonts w:ascii="Times New Roman" w:hAnsi="Times New Roman"/>
          <w:sz w:val="25"/>
          <w:szCs w:val="25"/>
        </w:rPr>
        <w:t xml:space="preserve"> the Commission</w:t>
      </w:r>
      <w:r w:rsidR="0052384C">
        <w:rPr>
          <w:rFonts w:ascii="Times New Roman" w:hAnsi="Times New Roman"/>
          <w:sz w:val="25"/>
          <w:szCs w:val="25"/>
        </w:rPr>
        <w:t xml:space="preserve"> in</w:t>
      </w:r>
      <w:r w:rsidR="00202564" w:rsidRPr="002C15B3">
        <w:rPr>
          <w:rFonts w:ascii="Times New Roman" w:hAnsi="Times New Roman"/>
          <w:sz w:val="25"/>
          <w:szCs w:val="25"/>
        </w:rPr>
        <w:t xml:space="preserve"> .pdf (Adobe Acrobat) format, </w:t>
      </w:r>
      <w:r w:rsidR="00202564" w:rsidRPr="002C15B3">
        <w:rPr>
          <w:rFonts w:ascii="Times New Roman" w:hAnsi="Times New Roman"/>
          <w:sz w:val="25"/>
          <w:szCs w:val="25"/>
          <w:u w:val="single"/>
        </w:rPr>
        <w:t>supplemented</w:t>
      </w:r>
      <w:r w:rsidR="00202564" w:rsidRPr="002C15B3">
        <w:rPr>
          <w:rFonts w:ascii="Times New Roman" w:hAnsi="Times New Roman"/>
          <w:sz w:val="25"/>
          <w:szCs w:val="25"/>
        </w:rPr>
        <w:t xml:space="preserve"> by a separate file in an accessible format (i.e., Excel, MS Word, or Power Point) “so that spreadsheets displaying results of calculations based on formulas include all formulas, and do not include locked, password protected or hidden cells.”</w:t>
      </w:r>
      <w:r w:rsidR="00A13291">
        <w:rPr>
          <w:rStyle w:val="FootnoteReference"/>
          <w:rFonts w:ascii="Times New Roman" w:hAnsi="Times New Roman"/>
          <w:sz w:val="25"/>
          <w:szCs w:val="25"/>
        </w:rPr>
        <w:footnoteReference w:id="51"/>
      </w:r>
      <w:r w:rsidR="00202564" w:rsidRPr="002C15B3">
        <w:rPr>
          <w:rFonts w:ascii="Times New Roman" w:hAnsi="Times New Roman"/>
          <w:sz w:val="25"/>
          <w:szCs w:val="25"/>
        </w:rPr>
        <w:t xml:space="preserve">  </w:t>
      </w:r>
      <w:r w:rsidR="00A13291" w:rsidRPr="002C15B3">
        <w:rPr>
          <w:rFonts w:ascii="Times New Roman" w:hAnsi="Times New Roman"/>
          <w:sz w:val="25"/>
          <w:szCs w:val="25"/>
        </w:rPr>
        <w:t xml:space="preserve">Spreadsheet cells that are hardcoded are, for all </w:t>
      </w:r>
      <w:r w:rsidR="0052384C">
        <w:rPr>
          <w:rFonts w:ascii="Times New Roman" w:hAnsi="Times New Roman"/>
          <w:sz w:val="25"/>
          <w:szCs w:val="25"/>
        </w:rPr>
        <w:t>relevant purposes, locked</w:t>
      </w:r>
      <w:r w:rsidR="00A13291" w:rsidRPr="002C15B3">
        <w:rPr>
          <w:rFonts w:ascii="Times New Roman" w:hAnsi="Times New Roman"/>
          <w:sz w:val="25"/>
          <w:szCs w:val="25"/>
        </w:rPr>
        <w:t>.  Without the formula or external link to an invoice</w:t>
      </w:r>
      <w:r w:rsidR="00D74E30">
        <w:rPr>
          <w:rFonts w:ascii="Times New Roman" w:hAnsi="Times New Roman"/>
          <w:sz w:val="25"/>
          <w:szCs w:val="25"/>
        </w:rPr>
        <w:t>, receipt, or other document</w:t>
      </w:r>
      <w:r w:rsidR="00A13291" w:rsidRPr="002C15B3">
        <w:rPr>
          <w:rFonts w:ascii="Times New Roman" w:hAnsi="Times New Roman"/>
          <w:sz w:val="25"/>
          <w:szCs w:val="25"/>
        </w:rPr>
        <w:t xml:space="preserve">, Staff is unable to fully analyze the Company’s financial documents.  </w:t>
      </w:r>
      <w:r w:rsidR="00E40D54" w:rsidRPr="002C15B3">
        <w:rPr>
          <w:rFonts w:ascii="Times New Roman" w:hAnsi="Times New Roman"/>
          <w:sz w:val="25"/>
          <w:szCs w:val="25"/>
        </w:rPr>
        <w:t xml:space="preserve">  </w:t>
      </w:r>
    </w:p>
    <w:p w14:paraId="3BC898FA" w14:textId="77777777" w:rsidR="00E40D54" w:rsidRDefault="00E40D54" w:rsidP="00C6214E">
      <w:pPr>
        <w:pStyle w:val="ListParagraph"/>
        <w:spacing w:line="264" w:lineRule="auto"/>
        <w:rPr>
          <w:sz w:val="25"/>
          <w:szCs w:val="25"/>
        </w:rPr>
      </w:pPr>
    </w:p>
    <w:p w14:paraId="19BBA05B" w14:textId="77777777" w:rsidR="006C1F97" w:rsidRDefault="006C1F97" w:rsidP="00C6214E">
      <w:pPr>
        <w:pStyle w:val="ListParagraph"/>
        <w:spacing w:line="264" w:lineRule="auto"/>
        <w:rPr>
          <w:sz w:val="25"/>
          <w:szCs w:val="25"/>
        </w:rPr>
      </w:pPr>
    </w:p>
    <w:p w14:paraId="682F2F3C" w14:textId="688D165F" w:rsidR="002C15B3" w:rsidRDefault="00E40D54" w:rsidP="00C6214E">
      <w:pPr>
        <w:numPr>
          <w:ilvl w:val="0"/>
          <w:numId w:val="1"/>
        </w:numPr>
        <w:spacing w:line="264" w:lineRule="auto"/>
        <w:ind w:hanging="720"/>
        <w:rPr>
          <w:rFonts w:ascii="Times New Roman" w:hAnsi="Times New Roman"/>
          <w:sz w:val="25"/>
          <w:szCs w:val="25"/>
        </w:rPr>
      </w:pPr>
      <w:r w:rsidRPr="002C15B3">
        <w:rPr>
          <w:rFonts w:ascii="Times New Roman" w:hAnsi="Times New Roman"/>
          <w:sz w:val="25"/>
          <w:szCs w:val="25"/>
        </w:rPr>
        <w:lastRenderedPageBreak/>
        <w:t>The two exceptions to this requirement in the Commission’s rules</w:t>
      </w:r>
      <w:r w:rsidR="0052384C">
        <w:rPr>
          <w:rFonts w:ascii="Times New Roman" w:hAnsi="Times New Roman"/>
          <w:sz w:val="25"/>
          <w:szCs w:val="25"/>
        </w:rPr>
        <w:t>, as argued by WCI,</w:t>
      </w:r>
      <w:r w:rsidRPr="002C15B3">
        <w:rPr>
          <w:rFonts w:ascii="Times New Roman" w:hAnsi="Times New Roman"/>
          <w:sz w:val="25"/>
          <w:szCs w:val="25"/>
        </w:rPr>
        <w:t xml:space="preserve"> are inapplicable.  First, </w:t>
      </w:r>
      <w:r w:rsidR="0083609B" w:rsidRPr="002C15B3">
        <w:rPr>
          <w:rFonts w:ascii="Times New Roman" w:hAnsi="Times New Roman"/>
          <w:sz w:val="25"/>
          <w:szCs w:val="25"/>
        </w:rPr>
        <w:t xml:space="preserve">WAC 480-07-140(6)(b)(i)(A) exempts production of documents that were not created by, for, or on behalf of a party or witness in the proceeding for which no version in the required format is available.  </w:t>
      </w:r>
      <w:r w:rsidR="00A13291" w:rsidRPr="002C15B3">
        <w:rPr>
          <w:rFonts w:ascii="Times New Roman" w:hAnsi="Times New Roman"/>
          <w:sz w:val="25"/>
          <w:szCs w:val="25"/>
        </w:rPr>
        <w:t>Yet</w:t>
      </w:r>
      <w:r w:rsidR="00977470" w:rsidRPr="002C15B3">
        <w:rPr>
          <w:rFonts w:ascii="Times New Roman" w:hAnsi="Times New Roman"/>
          <w:sz w:val="25"/>
          <w:szCs w:val="25"/>
        </w:rPr>
        <w:t xml:space="preserve"> </w:t>
      </w:r>
      <w:r w:rsidR="00A13291" w:rsidRPr="002C15B3">
        <w:rPr>
          <w:rFonts w:ascii="Times New Roman" w:hAnsi="Times New Roman"/>
          <w:sz w:val="25"/>
          <w:szCs w:val="25"/>
        </w:rPr>
        <w:t xml:space="preserve">WCI is not arguing that the documents cannot be produced in the correct “format” (i.e., </w:t>
      </w:r>
      <w:r w:rsidR="00977470" w:rsidRPr="002C15B3">
        <w:rPr>
          <w:rFonts w:ascii="Times New Roman" w:hAnsi="Times New Roman"/>
          <w:sz w:val="25"/>
          <w:szCs w:val="25"/>
        </w:rPr>
        <w:t>an Excel spreadsheet).  They are already in the appropriate format.  The Company asserts</w:t>
      </w:r>
      <w:r w:rsidR="0083609B" w:rsidRPr="002C15B3">
        <w:rPr>
          <w:rFonts w:ascii="Times New Roman" w:hAnsi="Times New Roman"/>
          <w:sz w:val="25"/>
          <w:szCs w:val="25"/>
        </w:rPr>
        <w:t xml:space="preserve"> that the </w:t>
      </w:r>
      <w:r w:rsidR="00977470" w:rsidRPr="002C15B3">
        <w:rPr>
          <w:rFonts w:ascii="Times New Roman" w:hAnsi="Times New Roman"/>
          <w:sz w:val="25"/>
          <w:szCs w:val="25"/>
        </w:rPr>
        <w:t>document is an “amalgamated” work product of Staff and WCI</w:t>
      </w:r>
      <w:r w:rsidR="002C15B3" w:rsidRPr="002C15B3">
        <w:rPr>
          <w:rFonts w:ascii="Times New Roman" w:hAnsi="Times New Roman"/>
          <w:sz w:val="25"/>
          <w:szCs w:val="25"/>
        </w:rPr>
        <w:t>, and therefore, Ms. Davis’ own exhibit was not created for, by, or on behalf of the Company or any other party to the proceeding</w:t>
      </w:r>
      <w:r w:rsidR="0083609B" w:rsidRPr="002C15B3">
        <w:rPr>
          <w:rFonts w:ascii="Times New Roman" w:hAnsi="Times New Roman"/>
          <w:sz w:val="25"/>
          <w:szCs w:val="25"/>
        </w:rPr>
        <w:t xml:space="preserve">.  </w:t>
      </w:r>
      <w:r w:rsidR="002C15B3" w:rsidRPr="002C15B3">
        <w:rPr>
          <w:rFonts w:ascii="Times New Roman" w:hAnsi="Times New Roman"/>
          <w:sz w:val="25"/>
          <w:szCs w:val="25"/>
        </w:rPr>
        <w:t xml:space="preserve">This argument is </w:t>
      </w:r>
      <w:r w:rsidR="00D74E30">
        <w:rPr>
          <w:rFonts w:ascii="Times New Roman" w:hAnsi="Times New Roman"/>
          <w:sz w:val="25"/>
          <w:szCs w:val="25"/>
        </w:rPr>
        <w:t>illogical</w:t>
      </w:r>
      <w:r w:rsidR="002C15B3" w:rsidRPr="002C15B3">
        <w:rPr>
          <w:rFonts w:ascii="Times New Roman" w:hAnsi="Times New Roman"/>
          <w:sz w:val="25"/>
          <w:szCs w:val="25"/>
        </w:rPr>
        <w:t>.  Ms. Davis is sponsoring the exhibit, the Company admits to playing a role in its creation</w:t>
      </w:r>
      <w:r w:rsidR="00D74E30">
        <w:rPr>
          <w:rFonts w:ascii="Times New Roman" w:hAnsi="Times New Roman"/>
          <w:sz w:val="25"/>
          <w:szCs w:val="25"/>
        </w:rPr>
        <w:t>,</w:t>
      </w:r>
      <w:r w:rsidR="002C15B3" w:rsidRPr="002C15B3">
        <w:rPr>
          <w:rFonts w:ascii="Times New Roman" w:hAnsi="Times New Roman"/>
          <w:sz w:val="25"/>
          <w:szCs w:val="25"/>
        </w:rPr>
        <w:t xml:space="preserve"> and </w:t>
      </w:r>
      <w:r w:rsidR="00D74E30">
        <w:rPr>
          <w:rFonts w:ascii="Times New Roman" w:hAnsi="Times New Roman"/>
          <w:sz w:val="25"/>
          <w:szCs w:val="25"/>
        </w:rPr>
        <w:t xml:space="preserve">it </w:t>
      </w:r>
      <w:r w:rsidR="002C15B3" w:rsidRPr="002C15B3">
        <w:rPr>
          <w:rFonts w:ascii="Times New Roman" w:hAnsi="Times New Roman"/>
          <w:sz w:val="25"/>
          <w:szCs w:val="25"/>
        </w:rPr>
        <w:t xml:space="preserve">cannot now argue the exemption in WAC 480-07-140(6)(b)(i)(A).  </w:t>
      </w:r>
      <w:r w:rsidR="0083609B" w:rsidRPr="002C15B3">
        <w:rPr>
          <w:rFonts w:ascii="Times New Roman" w:hAnsi="Times New Roman"/>
          <w:sz w:val="25"/>
          <w:szCs w:val="25"/>
        </w:rPr>
        <w:t xml:space="preserve">Further, WAC 480-07-140(6)(b)(i)(B) exempts production of voluminous documents not originally prepared in the required format.  Ms. Davis’ Exhibit </w:t>
      </w:r>
      <w:r w:rsidR="004424E1" w:rsidRPr="002C15B3">
        <w:rPr>
          <w:rFonts w:ascii="Times New Roman" w:hAnsi="Times New Roman"/>
          <w:sz w:val="25"/>
          <w:szCs w:val="25"/>
        </w:rPr>
        <w:t xml:space="preserve">No. JD-8 is 4 pages in length and hardly what one would call voluminous.  </w:t>
      </w:r>
    </w:p>
    <w:p w14:paraId="66DF3CCD" w14:textId="77777777" w:rsidR="002C15B3" w:rsidRDefault="002C15B3" w:rsidP="00C6214E">
      <w:pPr>
        <w:pStyle w:val="ListParagraph"/>
        <w:spacing w:line="264" w:lineRule="auto"/>
        <w:rPr>
          <w:sz w:val="25"/>
          <w:szCs w:val="25"/>
        </w:rPr>
      </w:pPr>
    </w:p>
    <w:p w14:paraId="6E895EF3" w14:textId="4AB5568D" w:rsidR="0083609B" w:rsidRPr="002C15B3" w:rsidRDefault="004C17F8" w:rsidP="00C6214E">
      <w:pPr>
        <w:numPr>
          <w:ilvl w:val="0"/>
          <w:numId w:val="1"/>
        </w:numPr>
        <w:spacing w:line="264" w:lineRule="auto"/>
        <w:ind w:hanging="720"/>
        <w:rPr>
          <w:rFonts w:ascii="Times New Roman" w:hAnsi="Times New Roman"/>
          <w:sz w:val="25"/>
          <w:szCs w:val="25"/>
        </w:rPr>
      </w:pPr>
      <w:r w:rsidRPr="002C15B3">
        <w:rPr>
          <w:rFonts w:ascii="Times New Roman" w:hAnsi="Times New Roman"/>
          <w:sz w:val="25"/>
          <w:szCs w:val="25"/>
        </w:rPr>
        <w:t xml:space="preserve">Staff’s Data Request Nos. 7, 8, and 11 appear relevant to the issues in the adjudicative proceeding or </w:t>
      </w:r>
      <w:r w:rsidR="0052384C">
        <w:rPr>
          <w:rFonts w:ascii="Times New Roman" w:hAnsi="Times New Roman"/>
          <w:sz w:val="25"/>
          <w:szCs w:val="25"/>
        </w:rPr>
        <w:t>likely to</w:t>
      </w:r>
      <w:r w:rsidRPr="002C15B3">
        <w:rPr>
          <w:rFonts w:ascii="Times New Roman" w:hAnsi="Times New Roman"/>
          <w:sz w:val="25"/>
          <w:szCs w:val="25"/>
        </w:rPr>
        <w:t xml:space="preserve"> lead to the production of information that is relevant.  WCI’s only objection, with regard to WAC 480-07-400, relates to the “cumulative, burdensome, and expensive delays” Staff’s technical objections to </w:t>
      </w:r>
      <w:r w:rsidR="00D74E30">
        <w:rPr>
          <w:rFonts w:ascii="Times New Roman" w:hAnsi="Times New Roman"/>
          <w:sz w:val="25"/>
          <w:szCs w:val="25"/>
        </w:rPr>
        <w:t>its</w:t>
      </w:r>
      <w:r w:rsidRPr="002C15B3">
        <w:rPr>
          <w:rFonts w:ascii="Times New Roman" w:hAnsi="Times New Roman"/>
          <w:sz w:val="25"/>
          <w:szCs w:val="25"/>
        </w:rPr>
        <w:t xml:space="preserve"> hardcoded and externally</w:t>
      </w:r>
      <w:r w:rsidR="0052384C">
        <w:rPr>
          <w:rFonts w:ascii="Times New Roman" w:hAnsi="Times New Roman"/>
          <w:sz w:val="25"/>
          <w:szCs w:val="25"/>
        </w:rPr>
        <w:t>-</w:t>
      </w:r>
      <w:r w:rsidRPr="002C15B3">
        <w:rPr>
          <w:rFonts w:ascii="Times New Roman" w:hAnsi="Times New Roman"/>
          <w:sz w:val="25"/>
          <w:szCs w:val="25"/>
        </w:rPr>
        <w:t>linked spreadsheets</w:t>
      </w:r>
      <w:r w:rsidR="0052384C">
        <w:rPr>
          <w:rFonts w:ascii="Times New Roman" w:hAnsi="Times New Roman"/>
          <w:sz w:val="25"/>
          <w:szCs w:val="25"/>
        </w:rPr>
        <w:t xml:space="preserve"> have caused WCI</w:t>
      </w:r>
      <w:r w:rsidRPr="002C15B3">
        <w:rPr>
          <w:rFonts w:ascii="Times New Roman" w:hAnsi="Times New Roman"/>
          <w:sz w:val="25"/>
          <w:szCs w:val="25"/>
        </w:rPr>
        <w:t>.</w:t>
      </w:r>
      <w:r>
        <w:rPr>
          <w:rStyle w:val="FootnoteReference"/>
          <w:rFonts w:ascii="Times New Roman" w:hAnsi="Times New Roman"/>
          <w:sz w:val="25"/>
          <w:szCs w:val="25"/>
        </w:rPr>
        <w:footnoteReference w:id="52"/>
      </w:r>
      <w:r w:rsidRPr="002C15B3">
        <w:rPr>
          <w:rFonts w:ascii="Times New Roman" w:hAnsi="Times New Roman"/>
          <w:sz w:val="25"/>
          <w:szCs w:val="25"/>
        </w:rPr>
        <w:t xml:space="preserve">  </w:t>
      </w:r>
      <w:r w:rsidR="00262565" w:rsidRPr="002C15B3">
        <w:rPr>
          <w:rFonts w:ascii="Times New Roman" w:hAnsi="Times New Roman"/>
          <w:sz w:val="25"/>
          <w:szCs w:val="25"/>
        </w:rPr>
        <w:t xml:space="preserve">WCI has not demonstrated that the information sought by Staff </w:t>
      </w:r>
      <w:r w:rsidR="0052384C">
        <w:rPr>
          <w:rFonts w:ascii="Times New Roman" w:hAnsi="Times New Roman"/>
          <w:sz w:val="25"/>
          <w:szCs w:val="25"/>
        </w:rPr>
        <w:t>is duplicative or is obtainable from another source that is more convenient, less burdensome or expensive</w:t>
      </w:r>
      <w:r w:rsidR="00262565" w:rsidRPr="002C15B3">
        <w:rPr>
          <w:rFonts w:ascii="Times New Roman" w:hAnsi="Times New Roman"/>
          <w:sz w:val="25"/>
          <w:szCs w:val="25"/>
        </w:rPr>
        <w:t xml:space="preserve">.  </w:t>
      </w:r>
      <w:r w:rsidRPr="002C15B3">
        <w:rPr>
          <w:rFonts w:ascii="Times New Roman" w:hAnsi="Times New Roman"/>
          <w:sz w:val="25"/>
          <w:szCs w:val="25"/>
        </w:rPr>
        <w:t>Staff’s Motion to Compel Response to Staff Data Request Nos. 7, 8, and 11 is granted.</w:t>
      </w:r>
    </w:p>
    <w:p w14:paraId="7947DC5F" w14:textId="77777777" w:rsidR="00262565" w:rsidRDefault="00262565" w:rsidP="00C6214E">
      <w:pPr>
        <w:pStyle w:val="ListParagraph"/>
        <w:spacing w:line="264" w:lineRule="auto"/>
        <w:rPr>
          <w:sz w:val="25"/>
          <w:szCs w:val="25"/>
        </w:rPr>
      </w:pPr>
    </w:p>
    <w:p w14:paraId="20B93FC5" w14:textId="7E5AC512" w:rsidR="00262565" w:rsidRDefault="00262565" w:rsidP="00C6214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That said, the Commission understands WCI’s frustration </w:t>
      </w:r>
      <w:r w:rsidR="00CF4806">
        <w:rPr>
          <w:rFonts w:ascii="Times New Roman" w:hAnsi="Times New Roman"/>
          <w:sz w:val="25"/>
          <w:szCs w:val="25"/>
        </w:rPr>
        <w:t>with</w:t>
      </w:r>
      <w:r>
        <w:rPr>
          <w:rFonts w:ascii="Times New Roman" w:hAnsi="Times New Roman"/>
          <w:sz w:val="25"/>
          <w:szCs w:val="25"/>
        </w:rPr>
        <w:t xml:space="preserve"> Staff’s decision to participate telephonically in a technical conference that was clearly meant to be conducted in person.  Part of the confusion and delay relating to WCI’s failure to provide responsive information to Staff must fall on Staff’s shoulders.  It becomes evident, through reading the multiple pages of email trails between Staff’s and the Company’s experts, that some disputes should be worked out face-to-face.  </w:t>
      </w:r>
      <w:r w:rsidR="00CF4806">
        <w:rPr>
          <w:rFonts w:ascii="Times New Roman" w:hAnsi="Times New Roman"/>
          <w:sz w:val="25"/>
          <w:szCs w:val="25"/>
        </w:rPr>
        <w:t xml:space="preserve">In an effort to expeditiously promote the production of acceptable responses to Staff’s Data Request Nos. 7, 8, and 11, as compelled by this Order, </w:t>
      </w:r>
      <w:r>
        <w:rPr>
          <w:rFonts w:ascii="Times New Roman" w:hAnsi="Times New Roman"/>
          <w:sz w:val="25"/>
          <w:szCs w:val="25"/>
        </w:rPr>
        <w:t>WCI’s Motion for a Discovery Conference is granted.</w:t>
      </w:r>
    </w:p>
    <w:p w14:paraId="6F91A5FD" w14:textId="4E038718" w:rsidR="006C1F97" w:rsidRDefault="006C1F97">
      <w:pPr>
        <w:rPr>
          <w:rFonts w:ascii="Times New Roman" w:hAnsi="Times New Roman"/>
          <w:sz w:val="25"/>
          <w:szCs w:val="25"/>
        </w:rPr>
      </w:pPr>
      <w:r>
        <w:rPr>
          <w:sz w:val="25"/>
          <w:szCs w:val="25"/>
        </w:rPr>
        <w:br w:type="page"/>
      </w:r>
    </w:p>
    <w:p w14:paraId="78627ADB" w14:textId="77777777" w:rsidR="00262565" w:rsidRDefault="00262565" w:rsidP="00C6214E">
      <w:pPr>
        <w:pStyle w:val="ListParagraph"/>
        <w:spacing w:line="264" w:lineRule="auto"/>
        <w:rPr>
          <w:sz w:val="25"/>
          <w:szCs w:val="25"/>
        </w:rPr>
      </w:pPr>
    </w:p>
    <w:p w14:paraId="560F6175" w14:textId="6AF68AC3" w:rsidR="00CF4806" w:rsidRDefault="00AC4B10" w:rsidP="00C6214E">
      <w:pPr>
        <w:numPr>
          <w:ilvl w:val="0"/>
          <w:numId w:val="1"/>
        </w:numPr>
        <w:spacing w:line="264" w:lineRule="auto"/>
        <w:ind w:hanging="720"/>
        <w:rPr>
          <w:rFonts w:ascii="Times New Roman" w:hAnsi="Times New Roman"/>
          <w:sz w:val="25"/>
          <w:szCs w:val="25"/>
        </w:rPr>
      </w:pPr>
      <w:r w:rsidRPr="00772E19">
        <w:rPr>
          <w:rFonts w:ascii="Times New Roman" w:hAnsi="Times New Roman"/>
          <w:b/>
          <w:sz w:val="25"/>
          <w:szCs w:val="25"/>
        </w:rPr>
        <w:t xml:space="preserve">THE COMMISSION GIVES NOTICE That a discovery conference in this matter will be held on </w:t>
      </w:r>
      <w:r w:rsidR="00C3151B">
        <w:rPr>
          <w:rFonts w:ascii="Times New Roman" w:hAnsi="Times New Roman"/>
          <w:b/>
          <w:sz w:val="25"/>
          <w:szCs w:val="25"/>
        </w:rPr>
        <w:t>Fri</w:t>
      </w:r>
      <w:r>
        <w:rPr>
          <w:rFonts w:ascii="Times New Roman" w:hAnsi="Times New Roman"/>
          <w:b/>
          <w:sz w:val="25"/>
          <w:szCs w:val="25"/>
        </w:rPr>
        <w:t xml:space="preserve">day, </w:t>
      </w:r>
      <w:r w:rsidR="00C3151B">
        <w:rPr>
          <w:rFonts w:ascii="Times New Roman" w:hAnsi="Times New Roman"/>
          <w:b/>
          <w:sz w:val="25"/>
          <w:szCs w:val="25"/>
        </w:rPr>
        <w:t>July 11, 2014</w:t>
      </w:r>
      <w:r w:rsidRPr="00772E19">
        <w:rPr>
          <w:rFonts w:ascii="Times New Roman" w:hAnsi="Times New Roman"/>
          <w:b/>
          <w:sz w:val="25"/>
          <w:szCs w:val="25"/>
        </w:rPr>
        <w:t xml:space="preserve">, beginning at </w:t>
      </w:r>
      <w:r w:rsidR="00C3151B">
        <w:rPr>
          <w:rFonts w:ascii="Times New Roman" w:hAnsi="Times New Roman"/>
          <w:b/>
          <w:sz w:val="25"/>
          <w:szCs w:val="25"/>
        </w:rPr>
        <w:t>9</w:t>
      </w:r>
      <w:r w:rsidRPr="00772E19">
        <w:rPr>
          <w:rFonts w:ascii="Times New Roman" w:hAnsi="Times New Roman"/>
          <w:b/>
          <w:sz w:val="25"/>
          <w:szCs w:val="25"/>
        </w:rPr>
        <w:t xml:space="preserve">:30 </w:t>
      </w:r>
      <w:r w:rsidR="00C3151B">
        <w:rPr>
          <w:rFonts w:ascii="Times New Roman" w:hAnsi="Times New Roman"/>
          <w:b/>
          <w:sz w:val="25"/>
          <w:szCs w:val="25"/>
        </w:rPr>
        <w:t>a</w:t>
      </w:r>
      <w:r w:rsidRPr="00772E19">
        <w:rPr>
          <w:rFonts w:ascii="Times New Roman" w:hAnsi="Times New Roman"/>
          <w:b/>
          <w:sz w:val="25"/>
          <w:szCs w:val="25"/>
        </w:rPr>
        <w:t xml:space="preserve">.m. in Room </w:t>
      </w:r>
      <w:r w:rsidR="00C3151B">
        <w:rPr>
          <w:rFonts w:ascii="Times New Roman" w:hAnsi="Times New Roman"/>
          <w:b/>
          <w:sz w:val="25"/>
          <w:szCs w:val="25"/>
        </w:rPr>
        <w:t>212</w:t>
      </w:r>
      <w:r w:rsidRPr="00772E19">
        <w:rPr>
          <w:rFonts w:ascii="Times New Roman" w:hAnsi="Times New Roman"/>
          <w:b/>
          <w:sz w:val="25"/>
          <w:szCs w:val="25"/>
        </w:rPr>
        <w:t xml:space="preserve">, </w:t>
      </w:r>
      <w:r w:rsidRPr="00772E19">
        <w:rPr>
          <w:rFonts w:ascii="Times New Roman" w:hAnsi="Times New Roman"/>
          <w:b/>
          <w:bCs/>
          <w:sz w:val="25"/>
          <w:szCs w:val="25"/>
        </w:rPr>
        <w:t>Richard Hemstad Building, 1300 S. Evergreen Park Drive S.W., Olympia, Washington</w:t>
      </w:r>
      <w:r w:rsidRPr="00772E19">
        <w:rPr>
          <w:rFonts w:ascii="Times New Roman" w:hAnsi="Times New Roman"/>
          <w:b/>
          <w:sz w:val="25"/>
          <w:szCs w:val="25"/>
        </w:rPr>
        <w:t xml:space="preserve">.  </w:t>
      </w:r>
      <w:r w:rsidR="00C3151B">
        <w:rPr>
          <w:rFonts w:ascii="Times New Roman" w:hAnsi="Times New Roman"/>
          <w:b/>
          <w:sz w:val="25"/>
          <w:szCs w:val="25"/>
        </w:rPr>
        <w:t xml:space="preserve">The Commission’s teleconference bridge line will not be available for the discovery conference.  </w:t>
      </w:r>
      <w:r w:rsidR="00262565" w:rsidRPr="00CF4806">
        <w:rPr>
          <w:rFonts w:ascii="Times New Roman" w:hAnsi="Times New Roman"/>
          <w:sz w:val="25"/>
          <w:szCs w:val="25"/>
        </w:rPr>
        <w:t xml:space="preserve">Both WCI and Staff, as well as </w:t>
      </w:r>
      <w:r w:rsidR="00D74E30">
        <w:rPr>
          <w:rFonts w:ascii="Times New Roman" w:hAnsi="Times New Roman"/>
          <w:sz w:val="25"/>
          <w:szCs w:val="25"/>
        </w:rPr>
        <w:t>each parties’ accounting experts</w:t>
      </w:r>
      <w:r w:rsidR="00262565" w:rsidRPr="00CF4806">
        <w:rPr>
          <w:rFonts w:ascii="Times New Roman" w:hAnsi="Times New Roman"/>
          <w:sz w:val="25"/>
          <w:szCs w:val="25"/>
        </w:rPr>
        <w:t xml:space="preserve">, are </w:t>
      </w:r>
      <w:r w:rsidR="00CF4806" w:rsidRPr="00CF4806">
        <w:rPr>
          <w:rFonts w:ascii="Times New Roman" w:hAnsi="Times New Roman"/>
          <w:sz w:val="25"/>
          <w:szCs w:val="25"/>
        </w:rPr>
        <w:t>direct</w:t>
      </w:r>
      <w:r w:rsidR="00262565" w:rsidRPr="00CF4806">
        <w:rPr>
          <w:rFonts w:ascii="Times New Roman" w:hAnsi="Times New Roman"/>
          <w:sz w:val="25"/>
          <w:szCs w:val="25"/>
        </w:rPr>
        <w:t xml:space="preserve">ed to attend.  </w:t>
      </w:r>
      <w:r w:rsidR="00B142B9" w:rsidRPr="00CF4806">
        <w:rPr>
          <w:rFonts w:ascii="Times New Roman" w:hAnsi="Times New Roman"/>
          <w:sz w:val="25"/>
          <w:szCs w:val="25"/>
        </w:rPr>
        <w:t>The discovery conference will continue, as needed, until 4:30 p.m.  WCI and Staff will bring all necessary documents</w:t>
      </w:r>
      <w:r w:rsidR="00C6214E">
        <w:rPr>
          <w:rFonts w:ascii="Times New Roman" w:hAnsi="Times New Roman"/>
          <w:sz w:val="25"/>
          <w:szCs w:val="25"/>
        </w:rPr>
        <w:t>, electronic files,</w:t>
      </w:r>
      <w:r w:rsidR="00B142B9" w:rsidRPr="00CF4806">
        <w:rPr>
          <w:rFonts w:ascii="Times New Roman" w:hAnsi="Times New Roman"/>
          <w:sz w:val="25"/>
          <w:szCs w:val="25"/>
        </w:rPr>
        <w:t xml:space="preserve"> and electronic devices (i.e., laptops, tablets, et cetera) </w:t>
      </w:r>
      <w:r w:rsidR="00C3151B">
        <w:rPr>
          <w:rFonts w:ascii="Times New Roman" w:hAnsi="Times New Roman"/>
          <w:sz w:val="25"/>
          <w:szCs w:val="25"/>
        </w:rPr>
        <w:t>with them</w:t>
      </w:r>
      <w:r w:rsidR="00B142B9" w:rsidRPr="00CF4806">
        <w:rPr>
          <w:rFonts w:ascii="Times New Roman" w:hAnsi="Times New Roman"/>
          <w:sz w:val="25"/>
          <w:szCs w:val="25"/>
        </w:rPr>
        <w:t xml:space="preserve">.  </w:t>
      </w:r>
      <w:r w:rsidR="003B1688">
        <w:rPr>
          <w:rFonts w:ascii="Times New Roman" w:hAnsi="Times New Roman"/>
          <w:sz w:val="25"/>
          <w:szCs w:val="25"/>
        </w:rPr>
        <w:t>While</w:t>
      </w:r>
      <w:r w:rsidR="00B142B9" w:rsidRPr="00CF4806">
        <w:rPr>
          <w:rFonts w:ascii="Times New Roman" w:hAnsi="Times New Roman"/>
          <w:sz w:val="25"/>
          <w:szCs w:val="25"/>
        </w:rPr>
        <w:t xml:space="preserve"> the main purpose of the conference will be to facilitate the exchange of information and unlocking of hardcodes and external links associated with Staff Data Request Nos. 7, 8, and 11, the parties should use this time to collaborate on any and all outstanding discovery matters.  </w:t>
      </w:r>
    </w:p>
    <w:p w14:paraId="42B06C88" w14:textId="77777777" w:rsidR="00CF4806" w:rsidRDefault="00CF4806" w:rsidP="00C6214E">
      <w:pPr>
        <w:pStyle w:val="ListParagraph"/>
        <w:spacing w:line="264" w:lineRule="auto"/>
        <w:rPr>
          <w:sz w:val="25"/>
          <w:szCs w:val="25"/>
        </w:rPr>
      </w:pPr>
    </w:p>
    <w:p w14:paraId="148090C7" w14:textId="230A6E93" w:rsidR="00630DDB" w:rsidRPr="009373BA" w:rsidRDefault="003B1688" w:rsidP="00C6214E">
      <w:pPr>
        <w:numPr>
          <w:ilvl w:val="0"/>
          <w:numId w:val="1"/>
        </w:numPr>
        <w:spacing w:line="264" w:lineRule="auto"/>
        <w:ind w:hanging="720"/>
        <w:rPr>
          <w:rFonts w:ascii="Times New Roman" w:hAnsi="Times New Roman"/>
          <w:sz w:val="25"/>
          <w:szCs w:val="25"/>
        </w:rPr>
      </w:pPr>
      <w:r w:rsidRPr="0020355B">
        <w:rPr>
          <w:rFonts w:ascii="Times New Roman" w:hAnsi="Times New Roman"/>
          <w:sz w:val="25"/>
          <w:szCs w:val="25"/>
        </w:rPr>
        <w:t xml:space="preserve">The Commission does not utilize “Discovery Masters” as contemplated by WCI, and the request for the appointment of such is denied.  </w:t>
      </w:r>
      <w:r w:rsidR="0020355B" w:rsidRPr="0020355B">
        <w:rPr>
          <w:rFonts w:ascii="Times New Roman" w:hAnsi="Times New Roman"/>
          <w:sz w:val="25"/>
          <w:szCs w:val="25"/>
        </w:rPr>
        <w:t>However</w:t>
      </w:r>
      <w:r w:rsidRPr="0020355B">
        <w:rPr>
          <w:rFonts w:ascii="Times New Roman" w:hAnsi="Times New Roman"/>
          <w:sz w:val="25"/>
          <w:szCs w:val="25"/>
        </w:rPr>
        <w:t xml:space="preserve">, </w:t>
      </w:r>
      <w:r w:rsidR="00CF4806" w:rsidRPr="0020355B">
        <w:rPr>
          <w:rFonts w:ascii="Times New Roman" w:hAnsi="Times New Roman"/>
          <w:sz w:val="25"/>
          <w:szCs w:val="25"/>
        </w:rPr>
        <w:t xml:space="preserve">there does appear to be some need for an individual who can </w:t>
      </w:r>
      <w:r w:rsidR="0020355B" w:rsidRPr="0020355B">
        <w:rPr>
          <w:rFonts w:ascii="Times New Roman" w:hAnsi="Times New Roman"/>
          <w:sz w:val="25"/>
          <w:szCs w:val="25"/>
        </w:rPr>
        <w:t>assist</w:t>
      </w:r>
      <w:r w:rsidR="00CF4806" w:rsidRPr="0020355B">
        <w:rPr>
          <w:rFonts w:ascii="Times New Roman" w:hAnsi="Times New Roman"/>
          <w:sz w:val="25"/>
          <w:szCs w:val="25"/>
        </w:rPr>
        <w:t xml:space="preserve"> the parties </w:t>
      </w:r>
      <w:r w:rsidR="0020355B" w:rsidRPr="0020355B">
        <w:rPr>
          <w:rFonts w:ascii="Times New Roman" w:hAnsi="Times New Roman"/>
          <w:sz w:val="25"/>
          <w:szCs w:val="25"/>
        </w:rPr>
        <w:t>with</w:t>
      </w:r>
      <w:r w:rsidR="00CF4806" w:rsidRPr="0020355B">
        <w:rPr>
          <w:rFonts w:ascii="Times New Roman" w:hAnsi="Times New Roman"/>
          <w:sz w:val="25"/>
          <w:szCs w:val="25"/>
        </w:rPr>
        <w:t xml:space="preserve"> </w:t>
      </w:r>
      <w:r w:rsidR="0097359E" w:rsidRPr="0020355B">
        <w:rPr>
          <w:rFonts w:ascii="Times New Roman" w:hAnsi="Times New Roman"/>
          <w:sz w:val="25"/>
          <w:szCs w:val="25"/>
        </w:rPr>
        <w:t xml:space="preserve">issues of </w:t>
      </w:r>
      <w:r w:rsidR="0020355B" w:rsidRPr="0020355B">
        <w:rPr>
          <w:rFonts w:ascii="Times New Roman" w:hAnsi="Times New Roman"/>
          <w:sz w:val="25"/>
          <w:szCs w:val="25"/>
        </w:rPr>
        <w:t>hardcoding and externally-linked sources</w:t>
      </w:r>
      <w:r w:rsidR="00CF4806" w:rsidRPr="0020355B">
        <w:rPr>
          <w:rFonts w:ascii="Times New Roman" w:hAnsi="Times New Roman"/>
          <w:sz w:val="25"/>
          <w:szCs w:val="25"/>
        </w:rPr>
        <w:t xml:space="preserve">.  </w:t>
      </w:r>
      <w:r w:rsidR="0097359E" w:rsidRPr="0020355B">
        <w:rPr>
          <w:rFonts w:ascii="Times New Roman" w:hAnsi="Times New Roman"/>
          <w:sz w:val="25"/>
          <w:szCs w:val="25"/>
        </w:rPr>
        <w:t xml:space="preserve">In accordance with WAC 480-07-415, </w:t>
      </w:r>
      <w:r w:rsidR="00CF4806" w:rsidRPr="0020355B">
        <w:rPr>
          <w:rFonts w:ascii="Times New Roman" w:hAnsi="Times New Roman"/>
          <w:sz w:val="25"/>
          <w:szCs w:val="25"/>
        </w:rPr>
        <w:t>Mr. Danny Kermode, Commission Senio</w:t>
      </w:r>
      <w:r w:rsidR="0097359E" w:rsidRPr="0020355B">
        <w:rPr>
          <w:rFonts w:ascii="Times New Roman" w:hAnsi="Times New Roman"/>
          <w:sz w:val="25"/>
          <w:szCs w:val="25"/>
        </w:rPr>
        <w:t>r Policy Advisor and accountant, will act as facilitator</w:t>
      </w:r>
      <w:r w:rsidR="00CF4806" w:rsidRPr="0020355B">
        <w:rPr>
          <w:rFonts w:ascii="Times New Roman" w:hAnsi="Times New Roman"/>
          <w:sz w:val="25"/>
          <w:szCs w:val="25"/>
        </w:rPr>
        <w:t xml:space="preserve"> </w:t>
      </w:r>
      <w:r w:rsidR="0097359E" w:rsidRPr="0020355B">
        <w:rPr>
          <w:rFonts w:ascii="Times New Roman" w:hAnsi="Times New Roman"/>
          <w:sz w:val="25"/>
          <w:szCs w:val="25"/>
        </w:rPr>
        <w:t xml:space="preserve">at </w:t>
      </w:r>
      <w:r w:rsidR="00CF4806" w:rsidRPr="0020355B">
        <w:rPr>
          <w:rFonts w:ascii="Times New Roman" w:hAnsi="Times New Roman"/>
          <w:sz w:val="25"/>
          <w:szCs w:val="25"/>
        </w:rPr>
        <w:t xml:space="preserve">the </w:t>
      </w:r>
      <w:r w:rsidR="0097359E" w:rsidRPr="0020355B">
        <w:rPr>
          <w:rFonts w:ascii="Times New Roman" w:hAnsi="Times New Roman"/>
          <w:sz w:val="25"/>
          <w:szCs w:val="25"/>
        </w:rPr>
        <w:t>July 11, 2014, discovery conference</w:t>
      </w:r>
      <w:r w:rsidR="00CF4806" w:rsidRPr="0020355B">
        <w:rPr>
          <w:rFonts w:ascii="Times New Roman" w:hAnsi="Times New Roman"/>
          <w:sz w:val="25"/>
          <w:szCs w:val="25"/>
        </w:rPr>
        <w:t xml:space="preserve"> in accordance with this Order.  Mr. Kermode is not associated with either party and has not been assigned to assist the </w:t>
      </w:r>
      <w:r w:rsidR="0097359E" w:rsidRPr="0020355B">
        <w:rPr>
          <w:rFonts w:ascii="Times New Roman" w:hAnsi="Times New Roman"/>
          <w:sz w:val="25"/>
          <w:szCs w:val="25"/>
        </w:rPr>
        <w:t>ALJ</w:t>
      </w:r>
      <w:r w:rsidR="00CF4806" w:rsidRPr="0020355B">
        <w:rPr>
          <w:rFonts w:ascii="Times New Roman" w:hAnsi="Times New Roman"/>
          <w:sz w:val="25"/>
          <w:szCs w:val="25"/>
        </w:rPr>
        <w:t xml:space="preserve"> in drafting the ini</w:t>
      </w:r>
      <w:r w:rsidR="0097359E" w:rsidRPr="0020355B">
        <w:rPr>
          <w:rFonts w:ascii="Times New Roman" w:hAnsi="Times New Roman"/>
          <w:sz w:val="25"/>
          <w:szCs w:val="25"/>
        </w:rPr>
        <w:t xml:space="preserve">tial order in this proceeding.  The discovery conference will not be recorded nor will </w:t>
      </w:r>
      <w:r w:rsidR="00CF4806" w:rsidRPr="0020355B">
        <w:rPr>
          <w:rFonts w:ascii="Times New Roman" w:hAnsi="Times New Roman"/>
          <w:sz w:val="25"/>
          <w:szCs w:val="25"/>
        </w:rPr>
        <w:t xml:space="preserve">statements made by the parties at the conference </w:t>
      </w:r>
      <w:r w:rsidR="0097359E" w:rsidRPr="0020355B">
        <w:rPr>
          <w:rFonts w:ascii="Times New Roman" w:hAnsi="Times New Roman"/>
          <w:sz w:val="25"/>
          <w:szCs w:val="25"/>
        </w:rPr>
        <w:t xml:space="preserve">be </w:t>
      </w:r>
      <w:r w:rsidR="00CF4806" w:rsidRPr="0020355B">
        <w:rPr>
          <w:rFonts w:ascii="Times New Roman" w:hAnsi="Times New Roman"/>
          <w:sz w:val="25"/>
          <w:szCs w:val="25"/>
        </w:rPr>
        <w:t xml:space="preserve">admissible as evidence unless the parties agree otherwise.  </w:t>
      </w:r>
      <w:r w:rsidR="0097359E" w:rsidRPr="0020355B">
        <w:rPr>
          <w:rFonts w:ascii="Times New Roman" w:hAnsi="Times New Roman"/>
          <w:sz w:val="25"/>
          <w:szCs w:val="25"/>
        </w:rPr>
        <w:t>T</w:t>
      </w:r>
      <w:r w:rsidR="008E6D45" w:rsidRPr="0020355B">
        <w:rPr>
          <w:rFonts w:ascii="Times New Roman" w:hAnsi="Times New Roman"/>
          <w:sz w:val="25"/>
          <w:szCs w:val="25"/>
        </w:rPr>
        <w:t>he parties are directed to work with each other</w:t>
      </w:r>
      <w:r w:rsidR="0097359E" w:rsidRPr="0020355B">
        <w:rPr>
          <w:rFonts w:ascii="Times New Roman" w:hAnsi="Times New Roman"/>
          <w:sz w:val="25"/>
          <w:szCs w:val="25"/>
        </w:rPr>
        <w:t>, and Mr. Kermode,</w:t>
      </w:r>
      <w:r w:rsidR="008E6D45" w:rsidRPr="0020355B">
        <w:rPr>
          <w:rFonts w:ascii="Times New Roman" w:hAnsi="Times New Roman"/>
          <w:sz w:val="25"/>
          <w:szCs w:val="25"/>
        </w:rPr>
        <w:t xml:space="preserve"> in good faith </w:t>
      </w:r>
      <w:r w:rsidR="0097359E" w:rsidRPr="0020355B">
        <w:rPr>
          <w:rFonts w:ascii="Times New Roman" w:hAnsi="Times New Roman"/>
          <w:sz w:val="25"/>
          <w:szCs w:val="25"/>
        </w:rPr>
        <w:t>to facilitate the exchange of information at this discovery conference</w:t>
      </w:r>
      <w:r w:rsidR="008E6D45" w:rsidRPr="0020355B">
        <w:rPr>
          <w:rFonts w:ascii="Times New Roman" w:hAnsi="Times New Roman"/>
          <w:sz w:val="25"/>
          <w:szCs w:val="25"/>
        </w:rPr>
        <w:t xml:space="preserve">. </w:t>
      </w:r>
      <w:r w:rsidR="00B142B9" w:rsidRPr="0020355B">
        <w:rPr>
          <w:rFonts w:ascii="Times New Roman" w:hAnsi="Times New Roman"/>
          <w:sz w:val="25"/>
          <w:szCs w:val="25"/>
        </w:rPr>
        <w:t xml:space="preserve"> </w:t>
      </w:r>
      <w:r w:rsidR="0097359E" w:rsidRPr="0020355B">
        <w:rPr>
          <w:rFonts w:ascii="Times New Roman" w:hAnsi="Times New Roman"/>
          <w:sz w:val="25"/>
          <w:szCs w:val="25"/>
        </w:rPr>
        <w:t>It is anticipated that Staff will receive responses to Data Request Nos. 7, 8, and 11, that any other discovery issues will be resolved</w:t>
      </w:r>
      <w:r w:rsidR="0020355B" w:rsidRPr="0020355B">
        <w:rPr>
          <w:rFonts w:ascii="Times New Roman" w:hAnsi="Times New Roman"/>
          <w:sz w:val="25"/>
          <w:szCs w:val="25"/>
        </w:rPr>
        <w:t>, and</w:t>
      </w:r>
      <w:r w:rsidR="0097359E" w:rsidRPr="0020355B">
        <w:rPr>
          <w:rFonts w:ascii="Times New Roman" w:hAnsi="Times New Roman"/>
          <w:sz w:val="25"/>
          <w:szCs w:val="25"/>
        </w:rPr>
        <w:t xml:space="preserve"> that Staff will file its</w:t>
      </w:r>
      <w:r w:rsidR="008E6D45" w:rsidRPr="0020355B">
        <w:rPr>
          <w:rFonts w:ascii="Times New Roman" w:hAnsi="Times New Roman"/>
          <w:sz w:val="25"/>
          <w:szCs w:val="25"/>
        </w:rPr>
        <w:t xml:space="preserve"> response testimony by July 18, 2014, the current deadline.</w:t>
      </w:r>
    </w:p>
    <w:p w14:paraId="1C5E0E61" w14:textId="03D5F365" w:rsidR="00391A3B" w:rsidRDefault="00391A3B" w:rsidP="00C6214E">
      <w:pPr>
        <w:spacing w:line="264" w:lineRule="auto"/>
        <w:rPr>
          <w:rFonts w:ascii="Times New Roman" w:hAnsi="Times New Roman"/>
          <w:sz w:val="25"/>
          <w:szCs w:val="25"/>
        </w:rPr>
      </w:pPr>
    </w:p>
    <w:p w14:paraId="7C2F6444" w14:textId="34EDA84B" w:rsidR="000D35DA" w:rsidRPr="000D35DA" w:rsidRDefault="000D35DA" w:rsidP="00C6214E">
      <w:pPr>
        <w:spacing w:line="264" w:lineRule="auto"/>
        <w:jc w:val="center"/>
        <w:rPr>
          <w:rFonts w:ascii="Times New Roman" w:hAnsi="Times New Roman"/>
          <w:b/>
          <w:sz w:val="25"/>
          <w:szCs w:val="25"/>
          <w:u w:val="single"/>
        </w:rPr>
      </w:pPr>
      <w:r w:rsidRPr="000D35DA">
        <w:rPr>
          <w:rFonts w:ascii="Times New Roman" w:hAnsi="Times New Roman"/>
          <w:b/>
          <w:sz w:val="25"/>
          <w:szCs w:val="25"/>
          <w:u w:val="single"/>
        </w:rPr>
        <w:t>ORDER</w:t>
      </w:r>
    </w:p>
    <w:p w14:paraId="412672EC" w14:textId="77777777" w:rsidR="000D35DA" w:rsidRDefault="000D35DA" w:rsidP="00C6214E">
      <w:pPr>
        <w:spacing w:line="264" w:lineRule="auto"/>
        <w:rPr>
          <w:rFonts w:ascii="Times New Roman" w:hAnsi="Times New Roman"/>
          <w:sz w:val="25"/>
          <w:szCs w:val="25"/>
        </w:rPr>
      </w:pPr>
    </w:p>
    <w:p w14:paraId="7B13A910" w14:textId="77777777" w:rsidR="000D35DA" w:rsidRPr="00951A2B" w:rsidRDefault="000D35DA" w:rsidP="00C6214E">
      <w:pPr>
        <w:spacing w:line="264" w:lineRule="auto"/>
        <w:rPr>
          <w:rFonts w:ascii="Times New Roman" w:hAnsi="Times New Roman"/>
          <w:b/>
          <w:sz w:val="25"/>
          <w:szCs w:val="25"/>
        </w:rPr>
      </w:pPr>
      <w:r w:rsidRPr="00951A2B">
        <w:rPr>
          <w:rFonts w:ascii="Times New Roman" w:hAnsi="Times New Roman"/>
          <w:b/>
          <w:sz w:val="25"/>
          <w:szCs w:val="25"/>
        </w:rPr>
        <w:t>THE COMMISSION ORDERS THAT:</w:t>
      </w:r>
    </w:p>
    <w:p w14:paraId="3C49C924" w14:textId="77777777" w:rsidR="000D35DA" w:rsidRDefault="000D35DA" w:rsidP="00C6214E">
      <w:pPr>
        <w:spacing w:line="264" w:lineRule="auto"/>
        <w:rPr>
          <w:rFonts w:ascii="Times New Roman" w:hAnsi="Times New Roman"/>
          <w:sz w:val="25"/>
          <w:szCs w:val="25"/>
        </w:rPr>
      </w:pPr>
    </w:p>
    <w:p w14:paraId="75B64D5B" w14:textId="2AD5CB73" w:rsidR="00B457F3" w:rsidRPr="0043005E" w:rsidRDefault="0043005E" w:rsidP="00C6214E">
      <w:pPr>
        <w:numPr>
          <w:ilvl w:val="0"/>
          <w:numId w:val="1"/>
        </w:numPr>
        <w:spacing w:line="264" w:lineRule="auto"/>
        <w:ind w:left="720" w:hanging="1440"/>
        <w:rPr>
          <w:rFonts w:ascii="Times New Roman" w:hAnsi="Times New Roman"/>
          <w:b/>
          <w:bCs/>
          <w:sz w:val="25"/>
          <w:szCs w:val="25"/>
        </w:rPr>
      </w:pPr>
      <w:r>
        <w:rPr>
          <w:rFonts w:ascii="Times New Roman" w:hAnsi="Times New Roman"/>
          <w:bCs/>
          <w:sz w:val="25"/>
          <w:szCs w:val="25"/>
        </w:rPr>
        <w:t>(1)</w:t>
      </w:r>
      <w:r>
        <w:rPr>
          <w:rFonts w:ascii="Times New Roman" w:hAnsi="Times New Roman"/>
          <w:bCs/>
          <w:sz w:val="25"/>
          <w:szCs w:val="25"/>
        </w:rPr>
        <w:tab/>
      </w:r>
      <w:r w:rsidR="00670470">
        <w:rPr>
          <w:rFonts w:ascii="Times New Roman" w:hAnsi="Times New Roman"/>
          <w:bCs/>
          <w:sz w:val="25"/>
          <w:szCs w:val="25"/>
        </w:rPr>
        <w:t>The</w:t>
      </w:r>
      <w:r w:rsidR="00951A2B">
        <w:rPr>
          <w:rFonts w:ascii="Times New Roman" w:hAnsi="Times New Roman"/>
          <w:bCs/>
          <w:sz w:val="25"/>
          <w:szCs w:val="25"/>
        </w:rPr>
        <w:t xml:space="preserve"> </w:t>
      </w:r>
      <w:r w:rsidR="00AC4B10">
        <w:rPr>
          <w:rFonts w:ascii="Times New Roman" w:hAnsi="Times New Roman"/>
          <w:bCs/>
          <w:sz w:val="25"/>
          <w:szCs w:val="25"/>
        </w:rPr>
        <w:t>Motion to Clarify the Scope of WAC 480-07-520(4) and Compel Discovery</w:t>
      </w:r>
      <w:r w:rsidR="00951A2B">
        <w:rPr>
          <w:rFonts w:ascii="Times New Roman" w:hAnsi="Times New Roman"/>
          <w:bCs/>
          <w:sz w:val="25"/>
          <w:szCs w:val="25"/>
        </w:rPr>
        <w:t>, filed by Staff, is granted in part and denied in part, in accordance with paragraph</w:t>
      </w:r>
      <w:r w:rsidR="009C3A0E">
        <w:rPr>
          <w:rFonts w:ascii="Times New Roman" w:hAnsi="Times New Roman"/>
          <w:bCs/>
          <w:sz w:val="25"/>
          <w:szCs w:val="25"/>
        </w:rPr>
        <w:t>s</w:t>
      </w:r>
      <w:r w:rsidR="00951A2B">
        <w:rPr>
          <w:rFonts w:ascii="Times New Roman" w:hAnsi="Times New Roman"/>
          <w:bCs/>
          <w:sz w:val="25"/>
          <w:szCs w:val="25"/>
        </w:rPr>
        <w:t xml:space="preserve"> </w:t>
      </w:r>
      <w:r w:rsidR="00AC4B10">
        <w:rPr>
          <w:rFonts w:ascii="Times New Roman" w:hAnsi="Times New Roman"/>
          <w:bCs/>
          <w:sz w:val="25"/>
          <w:szCs w:val="25"/>
        </w:rPr>
        <w:t>19-21,</w:t>
      </w:r>
      <w:r w:rsidR="00951A2B">
        <w:rPr>
          <w:rFonts w:ascii="Times New Roman" w:hAnsi="Times New Roman"/>
          <w:bCs/>
          <w:sz w:val="25"/>
          <w:szCs w:val="25"/>
        </w:rPr>
        <w:t xml:space="preserve"> above</w:t>
      </w:r>
      <w:r w:rsidR="00670470">
        <w:rPr>
          <w:rFonts w:ascii="Times New Roman" w:hAnsi="Times New Roman"/>
          <w:bCs/>
          <w:sz w:val="25"/>
          <w:szCs w:val="25"/>
        </w:rPr>
        <w:t>.</w:t>
      </w:r>
    </w:p>
    <w:p w14:paraId="181B87C5" w14:textId="77777777" w:rsidR="0043005E" w:rsidRDefault="0043005E" w:rsidP="00C6214E">
      <w:pPr>
        <w:spacing w:line="264" w:lineRule="auto"/>
        <w:rPr>
          <w:rFonts w:ascii="Times New Roman" w:hAnsi="Times New Roman"/>
          <w:bCs/>
          <w:sz w:val="25"/>
          <w:szCs w:val="25"/>
        </w:rPr>
      </w:pPr>
    </w:p>
    <w:p w14:paraId="73345024" w14:textId="334DC74C" w:rsidR="0043005E" w:rsidRDefault="0043005E" w:rsidP="00C6214E">
      <w:pPr>
        <w:numPr>
          <w:ilvl w:val="0"/>
          <w:numId w:val="1"/>
        </w:numPr>
        <w:spacing w:line="264" w:lineRule="auto"/>
        <w:ind w:left="720" w:hanging="1440"/>
        <w:rPr>
          <w:rFonts w:ascii="Times New Roman" w:hAnsi="Times New Roman"/>
          <w:bCs/>
          <w:sz w:val="25"/>
          <w:szCs w:val="25"/>
        </w:rPr>
      </w:pPr>
      <w:r w:rsidRPr="0043005E">
        <w:rPr>
          <w:rFonts w:ascii="Times New Roman" w:hAnsi="Times New Roman"/>
          <w:bCs/>
          <w:sz w:val="25"/>
          <w:szCs w:val="25"/>
        </w:rPr>
        <w:lastRenderedPageBreak/>
        <w:t>(2)</w:t>
      </w:r>
      <w:r w:rsidRPr="0043005E">
        <w:rPr>
          <w:rFonts w:ascii="Times New Roman" w:hAnsi="Times New Roman"/>
          <w:bCs/>
          <w:sz w:val="25"/>
          <w:szCs w:val="25"/>
        </w:rPr>
        <w:tab/>
      </w:r>
      <w:r w:rsidR="00951A2B">
        <w:rPr>
          <w:rFonts w:ascii="Times New Roman" w:hAnsi="Times New Roman"/>
          <w:bCs/>
          <w:sz w:val="25"/>
          <w:szCs w:val="25"/>
        </w:rPr>
        <w:t xml:space="preserve">The </w:t>
      </w:r>
      <w:r w:rsidR="00AC4B10">
        <w:rPr>
          <w:rFonts w:ascii="Times New Roman" w:hAnsi="Times New Roman"/>
          <w:bCs/>
          <w:sz w:val="25"/>
          <w:szCs w:val="25"/>
        </w:rPr>
        <w:t>Motion for Appointment of a Discovery Master and/or, Alternatively, Scheduling of a Discovery Conference, filed by Waste Control, Inc., is granted in part and denied in part, in accordance with paragraphs 22-24, above</w:t>
      </w:r>
      <w:r w:rsidRPr="0043005E">
        <w:rPr>
          <w:rFonts w:ascii="Times New Roman" w:hAnsi="Times New Roman"/>
          <w:bCs/>
          <w:sz w:val="25"/>
          <w:szCs w:val="25"/>
        </w:rPr>
        <w:t>.</w:t>
      </w:r>
    </w:p>
    <w:p w14:paraId="09CD022B" w14:textId="77777777" w:rsidR="00C6214E" w:rsidRDefault="00C6214E" w:rsidP="00C6214E">
      <w:pPr>
        <w:spacing w:line="264" w:lineRule="auto"/>
        <w:rPr>
          <w:rFonts w:ascii="Times New Roman" w:hAnsi="Times New Roman"/>
          <w:bCs/>
          <w:sz w:val="25"/>
          <w:szCs w:val="25"/>
        </w:rPr>
      </w:pPr>
    </w:p>
    <w:p w14:paraId="66290F72" w14:textId="70AE2B0E" w:rsidR="0043005E" w:rsidRPr="0043005E" w:rsidRDefault="0043005E" w:rsidP="00C6214E">
      <w:pPr>
        <w:numPr>
          <w:ilvl w:val="0"/>
          <w:numId w:val="1"/>
        </w:numPr>
        <w:spacing w:line="264" w:lineRule="auto"/>
        <w:ind w:left="720" w:hanging="1440"/>
        <w:rPr>
          <w:rFonts w:ascii="Times New Roman" w:hAnsi="Times New Roman"/>
          <w:bCs/>
          <w:sz w:val="25"/>
          <w:szCs w:val="25"/>
        </w:rPr>
      </w:pPr>
      <w:r>
        <w:rPr>
          <w:rFonts w:ascii="Times New Roman" w:hAnsi="Times New Roman"/>
          <w:bCs/>
          <w:sz w:val="25"/>
          <w:szCs w:val="25"/>
        </w:rPr>
        <w:t>(3)</w:t>
      </w:r>
      <w:r>
        <w:rPr>
          <w:rFonts w:ascii="Times New Roman" w:hAnsi="Times New Roman"/>
          <w:bCs/>
          <w:sz w:val="25"/>
          <w:szCs w:val="25"/>
        </w:rPr>
        <w:tab/>
      </w:r>
      <w:r w:rsidR="0020355B">
        <w:rPr>
          <w:rFonts w:ascii="Times New Roman" w:hAnsi="Times New Roman"/>
          <w:bCs/>
          <w:sz w:val="25"/>
          <w:szCs w:val="25"/>
        </w:rPr>
        <w:t xml:space="preserve">Staff and Waste Control, Inc., along with their respective accounting experts, are directed to attend a discovery conference </w:t>
      </w:r>
      <w:r w:rsidR="0020355B" w:rsidRPr="00772E19">
        <w:rPr>
          <w:rFonts w:ascii="Times New Roman" w:hAnsi="Times New Roman"/>
          <w:b/>
          <w:sz w:val="25"/>
          <w:szCs w:val="25"/>
        </w:rPr>
        <w:t xml:space="preserve">on </w:t>
      </w:r>
      <w:r w:rsidR="0020355B">
        <w:rPr>
          <w:rFonts w:ascii="Times New Roman" w:hAnsi="Times New Roman"/>
          <w:b/>
          <w:sz w:val="25"/>
          <w:szCs w:val="25"/>
        </w:rPr>
        <w:t>Friday, July 11, 2014</w:t>
      </w:r>
      <w:r w:rsidR="0020355B" w:rsidRPr="00772E19">
        <w:rPr>
          <w:rFonts w:ascii="Times New Roman" w:hAnsi="Times New Roman"/>
          <w:b/>
          <w:sz w:val="25"/>
          <w:szCs w:val="25"/>
        </w:rPr>
        <w:t xml:space="preserve">, at </w:t>
      </w:r>
      <w:r w:rsidR="0020355B">
        <w:rPr>
          <w:rFonts w:ascii="Times New Roman" w:hAnsi="Times New Roman"/>
          <w:b/>
          <w:sz w:val="25"/>
          <w:szCs w:val="25"/>
        </w:rPr>
        <w:t>9</w:t>
      </w:r>
      <w:r w:rsidR="0020355B" w:rsidRPr="00772E19">
        <w:rPr>
          <w:rFonts w:ascii="Times New Roman" w:hAnsi="Times New Roman"/>
          <w:b/>
          <w:sz w:val="25"/>
          <w:szCs w:val="25"/>
        </w:rPr>
        <w:t xml:space="preserve">:30 </w:t>
      </w:r>
      <w:r w:rsidR="0020355B">
        <w:rPr>
          <w:rFonts w:ascii="Times New Roman" w:hAnsi="Times New Roman"/>
          <w:b/>
          <w:sz w:val="25"/>
          <w:szCs w:val="25"/>
        </w:rPr>
        <w:t>a</w:t>
      </w:r>
      <w:r w:rsidR="0020355B" w:rsidRPr="00772E19">
        <w:rPr>
          <w:rFonts w:ascii="Times New Roman" w:hAnsi="Times New Roman"/>
          <w:b/>
          <w:sz w:val="25"/>
          <w:szCs w:val="25"/>
        </w:rPr>
        <w:t>.m.</w:t>
      </w:r>
      <w:r w:rsidR="0020355B">
        <w:rPr>
          <w:rFonts w:ascii="Times New Roman" w:hAnsi="Times New Roman"/>
          <w:b/>
          <w:sz w:val="25"/>
          <w:szCs w:val="25"/>
        </w:rPr>
        <w:t xml:space="preserve"> </w:t>
      </w:r>
      <w:r w:rsidR="0020355B">
        <w:rPr>
          <w:rFonts w:ascii="Times New Roman" w:hAnsi="Times New Roman"/>
          <w:sz w:val="25"/>
          <w:szCs w:val="25"/>
        </w:rPr>
        <w:t>to effectuate the terms of this Order.</w:t>
      </w:r>
    </w:p>
    <w:p w14:paraId="6DC28FBF" w14:textId="77777777" w:rsidR="00244353" w:rsidRPr="00CB7F45" w:rsidRDefault="00244353" w:rsidP="00C6214E">
      <w:pPr>
        <w:pStyle w:val="Header"/>
        <w:tabs>
          <w:tab w:val="clear" w:pos="4320"/>
          <w:tab w:val="clear" w:pos="8640"/>
        </w:tabs>
        <w:spacing w:line="264" w:lineRule="auto"/>
        <w:rPr>
          <w:rFonts w:ascii="Times New Roman" w:hAnsi="Times New Roman"/>
          <w:sz w:val="25"/>
          <w:szCs w:val="25"/>
        </w:rPr>
      </w:pPr>
    </w:p>
    <w:p w14:paraId="5C117D9C" w14:textId="116477F6" w:rsidR="00244353" w:rsidRPr="00CB7F45" w:rsidRDefault="00244353" w:rsidP="00C6214E">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20355B">
        <w:rPr>
          <w:rFonts w:ascii="Times New Roman" w:hAnsi="Times New Roman"/>
          <w:sz w:val="25"/>
          <w:szCs w:val="25"/>
        </w:rPr>
        <w:t xml:space="preserve">July </w:t>
      </w:r>
      <w:r w:rsidR="00D74E30">
        <w:rPr>
          <w:rFonts w:ascii="Times New Roman" w:hAnsi="Times New Roman"/>
          <w:sz w:val="25"/>
          <w:szCs w:val="25"/>
        </w:rPr>
        <w:t>2</w:t>
      </w:r>
      <w:r w:rsidR="005277F9">
        <w:rPr>
          <w:rFonts w:ascii="Times New Roman" w:hAnsi="Times New Roman"/>
          <w:sz w:val="25"/>
          <w:szCs w:val="25"/>
        </w:rPr>
        <w:t>, 201</w:t>
      </w:r>
      <w:r w:rsidR="00D0009F">
        <w:rPr>
          <w:rFonts w:ascii="Times New Roman" w:hAnsi="Times New Roman"/>
          <w:sz w:val="25"/>
          <w:szCs w:val="25"/>
        </w:rPr>
        <w:t>4</w:t>
      </w:r>
      <w:r w:rsidRPr="00CB7F45">
        <w:rPr>
          <w:rFonts w:ascii="Times New Roman" w:hAnsi="Times New Roman"/>
          <w:sz w:val="25"/>
          <w:szCs w:val="25"/>
        </w:rPr>
        <w:t>.</w:t>
      </w:r>
    </w:p>
    <w:p w14:paraId="260CA0D1" w14:textId="77777777" w:rsidR="00244353" w:rsidRPr="00CB7F45" w:rsidRDefault="00244353" w:rsidP="00C6214E">
      <w:pPr>
        <w:spacing w:line="264" w:lineRule="auto"/>
        <w:rPr>
          <w:rFonts w:ascii="Times New Roman" w:hAnsi="Times New Roman"/>
          <w:sz w:val="25"/>
          <w:szCs w:val="25"/>
        </w:rPr>
      </w:pPr>
    </w:p>
    <w:p w14:paraId="4D822EEB" w14:textId="77777777" w:rsidR="00244353" w:rsidRPr="00CB7F45" w:rsidRDefault="00244353" w:rsidP="00C6214E">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14:paraId="164EC1AB" w14:textId="77777777" w:rsidR="00244353" w:rsidRPr="00CB7F45" w:rsidRDefault="00244353" w:rsidP="00C6214E">
      <w:pPr>
        <w:spacing w:line="264" w:lineRule="auto"/>
        <w:rPr>
          <w:rFonts w:ascii="Times New Roman" w:hAnsi="Times New Roman"/>
          <w:sz w:val="25"/>
          <w:szCs w:val="25"/>
        </w:rPr>
      </w:pPr>
    </w:p>
    <w:p w14:paraId="66687DDB" w14:textId="77777777" w:rsidR="00244353" w:rsidRDefault="00244353" w:rsidP="00C6214E">
      <w:pPr>
        <w:spacing w:line="264" w:lineRule="auto"/>
        <w:rPr>
          <w:rFonts w:ascii="Times New Roman" w:hAnsi="Times New Roman"/>
          <w:sz w:val="25"/>
          <w:szCs w:val="25"/>
        </w:rPr>
      </w:pPr>
    </w:p>
    <w:p w14:paraId="0056AC7B" w14:textId="77777777" w:rsidR="00351543" w:rsidRDefault="00351543" w:rsidP="00C6214E">
      <w:pPr>
        <w:spacing w:line="264" w:lineRule="auto"/>
        <w:rPr>
          <w:rFonts w:ascii="Times New Roman" w:hAnsi="Times New Roman"/>
          <w:sz w:val="25"/>
          <w:szCs w:val="25"/>
        </w:rPr>
      </w:pPr>
    </w:p>
    <w:p w14:paraId="51B1385D" w14:textId="77777777" w:rsidR="00E051E8" w:rsidRPr="00CB7F45" w:rsidRDefault="00E051E8" w:rsidP="00C6214E">
      <w:pPr>
        <w:spacing w:line="264" w:lineRule="auto"/>
        <w:rPr>
          <w:rFonts w:ascii="Times New Roman" w:hAnsi="Times New Roman"/>
          <w:sz w:val="25"/>
          <w:szCs w:val="25"/>
        </w:rPr>
      </w:pPr>
    </w:p>
    <w:p w14:paraId="300D6A7B" w14:textId="29C1BBF5" w:rsidR="00244353" w:rsidRPr="00CB7F45" w:rsidRDefault="00244353" w:rsidP="00C6214E">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794A6C">
        <w:rPr>
          <w:rFonts w:ascii="Times New Roman" w:hAnsi="Times New Roman"/>
          <w:sz w:val="25"/>
          <w:szCs w:val="25"/>
        </w:rPr>
        <w:t>MARGUERITE E. FRIEDLANDER</w:t>
      </w:r>
    </w:p>
    <w:p w14:paraId="1AD4D988" w14:textId="7D557C42" w:rsidR="00244353" w:rsidRPr="000D35DA" w:rsidRDefault="00244353" w:rsidP="00C6214E">
      <w:pPr>
        <w:spacing w:line="264" w:lineRule="auto"/>
        <w:rPr>
          <w:rFonts w:ascii="Times New Roman" w:eastAsia="Calibri"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4378AA">
        <w:rPr>
          <w:rFonts w:ascii="Times New Roman" w:hAnsi="Times New Roman"/>
          <w:sz w:val="25"/>
          <w:szCs w:val="25"/>
        </w:rPr>
        <w:t>Administrative Law Judge</w:t>
      </w:r>
    </w:p>
    <w:sectPr w:rsidR="00244353" w:rsidRPr="000D35DA" w:rsidSect="005A752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142F9" w14:textId="77777777" w:rsidR="00DD1B58" w:rsidRDefault="00DD1B58">
      <w:r>
        <w:separator/>
      </w:r>
    </w:p>
  </w:endnote>
  <w:endnote w:type="continuationSeparator" w:id="0">
    <w:p w14:paraId="593B94DD" w14:textId="77777777" w:rsidR="00DD1B58" w:rsidRDefault="00DD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1E8E" w14:textId="77777777" w:rsidR="00BF33AF" w:rsidRDefault="00BF3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4867" w14:textId="77777777" w:rsidR="00BF33AF" w:rsidRDefault="00BF33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4D13B" w14:textId="77777777" w:rsidR="00BF33AF" w:rsidRDefault="00BF3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9EB4B" w14:textId="77777777" w:rsidR="00DD1B58" w:rsidRDefault="00DD1B58">
      <w:r>
        <w:separator/>
      </w:r>
    </w:p>
  </w:footnote>
  <w:footnote w:type="continuationSeparator" w:id="0">
    <w:p w14:paraId="13848BC3" w14:textId="77777777" w:rsidR="00DD1B58" w:rsidRDefault="00DD1B58">
      <w:r>
        <w:continuationSeparator/>
      </w:r>
    </w:p>
  </w:footnote>
  <w:footnote w:id="1">
    <w:p w14:paraId="1C6025CD" w14:textId="77777777" w:rsidR="002A0CC3" w:rsidRDefault="00B850EA" w:rsidP="005A7527">
      <w:pPr>
        <w:pStyle w:val="PlainText"/>
        <w:spacing w:after="120"/>
        <w:rPr>
          <w:rFonts w:ascii="Times New Roman" w:hAnsi="Times New Roman"/>
          <w:sz w:val="22"/>
        </w:rPr>
      </w:pPr>
      <w:r w:rsidRPr="009535BF">
        <w:rPr>
          <w:rStyle w:val="FootnoteReference"/>
          <w:rFonts w:ascii="Times New Roman" w:hAnsi="Times New Roman"/>
          <w:sz w:val="22"/>
        </w:rPr>
        <w:footnoteRef/>
      </w:r>
      <w:r w:rsidRPr="009535BF">
        <w:rPr>
          <w:rFonts w:ascii="Times New Roman" w:hAnsi="Times New Roman"/>
          <w:sz w:val="22"/>
        </w:rPr>
        <w:t xml:space="preserve"> </w:t>
      </w:r>
      <w:r w:rsidR="002A0CC3">
        <w:rPr>
          <w:rFonts w:ascii="Times New Roman" w:hAnsi="Times New Roman"/>
          <w:sz w:val="22"/>
        </w:rPr>
        <w:t>Per the transcript:</w:t>
      </w:r>
    </w:p>
    <w:p w14:paraId="5AD82B3E" w14:textId="0F365BAF" w:rsidR="00B850EA" w:rsidRPr="009373BA" w:rsidRDefault="00FC7FCA" w:rsidP="00C6214E">
      <w:pPr>
        <w:pStyle w:val="PlainText"/>
        <w:spacing w:after="120"/>
        <w:rPr>
          <w:rFonts w:ascii="Times New Roman" w:hAnsi="Times New Roman"/>
          <w:sz w:val="22"/>
          <w:szCs w:val="22"/>
        </w:rPr>
      </w:pPr>
      <w:r>
        <w:rPr>
          <w:rFonts w:ascii="Times New Roman" w:hAnsi="Times New Roman"/>
          <w:sz w:val="22"/>
        </w:rPr>
        <w:t>ALJ</w:t>
      </w:r>
      <w:r w:rsidR="00B850EA">
        <w:rPr>
          <w:rFonts w:ascii="Times New Roman" w:hAnsi="Times New Roman"/>
          <w:sz w:val="22"/>
        </w:rPr>
        <w:t xml:space="preserve">: Well, and I think that it’s sounding more and more to me that the experts should really sit down for however long it takes and figure out what is – what are these discrepancies, why are they there, and then you’ll be able to do more in the way of discovery and such.  </w:t>
      </w:r>
      <w:r w:rsidR="002A0CC3">
        <w:rPr>
          <w:rFonts w:ascii="Times New Roman" w:hAnsi="Times New Roman"/>
          <w:sz w:val="22"/>
        </w:rPr>
        <w:t>F</w:t>
      </w:r>
      <w:r w:rsidR="00B850EA">
        <w:rPr>
          <w:rFonts w:ascii="Times New Roman" w:hAnsi="Times New Roman"/>
          <w:sz w:val="22"/>
        </w:rPr>
        <w:t>riedlander, TR 25:6-10.</w:t>
      </w:r>
    </w:p>
  </w:footnote>
  <w:footnote w:id="2">
    <w:p w14:paraId="06CD3883" w14:textId="77777777" w:rsidR="00B850EA" w:rsidRPr="003C7362" w:rsidRDefault="00B850EA" w:rsidP="00391A3B">
      <w:pPr>
        <w:pStyle w:val="FootnoteText"/>
        <w:spacing w:after="120"/>
        <w:rPr>
          <w:rFonts w:ascii="Times New Roman" w:hAnsi="Times New Roman"/>
          <w:sz w:val="22"/>
          <w:szCs w:val="22"/>
        </w:rPr>
      </w:pPr>
      <w:r w:rsidRPr="003C7362">
        <w:rPr>
          <w:rStyle w:val="FootnoteReference"/>
          <w:rFonts w:ascii="Times New Roman" w:hAnsi="Times New Roman"/>
          <w:sz w:val="22"/>
          <w:szCs w:val="22"/>
        </w:rPr>
        <w:footnoteRef/>
      </w:r>
      <w:r w:rsidRPr="003C7362">
        <w:rPr>
          <w:rFonts w:ascii="Times New Roman" w:hAnsi="Times New Roman"/>
          <w:sz w:val="22"/>
          <w:szCs w:val="22"/>
        </w:rPr>
        <w:t xml:space="preserve"> In a </w:t>
      </w:r>
      <w:r w:rsidRPr="003C7362">
        <w:rPr>
          <w:rFonts w:ascii="Times New Roman" w:hAnsi="Times New Roman"/>
          <w:iCs/>
          <w:sz w:val="22"/>
          <w:szCs w:val="22"/>
        </w:rPr>
        <w:t xml:space="preserve">formal proceeding, such as this, the Commission’s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3C7362">
        <w:rPr>
          <w:rFonts w:ascii="Times New Roman" w:hAnsi="Times New Roman"/>
          <w:i/>
          <w:iCs/>
          <w:sz w:val="22"/>
          <w:szCs w:val="22"/>
        </w:rPr>
        <w:t>See</w:t>
      </w:r>
      <w:r w:rsidRPr="003C7362">
        <w:rPr>
          <w:rFonts w:ascii="Times New Roman" w:hAnsi="Times New Roman"/>
          <w:iCs/>
          <w:sz w:val="22"/>
          <w:szCs w:val="22"/>
        </w:rPr>
        <w:t xml:space="preserve"> RCW 34.05.455.</w:t>
      </w:r>
    </w:p>
  </w:footnote>
  <w:footnote w:id="3">
    <w:p w14:paraId="4CEB42A6" w14:textId="3367F59B" w:rsidR="004E7B57" w:rsidRPr="009373BA" w:rsidRDefault="004E7B57" w:rsidP="00391A3B">
      <w:pPr>
        <w:pStyle w:val="FootnoteText"/>
        <w:spacing w:after="120"/>
        <w:rPr>
          <w:rFonts w:ascii="Times New Roman" w:hAnsi="Times New Roman"/>
          <w:sz w:val="22"/>
          <w:szCs w:val="22"/>
        </w:rPr>
      </w:pPr>
      <w:r w:rsidRPr="004E7B57">
        <w:rPr>
          <w:rStyle w:val="FootnoteReference"/>
          <w:rFonts w:ascii="Times New Roman" w:hAnsi="Times New Roman"/>
          <w:sz w:val="22"/>
        </w:rPr>
        <w:footnoteRef/>
      </w:r>
      <w:r w:rsidRPr="004E7B57">
        <w:rPr>
          <w:rFonts w:ascii="Times New Roman" w:hAnsi="Times New Roman"/>
          <w:sz w:val="22"/>
        </w:rPr>
        <w:t xml:space="preserve"> </w:t>
      </w:r>
      <w:r w:rsidRPr="004E7B57">
        <w:rPr>
          <w:rFonts w:ascii="Times New Roman" w:hAnsi="Times New Roman"/>
          <w:sz w:val="22"/>
          <w:szCs w:val="25"/>
        </w:rPr>
        <w:t>WRRA echoes many of WCI’s comments in support of the Commission appointment of a discovery master and/or convening a discovery conference.</w:t>
      </w:r>
    </w:p>
  </w:footnote>
  <w:footnote w:id="4">
    <w:p w14:paraId="08456422" w14:textId="36461B84" w:rsidR="004E7B57" w:rsidRPr="009373BA" w:rsidRDefault="004E7B57" w:rsidP="00391A3B">
      <w:pPr>
        <w:pStyle w:val="FootnoteText"/>
        <w:spacing w:after="120"/>
        <w:rPr>
          <w:rFonts w:ascii="Times New Roman" w:hAnsi="Times New Roman"/>
          <w:sz w:val="22"/>
          <w:szCs w:val="22"/>
        </w:rPr>
      </w:pPr>
      <w:r w:rsidRPr="0062460D">
        <w:rPr>
          <w:rStyle w:val="FootnoteReference"/>
          <w:rFonts w:ascii="Times New Roman" w:hAnsi="Times New Roman"/>
          <w:sz w:val="22"/>
        </w:rPr>
        <w:footnoteRef/>
      </w:r>
      <w:r w:rsidRPr="0062460D">
        <w:rPr>
          <w:rFonts w:ascii="Times New Roman" w:hAnsi="Times New Roman"/>
          <w:sz w:val="22"/>
        </w:rPr>
        <w:t xml:space="preserve"> </w:t>
      </w:r>
      <w:r>
        <w:rPr>
          <w:rFonts w:ascii="Times New Roman" w:hAnsi="Times New Roman"/>
          <w:sz w:val="22"/>
        </w:rPr>
        <w:t>The Expedited Motion for Extension of Time in which Staff requested modification of the procedural schedule by ten weeks due to the discovery dispute was granted in part and denied in part in Order 04.  The procedural deadlines have been extended by four weeks, and this Order will not address that portion of Staff’s Discovery Motion.</w:t>
      </w:r>
    </w:p>
  </w:footnote>
  <w:footnote w:id="5">
    <w:p w14:paraId="0DCD6274" w14:textId="3A9A797C" w:rsidR="00B850EA" w:rsidRPr="009373BA" w:rsidRDefault="00B850EA" w:rsidP="00391A3B">
      <w:pPr>
        <w:pStyle w:val="FootnoteText"/>
        <w:spacing w:after="120"/>
        <w:rPr>
          <w:rFonts w:ascii="Times New Roman" w:hAnsi="Times New Roman"/>
          <w:sz w:val="22"/>
          <w:szCs w:val="22"/>
        </w:rPr>
      </w:pPr>
      <w:r w:rsidRPr="006128A2">
        <w:rPr>
          <w:rStyle w:val="FootnoteReference"/>
          <w:rFonts w:ascii="Times New Roman" w:hAnsi="Times New Roman"/>
          <w:sz w:val="22"/>
        </w:rPr>
        <w:footnoteRef/>
      </w:r>
      <w:r w:rsidRPr="006128A2">
        <w:rPr>
          <w:rFonts w:ascii="Times New Roman" w:hAnsi="Times New Roman"/>
          <w:sz w:val="22"/>
        </w:rPr>
        <w:t xml:space="preserve"> </w:t>
      </w:r>
      <w:r>
        <w:rPr>
          <w:rFonts w:ascii="Times New Roman" w:hAnsi="Times New Roman"/>
          <w:sz w:val="22"/>
        </w:rPr>
        <w:t xml:space="preserve">WCI’s Discovery Motion, ¶ 3.  WCI explicitly rejects the idea of utilizing the assigned </w:t>
      </w:r>
      <w:r w:rsidR="00FC7FCA">
        <w:rPr>
          <w:rFonts w:ascii="Times New Roman" w:hAnsi="Times New Roman"/>
          <w:sz w:val="22"/>
        </w:rPr>
        <w:t>ALJ</w:t>
      </w:r>
      <w:r>
        <w:rPr>
          <w:rFonts w:ascii="Times New Roman" w:hAnsi="Times New Roman"/>
          <w:sz w:val="22"/>
        </w:rPr>
        <w:t xml:space="preserve"> for this purpose, stating that “a third-party discovery master, as is the practice under the Civil Rules and as is anticipated by WAC 480-07-425(1), is likely the more appropriate facilitator/adjudicator </w:t>
      </w:r>
      <w:r w:rsidRPr="009373BA">
        <w:rPr>
          <w:rFonts w:ascii="Times New Roman" w:hAnsi="Times New Roman"/>
          <w:sz w:val="22"/>
          <w:szCs w:val="22"/>
        </w:rPr>
        <w:t xml:space="preserve">of standard and ongoing discovery rule interpretation and application issues in this proceeding.”  </w:t>
      </w:r>
      <w:r w:rsidRPr="009373BA">
        <w:rPr>
          <w:rFonts w:ascii="Times New Roman" w:hAnsi="Times New Roman"/>
          <w:i/>
          <w:sz w:val="22"/>
          <w:szCs w:val="22"/>
        </w:rPr>
        <w:t>Id</w:t>
      </w:r>
      <w:r w:rsidRPr="009373BA">
        <w:rPr>
          <w:rFonts w:ascii="Times New Roman" w:hAnsi="Times New Roman"/>
          <w:sz w:val="22"/>
          <w:szCs w:val="22"/>
        </w:rPr>
        <w:t xml:space="preserve">., n 2. </w:t>
      </w:r>
    </w:p>
  </w:footnote>
  <w:footnote w:id="6">
    <w:p w14:paraId="1D800FF1" w14:textId="53335E6A"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10.</w:t>
      </w:r>
    </w:p>
  </w:footnote>
  <w:footnote w:id="7">
    <w:p w14:paraId="31FDF18B" w14:textId="74B9F693"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4.</w:t>
      </w:r>
    </w:p>
  </w:footnote>
  <w:footnote w:id="8">
    <w:p w14:paraId="65909E4D" w14:textId="1D355F17"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w:t>
      </w:r>
    </w:p>
  </w:footnote>
  <w:footnote w:id="9">
    <w:p w14:paraId="79CFE438" w14:textId="238DA83C"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5.</w:t>
      </w:r>
    </w:p>
  </w:footnote>
  <w:footnote w:id="10">
    <w:p w14:paraId="09C2908A" w14:textId="0C7BC617" w:rsidR="00A13291" w:rsidRPr="009373BA" w:rsidRDefault="00A13291"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28.</w:t>
      </w:r>
    </w:p>
  </w:footnote>
  <w:footnote w:id="11">
    <w:p w14:paraId="2811071B" w14:textId="036B0DFE" w:rsidR="00A13291" w:rsidRPr="009373BA" w:rsidRDefault="00A13291"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(citing implicitly to WAC 480-07-425).</w:t>
      </w:r>
    </w:p>
  </w:footnote>
  <w:footnote w:id="12">
    <w:p w14:paraId="2F8EC77B" w14:textId="3D046E23" w:rsidR="00A13291" w:rsidRPr="009373BA" w:rsidRDefault="00A13291"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29.</w:t>
      </w:r>
    </w:p>
  </w:footnote>
  <w:footnote w:id="13">
    <w:p w14:paraId="741200EB" w14:textId="6E021CA3"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6</w:t>
      </w:r>
    </w:p>
  </w:footnote>
  <w:footnote w:id="14">
    <w:p w14:paraId="155520F1" w14:textId="621196F1" w:rsidR="0039621D" w:rsidRPr="009373BA" w:rsidRDefault="0039621D"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w:t>
      </w:r>
    </w:p>
  </w:footnote>
  <w:footnote w:id="15">
    <w:p w14:paraId="3880C424" w14:textId="57D893CF"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008E5B60" w:rsidRPr="009373BA">
        <w:rPr>
          <w:rFonts w:ascii="Times New Roman" w:hAnsi="Times New Roman"/>
          <w:i/>
          <w:sz w:val="22"/>
          <w:szCs w:val="22"/>
        </w:rPr>
        <w:t>Id</w:t>
      </w:r>
      <w:r w:rsidR="008E5B60" w:rsidRPr="009373BA">
        <w:rPr>
          <w:rFonts w:ascii="Times New Roman" w:hAnsi="Times New Roman"/>
          <w:sz w:val="22"/>
          <w:szCs w:val="22"/>
        </w:rPr>
        <w:t>., n. 4 and WCI’s Response, ¶ 9.</w:t>
      </w:r>
    </w:p>
  </w:footnote>
  <w:footnote w:id="16">
    <w:p w14:paraId="641BE575" w14:textId="2AAB5A7F"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See Attachment 6 to WCI’s Discovery Motion.</w:t>
      </w:r>
    </w:p>
  </w:footnote>
  <w:footnote w:id="17">
    <w:p w14:paraId="16E6ED13" w14:textId="0ABB7C01" w:rsidR="00977470" w:rsidRPr="009373BA" w:rsidRDefault="00977470"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Attachment 5 to WCI’s Discovery Motion.</w:t>
      </w:r>
    </w:p>
  </w:footnote>
  <w:footnote w:id="18">
    <w:p w14:paraId="350F04B3" w14:textId="5590D8E0"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00645425" w:rsidRPr="009373BA">
        <w:rPr>
          <w:rFonts w:ascii="Times New Roman" w:hAnsi="Times New Roman"/>
          <w:sz w:val="22"/>
          <w:szCs w:val="22"/>
        </w:rPr>
        <w:t>Attachment 6 to WCI’s Discovery Motion</w:t>
      </w:r>
      <w:r w:rsidRPr="009373BA">
        <w:rPr>
          <w:rFonts w:ascii="Times New Roman" w:hAnsi="Times New Roman"/>
          <w:sz w:val="22"/>
          <w:szCs w:val="22"/>
        </w:rPr>
        <w:t xml:space="preserve">. </w:t>
      </w:r>
    </w:p>
  </w:footnote>
  <w:footnote w:id="19">
    <w:p w14:paraId="7670009F" w14:textId="62379A97" w:rsidR="004E7B57" w:rsidRPr="009373BA" w:rsidRDefault="00645425"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Attachment 10 to WCI’s Discovery Motion.</w:t>
      </w:r>
    </w:p>
  </w:footnote>
  <w:footnote w:id="20">
    <w:p w14:paraId="41036693" w14:textId="0A328846" w:rsidR="00645425" w:rsidRPr="009373BA" w:rsidRDefault="00645425"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WCI’s Response, ¶ 11.</w:t>
      </w:r>
    </w:p>
  </w:footnote>
  <w:footnote w:id="21">
    <w:p w14:paraId="5B3DDC58" w14:textId="4FA28ABE"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See Attachment 22 to WCI’s Discovery Motion.</w:t>
      </w:r>
    </w:p>
  </w:footnote>
  <w:footnote w:id="22">
    <w:p w14:paraId="70083E68" w14:textId="29B18666" w:rsidR="00AD3000" w:rsidRPr="009373BA" w:rsidRDefault="00AD3000"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WCI’s Response, ¶ 12.</w:t>
      </w:r>
    </w:p>
  </w:footnote>
  <w:footnote w:id="23">
    <w:p w14:paraId="77123C2A" w14:textId="30DCF127"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00AD3000" w:rsidRPr="009373BA">
        <w:rPr>
          <w:rFonts w:ascii="Times New Roman" w:hAnsi="Times New Roman"/>
          <w:i/>
          <w:sz w:val="22"/>
          <w:szCs w:val="22"/>
        </w:rPr>
        <w:t>Id</w:t>
      </w:r>
      <w:r w:rsidR="00AD3000" w:rsidRPr="009373BA">
        <w:rPr>
          <w:rFonts w:ascii="Times New Roman" w:hAnsi="Times New Roman"/>
          <w:sz w:val="22"/>
          <w:szCs w:val="22"/>
        </w:rPr>
        <w:t>.,</w:t>
      </w:r>
      <w:r w:rsidRPr="009373BA">
        <w:rPr>
          <w:rFonts w:ascii="Times New Roman" w:hAnsi="Times New Roman"/>
          <w:sz w:val="22"/>
          <w:szCs w:val="22"/>
        </w:rPr>
        <w:t xml:space="preserve"> (</w:t>
      </w:r>
      <w:r w:rsidR="002A0CC3" w:rsidRPr="009373BA">
        <w:rPr>
          <w:rFonts w:ascii="Times New Roman" w:hAnsi="Times New Roman"/>
          <w:sz w:val="22"/>
          <w:szCs w:val="22"/>
        </w:rPr>
        <w:t>citing</w:t>
      </w:r>
      <w:r w:rsidRPr="009373BA">
        <w:rPr>
          <w:rFonts w:ascii="Times New Roman" w:hAnsi="Times New Roman"/>
          <w:sz w:val="22"/>
          <w:szCs w:val="22"/>
        </w:rPr>
        <w:t xml:space="preserve"> WAC 480-07-140(6</w:t>
      </w:r>
      <w:proofErr w:type="gramStart"/>
      <w:r w:rsidRPr="009373BA">
        <w:rPr>
          <w:rFonts w:ascii="Times New Roman" w:hAnsi="Times New Roman"/>
          <w:sz w:val="22"/>
          <w:szCs w:val="22"/>
        </w:rPr>
        <w:t>)(</w:t>
      </w:r>
      <w:proofErr w:type="gramEnd"/>
      <w:r w:rsidRPr="009373BA">
        <w:rPr>
          <w:rFonts w:ascii="Times New Roman" w:hAnsi="Times New Roman"/>
          <w:sz w:val="22"/>
          <w:szCs w:val="22"/>
        </w:rPr>
        <w:t>b)(</w:t>
      </w:r>
      <w:proofErr w:type="spellStart"/>
      <w:r w:rsidRPr="009373BA">
        <w:rPr>
          <w:rFonts w:ascii="Times New Roman" w:hAnsi="Times New Roman"/>
          <w:sz w:val="22"/>
          <w:szCs w:val="22"/>
        </w:rPr>
        <w:t>i</w:t>
      </w:r>
      <w:proofErr w:type="spellEnd"/>
      <w:r w:rsidRPr="009373BA">
        <w:rPr>
          <w:rFonts w:ascii="Times New Roman" w:hAnsi="Times New Roman"/>
          <w:sz w:val="22"/>
          <w:szCs w:val="22"/>
        </w:rPr>
        <w:t>)(A)).</w:t>
      </w:r>
    </w:p>
  </w:footnote>
  <w:footnote w:id="24">
    <w:p w14:paraId="3EDB72E9" w14:textId="271C2E99" w:rsidR="00977470" w:rsidRPr="009373BA" w:rsidRDefault="00AD3000"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w:t>
      </w:r>
      <w:r w:rsidR="002A0CC3" w:rsidRPr="009373BA">
        <w:rPr>
          <w:rFonts w:ascii="Times New Roman" w:hAnsi="Times New Roman"/>
          <w:sz w:val="22"/>
          <w:szCs w:val="22"/>
        </w:rPr>
        <w:t>, (</w:t>
      </w:r>
      <w:r w:rsidR="002E216D" w:rsidRPr="009373BA">
        <w:rPr>
          <w:rFonts w:ascii="Times New Roman" w:hAnsi="Times New Roman"/>
          <w:sz w:val="22"/>
          <w:szCs w:val="22"/>
        </w:rPr>
        <w:t>ci</w:t>
      </w:r>
      <w:r w:rsidR="002A0CC3" w:rsidRPr="009373BA">
        <w:rPr>
          <w:rFonts w:ascii="Times New Roman" w:hAnsi="Times New Roman"/>
          <w:sz w:val="22"/>
          <w:szCs w:val="22"/>
        </w:rPr>
        <w:t>ting WAC 4</w:t>
      </w:r>
      <w:r w:rsidR="002E216D" w:rsidRPr="009373BA">
        <w:rPr>
          <w:rFonts w:ascii="Times New Roman" w:hAnsi="Times New Roman"/>
          <w:sz w:val="22"/>
          <w:szCs w:val="22"/>
        </w:rPr>
        <w:t>80-07-140(6</w:t>
      </w:r>
      <w:proofErr w:type="gramStart"/>
      <w:r w:rsidR="002E216D" w:rsidRPr="009373BA">
        <w:rPr>
          <w:rFonts w:ascii="Times New Roman" w:hAnsi="Times New Roman"/>
          <w:sz w:val="22"/>
          <w:szCs w:val="22"/>
        </w:rPr>
        <w:t>)(</w:t>
      </w:r>
      <w:proofErr w:type="gramEnd"/>
      <w:r w:rsidR="002E216D" w:rsidRPr="009373BA">
        <w:rPr>
          <w:rFonts w:ascii="Times New Roman" w:hAnsi="Times New Roman"/>
          <w:sz w:val="22"/>
          <w:szCs w:val="22"/>
        </w:rPr>
        <w:t>b)(</w:t>
      </w:r>
      <w:proofErr w:type="spellStart"/>
      <w:r w:rsidR="002E216D" w:rsidRPr="009373BA">
        <w:rPr>
          <w:rFonts w:ascii="Times New Roman" w:hAnsi="Times New Roman"/>
          <w:sz w:val="22"/>
          <w:szCs w:val="22"/>
        </w:rPr>
        <w:t>i</w:t>
      </w:r>
      <w:proofErr w:type="spellEnd"/>
      <w:r w:rsidR="002E216D" w:rsidRPr="009373BA">
        <w:rPr>
          <w:rFonts w:ascii="Times New Roman" w:hAnsi="Times New Roman"/>
          <w:sz w:val="22"/>
          <w:szCs w:val="22"/>
        </w:rPr>
        <w:t>)(B)).</w:t>
      </w:r>
    </w:p>
  </w:footnote>
  <w:footnote w:id="25">
    <w:p w14:paraId="29F2F47E" w14:textId="1DC002B3"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Staff’s Response, ¶ 1.</w:t>
      </w:r>
    </w:p>
  </w:footnote>
  <w:footnote w:id="26">
    <w:p w14:paraId="2C576AC8" w14:textId="7F347DB8"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5.</w:t>
      </w:r>
    </w:p>
  </w:footnote>
  <w:footnote w:id="27">
    <w:p w14:paraId="624B6EA5" w14:textId="1BC7E964"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6.</w:t>
      </w:r>
    </w:p>
  </w:footnote>
  <w:footnote w:id="28">
    <w:p w14:paraId="79F55B60" w14:textId="5F516A3B"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7.</w:t>
      </w:r>
    </w:p>
  </w:footnote>
  <w:footnote w:id="29">
    <w:p w14:paraId="036D5D19" w14:textId="51654F85"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w:t>
      </w:r>
    </w:p>
  </w:footnote>
  <w:footnote w:id="30">
    <w:p w14:paraId="5F5DC259" w14:textId="36A88559"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w:t>
      </w:r>
    </w:p>
  </w:footnote>
  <w:footnote w:id="31">
    <w:p w14:paraId="0F64570E" w14:textId="7A106D9D"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Staff’s Discovery Motion, ¶ 8.</w:t>
      </w:r>
    </w:p>
  </w:footnote>
  <w:footnote w:id="32">
    <w:p w14:paraId="266A7EFD" w14:textId="634A0869"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w:t>
      </w:r>
      <w:r w:rsidR="00D02359" w:rsidRPr="009373BA">
        <w:rPr>
          <w:rFonts w:ascii="Times New Roman" w:hAnsi="Times New Roman"/>
          <w:sz w:val="22"/>
          <w:szCs w:val="22"/>
        </w:rPr>
        <w:t xml:space="preserve">  Staff also makes one sole reference to seeking an order “to compel [WCI] to provide narrative, with spreadsheet locations, that describe and locate all changes the Company has made to spreadsheet ‘DR 3 and DR 4 – TG-140560WCI Operations 052214.xls’.”  Staff Discovery Motion, ¶ 3.  This spreadsheet is not referenced in Staff’s Data Request Nos. 7, 8, and 11, nor is the document directly referenced again.  Having failed to provide support for the request to compel narration regarding DR 3 and DR4 – TG-140560WCI Operations 052214.xls, that request is denied.</w:t>
      </w:r>
      <w:r w:rsidR="002E216D" w:rsidRPr="009373BA">
        <w:rPr>
          <w:rFonts w:ascii="Times New Roman" w:hAnsi="Times New Roman"/>
          <w:sz w:val="22"/>
          <w:szCs w:val="22"/>
        </w:rPr>
        <w:t xml:space="preserve">  Staff is encouraged to work with the Company on obtaining that narrative at the July 11, 2014, discovery conference.</w:t>
      </w:r>
    </w:p>
  </w:footnote>
  <w:footnote w:id="33">
    <w:p w14:paraId="40738350" w14:textId="2A317F09"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Staff Discovery Motion, ¶ 11.</w:t>
      </w:r>
    </w:p>
  </w:footnote>
  <w:footnote w:id="34">
    <w:p w14:paraId="42F04351" w14:textId="47E33C68"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w:t>
      </w:r>
      <w:r w:rsidR="00D02359" w:rsidRPr="009373BA">
        <w:rPr>
          <w:rFonts w:ascii="Times New Roman" w:hAnsi="Times New Roman"/>
          <w:sz w:val="22"/>
          <w:szCs w:val="22"/>
        </w:rPr>
        <w:t xml:space="preserve">  “Thus, a regulated company must be prepared to provide supporting formulas and externally-linked documents for all values included in its general rate filing.”</w:t>
      </w:r>
    </w:p>
  </w:footnote>
  <w:footnote w:id="35">
    <w:p w14:paraId="53EA603A" w14:textId="73914E33"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12 and 13.  See, WAC 480-07-140(6</w:t>
      </w:r>
      <w:proofErr w:type="gramStart"/>
      <w:r w:rsidRPr="009373BA">
        <w:rPr>
          <w:rFonts w:ascii="Times New Roman" w:hAnsi="Times New Roman"/>
          <w:sz w:val="22"/>
          <w:szCs w:val="22"/>
        </w:rPr>
        <w:t>)(</w:t>
      </w:r>
      <w:proofErr w:type="gramEnd"/>
      <w:r w:rsidRPr="009373BA">
        <w:rPr>
          <w:rFonts w:ascii="Times New Roman" w:hAnsi="Times New Roman"/>
          <w:sz w:val="22"/>
          <w:szCs w:val="22"/>
        </w:rPr>
        <w:t>b).</w:t>
      </w:r>
    </w:p>
  </w:footnote>
  <w:footnote w:id="36">
    <w:p w14:paraId="58B7AA13" w14:textId="2871F45D"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15 (quoting WAC 480-07-520(4</w:t>
      </w:r>
      <w:proofErr w:type="gramStart"/>
      <w:r w:rsidRPr="009373BA">
        <w:rPr>
          <w:rFonts w:ascii="Times New Roman" w:hAnsi="Times New Roman"/>
          <w:sz w:val="22"/>
          <w:szCs w:val="22"/>
        </w:rPr>
        <w:t>)(</w:t>
      </w:r>
      <w:proofErr w:type="gramEnd"/>
      <w:r w:rsidRPr="009373BA">
        <w:rPr>
          <w:rFonts w:ascii="Times New Roman" w:hAnsi="Times New Roman"/>
          <w:sz w:val="22"/>
          <w:szCs w:val="22"/>
        </w:rPr>
        <w:t>a)).</w:t>
      </w:r>
    </w:p>
  </w:footnote>
  <w:footnote w:id="37">
    <w:p w14:paraId="429C0DD1" w14:textId="36B85499"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w:t>
      </w:r>
    </w:p>
  </w:footnote>
  <w:footnote w:id="38">
    <w:p w14:paraId="0F05BB85" w14:textId="58924FFE" w:rsidR="00712545" w:rsidRPr="009373BA" w:rsidRDefault="00712545"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w:t>
      </w:r>
    </w:p>
  </w:footnote>
  <w:footnote w:id="39">
    <w:p w14:paraId="4A6E34C6" w14:textId="71F0FBC1" w:rsidR="00712545" w:rsidRPr="009373BA" w:rsidRDefault="00712545"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w:t>
      </w:r>
    </w:p>
  </w:footnote>
  <w:footnote w:id="40">
    <w:p w14:paraId="5BE9A43B" w14:textId="00139806"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xml:space="preserve">., ¶ 30.  </w:t>
      </w:r>
    </w:p>
  </w:footnote>
  <w:footnote w:id="41">
    <w:p w14:paraId="026698F4" w14:textId="0ABBBC01"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31.</w:t>
      </w:r>
    </w:p>
  </w:footnote>
  <w:footnote w:id="42">
    <w:p w14:paraId="71724539" w14:textId="5F283114"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32.</w:t>
      </w:r>
    </w:p>
  </w:footnote>
  <w:footnote w:id="43">
    <w:p w14:paraId="4DE480D8" w14:textId="23EFB509"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Appendix E to Staff’s Discovery Motion.</w:t>
      </w:r>
    </w:p>
  </w:footnote>
  <w:footnote w:id="44">
    <w:p w14:paraId="5EA7F0ED" w14:textId="3E00E9B2"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w:t>
      </w:r>
    </w:p>
  </w:footnote>
  <w:footnote w:id="45">
    <w:p w14:paraId="30565F0E" w14:textId="441219D2"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w:t>
      </w:r>
      <w:r w:rsidR="00605777" w:rsidRPr="009373BA">
        <w:rPr>
          <w:rFonts w:ascii="Times New Roman" w:hAnsi="Times New Roman"/>
          <w:sz w:val="22"/>
          <w:szCs w:val="22"/>
        </w:rPr>
        <w:t>,</w:t>
      </w:r>
      <w:r w:rsidRPr="009373BA">
        <w:rPr>
          <w:rFonts w:ascii="Times New Roman" w:hAnsi="Times New Roman"/>
          <w:sz w:val="22"/>
          <w:szCs w:val="22"/>
        </w:rPr>
        <w:t xml:space="preserve"> and Staff’s Discovery Motion, ¶ 38.</w:t>
      </w:r>
    </w:p>
  </w:footnote>
  <w:footnote w:id="46">
    <w:p w14:paraId="7373ED90" w14:textId="0575640F"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40.</w:t>
      </w:r>
    </w:p>
  </w:footnote>
  <w:footnote w:id="47">
    <w:p w14:paraId="3411E5A3" w14:textId="038C53F7"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41.</w:t>
      </w:r>
    </w:p>
  </w:footnote>
  <w:footnote w:id="48">
    <w:p w14:paraId="75F16295" w14:textId="397DED44"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Appendix A to Staff’s Discovery Motion at 1.</w:t>
      </w:r>
    </w:p>
  </w:footnote>
  <w:footnote w:id="49">
    <w:p w14:paraId="593F394F" w14:textId="2F042EEF" w:rsidR="00B850EA" w:rsidRPr="009373BA" w:rsidRDefault="00B850EA"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Staff’s Discovery Motion, ¶ 10.</w:t>
      </w:r>
    </w:p>
  </w:footnote>
  <w:footnote w:id="50">
    <w:p w14:paraId="3B629836" w14:textId="4771E750" w:rsidR="00D74E30" w:rsidRPr="009373BA" w:rsidRDefault="00D74E30"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t>
      </w:r>
      <w:r w:rsidRPr="009373BA">
        <w:rPr>
          <w:rFonts w:ascii="Times New Roman" w:hAnsi="Times New Roman"/>
          <w:i/>
          <w:sz w:val="22"/>
          <w:szCs w:val="22"/>
        </w:rPr>
        <w:t>Id</w:t>
      </w:r>
      <w:r w:rsidRPr="009373BA">
        <w:rPr>
          <w:rFonts w:ascii="Times New Roman" w:hAnsi="Times New Roman"/>
          <w:sz w:val="22"/>
          <w:szCs w:val="22"/>
        </w:rPr>
        <w:t>., ¶ 13.</w:t>
      </w:r>
    </w:p>
  </w:footnote>
  <w:footnote w:id="51">
    <w:p w14:paraId="168460FA" w14:textId="4E894983" w:rsidR="00CF4806" w:rsidRPr="009373BA" w:rsidRDefault="00A13291"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WAC 480-07-140(6)(b).  (Emphasis adde</w:t>
      </w:r>
      <w:r w:rsidR="00CF4806" w:rsidRPr="009373BA">
        <w:rPr>
          <w:rFonts w:ascii="Times New Roman" w:hAnsi="Times New Roman"/>
          <w:sz w:val="22"/>
          <w:szCs w:val="22"/>
        </w:rPr>
        <w:t>d</w:t>
      </w:r>
      <w:r w:rsidRPr="009373BA">
        <w:rPr>
          <w:rFonts w:ascii="Times New Roman" w:hAnsi="Times New Roman"/>
          <w:sz w:val="22"/>
          <w:szCs w:val="22"/>
        </w:rPr>
        <w:t>)</w:t>
      </w:r>
      <w:r w:rsidR="00CF4806" w:rsidRPr="009373BA">
        <w:rPr>
          <w:rFonts w:ascii="Times New Roman" w:hAnsi="Times New Roman"/>
          <w:sz w:val="22"/>
          <w:szCs w:val="22"/>
        </w:rPr>
        <w:t>.</w:t>
      </w:r>
    </w:p>
  </w:footnote>
  <w:footnote w:id="52">
    <w:p w14:paraId="40BFA401" w14:textId="552CA326" w:rsidR="004C17F8" w:rsidRPr="009373BA" w:rsidRDefault="004C17F8" w:rsidP="00391A3B">
      <w:pPr>
        <w:pStyle w:val="FootnoteText"/>
        <w:spacing w:after="120"/>
        <w:rPr>
          <w:rFonts w:ascii="Times New Roman" w:hAnsi="Times New Roman"/>
          <w:sz w:val="22"/>
          <w:szCs w:val="22"/>
        </w:rPr>
      </w:pPr>
      <w:r w:rsidRPr="009373BA">
        <w:rPr>
          <w:rStyle w:val="FootnoteReference"/>
          <w:rFonts w:ascii="Times New Roman" w:hAnsi="Times New Roman"/>
          <w:sz w:val="22"/>
          <w:szCs w:val="22"/>
        </w:rPr>
        <w:footnoteRef/>
      </w:r>
      <w:r w:rsidRPr="009373BA">
        <w:rPr>
          <w:rFonts w:ascii="Times New Roman" w:hAnsi="Times New Roman"/>
          <w:sz w:val="22"/>
          <w:szCs w:val="22"/>
        </w:rPr>
        <w:t xml:space="preserve"> WCI’s Response, ¶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DE43B" w14:textId="77777777" w:rsidR="00BF33AF" w:rsidRDefault="00BF3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677B8" w14:textId="78DF74A2" w:rsidR="00B850EA" w:rsidRDefault="00B850EA">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TG-140560</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6337E7">
      <w:rPr>
        <w:rStyle w:val="PageNumber"/>
        <w:rFonts w:ascii="Times New Roman" w:hAnsi="Times New Roman"/>
        <w:b/>
        <w:bCs/>
        <w:noProof/>
        <w:sz w:val="20"/>
      </w:rPr>
      <w:t>11</w:t>
    </w:r>
    <w:r w:rsidRPr="00DE41B1">
      <w:rPr>
        <w:rStyle w:val="PageNumber"/>
        <w:rFonts w:ascii="Times New Roman" w:hAnsi="Times New Roman"/>
        <w:b/>
        <w:bCs/>
        <w:sz w:val="20"/>
      </w:rPr>
      <w:fldChar w:fldCharType="end"/>
    </w:r>
  </w:p>
  <w:p w14:paraId="2CEBB3D3" w14:textId="653B2522" w:rsidR="00B850EA" w:rsidRPr="00DE41B1" w:rsidRDefault="00B850EA">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ORDER 05</w:t>
    </w:r>
  </w:p>
  <w:p w14:paraId="695E614B" w14:textId="77777777" w:rsidR="00B850EA" w:rsidRPr="00DE41B1" w:rsidRDefault="00B850EA">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AE1AF" w14:textId="635497D4" w:rsidR="00BF33AF" w:rsidRPr="00BF33AF" w:rsidRDefault="00BF33AF" w:rsidP="00BF33AF">
    <w:pPr>
      <w:pStyle w:val="Header"/>
      <w:jc w:val="right"/>
      <w:rPr>
        <w:rFonts w:ascii="Times New Roman" w:hAnsi="Times New Roman"/>
        <w:b/>
        <w:sz w:val="20"/>
        <w:szCs w:val="20"/>
      </w:rPr>
    </w:pPr>
    <w:r>
      <w:rPr>
        <w:rFonts w:ascii="Times New Roman" w:hAnsi="Times New Roman"/>
        <w:b/>
        <w:sz w:val="20"/>
        <w:szCs w:val="20"/>
      </w:rPr>
      <w:t xml:space="preserve">[Service date July 2, </w:t>
    </w:r>
    <w:r>
      <w:rPr>
        <w:rFonts w:ascii="Times New Roman" w:hAnsi="Times New Roman"/>
        <w:b/>
        <w:sz w:val="20"/>
        <w:szCs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41253"/>
    <w:multiLevelType w:val="hybridMultilevel"/>
    <w:tmpl w:val="2028E846"/>
    <w:lvl w:ilvl="0" w:tplc="7E482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3A39"/>
    <w:rsid w:val="00006F0E"/>
    <w:rsid w:val="00011E1D"/>
    <w:rsid w:val="00014893"/>
    <w:rsid w:val="0001495D"/>
    <w:rsid w:val="000563EA"/>
    <w:rsid w:val="0006772D"/>
    <w:rsid w:val="000709C4"/>
    <w:rsid w:val="00083D37"/>
    <w:rsid w:val="000A1F62"/>
    <w:rsid w:val="000A29A6"/>
    <w:rsid w:val="000A3443"/>
    <w:rsid w:val="000A400B"/>
    <w:rsid w:val="000A4235"/>
    <w:rsid w:val="000A7EAD"/>
    <w:rsid w:val="000B3933"/>
    <w:rsid w:val="000B729B"/>
    <w:rsid w:val="000C3F2F"/>
    <w:rsid w:val="000D31AC"/>
    <w:rsid w:val="000D35DA"/>
    <w:rsid w:val="000E3477"/>
    <w:rsid w:val="000E5587"/>
    <w:rsid w:val="000E6C4D"/>
    <w:rsid w:val="000F6D02"/>
    <w:rsid w:val="00101032"/>
    <w:rsid w:val="00106754"/>
    <w:rsid w:val="001228A0"/>
    <w:rsid w:val="00124915"/>
    <w:rsid w:val="00124E2B"/>
    <w:rsid w:val="00130FEA"/>
    <w:rsid w:val="001315ED"/>
    <w:rsid w:val="00137EF6"/>
    <w:rsid w:val="001573A2"/>
    <w:rsid w:val="00162C21"/>
    <w:rsid w:val="00181BC5"/>
    <w:rsid w:val="00184D7C"/>
    <w:rsid w:val="00197403"/>
    <w:rsid w:val="001C5253"/>
    <w:rsid w:val="001D0F7B"/>
    <w:rsid w:val="001D4E4C"/>
    <w:rsid w:val="001E3132"/>
    <w:rsid w:val="001F69DE"/>
    <w:rsid w:val="00202564"/>
    <w:rsid w:val="0020355B"/>
    <w:rsid w:val="002079F4"/>
    <w:rsid w:val="0021028A"/>
    <w:rsid w:val="00210B0C"/>
    <w:rsid w:val="00222950"/>
    <w:rsid w:val="002359D4"/>
    <w:rsid w:val="0024430F"/>
    <w:rsid w:val="00244353"/>
    <w:rsid w:val="0024468B"/>
    <w:rsid w:val="00262565"/>
    <w:rsid w:val="002628A9"/>
    <w:rsid w:val="00264102"/>
    <w:rsid w:val="00277D5A"/>
    <w:rsid w:val="00284672"/>
    <w:rsid w:val="0029248A"/>
    <w:rsid w:val="00295C89"/>
    <w:rsid w:val="002A0CC3"/>
    <w:rsid w:val="002A5F78"/>
    <w:rsid w:val="002B63B7"/>
    <w:rsid w:val="002C15B3"/>
    <w:rsid w:val="002C3FB6"/>
    <w:rsid w:val="002D26AD"/>
    <w:rsid w:val="002D2983"/>
    <w:rsid w:val="002E216D"/>
    <w:rsid w:val="002E27D8"/>
    <w:rsid w:val="002F1460"/>
    <w:rsid w:val="002F5A16"/>
    <w:rsid w:val="002F7086"/>
    <w:rsid w:val="003013A5"/>
    <w:rsid w:val="0030371B"/>
    <w:rsid w:val="00321D34"/>
    <w:rsid w:val="00323378"/>
    <w:rsid w:val="00337A69"/>
    <w:rsid w:val="00351543"/>
    <w:rsid w:val="003522F1"/>
    <w:rsid w:val="00352BEB"/>
    <w:rsid w:val="00373799"/>
    <w:rsid w:val="00375D51"/>
    <w:rsid w:val="00383776"/>
    <w:rsid w:val="0039083F"/>
    <w:rsid w:val="00391A3B"/>
    <w:rsid w:val="00391CF3"/>
    <w:rsid w:val="0039621D"/>
    <w:rsid w:val="003A6E8D"/>
    <w:rsid w:val="003B1688"/>
    <w:rsid w:val="003C7362"/>
    <w:rsid w:val="003D1DAB"/>
    <w:rsid w:val="003D4BBA"/>
    <w:rsid w:val="003E0C54"/>
    <w:rsid w:val="003E12A3"/>
    <w:rsid w:val="003E25F1"/>
    <w:rsid w:val="003E56DF"/>
    <w:rsid w:val="003E6255"/>
    <w:rsid w:val="003E74A9"/>
    <w:rsid w:val="003E7978"/>
    <w:rsid w:val="003F025E"/>
    <w:rsid w:val="00425BAD"/>
    <w:rsid w:val="0043005E"/>
    <w:rsid w:val="004378AA"/>
    <w:rsid w:val="00440221"/>
    <w:rsid w:val="004424E1"/>
    <w:rsid w:val="00446976"/>
    <w:rsid w:val="004532B7"/>
    <w:rsid w:val="004569ED"/>
    <w:rsid w:val="00461AB2"/>
    <w:rsid w:val="00461EDE"/>
    <w:rsid w:val="00463184"/>
    <w:rsid w:val="0046617A"/>
    <w:rsid w:val="00470FD6"/>
    <w:rsid w:val="00473314"/>
    <w:rsid w:val="004901BC"/>
    <w:rsid w:val="00490747"/>
    <w:rsid w:val="00492EB1"/>
    <w:rsid w:val="00494542"/>
    <w:rsid w:val="004977DA"/>
    <w:rsid w:val="004B1A94"/>
    <w:rsid w:val="004B2C54"/>
    <w:rsid w:val="004B2CA6"/>
    <w:rsid w:val="004B7E30"/>
    <w:rsid w:val="004C0A9E"/>
    <w:rsid w:val="004C17F8"/>
    <w:rsid w:val="004C6B14"/>
    <w:rsid w:val="004C77FA"/>
    <w:rsid w:val="004D11DB"/>
    <w:rsid w:val="004D3CFB"/>
    <w:rsid w:val="004E7B57"/>
    <w:rsid w:val="004F1D61"/>
    <w:rsid w:val="00503AEA"/>
    <w:rsid w:val="0050772E"/>
    <w:rsid w:val="00512AAF"/>
    <w:rsid w:val="005173F7"/>
    <w:rsid w:val="0052384C"/>
    <w:rsid w:val="00524026"/>
    <w:rsid w:val="00526FEE"/>
    <w:rsid w:val="005277F9"/>
    <w:rsid w:val="00527C12"/>
    <w:rsid w:val="00536090"/>
    <w:rsid w:val="00544A9C"/>
    <w:rsid w:val="005524F5"/>
    <w:rsid w:val="00555203"/>
    <w:rsid w:val="0056486C"/>
    <w:rsid w:val="00573CD4"/>
    <w:rsid w:val="00577BB1"/>
    <w:rsid w:val="00590AB4"/>
    <w:rsid w:val="00594C66"/>
    <w:rsid w:val="00594E57"/>
    <w:rsid w:val="005A7527"/>
    <w:rsid w:val="005C4944"/>
    <w:rsid w:val="005C5611"/>
    <w:rsid w:val="005D4C2C"/>
    <w:rsid w:val="005D4F4D"/>
    <w:rsid w:val="005E7E5F"/>
    <w:rsid w:val="005F171C"/>
    <w:rsid w:val="005F7C51"/>
    <w:rsid w:val="0060282C"/>
    <w:rsid w:val="00605777"/>
    <w:rsid w:val="006112B5"/>
    <w:rsid w:val="006128A2"/>
    <w:rsid w:val="00622CA2"/>
    <w:rsid w:val="0062460D"/>
    <w:rsid w:val="00627A9B"/>
    <w:rsid w:val="00630DDB"/>
    <w:rsid w:val="006337E7"/>
    <w:rsid w:val="00634CA1"/>
    <w:rsid w:val="00637E27"/>
    <w:rsid w:val="00643717"/>
    <w:rsid w:val="00645425"/>
    <w:rsid w:val="006546C2"/>
    <w:rsid w:val="006552FA"/>
    <w:rsid w:val="00656874"/>
    <w:rsid w:val="00656A63"/>
    <w:rsid w:val="00657251"/>
    <w:rsid w:val="006632C0"/>
    <w:rsid w:val="00663F29"/>
    <w:rsid w:val="00667CC5"/>
    <w:rsid w:val="00670470"/>
    <w:rsid w:val="00674DA7"/>
    <w:rsid w:val="00676E5B"/>
    <w:rsid w:val="00681456"/>
    <w:rsid w:val="0068363A"/>
    <w:rsid w:val="006878FB"/>
    <w:rsid w:val="00691FAB"/>
    <w:rsid w:val="00694CC9"/>
    <w:rsid w:val="00695F50"/>
    <w:rsid w:val="006A05F3"/>
    <w:rsid w:val="006A13C8"/>
    <w:rsid w:val="006A3B1F"/>
    <w:rsid w:val="006A77C0"/>
    <w:rsid w:val="006B533C"/>
    <w:rsid w:val="006B6CD0"/>
    <w:rsid w:val="006B7390"/>
    <w:rsid w:val="006C1AC0"/>
    <w:rsid w:val="006C1F97"/>
    <w:rsid w:val="006E7862"/>
    <w:rsid w:val="006F6AF1"/>
    <w:rsid w:val="0070529E"/>
    <w:rsid w:val="00712545"/>
    <w:rsid w:val="0071419F"/>
    <w:rsid w:val="00721A70"/>
    <w:rsid w:val="00721BC6"/>
    <w:rsid w:val="00725BD3"/>
    <w:rsid w:val="00736600"/>
    <w:rsid w:val="00751B8A"/>
    <w:rsid w:val="00777008"/>
    <w:rsid w:val="00777E14"/>
    <w:rsid w:val="00782F03"/>
    <w:rsid w:val="007851BC"/>
    <w:rsid w:val="00794A6C"/>
    <w:rsid w:val="007A2110"/>
    <w:rsid w:val="007A6D7B"/>
    <w:rsid w:val="007B0BE7"/>
    <w:rsid w:val="007B1E8B"/>
    <w:rsid w:val="007C2107"/>
    <w:rsid w:val="007C2F20"/>
    <w:rsid w:val="007C3682"/>
    <w:rsid w:val="007D36F2"/>
    <w:rsid w:val="007D4DB1"/>
    <w:rsid w:val="007D5C8D"/>
    <w:rsid w:val="007E1317"/>
    <w:rsid w:val="007E1C9F"/>
    <w:rsid w:val="007F7914"/>
    <w:rsid w:val="00804CFB"/>
    <w:rsid w:val="00813337"/>
    <w:rsid w:val="0081737E"/>
    <w:rsid w:val="00820550"/>
    <w:rsid w:val="0083609B"/>
    <w:rsid w:val="00852870"/>
    <w:rsid w:val="00857506"/>
    <w:rsid w:val="00857F68"/>
    <w:rsid w:val="00861717"/>
    <w:rsid w:val="00865D78"/>
    <w:rsid w:val="00877951"/>
    <w:rsid w:val="00883D0F"/>
    <w:rsid w:val="00887EDE"/>
    <w:rsid w:val="008B19D1"/>
    <w:rsid w:val="008C412C"/>
    <w:rsid w:val="008C6850"/>
    <w:rsid w:val="008D6939"/>
    <w:rsid w:val="008E1F89"/>
    <w:rsid w:val="008E5B60"/>
    <w:rsid w:val="008E6D45"/>
    <w:rsid w:val="008F2563"/>
    <w:rsid w:val="008F3C00"/>
    <w:rsid w:val="00920BF9"/>
    <w:rsid w:val="00924DFD"/>
    <w:rsid w:val="00924E5E"/>
    <w:rsid w:val="0093140A"/>
    <w:rsid w:val="009314C3"/>
    <w:rsid w:val="009335E8"/>
    <w:rsid w:val="009373BA"/>
    <w:rsid w:val="00944271"/>
    <w:rsid w:val="00951A2B"/>
    <w:rsid w:val="00952399"/>
    <w:rsid w:val="009535BF"/>
    <w:rsid w:val="009616DC"/>
    <w:rsid w:val="00962C35"/>
    <w:rsid w:val="0096654F"/>
    <w:rsid w:val="0097359E"/>
    <w:rsid w:val="00977470"/>
    <w:rsid w:val="00981D7A"/>
    <w:rsid w:val="0099732C"/>
    <w:rsid w:val="009A47BB"/>
    <w:rsid w:val="009B0FAF"/>
    <w:rsid w:val="009C3A0E"/>
    <w:rsid w:val="009E032E"/>
    <w:rsid w:val="009E0ED6"/>
    <w:rsid w:val="00A115AF"/>
    <w:rsid w:val="00A13291"/>
    <w:rsid w:val="00A33CF6"/>
    <w:rsid w:val="00A354F9"/>
    <w:rsid w:val="00A5337F"/>
    <w:rsid w:val="00A56E7C"/>
    <w:rsid w:val="00A575FB"/>
    <w:rsid w:val="00A6303C"/>
    <w:rsid w:val="00A63050"/>
    <w:rsid w:val="00A6690E"/>
    <w:rsid w:val="00A75C5F"/>
    <w:rsid w:val="00A81198"/>
    <w:rsid w:val="00A94F1F"/>
    <w:rsid w:val="00AA2342"/>
    <w:rsid w:val="00AA2E3C"/>
    <w:rsid w:val="00AA3A8C"/>
    <w:rsid w:val="00AA3B02"/>
    <w:rsid w:val="00AC4B10"/>
    <w:rsid w:val="00AD3000"/>
    <w:rsid w:val="00AD6522"/>
    <w:rsid w:val="00AD7C92"/>
    <w:rsid w:val="00AF0348"/>
    <w:rsid w:val="00AF210D"/>
    <w:rsid w:val="00B142B9"/>
    <w:rsid w:val="00B21C2F"/>
    <w:rsid w:val="00B27149"/>
    <w:rsid w:val="00B31CD7"/>
    <w:rsid w:val="00B337CC"/>
    <w:rsid w:val="00B35460"/>
    <w:rsid w:val="00B457F3"/>
    <w:rsid w:val="00B51E36"/>
    <w:rsid w:val="00B52A89"/>
    <w:rsid w:val="00B7016A"/>
    <w:rsid w:val="00B73B02"/>
    <w:rsid w:val="00B771E5"/>
    <w:rsid w:val="00B82901"/>
    <w:rsid w:val="00B850EA"/>
    <w:rsid w:val="00B87CE0"/>
    <w:rsid w:val="00B95C03"/>
    <w:rsid w:val="00BA089C"/>
    <w:rsid w:val="00BB0F7F"/>
    <w:rsid w:val="00BC2A10"/>
    <w:rsid w:val="00BC57B8"/>
    <w:rsid w:val="00BD3995"/>
    <w:rsid w:val="00BD457C"/>
    <w:rsid w:val="00BF33AF"/>
    <w:rsid w:val="00BF3A35"/>
    <w:rsid w:val="00BF3CAF"/>
    <w:rsid w:val="00BF596D"/>
    <w:rsid w:val="00C05C38"/>
    <w:rsid w:val="00C115F7"/>
    <w:rsid w:val="00C241EE"/>
    <w:rsid w:val="00C25454"/>
    <w:rsid w:val="00C25490"/>
    <w:rsid w:val="00C3151B"/>
    <w:rsid w:val="00C42688"/>
    <w:rsid w:val="00C5271F"/>
    <w:rsid w:val="00C5736E"/>
    <w:rsid w:val="00C6214E"/>
    <w:rsid w:val="00C656FD"/>
    <w:rsid w:val="00C66769"/>
    <w:rsid w:val="00C677F9"/>
    <w:rsid w:val="00C7070B"/>
    <w:rsid w:val="00C723A9"/>
    <w:rsid w:val="00C7500B"/>
    <w:rsid w:val="00C82B11"/>
    <w:rsid w:val="00C841D2"/>
    <w:rsid w:val="00C930FC"/>
    <w:rsid w:val="00C96422"/>
    <w:rsid w:val="00CA0A12"/>
    <w:rsid w:val="00CB734A"/>
    <w:rsid w:val="00CB7F45"/>
    <w:rsid w:val="00CD4D52"/>
    <w:rsid w:val="00CD77CA"/>
    <w:rsid w:val="00CE133C"/>
    <w:rsid w:val="00CE1A16"/>
    <w:rsid w:val="00CE6200"/>
    <w:rsid w:val="00CF1408"/>
    <w:rsid w:val="00CF4806"/>
    <w:rsid w:val="00CF7D86"/>
    <w:rsid w:val="00D0009F"/>
    <w:rsid w:val="00D02359"/>
    <w:rsid w:val="00D0300E"/>
    <w:rsid w:val="00D04211"/>
    <w:rsid w:val="00D119A7"/>
    <w:rsid w:val="00D24093"/>
    <w:rsid w:val="00D25D8C"/>
    <w:rsid w:val="00D36878"/>
    <w:rsid w:val="00D40FC4"/>
    <w:rsid w:val="00D6049D"/>
    <w:rsid w:val="00D6106B"/>
    <w:rsid w:val="00D74E30"/>
    <w:rsid w:val="00D763A9"/>
    <w:rsid w:val="00DA29A4"/>
    <w:rsid w:val="00DA2AEF"/>
    <w:rsid w:val="00DA4A4A"/>
    <w:rsid w:val="00DB6233"/>
    <w:rsid w:val="00DC30B8"/>
    <w:rsid w:val="00DD1B58"/>
    <w:rsid w:val="00DD6102"/>
    <w:rsid w:val="00DE41B1"/>
    <w:rsid w:val="00DE5340"/>
    <w:rsid w:val="00E02999"/>
    <w:rsid w:val="00E03C7F"/>
    <w:rsid w:val="00E051E8"/>
    <w:rsid w:val="00E05C01"/>
    <w:rsid w:val="00E13A07"/>
    <w:rsid w:val="00E140AD"/>
    <w:rsid w:val="00E17031"/>
    <w:rsid w:val="00E22DCD"/>
    <w:rsid w:val="00E24884"/>
    <w:rsid w:val="00E358FA"/>
    <w:rsid w:val="00E40D54"/>
    <w:rsid w:val="00E44114"/>
    <w:rsid w:val="00E56887"/>
    <w:rsid w:val="00E62E99"/>
    <w:rsid w:val="00E64AEC"/>
    <w:rsid w:val="00E7203A"/>
    <w:rsid w:val="00E73526"/>
    <w:rsid w:val="00EA3A3D"/>
    <w:rsid w:val="00EA661B"/>
    <w:rsid w:val="00EB0C27"/>
    <w:rsid w:val="00EB2CF3"/>
    <w:rsid w:val="00EC343C"/>
    <w:rsid w:val="00EC402F"/>
    <w:rsid w:val="00EF2AFF"/>
    <w:rsid w:val="00EF2CC1"/>
    <w:rsid w:val="00F02432"/>
    <w:rsid w:val="00F02A0B"/>
    <w:rsid w:val="00F05982"/>
    <w:rsid w:val="00F20C1B"/>
    <w:rsid w:val="00F23949"/>
    <w:rsid w:val="00F25484"/>
    <w:rsid w:val="00F27E47"/>
    <w:rsid w:val="00F31D3A"/>
    <w:rsid w:val="00F4523B"/>
    <w:rsid w:val="00F72E4F"/>
    <w:rsid w:val="00F742ED"/>
    <w:rsid w:val="00F846B2"/>
    <w:rsid w:val="00F871A2"/>
    <w:rsid w:val="00F95B1D"/>
    <w:rsid w:val="00FB190C"/>
    <w:rsid w:val="00FC7FCA"/>
    <w:rsid w:val="00FE6BD9"/>
    <w:rsid w:val="00FF6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54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rsid w:val="00E22DCD"/>
    <w:rPr>
      <w:sz w:val="16"/>
      <w:szCs w:val="16"/>
    </w:rPr>
  </w:style>
  <w:style w:type="paragraph" w:styleId="CommentText">
    <w:name w:val="annotation text"/>
    <w:basedOn w:val="Normal"/>
    <w:link w:val="CommentTextChar"/>
    <w:rsid w:val="00E22DCD"/>
    <w:rPr>
      <w:sz w:val="20"/>
      <w:szCs w:val="20"/>
    </w:rPr>
  </w:style>
  <w:style w:type="character" w:customStyle="1" w:styleId="CommentTextChar">
    <w:name w:val="Comment Text Char"/>
    <w:basedOn w:val="DefaultParagraphFont"/>
    <w:link w:val="CommentText"/>
    <w:rsid w:val="00E22DCD"/>
    <w:rPr>
      <w:rFonts w:ascii="Palatino Linotype" w:hAnsi="Palatino Linotype"/>
    </w:rPr>
  </w:style>
  <w:style w:type="paragraph" w:styleId="CommentSubject">
    <w:name w:val="annotation subject"/>
    <w:basedOn w:val="CommentText"/>
    <w:next w:val="CommentText"/>
    <w:link w:val="CommentSubjectChar"/>
    <w:rsid w:val="00E22DCD"/>
    <w:rPr>
      <w:b/>
      <w:bCs/>
    </w:rPr>
  </w:style>
  <w:style w:type="character" w:customStyle="1" w:styleId="CommentSubjectChar">
    <w:name w:val="Comment Subject Char"/>
    <w:basedOn w:val="CommentTextChar"/>
    <w:link w:val="CommentSubject"/>
    <w:rsid w:val="00E22DCD"/>
    <w:rPr>
      <w:rFonts w:ascii="Palatino Linotype" w:hAnsi="Palatino Linotype"/>
      <w:b/>
      <w:bCs/>
    </w:rPr>
  </w:style>
  <w:style w:type="paragraph" w:styleId="BalloonText">
    <w:name w:val="Balloon Text"/>
    <w:basedOn w:val="Normal"/>
    <w:link w:val="BalloonTextChar"/>
    <w:rsid w:val="00E22DCD"/>
    <w:rPr>
      <w:rFonts w:ascii="Tahoma" w:hAnsi="Tahoma" w:cs="Tahoma"/>
      <w:sz w:val="16"/>
      <w:szCs w:val="16"/>
    </w:rPr>
  </w:style>
  <w:style w:type="character" w:customStyle="1" w:styleId="BalloonTextChar">
    <w:name w:val="Balloon Text Char"/>
    <w:basedOn w:val="DefaultParagraphFont"/>
    <w:link w:val="BalloonText"/>
    <w:rsid w:val="00E22DCD"/>
    <w:rPr>
      <w:rFonts w:ascii="Tahoma" w:hAnsi="Tahoma" w:cs="Tahoma"/>
      <w:sz w:val="16"/>
      <w:szCs w:val="16"/>
    </w:rPr>
  </w:style>
  <w:style w:type="table" w:styleId="TableGrid">
    <w:name w:val="Table Grid"/>
    <w:basedOn w:val="TableNormal"/>
    <w:uiPriority w:val="59"/>
    <w:rsid w:val="003E5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F3C00"/>
    <w:rPr>
      <w:color w:val="808080"/>
    </w:rPr>
  </w:style>
  <w:style w:type="paragraph" w:styleId="PlainText">
    <w:name w:val="Plain Text"/>
    <w:basedOn w:val="Normal"/>
    <w:link w:val="PlainTextChar"/>
    <w:uiPriority w:val="99"/>
    <w:unhideWhenUsed/>
    <w:rsid w:val="009535BF"/>
    <w:rPr>
      <w:rFonts w:ascii="Consolas" w:eastAsia="Calibri" w:hAnsi="Consolas"/>
      <w:sz w:val="21"/>
      <w:szCs w:val="21"/>
    </w:rPr>
  </w:style>
  <w:style w:type="character" w:customStyle="1" w:styleId="PlainTextChar">
    <w:name w:val="Plain Text Char"/>
    <w:basedOn w:val="DefaultParagraphFont"/>
    <w:link w:val="PlainText"/>
    <w:uiPriority w:val="99"/>
    <w:rsid w:val="009535BF"/>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rsid w:val="00E22DCD"/>
    <w:rPr>
      <w:sz w:val="16"/>
      <w:szCs w:val="16"/>
    </w:rPr>
  </w:style>
  <w:style w:type="paragraph" w:styleId="CommentText">
    <w:name w:val="annotation text"/>
    <w:basedOn w:val="Normal"/>
    <w:link w:val="CommentTextChar"/>
    <w:rsid w:val="00E22DCD"/>
    <w:rPr>
      <w:sz w:val="20"/>
      <w:szCs w:val="20"/>
    </w:rPr>
  </w:style>
  <w:style w:type="character" w:customStyle="1" w:styleId="CommentTextChar">
    <w:name w:val="Comment Text Char"/>
    <w:basedOn w:val="DefaultParagraphFont"/>
    <w:link w:val="CommentText"/>
    <w:rsid w:val="00E22DCD"/>
    <w:rPr>
      <w:rFonts w:ascii="Palatino Linotype" w:hAnsi="Palatino Linotype"/>
    </w:rPr>
  </w:style>
  <w:style w:type="paragraph" w:styleId="CommentSubject">
    <w:name w:val="annotation subject"/>
    <w:basedOn w:val="CommentText"/>
    <w:next w:val="CommentText"/>
    <w:link w:val="CommentSubjectChar"/>
    <w:rsid w:val="00E22DCD"/>
    <w:rPr>
      <w:b/>
      <w:bCs/>
    </w:rPr>
  </w:style>
  <w:style w:type="character" w:customStyle="1" w:styleId="CommentSubjectChar">
    <w:name w:val="Comment Subject Char"/>
    <w:basedOn w:val="CommentTextChar"/>
    <w:link w:val="CommentSubject"/>
    <w:rsid w:val="00E22DCD"/>
    <w:rPr>
      <w:rFonts w:ascii="Palatino Linotype" w:hAnsi="Palatino Linotype"/>
      <w:b/>
      <w:bCs/>
    </w:rPr>
  </w:style>
  <w:style w:type="paragraph" w:styleId="BalloonText">
    <w:name w:val="Balloon Text"/>
    <w:basedOn w:val="Normal"/>
    <w:link w:val="BalloonTextChar"/>
    <w:rsid w:val="00E22DCD"/>
    <w:rPr>
      <w:rFonts w:ascii="Tahoma" w:hAnsi="Tahoma" w:cs="Tahoma"/>
      <w:sz w:val="16"/>
      <w:szCs w:val="16"/>
    </w:rPr>
  </w:style>
  <w:style w:type="character" w:customStyle="1" w:styleId="BalloonTextChar">
    <w:name w:val="Balloon Text Char"/>
    <w:basedOn w:val="DefaultParagraphFont"/>
    <w:link w:val="BalloonText"/>
    <w:rsid w:val="00E22DCD"/>
    <w:rPr>
      <w:rFonts w:ascii="Tahoma" w:hAnsi="Tahoma" w:cs="Tahoma"/>
      <w:sz w:val="16"/>
      <w:szCs w:val="16"/>
    </w:rPr>
  </w:style>
  <w:style w:type="table" w:styleId="TableGrid">
    <w:name w:val="Table Grid"/>
    <w:basedOn w:val="TableNormal"/>
    <w:uiPriority w:val="59"/>
    <w:rsid w:val="003E5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F3C00"/>
    <w:rPr>
      <w:color w:val="808080"/>
    </w:rPr>
  </w:style>
  <w:style w:type="paragraph" w:styleId="PlainText">
    <w:name w:val="Plain Text"/>
    <w:basedOn w:val="Normal"/>
    <w:link w:val="PlainTextChar"/>
    <w:uiPriority w:val="99"/>
    <w:unhideWhenUsed/>
    <w:rsid w:val="009535BF"/>
    <w:rPr>
      <w:rFonts w:ascii="Consolas" w:eastAsia="Calibri" w:hAnsi="Consolas"/>
      <w:sz w:val="21"/>
      <w:szCs w:val="21"/>
    </w:rPr>
  </w:style>
  <w:style w:type="character" w:customStyle="1" w:styleId="PlainTextChar">
    <w:name w:val="Plain Text Char"/>
    <w:basedOn w:val="DefaultParagraphFont"/>
    <w:link w:val="PlainText"/>
    <w:uiPriority w:val="99"/>
    <w:rsid w:val="009535BF"/>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2014-07-02T07:00:00+00:00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7F54-3331-4701-A35D-2345E55E3856}"/>
</file>

<file path=customXml/itemProps2.xml><?xml version="1.0" encoding="utf-8"?>
<ds:datastoreItem xmlns:ds="http://schemas.openxmlformats.org/officeDocument/2006/customXml" ds:itemID="{D55C0882-0C7A-4A5A-8AFF-2AA168C8FBE6}"/>
</file>

<file path=customXml/itemProps3.xml><?xml version="1.0" encoding="utf-8"?>
<ds:datastoreItem xmlns:ds="http://schemas.openxmlformats.org/officeDocument/2006/customXml" ds:itemID="{C601D668-A70A-4DEA-A561-DCAC27942A3C}"/>
</file>

<file path=customXml/itemProps4.xml><?xml version="1.0" encoding="utf-8"?>
<ds:datastoreItem xmlns:ds="http://schemas.openxmlformats.org/officeDocument/2006/customXml" ds:itemID="{97C18857-D502-4100-AC83-7F163DDF89B1}"/>
</file>

<file path=customXml/itemProps5.xml><?xml version="1.0" encoding="utf-8"?>
<ds:datastoreItem xmlns:ds="http://schemas.openxmlformats.org/officeDocument/2006/customXml" ds:itemID="{7892A2E6-C0B4-481A-92CB-E18BD8B48B74}"/>
</file>

<file path=docProps/app.xml><?xml version="1.0" encoding="utf-8"?>
<Properties xmlns="http://schemas.openxmlformats.org/officeDocument/2006/extended-properties" xmlns:vt="http://schemas.openxmlformats.org/officeDocument/2006/docPropsVTypes">
  <Template>Normal.dotm</Template>
  <TotalTime>0</TotalTime>
  <Pages>11</Pages>
  <Words>2774</Words>
  <Characters>15283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18021</CharactersWithSpaces>
  <SharedDoc>false</SharedDoc>
  <HLinks>
    <vt:vector size="18" baseType="variant">
      <vt:variant>
        <vt:i4>4456502</vt:i4>
      </vt:variant>
      <vt:variant>
        <vt:i4>6</vt:i4>
      </vt:variant>
      <vt:variant>
        <vt:i4>0</vt:i4>
      </vt:variant>
      <vt:variant>
        <vt:i4>5</vt:i4>
      </vt:variant>
      <vt:variant>
        <vt:lpwstr>mailto:kris.o@olympicmovers.net</vt:lpwstr>
      </vt:variant>
      <vt:variant>
        <vt:lpwstr/>
      </vt:variant>
      <vt:variant>
        <vt:i4>393340</vt:i4>
      </vt:variant>
      <vt:variant>
        <vt:i4>3</vt:i4>
      </vt:variant>
      <vt:variant>
        <vt:i4>0</vt:i4>
      </vt:variant>
      <vt:variant>
        <vt:i4>5</vt:i4>
      </vt:variant>
      <vt:variant>
        <vt:lpwstr>mailto:bshearer@utc.wa.gov</vt:lpwstr>
      </vt:variant>
      <vt:variant>
        <vt:lpwstr/>
      </vt:variant>
      <vt:variant>
        <vt:i4>5373994</vt:i4>
      </vt:variant>
      <vt:variant>
        <vt:i4>0</vt:i4>
      </vt:variant>
      <vt:variant>
        <vt:i4>0</vt:i4>
      </vt:variant>
      <vt:variant>
        <vt:i4>5</vt:i4>
      </vt:variant>
      <vt:variant>
        <vt:lpwstr>mailto:mfassio@utc.wa.gov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2014-07-02T15:50:00Z</dcterms:created>
  <dcterms:modified xsi:type="dcterms:W3CDTF">2014-07-02T16:12:00Z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